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161C60" w:rsidRDefault="005234F2" w:rsidP="00F55C0A">
      <w:pPr>
        <w:pStyle w:val="naisc"/>
        <w:spacing w:before="0" w:beforeAutospacing="0" w:after="120" w:afterAutospacing="0"/>
        <w:jc w:val="center"/>
        <w:rPr>
          <w:bCs/>
          <w:sz w:val="28"/>
          <w:szCs w:val="28"/>
        </w:rPr>
      </w:pPr>
      <w:r w:rsidRPr="00161C60">
        <w:rPr>
          <w:bCs/>
          <w:sz w:val="28"/>
          <w:szCs w:val="28"/>
        </w:rPr>
        <w:t>Ministru kabineta noteikumu projekta</w:t>
      </w:r>
    </w:p>
    <w:p w:rsidR="00251159" w:rsidRPr="00161C60" w:rsidRDefault="005234F2" w:rsidP="00865DB5">
      <w:pPr>
        <w:jc w:val="center"/>
        <w:rPr>
          <w:b/>
          <w:sz w:val="28"/>
          <w:szCs w:val="28"/>
        </w:rPr>
      </w:pPr>
      <w:r w:rsidRPr="00161C60">
        <w:rPr>
          <w:sz w:val="28"/>
          <w:szCs w:val="28"/>
        </w:rPr>
        <w:t>”</w:t>
      </w:r>
      <w:r w:rsidR="00865DB5" w:rsidRPr="00161C60">
        <w:rPr>
          <w:b/>
          <w:sz w:val="28"/>
          <w:szCs w:val="28"/>
        </w:rPr>
        <w:t>Grozījumi Ministru kabineta 2007.gada 26</w:t>
      </w:r>
      <w:r w:rsidR="00A83910" w:rsidRPr="00161C60">
        <w:rPr>
          <w:b/>
          <w:sz w:val="28"/>
          <w:szCs w:val="28"/>
        </w:rPr>
        <w:t>.</w:t>
      </w:r>
      <w:r w:rsidR="00F91783" w:rsidRPr="00161C60">
        <w:rPr>
          <w:b/>
          <w:sz w:val="28"/>
          <w:szCs w:val="28"/>
        </w:rPr>
        <w:t>jūnija noteikumos Nr.416</w:t>
      </w:r>
    </w:p>
    <w:p w:rsidR="005234F2" w:rsidRPr="00161C60" w:rsidRDefault="00A83910" w:rsidP="00865DB5">
      <w:pPr>
        <w:jc w:val="center"/>
        <w:rPr>
          <w:sz w:val="28"/>
          <w:szCs w:val="28"/>
        </w:rPr>
      </w:pPr>
      <w:r w:rsidRPr="00161C60">
        <w:rPr>
          <w:b/>
          <w:sz w:val="28"/>
          <w:szCs w:val="28"/>
        </w:rPr>
        <w:t>“</w:t>
      </w:r>
      <w:r w:rsidR="00865DB5" w:rsidRPr="00161C60">
        <w:rPr>
          <w:b/>
          <w:bCs/>
          <w:sz w:val="28"/>
          <w:szCs w:val="28"/>
        </w:rPr>
        <w:t xml:space="preserve">Zāļu </w:t>
      </w:r>
      <w:r w:rsidR="00F91783" w:rsidRPr="00161C60">
        <w:rPr>
          <w:b/>
          <w:bCs/>
          <w:sz w:val="28"/>
          <w:szCs w:val="28"/>
        </w:rPr>
        <w:t>izplatīšanas un kvalitātes</w:t>
      </w:r>
      <w:r w:rsidR="005B3FAF" w:rsidRPr="00161C60">
        <w:rPr>
          <w:b/>
          <w:bCs/>
          <w:sz w:val="28"/>
          <w:szCs w:val="28"/>
        </w:rPr>
        <w:t xml:space="preserve"> </w:t>
      </w:r>
      <w:r w:rsidR="00517EF0" w:rsidRPr="00161C60">
        <w:rPr>
          <w:b/>
          <w:bCs/>
          <w:sz w:val="28"/>
          <w:szCs w:val="28"/>
        </w:rPr>
        <w:t xml:space="preserve">kontroles </w:t>
      </w:r>
      <w:r w:rsidRPr="00161C60">
        <w:rPr>
          <w:b/>
          <w:bCs/>
          <w:sz w:val="28"/>
          <w:szCs w:val="28"/>
        </w:rPr>
        <w:t>kārtība</w:t>
      </w:r>
      <w:r w:rsidRPr="00161C60">
        <w:rPr>
          <w:bCs/>
          <w:sz w:val="28"/>
          <w:szCs w:val="28"/>
        </w:rPr>
        <w:t>””</w:t>
      </w:r>
    </w:p>
    <w:p w:rsidR="0079492C" w:rsidRPr="00161C60" w:rsidRDefault="005234F2" w:rsidP="005234F2">
      <w:pPr>
        <w:jc w:val="center"/>
        <w:rPr>
          <w:bCs/>
          <w:sz w:val="28"/>
          <w:szCs w:val="28"/>
        </w:rPr>
      </w:pPr>
      <w:r w:rsidRPr="00161C60">
        <w:rPr>
          <w:bCs/>
          <w:sz w:val="28"/>
          <w:szCs w:val="28"/>
        </w:rPr>
        <w:t xml:space="preserve">sākotnējās ietekmes novērtējuma ziņojums </w:t>
      </w:r>
    </w:p>
    <w:p w:rsidR="00A51F1F" w:rsidRPr="00161C60" w:rsidRDefault="005234F2" w:rsidP="005234F2">
      <w:pPr>
        <w:jc w:val="center"/>
        <w:rPr>
          <w:bCs/>
          <w:sz w:val="28"/>
          <w:szCs w:val="28"/>
        </w:rPr>
      </w:pPr>
      <w:r w:rsidRPr="00161C60">
        <w:rPr>
          <w:bCs/>
          <w:sz w:val="28"/>
          <w:szCs w:val="28"/>
        </w:rPr>
        <w:t>(anotācija)</w:t>
      </w:r>
    </w:p>
    <w:p w:rsidR="005234F2" w:rsidRPr="00161C60" w:rsidRDefault="005234F2" w:rsidP="005234F2">
      <w:pPr>
        <w:jc w:val="cente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1558"/>
        <w:gridCol w:w="7087"/>
      </w:tblGrid>
      <w:tr w:rsidR="00E56B62" w:rsidRPr="00161C60" w:rsidTr="000342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161C60" w:rsidRDefault="00D07F03" w:rsidP="00D07F03">
            <w:pPr>
              <w:spacing w:before="100" w:beforeAutospacing="1" w:after="100" w:afterAutospacing="1" w:line="360" w:lineRule="auto"/>
              <w:ind w:firstLine="300"/>
              <w:jc w:val="center"/>
              <w:rPr>
                <w:bCs/>
              </w:rPr>
            </w:pPr>
            <w:r w:rsidRPr="00161C60">
              <w:rPr>
                <w:bCs/>
              </w:rPr>
              <w:t>I. Tiesību akta projekta izstrādes nepieciešamība</w:t>
            </w:r>
          </w:p>
        </w:tc>
      </w:tr>
      <w:tr w:rsidR="00E56B62" w:rsidRPr="00161C60" w:rsidTr="00A60AEA">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F621BF">
            <w:pPr>
              <w:spacing w:before="100" w:beforeAutospacing="1" w:after="100" w:afterAutospacing="1" w:line="360" w:lineRule="auto"/>
              <w:jc w:val="center"/>
            </w:pPr>
            <w:r w:rsidRPr="00161C60">
              <w:t>1.</w:t>
            </w:r>
          </w:p>
        </w:tc>
        <w:tc>
          <w:tcPr>
            <w:tcW w:w="856"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D07F03">
            <w:r w:rsidRPr="00161C60">
              <w:t>Pamatojums</w:t>
            </w:r>
          </w:p>
        </w:tc>
        <w:tc>
          <w:tcPr>
            <w:tcW w:w="3893" w:type="pct"/>
            <w:tcBorders>
              <w:top w:val="outset" w:sz="6" w:space="0" w:color="414142"/>
              <w:left w:val="outset" w:sz="6" w:space="0" w:color="414142"/>
              <w:bottom w:val="outset" w:sz="6" w:space="0" w:color="414142"/>
              <w:right w:val="outset" w:sz="6" w:space="0" w:color="414142"/>
            </w:tcBorders>
            <w:hideMark/>
          </w:tcPr>
          <w:p w:rsidR="00565F39" w:rsidRPr="00161C60" w:rsidRDefault="002D5607" w:rsidP="00D7655D">
            <w:pPr>
              <w:pStyle w:val="NoSpacing"/>
              <w:ind w:left="-26"/>
              <w:jc w:val="both"/>
              <w:rPr>
                <w:rFonts w:ascii="Times New Roman" w:hAnsi="Times New Roman"/>
                <w:sz w:val="24"/>
                <w:szCs w:val="24"/>
                <w:lang w:val="lv-LV"/>
              </w:rPr>
            </w:pPr>
            <w:r w:rsidRPr="00161C60">
              <w:rPr>
                <w:rFonts w:ascii="Times New Roman" w:hAnsi="Times New Roman"/>
                <w:sz w:val="24"/>
                <w:szCs w:val="24"/>
                <w:lang w:val="lv-LV"/>
              </w:rPr>
              <w:t>Ministru kabineta noteikumu projekts ”</w:t>
            </w:r>
            <w:r w:rsidR="00865DB5" w:rsidRPr="00161C60">
              <w:rPr>
                <w:rFonts w:ascii="Times New Roman" w:hAnsi="Times New Roman"/>
                <w:sz w:val="24"/>
                <w:szCs w:val="24"/>
                <w:lang w:val="lv-LV"/>
              </w:rPr>
              <w:t>Grozījumi Ministru kabineta 2007.gada 26</w:t>
            </w:r>
            <w:r w:rsidR="007D7DD7" w:rsidRPr="00161C60">
              <w:rPr>
                <w:rFonts w:ascii="Times New Roman" w:hAnsi="Times New Roman"/>
                <w:sz w:val="24"/>
                <w:szCs w:val="24"/>
                <w:lang w:val="lv-LV"/>
              </w:rPr>
              <w:t>.</w:t>
            </w:r>
            <w:r w:rsidR="00AB6A7E" w:rsidRPr="00161C60">
              <w:rPr>
                <w:rFonts w:ascii="Times New Roman" w:hAnsi="Times New Roman"/>
                <w:sz w:val="24"/>
                <w:szCs w:val="24"/>
                <w:lang w:val="lv-LV"/>
              </w:rPr>
              <w:t>jūnija noteikumos Nr.41</w:t>
            </w:r>
            <w:r w:rsidR="00865DB5" w:rsidRPr="00161C60">
              <w:rPr>
                <w:rFonts w:ascii="Times New Roman" w:hAnsi="Times New Roman"/>
                <w:sz w:val="24"/>
                <w:szCs w:val="24"/>
                <w:lang w:val="lv-LV"/>
              </w:rPr>
              <w:t>6</w:t>
            </w:r>
            <w:r w:rsidR="007D7DD7" w:rsidRPr="00161C60">
              <w:rPr>
                <w:rFonts w:ascii="Times New Roman" w:hAnsi="Times New Roman"/>
                <w:sz w:val="24"/>
                <w:szCs w:val="24"/>
                <w:lang w:val="lv-LV"/>
              </w:rPr>
              <w:t xml:space="preserve"> “</w:t>
            </w:r>
            <w:r w:rsidR="00865DB5" w:rsidRPr="00161C60">
              <w:rPr>
                <w:rFonts w:ascii="Times New Roman" w:hAnsi="Times New Roman"/>
                <w:bCs/>
                <w:sz w:val="24"/>
                <w:szCs w:val="24"/>
                <w:lang w:val="lv-LV"/>
              </w:rPr>
              <w:t xml:space="preserve">Zāļu </w:t>
            </w:r>
            <w:r w:rsidR="00AB6A7E" w:rsidRPr="00161C60">
              <w:rPr>
                <w:rFonts w:ascii="Times New Roman" w:hAnsi="Times New Roman"/>
                <w:bCs/>
                <w:sz w:val="24"/>
                <w:szCs w:val="24"/>
                <w:lang w:val="lv-LV"/>
              </w:rPr>
              <w:t>izplatīšanas un kvalitātes kontroles</w:t>
            </w:r>
            <w:r w:rsidR="007D7DD7" w:rsidRPr="00161C60">
              <w:rPr>
                <w:rFonts w:ascii="Times New Roman" w:hAnsi="Times New Roman"/>
                <w:bCs/>
                <w:sz w:val="24"/>
                <w:szCs w:val="24"/>
                <w:lang w:val="lv-LV"/>
              </w:rPr>
              <w:t xml:space="preserve"> kārtība</w:t>
            </w:r>
            <w:r w:rsidRPr="00161C60">
              <w:rPr>
                <w:rFonts w:ascii="Times New Roman" w:hAnsi="Times New Roman"/>
                <w:sz w:val="24"/>
                <w:szCs w:val="24"/>
                <w:lang w:val="lv-LV"/>
              </w:rPr>
              <w:t>”” (turpmāk -</w:t>
            </w:r>
            <w:r w:rsidR="006D4DDC" w:rsidRPr="00161C60">
              <w:rPr>
                <w:rFonts w:ascii="Times New Roman" w:hAnsi="Times New Roman"/>
                <w:sz w:val="24"/>
                <w:szCs w:val="24"/>
                <w:lang w:val="lv-LV"/>
              </w:rPr>
              <w:t> </w:t>
            </w:r>
            <w:r w:rsidRPr="00161C60">
              <w:rPr>
                <w:rFonts w:ascii="Times New Roman" w:hAnsi="Times New Roman"/>
                <w:sz w:val="24"/>
                <w:szCs w:val="24"/>
                <w:lang w:val="lv-LV"/>
              </w:rPr>
              <w:t xml:space="preserve">Noteikumu projekts) </w:t>
            </w:r>
            <w:r w:rsidR="00E116D7" w:rsidRPr="00161C60">
              <w:rPr>
                <w:rFonts w:ascii="Times New Roman" w:hAnsi="Times New Roman"/>
                <w:sz w:val="24"/>
                <w:szCs w:val="24"/>
                <w:lang w:val="lv-LV"/>
              </w:rPr>
              <w:t>izdots saskaņā ar Farmācijas likuma 5.panta 3.punktu</w:t>
            </w:r>
            <w:r w:rsidR="00D7655D" w:rsidRPr="00161C60">
              <w:rPr>
                <w:rFonts w:ascii="Times New Roman" w:hAnsi="Times New Roman"/>
                <w:sz w:val="24"/>
                <w:szCs w:val="24"/>
                <w:lang w:val="lv-LV"/>
              </w:rPr>
              <w:t xml:space="preserve"> un </w:t>
            </w:r>
            <w:r w:rsidR="00D7655D" w:rsidRPr="00161C60">
              <w:rPr>
                <w:rFonts w:ascii="Times New Roman" w:hAnsi="Times New Roman"/>
                <w:iCs/>
                <w:sz w:val="24"/>
                <w:szCs w:val="24"/>
                <w:shd w:val="clear" w:color="auto" w:fill="FFFFFF"/>
                <w:lang w:val="lv-LV"/>
              </w:rPr>
              <w:t>25.punktu un</w:t>
            </w:r>
            <w:r w:rsidR="00D7655D" w:rsidRPr="00161C60">
              <w:rPr>
                <w:rStyle w:val="apple-converted-space"/>
                <w:rFonts w:ascii="Times New Roman" w:hAnsi="Times New Roman"/>
                <w:iCs/>
                <w:sz w:val="24"/>
                <w:szCs w:val="24"/>
                <w:shd w:val="clear" w:color="auto" w:fill="FFFFFF"/>
                <w:lang w:val="lv-LV"/>
              </w:rPr>
              <w:t> </w:t>
            </w:r>
            <w:hyperlink r:id="rId8" w:anchor="p19" w:tgtFrame="_blank" w:history="1">
              <w:r w:rsidR="00D7655D" w:rsidRPr="00161C60">
                <w:rPr>
                  <w:rStyle w:val="Hyperlink"/>
                  <w:rFonts w:ascii="Times New Roman" w:hAnsi="Times New Roman"/>
                  <w:iCs/>
                  <w:color w:val="auto"/>
                  <w:sz w:val="24"/>
                  <w:szCs w:val="24"/>
                  <w:shd w:val="clear" w:color="auto" w:fill="FFFFFF"/>
                  <w:lang w:val="lv-LV"/>
                </w:rPr>
                <w:t>19.pantu</w:t>
              </w:r>
            </w:hyperlink>
            <w:r w:rsidR="00983BD6" w:rsidRPr="00161C60">
              <w:rPr>
                <w:rFonts w:ascii="Times New Roman" w:hAnsi="Times New Roman"/>
                <w:sz w:val="24"/>
                <w:szCs w:val="24"/>
                <w:lang w:val="lv-LV"/>
              </w:rPr>
              <w:t>.</w:t>
            </w:r>
          </w:p>
        </w:tc>
      </w:tr>
      <w:tr w:rsidR="00E56B62" w:rsidRPr="00161C60" w:rsidTr="00A60AEA">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161C60" w:rsidRDefault="0008549E" w:rsidP="00F621BF">
            <w:pPr>
              <w:spacing w:before="100" w:beforeAutospacing="1" w:after="100" w:afterAutospacing="1" w:line="360" w:lineRule="auto"/>
              <w:jc w:val="center"/>
            </w:pPr>
            <w:r w:rsidRPr="00161C60">
              <w:t>2.</w:t>
            </w:r>
          </w:p>
        </w:tc>
        <w:tc>
          <w:tcPr>
            <w:tcW w:w="856" w:type="pct"/>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Pašreizējā situācija un problēmas, kuru risināšanai tiesību akta projekts izstrādāts, tiesiskā regulējuma mērķis un būtība</w:t>
            </w:r>
          </w:p>
        </w:tc>
        <w:tc>
          <w:tcPr>
            <w:tcW w:w="3893" w:type="pct"/>
            <w:tcBorders>
              <w:top w:val="outset" w:sz="6" w:space="0" w:color="414142"/>
              <w:left w:val="outset" w:sz="6" w:space="0" w:color="414142"/>
              <w:bottom w:val="outset" w:sz="6" w:space="0" w:color="414142"/>
              <w:right w:val="outset" w:sz="6" w:space="0" w:color="414142"/>
            </w:tcBorders>
            <w:hideMark/>
          </w:tcPr>
          <w:p w:rsidR="00E414B0" w:rsidRPr="00161C60" w:rsidRDefault="003F32F8" w:rsidP="006F6C05">
            <w:pPr>
              <w:pStyle w:val="Default"/>
              <w:jc w:val="both"/>
              <w:rPr>
                <w:rFonts w:ascii="Times New Roman" w:hAnsi="Times New Roman" w:cs="Times New Roman"/>
                <w:b/>
                <w:bCs/>
                <w:color w:val="auto"/>
                <w:shd w:val="clear" w:color="auto" w:fill="FFFFFF"/>
              </w:rPr>
            </w:pPr>
            <w:r w:rsidRPr="00161C60">
              <w:rPr>
                <w:rFonts w:ascii="Times New Roman" w:hAnsi="Times New Roman" w:cs="Times New Roman"/>
                <w:b/>
                <w:color w:val="auto"/>
              </w:rPr>
              <w:t>1. </w:t>
            </w:r>
            <w:r w:rsidR="0030029B" w:rsidRPr="00161C60">
              <w:rPr>
                <w:rFonts w:ascii="Times New Roman" w:hAnsi="Times New Roman" w:cs="Times New Roman"/>
                <w:b/>
                <w:color w:val="auto"/>
              </w:rPr>
              <w:t xml:space="preserve">Eiropas Savienības </w:t>
            </w:r>
            <w:r w:rsidR="007E73A7" w:rsidRPr="00161C60">
              <w:rPr>
                <w:rFonts w:ascii="Times New Roman" w:hAnsi="Times New Roman" w:cs="Times New Roman"/>
                <w:b/>
                <w:color w:val="auto"/>
              </w:rPr>
              <w:t>vienota logotipa ieviešana</w:t>
            </w:r>
            <w:r w:rsidR="00A70086" w:rsidRPr="00161C60">
              <w:rPr>
                <w:rFonts w:ascii="Times New Roman" w:hAnsi="Times New Roman" w:cs="Times New Roman"/>
                <w:b/>
                <w:color w:val="auto"/>
              </w:rPr>
              <w:t xml:space="preserve"> tīmekļa vietnēs aptiekām, kuras </w:t>
            </w:r>
            <w:r w:rsidR="00B61DA1" w:rsidRPr="00161C60">
              <w:rPr>
                <w:rFonts w:ascii="Times New Roman" w:hAnsi="Times New Roman" w:cs="Times New Roman"/>
                <w:b/>
                <w:color w:val="auto"/>
              </w:rPr>
              <w:t xml:space="preserve">nodarbojas ar </w:t>
            </w:r>
            <w:r w:rsidR="00EE1F78" w:rsidRPr="00161C60">
              <w:rPr>
                <w:rFonts w:ascii="Times New Roman" w:hAnsi="Times New Roman" w:cs="Times New Roman"/>
                <w:b/>
                <w:color w:val="auto"/>
              </w:rPr>
              <w:t>tālpārdošanu </w:t>
            </w:r>
            <w:r w:rsidR="0030029B" w:rsidRPr="00161C60">
              <w:rPr>
                <w:rFonts w:ascii="Times New Roman" w:hAnsi="Times New Roman" w:cs="Times New Roman"/>
                <w:b/>
                <w:color w:val="auto"/>
              </w:rPr>
              <w:t>- </w:t>
            </w:r>
            <w:r w:rsidR="00A70086" w:rsidRPr="00161C60">
              <w:rPr>
                <w:rFonts w:ascii="Times New Roman" w:hAnsi="Times New Roman" w:cs="Times New Roman"/>
                <w:b/>
                <w:color w:val="auto"/>
              </w:rPr>
              <w:t xml:space="preserve">izplata zāles </w:t>
            </w:r>
            <w:r w:rsidR="00A339BC" w:rsidRPr="00161C60">
              <w:rPr>
                <w:rFonts w:ascii="Times New Roman" w:hAnsi="Times New Roman" w:cs="Times New Roman"/>
                <w:b/>
                <w:bCs/>
                <w:color w:val="auto"/>
                <w:shd w:val="clear" w:color="auto" w:fill="FFFFFF"/>
              </w:rPr>
              <w:t xml:space="preserve">internetā </w:t>
            </w:r>
            <w:r w:rsidR="0030029B" w:rsidRPr="00161C60">
              <w:rPr>
                <w:rFonts w:ascii="Times New Roman" w:hAnsi="Times New Roman" w:cs="Times New Roman"/>
                <w:b/>
                <w:bCs/>
                <w:color w:val="auto"/>
                <w:shd w:val="clear" w:color="auto" w:fill="FFFFFF"/>
              </w:rPr>
              <w:t>ar tīmekļa starpniecību</w:t>
            </w:r>
          </w:p>
          <w:p w:rsidR="00BA47A6" w:rsidRPr="00161C60" w:rsidRDefault="00BA47A6" w:rsidP="00B86052">
            <w:pPr>
              <w:pStyle w:val="Default"/>
              <w:jc w:val="both"/>
              <w:rPr>
                <w:rFonts w:ascii="Times New Roman" w:hAnsi="Times New Roman" w:cs="Times New Roman"/>
                <w:color w:val="auto"/>
              </w:rPr>
            </w:pPr>
          </w:p>
          <w:p w:rsidR="00A60AEA" w:rsidRPr="00161C60" w:rsidRDefault="00934129" w:rsidP="00B86052">
            <w:pPr>
              <w:pStyle w:val="Default"/>
              <w:jc w:val="both"/>
              <w:rPr>
                <w:rFonts w:ascii="Times New Roman" w:hAnsi="Times New Roman" w:cs="Times New Roman"/>
                <w:bCs/>
                <w:color w:val="auto"/>
              </w:rPr>
            </w:pPr>
            <w:r w:rsidRPr="00161C60">
              <w:rPr>
                <w:rFonts w:ascii="Times New Roman" w:hAnsi="Times New Roman" w:cs="Times New Roman"/>
                <w:color w:val="auto"/>
              </w:rPr>
              <w:t>Eiropas Komisija</w:t>
            </w:r>
            <w:r w:rsidR="00E44BA3" w:rsidRPr="00161C60">
              <w:rPr>
                <w:rFonts w:ascii="Times New Roman" w:hAnsi="Times New Roman" w:cs="Times New Roman"/>
                <w:color w:val="auto"/>
              </w:rPr>
              <w:t xml:space="preserve"> </w:t>
            </w:r>
            <w:r w:rsidRPr="00161C60">
              <w:rPr>
                <w:rFonts w:ascii="Times New Roman" w:hAnsi="Times New Roman" w:cs="Times New Roman"/>
                <w:color w:val="auto"/>
              </w:rPr>
              <w:t xml:space="preserve">(EK) </w:t>
            </w:r>
            <w:r w:rsidR="00682714" w:rsidRPr="00161C60">
              <w:rPr>
                <w:rFonts w:ascii="Times New Roman" w:hAnsi="Times New Roman" w:cs="Times New Roman"/>
                <w:color w:val="auto"/>
              </w:rPr>
              <w:t xml:space="preserve">ir apstiprinājusi </w:t>
            </w:r>
            <w:r w:rsidRPr="00161C60">
              <w:rPr>
                <w:rFonts w:ascii="Times New Roman" w:hAnsi="Times New Roman" w:cs="Times New Roman"/>
                <w:color w:val="auto"/>
              </w:rPr>
              <w:t xml:space="preserve">vienotu logotipu </w:t>
            </w:r>
            <w:r w:rsidR="00F07D7A" w:rsidRPr="00161C60">
              <w:rPr>
                <w:rFonts w:ascii="Times New Roman" w:hAnsi="Times New Roman" w:cs="Times New Roman"/>
                <w:color w:val="auto"/>
              </w:rPr>
              <w:t xml:space="preserve">aptiekām </w:t>
            </w:r>
            <w:r w:rsidRPr="00161C60">
              <w:rPr>
                <w:rFonts w:ascii="Times New Roman" w:hAnsi="Times New Roman" w:cs="Times New Roman"/>
                <w:color w:val="auto"/>
              </w:rPr>
              <w:t xml:space="preserve">ar </w:t>
            </w:r>
            <w:r w:rsidRPr="00161C60">
              <w:rPr>
                <w:rFonts w:ascii="Times New Roman" w:hAnsi="Times New Roman" w:cs="Times New Roman"/>
                <w:bCs/>
                <w:color w:val="auto"/>
              </w:rPr>
              <w:t xml:space="preserve">2014.gada 24.jūnija </w:t>
            </w:r>
            <w:r w:rsidRPr="00161C60">
              <w:rPr>
                <w:rFonts w:ascii="Times New Roman" w:hAnsi="Times New Roman" w:cs="Times New Roman"/>
                <w:color w:val="auto"/>
              </w:rPr>
              <w:t xml:space="preserve">Īstenošanas </w:t>
            </w:r>
            <w:r w:rsidRPr="00161C60">
              <w:rPr>
                <w:rFonts w:ascii="Times New Roman" w:hAnsi="Times New Roman" w:cs="Times New Roman"/>
                <w:bCs/>
                <w:color w:val="auto"/>
              </w:rPr>
              <w:t xml:space="preserve">Regulu (ES) Nr.699/2014 par dizainu vienotajam logotipam, ar ko identificē personas, kas piedāvā iedzīvotājiem iegādāties zāles tālpārdošanā, un tā autentiskuma pārbaudes tehniskajām, elektroniskajām un kriptogrāfiskajām prasībām </w:t>
            </w:r>
            <w:r w:rsidR="0030029B" w:rsidRPr="00161C60">
              <w:rPr>
                <w:rFonts w:ascii="Times New Roman" w:hAnsi="Times New Roman" w:cs="Times New Roman"/>
                <w:bCs/>
                <w:color w:val="auto"/>
              </w:rPr>
              <w:t>(turpmāk - </w:t>
            </w:r>
            <w:r w:rsidR="00A60AEA" w:rsidRPr="00161C60">
              <w:rPr>
                <w:rFonts w:ascii="Times New Roman" w:hAnsi="Times New Roman" w:cs="Times New Roman"/>
                <w:color w:val="auto"/>
              </w:rPr>
              <w:t xml:space="preserve">Īstenošanas </w:t>
            </w:r>
            <w:r w:rsidR="00A60AEA" w:rsidRPr="00161C60">
              <w:rPr>
                <w:rFonts w:ascii="Times New Roman" w:hAnsi="Times New Roman" w:cs="Times New Roman"/>
                <w:bCs/>
                <w:color w:val="auto"/>
              </w:rPr>
              <w:t xml:space="preserve">Regula Nr.699/2014 </w:t>
            </w:r>
            <w:r w:rsidRPr="00161C60">
              <w:rPr>
                <w:rFonts w:ascii="Times New Roman" w:hAnsi="Times New Roman" w:cs="Times New Roman"/>
                <w:bCs/>
                <w:color w:val="auto"/>
              </w:rPr>
              <w:t xml:space="preserve">(publicēta </w:t>
            </w:r>
            <w:r w:rsidRPr="00161C60">
              <w:rPr>
                <w:rFonts w:ascii="Times New Roman" w:hAnsi="Times New Roman" w:cs="Times New Roman"/>
                <w:color w:val="auto"/>
              </w:rPr>
              <w:t xml:space="preserve">Eiropas Savienības Oficiālais Vēstnesī (L 184/5) </w:t>
            </w:r>
            <w:r w:rsidR="00236319" w:rsidRPr="00161C60">
              <w:rPr>
                <w:rFonts w:ascii="Times New Roman" w:hAnsi="Times New Roman" w:cs="Times New Roman"/>
                <w:bCs/>
                <w:color w:val="auto"/>
              </w:rPr>
              <w:t>2014.gada 25.jūnijā</w:t>
            </w:r>
            <w:r w:rsidR="00E44BA3" w:rsidRPr="00161C60">
              <w:rPr>
                <w:rFonts w:ascii="Times New Roman" w:hAnsi="Times New Roman" w:cs="Times New Roman"/>
                <w:bCs/>
                <w:color w:val="auto"/>
              </w:rPr>
              <w:t>))</w:t>
            </w:r>
            <w:r w:rsidR="003E339B" w:rsidRPr="00161C60">
              <w:rPr>
                <w:rFonts w:ascii="Times New Roman" w:hAnsi="Times New Roman" w:cs="Times New Roman"/>
                <w:bCs/>
                <w:color w:val="auto"/>
              </w:rPr>
              <w:t>.</w:t>
            </w:r>
          </w:p>
          <w:p w:rsidR="00A60AEA" w:rsidRPr="00161C60" w:rsidRDefault="0030029B" w:rsidP="00B86052">
            <w:pPr>
              <w:pStyle w:val="Default"/>
              <w:jc w:val="both"/>
              <w:rPr>
                <w:rFonts w:ascii="Times New Roman" w:hAnsi="Times New Roman" w:cs="Times New Roman"/>
                <w:color w:val="auto"/>
              </w:rPr>
            </w:pPr>
            <w:r w:rsidRPr="00161C60">
              <w:rPr>
                <w:rFonts w:ascii="Times New Roman" w:hAnsi="Times New Roman" w:cs="Times New Roman"/>
                <w:color w:val="auto"/>
              </w:rPr>
              <w:t xml:space="preserve">Vienotā logotipa </w:t>
            </w:r>
            <w:r w:rsidR="00934129" w:rsidRPr="00161C60">
              <w:rPr>
                <w:rFonts w:ascii="Times New Roman" w:hAnsi="Times New Roman" w:cs="Times New Roman"/>
                <w:color w:val="auto"/>
              </w:rPr>
              <w:t xml:space="preserve">mērķis ir </w:t>
            </w:r>
            <w:r w:rsidR="000D7C15" w:rsidRPr="00161C60">
              <w:rPr>
                <w:rFonts w:ascii="Times New Roman" w:hAnsi="Times New Roman" w:cs="Times New Roman"/>
                <w:color w:val="auto"/>
              </w:rPr>
              <w:t>vērst pa</w:t>
            </w:r>
            <w:r w:rsidR="00D567AB" w:rsidRPr="00161C60">
              <w:rPr>
                <w:rFonts w:ascii="Times New Roman" w:hAnsi="Times New Roman" w:cs="Times New Roman"/>
                <w:color w:val="auto"/>
              </w:rPr>
              <w:t>cientu uzmanību zāļu iegādei</w:t>
            </w:r>
            <w:r w:rsidR="000D7C15" w:rsidRPr="00161C60">
              <w:rPr>
                <w:rFonts w:ascii="Times New Roman" w:hAnsi="Times New Roman" w:cs="Times New Roman"/>
                <w:color w:val="auto"/>
              </w:rPr>
              <w:t xml:space="preserve"> tikai no </w:t>
            </w:r>
            <w:r w:rsidR="00934129" w:rsidRPr="00161C60">
              <w:rPr>
                <w:rFonts w:ascii="Times New Roman" w:hAnsi="Times New Roman" w:cs="Times New Roman"/>
                <w:color w:val="auto"/>
              </w:rPr>
              <w:t xml:space="preserve">ES </w:t>
            </w:r>
            <w:r w:rsidR="000D7C15" w:rsidRPr="00161C60">
              <w:rPr>
                <w:rFonts w:ascii="Times New Roman" w:hAnsi="Times New Roman" w:cs="Times New Roman"/>
                <w:color w:val="auto"/>
              </w:rPr>
              <w:t>licencētām</w:t>
            </w:r>
            <w:r w:rsidR="00F07D7A" w:rsidRPr="00161C60">
              <w:rPr>
                <w:rFonts w:ascii="Times New Roman" w:hAnsi="Times New Roman" w:cs="Times New Roman"/>
                <w:color w:val="auto"/>
              </w:rPr>
              <w:t xml:space="preserve"> ”interneta”</w:t>
            </w:r>
            <w:r w:rsidR="000D7C15" w:rsidRPr="00161C60">
              <w:rPr>
                <w:rFonts w:ascii="Times New Roman" w:hAnsi="Times New Roman" w:cs="Times New Roman"/>
                <w:color w:val="auto"/>
              </w:rPr>
              <w:t xml:space="preserve"> aptiekām. Tas samazinātu viltotu zāļu izplatīšana</w:t>
            </w:r>
            <w:r w:rsidR="00236319" w:rsidRPr="00161C60">
              <w:rPr>
                <w:rFonts w:ascii="Times New Roman" w:hAnsi="Times New Roman" w:cs="Times New Roman"/>
                <w:color w:val="auto"/>
              </w:rPr>
              <w:t>s risku.</w:t>
            </w:r>
          </w:p>
          <w:p w:rsidR="004B151D" w:rsidRPr="00161C60" w:rsidRDefault="00934129" w:rsidP="006F5655">
            <w:pPr>
              <w:pStyle w:val="Default"/>
              <w:jc w:val="both"/>
              <w:rPr>
                <w:rFonts w:ascii="Times New Roman" w:hAnsi="Times New Roman" w:cs="Times New Roman"/>
                <w:color w:val="auto"/>
              </w:rPr>
            </w:pPr>
            <w:r w:rsidRPr="00161C60">
              <w:rPr>
                <w:rFonts w:ascii="Times New Roman" w:hAnsi="Times New Roman" w:cs="Times New Roman"/>
                <w:color w:val="auto"/>
              </w:rPr>
              <w:t xml:space="preserve">Tā kā </w:t>
            </w:r>
            <w:r w:rsidR="006B1B19" w:rsidRPr="00161C60">
              <w:rPr>
                <w:rFonts w:ascii="Times New Roman" w:hAnsi="Times New Roman" w:cs="Times New Roman"/>
                <w:color w:val="auto"/>
              </w:rPr>
              <w:t>Ministru kabineta 2007.gada 26.</w:t>
            </w:r>
            <w:r w:rsidR="000C4D62" w:rsidRPr="00161C60">
              <w:rPr>
                <w:rFonts w:ascii="Times New Roman" w:hAnsi="Times New Roman" w:cs="Times New Roman"/>
                <w:color w:val="auto"/>
              </w:rPr>
              <w:t>jūnija noteikumi</w:t>
            </w:r>
            <w:r w:rsidR="006B1B19" w:rsidRPr="00161C60">
              <w:rPr>
                <w:rFonts w:ascii="Times New Roman" w:hAnsi="Times New Roman" w:cs="Times New Roman"/>
                <w:color w:val="auto"/>
              </w:rPr>
              <w:t xml:space="preserve"> Nr.416 “</w:t>
            </w:r>
            <w:r w:rsidR="006B1B19" w:rsidRPr="00161C60">
              <w:rPr>
                <w:rFonts w:ascii="Times New Roman" w:hAnsi="Times New Roman" w:cs="Times New Roman"/>
                <w:bCs/>
                <w:color w:val="auto"/>
              </w:rPr>
              <w:t>Zāļu izplatīšanas un kvalitātes kontroles kārtība</w:t>
            </w:r>
            <w:r w:rsidR="00E44BA3" w:rsidRPr="00161C60">
              <w:rPr>
                <w:rFonts w:ascii="Times New Roman" w:hAnsi="Times New Roman" w:cs="Times New Roman"/>
                <w:color w:val="auto"/>
              </w:rPr>
              <w:t>”</w:t>
            </w:r>
            <w:r w:rsidR="006B1B19" w:rsidRPr="00161C60">
              <w:rPr>
                <w:rFonts w:ascii="Times New Roman" w:hAnsi="Times New Roman" w:cs="Times New Roman"/>
                <w:color w:val="auto"/>
              </w:rPr>
              <w:t xml:space="preserve"> (turpmāk - </w:t>
            </w:r>
            <w:r w:rsidRPr="00161C60">
              <w:rPr>
                <w:rFonts w:ascii="Times New Roman" w:hAnsi="Times New Roman" w:cs="Times New Roman"/>
                <w:color w:val="auto"/>
              </w:rPr>
              <w:t>MK noteikumi</w:t>
            </w:r>
            <w:r w:rsidR="000D7C15" w:rsidRPr="00161C60">
              <w:rPr>
                <w:rFonts w:ascii="Times New Roman" w:hAnsi="Times New Roman" w:cs="Times New Roman"/>
                <w:color w:val="auto"/>
              </w:rPr>
              <w:t xml:space="preserve"> Nr</w:t>
            </w:r>
            <w:r w:rsidR="00157482" w:rsidRPr="00161C60">
              <w:rPr>
                <w:rFonts w:ascii="Times New Roman" w:hAnsi="Times New Roman" w:cs="Times New Roman"/>
                <w:color w:val="auto"/>
              </w:rPr>
              <w:t>.</w:t>
            </w:r>
            <w:r w:rsidR="000D7C15" w:rsidRPr="00161C60">
              <w:rPr>
                <w:rFonts w:ascii="Times New Roman" w:hAnsi="Times New Roman" w:cs="Times New Roman"/>
                <w:color w:val="auto"/>
              </w:rPr>
              <w:t>416</w:t>
            </w:r>
            <w:r w:rsidR="006B1B19" w:rsidRPr="00161C60">
              <w:rPr>
                <w:rFonts w:ascii="Times New Roman" w:hAnsi="Times New Roman" w:cs="Times New Roman"/>
                <w:color w:val="auto"/>
              </w:rPr>
              <w:t>)</w:t>
            </w:r>
            <w:r w:rsidR="003E339B" w:rsidRPr="00161C60">
              <w:rPr>
                <w:rFonts w:ascii="Times New Roman" w:hAnsi="Times New Roman" w:cs="Times New Roman"/>
                <w:color w:val="auto"/>
              </w:rPr>
              <w:t xml:space="preserve"> </w:t>
            </w:r>
            <w:r w:rsidR="001E655A" w:rsidRPr="00161C60">
              <w:rPr>
                <w:rFonts w:ascii="Times New Roman" w:hAnsi="Times New Roman" w:cs="Times New Roman"/>
                <w:color w:val="auto"/>
              </w:rPr>
              <w:t>regulē zāļu izplatīšan</w:t>
            </w:r>
            <w:r w:rsidR="006B1B19" w:rsidRPr="00161C60">
              <w:rPr>
                <w:rFonts w:ascii="Times New Roman" w:hAnsi="Times New Roman" w:cs="Times New Roman"/>
                <w:color w:val="auto"/>
              </w:rPr>
              <w:t>u</w:t>
            </w:r>
            <w:r w:rsidR="00D55D1F" w:rsidRPr="00161C60">
              <w:rPr>
                <w:rFonts w:ascii="Times New Roman" w:hAnsi="Times New Roman" w:cs="Times New Roman"/>
                <w:color w:val="auto"/>
              </w:rPr>
              <w:t xml:space="preserve"> </w:t>
            </w:r>
            <w:r w:rsidR="001E655A" w:rsidRPr="00161C60">
              <w:rPr>
                <w:rFonts w:ascii="Times New Roman" w:hAnsi="Times New Roman" w:cs="Times New Roman"/>
                <w:color w:val="auto"/>
              </w:rPr>
              <w:t>”</w:t>
            </w:r>
            <w:r w:rsidRPr="00161C60">
              <w:rPr>
                <w:rFonts w:ascii="Times New Roman" w:hAnsi="Times New Roman" w:cs="Times New Roman"/>
                <w:color w:val="auto"/>
              </w:rPr>
              <w:t>internetā</w:t>
            </w:r>
            <w:r w:rsidR="001E655A" w:rsidRPr="00161C60">
              <w:rPr>
                <w:rFonts w:ascii="Times New Roman" w:hAnsi="Times New Roman" w:cs="Times New Roman"/>
                <w:color w:val="auto"/>
              </w:rPr>
              <w:t>”</w:t>
            </w:r>
            <w:r w:rsidRPr="00161C60">
              <w:rPr>
                <w:rFonts w:ascii="Times New Roman" w:hAnsi="Times New Roman" w:cs="Times New Roman"/>
                <w:color w:val="auto"/>
              </w:rPr>
              <w:t xml:space="preserve">, </w:t>
            </w:r>
            <w:r w:rsidR="000C4D62" w:rsidRPr="00161C60">
              <w:rPr>
                <w:rFonts w:ascii="Times New Roman" w:hAnsi="Times New Roman" w:cs="Times New Roman"/>
                <w:color w:val="auto"/>
              </w:rPr>
              <w:t>un Latvijā tā ir atļauta tikai att</w:t>
            </w:r>
            <w:r w:rsidR="007C5CC2" w:rsidRPr="00161C60">
              <w:rPr>
                <w:rFonts w:ascii="Times New Roman" w:hAnsi="Times New Roman" w:cs="Times New Roman"/>
                <w:color w:val="auto"/>
              </w:rPr>
              <w:t>iecībā uz bezrecepšu zālēm (MK n</w:t>
            </w:r>
            <w:r w:rsidR="000C4D62" w:rsidRPr="00161C60">
              <w:rPr>
                <w:rFonts w:ascii="Times New Roman" w:hAnsi="Times New Roman" w:cs="Times New Roman"/>
                <w:color w:val="auto"/>
              </w:rPr>
              <w:t xml:space="preserve">oteikumu Nr.416 99.p.), </w:t>
            </w:r>
            <w:r w:rsidR="000D7C15" w:rsidRPr="00161C60">
              <w:rPr>
                <w:rFonts w:ascii="Times New Roman" w:hAnsi="Times New Roman" w:cs="Times New Roman"/>
                <w:color w:val="auto"/>
              </w:rPr>
              <w:t xml:space="preserve">jāparedz </w:t>
            </w:r>
            <w:r w:rsidR="001E655A" w:rsidRPr="00161C60">
              <w:rPr>
                <w:rFonts w:ascii="Times New Roman" w:hAnsi="Times New Roman" w:cs="Times New Roman"/>
                <w:color w:val="auto"/>
              </w:rPr>
              <w:t xml:space="preserve">tiesisks regulējums ES </w:t>
            </w:r>
            <w:r w:rsidRPr="00161C60">
              <w:rPr>
                <w:rFonts w:ascii="Times New Roman" w:hAnsi="Times New Roman" w:cs="Times New Roman"/>
                <w:color w:val="auto"/>
              </w:rPr>
              <w:t>vieno</w:t>
            </w:r>
            <w:r w:rsidR="006B1B19" w:rsidRPr="00161C60">
              <w:rPr>
                <w:rFonts w:ascii="Times New Roman" w:hAnsi="Times New Roman" w:cs="Times New Roman"/>
                <w:color w:val="auto"/>
              </w:rPr>
              <w:t xml:space="preserve">tā logotipa ieviešanai </w:t>
            </w:r>
            <w:r w:rsidR="000C4D62" w:rsidRPr="00161C60">
              <w:rPr>
                <w:rFonts w:ascii="Times New Roman" w:hAnsi="Times New Roman" w:cs="Times New Roman"/>
                <w:color w:val="auto"/>
              </w:rPr>
              <w:t>aptiekām</w:t>
            </w:r>
            <w:r w:rsidR="006B1B19" w:rsidRPr="00161C60">
              <w:rPr>
                <w:rFonts w:ascii="Times New Roman" w:hAnsi="Times New Roman" w:cs="Times New Roman"/>
                <w:color w:val="auto"/>
              </w:rPr>
              <w:t>, kurām speciālā atļaujā (licencē) ir norādīt</w:t>
            </w:r>
            <w:r w:rsidR="005E5FB9" w:rsidRPr="00161C60">
              <w:rPr>
                <w:rFonts w:ascii="Times New Roman" w:hAnsi="Times New Roman" w:cs="Times New Roman"/>
                <w:color w:val="auto"/>
              </w:rPr>
              <w:t>s speciālās darbības nosacījums -</w:t>
            </w:r>
            <w:r w:rsidR="00EE1F78" w:rsidRPr="00161C60">
              <w:rPr>
                <w:rFonts w:ascii="Times New Roman" w:hAnsi="Times New Roman" w:cs="Times New Roman"/>
                <w:color w:val="auto"/>
              </w:rPr>
              <w:t> </w:t>
            </w:r>
            <w:r w:rsidR="000C4D62" w:rsidRPr="00161C60">
              <w:rPr>
                <w:rFonts w:ascii="Times New Roman" w:hAnsi="Times New Roman" w:cs="Times New Roman"/>
                <w:color w:val="auto"/>
              </w:rPr>
              <w:t>bezrecepšu zāļu izplatīšana, izmantojot tīmekļa vietni</w:t>
            </w:r>
            <w:r w:rsidR="00236319" w:rsidRPr="00161C60">
              <w:rPr>
                <w:rFonts w:ascii="Times New Roman" w:hAnsi="Times New Roman" w:cs="Times New Roman"/>
                <w:color w:val="auto"/>
              </w:rPr>
              <w:t>.</w:t>
            </w:r>
          </w:p>
          <w:p w:rsidR="0031116B" w:rsidRPr="00161C60" w:rsidRDefault="001E655A" w:rsidP="006F5655">
            <w:pPr>
              <w:pStyle w:val="Default"/>
              <w:jc w:val="both"/>
              <w:rPr>
                <w:rFonts w:ascii="Times New Roman" w:hAnsi="Times New Roman" w:cs="Times New Roman"/>
                <w:color w:val="auto"/>
              </w:rPr>
            </w:pPr>
            <w:r w:rsidRPr="00161C60">
              <w:rPr>
                <w:rFonts w:ascii="Times New Roman" w:hAnsi="Times New Roman" w:cs="Times New Roman"/>
                <w:color w:val="auto"/>
              </w:rPr>
              <w:t>Līdz ar to tiek</w:t>
            </w:r>
            <w:r w:rsidR="00D55D1F" w:rsidRPr="00161C60">
              <w:rPr>
                <w:rFonts w:ascii="Times New Roman" w:hAnsi="Times New Roman" w:cs="Times New Roman"/>
                <w:color w:val="auto"/>
              </w:rPr>
              <w:t xml:space="preserve"> </w:t>
            </w:r>
            <w:r w:rsidRPr="00161C60">
              <w:rPr>
                <w:rFonts w:ascii="Times New Roman" w:hAnsi="Times New Roman" w:cs="Times New Roman"/>
                <w:color w:val="auto"/>
              </w:rPr>
              <w:t>īstenota</w:t>
            </w:r>
            <w:r w:rsidR="00D55D1F" w:rsidRPr="00161C60">
              <w:rPr>
                <w:rFonts w:ascii="Times New Roman" w:hAnsi="Times New Roman" w:cs="Times New Roman"/>
                <w:color w:val="auto"/>
              </w:rPr>
              <w:t xml:space="preserve"> </w:t>
            </w:r>
            <w:r w:rsidR="009057F4" w:rsidRPr="00161C60">
              <w:rPr>
                <w:rFonts w:ascii="Times New Roman" w:hAnsi="Times New Roman" w:cs="Times New Roman"/>
                <w:color w:val="auto"/>
              </w:rPr>
              <w:t>Eiropas Parlamenta un Padomes 2011.gada</w:t>
            </w:r>
            <w:r w:rsidR="009057F4" w:rsidRPr="00161C60">
              <w:rPr>
                <w:rFonts w:ascii="Times New Roman" w:hAnsi="Times New Roman" w:cs="Times New Roman"/>
                <w:color w:val="auto"/>
                <w:shd w:val="clear" w:color="auto" w:fill="FFFFFF"/>
              </w:rPr>
              <w:t xml:space="preserve"> 8.jūnija direktīvas</w:t>
            </w:r>
            <w:r w:rsidR="000051BC" w:rsidRPr="00161C60">
              <w:rPr>
                <w:rStyle w:val="apple-converted-space"/>
                <w:rFonts w:ascii="Times New Roman" w:hAnsi="Times New Roman" w:cs="Times New Roman"/>
                <w:color w:val="auto"/>
                <w:shd w:val="clear" w:color="auto" w:fill="FFFFFF"/>
              </w:rPr>
              <w:t xml:space="preserve"> Nr.</w:t>
            </w:r>
            <w:hyperlink r:id="rId9" w:tgtFrame="_blank" w:history="1">
              <w:r w:rsidR="009057F4" w:rsidRPr="00161C60">
                <w:rPr>
                  <w:rStyle w:val="Hyperlink"/>
                  <w:rFonts w:ascii="Times New Roman" w:hAnsi="Times New Roman" w:cs="Times New Roman"/>
                  <w:color w:val="auto"/>
                  <w:shd w:val="clear" w:color="auto" w:fill="FFFFFF"/>
                </w:rPr>
                <w:t>2011/62/ES</w:t>
              </w:r>
            </w:hyperlink>
            <w:r w:rsidR="009057F4" w:rsidRPr="00161C60">
              <w:rPr>
                <w:rFonts w:ascii="Times New Roman" w:hAnsi="Times New Roman" w:cs="Times New Roman"/>
                <w:color w:val="auto"/>
                <w:shd w:val="clear" w:color="auto" w:fill="FFFFFF"/>
              </w:rPr>
              <w:t>, ar ko direktīvu</w:t>
            </w:r>
            <w:r w:rsidR="00E44BA3" w:rsidRPr="00161C60">
              <w:rPr>
                <w:rFonts w:ascii="Times New Roman" w:hAnsi="Times New Roman" w:cs="Times New Roman"/>
                <w:color w:val="auto"/>
                <w:shd w:val="clear" w:color="auto" w:fill="FFFFFF"/>
              </w:rPr>
              <w:t xml:space="preserve"> </w:t>
            </w:r>
            <w:hyperlink r:id="rId10" w:tgtFrame="_blank" w:history="1">
              <w:r w:rsidR="009057F4" w:rsidRPr="00161C60">
                <w:rPr>
                  <w:rStyle w:val="Hyperlink"/>
                  <w:rFonts w:ascii="Times New Roman" w:hAnsi="Times New Roman" w:cs="Times New Roman"/>
                  <w:color w:val="auto"/>
                  <w:shd w:val="clear" w:color="auto" w:fill="FFFFFF"/>
                </w:rPr>
                <w:t>2001/83/EK</w:t>
              </w:r>
            </w:hyperlink>
            <w:r w:rsidR="009057F4" w:rsidRPr="00161C60">
              <w:rPr>
                <w:rStyle w:val="apple-converted-space"/>
                <w:rFonts w:ascii="Times New Roman" w:hAnsi="Times New Roman" w:cs="Times New Roman"/>
                <w:color w:val="auto"/>
                <w:shd w:val="clear" w:color="auto" w:fill="FFFFFF"/>
              </w:rPr>
              <w:t> </w:t>
            </w:r>
            <w:r w:rsidR="009057F4" w:rsidRPr="00161C60">
              <w:rPr>
                <w:rFonts w:ascii="Times New Roman" w:hAnsi="Times New Roman" w:cs="Times New Roman"/>
                <w:color w:val="auto"/>
                <w:shd w:val="clear" w:color="auto" w:fill="FFFFFF"/>
              </w:rPr>
              <w:t>par Kopienas kodeksu, kas attiecas uz cilvēkiem paredzētām zālēm, groza attiecībā uz to, kā novērst viltotu zāļu nokļūšanu legālas piegādes ķēdē (turpmāk - </w:t>
            </w:r>
            <w:r w:rsidR="002272EC" w:rsidRPr="00161C60">
              <w:rPr>
                <w:rFonts w:ascii="Times New Roman" w:hAnsi="Times New Roman" w:cs="Times New Roman"/>
                <w:color w:val="auto"/>
              </w:rPr>
              <w:t xml:space="preserve">Eiropas Parlamenta un Padomes </w:t>
            </w:r>
            <w:r w:rsidR="009057F4" w:rsidRPr="00161C60">
              <w:rPr>
                <w:rFonts w:ascii="Times New Roman" w:hAnsi="Times New Roman" w:cs="Times New Roman"/>
                <w:color w:val="auto"/>
              </w:rPr>
              <w:t>Direktīva</w:t>
            </w:r>
            <w:r w:rsidR="00682714" w:rsidRPr="00161C60">
              <w:rPr>
                <w:rFonts w:ascii="Times New Roman" w:hAnsi="Times New Roman" w:cs="Times New Roman"/>
                <w:color w:val="auto"/>
              </w:rPr>
              <w:t xml:space="preserve"> 2011/62</w:t>
            </w:r>
            <w:r w:rsidR="009057F4" w:rsidRPr="00161C60">
              <w:rPr>
                <w:rFonts w:ascii="Times New Roman" w:hAnsi="Times New Roman" w:cs="Times New Roman"/>
                <w:color w:val="auto"/>
              </w:rPr>
              <w:t>)</w:t>
            </w:r>
            <w:r w:rsidR="00B61DA1" w:rsidRPr="00161C60">
              <w:rPr>
                <w:rFonts w:ascii="Times New Roman" w:hAnsi="Times New Roman" w:cs="Times New Roman"/>
                <w:color w:val="auto"/>
              </w:rPr>
              <w:t xml:space="preserve"> </w:t>
            </w:r>
            <w:r w:rsidR="000D7C15" w:rsidRPr="00161C60">
              <w:rPr>
                <w:rFonts w:ascii="Times New Roman" w:hAnsi="Times New Roman" w:cs="Times New Roman"/>
                <w:color w:val="auto"/>
              </w:rPr>
              <w:t xml:space="preserve">1.panta 20.punkta </w:t>
            </w:r>
            <w:r w:rsidR="009434D6" w:rsidRPr="00161C60">
              <w:rPr>
                <w:rFonts w:ascii="Times New Roman" w:hAnsi="Times New Roman" w:cs="Times New Roman"/>
                <w:color w:val="auto"/>
              </w:rPr>
              <w:t xml:space="preserve">norma </w:t>
            </w:r>
            <w:r w:rsidR="000D7C15" w:rsidRPr="00161C60">
              <w:rPr>
                <w:rFonts w:ascii="Times New Roman" w:hAnsi="Times New Roman" w:cs="Times New Roman"/>
                <w:color w:val="auto"/>
              </w:rPr>
              <w:t>(</w:t>
            </w:r>
            <w:r w:rsidR="000D7C15" w:rsidRPr="00161C60">
              <w:rPr>
                <w:rFonts w:ascii="Times New Roman" w:hAnsi="Times New Roman" w:cs="Times New Roman"/>
                <w:i/>
                <w:color w:val="auto"/>
              </w:rPr>
              <w:t>attiecībā uz</w:t>
            </w:r>
            <w:r w:rsidR="00D27D45" w:rsidRPr="00161C60">
              <w:rPr>
                <w:rFonts w:ascii="Times New Roman" w:hAnsi="Times New Roman" w:cs="Times New Roman"/>
                <w:i/>
                <w:color w:val="auto"/>
              </w:rPr>
              <w:t xml:space="preserve"> Direktīvas 2001/83 85</w:t>
            </w:r>
            <w:r w:rsidR="00682714" w:rsidRPr="00161C60">
              <w:rPr>
                <w:rFonts w:ascii="Times New Roman" w:hAnsi="Times New Roman" w:cs="Times New Roman"/>
                <w:i/>
                <w:color w:val="auto"/>
              </w:rPr>
              <w:t>c pa</w:t>
            </w:r>
            <w:r w:rsidR="00A94B06" w:rsidRPr="00161C60">
              <w:rPr>
                <w:rFonts w:ascii="Times New Roman" w:hAnsi="Times New Roman" w:cs="Times New Roman"/>
                <w:i/>
                <w:color w:val="auto"/>
              </w:rPr>
              <w:t>nta</w:t>
            </w:r>
            <w:r w:rsidR="000C4D62" w:rsidRPr="00161C60">
              <w:rPr>
                <w:rFonts w:ascii="Times New Roman" w:hAnsi="Times New Roman" w:cs="Times New Roman"/>
                <w:i/>
                <w:color w:val="auto"/>
              </w:rPr>
              <w:t xml:space="preserve"> 1.punkta</w:t>
            </w:r>
            <w:r w:rsidR="000D7C15" w:rsidRPr="00161C60">
              <w:rPr>
                <w:rFonts w:ascii="Times New Roman" w:hAnsi="Times New Roman" w:cs="Times New Roman"/>
                <w:i/>
                <w:color w:val="auto"/>
              </w:rPr>
              <w:t xml:space="preserve"> d) </w:t>
            </w:r>
            <w:proofErr w:type="spellStart"/>
            <w:r w:rsidR="008025B4" w:rsidRPr="00161C60">
              <w:rPr>
                <w:rFonts w:ascii="Times New Roman" w:hAnsi="Times New Roman" w:cs="Times New Roman"/>
                <w:i/>
                <w:color w:val="auto"/>
              </w:rPr>
              <w:t>ii</w:t>
            </w:r>
            <w:proofErr w:type="spellEnd"/>
            <w:r w:rsidR="008025B4" w:rsidRPr="00161C60">
              <w:rPr>
                <w:rFonts w:ascii="Times New Roman" w:hAnsi="Times New Roman" w:cs="Times New Roman"/>
                <w:i/>
                <w:color w:val="auto"/>
              </w:rPr>
              <w:t xml:space="preserve">) un </w:t>
            </w:r>
            <w:proofErr w:type="spellStart"/>
            <w:r w:rsidR="00B61DA1" w:rsidRPr="00161C60">
              <w:rPr>
                <w:rFonts w:ascii="Times New Roman" w:hAnsi="Times New Roman" w:cs="Times New Roman"/>
                <w:i/>
                <w:color w:val="auto"/>
              </w:rPr>
              <w:t>iii</w:t>
            </w:r>
            <w:proofErr w:type="spellEnd"/>
            <w:r w:rsidR="00B61DA1" w:rsidRPr="00161C60">
              <w:rPr>
                <w:rFonts w:ascii="Times New Roman" w:hAnsi="Times New Roman" w:cs="Times New Roman"/>
                <w:i/>
                <w:color w:val="auto"/>
              </w:rPr>
              <w:t>)</w:t>
            </w:r>
            <w:r w:rsidR="000D7C15" w:rsidRPr="00161C60">
              <w:rPr>
                <w:rFonts w:ascii="Times New Roman" w:hAnsi="Times New Roman" w:cs="Times New Roman"/>
                <w:i/>
                <w:color w:val="auto"/>
              </w:rPr>
              <w:t>apakšpunktu</w:t>
            </w:r>
            <w:r w:rsidR="009434D6" w:rsidRPr="00161C60">
              <w:rPr>
                <w:rFonts w:ascii="Times New Roman" w:hAnsi="Times New Roman" w:cs="Times New Roman"/>
                <w:i/>
                <w:color w:val="auto"/>
              </w:rPr>
              <w:t>, 3.punktu un 4.punkta</w:t>
            </w:r>
            <w:r w:rsidR="00B61DA1" w:rsidRPr="00161C60">
              <w:rPr>
                <w:rFonts w:ascii="Times New Roman" w:hAnsi="Times New Roman" w:cs="Times New Roman"/>
                <w:i/>
                <w:color w:val="auto"/>
              </w:rPr>
              <w:t xml:space="preserve"> b)</w:t>
            </w:r>
            <w:r w:rsidR="00792692" w:rsidRPr="00161C60">
              <w:rPr>
                <w:rFonts w:ascii="Times New Roman" w:hAnsi="Times New Roman" w:cs="Times New Roman"/>
                <w:i/>
                <w:color w:val="auto"/>
              </w:rPr>
              <w:t>apakšpunktu</w:t>
            </w:r>
            <w:r w:rsidR="009434D6" w:rsidRPr="00161C60">
              <w:rPr>
                <w:rFonts w:ascii="Times New Roman" w:hAnsi="Times New Roman" w:cs="Times New Roman"/>
                <w:color w:val="auto"/>
              </w:rPr>
              <w:t>)</w:t>
            </w:r>
            <w:r w:rsidR="00F128E6" w:rsidRPr="00161C60">
              <w:rPr>
                <w:rFonts w:ascii="Times New Roman" w:hAnsi="Times New Roman" w:cs="Times New Roman"/>
                <w:color w:val="auto"/>
              </w:rPr>
              <w:t xml:space="preserve"> </w:t>
            </w:r>
            <w:r w:rsidR="005E5FB9" w:rsidRPr="00161C60">
              <w:rPr>
                <w:rFonts w:ascii="Times New Roman" w:hAnsi="Times New Roman" w:cs="Times New Roman"/>
                <w:color w:val="auto"/>
              </w:rPr>
              <w:t xml:space="preserve">(Noteikumu projekta </w:t>
            </w:r>
            <w:r w:rsidR="00D01ABA" w:rsidRPr="00161C60">
              <w:rPr>
                <w:rFonts w:ascii="Times New Roman" w:hAnsi="Times New Roman" w:cs="Times New Roman"/>
                <w:color w:val="auto"/>
              </w:rPr>
              <w:t>1.</w:t>
            </w:r>
            <w:r w:rsidR="00B96E6B" w:rsidRPr="00161C60">
              <w:rPr>
                <w:rFonts w:ascii="Times New Roman" w:hAnsi="Times New Roman" w:cs="Times New Roman"/>
                <w:color w:val="auto"/>
              </w:rPr>
              <w:t>41</w:t>
            </w:r>
            <w:r w:rsidR="005E5001" w:rsidRPr="00161C60">
              <w:rPr>
                <w:rFonts w:ascii="Times New Roman" w:hAnsi="Times New Roman" w:cs="Times New Roman"/>
                <w:color w:val="auto"/>
              </w:rPr>
              <w:t>.</w:t>
            </w:r>
            <w:r w:rsidR="00064110" w:rsidRPr="00161C60">
              <w:rPr>
                <w:rFonts w:ascii="Times New Roman" w:hAnsi="Times New Roman" w:cs="Times New Roman"/>
                <w:color w:val="auto"/>
              </w:rPr>
              <w:t xml:space="preserve"> un 1.42.</w:t>
            </w:r>
            <w:r w:rsidR="00C22484" w:rsidRPr="00161C60">
              <w:rPr>
                <w:rFonts w:ascii="Times New Roman" w:hAnsi="Times New Roman" w:cs="Times New Roman"/>
                <w:color w:val="auto"/>
              </w:rPr>
              <w:t>apak</w:t>
            </w:r>
            <w:r w:rsidR="0031116B" w:rsidRPr="00161C60">
              <w:rPr>
                <w:rFonts w:ascii="Times New Roman" w:hAnsi="Times New Roman" w:cs="Times New Roman"/>
                <w:color w:val="auto"/>
              </w:rPr>
              <w:t xml:space="preserve">špunkts </w:t>
            </w:r>
            <w:r w:rsidR="0031116B" w:rsidRPr="00161C60">
              <w:rPr>
                <w:rFonts w:ascii="Times New Roman" w:hAnsi="Times New Roman" w:cs="Times New Roman"/>
                <w:i/>
                <w:color w:val="auto"/>
              </w:rPr>
              <w:t xml:space="preserve">attiecībā uz </w:t>
            </w:r>
            <w:r w:rsidR="00C22484" w:rsidRPr="00161C60">
              <w:rPr>
                <w:rFonts w:ascii="Times New Roman" w:hAnsi="Times New Roman" w:cs="Times New Roman"/>
                <w:i/>
                <w:color w:val="auto"/>
              </w:rPr>
              <w:t>MK not</w:t>
            </w:r>
            <w:r w:rsidR="00D71124" w:rsidRPr="00161C60">
              <w:rPr>
                <w:rFonts w:ascii="Times New Roman" w:hAnsi="Times New Roman" w:cs="Times New Roman"/>
                <w:i/>
                <w:color w:val="auto"/>
              </w:rPr>
              <w:t xml:space="preserve">eikumu Nr.416 </w:t>
            </w:r>
            <w:r w:rsidR="004B151D" w:rsidRPr="00161C60">
              <w:rPr>
                <w:rFonts w:ascii="Times New Roman" w:hAnsi="Times New Roman" w:cs="Times New Roman"/>
                <w:i/>
                <w:color w:val="auto"/>
              </w:rPr>
              <w:t xml:space="preserve">103.6., </w:t>
            </w:r>
            <w:r w:rsidR="00B61DA1" w:rsidRPr="00161C60">
              <w:rPr>
                <w:rFonts w:ascii="Times New Roman" w:hAnsi="Times New Roman" w:cs="Times New Roman"/>
                <w:i/>
                <w:color w:val="auto"/>
              </w:rPr>
              <w:t xml:space="preserve">103.7.un </w:t>
            </w:r>
            <w:r w:rsidR="00D71124" w:rsidRPr="00161C60">
              <w:rPr>
                <w:rFonts w:ascii="Times New Roman" w:hAnsi="Times New Roman" w:cs="Times New Roman"/>
                <w:i/>
                <w:color w:val="auto"/>
              </w:rPr>
              <w:t>103.8</w:t>
            </w:r>
            <w:r w:rsidR="00D71124" w:rsidRPr="00161C60">
              <w:rPr>
                <w:rFonts w:ascii="Times New Roman" w:hAnsi="Times New Roman" w:cs="Times New Roman"/>
                <w:color w:val="auto"/>
              </w:rPr>
              <w:t>.</w:t>
            </w:r>
            <w:r w:rsidR="0031116B" w:rsidRPr="00161C60">
              <w:rPr>
                <w:rFonts w:ascii="Times New Roman" w:hAnsi="Times New Roman" w:cs="Times New Roman"/>
                <w:i/>
                <w:color w:val="auto"/>
              </w:rPr>
              <w:t>apakšpunktu</w:t>
            </w:r>
            <w:r w:rsidR="005E5001" w:rsidRPr="00161C60">
              <w:rPr>
                <w:rFonts w:ascii="Times New Roman" w:hAnsi="Times New Roman" w:cs="Times New Roman"/>
                <w:color w:val="auto"/>
              </w:rPr>
              <w:t xml:space="preserve">, </w:t>
            </w:r>
            <w:r w:rsidR="00B96E6B" w:rsidRPr="00161C60">
              <w:rPr>
                <w:rFonts w:ascii="Times New Roman" w:hAnsi="Times New Roman" w:cs="Times New Roman"/>
                <w:color w:val="auto"/>
              </w:rPr>
              <w:t xml:space="preserve">un </w:t>
            </w:r>
            <w:r w:rsidR="00DD4CCA" w:rsidRPr="00161C60">
              <w:rPr>
                <w:rFonts w:ascii="Times New Roman" w:hAnsi="Times New Roman" w:cs="Times New Roman"/>
                <w:color w:val="auto"/>
              </w:rPr>
              <w:t>1.</w:t>
            </w:r>
            <w:r w:rsidR="00C0316B" w:rsidRPr="00161C60">
              <w:rPr>
                <w:rFonts w:ascii="Times New Roman" w:hAnsi="Times New Roman" w:cs="Times New Roman"/>
                <w:color w:val="auto"/>
              </w:rPr>
              <w:t>60</w:t>
            </w:r>
            <w:r w:rsidR="005E5001" w:rsidRPr="00161C60">
              <w:rPr>
                <w:rFonts w:ascii="Times New Roman" w:hAnsi="Times New Roman" w:cs="Times New Roman"/>
                <w:color w:val="auto"/>
              </w:rPr>
              <w:t>.apakš</w:t>
            </w:r>
            <w:r w:rsidR="000D7C15" w:rsidRPr="00161C60">
              <w:rPr>
                <w:rFonts w:ascii="Times New Roman" w:hAnsi="Times New Roman" w:cs="Times New Roman"/>
                <w:color w:val="auto"/>
              </w:rPr>
              <w:t>punkts</w:t>
            </w:r>
            <w:r w:rsidR="00B61DA1" w:rsidRPr="00161C60">
              <w:rPr>
                <w:rFonts w:ascii="Times New Roman" w:hAnsi="Times New Roman" w:cs="Times New Roman"/>
                <w:color w:val="auto"/>
              </w:rPr>
              <w:t xml:space="preserve"> </w:t>
            </w:r>
            <w:r w:rsidR="00FD34BA" w:rsidRPr="00161C60">
              <w:rPr>
                <w:rFonts w:ascii="Times New Roman" w:hAnsi="Times New Roman" w:cs="Times New Roman"/>
                <w:i/>
                <w:color w:val="auto"/>
              </w:rPr>
              <w:t>attiecībā uz MK noteikumu Nr.416 146.15</w:t>
            </w:r>
            <w:r w:rsidR="00FD34BA" w:rsidRPr="00161C60">
              <w:rPr>
                <w:rFonts w:ascii="Times New Roman" w:hAnsi="Times New Roman" w:cs="Times New Roman"/>
                <w:color w:val="auto"/>
              </w:rPr>
              <w:t>.</w:t>
            </w:r>
            <w:r w:rsidR="00FD34BA" w:rsidRPr="00161C60">
              <w:rPr>
                <w:rFonts w:ascii="Times New Roman" w:hAnsi="Times New Roman" w:cs="Times New Roman"/>
                <w:i/>
                <w:color w:val="auto"/>
              </w:rPr>
              <w:t>apakšpunktu</w:t>
            </w:r>
            <w:r w:rsidR="000D7C15" w:rsidRPr="00161C60">
              <w:rPr>
                <w:rFonts w:ascii="Times New Roman" w:hAnsi="Times New Roman" w:cs="Times New Roman"/>
                <w:color w:val="auto"/>
              </w:rPr>
              <w:t>).</w:t>
            </w:r>
          </w:p>
          <w:p w:rsidR="006F5655" w:rsidRPr="00161C60" w:rsidRDefault="006F5655" w:rsidP="006F5655">
            <w:pPr>
              <w:pStyle w:val="Default"/>
              <w:jc w:val="both"/>
              <w:rPr>
                <w:rFonts w:ascii="Times New Roman" w:hAnsi="Times New Roman" w:cs="Times New Roman"/>
                <w:color w:val="auto"/>
              </w:rPr>
            </w:pPr>
            <w:r w:rsidRPr="00161C60">
              <w:rPr>
                <w:rFonts w:ascii="Times New Roman" w:hAnsi="Times New Roman" w:cs="Times New Roman"/>
                <w:color w:val="auto"/>
              </w:rPr>
              <w:t xml:space="preserve">Tā kā Eiropas Komisija (EK) ir apstiprinājusi arī tehnisku dokumentu, kurā sīkāk aprakstītas vienotā logotipa prasības (skatīt </w:t>
            </w:r>
            <w:proofErr w:type="spellStart"/>
            <w:r w:rsidRPr="00161C60">
              <w:rPr>
                <w:rFonts w:ascii="Times New Roman" w:hAnsi="Times New Roman" w:cs="Times New Roman"/>
                <w:color w:val="auto"/>
              </w:rPr>
              <w:t>info</w:t>
            </w:r>
            <w:proofErr w:type="spellEnd"/>
            <w:r w:rsidRPr="00161C60">
              <w:rPr>
                <w:rFonts w:ascii="Times New Roman" w:hAnsi="Times New Roman" w:cs="Times New Roman"/>
                <w:color w:val="auto"/>
              </w:rPr>
              <w:t xml:space="preserve">: </w:t>
            </w:r>
            <w:hyperlink r:id="rId11" w:history="1">
              <w:r w:rsidRPr="00161C60">
                <w:rPr>
                  <w:rStyle w:val="Hyperlink"/>
                  <w:rFonts w:ascii="Times New Roman" w:hAnsi="Times New Roman" w:cs="Times New Roman"/>
                  <w:i/>
                  <w:color w:val="auto"/>
                </w:rPr>
                <w:t>http://ec.europa.eu/health/human-use/eu-logo/index_en.htm</w:t>
              </w:r>
            </w:hyperlink>
            <w:r w:rsidRPr="00161C60">
              <w:rPr>
                <w:rFonts w:ascii="Times New Roman" w:hAnsi="Times New Roman" w:cs="Times New Roman"/>
                <w:color w:val="auto"/>
              </w:rPr>
              <w:t>) attiecīgs regulējums ie</w:t>
            </w:r>
            <w:r w:rsidR="003E339B" w:rsidRPr="00161C60">
              <w:rPr>
                <w:rFonts w:ascii="Times New Roman" w:hAnsi="Times New Roman" w:cs="Times New Roman"/>
                <w:color w:val="auto"/>
              </w:rPr>
              <w:t xml:space="preserve">tverts </w:t>
            </w:r>
            <w:r w:rsidR="00D01ABA" w:rsidRPr="00161C60">
              <w:rPr>
                <w:rFonts w:ascii="Times New Roman" w:hAnsi="Times New Roman" w:cs="Times New Roman"/>
                <w:color w:val="auto"/>
              </w:rPr>
              <w:t>Noteikumu projekta 1.</w:t>
            </w:r>
            <w:r w:rsidR="00B96E6B" w:rsidRPr="00161C60">
              <w:rPr>
                <w:rFonts w:ascii="Times New Roman" w:hAnsi="Times New Roman" w:cs="Times New Roman"/>
                <w:color w:val="auto"/>
              </w:rPr>
              <w:t>41</w:t>
            </w:r>
            <w:r w:rsidRPr="00161C60">
              <w:rPr>
                <w:rFonts w:ascii="Times New Roman" w:hAnsi="Times New Roman" w:cs="Times New Roman"/>
                <w:color w:val="auto"/>
              </w:rPr>
              <w:t>.apakšpunktā (</w:t>
            </w:r>
            <w:r w:rsidR="0031116B" w:rsidRPr="00161C60">
              <w:rPr>
                <w:rFonts w:ascii="Times New Roman" w:hAnsi="Times New Roman" w:cs="Times New Roman"/>
                <w:i/>
                <w:color w:val="auto"/>
              </w:rPr>
              <w:t xml:space="preserve">attiecībā uz </w:t>
            </w:r>
            <w:r w:rsidRPr="00161C60">
              <w:rPr>
                <w:rFonts w:ascii="Times New Roman" w:hAnsi="Times New Roman" w:cs="Times New Roman"/>
                <w:i/>
                <w:color w:val="auto"/>
              </w:rPr>
              <w:t xml:space="preserve">MK noteikumu Nr.416 </w:t>
            </w:r>
            <w:r w:rsidR="008E1448" w:rsidRPr="00161C60">
              <w:rPr>
                <w:rFonts w:ascii="Times New Roman" w:hAnsi="Times New Roman" w:cs="Times New Roman"/>
                <w:i/>
                <w:color w:val="auto"/>
              </w:rPr>
              <w:t xml:space="preserve">103.6. un </w:t>
            </w:r>
            <w:r w:rsidR="00C22484" w:rsidRPr="00161C60">
              <w:rPr>
                <w:rFonts w:ascii="Times New Roman" w:hAnsi="Times New Roman" w:cs="Times New Roman"/>
                <w:i/>
                <w:color w:val="auto"/>
              </w:rPr>
              <w:t>103.8.apakšpunkts</w:t>
            </w:r>
            <w:r w:rsidR="00C22484" w:rsidRPr="00161C60">
              <w:rPr>
                <w:rFonts w:ascii="Times New Roman" w:hAnsi="Times New Roman" w:cs="Times New Roman"/>
                <w:color w:val="auto"/>
              </w:rPr>
              <w:t>).</w:t>
            </w:r>
          </w:p>
          <w:p w:rsidR="00682714" w:rsidRPr="00161C60" w:rsidRDefault="00682714" w:rsidP="003712AE">
            <w:pPr>
              <w:keepLines/>
              <w:autoSpaceDE w:val="0"/>
              <w:autoSpaceDN w:val="0"/>
              <w:adjustRightInd w:val="0"/>
              <w:jc w:val="both"/>
            </w:pPr>
          </w:p>
          <w:p w:rsidR="00C73EEA" w:rsidRPr="00161C60" w:rsidRDefault="003F32F8" w:rsidP="008E6099">
            <w:pPr>
              <w:jc w:val="both"/>
              <w:rPr>
                <w:b/>
                <w:strike/>
              </w:rPr>
            </w:pPr>
            <w:r w:rsidRPr="00161C60">
              <w:rPr>
                <w:b/>
              </w:rPr>
              <w:t>2.</w:t>
            </w:r>
            <w:r w:rsidR="006F6C05" w:rsidRPr="00161C60">
              <w:rPr>
                <w:b/>
                <w:i/>
              </w:rPr>
              <w:t> </w:t>
            </w:r>
            <w:r w:rsidR="00C73EEA" w:rsidRPr="00161C60">
              <w:rPr>
                <w:b/>
              </w:rPr>
              <w:t>Par zāļu izplatīšanas prasību papildināšanu un konkretizēšanu</w:t>
            </w:r>
          </w:p>
          <w:p w:rsidR="00111E15" w:rsidRPr="00161C60" w:rsidRDefault="00111E15" w:rsidP="00617CA0">
            <w:pPr>
              <w:jc w:val="both"/>
            </w:pPr>
          </w:p>
          <w:p w:rsidR="00617CA0" w:rsidRPr="00161C60" w:rsidRDefault="00DA72AA" w:rsidP="00617CA0">
            <w:pPr>
              <w:jc w:val="both"/>
            </w:pPr>
            <w:r w:rsidRPr="00161C60">
              <w:t>1</w:t>
            </w:r>
            <w:r w:rsidR="004048F0" w:rsidRPr="00161C60">
              <w:t>)</w:t>
            </w:r>
            <w:r w:rsidR="00EE1F78" w:rsidRPr="00161C60">
              <w:t> </w:t>
            </w:r>
            <w:r w:rsidR="00E65E70" w:rsidRPr="00161C60">
              <w:rPr>
                <w:b/>
                <w:i/>
              </w:rPr>
              <w:t xml:space="preserve">Latvijai licencētai zāļu lieltirgotavai nebūs jāsaņem </w:t>
            </w:r>
            <w:r w:rsidR="003A0A1E" w:rsidRPr="00161C60">
              <w:rPr>
                <w:b/>
                <w:i/>
              </w:rPr>
              <w:t>A</w:t>
            </w:r>
            <w:r w:rsidR="00E65E70" w:rsidRPr="00161C60">
              <w:rPr>
                <w:b/>
                <w:i/>
              </w:rPr>
              <w:t>ģentūras izdota nereģistrētu zāļu izplatīšanas atļauja</w:t>
            </w:r>
            <w:r w:rsidR="0069415F" w:rsidRPr="00161C60">
              <w:rPr>
                <w:b/>
                <w:i/>
              </w:rPr>
              <w:t xml:space="preserve"> individuāli piešķirtām zālēm</w:t>
            </w:r>
            <w:r w:rsidR="00E65E70" w:rsidRPr="00161C60">
              <w:rPr>
                <w:b/>
                <w:i/>
              </w:rPr>
              <w:t>, ja tā</w:t>
            </w:r>
            <w:r w:rsidR="00095176" w:rsidRPr="00161C60">
              <w:rPr>
                <w:b/>
                <w:i/>
              </w:rPr>
              <w:t xml:space="preserve"> iegādās</w:t>
            </w:r>
            <w:r w:rsidR="00617CA0" w:rsidRPr="00161C60">
              <w:rPr>
                <w:b/>
                <w:i/>
              </w:rPr>
              <w:t xml:space="preserve">ies </w:t>
            </w:r>
            <w:r w:rsidR="00F9799E" w:rsidRPr="00161C60">
              <w:rPr>
                <w:b/>
                <w:i/>
              </w:rPr>
              <w:t xml:space="preserve">Latvijā </w:t>
            </w:r>
            <w:r w:rsidR="00617CA0" w:rsidRPr="00161C60">
              <w:rPr>
                <w:b/>
                <w:i/>
              </w:rPr>
              <w:t xml:space="preserve">nereģistrētas zāles no </w:t>
            </w:r>
            <w:r w:rsidR="005F39B8" w:rsidRPr="00161C60">
              <w:rPr>
                <w:b/>
                <w:i/>
              </w:rPr>
              <w:t xml:space="preserve">Latvijā </w:t>
            </w:r>
            <w:r w:rsidR="00617CA0" w:rsidRPr="00161C60">
              <w:rPr>
                <w:b/>
                <w:i/>
              </w:rPr>
              <w:t>licencēta</w:t>
            </w:r>
            <w:r w:rsidR="00E65E70" w:rsidRPr="00161C60">
              <w:rPr>
                <w:b/>
                <w:i/>
              </w:rPr>
              <w:t>s</w:t>
            </w:r>
            <w:r w:rsidR="002F24DF" w:rsidRPr="00161C60">
              <w:rPr>
                <w:b/>
                <w:i/>
              </w:rPr>
              <w:t xml:space="preserve"> </w:t>
            </w:r>
            <w:r w:rsidR="00E65E70" w:rsidRPr="00161C60">
              <w:rPr>
                <w:b/>
                <w:i/>
              </w:rPr>
              <w:t xml:space="preserve">zāļu </w:t>
            </w:r>
            <w:proofErr w:type="spellStart"/>
            <w:r w:rsidR="00E65E70" w:rsidRPr="00161C60">
              <w:rPr>
                <w:b/>
                <w:i/>
              </w:rPr>
              <w:t>lietirgotavas</w:t>
            </w:r>
            <w:proofErr w:type="spellEnd"/>
            <w:r w:rsidR="00E65E70" w:rsidRPr="00161C60">
              <w:rPr>
                <w:b/>
                <w:i/>
              </w:rPr>
              <w:t>, kurai</w:t>
            </w:r>
            <w:r w:rsidR="00287059" w:rsidRPr="00161C60">
              <w:rPr>
                <w:b/>
                <w:i/>
              </w:rPr>
              <w:t xml:space="preserve"> </w:t>
            </w:r>
            <w:r w:rsidR="00DF7C8A" w:rsidRPr="00161C60">
              <w:rPr>
                <w:b/>
                <w:i/>
              </w:rPr>
              <w:t>A</w:t>
            </w:r>
            <w:r w:rsidR="00617CA0" w:rsidRPr="00161C60">
              <w:rPr>
                <w:b/>
                <w:i/>
              </w:rPr>
              <w:t>ģentūra ir izdevusi nereģistrēto zāļu izplatīšanas atļauju</w:t>
            </w:r>
            <w:r w:rsidR="00CF2F41" w:rsidRPr="00161C60">
              <w:rPr>
                <w:b/>
                <w:i/>
              </w:rPr>
              <w:t>.</w:t>
            </w:r>
          </w:p>
          <w:p w:rsidR="00F805E9" w:rsidRPr="00161C60" w:rsidRDefault="00F805E9" w:rsidP="00EC1F24">
            <w:pPr>
              <w:jc w:val="both"/>
            </w:pPr>
          </w:p>
          <w:p w:rsidR="005D747E" w:rsidRPr="00161C60" w:rsidRDefault="00F04995" w:rsidP="00EC1F24">
            <w:pPr>
              <w:jc w:val="both"/>
            </w:pPr>
            <w:r w:rsidRPr="00161C60">
              <w:t>Pašreiz tiesiskais regulējums MK noteikumos Nr.416 nosaka zāļu lieltirgotavai pienākumu saņem</w:t>
            </w:r>
            <w:r w:rsidR="003E5ED0" w:rsidRPr="00161C60">
              <w:t>t</w:t>
            </w:r>
            <w:r w:rsidRPr="00161C60">
              <w:t xml:space="preserve"> nereģistrētu zāļu izplatīšanas atļauju</w:t>
            </w:r>
            <w:r w:rsidR="005A504A" w:rsidRPr="00161C60">
              <w:t>,</w:t>
            </w:r>
            <w:r w:rsidRPr="00161C60">
              <w:t xml:space="preserve"> ja tā iegādājas </w:t>
            </w:r>
            <w:r w:rsidR="00E65E70" w:rsidRPr="00161C60">
              <w:t xml:space="preserve">nereģistrētas zāles, kuras </w:t>
            </w:r>
            <w:r w:rsidRPr="00161C60">
              <w:t xml:space="preserve">netiek kompensētas vai </w:t>
            </w:r>
            <w:r w:rsidR="00E65E70" w:rsidRPr="00161C60">
              <w:t>iekļautas</w:t>
            </w:r>
            <w:r w:rsidRPr="00161C60">
              <w:t xml:space="preserve"> slimnīcās lietojamo zāļu sarakstā </w:t>
            </w:r>
            <w:r w:rsidR="00E65E70" w:rsidRPr="00161C60">
              <w:t xml:space="preserve">no zāļu lieltirgotavas, zāļu importētāja vai zāļu ražotāja </w:t>
            </w:r>
            <w:r w:rsidR="001A5C6E" w:rsidRPr="00161C60">
              <w:t>(MK n</w:t>
            </w:r>
            <w:r w:rsidRPr="00161C60">
              <w:t>oteikumi Nr.416 94.</w:t>
            </w:r>
            <w:r w:rsidRPr="00161C60">
              <w:rPr>
                <w:vertAlign w:val="superscript"/>
              </w:rPr>
              <w:t>13</w:t>
            </w:r>
            <w:r w:rsidRPr="00161C60">
              <w:t>punkts)</w:t>
            </w:r>
            <w:r w:rsidR="00E65E70" w:rsidRPr="00161C60">
              <w:t xml:space="preserve">, kuram </w:t>
            </w:r>
            <w:r w:rsidR="00DF7C8A" w:rsidRPr="00161C60">
              <w:t>A</w:t>
            </w:r>
            <w:r w:rsidR="00E65E70" w:rsidRPr="00161C60">
              <w:t>ģentūra ir izdevusi nereģistrēto zāļu izplatīšanas atļauju</w:t>
            </w:r>
            <w:r w:rsidRPr="00161C60">
              <w:t>.</w:t>
            </w:r>
          </w:p>
          <w:p w:rsidR="00EC1F24" w:rsidRPr="00161C60" w:rsidRDefault="00F04995" w:rsidP="00EC1F24">
            <w:pPr>
              <w:jc w:val="both"/>
            </w:pPr>
            <w:r w:rsidRPr="00161C60">
              <w:t xml:space="preserve">MK noteikumu Nr.416 regulējums tiek pārskatīts, </w:t>
            </w:r>
            <w:r w:rsidR="00E65E70" w:rsidRPr="00161C60">
              <w:t xml:space="preserve">pieļaujot tiesības </w:t>
            </w:r>
            <w:r w:rsidRPr="00161C60">
              <w:t xml:space="preserve">licencētai zāļu lieltirgotavai </w:t>
            </w:r>
            <w:r w:rsidR="00E65E70" w:rsidRPr="00161C60">
              <w:t>iegādāties un izplatīt</w:t>
            </w:r>
            <w:r w:rsidRPr="00161C60">
              <w:t xml:space="preserve"> nereģistrētas zāles no licencētas zāļu lieltirgotavas,</w:t>
            </w:r>
            <w:r w:rsidR="00E65E70" w:rsidRPr="00161C60">
              <w:t xml:space="preserve"> ražotāja vai importētāja,</w:t>
            </w:r>
            <w:r w:rsidR="00D02A7B" w:rsidRPr="00161C60">
              <w:t xml:space="preserve"> kuram</w:t>
            </w:r>
            <w:r w:rsidRPr="00161C60">
              <w:t xml:space="preserve"> ir attiecīgā </w:t>
            </w:r>
            <w:r w:rsidR="00DF7C8A" w:rsidRPr="00161C60">
              <w:t>A</w:t>
            </w:r>
            <w:r w:rsidR="00E65E70" w:rsidRPr="00161C60">
              <w:t xml:space="preserve">ģentūras </w:t>
            </w:r>
            <w:r w:rsidRPr="00161C60">
              <w:t>nereģistrēto zāļu izplatīšanas atļauja</w:t>
            </w:r>
            <w:r w:rsidR="00E65E70" w:rsidRPr="00161C60">
              <w:t>, bez atsevišķas atļaujas saņemšanas</w:t>
            </w:r>
            <w:r w:rsidRPr="00161C60">
              <w:t xml:space="preserve"> (Noteikumu projekta</w:t>
            </w:r>
            <w:r w:rsidR="00E843ED" w:rsidRPr="00161C60">
              <w:t xml:space="preserve"> </w:t>
            </w:r>
            <w:r w:rsidR="001E5248" w:rsidRPr="00161C60">
              <w:t>1.</w:t>
            </w:r>
            <w:r w:rsidR="007C7AAE" w:rsidRPr="00161C60">
              <w:t>3</w:t>
            </w:r>
            <w:r w:rsidR="00DA72AA" w:rsidRPr="00161C60">
              <w:t>6</w:t>
            </w:r>
            <w:r w:rsidR="005D747E" w:rsidRPr="00161C60">
              <w:t>.apakšpunkts</w:t>
            </w:r>
            <w:r w:rsidR="00115C0B" w:rsidRPr="00161C60">
              <w:t>).</w:t>
            </w:r>
            <w:r w:rsidR="00D95E78" w:rsidRPr="00161C60">
              <w:t xml:space="preserve"> Līdz ar to tiek </w:t>
            </w:r>
            <w:r w:rsidR="00D95E78" w:rsidRPr="00161C60">
              <w:rPr>
                <w:rFonts w:eastAsia="Calibri"/>
              </w:rPr>
              <w:t>vienkāršotas administratīvās procedūras un likvidēti šķēršļi pakalpojumu darbībai, prasības padarot mazāk ierobežojošas</w:t>
            </w:r>
            <w:r w:rsidR="00EE1F78" w:rsidRPr="00161C60">
              <w:rPr>
                <w:rFonts w:eastAsia="Calibri"/>
              </w:rPr>
              <w:t>.</w:t>
            </w:r>
          </w:p>
          <w:p w:rsidR="005833E6" w:rsidRPr="00161C60" w:rsidRDefault="005833E6" w:rsidP="003712AE">
            <w:pPr>
              <w:keepLines/>
              <w:autoSpaceDE w:val="0"/>
              <w:autoSpaceDN w:val="0"/>
              <w:adjustRightInd w:val="0"/>
              <w:jc w:val="both"/>
              <w:rPr>
                <w:i/>
              </w:rPr>
            </w:pPr>
          </w:p>
          <w:p w:rsidR="00CA22FB" w:rsidRPr="00161C60" w:rsidRDefault="00DA72AA" w:rsidP="00CA22FB">
            <w:pPr>
              <w:jc w:val="both"/>
            </w:pPr>
            <w:r w:rsidRPr="00161C60">
              <w:t>2</w:t>
            </w:r>
            <w:r w:rsidR="004048F0" w:rsidRPr="00161C60">
              <w:t>)</w:t>
            </w:r>
            <w:r w:rsidR="00CA22FB" w:rsidRPr="00161C60">
              <w:t> </w:t>
            </w:r>
            <w:r w:rsidR="00CA22FB" w:rsidRPr="00161C60">
              <w:rPr>
                <w:b/>
                <w:i/>
              </w:rPr>
              <w:t xml:space="preserve">Eiropas Savienībā licencētiem zāļu vairumtirgotājiem tiek atļauts ievest Latvijā nereģistrētas zāles, </w:t>
            </w:r>
            <w:r w:rsidR="0069415F" w:rsidRPr="00161C60">
              <w:rPr>
                <w:b/>
                <w:i/>
              </w:rPr>
              <w:t>ja ir saņemta</w:t>
            </w:r>
            <w:r w:rsidR="000F71F3" w:rsidRPr="00161C60">
              <w:rPr>
                <w:b/>
                <w:i/>
              </w:rPr>
              <w:t xml:space="preserve"> </w:t>
            </w:r>
            <w:r w:rsidR="00DF7C8A" w:rsidRPr="00161C60">
              <w:rPr>
                <w:b/>
                <w:i/>
              </w:rPr>
              <w:t>A</w:t>
            </w:r>
            <w:r w:rsidR="00CA22FB" w:rsidRPr="00161C60">
              <w:rPr>
                <w:b/>
                <w:i/>
              </w:rPr>
              <w:t>ģentūra</w:t>
            </w:r>
            <w:r w:rsidR="006A64A2" w:rsidRPr="00161C60">
              <w:rPr>
                <w:b/>
                <w:i/>
              </w:rPr>
              <w:t>s</w:t>
            </w:r>
            <w:r w:rsidR="00CA22FB" w:rsidRPr="00161C60">
              <w:rPr>
                <w:b/>
                <w:i/>
              </w:rPr>
              <w:t xml:space="preserve"> </w:t>
            </w:r>
            <w:r w:rsidR="0069415F" w:rsidRPr="00161C60">
              <w:rPr>
                <w:b/>
                <w:i/>
              </w:rPr>
              <w:t>izdota</w:t>
            </w:r>
            <w:r w:rsidR="00CA22FB" w:rsidRPr="00161C60">
              <w:rPr>
                <w:b/>
                <w:i/>
              </w:rPr>
              <w:t xml:space="preserve"> nereģistrēto zāļu izplatīšanas atļauj</w:t>
            </w:r>
            <w:r w:rsidR="0069415F" w:rsidRPr="00161C60">
              <w:rPr>
                <w:b/>
                <w:i/>
              </w:rPr>
              <w:t>a individuāli piešķirtām zālēm</w:t>
            </w:r>
            <w:r w:rsidR="00AB3F9E" w:rsidRPr="00161C60">
              <w:rPr>
                <w:b/>
                <w:i/>
              </w:rPr>
              <w:t>.</w:t>
            </w:r>
          </w:p>
          <w:p w:rsidR="00193629" w:rsidRPr="00161C60" w:rsidRDefault="00193629" w:rsidP="00CA22FB">
            <w:pPr>
              <w:jc w:val="both"/>
            </w:pPr>
          </w:p>
          <w:p w:rsidR="00CA22FB" w:rsidRPr="00161C60" w:rsidRDefault="00CA22FB" w:rsidP="00CA22FB">
            <w:pPr>
              <w:jc w:val="both"/>
            </w:pPr>
            <w:r w:rsidRPr="00161C60">
              <w:t>Pašreiz MK noteikumu Nr.416 94.</w:t>
            </w:r>
            <w:r w:rsidRPr="00161C60">
              <w:rPr>
                <w:vertAlign w:val="superscript"/>
              </w:rPr>
              <w:t>4</w:t>
            </w:r>
            <w:r w:rsidRPr="00161C60">
              <w:t>punkta regulējums paredz t</w:t>
            </w:r>
            <w:r w:rsidR="005D747E" w:rsidRPr="00161C60">
              <w:t>iesības tikai Latvijā licencētai</w:t>
            </w:r>
            <w:r w:rsidRPr="00161C60">
              <w:t xml:space="preserve"> zāļu </w:t>
            </w:r>
            <w:r w:rsidR="005A30A4" w:rsidRPr="00161C60">
              <w:t xml:space="preserve">lieltirgotavai, ražotājam </w:t>
            </w:r>
            <w:r w:rsidR="00093B29" w:rsidRPr="00161C60">
              <w:t>un importētājam</w:t>
            </w:r>
            <w:r w:rsidRPr="00161C60">
              <w:t xml:space="preserve"> saņemt nereģistrētu zāļu izplatīšanas atļauju, kas nostāda nevienlīdzīgā situācijā citus zāļu vairumtirgotājus, proti personas</w:t>
            </w:r>
            <w:r w:rsidR="006A64A2" w:rsidRPr="00161C60">
              <w:t>,</w:t>
            </w:r>
            <w:r w:rsidRPr="00161C60">
              <w:t xml:space="preserve"> kuras savas vairumtirdzniecības darbības </w:t>
            </w:r>
            <w:r w:rsidR="00093B29" w:rsidRPr="00161C60">
              <w:t xml:space="preserve">Latvijā </w:t>
            </w:r>
            <w:r w:rsidRPr="00161C60">
              <w:t xml:space="preserve">veic uz Eiropas </w:t>
            </w:r>
            <w:r w:rsidR="00093B29" w:rsidRPr="00161C60">
              <w:t>Ekonomikas zonas valstī</w:t>
            </w:r>
            <w:r w:rsidRPr="00161C60">
              <w:t xml:space="preserve"> izdotas zāļu vairumtirdzniecības licences pamata. G</w:t>
            </w:r>
            <w:r w:rsidR="000117E8" w:rsidRPr="00161C60">
              <w:t xml:space="preserve">rozījumi </w:t>
            </w:r>
            <w:r w:rsidR="00B43072" w:rsidRPr="00161C60">
              <w:t>MK noteikumu Nr.416 94.</w:t>
            </w:r>
            <w:r w:rsidR="00B43072" w:rsidRPr="00161C60">
              <w:rPr>
                <w:vertAlign w:val="superscript"/>
              </w:rPr>
              <w:t>13</w:t>
            </w:r>
            <w:r w:rsidR="00B43072" w:rsidRPr="00161C60">
              <w:t>apakšpunktā (</w:t>
            </w:r>
            <w:r w:rsidR="000117E8" w:rsidRPr="00161C60">
              <w:t xml:space="preserve">Noteikumu projekta </w:t>
            </w:r>
            <w:r w:rsidR="00575688" w:rsidRPr="00161C60">
              <w:t>1.</w:t>
            </w:r>
            <w:r w:rsidR="00AE58E6" w:rsidRPr="00161C60">
              <w:t>34</w:t>
            </w:r>
            <w:r w:rsidR="00B43072" w:rsidRPr="00161C60">
              <w:t>.apakšpunkts)</w:t>
            </w:r>
            <w:r w:rsidRPr="00161C60">
              <w:t xml:space="preserve"> šo problēmu atrisina, paplašinot nereģistrētu zāļu iz</w:t>
            </w:r>
            <w:r w:rsidR="00B43072" w:rsidRPr="00161C60">
              <w:t>platīšanas atļauju saņēmēju loku</w:t>
            </w:r>
            <w:r w:rsidRPr="00161C60">
              <w:t xml:space="preserve"> attiecībā uz Eiropas </w:t>
            </w:r>
            <w:r w:rsidR="00093B29" w:rsidRPr="00161C60">
              <w:t>Ekonomikas zonas valstī</w:t>
            </w:r>
            <w:r w:rsidRPr="00161C60">
              <w:t xml:space="preserve"> licencētiem zāļu vairumtirgotājiem.</w:t>
            </w:r>
          </w:p>
          <w:p w:rsidR="00DB7015" w:rsidRPr="00161C60" w:rsidRDefault="00DB7015" w:rsidP="00335C90">
            <w:pPr>
              <w:jc w:val="both"/>
              <w:rPr>
                <w:u w:val="single"/>
              </w:rPr>
            </w:pPr>
          </w:p>
          <w:p w:rsidR="000C39B8" w:rsidRPr="00161C60" w:rsidRDefault="00DA72AA" w:rsidP="00335C90">
            <w:pPr>
              <w:jc w:val="both"/>
              <w:rPr>
                <w:b/>
                <w:i/>
              </w:rPr>
            </w:pPr>
            <w:r w:rsidRPr="00161C60">
              <w:t>3</w:t>
            </w:r>
            <w:r w:rsidR="004048F0" w:rsidRPr="00161C60">
              <w:t>)</w:t>
            </w:r>
            <w:r w:rsidR="00A70086" w:rsidRPr="00161C60">
              <w:t> </w:t>
            </w:r>
            <w:r w:rsidR="008147E3" w:rsidRPr="00161C60">
              <w:rPr>
                <w:b/>
                <w:i/>
              </w:rPr>
              <w:t>Atcelta prasība obligāti norādīt zāļu izplatīšanas atļaujā</w:t>
            </w:r>
            <w:r w:rsidR="00987FAB" w:rsidRPr="00161C60">
              <w:rPr>
                <w:b/>
                <w:i/>
              </w:rPr>
              <w:t xml:space="preserve"> </w:t>
            </w:r>
            <w:r w:rsidR="000C39B8" w:rsidRPr="00161C60">
              <w:rPr>
                <w:b/>
                <w:i/>
              </w:rPr>
              <w:t>līdzjūtības zālēm</w:t>
            </w:r>
            <w:r w:rsidR="008147E3" w:rsidRPr="00161C60">
              <w:rPr>
                <w:b/>
                <w:i/>
              </w:rPr>
              <w:t xml:space="preserve"> atļaujas derīguma termiņu.</w:t>
            </w:r>
          </w:p>
          <w:p w:rsidR="008147E3" w:rsidRPr="00161C60" w:rsidRDefault="008147E3" w:rsidP="00335C90">
            <w:pPr>
              <w:jc w:val="both"/>
            </w:pPr>
          </w:p>
          <w:p w:rsidR="000C39B8" w:rsidRPr="00161C60" w:rsidRDefault="00EB65FB" w:rsidP="00335C90">
            <w:pPr>
              <w:jc w:val="both"/>
            </w:pPr>
            <w:r w:rsidRPr="00161C60">
              <w:t>Pašreiz MK notikumu Nr.416 tiesiskais regulējums nosaka prasību z</w:t>
            </w:r>
            <w:r w:rsidR="00A70086" w:rsidRPr="00161C60">
              <w:t xml:space="preserve">āļu izplatīšanas atļaujā </w:t>
            </w:r>
            <w:r w:rsidRPr="00161C60">
              <w:t xml:space="preserve">līdzjūtības zālēm </w:t>
            </w:r>
            <w:r w:rsidR="000206E0" w:rsidRPr="00161C60">
              <w:t>(</w:t>
            </w:r>
            <w:r w:rsidR="00465B83" w:rsidRPr="00161C60">
              <w:t xml:space="preserve">zāles, kas </w:t>
            </w:r>
            <w:r w:rsidRPr="00161C60">
              <w:t xml:space="preserve">atbilst </w:t>
            </w:r>
            <w:r w:rsidR="00A70086" w:rsidRPr="00161C60">
              <w:t>Eiropas Parlamenta un Padomes regulas Nr.</w:t>
            </w:r>
            <w:hyperlink r:id="rId12" w:tgtFrame="_blank" w:history="1">
              <w:r w:rsidR="00A70086" w:rsidRPr="00161C60">
                <w:rPr>
                  <w:rStyle w:val="Hyperlink"/>
                  <w:color w:val="auto"/>
                </w:rPr>
                <w:t>726/2004</w:t>
              </w:r>
            </w:hyperlink>
            <w:r w:rsidR="00BE7731" w:rsidRPr="00161C60">
              <w:t xml:space="preserve"> </w:t>
            </w:r>
            <w:r w:rsidRPr="00161C60">
              <w:t>83.panta 2.punktam</w:t>
            </w:r>
            <w:r w:rsidR="000206E0" w:rsidRPr="00161C60">
              <w:t>)</w:t>
            </w:r>
            <w:r w:rsidRPr="00161C60">
              <w:t xml:space="preserve"> </w:t>
            </w:r>
            <w:r w:rsidRPr="00161C60">
              <w:lastRenderedPageBreak/>
              <w:t>norādīt</w:t>
            </w:r>
            <w:r w:rsidR="000206E0" w:rsidRPr="00161C60">
              <w:t xml:space="preserve"> atļaujas derīguma termiņu, ņemot vērā </w:t>
            </w:r>
            <w:r w:rsidR="00F50FA0" w:rsidRPr="00161C60">
              <w:t xml:space="preserve">zāļu lietošanas </w:t>
            </w:r>
            <w:r w:rsidR="000206E0" w:rsidRPr="00161C60">
              <w:t xml:space="preserve">programmā </w:t>
            </w:r>
            <w:r w:rsidR="00F50FA0" w:rsidRPr="00161C60">
              <w:t>norādīto</w:t>
            </w:r>
            <w:r w:rsidR="000206E0" w:rsidRPr="00161C60">
              <w:t xml:space="preserve"> p</w:t>
            </w:r>
            <w:r w:rsidR="00F50FA0" w:rsidRPr="00161C60">
              <w:t>acientu skaitu</w:t>
            </w:r>
            <w:r w:rsidR="000206E0" w:rsidRPr="00161C60">
              <w:t>, zāļu lietoš</w:t>
            </w:r>
            <w:r w:rsidR="00F50FA0" w:rsidRPr="00161C60">
              <w:t>anas ilgumu</w:t>
            </w:r>
            <w:r w:rsidR="000206E0" w:rsidRPr="00161C60">
              <w:t xml:space="preserve"> un </w:t>
            </w:r>
            <w:r w:rsidR="00F50FA0" w:rsidRPr="00161C60">
              <w:t xml:space="preserve">zāļu </w:t>
            </w:r>
            <w:r w:rsidR="000206E0" w:rsidRPr="00161C60">
              <w:t>iepakojumu skaitu (MK noteikumu Nr.416 6.pielikuma 8.3.piezīme</w:t>
            </w:r>
            <w:r w:rsidR="00F50FA0" w:rsidRPr="00161C60">
              <w:t>)</w:t>
            </w:r>
            <w:r w:rsidR="00012364" w:rsidRPr="00161C60">
              <w:t>.</w:t>
            </w:r>
          </w:p>
          <w:p w:rsidR="000C39B8" w:rsidRPr="00161C60" w:rsidRDefault="000206E0" w:rsidP="00335C90">
            <w:pPr>
              <w:jc w:val="both"/>
            </w:pPr>
            <w:r w:rsidRPr="00161C60">
              <w:t>Taču</w:t>
            </w:r>
            <w:r w:rsidR="00335C90" w:rsidRPr="00161C60">
              <w:t>,</w:t>
            </w:r>
            <w:r w:rsidR="00987FAB" w:rsidRPr="00161C60">
              <w:t xml:space="preserve"> </w:t>
            </w:r>
            <w:r w:rsidR="00335C90" w:rsidRPr="00161C60">
              <w:rPr>
                <w:i/>
              </w:rPr>
              <w:t>p</w:t>
            </w:r>
            <w:r w:rsidR="00931DA0" w:rsidRPr="00161C60">
              <w:rPr>
                <w:i/>
              </w:rPr>
              <w:t>iemēram</w:t>
            </w:r>
            <w:r w:rsidR="00931DA0" w:rsidRPr="00161C60">
              <w:t xml:space="preserve">, </w:t>
            </w:r>
            <w:r w:rsidR="00C856B2" w:rsidRPr="00161C60">
              <w:t>palielinot</w:t>
            </w:r>
            <w:r w:rsidR="00335C90" w:rsidRPr="00161C60">
              <w:t xml:space="preserve"> pacientu skaitu</w:t>
            </w:r>
            <w:r w:rsidR="00987FAB" w:rsidRPr="00161C60">
              <w:t xml:space="preserve"> </w:t>
            </w:r>
            <w:r w:rsidR="00931DA0" w:rsidRPr="00161C60">
              <w:t>zāļu lietošanas programmā</w:t>
            </w:r>
            <w:r w:rsidR="00335C90" w:rsidRPr="00161C60">
              <w:t>,</w:t>
            </w:r>
            <w:r w:rsidR="00987FAB" w:rsidRPr="00161C60">
              <w:t xml:space="preserve"> </w:t>
            </w:r>
            <w:r w:rsidR="00335C90" w:rsidRPr="00161C60">
              <w:t>izmainītos attiecīgi arī laika periods, kad zāles jālieto, kas varētu pārsniegt atļaujā norādī</w:t>
            </w:r>
            <w:r w:rsidR="00A34DFF" w:rsidRPr="00161C60">
              <w:t>to atļaujas derīguma termiņu.</w:t>
            </w:r>
          </w:p>
          <w:p w:rsidR="00335C90" w:rsidRPr="00161C60" w:rsidRDefault="00335C90" w:rsidP="00335C90">
            <w:pPr>
              <w:jc w:val="both"/>
            </w:pPr>
            <w:r w:rsidRPr="00161C60">
              <w:t xml:space="preserve">Rezultātā, lai zāles varētu turpināt dot pacientiem, vajadzētu saņemt jaunu izplatīšanas atļauju, kas procesu </w:t>
            </w:r>
            <w:r w:rsidR="00122ECD" w:rsidRPr="00161C60">
              <w:t>padara sarežģītāku</w:t>
            </w:r>
            <w:r w:rsidR="00FD7027" w:rsidRPr="00161C60">
              <w:t>. Grozījumi MK n</w:t>
            </w:r>
            <w:r w:rsidR="008E6099" w:rsidRPr="00161C60">
              <w:t xml:space="preserve">oteikumu Nr.416 </w:t>
            </w:r>
            <w:r w:rsidRPr="00161C60">
              <w:t>94.</w:t>
            </w:r>
            <w:r w:rsidRPr="00161C60">
              <w:rPr>
                <w:vertAlign w:val="superscript"/>
              </w:rPr>
              <w:t>8</w:t>
            </w:r>
            <w:r w:rsidR="005F1F39" w:rsidRPr="00161C60">
              <w:t>3.apakš</w:t>
            </w:r>
            <w:r w:rsidRPr="00161C60">
              <w:t xml:space="preserve">punktā </w:t>
            </w:r>
            <w:r w:rsidR="00995F53" w:rsidRPr="00161C60">
              <w:t xml:space="preserve">atrisina šo problēmu </w:t>
            </w:r>
            <w:r w:rsidR="0012188F" w:rsidRPr="00161C60">
              <w:t>(Noteikumu projekta</w:t>
            </w:r>
            <w:r w:rsidR="002D485C" w:rsidRPr="00161C60">
              <w:t xml:space="preserve"> </w:t>
            </w:r>
            <w:r w:rsidR="00471C9D" w:rsidRPr="00161C60">
              <w:t>1.</w:t>
            </w:r>
            <w:r w:rsidR="00AE3339" w:rsidRPr="00161C60">
              <w:t>35</w:t>
            </w:r>
            <w:r w:rsidR="00122ECD" w:rsidRPr="00161C60">
              <w:t>.apakšpunkts</w:t>
            </w:r>
            <w:r w:rsidR="0012188F" w:rsidRPr="00161C60">
              <w:t>)</w:t>
            </w:r>
            <w:r w:rsidR="000311B5" w:rsidRPr="00161C60">
              <w:t>. V</w:t>
            </w:r>
            <w:r w:rsidR="0012188F" w:rsidRPr="00161C60">
              <w:t xml:space="preserve">ienlaicīgi tehniski tiek precizēta </w:t>
            </w:r>
            <w:r w:rsidRPr="00161C60">
              <w:t xml:space="preserve">6.pielikumā </w:t>
            </w:r>
            <w:r w:rsidR="000311B5" w:rsidRPr="00161C60">
              <w:t xml:space="preserve">”Piezīmēs” ietvertā informācija, šī pielikuma </w:t>
            </w:r>
            <w:r w:rsidR="00184BA5" w:rsidRPr="00161C60">
              <w:t>8.3.piezīm</w:t>
            </w:r>
            <w:r w:rsidR="00FD7027" w:rsidRPr="00161C60">
              <w:t>es norma tiek pārvietota uz MK n</w:t>
            </w:r>
            <w:r w:rsidR="00184BA5" w:rsidRPr="00161C60">
              <w:t>oteikumu Nr.416 94.</w:t>
            </w:r>
            <w:r w:rsidR="00184BA5" w:rsidRPr="00161C60">
              <w:rPr>
                <w:vertAlign w:val="superscript"/>
              </w:rPr>
              <w:t>8</w:t>
            </w:r>
            <w:r w:rsidR="00184BA5" w:rsidRPr="00161C60">
              <w:t xml:space="preserve">3.apakšpunktu (Noteikumu projekta </w:t>
            </w:r>
            <w:r w:rsidR="00471C9D" w:rsidRPr="00161C60">
              <w:t>1.</w:t>
            </w:r>
            <w:r w:rsidR="00095ACB" w:rsidRPr="00161C60">
              <w:t>69</w:t>
            </w:r>
            <w:r w:rsidR="00122ECD" w:rsidRPr="00161C60">
              <w:t>.apakšpunkts</w:t>
            </w:r>
            <w:r w:rsidRPr="00161C60">
              <w:t>).</w:t>
            </w:r>
          </w:p>
          <w:p w:rsidR="00335C90" w:rsidRPr="00161C60" w:rsidRDefault="00335C90" w:rsidP="00D96785">
            <w:pPr>
              <w:jc w:val="both"/>
            </w:pPr>
          </w:p>
          <w:p w:rsidR="00812E0F" w:rsidRPr="00161C60" w:rsidRDefault="00DA72AA" w:rsidP="00812E0F">
            <w:pPr>
              <w:jc w:val="both"/>
              <w:rPr>
                <w:b/>
                <w:i/>
              </w:rPr>
            </w:pPr>
            <w:r w:rsidRPr="00161C60">
              <w:t>4</w:t>
            </w:r>
            <w:r w:rsidR="004048F0" w:rsidRPr="00161C60">
              <w:t>)</w:t>
            </w:r>
            <w:r w:rsidR="00EE1F78" w:rsidRPr="00161C60">
              <w:t> </w:t>
            </w:r>
            <w:r w:rsidR="00812E0F" w:rsidRPr="00161C60">
              <w:rPr>
                <w:b/>
                <w:i/>
              </w:rPr>
              <w:t xml:space="preserve">Licencētai zāļu lieltirgotavai, kura ieved </w:t>
            </w:r>
            <w:r w:rsidR="007B4E47" w:rsidRPr="00161C60">
              <w:rPr>
                <w:b/>
                <w:i/>
              </w:rPr>
              <w:t>individuāl</w:t>
            </w:r>
            <w:r w:rsidR="00D212E4" w:rsidRPr="00161C60">
              <w:rPr>
                <w:b/>
                <w:i/>
              </w:rPr>
              <w:t>i piešķirtās nereģistrētās zālēs</w:t>
            </w:r>
            <w:r w:rsidR="00812E0F" w:rsidRPr="00161C60">
              <w:rPr>
                <w:b/>
                <w:i/>
              </w:rPr>
              <w:t xml:space="preserve">, tiek noteikts pienākums sniegt </w:t>
            </w:r>
            <w:r w:rsidR="005F1A0E" w:rsidRPr="00161C60">
              <w:rPr>
                <w:b/>
                <w:i/>
              </w:rPr>
              <w:t>A</w:t>
            </w:r>
            <w:r w:rsidR="00812E0F" w:rsidRPr="00161C60">
              <w:rPr>
                <w:b/>
                <w:i/>
              </w:rPr>
              <w:t>ģentūrai informāciju par nereģistrēto zāļu ievestajiem daudzumiem.</w:t>
            </w:r>
          </w:p>
          <w:p w:rsidR="00812E0F" w:rsidRPr="00161C60" w:rsidRDefault="00812E0F" w:rsidP="007959CA">
            <w:pPr>
              <w:jc w:val="both"/>
            </w:pPr>
          </w:p>
          <w:p w:rsidR="00812E0F" w:rsidRPr="00161C60" w:rsidRDefault="007959CA" w:rsidP="007959CA">
            <w:pPr>
              <w:jc w:val="both"/>
            </w:pPr>
            <w:r w:rsidRPr="00161C60">
              <w:t xml:space="preserve">Pašreiz tiesiskais regulējums MK noteikumos Nr.416 nosaka zāļu lieltirgotavai pienākumu informāciju </w:t>
            </w:r>
            <w:r w:rsidR="00D212E4" w:rsidRPr="00161C60">
              <w:t xml:space="preserve">Aģentūrai </w:t>
            </w:r>
            <w:r w:rsidRPr="00161C60">
              <w:t xml:space="preserve">sniegt tikai par kompensējamām un slimnīcās lietotām zālēm (MK noteikumu Nr.416 95.3.apakšpunkts), bet būtu jāzina </w:t>
            </w:r>
            <w:r w:rsidR="00A345BB" w:rsidRPr="00161C60">
              <w:t>informācija par</w:t>
            </w:r>
            <w:r w:rsidR="00347243" w:rsidRPr="00161C60">
              <w:t xml:space="preserve"> </w:t>
            </w:r>
            <w:r w:rsidR="00A345BB" w:rsidRPr="00161C60">
              <w:t xml:space="preserve">visām </w:t>
            </w:r>
            <w:r w:rsidRPr="00161C60">
              <w:t xml:space="preserve">Latvijā </w:t>
            </w:r>
            <w:r w:rsidR="00A345BB" w:rsidRPr="00161C60">
              <w:t xml:space="preserve">ievestajām </w:t>
            </w:r>
            <w:r w:rsidR="00D077B5" w:rsidRPr="00161C60">
              <w:t xml:space="preserve">individuāli piešķirtām </w:t>
            </w:r>
            <w:r w:rsidR="00A345BB" w:rsidRPr="00161C60">
              <w:t>nereģistrētajām</w:t>
            </w:r>
            <w:r w:rsidR="00347243" w:rsidRPr="00161C60">
              <w:t xml:space="preserve"> </w:t>
            </w:r>
            <w:r w:rsidR="00A345BB" w:rsidRPr="00161C60">
              <w:t>zālēm</w:t>
            </w:r>
            <w:r w:rsidRPr="00161C60">
              <w:t>, lai varētu prognozēt iespējamo r</w:t>
            </w:r>
            <w:r w:rsidR="006A64A2" w:rsidRPr="00161C60">
              <w:t>isku nekvalitatīvu vai viltotu</w:t>
            </w:r>
            <w:r w:rsidRPr="00161C60">
              <w:t xml:space="preserve"> </w:t>
            </w:r>
            <w:r w:rsidR="009D2152" w:rsidRPr="00161C60">
              <w:t xml:space="preserve">zāļu </w:t>
            </w:r>
            <w:r w:rsidRPr="00161C60">
              <w:t>gadījumā</w:t>
            </w:r>
            <w:r w:rsidR="00B72631" w:rsidRPr="00161C60">
              <w:t>.</w:t>
            </w:r>
          </w:p>
          <w:p w:rsidR="007959CA" w:rsidRPr="00161C60" w:rsidRDefault="00A345BB" w:rsidP="007959CA">
            <w:pPr>
              <w:jc w:val="both"/>
            </w:pPr>
            <w:r w:rsidRPr="00161C60">
              <w:t>Grozījumi N</w:t>
            </w:r>
            <w:r w:rsidR="00AD7415" w:rsidRPr="00161C60">
              <w:t>oteikumu projekta 1.</w:t>
            </w:r>
            <w:r w:rsidR="002F6A5B" w:rsidRPr="00161C60">
              <w:t>37</w:t>
            </w:r>
            <w:r w:rsidR="00EF424B" w:rsidRPr="00161C60">
              <w:t>.apakšpunktā atrisina šo jautājumu</w:t>
            </w:r>
            <w:r w:rsidR="00AB3F9E" w:rsidRPr="00161C60">
              <w:t> - </w:t>
            </w:r>
            <w:r w:rsidR="00EF424B" w:rsidRPr="00161C60">
              <w:t xml:space="preserve">licencētai zāļu lieltirgotavai, kura ieved </w:t>
            </w:r>
            <w:r w:rsidR="007B4E47" w:rsidRPr="00161C60">
              <w:t xml:space="preserve">nereģistrētās </w:t>
            </w:r>
            <w:r w:rsidR="00EF424B" w:rsidRPr="00161C60">
              <w:t xml:space="preserve">zāles </w:t>
            </w:r>
            <w:r w:rsidR="00AB3F9E" w:rsidRPr="00161C60">
              <w:t xml:space="preserve">no ārvalstīm, tiek noteikts </w:t>
            </w:r>
            <w:r w:rsidR="00EF424B" w:rsidRPr="00161C60">
              <w:t xml:space="preserve">pienākums </w:t>
            </w:r>
            <w:r w:rsidR="009D2152" w:rsidRPr="00161C60">
              <w:t xml:space="preserve">sniegt </w:t>
            </w:r>
            <w:r w:rsidR="0078606E" w:rsidRPr="00161C60">
              <w:t>A</w:t>
            </w:r>
            <w:r w:rsidR="009D2152" w:rsidRPr="00161C60">
              <w:t xml:space="preserve">ģentūrai </w:t>
            </w:r>
            <w:r w:rsidR="00EF424B" w:rsidRPr="00161C60">
              <w:t>informāciju par nereģistrēto zāļu ievestajiem daudzumiem</w:t>
            </w:r>
            <w:r w:rsidR="00AB3F9E" w:rsidRPr="00161C60">
              <w:t>.</w:t>
            </w:r>
          </w:p>
          <w:p w:rsidR="00972379" w:rsidRPr="00161C60" w:rsidRDefault="00972379" w:rsidP="00972379">
            <w:pPr>
              <w:jc w:val="both"/>
            </w:pPr>
          </w:p>
          <w:p w:rsidR="004518A6" w:rsidRPr="00161C60" w:rsidRDefault="00DA72AA" w:rsidP="001020D6">
            <w:pPr>
              <w:keepLines/>
              <w:autoSpaceDE w:val="0"/>
              <w:autoSpaceDN w:val="0"/>
              <w:adjustRightInd w:val="0"/>
              <w:jc w:val="both"/>
              <w:rPr>
                <w:b/>
                <w:i/>
              </w:rPr>
            </w:pPr>
            <w:r w:rsidRPr="00161C60">
              <w:t>5</w:t>
            </w:r>
            <w:r w:rsidR="004048F0" w:rsidRPr="00161C60">
              <w:t>)</w:t>
            </w:r>
            <w:r w:rsidR="00EE1F78" w:rsidRPr="00161C60">
              <w:t> </w:t>
            </w:r>
            <w:r w:rsidR="004518A6" w:rsidRPr="00161C60">
              <w:rPr>
                <w:b/>
                <w:i/>
              </w:rPr>
              <w:t xml:space="preserve">Atcelt </w:t>
            </w:r>
            <w:r w:rsidR="006D7F89" w:rsidRPr="00161C60">
              <w:rPr>
                <w:b/>
                <w:i/>
              </w:rPr>
              <w:t xml:space="preserve">nepamatotu prasību </w:t>
            </w:r>
            <w:r w:rsidR="00844B37" w:rsidRPr="00161C60">
              <w:rPr>
                <w:b/>
                <w:i/>
              </w:rPr>
              <w:t>zāļu reģistrācijas īpašnieka</w:t>
            </w:r>
            <w:r w:rsidR="006D7F89" w:rsidRPr="00161C60">
              <w:rPr>
                <w:b/>
                <w:i/>
              </w:rPr>
              <w:t>m</w:t>
            </w:r>
            <w:r w:rsidR="00B72631" w:rsidRPr="00161C60">
              <w:rPr>
                <w:b/>
                <w:i/>
              </w:rPr>
              <w:t xml:space="preserve"> </w:t>
            </w:r>
            <w:r w:rsidR="006D7F89" w:rsidRPr="00161C60">
              <w:rPr>
                <w:b/>
                <w:i/>
              </w:rPr>
              <w:t>informēt</w:t>
            </w:r>
            <w:r w:rsidR="00844B37" w:rsidRPr="00161C60">
              <w:rPr>
                <w:b/>
                <w:i/>
              </w:rPr>
              <w:t xml:space="preserve"> aģent</w:t>
            </w:r>
            <w:r w:rsidR="006D7F89" w:rsidRPr="00161C60">
              <w:rPr>
                <w:b/>
                <w:i/>
              </w:rPr>
              <w:t>ūru</w:t>
            </w:r>
            <w:r w:rsidR="00844B37" w:rsidRPr="00161C60">
              <w:rPr>
                <w:b/>
                <w:i/>
              </w:rPr>
              <w:t xml:space="preserve"> par izplatītām </w:t>
            </w:r>
            <w:r w:rsidR="006D7F89" w:rsidRPr="00161C60">
              <w:rPr>
                <w:b/>
                <w:i/>
              </w:rPr>
              <w:t>nereģistrētām zālēm par kurām izdota Eiropas Ekonomikas zonas valstī reģistrētu, bet Latvijas Republikā nereģistrētu zāļu izplatīšanas atļauja</w:t>
            </w:r>
            <w:r w:rsidR="00844B37" w:rsidRPr="00161C60">
              <w:rPr>
                <w:b/>
                <w:i/>
              </w:rPr>
              <w:t>, piemēram, zāļu s</w:t>
            </w:r>
            <w:r w:rsidR="006D7F89" w:rsidRPr="00161C60">
              <w:rPr>
                <w:b/>
                <w:i/>
              </w:rPr>
              <w:t>ēriju numuri. Š</w:t>
            </w:r>
            <w:r w:rsidR="00844B37" w:rsidRPr="00161C60">
              <w:rPr>
                <w:b/>
                <w:i/>
              </w:rPr>
              <w:t xml:space="preserve">ādas informācijas viņa rīcībā var nebūt, jo zāles izplata zāļu </w:t>
            </w:r>
            <w:proofErr w:type="spellStart"/>
            <w:r w:rsidR="00844B37" w:rsidRPr="00161C60">
              <w:rPr>
                <w:b/>
                <w:i/>
              </w:rPr>
              <w:t>lietirgotavas</w:t>
            </w:r>
            <w:proofErr w:type="spellEnd"/>
            <w:r w:rsidR="00844B37" w:rsidRPr="00161C60">
              <w:rPr>
                <w:b/>
                <w:i/>
              </w:rPr>
              <w:t xml:space="preserve">. Vienlaicīgi tiek noteikts zāļu </w:t>
            </w:r>
            <w:proofErr w:type="spellStart"/>
            <w:r w:rsidR="00844B37" w:rsidRPr="00161C60">
              <w:rPr>
                <w:b/>
                <w:i/>
              </w:rPr>
              <w:t>l</w:t>
            </w:r>
            <w:r w:rsidR="006D7F89" w:rsidRPr="00161C60">
              <w:rPr>
                <w:b/>
                <w:i/>
              </w:rPr>
              <w:t>ietirgotavas</w:t>
            </w:r>
            <w:proofErr w:type="spellEnd"/>
            <w:r w:rsidR="006D7F89" w:rsidRPr="00161C60">
              <w:rPr>
                <w:b/>
                <w:i/>
              </w:rPr>
              <w:t xml:space="preserve"> </w:t>
            </w:r>
            <w:r w:rsidR="00844B37" w:rsidRPr="00161C60">
              <w:rPr>
                <w:b/>
                <w:i/>
              </w:rPr>
              <w:t xml:space="preserve">pienākums informāciju sniegt </w:t>
            </w:r>
            <w:r w:rsidR="0067248E" w:rsidRPr="00161C60">
              <w:rPr>
                <w:b/>
                <w:i/>
              </w:rPr>
              <w:t>A</w:t>
            </w:r>
            <w:r w:rsidR="00844B37" w:rsidRPr="00161C60">
              <w:rPr>
                <w:b/>
                <w:i/>
              </w:rPr>
              <w:t>ģentūrai.</w:t>
            </w:r>
          </w:p>
          <w:p w:rsidR="00844B37" w:rsidRPr="00161C60" w:rsidRDefault="00844B37" w:rsidP="001020D6">
            <w:pPr>
              <w:keepLines/>
              <w:autoSpaceDE w:val="0"/>
              <w:autoSpaceDN w:val="0"/>
              <w:adjustRightInd w:val="0"/>
              <w:jc w:val="both"/>
              <w:rPr>
                <w:iCs/>
              </w:rPr>
            </w:pPr>
          </w:p>
          <w:p w:rsidR="001020D6" w:rsidRPr="00161C60" w:rsidRDefault="001020D6" w:rsidP="001020D6">
            <w:pPr>
              <w:keepLines/>
              <w:autoSpaceDE w:val="0"/>
              <w:autoSpaceDN w:val="0"/>
              <w:adjustRightInd w:val="0"/>
              <w:jc w:val="both"/>
            </w:pPr>
            <w:r w:rsidRPr="00161C60">
              <w:rPr>
                <w:iCs/>
              </w:rPr>
              <w:t xml:space="preserve">Pašreiz MK noteikumu Nr.416 tiesību regulējums nosaka reģistrācijas </w:t>
            </w:r>
            <w:r w:rsidRPr="00161C60">
              <w:t>īpašniekam pienāku</w:t>
            </w:r>
            <w:r w:rsidR="00506E95" w:rsidRPr="00161C60">
              <w:t xml:space="preserve">mu sniegt informāciju </w:t>
            </w:r>
            <w:r w:rsidR="00517156" w:rsidRPr="00161C60">
              <w:t>A</w:t>
            </w:r>
            <w:r w:rsidR="00844B37" w:rsidRPr="00161C60">
              <w:t xml:space="preserve">ģentūrai </w:t>
            </w:r>
            <w:r w:rsidR="00506E95" w:rsidRPr="00161C60">
              <w:t>par</w:t>
            </w:r>
            <w:r w:rsidR="00476CC2" w:rsidRPr="00161C60">
              <w:t xml:space="preserve"> </w:t>
            </w:r>
            <w:r w:rsidR="00E50304" w:rsidRPr="00161C60">
              <w:t xml:space="preserve">izplatītām </w:t>
            </w:r>
            <w:r w:rsidR="0011684E" w:rsidRPr="00161C60">
              <w:t xml:space="preserve">  </w:t>
            </w:r>
            <w:r w:rsidR="00E50304" w:rsidRPr="00161C60">
              <w:t>zālēm (nosaukums, stiprums vai koncentrācija, forma, daudzums vienā iepakojumā,</w:t>
            </w:r>
            <w:r w:rsidR="00476CC2" w:rsidRPr="00161C60">
              <w:t xml:space="preserve"> </w:t>
            </w:r>
            <w:r w:rsidR="00E50304" w:rsidRPr="00161C60">
              <w:t>iepakojumu skaits un zāļu sēriju numuri)</w:t>
            </w:r>
            <w:r w:rsidRPr="00161C60">
              <w:t>,</w:t>
            </w:r>
            <w:r w:rsidRPr="00161C60">
              <w:rPr>
                <w:iCs/>
              </w:rPr>
              <w:t xml:space="preserve"> par kurām </w:t>
            </w:r>
            <w:r w:rsidR="00205B62" w:rsidRPr="00161C60">
              <w:t xml:space="preserve">Latvijā ir izdota </w:t>
            </w:r>
            <w:r w:rsidRPr="00161C60">
              <w:t>Eiropas Ekonomikas zonas valstī reģistrētu, bet Latvijas Republikā nereģistrētu zāļu izplatīšanas atļauja, kas praktiski nav izpildām</w:t>
            </w:r>
            <w:r w:rsidR="00506E95" w:rsidRPr="00161C60">
              <w:t>a norma. Z</w:t>
            </w:r>
            <w:r w:rsidRPr="00161C60">
              <w:t>āļu reģistrācijas īpašnieks parasti pats neizplata vairumtirdzniecībā zāles (MK noteikumu Nr.416 95.</w:t>
            </w:r>
            <w:r w:rsidRPr="00161C60">
              <w:rPr>
                <w:vertAlign w:val="superscript"/>
              </w:rPr>
              <w:t>1</w:t>
            </w:r>
            <w:r w:rsidR="00FD7027" w:rsidRPr="00161C60">
              <w:t>punkts). Tāpēc MK n</w:t>
            </w:r>
            <w:r w:rsidRPr="00161C60">
              <w:t xml:space="preserve">oteikumu tiesību regulējums tiek </w:t>
            </w:r>
            <w:r w:rsidR="00C941B1" w:rsidRPr="00161C60">
              <w:t xml:space="preserve">precizēts (Noteikumu projekta </w:t>
            </w:r>
            <w:r w:rsidR="001B5C07" w:rsidRPr="00161C60">
              <w:t>1.</w:t>
            </w:r>
            <w:r w:rsidR="002F6A5B" w:rsidRPr="00161C60">
              <w:t>38</w:t>
            </w:r>
            <w:r w:rsidR="00506E95" w:rsidRPr="00161C60">
              <w:t>.apakšpunkts</w:t>
            </w:r>
            <w:r w:rsidRPr="00161C60">
              <w:t>), jo šādu informāciju var sniegt</w:t>
            </w:r>
            <w:r w:rsidR="009919AD" w:rsidRPr="00161C60">
              <w:t>, piemēram,</w:t>
            </w:r>
            <w:r w:rsidRPr="00161C60">
              <w:t xml:space="preserve"> zāļu </w:t>
            </w:r>
            <w:r w:rsidRPr="00161C60">
              <w:lastRenderedPageBreak/>
              <w:t>lieltirgotava, kura ieved zāles Latvijā no</w:t>
            </w:r>
            <w:r w:rsidR="009D2152" w:rsidRPr="00161C60">
              <w:t xml:space="preserve"> citas</w:t>
            </w:r>
            <w:r w:rsidRPr="00161C60">
              <w:t xml:space="preserve"> Eiropas Savienības</w:t>
            </w:r>
            <w:r w:rsidR="009D2152" w:rsidRPr="00161C60">
              <w:t xml:space="preserve"> dalībvalsts</w:t>
            </w:r>
            <w:r w:rsidRPr="00161C60">
              <w:t>.</w:t>
            </w:r>
            <w:r w:rsidR="00506E95" w:rsidRPr="00161C60">
              <w:t xml:space="preserve"> Tiek konkretizēta informācijas sniegšana pirms nereģistrētu  zāļu izplatīšanas uzsākšanas par nereģistrē</w:t>
            </w:r>
            <w:r w:rsidR="009D2152" w:rsidRPr="00161C60">
              <w:t xml:space="preserve">tām zālēm, par kurām ir izdota </w:t>
            </w:r>
            <w:r w:rsidR="00506E95" w:rsidRPr="00161C60">
              <w:t>Eiropas Ekonomikas zonas valstī reģistrētu, bet Latvijas Republikā nereģistrētu zāļu izplatīšanas atļauja.</w:t>
            </w:r>
            <w:r w:rsidR="00A660A9" w:rsidRPr="00161C60">
              <w:t xml:space="preserve"> Turklāt šim pašam zāļu vairumtirgotājam, kurš piegādās zāles, saskaņā ar MK noteikumu Nr.416 89.</w:t>
            </w:r>
            <w:r w:rsidR="00A660A9" w:rsidRPr="00161C60">
              <w:rPr>
                <w:vertAlign w:val="superscript"/>
              </w:rPr>
              <w:t>2</w:t>
            </w:r>
            <w:r w:rsidR="00A660A9" w:rsidRPr="00161C60">
              <w:t>punktu būs izplatāmajām zālēm jānodrošina zāļu marķējumu un lietošanas instrukciju valsts valodā atbilstoši normatīvajiem aktiem par zāļu marķēšanas kārtību un zāļu lietošanas instrukcijai izvirzāmajām prasībām.</w:t>
            </w:r>
          </w:p>
          <w:p w:rsidR="001020D6" w:rsidRPr="00161C60" w:rsidRDefault="001020D6" w:rsidP="003712AE">
            <w:pPr>
              <w:keepLines/>
              <w:autoSpaceDE w:val="0"/>
              <w:autoSpaceDN w:val="0"/>
              <w:adjustRightInd w:val="0"/>
              <w:jc w:val="both"/>
              <w:rPr>
                <w:i/>
              </w:rPr>
            </w:pPr>
          </w:p>
          <w:p w:rsidR="00DD7F04" w:rsidRPr="00161C60" w:rsidRDefault="00DA72AA" w:rsidP="004C015A">
            <w:pPr>
              <w:jc w:val="both"/>
            </w:pPr>
            <w:r w:rsidRPr="00161C60">
              <w:t>6</w:t>
            </w:r>
            <w:r w:rsidR="004048F0" w:rsidRPr="00161C60">
              <w:t>)</w:t>
            </w:r>
            <w:r w:rsidR="00214EFD" w:rsidRPr="00161C60">
              <w:t> </w:t>
            </w:r>
            <w:r w:rsidR="00DD7F04" w:rsidRPr="00161C60">
              <w:rPr>
                <w:b/>
                <w:i/>
                <w:iCs/>
              </w:rPr>
              <w:t>Tiek veicināta elektronisko dokumentu aprite un noteikta obligāta prasība norādīt elektronisk</w:t>
            </w:r>
            <w:r w:rsidR="00982CCA" w:rsidRPr="00161C60">
              <w:rPr>
                <w:b/>
                <w:i/>
                <w:iCs/>
              </w:rPr>
              <w:t xml:space="preserve">o </w:t>
            </w:r>
            <w:r w:rsidR="00DD7F04" w:rsidRPr="00161C60">
              <w:rPr>
                <w:b/>
                <w:i/>
                <w:iCs/>
              </w:rPr>
              <w:t>pasta adresi iesniegumā nereģistrēto zāļu izplatīšanas atļaujas saņemšanai.</w:t>
            </w:r>
          </w:p>
          <w:p w:rsidR="00DD7F04" w:rsidRPr="00161C60" w:rsidRDefault="00DD7F04" w:rsidP="004C015A">
            <w:pPr>
              <w:jc w:val="both"/>
            </w:pPr>
          </w:p>
          <w:p w:rsidR="0069415F" w:rsidRPr="00161C60" w:rsidRDefault="00214EFD" w:rsidP="004C015A">
            <w:pPr>
              <w:jc w:val="both"/>
            </w:pPr>
            <w:r w:rsidRPr="00161C60">
              <w:rPr>
                <w:iCs/>
              </w:rPr>
              <w:t xml:space="preserve">Pašreiz MK noteikumu Nr.416 tiesību regulējums pieļauj situāciju, kad nereģistrētu zāļu izplatīšanas atļaujas saņemšanai elektroniskā pasta adresi var nenorādīt, bet tas neveicina elektronisko dokumentu apriti. Grozījums MK noteikumu Nr.416 7.pielikuma </w:t>
            </w:r>
            <w:r w:rsidR="00484300" w:rsidRPr="00161C60">
              <w:rPr>
                <w:iCs/>
              </w:rPr>
              <w:t xml:space="preserve">I daļas </w:t>
            </w:r>
            <w:r w:rsidRPr="00161C60">
              <w:rPr>
                <w:iCs/>
              </w:rPr>
              <w:t>4.punktā šo problēmu</w:t>
            </w:r>
            <w:r w:rsidR="00723943" w:rsidRPr="00161C60">
              <w:rPr>
                <w:iCs/>
              </w:rPr>
              <w:t xml:space="preserve"> atrisina (Noteikumu </w:t>
            </w:r>
            <w:r w:rsidR="001B5C07" w:rsidRPr="00161C60">
              <w:rPr>
                <w:iCs/>
              </w:rPr>
              <w:t xml:space="preserve">projekta </w:t>
            </w:r>
            <w:r w:rsidR="00AD7415" w:rsidRPr="00161C60">
              <w:rPr>
                <w:iCs/>
              </w:rPr>
              <w:t>1.</w:t>
            </w:r>
            <w:r w:rsidR="008E727D" w:rsidRPr="00161C60">
              <w:rPr>
                <w:iCs/>
              </w:rPr>
              <w:t>73</w:t>
            </w:r>
            <w:r w:rsidR="00CA58E3" w:rsidRPr="00161C60">
              <w:rPr>
                <w:iCs/>
              </w:rPr>
              <w:t>.apakšpunkts</w:t>
            </w:r>
            <w:r w:rsidRPr="00161C60">
              <w:rPr>
                <w:iCs/>
              </w:rPr>
              <w:t>), kā rezultātā tiek noteikta obligāta prasība norādīt elektroniskās pasta adresi iesniegumā nereģistrēto zāļu izplatīšanas atļaujas saņemšanai. Tas veicinās atļaujas saņemšanu elektroniskā formā un uzlabos dokumentu izsniegšanas operativitāti.</w:t>
            </w:r>
          </w:p>
          <w:p w:rsidR="00AB620F" w:rsidRPr="00161C60" w:rsidRDefault="00DA72AA" w:rsidP="00AB620F">
            <w:pPr>
              <w:pStyle w:val="Heading4"/>
              <w:shd w:val="clear" w:color="auto" w:fill="FFFFFF"/>
              <w:jc w:val="both"/>
              <w:rPr>
                <w:rFonts w:ascii="Times New Roman" w:hAnsi="Times New Roman"/>
                <w:color w:val="auto"/>
              </w:rPr>
            </w:pPr>
            <w:r w:rsidRPr="00161C60">
              <w:rPr>
                <w:rFonts w:ascii="Times New Roman" w:hAnsi="Times New Roman"/>
                <w:b w:val="0"/>
                <w:i w:val="0"/>
                <w:color w:val="auto"/>
              </w:rPr>
              <w:t>7</w:t>
            </w:r>
            <w:r w:rsidR="004048F0" w:rsidRPr="00161C60">
              <w:rPr>
                <w:rFonts w:ascii="Times New Roman" w:hAnsi="Times New Roman"/>
                <w:b w:val="0"/>
                <w:i w:val="0"/>
                <w:color w:val="auto"/>
              </w:rPr>
              <w:t>)</w:t>
            </w:r>
            <w:r w:rsidR="0022358A" w:rsidRPr="00161C60">
              <w:rPr>
                <w:rFonts w:ascii="Times New Roman" w:hAnsi="Times New Roman"/>
                <w:b w:val="0"/>
                <w:i w:val="0"/>
                <w:color w:val="auto"/>
              </w:rPr>
              <w:t> </w:t>
            </w:r>
            <w:r w:rsidR="00AB620F" w:rsidRPr="00161C60">
              <w:rPr>
                <w:rFonts w:ascii="Times New Roman" w:hAnsi="Times New Roman"/>
                <w:color w:val="auto"/>
              </w:rPr>
              <w:t xml:space="preserve">Tiek samazināts administratīvais slogs iesnieguma </w:t>
            </w:r>
            <w:r w:rsidR="00986BC0" w:rsidRPr="00161C60">
              <w:rPr>
                <w:rFonts w:ascii="Times New Roman" w:hAnsi="Times New Roman"/>
                <w:color w:val="auto"/>
              </w:rPr>
              <w:t xml:space="preserve">iesniedzējam, lai saņemtu </w:t>
            </w:r>
            <w:r w:rsidR="00AB620F" w:rsidRPr="00161C60">
              <w:rPr>
                <w:rFonts w:ascii="Times New Roman" w:hAnsi="Times New Roman"/>
                <w:color w:val="auto"/>
              </w:rPr>
              <w:t>Eiropas Ekonomikas zonas valstī reģistrētu, bet Latvijas Republikā nereģistrētu zāļu izplatīšanas atļauj</w:t>
            </w:r>
            <w:r w:rsidR="00986BC0" w:rsidRPr="00161C60">
              <w:rPr>
                <w:rFonts w:ascii="Times New Roman" w:hAnsi="Times New Roman"/>
                <w:color w:val="auto"/>
              </w:rPr>
              <w:t>u</w:t>
            </w:r>
            <w:r w:rsidR="00AB620F" w:rsidRPr="00161C60">
              <w:rPr>
                <w:rFonts w:ascii="Times New Roman" w:hAnsi="Times New Roman"/>
                <w:color w:val="auto"/>
              </w:rPr>
              <w:t xml:space="preserve"> un individuāli piešķirtu nereģistrētu zāļu izplatīšanas atļauj</w:t>
            </w:r>
            <w:r w:rsidR="0007022F" w:rsidRPr="00161C60">
              <w:rPr>
                <w:rFonts w:ascii="Times New Roman" w:hAnsi="Times New Roman"/>
                <w:color w:val="auto"/>
              </w:rPr>
              <w:t>u</w:t>
            </w:r>
            <w:r w:rsidR="0024353C" w:rsidRPr="00161C60">
              <w:rPr>
                <w:rFonts w:ascii="Times New Roman" w:hAnsi="Times New Roman"/>
                <w:color w:val="auto"/>
              </w:rPr>
              <w:t>.</w:t>
            </w:r>
          </w:p>
          <w:p w:rsidR="008F350F" w:rsidRPr="00161C60" w:rsidRDefault="002827A3" w:rsidP="008F350F">
            <w:pPr>
              <w:pStyle w:val="Heading4"/>
              <w:shd w:val="clear" w:color="auto" w:fill="FFFFFF"/>
              <w:jc w:val="both"/>
              <w:rPr>
                <w:rFonts w:ascii="Times New Roman" w:hAnsi="Times New Roman"/>
                <w:b w:val="0"/>
                <w:i w:val="0"/>
                <w:color w:val="auto"/>
              </w:rPr>
            </w:pPr>
            <w:r w:rsidRPr="00161C60">
              <w:rPr>
                <w:rFonts w:ascii="Times New Roman" w:hAnsi="Times New Roman"/>
                <w:b w:val="0"/>
                <w:i w:val="0"/>
                <w:color w:val="auto"/>
              </w:rPr>
              <w:t>Pašreiz re</w:t>
            </w:r>
            <w:r w:rsidR="0000789C" w:rsidRPr="00161C60">
              <w:rPr>
                <w:rFonts w:ascii="Times New Roman" w:hAnsi="Times New Roman"/>
                <w:b w:val="0"/>
                <w:i w:val="0"/>
                <w:color w:val="auto"/>
              </w:rPr>
              <w:t>gulējums MK n</w:t>
            </w:r>
            <w:r w:rsidR="00825170" w:rsidRPr="00161C60">
              <w:rPr>
                <w:rFonts w:ascii="Times New Roman" w:hAnsi="Times New Roman"/>
                <w:b w:val="0"/>
                <w:i w:val="0"/>
                <w:color w:val="auto"/>
              </w:rPr>
              <w:t>oteikumu Nr.416 5.</w:t>
            </w:r>
            <w:r w:rsidR="008F350F" w:rsidRPr="00161C60">
              <w:rPr>
                <w:rFonts w:ascii="Times New Roman" w:hAnsi="Times New Roman"/>
                <w:b w:val="0"/>
                <w:i w:val="0"/>
                <w:color w:val="auto"/>
              </w:rPr>
              <w:t xml:space="preserve"> un 7.pielikumā </w:t>
            </w:r>
            <w:r w:rsidRPr="00161C60">
              <w:rPr>
                <w:rFonts w:ascii="Times New Roman" w:hAnsi="Times New Roman"/>
                <w:b w:val="0"/>
                <w:i w:val="0"/>
                <w:color w:val="auto"/>
              </w:rPr>
              <w:t xml:space="preserve">nosaka obligātu prasību iesniegt </w:t>
            </w:r>
            <w:r w:rsidR="00E05AEE" w:rsidRPr="00161C60">
              <w:rPr>
                <w:rFonts w:ascii="Times New Roman" w:hAnsi="Times New Roman"/>
                <w:b w:val="0"/>
                <w:i w:val="0"/>
                <w:color w:val="auto"/>
                <w:shd w:val="clear" w:color="auto" w:fill="FFFFFF"/>
              </w:rPr>
              <w:t>dokumentu</w:t>
            </w:r>
            <w:r w:rsidR="00912BEC" w:rsidRPr="00161C60">
              <w:rPr>
                <w:rFonts w:ascii="Times New Roman" w:hAnsi="Times New Roman"/>
                <w:b w:val="0"/>
                <w:i w:val="0"/>
                <w:color w:val="auto"/>
                <w:shd w:val="clear" w:color="auto" w:fill="FFFFFF"/>
              </w:rPr>
              <w:t>, kas apliecina ar zāļu kontr</w:t>
            </w:r>
            <w:r w:rsidR="009D2152" w:rsidRPr="00161C60">
              <w:rPr>
                <w:rFonts w:ascii="Times New Roman" w:hAnsi="Times New Roman"/>
                <w:b w:val="0"/>
                <w:i w:val="0"/>
                <w:color w:val="auto"/>
                <w:shd w:val="clear" w:color="auto" w:fill="FFFFFF"/>
              </w:rPr>
              <w:t>oli, saistīto izdevumu samaksu.</w:t>
            </w:r>
            <w:r w:rsidR="00C451FA" w:rsidRPr="00161C60">
              <w:rPr>
                <w:rFonts w:ascii="Times New Roman" w:hAnsi="Times New Roman"/>
                <w:b w:val="0"/>
                <w:i w:val="0"/>
                <w:color w:val="auto"/>
                <w:shd w:val="clear" w:color="auto" w:fill="FFFFFF"/>
              </w:rPr>
              <w:t xml:space="preserve"> </w:t>
            </w:r>
            <w:r w:rsidR="009D2152" w:rsidRPr="00161C60">
              <w:rPr>
                <w:rFonts w:ascii="Times New Roman" w:hAnsi="Times New Roman"/>
                <w:b w:val="0"/>
                <w:i w:val="0"/>
                <w:color w:val="auto"/>
                <w:shd w:val="clear" w:color="auto" w:fill="FFFFFF"/>
              </w:rPr>
              <w:t>T</w:t>
            </w:r>
            <w:r w:rsidR="008F350F" w:rsidRPr="00161C60">
              <w:rPr>
                <w:rFonts w:ascii="Times New Roman" w:hAnsi="Times New Roman"/>
                <w:b w:val="0"/>
                <w:i w:val="0"/>
                <w:color w:val="auto"/>
                <w:shd w:val="clear" w:color="auto" w:fill="FFFFFF"/>
              </w:rPr>
              <w:t xml:space="preserve">o </w:t>
            </w:r>
            <w:r w:rsidR="00912BEC" w:rsidRPr="00161C60">
              <w:rPr>
                <w:rFonts w:ascii="Times New Roman" w:hAnsi="Times New Roman"/>
                <w:b w:val="0"/>
                <w:i w:val="0"/>
                <w:color w:val="auto"/>
                <w:shd w:val="clear" w:color="auto" w:fill="FFFFFF"/>
              </w:rPr>
              <w:t xml:space="preserve">vai ir veikta pakalpojumu apmaksa var pārbaudīt pati iestāde, tāpēc regulējums tiek </w:t>
            </w:r>
            <w:r w:rsidR="00E05AEE" w:rsidRPr="00161C60">
              <w:rPr>
                <w:rFonts w:ascii="Times New Roman" w:hAnsi="Times New Roman"/>
                <w:b w:val="0"/>
                <w:i w:val="0"/>
                <w:color w:val="auto"/>
                <w:shd w:val="clear" w:color="auto" w:fill="FFFFFF"/>
              </w:rPr>
              <w:t xml:space="preserve">precizēts (Noteikumu projekta </w:t>
            </w:r>
            <w:r w:rsidR="00C11FC6" w:rsidRPr="00161C60">
              <w:rPr>
                <w:rFonts w:ascii="Times New Roman" w:hAnsi="Times New Roman"/>
                <w:b w:val="0"/>
                <w:i w:val="0"/>
                <w:color w:val="auto"/>
                <w:shd w:val="clear" w:color="auto" w:fill="FFFFFF"/>
              </w:rPr>
              <w:t>1.</w:t>
            </w:r>
            <w:r w:rsidR="00F7610B" w:rsidRPr="00161C60">
              <w:rPr>
                <w:rFonts w:ascii="Times New Roman" w:hAnsi="Times New Roman"/>
                <w:b w:val="0"/>
                <w:i w:val="0"/>
                <w:color w:val="auto"/>
                <w:shd w:val="clear" w:color="auto" w:fill="FFFFFF"/>
              </w:rPr>
              <w:t>68</w:t>
            </w:r>
            <w:r w:rsidR="00C11FC6" w:rsidRPr="00161C60">
              <w:rPr>
                <w:rFonts w:ascii="Times New Roman" w:hAnsi="Times New Roman"/>
                <w:b w:val="0"/>
                <w:i w:val="0"/>
                <w:color w:val="auto"/>
                <w:shd w:val="clear" w:color="auto" w:fill="FFFFFF"/>
              </w:rPr>
              <w:t>. un 1.</w:t>
            </w:r>
            <w:r w:rsidR="00F7610B" w:rsidRPr="00161C60">
              <w:rPr>
                <w:rFonts w:ascii="Times New Roman" w:hAnsi="Times New Roman"/>
                <w:b w:val="0"/>
                <w:i w:val="0"/>
                <w:color w:val="auto"/>
                <w:shd w:val="clear" w:color="auto" w:fill="FFFFFF"/>
              </w:rPr>
              <w:t>75</w:t>
            </w:r>
            <w:r w:rsidR="008F350F" w:rsidRPr="00161C60">
              <w:rPr>
                <w:rFonts w:ascii="Times New Roman" w:hAnsi="Times New Roman"/>
                <w:b w:val="0"/>
                <w:i w:val="0"/>
                <w:color w:val="auto"/>
                <w:shd w:val="clear" w:color="auto" w:fill="FFFFFF"/>
              </w:rPr>
              <w:t>.apakšpunkts</w:t>
            </w:r>
            <w:r w:rsidR="00912BEC" w:rsidRPr="00161C60">
              <w:rPr>
                <w:rFonts w:ascii="Times New Roman" w:hAnsi="Times New Roman"/>
                <w:b w:val="0"/>
                <w:i w:val="0"/>
                <w:color w:val="auto"/>
                <w:shd w:val="clear" w:color="auto" w:fill="FFFFFF"/>
              </w:rPr>
              <w:t>).</w:t>
            </w:r>
          </w:p>
          <w:p w:rsidR="0054797F" w:rsidRPr="00161C60" w:rsidRDefault="002827A3" w:rsidP="008F350F">
            <w:pPr>
              <w:pStyle w:val="Heading4"/>
              <w:shd w:val="clear" w:color="auto" w:fill="FFFFFF"/>
              <w:jc w:val="both"/>
              <w:rPr>
                <w:rFonts w:ascii="Times New Roman" w:hAnsi="Times New Roman"/>
                <w:b w:val="0"/>
                <w:i w:val="0"/>
                <w:color w:val="auto"/>
              </w:rPr>
            </w:pPr>
            <w:r w:rsidRPr="00161C60">
              <w:rPr>
                <w:rFonts w:ascii="Times New Roman" w:hAnsi="Times New Roman"/>
                <w:b w:val="0"/>
                <w:i w:val="0"/>
                <w:color w:val="auto"/>
              </w:rPr>
              <w:t xml:space="preserve">Konkretizēti </w:t>
            </w:r>
            <w:r w:rsidR="00087BC9" w:rsidRPr="00161C60">
              <w:rPr>
                <w:rFonts w:ascii="Times New Roman" w:hAnsi="Times New Roman"/>
                <w:b w:val="0"/>
                <w:i w:val="0"/>
                <w:color w:val="auto"/>
              </w:rPr>
              <w:t>iesniegumā</w:t>
            </w:r>
            <w:r w:rsidRPr="00161C60">
              <w:rPr>
                <w:rFonts w:ascii="Times New Roman" w:hAnsi="Times New Roman"/>
                <w:b w:val="0"/>
                <w:i w:val="0"/>
                <w:color w:val="auto"/>
              </w:rPr>
              <w:t xml:space="preserve"> individuāli piešķirtu nereģistrētu zāļu izplatīšanas atļaujas saņemšanai</w:t>
            </w:r>
            <w:r w:rsidR="00F3590E" w:rsidRPr="00161C60">
              <w:rPr>
                <w:rFonts w:ascii="Times New Roman" w:hAnsi="Times New Roman"/>
                <w:b w:val="0"/>
                <w:i w:val="0"/>
                <w:color w:val="auto"/>
              </w:rPr>
              <w:t xml:space="preserve"> </w:t>
            </w:r>
            <w:r w:rsidR="00087BC9" w:rsidRPr="00161C60">
              <w:rPr>
                <w:rFonts w:ascii="Times New Roman" w:hAnsi="Times New Roman"/>
                <w:b w:val="0"/>
                <w:i w:val="0"/>
                <w:color w:val="auto"/>
              </w:rPr>
              <w:t xml:space="preserve">iekļaujamiem dati un </w:t>
            </w:r>
            <w:r w:rsidR="00F3590E" w:rsidRPr="00161C60">
              <w:rPr>
                <w:rFonts w:ascii="Times New Roman" w:hAnsi="Times New Roman"/>
                <w:b w:val="0"/>
                <w:i w:val="0"/>
                <w:color w:val="auto"/>
              </w:rPr>
              <w:t>pievienojamie dokumenti</w:t>
            </w:r>
            <w:r w:rsidR="00205B62" w:rsidRPr="00161C60">
              <w:rPr>
                <w:rFonts w:ascii="Times New Roman" w:hAnsi="Times New Roman"/>
                <w:b w:val="0"/>
                <w:i w:val="0"/>
                <w:color w:val="auto"/>
              </w:rPr>
              <w:t xml:space="preserve"> </w:t>
            </w:r>
            <w:r w:rsidR="00102B52" w:rsidRPr="00161C60">
              <w:rPr>
                <w:rFonts w:ascii="Times New Roman" w:hAnsi="Times New Roman"/>
                <w:b w:val="0"/>
                <w:i w:val="0"/>
                <w:color w:val="auto"/>
              </w:rPr>
              <w:t xml:space="preserve">(Noteikumu projekta </w:t>
            </w:r>
            <w:r w:rsidR="000D2DCE" w:rsidRPr="00161C60">
              <w:rPr>
                <w:rFonts w:ascii="Times New Roman" w:hAnsi="Times New Roman"/>
                <w:b w:val="0"/>
                <w:i w:val="0"/>
                <w:color w:val="auto"/>
              </w:rPr>
              <w:t>1.71</w:t>
            </w:r>
            <w:r w:rsidR="00087BC9" w:rsidRPr="00161C60">
              <w:rPr>
                <w:rFonts w:ascii="Times New Roman" w:hAnsi="Times New Roman"/>
                <w:b w:val="0"/>
                <w:i w:val="0"/>
                <w:color w:val="auto"/>
              </w:rPr>
              <w:t xml:space="preserve">. un </w:t>
            </w:r>
            <w:r w:rsidR="00102B52" w:rsidRPr="00161C60">
              <w:rPr>
                <w:rFonts w:ascii="Times New Roman" w:hAnsi="Times New Roman"/>
                <w:b w:val="0"/>
                <w:i w:val="0"/>
                <w:color w:val="auto"/>
              </w:rPr>
              <w:t>1.</w:t>
            </w:r>
            <w:r w:rsidR="000D2DCE" w:rsidRPr="00161C60">
              <w:rPr>
                <w:rFonts w:ascii="Times New Roman" w:hAnsi="Times New Roman"/>
                <w:b w:val="0"/>
                <w:i w:val="0"/>
                <w:color w:val="auto"/>
              </w:rPr>
              <w:t>74</w:t>
            </w:r>
            <w:r w:rsidR="008F350F" w:rsidRPr="00161C60">
              <w:rPr>
                <w:rFonts w:ascii="Times New Roman" w:hAnsi="Times New Roman"/>
                <w:b w:val="0"/>
                <w:i w:val="0"/>
                <w:color w:val="auto"/>
              </w:rPr>
              <w:t xml:space="preserve">.apakšpunkts), </w:t>
            </w:r>
            <w:r w:rsidR="00D95E78" w:rsidRPr="00161C60">
              <w:rPr>
                <w:rFonts w:ascii="Times New Roman" w:hAnsi="Times New Roman"/>
                <w:b w:val="0"/>
                <w:i w:val="0"/>
                <w:color w:val="auto"/>
              </w:rPr>
              <w:t>vienkāršotas administratīvās procedūras, prasības padarot mazāk ierobežojošas</w:t>
            </w:r>
            <w:r w:rsidR="00D95E78" w:rsidRPr="00161C60">
              <w:rPr>
                <w:rFonts w:ascii="Times New Roman" w:hAnsi="Times New Roman"/>
                <w:b w:val="0"/>
                <w:color w:val="auto"/>
              </w:rPr>
              <w:t>.</w:t>
            </w:r>
          </w:p>
          <w:p w:rsidR="00866B81" w:rsidRPr="00161C60" w:rsidRDefault="00866B81" w:rsidP="00866B81">
            <w:pPr>
              <w:jc w:val="both"/>
            </w:pPr>
            <w:r w:rsidRPr="00161C60">
              <w:t>Vienlaicīgi tehniski tiek precizēta iesnieguma forma attiecīgo nereģistrēto zāļu izplatīšanas atļaujas saņemšanai un attiecīgajai atļaujai (Noteikumu projekta 1.</w:t>
            </w:r>
            <w:r w:rsidR="00A21169" w:rsidRPr="00161C60">
              <w:t>67</w:t>
            </w:r>
            <w:r w:rsidRPr="00161C60">
              <w:t>. un 1.</w:t>
            </w:r>
            <w:r w:rsidR="007F07BF" w:rsidRPr="00161C60">
              <w:t>70</w:t>
            </w:r>
            <w:r w:rsidRPr="00161C60">
              <w:t>.apakšpunkts).</w:t>
            </w:r>
          </w:p>
          <w:p w:rsidR="008508F1" w:rsidRPr="00161C60" w:rsidRDefault="008508F1" w:rsidP="00E6129C">
            <w:pPr>
              <w:jc w:val="both"/>
              <w:rPr>
                <w:i/>
              </w:rPr>
            </w:pPr>
          </w:p>
          <w:p w:rsidR="00E622D9" w:rsidRPr="00161C60" w:rsidRDefault="004857EC" w:rsidP="00E6129C">
            <w:pPr>
              <w:jc w:val="both"/>
              <w:rPr>
                <w:b/>
                <w:i/>
              </w:rPr>
            </w:pPr>
            <w:r w:rsidRPr="00161C60">
              <w:t>8</w:t>
            </w:r>
            <w:r w:rsidR="004048F0" w:rsidRPr="00161C60">
              <w:t>)</w:t>
            </w:r>
            <w:r w:rsidR="000E2ADB" w:rsidRPr="00161C60">
              <w:t> </w:t>
            </w:r>
            <w:r w:rsidR="009366EA" w:rsidRPr="00161C60">
              <w:rPr>
                <w:b/>
                <w:i/>
              </w:rPr>
              <w:t>Konkretizēt</w:t>
            </w:r>
            <w:r w:rsidR="0011684E" w:rsidRPr="00161C60">
              <w:rPr>
                <w:b/>
                <w:i/>
              </w:rPr>
              <w:t>i</w:t>
            </w:r>
            <w:r w:rsidR="00D26889" w:rsidRPr="00161C60">
              <w:rPr>
                <w:b/>
                <w:i/>
              </w:rPr>
              <w:t xml:space="preserve"> </w:t>
            </w:r>
            <w:r w:rsidR="00ED39AA" w:rsidRPr="00161C60">
              <w:rPr>
                <w:b/>
                <w:i/>
              </w:rPr>
              <w:t>zā</w:t>
            </w:r>
            <w:r w:rsidR="00E622D9" w:rsidRPr="00161C60">
              <w:rPr>
                <w:b/>
                <w:i/>
              </w:rPr>
              <w:t>ļu at</w:t>
            </w:r>
            <w:r w:rsidR="0011684E" w:rsidRPr="00161C60">
              <w:rPr>
                <w:b/>
                <w:i/>
              </w:rPr>
              <w:t>ļauju anulēšanas kritēriji</w:t>
            </w:r>
            <w:r w:rsidR="006E029B" w:rsidRPr="00161C60">
              <w:rPr>
                <w:b/>
                <w:i/>
              </w:rPr>
              <w:t>.</w:t>
            </w:r>
          </w:p>
          <w:p w:rsidR="00E622D9" w:rsidRPr="00161C60" w:rsidRDefault="00E622D9" w:rsidP="00E6129C">
            <w:pPr>
              <w:jc w:val="both"/>
            </w:pPr>
          </w:p>
          <w:p w:rsidR="008728A9" w:rsidRPr="00161C60" w:rsidRDefault="00ED39AA" w:rsidP="00E6129C">
            <w:pPr>
              <w:jc w:val="both"/>
            </w:pPr>
            <w:r w:rsidRPr="00161C60">
              <w:lastRenderedPageBreak/>
              <w:t xml:space="preserve">Pašlaik MK noteikumu Nr.416 tiesiskais regulējums 98.1.apakšpunktā nosaka Eiropas Ekonomikas zonas valstī reģistrētu, bet Latvijas Republikā nereģistrētu zāļu izplatīšanas atļaujas anulēšanā stingrākus nosacījumus par kritērijiem, kādi noteikti </w:t>
            </w:r>
            <w:r w:rsidR="00E6129C" w:rsidRPr="00161C60">
              <w:t>nereģistrētu zāļu izplatīšanas atļauja individuāli piešķirtām zālēm.</w:t>
            </w:r>
            <w:r w:rsidR="006222E5" w:rsidRPr="00161C60">
              <w:t xml:space="preserve"> </w:t>
            </w:r>
            <w:r w:rsidR="00823BFA" w:rsidRPr="00161C60">
              <w:t xml:space="preserve">Grozījums Noteikumu projekta </w:t>
            </w:r>
            <w:r w:rsidR="004B0AD6" w:rsidRPr="00161C60">
              <w:t>1.</w:t>
            </w:r>
            <w:r w:rsidR="00B96E6B" w:rsidRPr="00161C60">
              <w:t>40</w:t>
            </w:r>
            <w:r w:rsidR="009366EA" w:rsidRPr="00161C60">
              <w:t>.apakšpunktā</w:t>
            </w:r>
            <w:r w:rsidR="00FC3776" w:rsidRPr="00161C60">
              <w:t xml:space="preserve"> atrisina</w:t>
            </w:r>
            <w:r w:rsidR="00E6129C" w:rsidRPr="00161C60">
              <w:t xml:space="preserve"> šo jautājumu. </w:t>
            </w:r>
            <w:r w:rsidR="006222E5" w:rsidRPr="00161C60">
              <w:t>Vienlaicīgi tiek precizēts arī MK noteikumu Nr.416 86.</w:t>
            </w:r>
            <w:r w:rsidR="006222E5" w:rsidRPr="00161C60">
              <w:rPr>
                <w:vertAlign w:val="superscript"/>
              </w:rPr>
              <w:t xml:space="preserve">3 </w:t>
            </w:r>
            <w:r w:rsidR="006222E5" w:rsidRPr="00161C60">
              <w:t>un 86.</w:t>
            </w:r>
            <w:r w:rsidR="006222E5" w:rsidRPr="00161C60">
              <w:rPr>
                <w:vertAlign w:val="superscript"/>
              </w:rPr>
              <w:t>4</w:t>
            </w:r>
            <w:r w:rsidR="006222E5" w:rsidRPr="00161C60">
              <w:t xml:space="preserve">punkts (Noteikumu projekta 1.33.apakšpunkts). </w:t>
            </w:r>
            <w:r w:rsidR="008E1C53" w:rsidRPr="00161C60">
              <w:t>Atbilstoši Farmācijas likuma 5.panta 3.punktā dotajam deleģējumam Ministru kabinetam ir jānosaka zāļu izplat</w:t>
            </w:r>
            <w:r w:rsidR="00C0052D" w:rsidRPr="00161C60">
              <w:t>īšanas kārtību, kas ietver arī attiecīgo atļauju anulēšanas kārtību</w:t>
            </w:r>
            <w:r w:rsidR="002303E4" w:rsidRPr="00161C60">
              <w:t>.</w:t>
            </w:r>
            <w:r w:rsidR="00AB3F9E" w:rsidRPr="00161C60">
              <w:t xml:space="preserve"> Savukārt vārds ”</w:t>
            </w:r>
            <w:r w:rsidR="008E1C53" w:rsidRPr="00161C60">
              <w:t xml:space="preserve">kārtība” atbilstoši Latviešu valodas vārdnīcā dotajam skaidrojumam nozīmē </w:t>
            </w:r>
            <w:r w:rsidR="008E1C53" w:rsidRPr="00161C60">
              <w:rPr>
                <w:i/>
              </w:rPr>
              <w:t xml:space="preserve">norises īstenošanas veids, attiecību sistēma, darbības organizācija. </w:t>
            </w:r>
            <w:r w:rsidR="008E1C53" w:rsidRPr="00161C60">
              <w:t xml:space="preserve">Līdz ar to Ministru kabinetam ir jānosaka kā tiek īstenota zāļu izplatīšana. Viens no zāļu izplatīšanas </w:t>
            </w:r>
            <w:r w:rsidR="008728A9" w:rsidRPr="00161C60">
              <w:t xml:space="preserve">īstenošanas </w:t>
            </w:r>
            <w:r w:rsidR="008E1C53" w:rsidRPr="00161C60">
              <w:t xml:space="preserve">veidiem ir atļaujas piešķiršana zāļu izplatīšanai, </w:t>
            </w:r>
            <w:r w:rsidR="008728A9" w:rsidRPr="00161C60">
              <w:t>ja ir izpildītas konkrētas prasības vai liegums zāles izplatīt, ja netiek izpildītas konkrētas prasības. Tādējādi atļaujas anulēšana vai apturēšana ir viens no zāļu izplatīšanas norises veidiem.</w:t>
            </w:r>
          </w:p>
          <w:p w:rsidR="00CF126B" w:rsidRPr="00161C60" w:rsidRDefault="00CF126B" w:rsidP="001D12AF">
            <w:pPr>
              <w:pStyle w:val="NoSpacing"/>
              <w:jc w:val="both"/>
              <w:rPr>
                <w:rFonts w:ascii="Times New Roman" w:hAnsi="Times New Roman"/>
                <w:sz w:val="24"/>
                <w:szCs w:val="24"/>
                <w:lang w:val="lv-LV"/>
              </w:rPr>
            </w:pPr>
          </w:p>
          <w:p w:rsidR="001D12AF" w:rsidRPr="00161C60" w:rsidRDefault="004857EC" w:rsidP="001D12AF">
            <w:pPr>
              <w:pStyle w:val="NoSpacing"/>
              <w:jc w:val="both"/>
              <w:rPr>
                <w:rFonts w:ascii="Times New Roman" w:hAnsi="Times New Roman"/>
                <w:sz w:val="24"/>
                <w:szCs w:val="24"/>
                <w:lang w:val="lv-LV"/>
              </w:rPr>
            </w:pPr>
            <w:r w:rsidRPr="00161C60">
              <w:rPr>
                <w:rFonts w:ascii="Times New Roman" w:hAnsi="Times New Roman"/>
                <w:sz w:val="24"/>
                <w:szCs w:val="24"/>
                <w:lang w:val="lv-LV"/>
              </w:rPr>
              <w:t>9</w:t>
            </w:r>
            <w:r w:rsidR="004048F0" w:rsidRPr="00161C60">
              <w:rPr>
                <w:rFonts w:ascii="Times New Roman" w:hAnsi="Times New Roman"/>
                <w:sz w:val="24"/>
                <w:szCs w:val="24"/>
                <w:lang w:val="lv-LV"/>
              </w:rPr>
              <w:t>)</w:t>
            </w:r>
            <w:r w:rsidR="009366EA" w:rsidRPr="00161C60">
              <w:rPr>
                <w:rFonts w:ascii="Times New Roman" w:hAnsi="Times New Roman"/>
                <w:sz w:val="24"/>
                <w:szCs w:val="24"/>
                <w:lang w:val="lv-LV"/>
              </w:rPr>
              <w:t> </w:t>
            </w:r>
            <w:r w:rsidR="009366EA" w:rsidRPr="00161C60">
              <w:rPr>
                <w:rFonts w:ascii="Times New Roman" w:hAnsi="Times New Roman"/>
                <w:b/>
                <w:i/>
                <w:sz w:val="24"/>
                <w:szCs w:val="24"/>
                <w:lang w:val="lv-LV"/>
              </w:rPr>
              <w:t xml:space="preserve">Par izmaiņām zāļu paralēlās importēšanas prasībās. </w:t>
            </w:r>
            <w:r w:rsidR="001D12AF" w:rsidRPr="00161C60">
              <w:rPr>
                <w:rFonts w:ascii="Times New Roman" w:hAnsi="Times New Roman"/>
                <w:b/>
                <w:i/>
                <w:sz w:val="24"/>
                <w:szCs w:val="24"/>
                <w:lang w:val="lv-LV"/>
              </w:rPr>
              <w:t>Likvidēti šķēršļi pakalpojumu darbībai, prasības padarot mazāk ierobežojošas</w:t>
            </w:r>
            <w:r w:rsidR="001D12AF" w:rsidRPr="00161C60">
              <w:rPr>
                <w:rFonts w:ascii="Times New Roman" w:hAnsi="Times New Roman"/>
                <w:sz w:val="24"/>
                <w:szCs w:val="24"/>
                <w:lang w:val="lv-LV"/>
              </w:rPr>
              <w:t>.</w:t>
            </w:r>
          </w:p>
          <w:p w:rsidR="00304AB4" w:rsidRPr="00161C60" w:rsidRDefault="00304AB4" w:rsidP="009366EA">
            <w:pPr>
              <w:pStyle w:val="NoSpacing"/>
              <w:jc w:val="both"/>
              <w:rPr>
                <w:rFonts w:ascii="Times New Roman" w:hAnsi="Times New Roman"/>
                <w:b/>
                <w:i/>
                <w:sz w:val="24"/>
                <w:szCs w:val="24"/>
                <w:lang w:val="lv-LV"/>
              </w:rPr>
            </w:pPr>
          </w:p>
          <w:p w:rsidR="009366EA" w:rsidRPr="00161C60" w:rsidRDefault="009366EA" w:rsidP="009366EA">
            <w:pPr>
              <w:pStyle w:val="NoSpacing"/>
              <w:jc w:val="both"/>
              <w:rPr>
                <w:rFonts w:ascii="Times New Roman" w:hAnsi="Times New Roman"/>
                <w:sz w:val="24"/>
                <w:szCs w:val="24"/>
                <w:lang w:val="lv-LV"/>
              </w:rPr>
            </w:pPr>
            <w:r w:rsidRPr="00161C60">
              <w:rPr>
                <w:rFonts w:ascii="Times New Roman" w:hAnsi="Times New Roman"/>
                <w:sz w:val="24"/>
                <w:szCs w:val="24"/>
                <w:lang w:val="lv-LV"/>
              </w:rPr>
              <w:t>Galvenais grozījumu mērķis ir veicināt konkurenci farmaceitisko produktu tirgū ar mērķi panākt konsekventu zāļu cenu samazinājumu, izmantojot zāļu paralēlā importa un paralēlās izplatīšanas sniegtās iespējas.</w:t>
            </w:r>
          </w:p>
          <w:p w:rsidR="009366EA" w:rsidRPr="00161C60" w:rsidRDefault="009366EA" w:rsidP="009366EA">
            <w:pPr>
              <w:pStyle w:val="NoSpacing"/>
              <w:jc w:val="both"/>
              <w:rPr>
                <w:rFonts w:ascii="Times New Roman" w:hAnsi="Times New Roman"/>
                <w:i/>
                <w:sz w:val="24"/>
                <w:szCs w:val="24"/>
                <w:lang w:val="lv-LV" w:bidi="gu-IN"/>
              </w:rPr>
            </w:pPr>
            <w:r w:rsidRPr="00161C60">
              <w:rPr>
                <w:rFonts w:ascii="Times New Roman" w:hAnsi="Times New Roman"/>
                <w:sz w:val="24"/>
                <w:szCs w:val="24"/>
                <w:lang w:val="lv-LV"/>
              </w:rPr>
              <w:t xml:space="preserve">Zāļu paralēlā importa atbalstīšana ir viens no efektīvākajiem veidiem, kas veicina zāļu </w:t>
            </w:r>
            <w:r w:rsidR="00C427A0" w:rsidRPr="00161C60">
              <w:rPr>
                <w:rFonts w:ascii="Times New Roman" w:hAnsi="Times New Roman"/>
                <w:sz w:val="24"/>
                <w:szCs w:val="24"/>
                <w:lang w:val="lv-LV"/>
              </w:rPr>
              <w:t xml:space="preserve">pieejamību un </w:t>
            </w:r>
            <w:r w:rsidRPr="00161C60">
              <w:rPr>
                <w:rFonts w:ascii="Times New Roman" w:hAnsi="Times New Roman"/>
                <w:sz w:val="24"/>
                <w:szCs w:val="24"/>
                <w:lang w:val="lv-LV"/>
              </w:rPr>
              <w:t xml:space="preserve">cenu samazināšanos. Paralēlais imports veido izplatītāju konkurenci un tā atbalsts ir vienīgā iespējamā alternatīva, kas samazina to patentēto zāļu cenas, kuru patenta darbības laiks vēl nav beidzies. Saskaņā ar starptautiskā tirgus izpētes uzņēmuma </w:t>
            </w:r>
            <w:r w:rsidRPr="00161C60">
              <w:rPr>
                <w:rFonts w:ascii="Times New Roman" w:hAnsi="Times New Roman"/>
                <w:i/>
                <w:sz w:val="24"/>
                <w:szCs w:val="24"/>
                <w:lang w:val="lv-LV"/>
              </w:rPr>
              <w:t>IMS Health</w:t>
            </w:r>
            <w:r w:rsidRPr="00161C60">
              <w:rPr>
                <w:rFonts w:ascii="Times New Roman" w:hAnsi="Times New Roman"/>
                <w:sz w:val="24"/>
                <w:szCs w:val="24"/>
                <w:lang w:val="lv-LV"/>
              </w:rPr>
              <w:t xml:space="preserve"> datiem 2014.gadā zāļu paralēlais imports Eiropas Ekonomikas zonas valstīs ir pieaudzis par 2%, salīdzinājumā ar 2013.gadu, un sasniedzis 5,4 miljardus </w:t>
            </w:r>
            <w:r w:rsidRPr="00161C60">
              <w:rPr>
                <w:rFonts w:ascii="Times New Roman" w:hAnsi="Times New Roman"/>
                <w:i/>
                <w:sz w:val="24"/>
                <w:szCs w:val="24"/>
                <w:lang w:val="lv-LV"/>
              </w:rPr>
              <w:t>eiro</w:t>
            </w:r>
            <w:r w:rsidRPr="00161C60">
              <w:rPr>
                <w:rFonts w:ascii="Times New Roman" w:hAnsi="Times New Roman"/>
                <w:sz w:val="24"/>
                <w:szCs w:val="24"/>
                <w:lang w:val="lv-LV"/>
              </w:rPr>
              <w:t>; no tiem 54% veidoja paralēlais imports Vācijā (</w:t>
            </w:r>
            <w:proofErr w:type="spellStart"/>
            <w:r w:rsidR="00AB3F9E" w:rsidRPr="00161C60">
              <w:rPr>
                <w:rFonts w:ascii="Times New Roman" w:hAnsi="Times New Roman"/>
                <w:i/>
                <w:sz w:val="24"/>
                <w:szCs w:val="24"/>
                <w:lang w:val="lv-LV" w:bidi="gu-IN"/>
              </w:rPr>
              <w:t>ParalleltradeinEurope</w:t>
            </w:r>
            <w:proofErr w:type="spellEnd"/>
            <w:r w:rsidR="00AB3F9E" w:rsidRPr="00161C60">
              <w:rPr>
                <w:rFonts w:ascii="Times New Roman" w:hAnsi="Times New Roman"/>
                <w:i/>
                <w:sz w:val="24"/>
                <w:szCs w:val="24"/>
                <w:lang w:val="lv-LV" w:bidi="gu-IN"/>
              </w:rPr>
              <w:t> - </w:t>
            </w:r>
            <w:proofErr w:type="spellStart"/>
            <w:r w:rsidRPr="00161C60">
              <w:rPr>
                <w:rFonts w:ascii="Times New Roman" w:hAnsi="Times New Roman"/>
                <w:i/>
                <w:sz w:val="24"/>
                <w:szCs w:val="24"/>
                <w:lang w:val="lv-LV" w:bidi="gu-IN"/>
              </w:rPr>
              <w:t>Focus</w:t>
            </w:r>
            <w:proofErr w:type="spellEnd"/>
            <w:r w:rsidRPr="00161C60">
              <w:rPr>
                <w:rFonts w:ascii="Times New Roman" w:hAnsi="Times New Roman"/>
                <w:i/>
                <w:sz w:val="24"/>
                <w:szCs w:val="24"/>
                <w:lang w:val="lv-LV" w:bidi="gu-IN"/>
              </w:rPr>
              <w:t xml:space="preserve">: </w:t>
            </w:r>
            <w:proofErr w:type="spellStart"/>
            <w:r w:rsidRPr="00161C60">
              <w:rPr>
                <w:rFonts w:ascii="Times New Roman" w:hAnsi="Times New Roman"/>
                <w:i/>
                <w:sz w:val="24"/>
                <w:szCs w:val="24"/>
                <w:lang w:val="lv-LV" w:bidi="gu-IN"/>
              </w:rPr>
              <w:t>Germany</w:t>
            </w:r>
            <w:proofErr w:type="spellEnd"/>
            <w:r w:rsidRPr="00161C60">
              <w:rPr>
                <w:rFonts w:ascii="Times New Roman" w:hAnsi="Times New Roman"/>
                <w:i/>
                <w:sz w:val="24"/>
                <w:szCs w:val="24"/>
                <w:lang w:val="lv-LV" w:bidi="gu-IN"/>
              </w:rPr>
              <w:t xml:space="preserve"> // IMS Health).</w:t>
            </w:r>
          </w:p>
          <w:p w:rsidR="009366EA" w:rsidRPr="00161C60" w:rsidRDefault="009366EA" w:rsidP="009366EA">
            <w:pPr>
              <w:pStyle w:val="FootnoteText"/>
              <w:jc w:val="both"/>
              <w:rPr>
                <w:sz w:val="24"/>
                <w:szCs w:val="24"/>
              </w:rPr>
            </w:pPr>
          </w:p>
          <w:p w:rsidR="009366EA" w:rsidRPr="00161C60" w:rsidRDefault="009366EA" w:rsidP="009366EA">
            <w:pPr>
              <w:pStyle w:val="CommentText"/>
              <w:jc w:val="both"/>
              <w:rPr>
                <w:sz w:val="24"/>
                <w:szCs w:val="24"/>
              </w:rPr>
            </w:pPr>
            <w:r w:rsidRPr="00161C60">
              <w:rPr>
                <w:sz w:val="24"/>
                <w:szCs w:val="24"/>
              </w:rPr>
              <w:t>Z</w:t>
            </w:r>
            <w:r w:rsidRPr="00161C60">
              <w:rPr>
                <w:sz w:val="24"/>
                <w:szCs w:val="24"/>
                <w:u w:val="single"/>
              </w:rPr>
              <w:t>āļu paralēlā importēšana</w:t>
            </w:r>
            <w:r w:rsidRPr="00161C60">
              <w:rPr>
                <w:sz w:val="24"/>
                <w:szCs w:val="24"/>
              </w:rPr>
              <w:t xml:space="preserve"> ir nacionālajā reģistrācijas procedūrā (arī savstarpējā atzīšanas procedūrā un decentralizētā procedūrā) reģistrēto zāļu piegāde no vienas Eiropas Ekonomikas zonas valsts uz Latviju, ja tās piegādā zāļu vairumtirgotājs, kurš nav šo zāļu ražotājs, zāļu reģistrācijas īpašnieks vai viņu pilnvarots pārstāvis.</w:t>
            </w:r>
          </w:p>
          <w:p w:rsidR="009366EA" w:rsidRPr="00161C60" w:rsidRDefault="009366EA" w:rsidP="009366EA">
            <w:pPr>
              <w:pStyle w:val="FootnoteText"/>
              <w:jc w:val="both"/>
              <w:rPr>
                <w:sz w:val="24"/>
                <w:szCs w:val="24"/>
              </w:rPr>
            </w:pPr>
          </w:p>
          <w:p w:rsidR="009366EA" w:rsidRPr="00161C60" w:rsidRDefault="009366EA" w:rsidP="00AB3F9E">
            <w:pPr>
              <w:pStyle w:val="FootnoteText"/>
              <w:jc w:val="both"/>
              <w:rPr>
                <w:rStyle w:val="Hyperlink"/>
                <w:color w:val="auto"/>
                <w:sz w:val="24"/>
                <w:szCs w:val="24"/>
              </w:rPr>
            </w:pPr>
            <w:r w:rsidRPr="00161C60">
              <w:rPr>
                <w:sz w:val="24"/>
                <w:szCs w:val="24"/>
              </w:rPr>
              <w:t xml:space="preserve">Zāļu paralēlais imports ir attīstījies, pateicoties zāļu ražotāju piemērojamai cenu diferencēšanai dažādās valstīs. Šo zāļu kvalitāte un drošums atbilst Eiropas Savienības prasībām, jo, kā minēts iepriekš, tā ir </w:t>
            </w:r>
            <w:r w:rsidRPr="00161C60">
              <w:rPr>
                <w:sz w:val="24"/>
                <w:szCs w:val="24"/>
                <w:u w:val="single"/>
              </w:rPr>
              <w:t xml:space="preserve">reģistrēto zāļu piegāde no vienas Eiropas Ekonomikas zonas valsts uz </w:t>
            </w:r>
            <w:r w:rsidRPr="00161C60">
              <w:rPr>
                <w:sz w:val="24"/>
                <w:szCs w:val="24"/>
                <w:u w:val="single"/>
              </w:rPr>
              <w:lastRenderedPageBreak/>
              <w:t>citu.</w:t>
            </w:r>
            <w:r w:rsidRPr="00161C60">
              <w:rPr>
                <w:sz w:val="24"/>
                <w:szCs w:val="24"/>
              </w:rPr>
              <w:t xml:space="preserve"> Brīvas preču kustības ietvarā Latvijā licencēti zāļu vairumtirgotāji  zāles var iegādāties kādā citā Eiropas ekonomikas zonas valstī no licencētas zāļu lieltirgotavas (protams šo zāļu apriti šajā valstī uzrauga kompetentās iestādes), un, </w:t>
            </w:r>
            <w:r w:rsidRPr="00161C60">
              <w:rPr>
                <w:sz w:val="24"/>
                <w:szCs w:val="24"/>
                <w:u w:val="single"/>
              </w:rPr>
              <w:t>atvedot zāles uz Latviju, tās var tikt realizētas par zemāku cenu nekā gadījumā, ja zāles Latvijā ieved un realizē  zāļu reģistrācijas īpašnieki, zāļu ražotāju vai viņu pilnvarotie pārstāvi</w:t>
            </w:r>
            <w:r w:rsidRPr="00161C60">
              <w:rPr>
                <w:sz w:val="24"/>
                <w:szCs w:val="24"/>
              </w:rPr>
              <w:t>. Praksē zāļu ražotāji savas saražotās zāles var izplatīt dažādām Eiropas Savienības dalībvalstīm, un katra valsts var realizēt savu cenu politiku, kas nozīmē arī zāļu piecenojuma regulāciju. Līdz ar to vienā valstī zāles var būt dārgākas, bet otrā tās var realizēt par zemāku cenu. Gadījumos, ja zāles ir samērā dārgas kādā valstī, tad paralēlie importētāji var piedāvāt lētāku alternatīvu iedzīvotājiem. Šos aspektus bija uzsvērusi arī Konkurences padome 2010.gadā veiktajā pētījumā</w:t>
            </w:r>
            <w:r w:rsidR="00AB3F9E" w:rsidRPr="00161C60">
              <w:rPr>
                <w:sz w:val="24"/>
                <w:szCs w:val="24"/>
              </w:rPr>
              <w:t>.</w:t>
            </w:r>
          </w:p>
          <w:p w:rsidR="009366EA" w:rsidRPr="00161C60" w:rsidRDefault="009366EA" w:rsidP="009366EA">
            <w:pPr>
              <w:pStyle w:val="NoSpacing"/>
              <w:jc w:val="both"/>
              <w:rPr>
                <w:rFonts w:ascii="Times New Roman" w:hAnsi="Times New Roman"/>
                <w:sz w:val="24"/>
                <w:szCs w:val="24"/>
                <w:lang w:val="lv-LV"/>
              </w:rPr>
            </w:pPr>
          </w:p>
          <w:p w:rsidR="009366EA" w:rsidRPr="00161C60" w:rsidRDefault="009366EA" w:rsidP="009366EA">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Pēc </w:t>
            </w:r>
            <w:r w:rsidR="00DF7C8A" w:rsidRPr="00161C60">
              <w:rPr>
                <w:rFonts w:ascii="Times New Roman" w:hAnsi="Times New Roman"/>
                <w:sz w:val="24"/>
                <w:szCs w:val="24"/>
                <w:lang w:val="lv-LV"/>
              </w:rPr>
              <w:t>A</w:t>
            </w:r>
            <w:r w:rsidRPr="00161C60">
              <w:rPr>
                <w:rFonts w:ascii="Times New Roman" w:hAnsi="Times New Roman"/>
                <w:sz w:val="24"/>
                <w:szCs w:val="24"/>
                <w:lang w:val="lv-LV"/>
              </w:rPr>
              <w:t>ģentūras datiem Latvijas zāļu reģistrā uz 2015.gada 19.februāri iekļautas 311 recepšu un 101 bezrecepšu paralēli importētās zāles un 59% gadījumu paralēli importētām zālēm cena bija zemāka par refere</w:t>
            </w:r>
            <w:r w:rsidR="004C6055" w:rsidRPr="00161C60">
              <w:rPr>
                <w:rFonts w:ascii="Times New Roman" w:hAnsi="Times New Roman"/>
                <w:sz w:val="24"/>
                <w:szCs w:val="24"/>
                <w:lang w:val="lv-LV"/>
              </w:rPr>
              <w:t xml:space="preserve">nces zāļu cenu (cenu atšķirība </w:t>
            </w:r>
            <w:r w:rsidRPr="00161C60">
              <w:rPr>
                <w:rFonts w:ascii="Times New Roman" w:hAnsi="Times New Roman"/>
                <w:sz w:val="24"/>
                <w:szCs w:val="24"/>
                <w:lang w:val="lv-LV"/>
              </w:rPr>
              <w:t>EUR 1.00 ietvaros). Šādā veidā paralēlie importētāji pastiprina cenu konkurenci un st</w:t>
            </w:r>
            <w:r w:rsidR="00EE1F78" w:rsidRPr="00161C60">
              <w:rPr>
                <w:rFonts w:ascii="Times New Roman" w:hAnsi="Times New Roman"/>
                <w:sz w:val="24"/>
                <w:szCs w:val="24"/>
                <w:lang w:val="lv-LV"/>
              </w:rPr>
              <w:t xml:space="preserve">imulē zāļu ražotājus samazināt </w:t>
            </w:r>
            <w:r w:rsidRPr="00161C60">
              <w:rPr>
                <w:rFonts w:ascii="Times New Roman" w:hAnsi="Times New Roman"/>
                <w:sz w:val="24"/>
                <w:szCs w:val="24"/>
                <w:lang w:val="lv-LV"/>
              </w:rPr>
              <w:t>cenas konkrētajās tirgū.</w:t>
            </w:r>
          </w:p>
          <w:p w:rsidR="009366EA" w:rsidRPr="00161C60" w:rsidRDefault="009366EA" w:rsidP="009366EA">
            <w:pPr>
              <w:pStyle w:val="CommentText"/>
              <w:jc w:val="both"/>
              <w:rPr>
                <w:sz w:val="24"/>
                <w:szCs w:val="24"/>
              </w:rPr>
            </w:pPr>
          </w:p>
          <w:p w:rsidR="009366EA" w:rsidRPr="00161C60" w:rsidRDefault="009366EA" w:rsidP="009366EA">
            <w:pPr>
              <w:pStyle w:val="CommentText"/>
              <w:jc w:val="both"/>
              <w:rPr>
                <w:sz w:val="24"/>
                <w:szCs w:val="24"/>
              </w:rPr>
            </w:pPr>
            <w:r w:rsidRPr="00161C60">
              <w:rPr>
                <w:sz w:val="24"/>
                <w:szCs w:val="24"/>
              </w:rPr>
              <w:t>Paralēli importēto zāļu ienākšanas Latvijas tirgū veicināšanas mērķis ir sniegt pacientiem izvēles iespējas iegādāties cenas ziņā lētākās zāles. Katra dalībvalsts ir tiesīga paralēli importēto zāļu uzraudzībā regulējumu veidot pastāvīgi (ko apliecināja arī konsultācijas</w:t>
            </w:r>
            <w:r w:rsidR="00B66467" w:rsidRPr="00161C60">
              <w:rPr>
                <w:sz w:val="24"/>
                <w:szCs w:val="24"/>
              </w:rPr>
              <w:t xml:space="preserve"> Eiropas Komisija), ņemot vērā </w:t>
            </w:r>
            <w:r w:rsidRPr="00161C60">
              <w:rPr>
                <w:sz w:val="24"/>
                <w:szCs w:val="24"/>
              </w:rPr>
              <w:t>Eiropas Komisijas paziņojumu par paralēlo importu (</w:t>
            </w:r>
            <w:r w:rsidR="00EE1F78" w:rsidRPr="00161C60">
              <w:rPr>
                <w:i/>
                <w:sz w:val="24"/>
                <w:szCs w:val="24"/>
              </w:rPr>
              <w:t>angliski - </w:t>
            </w:r>
            <w:r w:rsidRPr="00161C60">
              <w:rPr>
                <w:i/>
                <w:sz w:val="24"/>
                <w:szCs w:val="24"/>
              </w:rPr>
              <w:t>COM/2003/</w:t>
            </w:r>
            <w:r w:rsidRPr="00161C60">
              <w:rPr>
                <w:i/>
                <w:sz w:val="24"/>
                <w:szCs w:val="24"/>
                <w:lang w:val="en-GB"/>
              </w:rPr>
              <w:t xml:space="preserve">839 Commission Communication on parallel imports of proprietary medicinal products for which marketing authorisations have already been granted. [Update of the 1982 Commission Communication; </w:t>
            </w:r>
            <w:hyperlink r:id="rId13" w:history="1">
              <w:r w:rsidRPr="00161C60">
                <w:rPr>
                  <w:rStyle w:val="Hyperlink"/>
                  <w:i/>
                  <w:color w:val="auto"/>
                  <w:sz w:val="24"/>
                  <w:szCs w:val="24"/>
                  <w:lang w:val="en-GB"/>
                </w:rPr>
                <w:t>http://ec.europa.eu/health/files/eudralex/vol1/com_2003_839/com_2003_839_en.pdf</w:t>
              </w:r>
            </w:hyperlink>
            <w:r w:rsidR="004046DA" w:rsidRPr="00161C60">
              <w:rPr>
                <w:sz w:val="24"/>
                <w:szCs w:val="24"/>
                <w:lang w:val="en-GB"/>
              </w:rPr>
              <w:t>).</w:t>
            </w:r>
          </w:p>
          <w:p w:rsidR="009366EA" w:rsidRPr="00161C60" w:rsidRDefault="009366EA" w:rsidP="009366EA">
            <w:pPr>
              <w:pStyle w:val="CommentText"/>
              <w:jc w:val="both"/>
              <w:rPr>
                <w:sz w:val="24"/>
                <w:szCs w:val="24"/>
              </w:rPr>
            </w:pPr>
          </w:p>
          <w:p w:rsidR="009366EA" w:rsidRPr="00161C60" w:rsidRDefault="009366EA" w:rsidP="009366EA">
            <w:pPr>
              <w:pStyle w:val="CommentText"/>
              <w:jc w:val="both"/>
              <w:rPr>
                <w:sz w:val="24"/>
                <w:szCs w:val="24"/>
              </w:rPr>
            </w:pPr>
            <w:r w:rsidRPr="00161C60">
              <w:rPr>
                <w:sz w:val="24"/>
                <w:szCs w:val="24"/>
              </w:rPr>
              <w:t>Savukārt pārmērīgi ”ierobežojošas” normas paralēlā import</w:t>
            </w:r>
            <w:r w:rsidR="007D45AC" w:rsidRPr="00161C60">
              <w:rPr>
                <w:sz w:val="24"/>
                <w:szCs w:val="24"/>
              </w:rPr>
              <w:t>a tiesību regulācijā kļūst par ”</w:t>
            </w:r>
            <w:r w:rsidRPr="00161C60">
              <w:rPr>
                <w:sz w:val="24"/>
                <w:szCs w:val="24"/>
              </w:rPr>
              <w:t>barjeru”</w:t>
            </w:r>
            <w:r w:rsidR="00AB3F9E" w:rsidRPr="00161C60">
              <w:rPr>
                <w:sz w:val="24"/>
                <w:szCs w:val="24"/>
              </w:rPr>
              <w:t> - </w:t>
            </w:r>
            <w:r w:rsidRPr="00161C60">
              <w:rPr>
                <w:sz w:val="24"/>
                <w:szCs w:val="24"/>
              </w:rPr>
              <w:t>bremzējošu faktoru Eiropas Ekonomikas zonas dalībvalstīs reģistrētu zāļu piegādēs Latvijā paralēlās izplatīšanas ceļā, palielinot administratīvās izmaksas, kas kļūst zāļu cenu pieauguma cēloni, kā rezultātā līdz pacientiem zāles var nonākt ar ”nepamatoti” paaugstinātu cenu.</w:t>
            </w:r>
          </w:p>
          <w:p w:rsidR="00276B3B" w:rsidRPr="00161C60" w:rsidRDefault="00276B3B" w:rsidP="009366EA">
            <w:pPr>
              <w:pStyle w:val="CommentText"/>
              <w:jc w:val="both"/>
              <w:rPr>
                <w:sz w:val="24"/>
                <w:szCs w:val="24"/>
              </w:rPr>
            </w:pPr>
          </w:p>
          <w:p w:rsidR="009366EA" w:rsidRPr="00161C60" w:rsidRDefault="00C4192A" w:rsidP="009366EA">
            <w:pPr>
              <w:pStyle w:val="CommentText"/>
              <w:jc w:val="both"/>
              <w:rPr>
                <w:sz w:val="24"/>
                <w:szCs w:val="24"/>
              </w:rPr>
            </w:pPr>
            <w:r w:rsidRPr="00161C60">
              <w:rPr>
                <w:b/>
                <w:sz w:val="24"/>
                <w:szCs w:val="24"/>
              </w:rPr>
              <w:t>a)</w:t>
            </w:r>
            <w:r w:rsidR="00276B3B" w:rsidRPr="00161C60">
              <w:rPr>
                <w:b/>
                <w:i/>
                <w:sz w:val="24"/>
                <w:szCs w:val="24"/>
              </w:rPr>
              <w:t>T</w:t>
            </w:r>
            <w:r w:rsidR="009366EA" w:rsidRPr="00161C60">
              <w:rPr>
                <w:b/>
                <w:i/>
                <w:sz w:val="24"/>
                <w:szCs w:val="24"/>
              </w:rPr>
              <w:t>urpmāk</w:t>
            </w:r>
            <w:r w:rsidR="00276B3B" w:rsidRPr="00161C60">
              <w:rPr>
                <w:b/>
                <w:i/>
                <w:sz w:val="24"/>
                <w:szCs w:val="24"/>
              </w:rPr>
              <w:t>,</w:t>
            </w:r>
            <w:r w:rsidR="009366EA" w:rsidRPr="00161C60">
              <w:rPr>
                <w:b/>
                <w:i/>
                <w:sz w:val="24"/>
                <w:szCs w:val="24"/>
              </w:rPr>
              <w:t xml:space="preserve"> vairākas viena nosaukuma zāles ar dažādiem iepakojuma veidiem un lielumiem </w:t>
            </w:r>
            <w:r w:rsidR="00881265" w:rsidRPr="00161C60">
              <w:rPr>
                <w:b/>
                <w:i/>
                <w:sz w:val="24"/>
                <w:szCs w:val="24"/>
              </w:rPr>
              <w:t xml:space="preserve">un no dažādām Eiropas Savienības dalībvalstīm </w:t>
            </w:r>
            <w:r w:rsidR="009366EA" w:rsidRPr="00161C60">
              <w:rPr>
                <w:b/>
                <w:i/>
                <w:sz w:val="24"/>
                <w:szCs w:val="24"/>
              </w:rPr>
              <w:t>varēs apvienot vienā iesniegumā paralēli importēto zāļu izplatīšanas atļaujas saņemšanai</w:t>
            </w:r>
            <w:r w:rsidR="00AB3F9E" w:rsidRPr="00161C60">
              <w:rPr>
                <w:sz w:val="24"/>
                <w:szCs w:val="24"/>
              </w:rPr>
              <w:t>.</w:t>
            </w:r>
          </w:p>
          <w:p w:rsidR="007D45AC" w:rsidRPr="00161C60" w:rsidRDefault="009366EA" w:rsidP="007D45AC">
            <w:pPr>
              <w:pStyle w:val="CommentText"/>
              <w:jc w:val="both"/>
              <w:rPr>
                <w:sz w:val="24"/>
                <w:szCs w:val="24"/>
              </w:rPr>
            </w:pPr>
            <w:r w:rsidRPr="00161C60">
              <w:rPr>
                <w:bCs/>
                <w:sz w:val="24"/>
                <w:szCs w:val="24"/>
              </w:rPr>
              <w:t xml:space="preserve">Pašreiz </w:t>
            </w:r>
            <w:r w:rsidRPr="00161C60">
              <w:rPr>
                <w:sz w:val="24"/>
                <w:szCs w:val="24"/>
              </w:rPr>
              <w:t xml:space="preserve">regulējums MK noteikumu Nr.416 39.punktā nav skaidrs attiecībā uz to, par kādām paralēli izplatāmām zālēm informāciju var apvienot vienā iesniegumā. Grozījumi Noteikumu projekta </w:t>
            </w:r>
            <w:r w:rsidRPr="00161C60">
              <w:rPr>
                <w:sz w:val="24"/>
                <w:szCs w:val="24"/>
              </w:rPr>
              <w:lastRenderedPageBreak/>
              <w:t>1</w:t>
            </w:r>
            <w:r w:rsidR="004B0AD6" w:rsidRPr="00161C60">
              <w:rPr>
                <w:sz w:val="24"/>
                <w:szCs w:val="24"/>
              </w:rPr>
              <w:t>.</w:t>
            </w:r>
            <w:r w:rsidR="00B81B1A" w:rsidRPr="00161C60">
              <w:rPr>
                <w:sz w:val="24"/>
                <w:szCs w:val="24"/>
              </w:rPr>
              <w:t>14</w:t>
            </w:r>
            <w:r w:rsidRPr="00161C60">
              <w:rPr>
                <w:sz w:val="24"/>
                <w:szCs w:val="24"/>
              </w:rPr>
              <w:t>.</w:t>
            </w:r>
            <w:r w:rsidR="0030232D" w:rsidRPr="00161C60">
              <w:rPr>
                <w:sz w:val="24"/>
                <w:szCs w:val="24"/>
              </w:rPr>
              <w:t>apakš</w:t>
            </w:r>
            <w:r w:rsidRPr="00161C60">
              <w:rPr>
                <w:sz w:val="24"/>
                <w:szCs w:val="24"/>
              </w:rPr>
              <w:t xml:space="preserve">punktā risina šo problēmu. Līdz ar to tiek </w:t>
            </w:r>
            <w:r w:rsidRPr="00161C60">
              <w:rPr>
                <w:rFonts w:eastAsia="Calibri"/>
                <w:sz w:val="24"/>
                <w:szCs w:val="24"/>
              </w:rPr>
              <w:t>vienkāršotas administratīvās procedūras, prasī</w:t>
            </w:r>
            <w:r w:rsidR="00C4192A" w:rsidRPr="00161C60">
              <w:rPr>
                <w:rFonts w:eastAsia="Calibri"/>
                <w:sz w:val="24"/>
                <w:szCs w:val="24"/>
              </w:rPr>
              <w:t>bas padarot mazāk ierobežojošas.</w:t>
            </w:r>
          </w:p>
          <w:p w:rsidR="007D45AC" w:rsidRPr="00161C60" w:rsidRDefault="007D45AC" w:rsidP="00A734CC">
            <w:pPr>
              <w:pStyle w:val="NoSpacing"/>
              <w:jc w:val="both"/>
              <w:rPr>
                <w:sz w:val="24"/>
                <w:szCs w:val="24"/>
                <w:lang w:val="lv-LV"/>
              </w:rPr>
            </w:pPr>
          </w:p>
          <w:p w:rsidR="00C4192A" w:rsidRPr="00161C60" w:rsidRDefault="00C4192A" w:rsidP="00A734CC">
            <w:pPr>
              <w:pStyle w:val="NoSpacing"/>
              <w:jc w:val="both"/>
              <w:rPr>
                <w:rFonts w:ascii="Times New Roman" w:hAnsi="Times New Roman"/>
                <w:b/>
                <w:i/>
                <w:sz w:val="24"/>
                <w:szCs w:val="24"/>
                <w:lang w:val="lv-LV"/>
              </w:rPr>
            </w:pPr>
            <w:r w:rsidRPr="00161C60">
              <w:rPr>
                <w:rFonts w:ascii="Times New Roman" w:hAnsi="Times New Roman"/>
                <w:b/>
                <w:sz w:val="24"/>
                <w:szCs w:val="24"/>
                <w:lang w:val="lv-LV"/>
              </w:rPr>
              <w:t>b)</w:t>
            </w:r>
            <w:r w:rsidRPr="00161C60">
              <w:rPr>
                <w:rFonts w:ascii="Times New Roman" w:hAnsi="Times New Roman"/>
                <w:b/>
                <w:i/>
                <w:sz w:val="24"/>
                <w:szCs w:val="24"/>
                <w:lang w:val="lv-LV"/>
              </w:rPr>
              <w:t xml:space="preserve">Tiek </w:t>
            </w:r>
            <w:r w:rsidR="00F36794" w:rsidRPr="00161C60">
              <w:rPr>
                <w:rFonts w:ascii="Times New Roman" w:hAnsi="Times New Roman"/>
                <w:b/>
                <w:i/>
                <w:sz w:val="24"/>
                <w:szCs w:val="24"/>
                <w:lang w:val="lv-LV"/>
              </w:rPr>
              <w:t xml:space="preserve">konkretizētas </w:t>
            </w:r>
            <w:r w:rsidRPr="00161C60">
              <w:rPr>
                <w:rFonts w:ascii="Times New Roman" w:hAnsi="Times New Roman"/>
                <w:b/>
                <w:i/>
                <w:sz w:val="24"/>
                <w:szCs w:val="24"/>
                <w:lang w:val="lv-LV"/>
              </w:rPr>
              <w:t>pieļaujamajā</w:t>
            </w:r>
            <w:r w:rsidR="00F36794" w:rsidRPr="00161C60">
              <w:rPr>
                <w:rFonts w:ascii="Times New Roman" w:hAnsi="Times New Roman"/>
                <w:b/>
                <w:i/>
                <w:sz w:val="24"/>
                <w:szCs w:val="24"/>
                <w:lang w:val="lv-LV"/>
              </w:rPr>
              <w:t>s atšķirības starp paralēli importētām zālēm un Latvijā reģistrētām zālēm, k</w:t>
            </w:r>
            <w:r w:rsidR="006F6F69" w:rsidRPr="00161C60">
              <w:rPr>
                <w:rFonts w:ascii="Times New Roman" w:hAnsi="Times New Roman"/>
                <w:b/>
                <w:i/>
                <w:sz w:val="24"/>
                <w:szCs w:val="24"/>
                <w:lang w:val="lv-LV"/>
              </w:rPr>
              <w:t>ādos gadījumos paralēli importētās zālēs un Latvijā reģistrētās zālēs informācija par ražotāju  var atšķirties.</w:t>
            </w:r>
          </w:p>
          <w:p w:rsidR="00F55026" w:rsidRPr="00161C60" w:rsidRDefault="00F55026" w:rsidP="009366EA">
            <w:pPr>
              <w:pStyle w:val="NoSpacing"/>
              <w:jc w:val="both"/>
              <w:rPr>
                <w:rFonts w:ascii="Times New Roman" w:hAnsi="Times New Roman"/>
                <w:sz w:val="24"/>
                <w:szCs w:val="24"/>
                <w:lang w:val="lv-LV"/>
              </w:rPr>
            </w:pPr>
          </w:p>
          <w:p w:rsidR="00D71F04" w:rsidRPr="00161C60" w:rsidRDefault="00D10BE7" w:rsidP="009366EA">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Regulējums MK noteikumos Nr.416 </w:t>
            </w:r>
            <w:r w:rsidR="002B4312" w:rsidRPr="00161C60">
              <w:rPr>
                <w:rFonts w:ascii="Times New Roman" w:hAnsi="Times New Roman"/>
                <w:sz w:val="24"/>
                <w:szCs w:val="24"/>
                <w:lang w:val="lv-LV"/>
              </w:rPr>
              <w:t xml:space="preserve">(41.1.apakšpunktā) </w:t>
            </w:r>
            <w:r w:rsidR="003463EE" w:rsidRPr="00161C60">
              <w:rPr>
                <w:rFonts w:ascii="Times New Roman" w:hAnsi="Times New Roman"/>
                <w:sz w:val="24"/>
                <w:szCs w:val="24"/>
                <w:lang w:val="lv-LV"/>
              </w:rPr>
              <w:t>nekonkretizē</w:t>
            </w:r>
            <w:r w:rsidRPr="00161C60">
              <w:rPr>
                <w:rFonts w:ascii="Times New Roman" w:hAnsi="Times New Roman"/>
                <w:sz w:val="24"/>
                <w:szCs w:val="24"/>
                <w:lang w:val="lv-LV"/>
              </w:rPr>
              <w:t xml:space="preserve"> </w:t>
            </w:r>
            <w:r w:rsidR="00716F9E" w:rsidRPr="00161C60">
              <w:rPr>
                <w:rFonts w:ascii="Times New Roman" w:hAnsi="Times New Roman"/>
                <w:sz w:val="24"/>
                <w:szCs w:val="24"/>
                <w:lang w:val="lv-LV"/>
              </w:rPr>
              <w:t>paralēli impo</w:t>
            </w:r>
            <w:r w:rsidR="003463EE" w:rsidRPr="00161C60">
              <w:rPr>
                <w:rFonts w:ascii="Times New Roman" w:hAnsi="Times New Roman"/>
                <w:sz w:val="24"/>
                <w:szCs w:val="24"/>
                <w:lang w:val="lv-LV"/>
              </w:rPr>
              <w:t xml:space="preserve">rtētām zālēm </w:t>
            </w:r>
            <w:r w:rsidRPr="00161C60">
              <w:rPr>
                <w:rFonts w:ascii="Times New Roman" w:hAnsi="Times New Roman"/>
                <w:sz w:val="24"/>
                <w:szCs w:val="24"/>
                <w:lang w:val="lv-LV"/>
              </w:rPr>
              <w:t xml:space="preserve">pieļaujamās atšķirības </w:t>
            </w:r>
            <w:r w:rsidR="008A02E4" w:rsidRPr="00161C60">
              <w:rPr>
                <w:rFonts w:ascii="Times New Roman" w:hAnsi="Times New Roman"/>
                <w:sz w:val="24"/>
                <w:szCs w:val="24"/>
                <w:lang w:val="lv-LV"/>
              </w:rPr>
              <w:t>no Latvijā</w:t>
            </w:r>
            <w:r w:rsidR="003463EE" w:rsidRPr="00161C60">
              <w:rPr>
                <w:rFonts w:ascii="Times New Roman" w:hAnsi="Times New Roman"/>
                <w:sz w:val="24"/>
                <w:szCs w:val="24"/>
                <w:lang w:val="lv-LV"/>
              </w:rPr>
              <w:t xml:space="preserve"> reģistrētām zālēm</w:t>
            </w:r>
            <w:r w:rsidR="00CC4D49" w:rsidRPr="00161C60">
              <w:rPr>
                <w:rFonts w:ascii="Times New Roman" w:hAnsi="Times New Roman"/>
                <w:sz w:val="24"/>
                <w:szCs w:val="24"/>
                <w:lang w:val="lv-LV"/>
              </w:rPr>
              <w:t xml:space="preserve"> attiecībā </w:t>
            </w:r>
            <w:r w:rsidR="007B04DD" w:rsidRPr="00161C60">
              <w:rPr>
                <w:rFonts w:ascii="Times New Roman" w:hAnsi="Times New Roman"/>
                <w:sz w:val="24"/>
                <w:szCs w:val="24"/>
                <w:lang w:val="lv-LV"/>
              </w:rPr>
              <w:t xml:space="preserve">uz </w:t>
            </w:r>
            <w:r w:rsidR="00CC4D49" w:rsidRPr="00161C60">
              <w:rPr>
                <w:rFonts w:ascii="Times New Roman" w:hAnsi="Times New Roman"/>
                <w:sz w:val="24"/>
                <w:szCs w:val="24"/>
                <w:lang w:val="lv-LV"/>
              </w:rPr>
              <w:t xml:space="preserve">pieļaujamo ”līdzību” zāļu ražotāja aspektā. </w:t>
            </w:r>
            <w:r w:rsidR="00CC4D49" w:rsidRPr="00161C60">
              <w:rPr>
                <w:rFonts w:ascii="Times New Roman" w:hAnsi="Times New Roman"/>
                <w:b/>
                <w:sz w:val="24"/>
                <w:szCs w:val="24"/>
                <w:lang w:val="lv-LV"/>
              </w:rPr>
              <w:t>K</w:t>
            </w:r>
            <w:r w:rsidR="003463EE" w:rsidRPr="00161C60">
              <w:rPr>
                <w:rFonts w:ascii="Times New Roman" w:hAnsi="Times New Roman"/>
                <w:b/>
                <w:sz w:val="24"/>
                <w:szCs w:val="24"/>
                <w:lang w:val="lv-LV"/>
              </w:rPr>
              <w:t xml:space="preserve">ā izriet no Eiropas </w:t>
            </w:r>
            <w:r w:rsidR="00716F9E" w:rsidRPr="00161C60">
              <w:rPr>
                <w:rFonts w:ascii="Times New Roman" w:hAnsi="Times New Roman"/>
                <w:b/>
                <w:sz w:val="24"/>
                <w:szCs w:val="24"/>
                <w:lang w:val="lv-LV"/>
              </w:rPr>
              <w:t>S</w:t>
            </w:r>
            <w:r w:rsidR="00792BCA" w:rsidRPr="00161C60">
              <w:rPr>
                <w:rFonts w:ascii="Times New Roman" w:hAnsi="Times New Roman"/>
                <w:b/>
                <w:sz w:val="24"/>
                <w:szCs w:val="24"/>
                <w:lang w:val="lv-LV"/>
              </w:rPr>
              <w:t xml:space="preserve">avienības tiesas </w:t>
            </w:r>
            <w:r w:rsidR="003463EE" w:rsidRPr="00161C60">
              <w:rPr>
                <w:rFonts w:ascii="Times New Roman" w:hAnsi="Times New Roman"/>
                <w:b/>
                <w:sz w:val="24"/>
                <w:szCs w:val="24"/>
                <w:lang w:val="lv-LV"/>
              </w:rPr>
              <w:t>judikatūras</w:t>
            </w:r>
            <w:r w:rsidR="00CC4D49" w:rsidRPr="00161C60">
              <w:rPr>
                <w:rFonts w:ascii="Times New Roman" w:hAnsi="Times New Roman"/>
                <w:b/>
                <w:sz w:val="24"/>
                <w:szCs w:val="24"/>
                <w:lang w:val="lv-LV"/>
              </w:rPr>
              <w:t>, t</w:t>
            </w:r>
            <w:r w:rsidR="00716F9E" w:rsidRPr="00161C60">
              <w:rPr>
                <w:rFonts w:ascii="Times New Roman" w:hAnsi="Times New Roman"/>
                <w:b/>
                <w:sz w:val="24"/>
                <w:szCs w:val="24"/>
                <w:lang w:val="lv-LV"/>
              </w:rPr>
              <w:t xml:space="preserve">ad </w:t>
            </w:r>
            <w:r w:rsidR="005D1B6C" w:rsidRPr="00161C60">
              <w:rPr>
                <w:rFonts w:ascii="Times New Roman" w:hAnsi="Times New Roman"/>
                <w:b/>
                <w:sz w:val="24"/>
                <w:szCs w:val="24"/>
                <w:lang w:val="lv-LV"/>
              </w:rPr>
              <w:t xml:space="preserve">paralēli importētās zāles drīkst būt pēc būtības līdzīgas reģistrētām zālēm attiecībā pret kurām tiek veikts paralēlais imports, ja </w:t>
            </w:r>
            <w:r w:rsidR="00716F9E" w:rsidRPr="00161C60">
              <w:rPr>
                <w:rFonts w:ascii="Times New Roman" w:hAnsi="Times New Roman"/>
                <w:b/>
                <w:sz w:val="24"/>
                <w:szCs w:val="24"/>
                <w:lang w:val="lv-LV"/>
              </w:rPr>
              <w:t>paralēli importētām zālēm un dalībvalstī reģistrētām zālēm zāļu ražotājs</w:t>
            </w:r>
            <w:r w:rsidR="005D1B6C" w:rsidRPr="00161C60">
              <w:rPr>
                <w:rFonts w:ascii="Times New Roman" w:hAnsi="Times New Roman"/>
                <w:b/>
                <w:sz w:val="24"/>
                <w:szCs w:val="24"/>
                <w:lang w:val="lv-LV"/>
              </w:rPr>
              <w:t xml:space="preserve"> ir vien</w:t>
            </w:r>
            <w:r w:rsidR="003463EE" w:rsidRPr="00161C60">
              <w:rPr>
                <w:rFonts w:ascii="Times New Roman" w:hAnsi="Times New Roman"/>
                <w:b/>
                <w:sz w:val="24"/>
                <w:szCs w:val="24"/>
                <w:lang w:val="lv-LV"/>
              </w:rPr>
              <w:t xml:space="preserve">s un tas pats uzņēmums, </w:t>
            </w:r>
            <w:r w:rsidR="00822948" w:rsidRPr="00161C60">
              <w:rPr>
                <w:rFonts w:ascii="Times New Roman" w:hAnsi="Times New Roman"/>
                <w:b/>
                <w:sz w:val="24"/>
                <w:szCs w:val="24"/>
                <w:lang w:val="lv-LV"/>
              </w:rPr>
              <w:t>tas var būt</w:t>
            </w:r>
            <w:r w:rsidR="003463EE" w:rsidRPr="00161C60">
              <w:rPr>
                <w:rFonts w:ascii="Times New Roman" w:hAnsi="Times New Roman"/>
                <w:b/>
                <w:sz w:val="24"/>
                <w:szCs w:val="24"/>
                <w:lang w:val="lv-LV"/>
              </w:rPr>
              <w:t xml:space="preserve"> uzņ</w:t>
            </w:r>
            <w:r w:rsidR="00822948" w:rsidRPr="00161C60">
              <w:rPr>
                <w:rFonts w:ascii="Times New Roman" w:hAnsi="Times New Roman"/>
                <w:b/>
                <w:sz w:val="24"/>
                <w:szCs w:val="24"/>
                <w:lang w:val="lv-LV"/>
              </w:rPr>
              <w:t>ēmums</w:t>
            </w:r>
            <w:r w:rsidR="003463EE" w:rsidRPr="00161C60">
              <w:rPr>
                <w:rFonts w:ascii="Times New Roman" w:hAnsi="Times New Roman"/>
                <w:b/>
                <w:sz w:val="24"/>
                <w:szCs w:val="24"/>
                <w:lang w:val="lv-LV"/>
              </w:rPr>
              <w:t xml:space="preserve"> tās pašas uzņēmumu grupas ietvarā</w:t>
            </w:r>
            <w:r w:rsidR="00F66953" w:rsidRPr="00161C60">
              <w:rPr>
                <w:rFonts w:ascii="Times New Roman" w:hAnsi="Times New Roman"/>
                <w:b/>
                <w:sz w:val="24"/>
                <w:szCs w:val="24"/>
                <w:lang w:val="lv-LV"/>
              </w:rPr>
              <w:t xml:space="preserve"> vai neatkarīgu uzņēmumu gadījumos (</w:t>
            </w:r>
            <w:r w:rsidR="005D1B6C" w:rsidRPr="00161C60">
              <w:rPr>
                <w:rFonts w:ascii="Times New Roman" w:hAnsi="Times New Roman"/>
                <w:b/>
                <w:sz w:val="24"/>
                <w:szCs w:val="24"/>
                <w:lang w:val="lv-LV"/>
              </w:rPr>
              <w:t>paralēli importētām</w:t>
            </w:r>
            <w:r w:rsidR="00F66953" w:rsidRPr="00161C60">
              <w:rPr>
                <w:rFonts w:ascii="Times New Roman" w:hAnsi="Times New Roman"/>
                <w:b/>
                <w:sz w:val="24"/>
                <w:szCs w:val="24"/>
                <w:lang w:val="lv-LV"/>
              </w:rPr>
              <w:t xml:space="preserve"> zālēm</w:t>
            </w:r>
            <w:r w:rsidR="005D1B6C" w:rsidRPr="00161C60">
              <w:rPr>
                <w:rFonts w:ascii="Times New Roman" w:hAnsi="Times New Roman"/>
                <w:b/>
                <w:sz w:val="24"/>
                <w:szCs w:val="24"/>
                <w:lang w:val="lv-LV"/>
              </w:rPr>
              <w:t xml:space="preserve"> un Latvijā reģistrētām zālēm ir dažādi ražotāji) </w:t>
            </w:r>
            <w:r w:rsidR="00822948" w:rsidRPr="00161C60">
              <w:rPr>
                <w:rFonts w:ascii="Times New Roman" w:hAnsi="Times New Roman"/>
                <w:b/>
                <w:sz w:val="24"/>
                <w:szCs w:val="24"/>
                <w:lang w:val="lv-LV"/>
              </w:rPr>
              <w:t xml:space="preserve">ir </w:t>
            </w:r>
            <w:r w:rsidR="005D1B6C" w:rsidRPr="00161C60">
              <w:rPr>
                <w:rFonts w:ascii="Times New Roman" w:hAnsi="Times New Roman"/>
                <w:b/>
                <w:sz w:val="24"/>
                <w:szCs w:val="24"/>
                <w:lang w:val="lv-LV"/>
              </w:rPr>
              <w:t>no</w:t>
            </w:r>
            <w:r w:rsidR="00822948" w:rsidRPr="00161C60">
              <w:rPr>
                <w:rFonts w:ascii="Times New Roman" w:hAnsi="Times New Roman"/>
                <w:b/>
                <w:sz w:val="24"/>
                <w:szCs w:val="24"/>
                <w:lang w:val="lv-LV"/>
              </w:rPr>
              <w:t xml:space="preserve">slēgts līgums ar </w:t>
            </w:r>
            <w:r w:rsidR="00F66953" w:rsidRPr="00161C60">
              <w:rPr>
                <w:rFonts w:ascii="Times New Roman" w:hAnsi="Times New Roman"/>
                <w:b/>
                <w:sz w:val="24"/>
                <w:szCs w:val="24"/>
                <w:lang w:val="lv-LV"/>
              </w:rPr>
              <w:t>vienu un to pašu attiecīgo zāļu reģistrācijas īpašnieku</w:t>
            </w:r>
            <w:r w:rsidR="00822948" w:rsidRPr="00161C60">
              <w:rPr>
                <w:rFonts w:ascii="Times New Roman" w:hAnsi="Times New Roman"/>
                <w:b/>
                <w:sz w:val="24"/>
                <w:szCs w:val="24"/>
                <w:lang w:val="lv-LV"/>
              </w:rPr>
              <w:t xml:space="preserve"> </w:t>
            </w:r>
            <w:r w:rsidR="00F66953" w:rsidRPr="00161C60">
              <w:rPr>
                <w:rFonts w:ascii="Times New Roman" w:hAnsi="Times New Roman"/>
                <w:b/>
                <w:sz w:val="24"/>
                <w:szCs w:val="24"/>
                <w:lang w:val="lv-LV"/>
              </w:rPr>
              <w:t>(neatkarīgi no tā vai viņš atrodas Eiropas Ekonomikas zonas valstī vai ārpus tās)</w:t>
            </w:r>
            <w:r w:rsidR="00822948" w:rsidRPr="00161C60">
              <w:rPr>
                <w:rFonts w:ascii="Times New Roman" w:hAnsi="Times New Roman"/>
                <w:sz w:val="24"/>
                <w:szCs w:val="24"/>
                <w:lang w:val="lv-LV"/>
              </w:rPr>
              <w:t xml:space="preserve">. </w:t>
            </w:r>
            <w:r w:rsidR="005D1B6C" w:rsidRPr="00161C60">
              <w:rPr>
                <w:rFonts w:ascii="Times New Roman" w:hAnsi="Times New Roman"/>
                <w:sz w:val="24"/>
                <w:szCs w:val="24"/>
                <w:lang w:val="lv-LV"/>
              </w:rPr>
              <w:t>Šādos gadījumos paralēli importētās zāles drīkst nebū</w:t>
            </w:r>
            <w:r w:rsidR="004857EC" w:rsidRPr="00161C60">
              <w:rPr>
                <w:rFonts w:ascii="Times New Roman" w:hAnsi="Times New Roman"/>
                <w:sz w:val="24"/>
                <w:szCs w:val="24"/>
                <w:lang w:val="lv-LV"/>
              </w:rPr>
              <w:t>t</w:t>
            </w:r>
            <w:r w:rsidR="005D1B6C" w:rsidRPr="00161C60">
              <w:rPr>
                <w:rFonts w:ascii="Times New Roman" w:hAnsi="Times New Roman"/>
                <w:sz w:val="24"/>
                <w:szCs w:val="24"/>
                <w:lang w:val="lv-LV"/>
              </w:rPr>
              <w:t xml:space="preserve"> identiskas reģistrētām zālēm, pret kurām tiek veikts paralēlais imports, bet tām ir jābūt pēc būtības līdzīgām</w:t>
            </w:r>
            <w:r w:rsidR="005A30A4" w:rsidRPr="00161C60">
              <w:rPr>
                <w:rFonts w:ascii="Times New Roman" w:hAnsi="Times New Roman"/>
                <w:sz w:val="24"/>
                <w:szCs w:val="24"/>
                <w:lang w:val="lv-LV"/>
              </w:rPr>
              <w:t> - </w:t>
            </w:r>
            <w:r w:rsidR="005D1B6C" w:rsidRPr="00161C60">
              <w:rPr>
                <w:rFonts w:ascii="Times New Roman" w:hAnsi="Times New Roman"/>
                <w:sz w:val="24"/>
                <w:szCs w:val="24"/>
                <w:lang w:val="lv-LV"/>
              </w:rPr>
              <w:t xml:space="preserve">jābūt ražotām saskaņā ar to pašu ražošanas metodi, tajās izmantotas tās pašas aktīvās vielas un tām ir arī tāds pats terapeitiskais efekts. </w:t>
            </w:r>
            <w:r w:rsidR="00CC4D49" w:rsidRPr="00161C60">
              <w:rPr>
                <w:rFonts w:ascii="Times New Roman" w:hAnsi="Times New Roman"/>
                <w:sz w:val="24"/>
                <w:szCs w:val="24"/>
                <w:lang w:val="lv-LV"/>
              </w:rPr>
              <w:t>Tas</w:t>
            </w:r>
            <w:r w:rsidR="00822948" w:rsidRPr="00161C60">
              <w:rPr>
                <w:rFonts w:ascii="Times New Roman" w:hAnsi="Times New Roman"/>
                <w:sz w:val="24"/>
                <w:szCs w:val="24"/>
                <w:lang w:val="lv-LV"/>
              </w:rPr>
              <w:t xml:space="preserve"> </w:t>
            </w:r>
            <w:r w:rsidR="004145DA" w:rsidRPr="00161C60">
              <w:rPr>
                <w:rFonts w:ascii="Times New Roman" w:hAnsi="Times New Roman"/>
                <w:sz w:val="24"/>
                <w:szCs w:val="24"/>
                <w:lang w:val="lv-LV"/>
              </w:rPr>
              <w:t>atbilst</w:t>
            </w:r>
            <w:r w:rsidR="00822948" w:rsidRPr="00161C60">
              <w:rPr>
                <w:rFonts w:ascii="Times New Roman" w:hAnsi="Times New Roman"/>
                <w:sz w:val="24"/>
                <w:szCs w:val="24"/>
                <w:lang w:val="lv-LV"/>
              </w:rPr>
              <w:t xml:space="preserve"> Eiropas Komisijas pazi</w:t>
            </w:r>
            <w:r w:rsidR="004145DA" w:rsidRPr="00161C60">
              <w:rPr>
                <w:rFonts w:ascii="Times New Roman" w:hAnsi="Times New Roman"/>
                <w:sz w:val="24"/>
                <w:szCs w:val="24"/>
                <w:lang w:val="lv-LV"/>
              </w:rPr>
              <w:t xml:space="preserve">ņojumam </w:t>
            </w:r>
            <w:r w:rsidR="00822948" w:rsidRPr="00161C60">
              <w:rPr>
                <w:rFonts w:ascii="Times New Roman" w:hAnsi="Times New Roman"/>
                <w:sz w:val="24"/>
                <w:szCs w:val="24"/>
                <w:lang w:val="lv-LV"/>
              </w:rPr>
              <w:t>par paralēlo importu</w:t>
            </w:r>
            <w:r w:rsidR="00CC4D49" w:rsidRPr="00161C60">
              <w:rPr>
                <w:rFonts w:ascii="Times New Roman" w:hAnsi="Times New Roman"/>
                <w:sz w:val="24"/>
                <w:szCs w:val="24"/>
                <w:lang w:val="lv-LV"/>
              </w:rPr>
              <w:t xml:space="preserve"> un </w:t>
            </w:r>
            <w:r w:rsidR="00822948" w:rsidRPr="00161C60">
              <w:rPr>
                <w:rFonts w:ascii="Times New Roman" w:hAnsi="Times New Roman"/>
                <w:sz w:val="24"/>
                <w:szCs w:val="24"/>
                <w:lang w:val="lv-LV"/>
              </w:rPr>
              <w:t xml:space="preserve">Eiropas Savienības tiesas judikatūrai (tajā skaitā </w:t>
            </w:r>
            <w:r w:rsidR="00822948" w:rsidRPr="00161C60">
              <w:rPr>
                <w:rFonts w:ascii="Times New Roman" w:hAnsi="Times New Roman"/>
                <w:b/>
                <w:sz w:val="24"/>
                <w:szCs w:val="24"/>
                <w:lang w:val="lv-LV"/>
              </w:rPr>
              <w:t xml:space="preserve">lieta </w:t>
            </w:r>
            <w:r w:rsidR="00CC4D49" w:rsidRPr="00161C60">
              <w:rPr>
                <w:rFonts w:ascii="Times New Roman" w:hAnsi="Times New Roman"/>
                <w:b/>
                <w:sz w:val="24"/>
                <w:szCs w:val="24"/>
                <w:lang w:val="lv-LV"/>
              </w:rPr>
              <w:t>104</w:t>
            </w:r>
            <w:r w:rsidR="00822948" w:rsidRPr="00161C60">
              <w:rPr>
                <w:rFonts w:ascii="Times New Roman" w:hAnsi="Times New Roman"/>
                <w:b/>
                <w:sz w:val="24"/>
                <w:szCs w:val="24"/>
                <w:lang w:val="lv-LV"/>
              </w:rPr>
              <w:t>/</w:t>
            </w:r>
            <w:r w:rsidR="00FD3208" w:rsidRPr="00161C60">
              <w:rPr>
                <w:rFonts w:ascii="Times New Roman" w:hAnsi="Times New Roman"/>
                <w:b/>
                <w:sz w:val="24"/>
                <w:szCs w:val="24"/>
                <w:lang w:val="lv-LV"/>
              </w:rPr>
              <w:t xml:space="preserve">75 DE </w:t>
            </w:r>
            <w:proofErr w:type="spellStart"/>
            <w:r w:rsidR="00FD3208" w:rsidRPr="00161C60">
              <w:rPr>
                <w:rFonts w:ascii="Times New Roman" w:hAnsi="Times New Roman"/>
                <w:b/>
                <w:sz w:val="24"/>
                <w:szCs w:val="24"/>
                <w:lang w:val="lv-LV"/>
              </w:rPr>
              <w:t>P</w:t>
            </w:r>
            <w:r w:rsidR="00CC4D49" w:rsidRPr="00161C60">
              <w:rPr>
                <w:rFonts w:ascii="Times New Roman" w:hAnsi="Times New Roman"/>
                <w:b/>
                <w:sz w:val="24"/>
                <w:szCs w:val="24"/>
                <w:lang w:val="lv-LV"/>
              </w:rPr>
              <w:t>eijper</w:t>
            </w:r>
            <w:proofErr w:type="spellEnd"/>
            <w:r w:rsidR="00CC4D49" w:rsidRPr="00161C60">
              <w:rPr>
                <w:rFonts w:ascii="Times New Roman" w:hAnsi="Times New Roman"/>
                <w:b/>
                <w:sz w:val="24"/>
                <w:szCs w:val="24"/>
                <w:lang w:val="lv-LV"/>
              </w:rPr>
              <w:t xml:space="preserve"> (1976) ECR 613 un C </w:t>
            </w:r>
            <w:r w:rsidR="00BB3523" w:rsidRPr="00161C60">
              <w:rPr>
                <w:rFonts w:ascii="Times New Roman" w:hAnsi="Times New Roman"/>
                <w:b/>
                <w:sz w:val="24"/>
                <w:szCs w:val="24"/>
                <w:lang w:val="lv-LV"/>
              </w:rPr>
              <w:t>-</w:t>
            </w:r>
            <w:r w:rsidR="00CC4D49" w:rsidRPr="00161C60">
              <w:rPr>
                <w:rFonts w:ascii="Times New Roman" w:hAnsi="Times New Roman"/>
                <w:b/>
                <w:sz w:val="24"/>
                <w:szCs w:val="24"/>
                <w:lang w:val="lv-LV"/>
              </w:rPr>
              <w:t xml:space="preserve"> 201/94 </w:t>
            </w:r>
            <w:proofErr w:type="spellStart"/>
            <w:r w:rsidR="00822948" w:rsidRPr="00161C60">
              <w:rPr>
                <w:rFonts w:ascii="Times New Roman" w:hAnsi="Times New Roman"/>
                <w:b/>
                <w:sz w:val="24"/>
                <w:szCs w:val="24"/>
                <w:lang w:val="lv-LV"/>
              </w:rPr>
              <w:t>Smith&amp;Neephew</w:t>
            </w:r>
            <w:proofErr w:type="spellEnd"/>
            <w:r w:rsidR="00822948" w:rsidRPr="00161C60">
              <w:rPr>
                <w:rFonts w:ascii="Times New Roman" w:hAnsi="Times New Roman"/>
                <w:b/>
                <w:sz w:val="24"/>
                <w:szCs w:val="24"/>
                <w:lang w:val="lv-LV"/>
              </w:rPr>
              <w:t xml:space="preserve"> </w:t>
            </w:r>
            <w:proofErr w:type="spellStart"/>
            <w:r w:rsidR="00822948" w:rsidRPr="00161C60">
              <w:rPr>
                <w:rFonts w:ascii="Times New Roman" w:hAnsi="Times New Roman"/>
                <w:b/>
                <w:sz w:val="24"/>
                <w:szCs w:val="24"/>
                <w:lang w:val="lv-LV"/>
              </w:rPr>
              <w:t>and</w:t>
            </w:r>
            <w:proofErr w:type="spellEnd"/>
            <w:r w:rsidR="00822948" w:rsidRPr="00161C60">
              <w:rPr>
                <w:rFonts w:ascii="Times New Roman" w:hAnsi="Times New Roman"/>
                <w:b/>
                <w:sz w:val="24"/>
                <w:szCs w:val="24"/>
                <w:lang w:val="lv-LV"/>
              </w:rPr>
              <w:t xml:space="preserve"> </w:t>
            </w:r>
            <w:proofErr w:type="spellStart"/>
            <w:r w:rsidR="00822948" w:rsidRPr="00161C60">
              <w:rPr>
                <w:rFonts w:ascii="Times New Roman" w:hAnsi="Times New Roman"/>
                <w:b/>
                <w:sz w:val="24"/>
                <w:szCs w:val="24"/>
                <w:lang w:val="lv-LV"/>
              </w:rPr>
              <w:t>Primecrrown</w:t>
            </w:r>
            <w:proofErr w:type="spellEnd"/>
            <w:r w:rsidR="00CC4D49" w:rsidRPr="00161C60">
              <w:rPr>
                <w:rFonts w:ascii="Times New Roman" w:hAnsi="Times New Roman"/>
                <w:b/>
                <w:sz w:val="24"/>
                <w:szCs w:val="24"/>
                <w:lang w:val="lv-LV"/>
              </w:rPr>
              <w:t xml:space="preserve"> (1996) ECR I </w:t>
            </w:r>
            <w:r w:rsidR="00BB3523" w:rsidRPr="00161C60">
              <w:rPr>
                <w:rFonts w:ascii="Times New Roman" w:hAnsi="Times New Roman"/>
                <w:b/>
                <w:sz w:val="24"/>
                <w:szCs w:val="24"/>
                <w:lang w:val="lv-LV"/>
              </w:rPr>
              <w:t>-</w:t>
            </w:r>
            <w:r w:rsidR="00CC4D49" w:rsidRPr="00161C60">
              <w:rPr>
                <w:rFonts w:ascii="Times New Roman" w:hAnsi="Times New Roman"/>
                <w:b/>
                <w:sz w:val="24"/>
                <w:szCs w:val="24"/>
                <w:lang w:val="lv-LV"/>
              </w:rPr>
              <w:t> 5819</w:t>
            </w:r>
            <w:r w:rsidR="00CC4D49" w:rsidRPr="00161C60">
              <w:rPr>
                <w:rFonts w:ascii="Times New Roman" w:hAnsi="Times New Roman"/>
                <w:sz w:val="24"/>
                <w:szCs w:val="24"/>
                <w:lang w:val="lv-LV"/>
              </w:rPr>
              <w:t>).</w:t>
            </w:r>
            <w:r w:rsidR="00D71F04" w:rsidRPr="00161C60">
              <w:rPr>
                <w:rFonts w:ascii="Times New Roman" w:hAnsi="Times New Roman"/>
                <w:sz w:val="24"/>
                <w:szCs w:val="24"/>
                <w:lang w:val="lv-LV"/>
              </w:rPr>
              <w:t xml:space="preserve"> Grozījums </w:t>
            </w:r>
            <w:r w:rsidR="00D71F04" w:rsidRPr="00161C60">
              <w:rPr>
                <w:rFonts w:ascii="Times New Roman" w:hAnsi="Times New Roman"/>
                <w:bCs/>
                <w:sz w:val="24"/>
                <w:szCs w:val="24"/>
                <w:lang w:val="lv-LV"/>
              </w:rPr>
              <w:t xml:space="preserve">MK noteikumu Nr.416 </w:t>
            </w:r>
            <w:r w:rsidR="00D71F04" w:rsidRPr="00161C60">
              <w:rPr>
                <w:rFonts w:ascii="Times New Roman" w:hAnsi="Times New Roman"/>
                <w:sz w:val="24"/>
                <w:szCs w:val="24"/>
                <w:lang w:val="lv-LV"/>
              </w:rPr>
              <w:t>41.4.</w:t>
            </w:r>
            <w:r w:rsidR="004857EC" w:rsidRPr="00161C60">
              <w:rPr>
                <w:rFonts w:ascii="Times New Roman" w:hAnsi="Times New Roman"/>
                <w:sz w:val="24"/>
                <w:szCs w:val="24"/>
                <w:lang w:val="lv-LV"/>
              </w:rPr>
              <w:t>1.</w:t>
            </w:r>
            <w:r w:rsidR="00D71F04" w:rsidRPr="00161C60">
              <w:rPr>
                <w:rFonts w:ascii="Times New Roman" w:hAnsi="Times New Roman"/>
                <w:sz w:val="24"/>
                <w:szCs w:val="24"/>
                <w:lang w:val="lv-LV"/>
              </w:rPr>
              <w:t>apakšpunktā un 1.pielikumā regulējum</w:t>
            </w:r>
            <w:r w:rsidR="00792BCA" w:rsidRPr="00161C60">
              <w:rPr>
                <w:rFonts w:ascii="Times New Roman" w:hAnsi="Times New Roman"/>
                <w:sz w:val="24"/>
                <w:szCs w:val="24"/>
                <w:lang w:val="lv-LV"/>
              </w:rPr>
              <w:t>ā</w:t>
            </w:r>
            <w:r w:rsidR="00D71F04" w:rsidRPr="00161C60">
              <w:rPr>
                <w:rFonts w:ascii="Times New Roman" w:hAnsi="Times New Roman"/>
                <w:sz w:val="24"/>
                <w:szCs w:val="24"/>
                <w:lang w:val="lv-LV"/>
              </w:rPr>
              <w:t xml:space="preserve"> </w:t>
            </w:r>
            <w:r w:rsidR="00D71F04" w:rsidRPr="00161C60">
              <w:rPr>
                <w:rFonts w:ascii="Times New Roman" w:hAnsi="Times New Roman"/>
                <w:bCs/>
                <w:sz w:val="24"/>
                <w:szCs w:val="24"/>
                <w:lang w:val="lv-LV"/>
              </w:rPr>
              <w:t xml:space="preserve">konkretizē </w:t>
            </w:r>
            <w:r w:rsidR="00311303" w:rsidRPr="00161C60">
              <w:rPr>
                <w:rFonts w:ascii="Times New Roman" w:hAnsi="Times New Roman"/>
                <w:bCs/>
                <w:sz w:val="24"/>
                <w:szCs w:val="24"/>
                <w:lang w:val="lv-LV"/>
              </w:rPr>
              <w:t xml:space="preserve">prasības </w:t>
            </w:r>
            <w:r w:rsidR="00D71F04" w:rsidRPr="00161C60">
              <w:rPr>
                <w:rFonts w:ascii="Times New Roman" w:hAnsi="Times New Roman"/>
                <w:bCs/>
                <w:sz w:val="24"/>
                <w:szCs w:val="24"/>
                <w:lang w:val="lv-LV"/>
              </w:rPr>
              <w:t xml:space="preserve">attiecībā uz pieļaujamajām </w:t>
            </w:r>
            <w:r w:rsidR="00D71F04" w:rsidRPr="00161C60">
              <w:rPr>
                <w:rFonts w:ascii="Times New Roman" w:hAnsi="Times New Roman"/>
                <w:sz w:val="24"/>
                <w:szCs w:val="24"/>
                <w:lang w:val="lv-LV"/>
              </w:rPr>
              <w:t>atšķirībām ražotājā starp paralēli importētajām zālēm un a</w:t>
            </w:r>
            <w:r w:rsidR="00CE76B2" w:rsidRPr="00161C60">
              <w:rPr>
                <w:rFonts w:ascii="Times New Roman" w:hAnsi="Times New Roman"/>
                <w:sz w:val="24"/>
                <w:szCs w:val="24"/>
                <w:lang w:val="lv-LV"/>
              </w:rPr>
              <w:t>ttiecīgajām reģistrētajām zālēm</w:t>
            </w:r>
            <w:r w:rsidR="00311303" w:rsidRPr="00161C60">
              <w:rPr>
                <w:rFonts w:ascii="Times New Roman" w:hAnsi="Times New Roman"/>
                <w:sz w:val="24"/>
                <w:szCs w:val="24"/>
                <w:lang w:val="lv-LV"/>
              </w:rPr>
              <w:t>, ņemot vērā attiecīgo Eiropas Savienības tiesas judikatūru</w:t>
            </w:r>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Case</w:t>
            </w:r>
            <w:proofErr w:type="spellEnd"/>
            <w:r w:rsidR="007E47EA" w:rsidRPr="00161C60">
              <w:rPr>
                <w:rFonts w:ascii="Times New Roman" w:hAnsi="Times New Roman"/>
                <w:sz w:val="24"/>
                <w:szCs w:val="24"/>
                <w:lang w:val="lv-LV"/>
              </w:rPr>
              <w:t xml:space="preserve"> C</w:t>
            </w:r>
            <w:r w:rsidR="00F60DF9" w:rsidRPr="00161C60">
              <w:rPr>
                <w:rFonts w:ascii="Times New Roman" w:hAnsi="Times New Roman"/>
                <w:sz w:val="24"/>
                <w:szCs w:val="24"/>
                <w:lang w:val="lv-LV"/>
              </w:rPr>
              <w:t> </w:t>
            </w:r>
            <w:r w:rsidR="007E47EA" w:rsidRPr="00161C60">
              <w:rPr>
                <w:rFonts w:ascii="Times New Roman" w:hAnsi="Times New Roman"/>
                <w:sz w:val="24"/>
                <w:szCs w:val="24"/>
                <w:lang w:val="lv-LV"/>
              </w:rPr>
              <w:t>-</w:t>
            </w:r>
            <w:r w:rsidR="00F60DF9" w:rsidRPr="00161C60">
              <w:rPr>
                <w:rFonts w:ascii="Times New Roman" w:hAnsi="Times New Roman"/>
                <w:sz w:val="24"/>
                <w:szCs w:val="24"/>
                <w:lang w:val="lv-LV"/>
              </w:rPr>
              <w:t> </w:t>
            </w:r>
            <w:r w:rsidR="007E47EA" w:rsidRPr="00161C60">
              <w:rPr>
                <w:rFonts w:ascii="Times New Roman" w:hAnsi="Times New Roman"/>
                <w:sz w:val="24"/>
                <w:szCs w:val="24"/>
                <w:lang w:val="lv-LV"/>
              </w:rPr>
              <w:t xml:space="preserve">94/98 </w:t>
            </w:r>
            <w:proofErr w:type="spellStart"/>
            <w:r w:rsidR="007E47EA" w:rsidRPr="00161C60">
              <w:rPr>
                <w:rFonts w:ascii="Times New Roman" w:hAnsi="Times New Roman"/>
                <w:sz w:val="24"/>
                <w:szCs w:val="24"/>
                <w:lang w:val="lv-LV"/>
              </w:rPr>
              <w:t>Rhone</w:t>
            </w:r>
            <w:proofErr w:type="spellEnd"/>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Poulenc</w:t>
            </w:r>
            <w:proofErr w:type="spellEnd"/>
            <w:r w:rsidR="007E47EA" w:rsidRPr="00161C60">
              <w:rPr>
                <w:rFonts w:ascii="Times New Roman" w:hAnsi="Times New Roman"/>
                <w:sz w:val="24"/>
                <w:szCs w:val="24"/>
                <w:lang w:val="lv-LV"/>
              </w:rPr>
              <w:t xml:space="preserve"> (1999) ECR I-08</w:t>
            </w:r>
            <w:r w:rsidR="005D1B6C"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Court</w:t>
            </w:r>
            <w:proofErr w:type="spellEnd"/>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in</w:t>
            </w:r>
            <w:proofErr w:type="spellEnd"/>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cases</w:t>
            </w:r>
            <w:proofErr w:type="spellEnd"/>
            <w:r w:rsidR="007E47EA" w:rsidRPr="00161C60">
              <w:rPr>
                <w:rFonts w:ascii="Times New Roman" w:hAnsi="Times New Roman"/>
                <w:sz w:val="24"/>
                <w:szCs w:val="24"/>
                <w:lang w:val="lv-LV"/>
              </w:rPr>
              <w:t xml:space="preserve"> 104/75 </w:t>
            </w:r>
            <w:proofErr w:type="spellStart"/>
            <w:r w:rsidR="007E47EA" w:rsidRPr="00161C60">
              <w:rPr>
                <w:rFonts w:ascii="Times New Roman" w:hAnsi="Times New Roman"/>
                <w:sz w:val="24"/>
                <w:szCs w:val="24"/>
                <w:lang w:val="lv-LV"/>
              </w:rPr>
              <w:t>De</w:t>
            </w:r>
            <w:proofErr w:type="spellEnd"/>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Peijper</w:t>
            </w:r>
            <w:proofErr w:type="spellEnd"/>
            <w:r w:rsidR="007E47EA" w:rsidRPr="00161C60">
              <w:rPr>
                <w:rFonts w:ascii="Times New Roman" w:hAnsi="Times New Roman"/>
                <w:sz w:val="24"/>
                <w:szCs w:val="24"/>
                <w:lang w:val="lv-LV"/>
              </w:rPr>
              <w:t xml:space="preserve"> (1976) ECR 613 </w:t>
            </w:r>
            <w:proofErr w:type="spellStart"/>
            <w:r w:rsidR="007E47EA" w:rsidRPr="00161C60">
              <w:rPr>
                <w:rFonts w:ascii="Times New Roman" w:hAnsi="Times New Roman"/>
                <w:sz w:val="24"/>
                <w:szCs w:val="24"/>
                <w:lang w:val="lv-LV"/>
              </w:rPr>
              <w:t>and</w:t>
            </w:r>
            <w:proofErr w:type="spellEnd"/>
            <w:r w:rsidR="007E47EA" w:rsidRPr="00161C60">
              <w:rPr>
                <w:rFonts w:ascii="Times New Roman" w:hAnsi="Times New Roman"/>
                <w:sz w:val="24"/>
                <w:szCs w:val="24"/>
                <w:lang w:val="lv-LV"/>
              </w:rPr>
              <w:t xml:space="preserve"> C-201/94 </w:t>
            </w:r>
            <w:proofErr w:type="spellStart"/>
            <w:r w:rsidR="007E47EA" w:rsidRPr="00161C60">
              <w:rPr>
                <w:rFonts w:ascii="Times New Roman" w:hAnsi="Times New Roman"/>
                <w:sz w:val="24"/>
                <w:szCs w:val="24"/>
                <w:lang w:val="lv-LV"/>
              </w:rPr>
              <w:t>Smith</w:t>
            </w:r>
            <w:proofErr w:type="spellEnd"/>
            <w:r w:rsidR="007E47EA" w:rsidRPr="00161C60">
              <w:rPr>
                <w:rFonts w:ascii="Times New Roman" w:hAnsi="Times New Roman"/>
                <w:sz w:val="24"/>
                <w:szCs w:val="24"/>
                <w:lang w:val="lv-LV"/>
              </w:rPr>
              <w:t xml:space="preserve"> &amp; </w:t>
            </w:r>
            <w:proofErr w:type="spellStart"/>
            <w:r w:rsidR="007E47EA" w:rsidRPr="00161C60">
              <w:rPr>
                <w:rFonts w:ascii="Times New Roman" w:hAnsi="Times New Roman"/>
                <w:sz w:val="24"/>
                <w:szCs w:val="24"/>
                <w:lang w:val="lv-LV"/>
              </w:rPr>
              <w:t>Nephew</w:t>
            </w:r>
            <w:proofErr w:type="spellEnd"/>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and</w:t>
            </w:r>
            <w:proofErr w:type="spellEnd"/>
            <w:r w:rsidR="007E47EA" w:rsidRPr="00161C60">
              <w:rPr>
                <w:rFonts w:ascii="Times New Roman" w:hAnsi="Times New Roman"/>
                <w:sz w:val="24"/>
                <w:szCs w:val="24"/>
                <w:lang w:val="lv-LV"/>
              </w:rPr>
              <w:t xml:space="preserve"> </w:t>
            </w:r>
            <w:proofErr w:type="spellStart"/>
            <w:r w:rsidR="007E47EA" w:rsidRPr="00161C60">
              <w:rPr>
                <w:rFonts w:ascii="Times New Roman" w:hAnsi="Times New Roman"/>
                <w:sz w:val="24"/>
                <w:szCs w:val="24"/>
                <w:lang w:val="lv-LV"/>
              </w:rPr>
              <w:t>Primecrown</w:t>
            </w:r>
            <w:proofErr w:type="spellEnd"/>
            <w:r w:rsidR="007E47EA" w:rsidRPr="00161C60">
              <w:rPr>
                <w:rFonts w:ascii="Times New Roman" w:hAnsi="Times New Roman"/>
                <w:sz w:val="24"/>
                <w:szCs w:val="24"/>
                <w:lang w:val="lv-LV"/>
              </w:rPr>
              <w:t xml:space="preserve"> (1996) ECR I-5819) </w:t>
            </w:r>
            <w:r w:rsidR="00D71F04" w:rsidRPr="00161C60">
              <w:rPr>
                <w:rFonts w:ascii="Times New Roman" w:hAnsi="Times New Roman"/>
                <w:sz w:val="24"/>
                <w:szCs w:val="24"/>
                <w:lang w:val="lv-LV"/>
              </w:rPr>
              <w:t>(Noteikumu projekta 1.2</w:t>
            </w:r>
            <w:r w:rsidR="004C1C16" w:rsidRPr="00161C60">
              <w:rPr>
                <w:rFonts w:ascii="Times New Roman" w:hAnsi="Times New Roman"/>
                <w:sz w:val="24"/>
                <w:szCs w:val="24"/>
                <w:lang w:val="lv-LV"/>
              </w:rPr>
              <w:t>0</w:t>
            </w:r>
            <w:r w:rsidR="00D71F04" w:rsidRPr="00161C60">
              <w:rPr>
                <w:rFonts w:ascii="Times New Roman" w:hAnsi="Times New Roman"/>
                <w:sz w:val="24"/>
                <w:szCs w:val="24"/>
                <w:lang w:val="lv-LV"/>
              </w:rPr>
              <w:t>.apakšpunkts)</w:t>
            </w:r>
            <w:r w:rsidR="00311303" w:rsidRPr="00161C60">
              <w:rPr>
                <w:rFonts w:ascii="Times New Roman" w:hAnsi="Times New Roman"/>
                <w:sz w:val="24"/>
                <w:szCs w:val="24"/>
                <w:lang w:val="lv-LV"/>
              </w:rPr>
              <w:t>, līdz ar to regulējums ir skaidrāks.</w:t>
            </w:r>
          </w:p>
          <w:p w:rsidR="007B313A" w:rsidRPr="00161C60" w:rsidRDefault="007B313A" w:rsidP="007B313A">
            <w:pPr>
              <w:pStyle w:val="tv213"/>
              <w:spacing w:before="0" w:beforeAutospacing="0" w:after="0" w:afterAutospacing="0" w:line="293" w:lineRule="atLeast"/>
              <w:jc w:val="both"/>
              <w:rPr>
                <w:sz w:val="28"/>
                <w:szCs w:val="28"/>
                <w:lang w:val="lv-LV"/>
              </w:rPr>
            </w:pPr>
          </w:p>
          <w:p w:rsidR="009366EA" w:rsidRPr="00161C60" w:rsidRDefault="00813221" w:rsidP="009366EA">
            <w:pPr>
              <w:pStyle w:val="NoSpacing"/>
              <w:jc w:val="both"/>
              <w:rPr>
                <w:rFonts w:ascii="Times New Roman" w:hAnsi="Times New Roman"/>
                <w:b/>
                <w:i/>
                <w:sz w:val="24"/>
                <w:szCs w:val="24"/>
                <w:lang w:val="lv-LV"/>
              </w:rPr>
            </w:pPr>
            <w:r w:rsidRPr="00161C60">
              <w:rPr>
                <w:rFonts w:ascii="Times New Roman" w:hAnsi="Times New Roman"/>
                <w:b/>
                <w:sz w:val="24"/>
                <w:szCs w:val="24"/>
                <w:lang w:val="lv-LV"/>
              </w:rPr>
              <w:t>c</w:t>
            </w:r>
            <w:r w:rsidR="00400F22" w:rsidRPr="00161C60">
              <w:rPr>
                <w:rFonts w:ascii="Times New Roman" w:hAnsi="Times New Roman"/>
                <w:b/>
                <w:sz w:val="24"/>
                <w:szCs w:val="24"/>
                <w:lang w:val="lv-LV"/>
              </w:rPr>
              <w:t>)</w:t>
            </w:r>
            <w:r w:rsidR="00400F22" w:rsidRPr="00161C60">
              <w:rPr>
                <w:rFonts w:ascii="Times New Roman" w:hAnsi="Times New Roman"/>
                <w:sz w:val="24"/>
                <w:szCs w:val="24"/>
                <w:lang w:val="lv-LV"/>
              </w:rPr>
              <w:t> </w:t>
            </w:r>
            <w:r w:rsidR="009366EA" w:rsidRPr="00161C60">
              <w:rPr>
                <w:rFonts w:ascii="Times New Roman" w:hAnsi="Times New Roman"/>
                <w:b/>
                <w:i/>
                <w:sz w:val="24"/>
                <w:szCs w:val="24"/>
                <w:lang w:val="lv-LV"/>
              </w:rPr>
              <w:t>Turpmāk</w:t>
            </w:r>
            <w:r w:rsidR="00881265" w:rsidRPr="00161C60">
              <w:rPr>
                <w:rFonts w:ascii="Times New Roman" w:hAnsi="Times New Roman"/>
                <w:b/>
                <w:i/>
                <w:sz w:val="24"/>
                <w:szCs w:val="24"/>
                <w:lang w:val="lv-LV"/>
              </w:rPr>
              <w:t xml:space="preserve"> zāļu vairumtirgotājam paralēlā importa atļauja būs jāsaņem tad, kad paralēli import</w:t>
            </w:r>
            <w:r w:rsidR="00FF4757" w:rsidRPr="00161C60">
              <w:rPr>
                <w:rFonts w:ascii="Times New Roman" w:hAnsi="Times New Roman"/>
                <w:b/>
                <w:i/>
                <w:sz w:val="24"/>
                <w:szCs w:val="24"/>
                <w:lang w:val="lv-LV"/>
              </w:rPr>
              <w:t xml:space="preserve">ētās zāles </w:t>
            </w:r>
            <w:r w:rsidR="006D185A" w:rsidRPr="00161C60">
              <w:rPr>
                <w:rFonts w:ascii="Times New Roman" w:hAnsi="Times New Roman"/>
                <w:b/>
                <w:i/>
                <w:sz w:val="24"/>
                <w:szCs w:val="24"/>
                <w:lang w:val="lv-LV"/>
              </w:rPr>
              <w:t>tiks laista</w:t>
            </w:r>
            <w:r w:rsidR="002419E7" w:rsidRPr="00161C60">
              <w:rPr>
                <w:rFonts w:ascii="Times New Roman" w:hAnsi="Times New Roman"/>
                <w:b/>
                <w:i/>
                <w:sz w:val="24"/>
                <w:szCs w:val="24"/>
                <w:lang w:val="lv-LV"/>
              </w:rPr>
              <w:t>s</w:t>
            </w:r>
            <w:r w:rsidR="006D185A" w:rsidRPr="00161C60">
              <w:rPr>
                <w:rFonts w:ascii="Times New Roman" w:hAnsi="Times New Roman"/>
                <w:b/>
                <w:i/>
                <w:sz w:val="24"/>
                <w:szCs w:val="24"/>
                <w:lang w:val="lv-LV"/>
              </w:rPr>
              <w:t xml:space="preserve"> pirmreizēji </w:t>
            </w:r>
            <w:r w:rsidR="00FF4757" w:rsidRPr="00161C60">
              <w:rPr>
                <w:rFonts w:ascii="Times New Roman" w:hAnsi="Times New Roman"/>
                <w:b/>
                <w:i/>
                <w:sz w:val="24"/>
                <w:szCs w:val="24"/>
                <w:lang w:val="lv-LV"/>
              </w:rPr>
              <w:t>tirgū Latvijā </w:t>
            </w:r>
            <w:r w:rsidR="005E7851" w:rsidRPr="00161C60">
              <w:rPr>
                <w:rFonts w:ascii="Times New Roman" w:hAnsi="Times New Roman"/>
                <w:b/>
                <w:i/>
                <w:sz w:val="24"/>
                <w:szCs w:val="24"/>
                <w:lang w:val="lv-LV"/>
              </w:rPr>
              <w:t>piegādei</w:t>
            </w:r>
            <w:r w:rsidR="002419E7" w:rsidRPr="00161C60">
              <w:rPr>
                <w:rFonts w:ascii="Times New Roman" w:hAnsi="Times New Roman"/>
                <w:b/>
                <w:i/>
                <w:sz w:val="24"/>
                <w:szCs w:val="24"/>
                <w:lang w:val="lv-LV"/>
              </w:rPr>
              <w:t xml:space="preserve"> </w:t>
            </w:r>
            <w:r w:rsidR="006D185A" w:rsidRPr="00161C60">
              <w:rPr>
                <w:rFonts w:ascii="Times New Roman" w:hAnsi="Times New Roman"/>
                <w:b/>
                <w:i/>
                <w:sz w:val="24"/>
                <w:szCs w:val="24"/>
                <w:lang w:val="lv-LV"/>
              </w:rPr>
              <w:t>aptiekai, ārstniecības iestādei</w:t>
            </w:r>
            <w:r w:rsidR="00881265" w:rsidRPr="00161C60">
              <w:rPr>
                <w:rFonts w:ascii="Times New Roman" w:hAnsi="Times New Roman"/>
                <w:b/>
                <w:i/>
                <w:sz w:val="24"/>
                <w:szCs w:val="24"/>
                <w:lang w:val="lv-LV"/>
              </w:rPr>
              <w:t xml:space="preserve">, </w:t>
            </w:r>
            <w:r w:rsidR="006D185A" w:rsidRPr="00161C60">
              <w:rPr>
                <w:rFonts w:ascii="Times New Roman" w:hAnsi="Times New Roman"/>
                <w:b/>
                <w:i/>
                <w:sz w:val="24"/>
                <w:szCs w:val="24"/>
                <w:lang w:val="lv-LV"/>
              </w:rPr>
              <w:t>sociālās aprūpes institūcijai, praktizējošajam veterinārārstam</w:t>
            </w:r>
            <w:r w:rsidR="00881265" w:rsidRPr="00161C60">
              <w:rPr>
                <w:rFonts w:ascii="Times New Roman" w:hAnsi="Times New Roman"/>
                <w:b/>
                <w:i/>
                <w:sz w:val="24"/>
                <w:szCs w:val="24"/>
                <w:lang w:val="lv-LV"/>
              </w:rPr>
              <w:t xml:space="preserve"> un veteri</w:t>
            </w:r>
            <w:r w:rsidR="006D185A" w:rsidRPr="00161C60">
              <w:rPr>
                <w:rFonts w:ascii="Times New Roman" w:hAnsi="Times New Roman"/>
                <w:b/>
                <w:i/>
                <w:sz w:val="24"/>
                <w:szCs w:val="24"/>
                <w:lang w:val="lv-LV"/>
              </w:rPr>
              <w:t>nārmedicīniskās aprūpes iestādei</w:t>
            </w:r>
            <w:r w:rsidR="00881265" w:rsidRPr="00161C60">
              <w:rPr>
                <w:rFonts w:ascii="Times New Roman" w:hAnsi="Times New Roman"/>
                <w:b/>
                <w:i/>
                <w:sz w:val="24"/>
                <w:szCs w:val="24"/>
                <w:lang w:val="lv-LV"/>
              </w:rPr>
              <w:t>.</w:t>
            </w:r>
            <w:r w:rsidR="006D185A" w:rsidRPr="00161C60">
              <w:rPr>
                <w:rFonts w:ascii="Times New Roman" w:hAnsi="Times New Roman"/>
                <w:b/>
                <w:i/>
                <w:sz w:val="24"/>
                <w:szCs w:val="24"/>
                <w:lang w:val="lv-LV"/>
              </w:rPr>
              <w:t xml:space="preserve"> </w:t>
            </w:r>
            <w:r w:rsidR="005E7851" w:rsidRPr="00161C60">
              <w:rPr>
                <w:rFonts w:ascii="Times New Roman" w:hAnsi="Times New Roman"/>
                <w:b/>
                <w:i/>
                <w:sz w:val="24"/>
                <w:szCs w:val="24"/>
                <w:lang w:val="lv-LV"/>
              </w:rPr>
              <w:t xml:space="preserve">Paralēli importētās zāles, par kurām būs izsniegta </w:t>
            </w:r>
            <w:r w:rsidR="00342218" w:rsidRPr="00161C60">
              <w:rPr>
                <w:rFonts w:ascii="Times New Roman" w:hAnsi="Times New Roman"/>
                <w:b/>
                <w:i/>
                <w:sz w:val="24"/>
                <w:szCs w:val="24"/>
                <w:lang w:val="lv-LV"/>
              </w:rPr>
              <w:t>A</w:t>
            </w:r>
            <w:r w:rsidR="005E7851" w:rsidRPr="00161C60">
              <w:rPr>
                <w:rFonts w:ascii="Times New Roman" w:hAnsi="Times New Roman"/>
                <w:b/>
                <w:i/>
                <w:sz w:val="24"/>
                <w:szCs w:val="24"/>
                <w:lang w:val="lv-LV"/>
              </w:rPr>
              <w:t>ģentūras atļauja paralēli importēto zāļu izplatīšanai, drīkstēs piegādāt aptiekai, ārstniecības iestādei, sociālās aprūpes institūcijai, praktizējošajam veterinārārstam un veterinārmedicīniskās aprūpes iestā</w:t>
            </w:r>
            <w:r w:rsidR="002419E7" w:rsidRPr="00161C60">
              <w:rPr>
                <w:rFonts w:ascii="Times New Roman" w:hAnsi="Times New Roman"/>
                <w:b/>
                <w:i/>
                <w:sz w:val="24"/>
                <w:szCs w:val="24"/>
                <w:lang w:val="lv-LV"/>
              </w:rPr>
              <w:t>dei arī citas zāļu lieltirgotava</w:t>
            </w:r>
            <w:r w:rsidR="005E7851" w:rsidRPr="00161C60">
              <w:rPr>
                <w:rFonts w:ascii="Times New Roman" w:hAnsi="Times New Roman"/>
                <w:b/>
                <w:i/>
                <w:sz w:val="24"/>
                <w:szCs w:val="24"/>
                <w:lang w:val="lv-LV"/>
              </w:rPr>
              <w:t>s</w:t>
            </w:r>
            <w:r w:rsidR="002419E7" w:rsidRPr="00161C60">
              <w:rPr>
                <w:rFonts w:ascii="Times New Roman" w:hAnsi="Times New Roman"/>
                <w:b/>
                <w:i/>
                <w:sz w:val="24"/>
                <w:szCs w:val="24"/>
                <w:lang w:val="lv-LV"/>
              </w:rPr>
              <w:t xml:space="preserve"> (kuras paralēli importētās zāles būs </w:t>
            </w:r>
            <w:r w:rsidR="002419E7" w:rsidRPr="00161C60">
              <w:rPr>
                <w:rFonts w:ascii="Times New Roman" w:hAnsi="Times New Roman"/>
                <w:b/>
                <w:i/>
                <w:sz w:val="24"/>
                <w:szCs w:val="24"/>
                <w:lang w:val="lv-LV"/>
              </w:rPr>
              <w:lastRenderedPageBreak/>
              <w:t>iegādājušās no paralēlā importētāja, kuram ir Aģentūras izsniegta atļauja paralēli importēto zāļu izplatīšanai)</w:t>
            </w:r>
            <w:r w:rsidR="005E7851" w:rsidRPr="00161C60">
              <w:rPr>
                <w:rFonts w:ascii="Times New Roman" w:hAnsi="Times New Roman"/>
                <w:b/>
                <w:i/>
                <w:sz w:val="24"/>
                <w:szCs w:val="24"/>
                <w:lang w:val="lv-LV"/>
              </w:rPr>
              <w:t xml:space="preserve"> </w:t>
            </w:r>
            <w:r w:rsidR="000B5624" w:rsidRPr="00161C60">
              <w:rPr>
                <w:rFonts w:ascii="Times New Roman" w:hAnsi="Times New Roman"/>
                <w:b/>
                <w:i/>
                <w:sz w:val="24"/>
                <w:szCs w:val="24"/>
                <w:lang w:val="lv-LV"/>
              </w:rPr>
              <w:t xml:space="preserve">bez atsevišķas </w:t>
            </w:r>
            <w:r w:rsidR="00900591" w:rsidRPr="00161C60">
              <w:rPr>
                <w:rFonts w:ascii="Times New Roman" w:hAnsi="Times New Roman"/>
                <w:b/>
                <w:i/>
                <w:sz w:val="24"/>
                <w:szCs w:val="24"/>
                <w:lang w:val="lv-LV"/>
              </w:rPr>
              <w:t>A</w:t>
            </w:r>
            <w:r w:rsidR="000B5624" w:rsidRPr="00161C60">
              <w:rPr>
                <w:rFonts w:ascii="Times New Roman" w:hAnsi="Times New Roman"/>
                <w:b/>
                <w:i/>
                <w:sz w:val="24"/>
                <w:szCs w:val="24"/>
                <w:lang w:val="lv-LV"/>
              </w:rPr>
              <w:t>ģentūras atļaujas.</w:t>
            </w:r>
          </w:p>
          <w:p w:rsidR="009366EA" w:rsidRPr="00161C60" w:rsidRDefault="009366EA" w:rsidP="009366EA">
            <w:pPr>
              <w:pStyle w:val="NoSpacing"/>
              <w:jc w:val="both"/>
              <w:rPr>
                <w:rFonts w:ascii="Times New Roman" w:hAnsi="Times New Roman"/>
                <w:sz w:val="24"/>
                <w:szCs w:val="24"/>
                <w:lang w:val="lv-LV"/>
              </w:rPr>
            </w:pPr>
            <w:r w:rsidRPr="00161C60">
              <w:rPr>
                <w:rFonts w:ascii="Times New Roman" w:hAnsi="Times New Roman"/>
                <w:sz w:val="24"/>
                <w:szCs w:val="24"/>
                <w:lang w:val="lv-LV"/>
              </w:rPr>
              <w:t>Eiropas Savienībā zāļu paralēlais imports ir regulēta nozare, kas balstās uz Līguma par</w:t>
            </w:r>
            <w:r w:rsidR="00ED0AD1" w:rsidRPr="00161C60">
              <w:rPr>
                <w:rFonts w:ascii="Times New Roman" w:hAnsi="Times New Roman"/>
                <w:sz w:val="24"/>
                <w:szCs w:val="24"/>
                <w:lang w:val="lv-LV"/>
              </w:rPr>
              <w:t xml:space="preserve"> Eiropas Savienības darbību 34.</w:t>
            </w:r>
            <w:r w:rsidRPr="00161C60">
              <w:rPr>
                <w:rFonts w:ascii="Times New Roman" w:hAnsi="Times New Roman"/>
                <w:sz w:val="24"/>
                <w:szCs w:val="24"/>
                <w:lang w:val="lv-LV"/>
              </w:rPr>
              <w:t xml:space="preserve">pantu (bijušais EKL 28. pants), saskaņā ar kuru dalībvalstu starpā ir aizliegti importa kvantitatīvie ierobežojumi un citi pasākumi ar līdzvērtīgu iedarbību. Eiropas Komisijas 2003.gada 30.decembra paziņojumā ”Eiropas Komisijas komunikācija par to zāļu paralēlo importu, kurām ir jau piešķirta tirdzniecība atļauja” (COM(2003) 839 </w:t>
            </w:r>
            <w:proofErr w:type="spellStart"/>
            <w:r w:rsidRPr="00161C60">
              <w:rPr>
                <w:rFonts w:ascii="Times New Roman" w:hAnsi="Times New Roman"/>
                <w:sz w:val="24"/>
                <w:szCs w:val="24"/>
                <w:lang w:val="lv-LV"/>
              </w:rPr>
              <w:t>final</w:t>
            </w:r>
            <w:proofErr w:type="spellEnd"/>
            <w:r w:rsidRPr="00161C60">
              <w:rPr>
                <w:rFonts w:ascii="Times New Roman" w:hAnsi="Times New Roman"/>
                <w:sz w:val="24"/>
                <w:szCs w:val="24"/>
                <w:lang w:val="lv-LV"/>
              </w:rPr>
              <w:t>)</w:t>
            </w:r>
            <w:r w:rsidRPr="00161C60">
              <w:rPr>
                <w:rStyle w:val="FootnoteReference"/>
                <w:rFonts w:ascii="Times New Roman" w:hAnsi="Times New Roman"/>
                <w:sz w:val="24"/>
                <w:szCs w:val="24"/>
                <w:lang w:val="lv-LV"/>
              </w:rPr>
              <w:footnoteReference w:id="1"/>
            </w:r>
            <w:r w:rsidRPr="00161C60">
              <w:rPr>
                <w:rFonts w:ascii="Times New Roman" w:hAnsi="Times New Roman"/>
                <w:sz w:val="24"/>
                <w:szCs w:val="24"/>
                <w:lang w:val="lv-LV"/>
              </w:rPr>
              <w:t xml:space="preserve"> ir sniegta jēdziena “zāļu paralēlā importēšana” izpratne, saskaņā ar kuru zāļu paralēlais imports nozīmē zāļu importēšanu no vienas valsts citā un tās sekojošu izplatīšanu ārpus ražotāja vai tā pilnvarota izplatītāja</w:t>
            </w:r>
            <w:r w:rsidR="00400F22" w:rsidRPr="00161C60">
              <w:rPr>
                <w:rFonts w:ascii="Times New Roman" w:hAnsi="Times New Roman"/>
                <w:sz w:val="24"/>
                <w:szCs w:val="24"/>
                <w:lang w:val="lv-LV"/>
              </w:rPr>
              <w:t xml:space="preserve"> izveidota izplatīšanas tīkla.</w:t>
            </w:r>
          </w:p>
          <w:p w:rsidR="00B56C58" w:rsidRPr="00161C60" w:rsidRDefault="009366EA" w:rsidP="009366EA">
            <w:pPr>
              <w:pStyle w:val="NoSpacing"/>
              <w:jc w:val="both"/>
              <w:rPr>
                <w:rFonts w:ascii="Times New Roman" w:hAnsi="Times New Roman"/>
                <w:sz w:val="24"/>
                <w:szCs w:val="24"/>
                <w:lang w:val="lv-LV"/>
              </w:rPr>
            </w:pPr>
            <w:r w:rsidRPr="00161C60">
              <w:rPr>
                <w:rFonts w:ascii="Times New Roman" w:hAnsi="Times New Roman"/>
                <w:bCs/>
                <w:sz w:val="24"/>
                <w:szCs w:val="24"/>
                <w:lang w:val="lv-LV"/>
              </w:rPr>
              <w:t xml:space="preserve">Pašreiz </w:t>
            </w:r>
            <w:r w:rsidRPr="00161C60">
              <w:rPr>
                <w:rFonts w:ascii="Times New Roman" w:hAnsi="Times New Roman"/>
                <w:sz w:val="24"/>
                <w:szCs w:val="24"/>
                <w:lang w:val="lv-LV"/>
              </w:rPr>
              <w:t xml:space="preserve">regulējums MK noteikumu Nr.416 </w:t>
            </w:r>
            <w:r w:rsidR="0081723F" w:rsidRPr="00161C60">
              <w:rPr>
                <w:rFonts w:ascii="Times New Roman" w:hAnsi="Times New Roman"/>
                <w:sz w:val="24"/>
                <w:szCs w:val="24"/>
                <w:lang w:val="lv-LV"/>
              </w:rPr>
              <w:t>6. un 7.</w:t>
            </w:r>
            <w:r w:rsidRPr="00161C60">
              <w:rPr>
                <w:rFonts w:ascii="Times New Roman" w:hAnsi="Times New Roman"/>
                <w:sz w:val="24"/>
                <w:szCs w:val="24"/>
                <w:lang w:val="lv-LV"/>
              </w:rPr>
              <w:t xml:space="preserve">punktā nav skaidrs, </w:t>
            </w:r>
            <w:r w:rsidR="0081723F" w:rsidRPr="00161C60">
              <w:rPr>
                <w:rFonts w:ascii="Times New Roman" w:hAnsi="Times New Roman"/>
                <w:sz w:val="24"/>
                <w:szCs w:val="24"/>
                <w:lang w:val="lv-LV"/>
              </w:rPr>
              <w:t>kam nepieciešams</w:t>
            </w:r>
            <w:r w:rsidR="00727ACB" w:rsidRPr="00161C60">
              <w:rPr>
                <w:rFonts w:ascii="Times New Roman" w:hAnsi="Times New Roman"/>
                <w:sz w:val="24"/>
                <w:szCs w:val="24"/>
                <w:lang w:val="lv-LV"/>
              </w:rPr>
              <w:t xml:space="preserve"> </w:t>
            </w:r>
            <w:r w:rsidR="0081723F" w:rsidRPr="00161C60">
              <w:rPr>
                <w:rFonts w:ascii="Times New Roman" w:hAnsi="Times New Roman"/>
                <w:sz w:val="24"/>
                <w:szCs w:val="24"/>
                <w:lang w:val="lv-LV"/>
              </w:rPr>
              <w:t>saņemt</w:t>
            </w:r>
            <w:r w:rsidRPr="00161C60">
              <w:rPr>
                <w:rFonts w:ascii="Times New Roman" w:hAnsi="Times New Roman"/>
                <w:sz w:val="24"/>
                <w:szCs w:val="24"/>
                <w:lang w:val="lv-LV"/>
              </w:rPr>
              <w:t xml:space="preserve"> paralēli impo</w:t>
            </w:r>
            <w:r w:rsidR="00FB0E64" w:rsidRPr="00161C60">
              <w:rPr>
                <w:rFonts w:ascii="Times New Roman" w:hAnsi="Times New Roman"/>
                <w:sz w:val="24"/>
                <w:szCs w:val="24"/>
                <w:lang w:val="lv-LV"/>
              </w:rPr>
              <w:t>rtēto zāļu izplatīšanas atļauju</w:t>
            </w:r>
            <w:r w:rsidR="00F4376A" w:rsidRPr="00161C60">
              <w:rPr>
                <w:rFonts w:ascii="Times New Roman" w:hAnsi="Times New Roman"/>
                <w:sz w:val="24"/>
                <w:szCs w:val="24"/>
                <w:lang w:val="lv-LV"/>
              </w:rPr>
              <w:t>.</w:t>
            </w:r>
          </w:p>
          <w:p w:rsidR="009366EA" w:rsidRPr="00161C60" w:rsidRDefault="0081723F" w:rsidP="009366EA">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Lai neradītu paralēlā importa un paralēlās izplatīšanas definīcijas nepareizu interpretāciju, no kā var </w:t>
            </w:r>
            <w:r w:rsidR="009A1E2D" w:rsidRPr="00161C60">
              <w:rPr>
                <w:rFonts w:ascii="Times New Roman" w:hAnsi="Times New Roman"/>
                <w:sz w:val="24"/>
                <w:szCs w:val="24"/>
                <w:lang w:val="lv-LV"/>
              </w:rPr>
              <w:t>rasties</w:t>
            </w:r>
            <w:r w:rsidRPr="00161C60">
              <w:rPr>
                <w:rFonts w:ascii="Times New Roman" w:hAnsi="Times New Roman"/>
                <w:sz w:val="24"/>
                <w:szCs w:val="24"/>
                <w:lang w:val="lv-LV"/>
              </w:rPr>
              <w:t xml:space="preserve"> ierobežojums</w:t>
            </w:r>
            <w:r w:rsidR="009366EA" w:rsidRPr="00161C60">
              <w:rPr>
                <w:rFonts w:ascii="Times New Roman" w:hAnsi="Times New Roman"/>
                <w:sz w:val="24"/>
                <w:szCs w:val="24"/>
                <w:lang w:val="lv-LV"/>
              </w:rPr>
              <w:t xml:space="preserve"> brīvai preču kustībai, </w:t>
            </w:r>
            <w:r w:rsidRPr="00161C60">
              <w:rPr>
                <w:rFonts w:ascii="Times New Roman" w:hAnsi="Times New Roman"/>
                <w:sz w:val="24"/>
                <w:szCs w:val="24"/>
                <w:lang w:val="lv-LV"/>
              </w:rPr>
              <w:t xml:space="preserve">un ierobežojums starptautiskai tirdzniecībai, </w:t>
            </w:r>
            <w:r w:rsidR="009366EA" w:rsidRPr="00161C60">
              <w:rPr>
                <w:rFonts w:ascii="Times New Roman" w:hAnsi="Times New Roman"/>
                <w:sz w:val="24"/>
                <w:szCs w:val="24"/>
                <w:lang w:val="lv-LV"/>
              </w:rPr>
              <w:t>regulējums tiek konkretizēts (</w:t>
            </w:r>
            <w:r w:rsidRPr="00161C60">
              <w:rPr>
                <w:rFonts w:ascii="Times New Roman" w:hAnsi="Times New Roman"/>
                <w:sz w:val="24"/>
                <w:szCs w:val="24"/>
                <w:lang w:val="lv-LV"/>
              </w:rPr>
              <w:t>Noteikumu projekta 1.</w:t>
            </w:r>
            <w:r w:rsidR="00316BFA" w:rsidRPr="00161C60">
              <w:rPr>
                <w:rFonts w:ascii="Times New Roman" w:hAnsi="Times New Roman"/>
                <w:sz w:val="24"/>
                <w:szCs w:val="24"/>
                <w:lang w:val="lv-LV"/>
              </w:rPr>
              <w:t>3</w:t>
            </w:r>
            <w:r w:rsidR="009366EA" w:rsidRPr="00161C60">
              <w:rPr>
                <w:rFonts w:ascii="Times New Roman" w:hAnsi="Times New Roman"/>
                <w:sz w:val="24"/>
                <w:szCs w:val="24"/>
                <w:lang w:val="lv-LV"/>
              </w:rPr>
              <w:t>.</w:t>
            </w:r>
            <w:r w:rsidR="00316BFA" w:rsidRPr="00161C60">
              <w:rPr>
                <w:rFonts w:ascii="Times New Roman" w:hAnsi="Times New Roman"/>
                <w:sz w:val="24"/>
                <w:szCs w:val="24"/>
                <w:lang w:val="lv-LV"/>
              </w:rPr>
              <w:t>apakš</w:t>
            </w:r>
            <w:r w:rsidR="009366EA" w:rsidRPr="00161C60">
              <w:rPr>
                <w:rFonts w:ascii="Times New Roman" w:hAnsi="Times New Roman"/>
                <w:sz w:val="24"/>
                <w:szCs w:val="24"/>
                <w:lang w:val="lv-LV"/>
              </w:rPr>
              <w:t>punkts)</w:t>
            </w:r>
            <w:r w:rsidR="00CC367D" w:rsidRPr="00161C60">
              <w:rPr>
                <w:rFonts w:ascii="Times New Roman" w:hAnsi="Times New Roman"/>
                <w:sz w:val="24"/>
                <w:szCs w:val="24"/>
                <w:lang w:val="lv-LV"/>
              </w:rPr>
              <w:t>.</w:t>
            </w:r>
            <w:r w:rsidR="00C875D5" w:rsidRPr="00161C60">
              <w:rPr>
                <w:rFonts w:ascii="Times New Roman" w:hAnsi="Times New Roman"/>
                <w:sz w:val="24"/>
                <w:szCs w:val="24"/>
                <w:lang w:val="lv-LV"/>
              </w:rPr>
              <w:t xml:space="preserve"> </w:t>
            </w:r>
            <w:r w:rsidR="009366EA" w:rsidRPr="00161C60">
              <w:rPr>
                <w:rFonts w:ascii="Times New Roman" w:hAnsi="Times New Roman"/>
                <w:sz w:val="24"/>
                <w:szCs w:val="24"/>
                <w:lang w:val="lv-LV"/>
              </w:rPr>
              <w:t>Līdz ar likvidēti šķēršļi pakalpojumu darbībai, prasības padarot mazāk ierobežojošas.</w:t>
            </w:r>
            <w:r w:rsidR="00CC367D" w:rsidRPr="00161C60">
              <w:rPr>
                <w:rFonts w:ascii="Times New Roman" w:hAnsi="Times New Roman"/>
                <w:sz w:val="24"/>
                <w:szCs w:val="24"/>
                <w:lang w:val="lv-LV"/>
              </w:rPr>
              <w:t xml:space="preserve"> </w:t>
            </w:r>
            <w:r w:rsidR="00C0316B" w:rsidRPr="00161C60">
              <w:rPr>
                <w:rFonts w:ascii="Times New Roman" w:hAnsi="Times New Roman"/>
                <w:sz w:val="24"/>
                <w:szCs w:val="24"/>
                <w:lang w:val="lv-LV"/>
              </w:rPr>
              <w:t>Vi</w:t>
            </w:r>
            <w:r w:rsidR="00CC367D" w:rsidRPr="00161C60">
              <w:rPr>
                <w:rFonts w:ascii="Times New Roman" w:hAnsi="Times New Roman"/>
                <w:sz w:val="24"/>
                <w:szCs w:val="24"/>
                <w:lang w:val="lv-LV"/>
              </w:rPr>
              <w:t xml:space="preserve">enlaicīgi paralēli importēto zāļu uzraudzībai tiek konkretizēta informācija, kāda par paralēli importētām zālēm sniedzama </w:t>
            </w:r>
            <w:proofErr w:type="spellStart"/>
            <w:r w:rsidR="00CC367D" w:rsidRPr="00161C60">
              <w:rPr>
                <w:rFonts w:ascii="Times New Roman" w:hAnsi="Times New Roman"/>
                <w:sz w:val="24"/>
                <w:szCs w:val="24"/>
                <w:lang w:val="lv-LV"/>
              </w:rPr>
              <w:t>Aģenturai</w:t>
            </w:r>
            <w:proofErr w:type="spellEnd"/>
            <w:r w:rsidR="00CC367D" w:rsidRPr="00161C60">
              <w:rPr>
                <w:rFonts w:ascii="Times New Roman" w:hAnsi="Times New Roman"/>
                <w:sz w:val="24"/>
                <w:szCs w:val="24"/>
                <w:lang w:val="lv-LV"/>
              </w:rPr>
              <w:t xml:space="preserve"> (Noteikumu projekta 1.13.apakšpunkts).</w:t>
            </w:r>
          </w:p>
          <w:p w:rsidR="009366EA" w:rsidRPr="00161C60" w:rsidRDefault="009366EA" w:rsidP="00AE3B95">
            <w:pPr>
              <w:pStyle w:val="NoSpacing"/>
              <w:jc w:val="both"/>
              <w:rPr>
                <w:rFonts w:ascii="Times New Roman" w:hAnsi="Times New Roman"/>
                <w:sz w:val="24"/>
                <w:szCs w:val="24"/>
                <w:lang w:val="lv-LV"/>
              </w:rPr>
            </w:pPr>
          </w:p>
          <w:p w:rsidR="009366EA" w:rsidRPr="00161C60" w:rsidRDefault="00813221" w:rsidP="009366EA">
            <w:pPr>
              <w:jc w:val="both"/>
            </w:pPr>
            <w:r w:rsidRPr="00161C60">
              <w:rPr>
                <w:b/>
              </w:rPr>
              <w:t>d</w:t>
            </w:r>
            <w:r w:rsidR="000860A8" w:rsidRPr="00161C60">
              <w:rPr>
                <w:b/>
              </w:rPr>
              <w:t>)</w:t>
            </w:r>
            <w:r w:rsidR="009366EA" w:rsidRPr="00161C60">
              <w:t> </w:t>
            </w:r>
            <w:r w:rsidR="00CC6903" w:rsidRPr="00161C60">
              <w:rPr>
                <w:b/>
                <w:i/>
              </w:rPr>
              <w:t xml:space="preserve">Turpmāk </w:t>
            </w:r>
            <w:r w:rsidR="004C7AED" w:rsidRPr="00161C60">
              <w:rPr>
                <w:b/>
                <w:i/>
              </w:rPr>
              <w:t>A</w:t>
            </w:r>
            <w:r w:rsidR="00CC6903" w:rsidRPr="00161C60">
              <w:rPr>
                <w:b/>
                <w:i/>
              </w:rPr>
              <w:t>ģentūra izsniegs paralēlajam importētājam</w:t>
            </w:r>
            <w:r w:rsidR="009366EA" w:rsidRPr="00161C60">
              <w:rPr>
                <w:b/>
                <w:i/>
              </w:rPr>
              <w:t xml:space="preserve"> apstiprināt</w:t>
            </w:r>
            <w:r w:rsidR="00CC6903" w:rsidRPr="00161C60">
              <w:rPr>
                <w:b/>
                <w:i/>
              </w:rPr>
              <w:t>o</w:t>
            </w:r>
            <w:r w:rsidR="009366EA" w:rsidRPr="00161C60">
              <w:rPr>
                <w:b/>
                <w:i/>
              </w:rPr>
              <w:t xml:space="preserve"> zāļu lietošanas instrukcij</w:t>
            </w:r>
            <w:r w:rsidR="00CC6903" w:rsidRPr="00161C60">
              <w:rPr>
                <w:b/>
                <w:i/>
              </w:rPr>
              <w:t>u</w:t>
            </w:r>
            <w:r w:rsidR="009366EA" w:rsidRPr="00161C60">
              <w:rPr>
                <w:b/>
                <w:i/>
              </w:rPr>
              <w:t xml:space="preserve"> zāļu apraksta vietā</w:t>
            </w:r>
            <w:r w:rsidR="00AE3B95" w:rsidRPr="00161C60">
              <w:rPr>
                <w:b/>
                <w:i/>
              </w:rPr>
              <w:t>.</w:t>
            </w:r>
          </w:p>
          <w:p w:rsidR="00CC6903" w:rsidRPr="00161C60" w:rsidRDefault="00CC6903" w:rsidP="009366EA">
            <w:pPr>
              <w:jc w:val="both"/>
            </w:pPr>
          </w:p>
          <w:p w:rsidR="00B56C58" w:rsidRPr="00161C60" w:rsidRDefault="009366EA" w:rsidP="009366EA">
            <w:pPr>
              <w:jc w:val="both"/>
            </w:pPr>
            <w:r w:rsidRPr="00161C60">
              <w:t xml:space="preserve">Pašreiz pēc izmaiņu apstiprināšanas reģistrētajās zālēs </w:t>
            </w:r>
            <w:r w:rsidR="001E1674" w:rsidRPr="00161C60">
              <w:t>A</w:t>
            </w:r>
            <w:r w:rsidRPr="00161C60">
              <w:t xml:space="preserve">ģentūras pienākums ir izsniegt paralēlajam importētājam zāļu aprakstu ar </w:t>
            </w:r>
            <w:r w:rsidR="008A57B3" w:rsidRPr="00161C60">
              <w:t>A</w:t>
            </w:r>
            <w:r w:rsidRPr="00161C60">
              <w:t>ģen</w:t>
            </w:r>
            <w:r w:rsidR="00F4376A" w:rsidRPr="00161C60">
              <w:t>tūras apstiprinātajām izmaiņām.</w:t>
            </w:r>
          </w:p>
          <w:p w:rsidR="00B56C58" w:rsidRPr="00161C60" w:rsidRDefault="009366EA" w:rsidP="009366EA">
            <w:pPr>
              <w:jc w:val="both"/>
            </w:pPr>
            <w:r w:rsidRPr="00161C60">
              <w:t>Pamatojoties uz saņemto zāļu aprakstu, paralēlais importētājs var sagatavot nepieciešamās izmaiņas paralēli importēto zāļu lietošanas instrukcijā un marķējumā, kuras viņam jāiesniedz apstiprināšanai</w:t>
            </w:r>
            <w:r w:rsidR="00881265" w:rsidRPr="00161C60">
              <w:t xml:space="preserve"> </w:t>
            </w:r>
            <w:r w:rsidR="0064283B" w:rsidRPr="00161C60">
              <w:t>A</w:t>
            </w:r>
            <w:r w:rsidRPr="00161C60">
              <w:t>ģentūrā.</w:t>
            </w:r>
          </w:p>
          <w:p w:rsidR="009366EA" w:rsidRPr="00161C60" w:rsidRDefault="009366EA" w:rsidP="009366EA">
            <w:pPr>
              <w:jc w:val="both"/>
            </w:pPr>
            <w:r w:rsidRPr="00161C60">
              <w:t xml:space="preserve">Saskaņā ar grozījumu MK noteikumu Nr.416 46.2.apakšpunktā, </w:t>
            </w:r>
            <w:r w:rsidRPr="00161C60">
              <w:rPr>
                <w:i/>
              </w:rPr>
              <w:t>turpmāk</w:t>
            </w:r>
            <w:r w:rsidR="00F4376A" w:rsidRPr="00161C60">
              <w:t xml:space="preserve">, </w:t>
            </w:r>
            <w:r w:rsidR="00DF7C8A" w:rsidRPr="00161C60">
              <w:t>A</w:t>
            </w:r>
            <w:r w:rsidRPr="00161C60">
              <w:t xml:space="preserve">ģentūra zāļu apraksta vietā paralēlajam importētājam izsniegs apstiprināto zāļu lietošanas instrukciju, kuru paralēlajam importētājam būs jāpielāgo paralēli importētajām zālēm, kā arī sniegs informāciju par atlikušo zāļu krājumu izplatīšanas nosacījumiem (Noteikumu projekta </w:t>
            </w:r>
            <w:r w:rsidR="004B0AD6" w:rsidRPr="00161C60">
              <w:t>1.2</w:t>
            </w:r>
            <w:r w:rsidR="007E65CC" w:rsidRPr="00161C60">
              <w:t>4</w:t>
            </w:r>
            <w:r w:rsidR="00AE3B95" w:rsidRPr="00161C60">
              <w:t>.apakšpunkts</w:t>
            </w:r>
            <w:r w:rsidRPr="00161C60">
              <w:t xml:space="preserve">). Līdz ar to tiek </w:t>
            </w:r>
            <w:r w:rsidRPr="00161C60">
              <w:rPr>
                <w:rFonts w:eastAsia="Calibri"/>
              </w:rPr>
              <w:t>likvidēti šķēršļi pakalpojumu darbībai, prasības padarot mazāk ierobežojošas.</w:t>
            </w:r>
          </w:p>
          <w:p w:rsidR="00813221" w:rsidRPr="00161C60" w:rsidRDefault="00813221" w:rsidP="009366EA">
            <w:pPr>
              <w:keepLines/>
              <w:autoSpaceDE w:val="0"/>
              <w:autoSpaceDN w:val="0"/>
              <w:adjustRightInd w:val="0"/>
              <w:jc w:val="both"/>
            </w:pPr>
          </w:p>
          <w:p w:rsidR="009366EA" w:rsidRPr="00161C60" w:rsidRDefault="00813221" w:rsidP="009366EA">
            <w:pPr>
              <w:keepLines/>
              <w:autoSpaceDE w:val="0"/>
              <w:autoSpaceDN w:val="0"/>
              <w:adjustRightInd w:val="0"/>
              <w:jc w:val="both"/>
            </w:pPr>
            <w:r w:rsidRPr="00161C60">
              <w:rPr>
                <w:b/>
              </w:rPr>
              <w:t>e</w:t>
            </w:r>
            <w:r w:rsidR="000860A8" w:rsidRPr="00161C60">
              <w:rPr>
                <w:b/>
              </w:rPr>
              <w:t>)</w:t>
            </w:r>
            <w:r w:rsidR="009366EA" w:rsidRPr="00161C60">
              <w:t> </w:t>
            </w:r>
            <w:r w:rsidR="00B56C58" w:rsidRPr="00161C60">
              <w:rPr>
                <w:b/>
                <w:i/>
              </w:rPr>
              <w:t xml:space="preserve">Tiek atcelta prasība apturēt </w:t>
            </w:r>
            <w:r w:rsidR="009366EA" w:rsidRPr="00161C60">
              <w:rPr>
                <w:b/>
                <w:i/>
              </w:rPr>
              <w:t>paralēli importēto zāļu izplatīšan</w:t>
            </w:r>
            <w:r w:rsidR="00B56C58" w:rsidRPr="00161C60">
              <w:rPr>
                <w:b/>
                <w:i/>
              </w:rPr>
              <w:t>u</w:t>
            </w:r>
            <w:r w:rsidR="009366EA" w:rsidRPr="00161C60">
              <w:rPr>
                <w:b/>
                <w:i/>
              </w:rPr>
              <w:t xml:space="preserve">, ja </w:t>
            </w:r>
            <w:r w:rsidR="009366EA" w:rsidRPr="00161C60">
              <w:rPr>
                <w:b/>
                <w:i/>
              </w:rPr>
              <w:lastRenderedPageBreak/>
              <w:t>notikušas izmaiņas attiecīgajām reģistrētajām zālēm valstī, no kuras pi</w:t>
            </w:r>
            <w:r w:rsidR="00AE3B95" w:rsidRPr="00161C60">
              <w:rPr>
                <w:b/>
                <w:i/>
              </w:rPr>
              <w:t>egādā paralēli importētās zāles.</w:t>
            </w:r>
          </w:p>
          <w:p w:rsidR="00B56C58" w:rsidRPr="00161C60" w:rsidRDefault="00B56C58" w:rsidP="009366EA">
            <w:pPr>
              <w:keepLines/>
              <w:autoSpaceDE w:val="0"/>
              <w:autoSpaceDN w:val="0"/>
              <w:adjustRightInd w:val="0"/>
              <w:jc w:val="both"/>
            </w:pPr>
          </w:p>
          <w:p w:rsidR="009366EA" w:rsidRPr="00161C60" w:rsidRDefault="009366EA" w:rsidP="009366EA">
            <w:pPr>
              <w:keepLines/>
              <w:autoSpaceDE w:val="0"/>
              <w:autoSpaceDN w:val="0"/>
              <w:adjustRightInd w:val="0"/>
              <w:jc w:val="both"/>
            </w:pPr>
            <w:r w:rsidRPr="00161C60">
              <w:t xml:space="preserve">Pašreiz MK noteikumu Nr.416 48.punkta norma nekonkretizē situāciju paralēlā importētāja rīcībai gadījumā, ja attiecīgajām paralēli importētajām zālēm ir notikušas izmaiņas zāļu reģistrācijas dokumentācijā valstī, no kuras šīs zāles piegādā, un tas rada nepieciešamību mainīt informāciju attiecīgo zāļu lietošanas instrukcijās vai marķējumā. Ja attiecīga rīcība nav noteikta, tad rodas risks, kad paralēlais importētājs zāles turpina izplatīt bez aktualizētās informācijas zāļu lietošanas instrukcijās vai marķējumā, kā rezultātā ārstniecības personām, farmaceitiem un pacientiem var būt maldinoša informācija par zālēm. Tas var ietekmēt zāļu uzglabāšanu, lietošanu, un </w:t>
            </w:r>
            <w:r w:rsidR="00F4376A" w:rsidRPr="00161C60">
              <w:t>zāļu blakusparādību uzraudzību.</w:t>
            </w:r>
          </w:p>
          <w:p w:rsidR="00B56C58" w:rsidRPr="00161C60" w:rsidRDefault="009366EA" w:rsidP="005B7CCE">
            <w:pPr>
              <w:jc w:val="both"/>
            </w:pPr>
            <w:r w:rsidRPr="00161C60">
              <w:t xml:space="preserve">Pašreizējais regulējums nosaka arī paralēlajam importētājam pienākumu apturēt paralēli importēto zāļu izplatīšanu, ja notikušas izmaiņas paralēli importēto zāļu tirdzniecības atļaujā tajā valstī, no kuras zāles piegādā, un paralēlajam importētājam ir pienākums iesniegt </w:t>
            </w:r>
            <w:r w:rsidR="00CB0071" w:rsidRPr="00161C60">
              <w:t>A</w:t>
            </w:r>
            <w:r w:rsidR="00DF7C8A" w:rsidRPr="00161C60">
              <w:t>ģentūrā i</w:t>
            </w:r>
            <w:r w:rsidRPr="00161C60">
              <w:t xml:space="preserve">esniegumu izmaiņu apstiprināšanai paralēli importēto zāļu izplatīšanas atļaujā, kā arī atsākt paralēli importēto zāļu izplatīšanu pēc tam, kad paralēlais importētājs saņem </w:t>
            </w:r>
            <w:r w:rsidR="00241035" w:rsidRPr="00161C60">
              <w:t>A</w:t>
            </w:r>
            <w:r w:rsidRPr="00161C60">
              <w:t>ģentūras lēmumu par izmaiņu apstiprināšanu paralēli importēto zāļu izplatīšanas atļaujā. Šāds regulējums ir pārmērīgi strikts un paralēlo importētāju darbību ierobežojošs, jo šobrīd pat gadījumā, ja, piemēram, ražotājs ir mainījis zāļu iepakojumu vai izdarījis nebūtiskas izmaiņas (piemēram, izmaiņas adresē, palīgvielās, ne</w:t>
            </w:r>
            <w:r w:rsidR="00F4376A" w:rsidRPr="00161C60">
              <w:t>svarīgos glabāšanas nosacījumos u.c.</w:t>
            </w:r>
            <w:r w:rsidRPr="00161C60">
              <w:t>) attiecīgo zāļu paralēlais imports ir apturēts uz nesamērīgi ilgu laiku. Tāpat, paralēlais imports tiek apturēts arī gadījumā, ja notiek instrukcijas izma</w:t>
            </w:r>
            <w:r w:rsidR="00E27A5C" w:rsidRPr="00161C60">
              <w:t>iņas Latvijā reģistrētām zālēm.</w:t>
            </w:r>
          </w:p>
          <w:p w:rsidR="00B56C58" w:rsidRPr="00161C60" w:rsidRDefault="009366EA" w:rsidP="005B7CCE">
            <w:pPr>
              <w:jc w:val="both"/>
            </w:pPr>
            <w:r w:rsidRPr="00161C60">
              <w:t>Savukārt Eiropas Savienī</w:t>
            </w:r>
            <w:r w:rsidR="00E27A5C" w:rsidRPr="00161C60">
              <w:t xml:space="preserve">bā ir dažāda prakse, piemēram, </w:t>
            </w:r>
            <w:r w:rsidRPr="00161C60">
              <w:t>paralēlais importētājs vēl 6 līdz 12 mēnešus var izmantot iepriekšējo instrukcijas versiju, izplatot atlikušos zāļu krājumus. Tāpēc nav lietderīgi un loģiski uzlikt pienākumu apturēt zā</w:t>
            </w:r>
            <w:r w:rsidR="00881265" w:rsidRPr="00161C60">
              <w:t>ļu paralēlo importu, ja tirgū</w:t>
            </w:r>
            <w:r w:rsidRPr="00161C60">
              <w:t xml:space="preserve"> references zāles, pret kurām tiek veikts paralēlais imports, ir vēl pieejamas ar iepriekš apstiprinātu l</w:t>
            </w:r>
            <w:r w:rsidR="00E27A5C" w:rsidRPr="00161C60">
              <w:t>ietošanas instrukcijas versiju.</w:t>
            </w:r>
          </w:p>
          <w:p w:rsidR="009366EA" w:rsidRPr="00161C60" w:rsidRDefault="009366EA" w:rsidP="005B7CCE">
            <w:pPr>
              <w:jc w:val="both"/>
            </w:pPr>
            <w:r w:rsidRPr="00161C60">
              <w:t xml:space="preserve">Lai šo situāciju atrisinātu, MK noteikumu Nr.416 regulējums 48.punktā tiek precizēts (Noteikumu projekta </w:t>
            </w:r>
            <w:r w:rsidR="004B0AD6" w:rsidRPr="00161C60">
              <w:t>1.2</w:t>
            </w:r>
            <w:r w:rsidR="007E65CC" w:rsidRPr="00161C60">
              <w:t>5</w:t>
            </w:r>
            <w:r w:rsidR="0092189E" w:rsidRPr="00161C60">
              <w:t>.apakšpunkts</w:t>
            </w:r>
            <w:r w:rsidRPr="00161C60">
              <w:t>).</w:t>
            </w:r>
            <w:r w:rsidR="000D6536" w:rsidRPr="00161C60">
              <w:t xml:space="preserve"> </w:t>
            </w:r>
            <w:r w:rsidRPr="00161C60">
              <w:t xml:space="preserve">Līdz ar to tiek </w:t>
            </w:r>
            <w:r w:rsidRPr="00161C60">
              <w:rPr>
                <w:rFonts w:eastAsia="Calibri"/>
              </w:rPr>
              <w:t>vienkāršotas administratīvās procedūras un likvidēti šķēršļi pakalpojumu darbībai, prasības padarot mazāk ierobežojošas.</w:t>
            </w:r>
          </w:p>
          <w:p w:rsidR="002B34F5" w:rsidRPr="00161C60" w:rsidRDefault="002B34F5" w:rsidP="009366EA">
            <w:pPr>
              <w:pStyle w:val="CommentText"/>
              <w:jc w:val="both"/>
              <w:rPr>
                <w:bCs/>
                <w:sz w:val="24"/>
                <w:szCs w:val="24"/>
              </w:rPr>
            </w:pPr>
          </w:p>
          <w:p w:rsidR="009366EA" w:rsidRPr="00161C60" w:rsidRDefault="004857EC" w:rsidP="009366EA">
            <w:pPr>
              <w:pStyle w:val="CommentText"/>
              <w:jc w:val="both"/>
              <w:rPr>
                <w:b/>
                <w:bCs/>
                <w:i/>
                <w:sz w:val="24"/>
                <w:szCs w:val="24"/>
              </w:rPr>
            </w:pPr>
            <w:r w:rsidRPr="00161C60">
              <w:rPr>
                <w:b/>
                <w:bCs/>
                <w:sz w:val="24"/>
                <w:szCs w:val="24"/>
              </w:rPr>
              <w:t>f</w:t>
            </w:r>
            <w:r w:rsidR="000860A8" w:rsidRPr="00161C60">
              <w:rPr>
                <w:b/>
                <w:bCs/>
                <w:sz w:val="24"/>
                <w:szCs w:val="24"/>
              </w:rPr>
              <w:t>)</w:t>
            </w:r>
            <w:r w:rsidR="009366EA" w:rsidRPr="00161C60">
              <w:rPr>
                <w:bCs/>
                <w:sz w:val="24"/>
                <w:szCs w:val="24"/>
              </w:rPr>
              <w:t> </w:t>
            </w:r>
            <w:r w:rsidR="00687B67" w:rsidRPr="00161C60">
              <w:rPr>
                <w:b/>
                <w:bCs/>
                <w:i/>
                <w:sz w:val="24"/>
                <w:szCs w:val="24"/>
              </w:rPr>
              <w:t>Tiek konkretizēta</w:t>
            </w:r>
            <w:r w:rsidR="009366EA" w:rsidRPr="00161C60">
              <w:rPr>
                <w:b/>
                <w:bCs/>
                <w:i/>
                <w:sz w:val="24"/>
                <w:szCs w:val="24"/>
              </w:rPr>
              <w:t xml:space="preserve"> iesnieguma paralēli importēto zāļu izplatīšanas atļaujas </w:t>
            </w:r>
            <w:r w:rsidR="00687B67" w:rsidRPr="00161C60">
              <w:rPr>
                <w:b/>
                <w:bCs/>
                <w:i/>
                <w:sz w:val="24"/>
                <w:szCs w:val="24"/>
              </w:rPr>
              <w:t>saņemšanai izskatīšanas kārtība.</w:t>
            </w:r>
          </w:p>
          <w:p w:rsidR="009366EA" w:rsidRPr="00161C60" w:rsidRDefault="009366EA" w:rsidP="009366EA">
            <w:pPr>
              <w:pStyle w:val="CommentText"/>
              <w:jc w:val="both"/>
              <w:rPr>
                <w:b/>
                <w:bCs/>
                <w:i/>
                <w:sz w:val="24"/>
                <w:szCs w:val="24"/>
              </w:rPr>
            </w:pPr>
          </w:p>
          <w:p w:rsidR="003B75FA" w:rsidRPr="00161C60" w:rsidRDefault="009366EA" w:rsidP="009366EA">
            <w:pPr>
              <w:pStyle w:val="CommentText"/>
              <w:jc w:val="both"/>
              <w:rPr>
                <w:b/>
                <w:bCs/>
                <w:sz w:val="24"/>
                <w:szCs w:val="24"/>
              </w:rPr>
            </w:pPr>
            <w:r w:rsidRPr="00161C60">
              <w:rPr>
                <w:b/>
                <w:bCs/>
                <w:sz w:val="24"/>
                <w:szCs w:val="24"/>
              </w:rPr>
              <w:t xml:space="preserve">Tiek konkretizēta primārās ekspertīzes kārtība. </w:t>
            </w:r>
          </w:p>
          <w:p w:rsidR="009366EA" w:rsidRPr="00161C60" w:rsidRDefault="003B75FA" w:rsidP="009366EA">
            <w:pPr>
              <w:pStyle w:val="CommentText"/>
              <w:jc w:val="both"/>
              <w:rPr>
                <w:b/>
                <w:bCs/>
                <w:sz w:val="24"/>
                <w:szCs w:val="24"/>
              </w:rPr>
            </w:pPr>
            <w:r w:rsidRPr="00161C60">
              <w:rPr>
                <w:b/>
                <w:bCs/>
                <w:sz w:val="24"/>
                <w:szCs w:val="24"/>
              </w:rPr>
              <w:t>I</w:t>
            </w:r>
            <w:r w:rsidR="009366EA" w:rsidRPr="00161C60">
              <w:rPr>
                <w:b/>
                <w:bCs/>
                <w:sz w:val="24"/>
                <w:szCs w:val="24"/>
              </w:rPr>
              <w:t xml:space="preserve">zpildes laiks tiek samazināts no 7 darbdienām </w:t>
            </w:r>
            <w:r w:rsidR="00F80381" w:rsidRPr="00161C60">
              <w:rPr>
                <w:b/>
                <w:bCs/>
                <w:sz w:val="24"/>
                <w:szCs w:val="24"/>
              </w:rPr>
              <w:t xml:space="preserve">(MK Noteikumu Nr.416 40.punkts) </w:t>
            </w:r>
            <w:r w:rsidR="009366EA" w:rsidRPr="00161C60">
              <w:rPr>
                <w:b/>
                <w:bCs/>
                <w:sz w:val="24"/>
                <w:szCs w:val="24"/>
              </w:rPr>
              <w:t>uz 5 darbdienām.</w:t>
            </w:r>
          </w:p>
          <w:p w:rsidR="009366EA" w:rsidRPr="00161C60" w:rsidRDefault="009366EA" w:rsidP="009366EA">
            <w:pPr>
              <w:pStyle w:val="Bezatstarpm1"/>
              <w:jc w:val="both"/>
              <w:rPr>
                <w:rFonts w:ascii="Times New Roman" w:hAnsi="Times New Roman"/>
                <w:bCs/>
                <w:sz w:val="24"/>
                <w:szCs w:val="24"/>
                <w:lang w:val="lv-LV"/>
              </w:rPr>
            </w:pPr>
          </w:p>
          <w:p w:rsidR="009366EA" w:rsidRPr="00161C60" w:rsidRDefault="009366EA" w:rsidP="009366EA">
            <w:pPr>
              <w:pStyle w:val="Bezatstarpm1"/>
              <w:jc w:val="both"/>
              <w:rPr>
                <w:rFonts w:ascii="Times New Roman" w:hAnsi="Times New Roman"/>
                <w:bCs/>
                <w:sz w:val="24"/>
                <w:szCs w:val="24"/>
                <w:lang w:val="lv-LV"/>
              </w:rPr>
            </w:pPr>
            <w:r w:rsidRPr="00161C60">
              <w:rPr>
                <w:rFonts w:ascii="Times New Roman" w:hAnsi="Times New Roman"/>
                <w:bCs/>
                <w:sz w:val="24"/>
                <w:szCs w:val="24"/>
                <w:lang w:val="lv-LV"/>
              </w:rPr>
              <w:t xml:space="preserve">Pašreiz MK noteikumu Nr.416 40.punkta norma skaidri nenosaka </w:t>
            </w:r>
            <w:r w:rsidR="0012762C" w:rsidRPr="00161C60">
              <w:rPr>
                <w:rFonts w:ascii="Times New Roman" w:hAnsi="Times New Roman"/>
                <w:bCs/>
                <w:sz w:val="24"/>
                <w:szCs w:val="24"/>
                <w:lang w:val="lv-LV"/>
              </w:rPr>
              <w:lastRenderedPageBreak/>
              <w:t>A</w:t>
            </w:r>
            <w:r w:rsidRPr="00161C60">
              <w:rPr>
                <w:rFonts w:ascii="Times New Roman" w:hAnsi="Times New Roman"/>
                <w:bCs/>
                <w:sz w:val="24"/>
                <w:szCs w:val="24"/>
                <w:lang w:val="lv-LV"/>
              </w:rPr>
              <w:t>ģentūras rīcību, izskatot iesniegumu paralēli importēto zāļu iz</w:t>
            </w:r>
            <w:r w:rsidR="00130F5E" w:rsidRPr="00161C60">
              <w:rPr>
                <w:rFonts w:ascii="Times New Roman" w:hAnsi="Times New Roman"/>
                <w:bCs/>
                <w:sz w:val="24"/>
                <w:szCs w:val="24"/>
                <w:lang w:val="lv-LV"/>
              </w:rPr>
              <w:t xml:space="preserve">platīšanas atļaujas saņemšanai. </w:t>
            </w:r>
            <w:r w:rsidR="00F41C72" w:rsidRPr="00161C60">
              <w:rPr>
                <w:rFonts w:ascii="Times New Roman" w:hAnsi="Times New Roman"/>
                <w:sz w:val="24"/>
                <w:szCs w:val="24"/>
                <w:lang w:val="lv-LV"/>
              </w:rPr>
              <w:t>Paralēli importēto zāļu izplatīšanas atļaujas iesnieguma</w:t>
            </w:r>
            <w:r w:rsidR="00F41C72" w:rsidRPr="00161C60">
              <w:rPr>
                <w:rFonts w:ascii="Times New Roman" w:hAnsi="Times New Roman"/>
                <w:bCs/>
                <w:sz w:val="24"/>
                <w:szCs w:val="24"/>
                <w:lang w:val="lv-LV"/>
              </w:rPr>
              <w:t xml:space="preserve"> iesniedzējam būtu pēc iespējas ātrāk jāsaņem informācija par to</w:t>
            </w:r>
            <w:r w:rsidR="00292DA3" w:rsidRPr="00161C60">
              <w:rPr>
                <w:rFonts w:ascii="Times New Roman" w:hAnsi="Times New Roman"/>
                <w:bCs/>
                <w:sz w:val="24"/>
                <w:szCs w:val="24"/>
                <w:lang w:val="lv-LV"/>
              </w:rPr>
              <w:t>,</w:t>
            </w:r>
            <w:r w:rsidR="00F41C72" w:rsidRPr="00161C60">
              <w:rPr>
                <w:rFonts w:ascii="Times New Roman" w:hAnsi="Times New Roman"/>
                <w:bCs/>
                <w:sz w:val="24"/>
                <w:szCs w:val="24"/>
                <w:lang w:val="lv-LV"/>
              </w:rPr>
              <w:t xml:space="preserve"> vai iesniegums ir noformēts atbilstoši prasībām, vai ir iesniegti visi iesniegumam pievienojamiem dokumenti un vai ir un kāda ir nepilnīgā, kļūdainā vai papildus iesniedzamā informācija.  Pašreizējais r</w:t>
            </w:r>
            <w:r w:rsidRPr="00161C60">
              <w:rPr>
                <w:rFonts w:ascii="Times New Roman" w:hAnsi="Times New Roman"/>
                <w:bCs/>
                <w:sz w:val="24"/>
                <w:szCs w:val="24"/>
                <w:lang w:val="lv-LV"/>
              </w:rPr>
              <w:t xml:space="preserve">egulējums pieļauj atšķirīgu normu interpretāciju, nav skaidras, cik ilgā </w:t>
            </w:r>
            <w:r w:rsidRPr="00161C60">
              <w:rPr>
                <w:rFonts w:ascii="Times New Roman" w:hAnsi="Times New Roman"/>
                <w:sz w:val="24"/>
                <w:szCs w:val="24"/>
                <w:lang w:val="lv-LV"/>
              </w:rPr>
              <w:t xml:space="preserve">laikā </w:t>
            </w:r>
            <w:r w:rsidR="00655C7B" w:rsidRPr="00161C60">
              <w:rPr>
                <w:rFonts w:ascii="Times New Roman" w:hAnsi="Times New Roman"/>
                <w:sz w:val="24"/>
                <w:szCs w:val="24"/>
                <w:lang w:val="lv-LV"/>
              </w:rPr>
              <w:t>A</w:t>
            </w:r>
            <w:r w:rsidR="00626B05" w:rsidRPr="00161C60">
              <w:rPr>
                <w:rFonts w:ascii="Times New Roman" w:hAnsi="Times New Roman"/>
                <w:bCs/>
                <w:sz w:val="24"/>
                <w:szCs w:val="24"/>
                <w:lang w:val="lv-LV"/>
              </w:rPr>
              <w:t>ģentūrai</w:t>
            </w:r>
            <w:r w:rsidRPr="00161C60">
              <w:rPr>
                <w:rFonts w:ascii="Times New Roman" w:hAnsi="Times New Roman"/>
                <w:sz w:val="24"/>
                <w:szCs w:val="24"/>
                <w:lang w:val="lv-LV"/>
              </w:rPr>
              <w:t xml:space="preserve"> rakstiski jāinformē iesnieguma iesniedzējs, ja paralēli importēto zāļu iesniegumā uzrādītā informācija ir nepilnīga,</w:t>
            </w:r>
            <w:r w:rsidR="00400F22" w:rsidRPr="00161C60">
              <w:rPr>
                <w:rFonts w:ascii="Times New Roman" w:hAnsi="Times New Roman"/>
                <w:sz w:val="24"/>
                <w:szCs w:val="24"/>
                <w:lang w:val="lv-LV"/>
              </w:rPr>
              <w:t xml:space="preserve"> kļūdaina vai tā iztrūkst.</w:t>
            </w:r>
            <w:r w:rsidR="00130F5E" w:rsidRPr="00161C60">
              <w:rPr>
                <w:rFonts w:ascii="Times New Roman" w:hAnsi="Times New Roman"/>
                <w:sz w:val="24"/>
                <w:szCs w:val="24"/>
                <w:lang w:val="lv-LV"/>
              </w:rPr>
              <w:t xml:space="preserve"> Regulējum</w:t>
            </w:r>
            <w:r w:rsidR="007558D2" w:rsidRPr="00161C60">
              <w:rPr>
                <w:rFonts w:ascii="Times New Roman" w:hAnsi="Times New Roman"/>
                <w:sz w:val="24"/>
                <w:szCs w:val="24"/>
                <w:lang w:val="lv-LV"/>
              </w:rPr>
              <w:t>ā</w:t>
            </w:r>
            <w:r w:rsidR="00130F5E" w:rsidRPr="00161C60">
              <w:rPr>
                <w:rFonts w:ascii="Times New Roman" w:hAnsi="Times New Roman"/>
                <w:sz w:val="24"/>
                <w:szCs w:val="24"/>
                <w:lang w:val="lv-LV"/>
              </w:rPr>
              <w:t xml:space="preserve"> par </w:t>
            </w:r>
            <w:r w:rsidR="007558D2" w:rsidRPr="00161C60">
              <w:rPr>
                <w:rFonts w:ascii="Times New Roman" w:hAnsi="Times New Roman"/>
                <w:sz w:val="24"/>
                <w:szCs w:val="24"/>
                <w:lang w:val="lv-LV"/>
              </w:rPr>
              <w:t xml:space="preserve">paralēli importēto zāļu izplatīšanas atļaujas </w:t>
            </w:r>
            <w:r w:rsidR="00130F5E" w:rsidRPr="00161C60">
              <w:rPr>
                <w:rFonts w:ascii="Times New Roman" w:hAnsi="Times New Roman"/>
                <w:sz w:val="24"/>
                <w:szCs w:val="24"/>
                <w:lang w:val="lv-LV"/>
              </w:rPr>
              <w:t>iesnieguma izskatīšanas procedūru (MK noteikumu Nr.416 40. un  41.punkts</w:t>
            </w:r>
            <w:r w:rsidR="007558D2" w:rsidRPr="00161C60">
              <w:rPr>
                <w:rFonts w:ascii="Times New Roman" w:hAnsi="Times New Roman"/>
                <w:sz w:val="24"/>
                <w:szCs w:val="24"/>
                <w:lang w:val="lv-LV"/>
              </w:rPr>
              <w:t xml:space="preserve">) nav konkretizēts </w:t>
            </w:r>
            <w:r w:rsidR="00F41C72" w:rsidRPr="00161C60">
              <w:rPr>
                <w:rFonts w:ascii="Times New Roman" w:hAnsi="Times New Roman"/>
                <w:sz w:val="24"/>
                <w:szCs w:val="24"/>
                <w:lang w:val="lv-LV"/>
              </w:rPr>
              <w:t xml:space="preserve">arī </w:t>
            </w:r>
            <w:r w:rsidR="007558D2" w:rsidRPr="00161C60">
              <w:rPr>
                <w:rFonts w:ascii="Times New Roman" w:hAnsi="Times New Roman"/>
                <w:sz w:val="24"/>
                <w:szCs w:val="24"/>
                <w:lang w:val="lv-LV"/>
              </w:rPr>
              <w:t>laiks, kad no attiecīgās Eiropas Ekonomikas zonas valsts kompetentās iestādes, kura reģistrējusi un novērtējusi paralēli importētās zāles, jāpieprasa dati un dokumenti paralēli importēto zāļu novērtēšanai</w:t>
            </w:r>
            <w:r w:rsidR="007558D2" w:rsidRPr="00161C60">
              <w:rPr>
                <w:rFonts w:ascii="Times New Roman" w:hAnsi="Times New Roman"/>
                <w:sz w:val="24"/>
                <w:szCs w:val="24"/>
                <w:shd w:val="clear" w:color="auto" w:fill="F1F1F1"/>
                <w:lang w:val="lv-LV"/>
              </w:rPr>
              <w:t xml:space="preserve">. </w:t>
            </w:r>
            <w:r w:rsidR="00484396" w:rsidRPr="00161C60">
              <w:rPr>
                <w:rFonts w:ascii="Times New Roman" w:hAnsi="Times New Roman"/>
                <w:sz w:val="24"/>
                <w:szCs w:val="24"/>
                <w:lang w:val="lv-LV"/>
              </w:rPr>
              <w:t>Tas ir risks</w:t>
            </w:r>
            <w:r w:rsidR="00130F5E" w:rsidRPr="00161C60">
              <w:rPr>
                <w:rFonts w:ascii="Times New Roman" w:hAnsi="Times New Roman"/>
                <w:sz w:val="24"/>
                <w:szCs w:val="24"/>
                <w:lang w:val="lv-LV"/>
              </w:rPr>
              <w:t xml:space="preserve"> </w:t>
            </w:r>
            <w:r w:rsidR="00C027A2" w:rsidRPr="00161C60">
              <w:rPr>
                <w:rFonts w:ascii="Times New Roman" w:hAnsi="Times New Roman"/>
                <w:sz w:val="24"/>
                <w:szCs w:val="24"/>
                <w:lang w:val="lv-LV"/>
              </w:rPr>
              <w:t>kompetentās iestādes atšķirīgai rīcībai, nenoteiktiem vai pārmērīgi gariem lietas izskatīšanas termiņiem</w:t>
            </w:r>
            <w:r w:rsidR="00484396" w:rsidRPr="00161C60">
              <w:rPr>
                <w:rFonts w:ascii="Times New Roman" w:hAnsi="Times New Roman"/>
                <w:sz w:val="24"/>
                <w:szCs w:val="24"/>
                <w:shd w:val="clear" w:color="auto" w:fill="FFFFFF"/>
                <w:lang w:val="lv-LV"/>
              </w:rPr>
              <w:t xml:space="preserve"> un </w:t>
            </w:r>
            <w:r w:rsidR="00F41C72" w:rsidRPr="00161C60">
              <w:rPr>
                <w:rFonts w:ascii="Times New Roman" w:hAnsi="Times New Roman"/>
                <w:sz w:val="24"/>
                <w:szCs w:val="24"/>
                <w:shd w:val="clear" w:color="auto" w:fill="FFFFFF"/>
                <w:lang w:val="lv-LV"/>
              </w:rPr>
              <w:t>ierēdņu korumpētībai.</w:t>
            </w:r>
          </w:p>
          <w:p w:rsidR="00361BBE" w:rsidRPr="00161C60" w:rsidRDefault="00361BBE" w:rsidP="00C027A2">
            <w:pPr>
              <w:pStyle w:val="Bezatstarpm1"/>
              <w:jc w:val="both"/>
              <w:rPr>
                <w:rFonts w:ascii="Times New Roman" w:hAnsi="Times New Roman"/>
                <w:b/>
                <w:bCs/>
                <w:sz w:val="24"/>
                <w:szCs w:val="24"/>
                <w:lang w:val="lv-LV"/>
              </w:rPr>
            </w:pPr>
          </w:p>
          <w:p w:rsidR="00C027A2" w:rsidRPr="00161C60" w:rsidRDefault="00F41C72" w:rsidP="00C027A2">
            <w:pPr>
              <w:pStyle w:val="Bezatstarpm1"/>
              <w:jc w:val="both"/>
              <w:rPr>
                <w:rFonts w:ascii="Times New Roman" w:hAnsi="Times New Roman"/>
                <w:sz w:val="24"/>
                <w:szCs w:val="24"/>
                <w:lang w:val="lv-LV"/>
              </w:rPr>
            </w:pPr>
            <w:r w:rsidRPr="00161C60">
              <w:rPr>
                <w:rFonts w:ascii="Times New Roman" w:hAnsi="Times New Roman"/>
                <w:b/>
                <w:bCs/>
                <w:sz w:val="24"/>
                <w:szCs w:val="24"/>
                <w:lang w:val="lv-LV"/>
              </w:rPr>
              <w:t xml:space="preserve">Tādēļ </w:t>
            </w:r>
            <w:r w:rsidR="00361BBE" w:rsidRPr="00161C60">
              <w:rPr>
                <w:rFonts w:ascii="Times New Roman" w:hAnsi="Times New Roman"/>
                <w:b/>
                <w:bCs/>
                <w:sz w:val="24"/>
                <w:szCs w:val="24"/>
                <w:lang w:val="lv-LV"/>
              </w:rPr>
              <w:t xml:space="preserve">tiek konkretizēta </w:t>
            </w:r>
            <w:r w:rsidR="00361BBE" w:rsidRPr="00161C60">
              <w:rPr>
                <w:rFonts w:ascii="Times New Roman" w:hAnsi="Times New Roman"/>
                <w:b/>
                <w:sz w:val="24"/>
                <w:szCs w:val="24"/>
                <w:lang w:val="lv-LV"/>
              </w:rPr>
              <w:t>dokumentu izskatīšana</w:t>
            </w:r>
            <w:r w:rsidRPr="00161C60">
              <w:rPr>
                <w:rFonts w:ascii="Times New Roman" w:hAnsi="Times New Roman"/>
                <w:b/>
                <w:sz w:val="24"/>
                <w:szCs w:val="24"/>
                <w:lang w:val="lv-LV"/>
              </w:rPr>
              <w:t xml:space="preserve"> primārā ekspertīzē</w:t>
            </w:r>
            <w:r w:rsidR="00361BBE" w:rsidRPr="00161C60">
              <w:rPr>
                <w:rFonts w:ascii="Times New Roman" w:hAnsi="Times New Roman"/>
                <w:b/>
                <w:sz w:val="24"/>
                <w:szCs w:val="24"/>
                <w:lang w:val="lv-LV"/>
              </w:rPr>
              <w:t xml:space="preserve">: laiks un </w:t>
            </w:r>
            <w:r w:rsidR="00C027A2" w:rsidRPr="00161C60">
              <w:rPr>
                <w:rFonts w:ascii="Times New Roman" w:hAnsi="Times New Roman"/>
                <w:b/>
                <w:bCs/>
                <w:sz w:val="24"/>
                <w:szCs w:val="24"/>
                <w:lang w:val="lv-LV"/>
              </w:rPr>
              <w:t>veicamās</w:t>
            </w:r>
            <w:r w:rsidRPr="00161C60">
              <w:rPr>
                <w:rFonts w:ascii="Times New Roman" w:hAnsi="Times New Roman"/>
                <w:b/>
                <w:bCs/>
                <w:sz w:val="24"/>
                <w:szCs w:val="24"/>
                <w:lang w:val="lv-LV"/>
              </w:rPr>
              <w:t xml:space="preserve"> darbības, lai </w:t>
            </w:r>
            <w:r w:rsidR="009366EA" w:rsidRPr="00161C60">
              <w:rPr>
                <w:rFonts w:ascii="Times New Roman" w:hAnsi="Times New Roman"/>
                <w:b/>
                <w:sz w:val="24"/>
                <w:szCs w:val="24"/>
                <w:lang w:val="lv-LV"/>
              </w:rPr>
              <w:t xml:space="preserve">pēc iespējas ātrāk no iesnieguma reģistrēšanas dienas </w:t>
            </w:r>
            <w:r w:rsidR="00342EA3" w:rsidRPr="00161C60">
              <w:rPr>
                <w:rFonts w:ascii="Times New Roman" w:hAnsi="Times New Roman"/>
                <w:b/>
                <w:sz w:val="24"/>
                <w:szCs w:val="24"/>
                <w:lang w:val="lv-LV"/>
              </w:rPr>
              <w:t>A</w:t>
            </w:r>
            <w:r w:rsidR="00626B05" w:rsidRPr="00161C60">
              <w:rPr>
                <w:rFonts w:ascii="Times New Roman" w:hAnsi="Times New Roman"/>
                <w:b/>
                <w:bCs/>
                <w:sz w:val="24"/>
                <w:szCs w:val="24"/>
                <w:lang w:val="lv-LV"/>
              </w:rPr>
              <w:t>ģentūrā</w:t>
            </w:r>
            <w:r w:rsidR="00626B05" w:rsidRPr="00161C60">
              <w:rPr>
                <w:rFonts w:ascii="Times New Roman" w:hAnsi="Times New Roman"/>
                <w:b/>
                <w:sz w:val="24"/>
                <w:szCs w:val="24"/>
                <w:lang w:val="lv-LV"/>
              </w:rPr>
              <w:t xml:space="preserve">, </w:t>
            </w:r>
            <w:r w:rsidRPr="00161C60">
              <w:rPr>
                <w:rFonts w:ascii="Times New Roman" w:hAnsi="Times New Roman"/>
                <w:b/>
                <w:sz w:val="24"/>
                <w:szCs w:val="24"/>
                <w:lang w:val="lv-LV"/>
              </w:rPr>
              <w:t xml:space="preserve">iesnieguma iesniedzējs saņemtu atbildi no Aģentūras par </w:t>
            </w:r>
            <w:r w:rsidRPr="00161C60">
              <w:rPr>
                <w:rFonts w:ascii="Times New Roman" w:hAnsi="Times New Roman"/>
                <w:b/>
                <w:bCs/>
                <w:sz w:val="24"/>
                <w:szCs w:val="24"/>
                <w:lang w:val="lv-LV"/>
              </w:rPr>
              <w:t>nepilnīgu, kļūdainu vai papildus iesniedzamo  informāciju.</w:t>
            </w:r>
            <w:r w:rsidRPr="00161C60">
              <w:rPr>
                <w:rFonts w:ascii="Times New Roman" w:hAnsi="Times New Roman"/>
                <w:b/>
                <w:sz w:val="24"/>
                <w:szCs w:val="24"/>
                <w:lang w:val="lv-LV"/>
              </w:rPr>
              <w:t xml:space="preserve"> </w:t>
            </w:r>
            <w:r w:rsidR="009366EA" w:rsidRPr="00161C60">
              <w:rPr>
                <w:rFonts w:ascii="Times New Roman" w:hAnsi="Times New Roman"/>
                <w:sz w:val="24"/>
                <w:szCs w:val="24"/>
                <w:lang w:val="lv-LV"/>
              </w:rPr>
              <w:t xml:space="preserve">Primārās ekspertīzes izpildes laikā </w:t>
            </w:r>
            <w:r w:rsidR="003B15FF" w:rsidRPr="00161C60">
              <w:rPr>
                <w:rFonts w:ascii="Times New Roman" w:hAnsi="Times New Roman"/>
                <w:sz w:val="24"/>
                <w:szCs w:val="24"/>
                <w:lang w:val="lv-LV"/>
              </w:rPr>
              <w:t>A</w:t>
            </w:r>
            <w:r w:rsidR="00626B05" w:rsidRPr="00161C60">
              <w:rPr>
                <w:rFonts w:ascii="Times New Roman" w:hAnsi="Times New Roman"/>
                <w:bCs/>
                <w:sz w:val="24"/>
                <w:szCs w:val="24"/>
                <w:lang w:val="lv-LV"/>
              </w:rPr>
              <w:t>ģentūrai</w:t>
            </w:r>
            <w:r w:rsidR="009366EA" w:rsidRPr="00161C60">
              <w:rPr>
                <w:rFonts w:ascii="Times New Roman" w:hAnsi="Times New Roman"/>
                <w:sz w:val="24"/>
                <w:szCs w:val="24"/>
                <w:lang w:val="lv-LV"/>
              </w:rPr>
              <w:t xml:space="preserve"> ir jāinformē arī iesnieguma iesniedzējs par lietas izskatīšanas gaitu un rezultātu, elektr</w:t>
            </w:r>
            <w:r w:rsidR="00A25489" w:rsidRPr="00161C60">
              <w:rPr>
                <w:rFonts w:ascii="Times New Roman" w:hAnsi="Times New Roman"/>
                <w:sz w:val="24"/>
                <w:szCs w:val="24"/>
                <w:lang w:val="lv-LV"/>
              </w:rPr>
              <w:t xml:space="preserve">oniski </w:t>
            </w:r>
            <w:r w:rsidR="009366EA" w:rsidRPr="00161C60">
              <w:rPr>
                <w:rFonts w:ascii="Times New Roman" w:hAnsi="Times New Roman"/>
                <w:sz w:val="24"/>
                <w:szCs w:val="24"/>
                <w:lang w:val="lv-LV"/>
              </w:rPr>
              <w:t xml:space="preserve">jāpieprasa iztrūkstošie dati, </w:t>
            </w:r>
            <w:r w:rsidR="009366EA" w:rsidRPr="00161C60">
              <w:rPr>
                <w:rFonts w:ascii="Times New Roman" w:hAnsi="Times New Roman"/>
                <w:i/>
                <w:sz w:val="24"/>
                <w:szCs w:val="24"/>
                <w:lang w:val="lv-LV"/>
              </w:rPr>
              <w:t>piemēram</w:t>
            </w:r>
            <w:r w:rsidR="009366EA" w:rsidRPr="00161C60">
              <w:rPr>
                <w:rFonts w:ascii="Times New Roman" w:hAnsi="Times New Roman"/>
                <w:sz w:val="24"/>
                <w:szCs w:val="24"/>
                <w:lang w:val="lv-LV"/>
              </w:rPr>
              <w:t>, ja konstatēts, ka iesniegumam nav pievienoti visi prasītie dati.</w:t>
            </w:r>
            <w:r w:rsidR="00C027A2" w:rsidRPr="00161C60">
              <w:rPr>
                <w:rFonts w:ascii="Times New Roman" w:hAnsi="Times New Roman"/>
                <w:sz w:val="24"/>
                <w:szCs w:val="24"/>
                <w:lang w:val="lv-LV"/>
              </w:rPr>
              <w:t xml:space="preserve"> Izskatot iesniegumu paralēli importēto zāļu izplatīšanas atļaujas saņemšanai, jau primārā ekspertīzē Aģentūrai būtu jāpieprasa attiecīgie dati no attiecīgās Eiropas Ekonomikas zonas valsts kompetentās iestādes, lai novērtētu paralēli importētās zāles. </w:t>
            </w:r>
          </w:p>
          <w:p w:rsidR="009366EA" w:rsidRPr="00161C60" w:rsidRDefault="00DC1203" w:rsidP="009366EA">
            <w:pPr>
              <w:pStyle w:val="Bezatstarpm1"/>
              <w:jc w:val="both"/>
              <w:rPr>
                <w:rFonts w:ascii="Times New Roman" w:hAnsi="Times New Roman"/>
                <w:sz w:val="24"/>
                <w:szCs w:val="24"/>
                <w:lang w:val="lv-LV" w:bidi="gu-IN"/>
              </w:rPr>
            </w:pPr>
            <w:r w:rsidRPr="00161C60">
              <w:rPr>
                <w:rFonts w:ascii="Times New Roman" w:hAnsi="Times New Roman"/>
                <w:bCs/>
                <w:sz w:val="24"/>
                <w:szCs w:val="24"/>
                <w:lang w:val="lv-LV"/>
              </w:rPr>
              <w:t>A</w:t>
            </w:r>
            <w:r w:rsidR="00626B05" w:rsidRPr="00161C60">
              <w:rPr>
                <w:rFonts w:ascii="Times New Roman" w:hAnsi="Times New Roman"/>
                <w:bCs/>
                <w:sz w:val="24"/>
                <w:szCs w:val="24"/>
                <w:lang w:val="lv-LV"/>
              </w:rPr>
              <w:t>ģentūra</w:t>
            </w:r>
            <w:r w:rsidR="009366EA" w:rsidRPr="00161C60">
              <w:rPr>
                <w:rFonts w:ascii="Times New Roman" w:hAnsi="Times New Roman"/>
                <w:sz w:val="24"/>
                <w:szCs w:val="24"/>
                <w:lang w:val="lv-LV" w:bidi="gu-IN"/>
              </w:rPr>
              <w:t xml:space="preserve"> ir informējusi Veselības ministriju, ka </w:t>
            </w:r>
            <w:r w:rsidR="00101A52" w:rsidRPr="00161C60">
              <w:rPr>
                <w:rFonts w:ascii="Times New Roman" w:hAnsi="Times New Roman"/>
                <w:sz w:val="24"/>
                <w:szCs w:val="24"/>
                <w:lang w:val="lv-LV" w:bidi="gu-IN"/>
              </w:rPr>
              <w:t>A</w:t>
            </w:r>
            <w:r w:rsidR="00626B05" w:rsidRPr="00161C60">
              <w:rPr>
                <w:rFonts w:ascii="Times New Roman" w:hAnsi="Times New Roman"/>
                <w:bCs/>
                <w:sz w:val="24"/>
                <w:szCs w:val="24"/>
                <w:lang w:val="lv-LV"/>
              </w:rPr>
              <w:t>ģentūra</w:t>
            </w:r>
            <w:r w:rsidR="009366EA" w:rsidRPr="00161C60">
              <w:rPr>
                <w:rFonts w:ascii="Times New Roman" w:hAnsi="Times New Roman"/>
                <w:sz w:val="24"/>
                <w:szCs w:val="24"/>
                <w:lang w:val="lv-LV" w:bidi="gu-IN"/>
              </w:rPr>
              <w:t xml:space="preserve"> nevarēs veikt paralēli importēto zāļu iesnieguma primāro ekspertīzi trijās dienās, kā sākotnēji bija paredzēts projektā, jo </w:t>
            </w:r>
            <w:r w:rsidR="005A0F0D" w:rsidRPr="00161C60">
              <w:rPr>
                <w:rFonts w:ascii="Times New Roman" w:hAnsi="Times New Roman"/>
                <w:sz w:val="24"/>
                <w:szCs w:val="24"/>
                <w:lang w:val="lv-LV" w:bidi="gu-IN"/>
              </w:rPr>
              <w:t>pastāvot risks, ka vienā laikā A</w:t>
            </w:r>
            <w:r w:rsidR="009366EA" w:rsidRPr="00161C60">
              <w:rPr>
                <w:rFonts w:ascii="Times New Roman" w:hAnsi="Times New Roman"/>
                <w:sz w:val="24"/>
                <w:szCs w:val="24"/>
                <w:lang w:val="lv-LV" w:bidi="gu-IN"/>
              </w:rPr>
              <w:t>ģentūrā tiks  ies</w:t>
            </w:r>
            <w:r w:rsidR="00626B05" w:rsidRPr="00161C60">
              <w:rPr>
                <w:rFonts w:ascii="Times New Roman" w:hAnsi="Times New Roman"/>
                <w:sz w:val="24"/>
                <w:szCs w:val="24"/>
                <w:lang w:val="lv-LV" w:bidi="gu-IN"/>
              </w:rPr>
              <w:t>ūtīts ļoti daudz iesniegumu, tā</w:t>
            </w:r>
            <w:r w:rsidR="009366EA" w:rsidRPr="00161C60">
              <w:rPr>
                <w:rFonts w:ascii="Times New Roman" w:hAnsi="Times New Roman"/>
                <w:sz w:val="24"/>
                <w:szCs w:val="24"/>
                <w:lang w:val="lv-LV" w:bidi="gu-IN"/>
              </w:rPr>
              <w:t xml:space="preserve">dēļ primārās ekspertīzes izpildes termiņš </w:t>
            </w:r>
            <w:r w:rsidR="00EE1F78" w:rsidRPr="00161C60">
              <w:rPr>
                <w:rFonts w:ascii="Times New Roman" w:hAnsi="Times New Roman"/>
                <w:sz w:val="24"/>
                <w:szCs w:val="24"/>
                <w:lang w:val="lv-LV" w:bidi="gu-IN"/>
              </w:rPr>
              <w:t>tiek noteikts </w:t>
            </w:r>
            <w:r w:rsidR="009366EA" w:rsidRPr="00161C60">
              <w:rPr>
                <w:rFonts w:ascii="Times New Roman" w:hAnsi="Times New Roman"/>
                <w:sz w:val="24"/>
                <w:szCs w:val="24"/>
                <w:lang w:val="lv-LV" w:bidi="gu-IN"/>
              </w:rPr>
              <w:t>-</w:t>
            </w:r>
            <w:r w:rsidR="00EE1F78" w:rsidRPr="00161C60">
              <w:rPr>
                <w:rFonts w:ascii="Times New Roman" w:hAnsi="Times New Roman"/>
                <w:sz w:val="24"/>
                <w:szCs w:val="24"/>
                <w:lang w:val="lv-LV" w:bidi="gu-IN"/>
              </w:rPr>
              <w:t> </w:t>
            </w:r>
            <w:r w:rsidR="009366EA" w:rsidRPr="00161C60">
              <w:rPr>
                <w:rFonts w:ascii="Times New Roman" w:hAnsi="Times New Roman"/>
                <w:i/>
                <w:sz w:val="24"/>
                <w:szCs w:val="24"/>
                <w:lang w:val="lv-LV" w:bidi="gu-IN"/>
              </w:rPr>
              <w:t>piecas</w:t>
            </w:r>
            <w:r w:rsidR="00EE1F78" w:rsidRPr="00161C60">
              <w:rPr>
                <w:rFonts w:ascii="Times New Roman" w:hAnsi="Times New Roman"/>
                <w:sz w:val="24"/>
                <w:szCs w:val="24"/>
                <w:lang w:val="lv-LV" w:bidi="gu-IN"/>
              </w:rPr>
              <w:t xml:space="preserve"> darbdienas.</w:t>
            </w:r>
          </w:p>
          <w:p w:rsidR="009366EA" w:rsidRPr="00161C60" w:rsidRDefault="009366EA" w:rsidP="009366EA">
            <w:pPr>
              <w:pStyle w:val="Bezatstarpm1"/>
              <w:jc w:val="both"/>
              <w:rPr>
                <w:rFonts w:ascii="Times New Roman" w:hAnsi="Times New Roman"/>
                <w:sz w:val="24"/>
                <w:szCs w:val="24"/>
                <w:lang w:val="lv-LV"/>
              </w:rPr>
            </w:pPr>
            <w:r w:rsidRPr="00161C60">
              <w:rPr>
                <w:rFonts w:ascii="Times New Roman" w:hAnsi="Times New Roman"/>
                <w:sz w:val="24"/>
                <w:szCs w:val="24"/>
                <w:lang w:val="lv-LV"/>
              </w:rPr>
              <w:t>Grozījumi MK noteikumu Nr.416 40.</w:t>
            </w:r>
            <w:r w:rsidR="00C027A2" w:rsidRPr="00161C60">
              <w:rPr>
                <w:rFonts w:ascii="Times New Roman" w:hAnsi="Times New Roman"/>
                <w:sz w:val="24"/>
                <w:szCs w:val="24"/>
                <w:lang w:val="lv-LV"/>
              </w:rPr>
              <w:t xml:space="preserve"> un 41.</w:t>
            </w:r>
            <w:r w:rsidRPr="00161C60">
              <w:rPr>
                <w:rFonts w:ascii="Times New Roman" w:hAnsi="Times New Roman"/>
                <w:sz w:val="24"/>
                <w:szCs w:val="24"/>
                <w:lang w:val="lv-LV"/>
              </w:rPr>
              <w:t>punktā tiesisko regulējumu padara skaidrāku, veicina ātrāku dokumentu izskatīšanu, palielina pārskatāmību pakalpojuma saņēmējam, samazina risku kompetentās iestādes patvaļīgai rīcībai attiecībā uz rīcības nenoteiktību vai pārmērīgi gariem lietas izskatīšanas un atbilde</w:t>
            </w:r>
            <w:r w:rsidR="00BF31DD" w:rsidRPr="00161C60">
              <w:rPr>
                <w:rFonts w:ascii="Times New Roman" w:hAnsi="Times New Roman"/>
                <w:sz w:val="24"/>
                <w:szCs w:val="24"/>
                <w:lang w:val="lv-LV"/>
              </w:rPr>
              <w:t>s sagatavošanas laikiem</w:t>
            </w:r>
            <w:r w:rsidRPr="00161C60">
              <w:rPr>
                <w:rFonts w:ascii="Times New Roman" w:hAnsi="Times New Roman"/>
                <w:sz w:val="24"/>
                <w:szCs w:val="24"/>
                <w:lang w:val="lv-LV"/>
              </w:rPr>
              <w:t xml:space="preserve"> (Noteikumu projekta 1</w:t>
            </w:r>
            <w:r w:rsidR="007B3959" w:rsidRPr="00161C60">
              <w:rPr>
                <w:rFonts w:ascii="Times New Roman" w:hAnsi="Times New Roman"/>
                <w:sz w:val="24"/>
                <w:szCs w:val="24"/>
                <w:lang w:val="lv-LV"/>
              </w:rPr>
              <w:t>.1</w:t>
            </w:r>
            <w:r w:rsidR="007E65CC" w:rsidRPr="00161C60">
              <w:rPr>
                <w:rFonts w:ascii="Times New Roman" w:hAnsi="Times New Roman"/>
                <w:sz w:val="24"/>
                <w:szCs w:val="24"/>
                <w:lang w:val="lv-LV"/>
              </w:rPr>
              <w:t>5</w:t>
            </w:r>
            <w:r w:rsidRPr="00161C60">
              <w:rPr>
                <w:rFonts w:ascii="Times New Roman" w:hAnsi="Times New Roman"/>
                <w:sz w:val="24"/>
                <w:szCs w:val="24"/>
                <w:lang w:val="lv-LV"/>
              </w:rPr>
              <w:t>.</w:t>
            </w:r>
            <w:r w:rsidR="00F671BA" w:rsidRPr="00161C60">
              <w:rPr>
                <w:rFonts w:ascii="Times New Roman" w:hAnsi="Times New Roman"/>
                <w:sz w:val="24"/>
                <w:szCs w:val="24"/>
                <w:lang w:val="lv-LV"/>
              </w:rPr>
              <w:t>, 1.16.</w:t>
            </w:r>
            <w:r w:rsidR="001125F3" w:rsidRPr="00161C60">
              <w:rPr>
                <w:rFonts w:ascii="Times New Roman" w:hAnsi="Times New Roman"/>
                <w:sz w:val="24"/>
                <w:szCs w:val="24"/>
                <w:lang w:val="lv-LV"/>
              </w:rPr>
              <w:t xml:space="preserve"> un </w:t>
            </w:r>
            <w:r w:rsidR="00D96C4F" w:rsidRPr="00161C60">
              <w:rPr>
                <w:rFonts w:ascii="Times New Roman" w:hAnsi="Times New Roman"/>
                <w:sz w:val="24"/>
                <w:szCs w:val="24"/>
                <w:lang w:val="lv-LV"/>
              </w:rPr>
              <w:t>1</w:t>
            </w:r>
            <w:r w:rsidR="000F5CC4" w:rsidRPr="00161C60">
              <w:rPr>
                <w:rFonts w:ascii="Times New Roman" w:hAnsi="Times New Roman"/>
                <w:sz w:val="24"/>
                <w:szCs w:val="24"/>
                <w:lang w:val="lv-LV"/>
              </w:rPr>
              <w:t>.</w:t>
            </w:r>
            <w:r w:rsidR="007E65CC" w:rsidRPr="00161C60">
              <w:rPr>
                <w:rFonts w:ascii="Times New Roman" w:hAnsi="Times New Roman"/>
                <w:sz w:val="24"/>
                <w:szCs w:val="24"/>
                <w:lang w:val="lv-LV"/>
              </w:rPr>
              <w:t>18</w:t>
            </w:r>
            <w:r w:rsidR="000F5CC4" w:rsidRPr="00161C60">
              <w:rPr>
                <w:rFonts w:ascii="Times New Roman" w:hAnsi="Times New Roman"/>
                <w:sz w:val="24"/>
                <w:szCs w:val="24"/>
                <w:lang w:val="lv-LV"/>
              </w:rPr>
              <w:t>.</w:t>
            </w:r>
            <w:r w:rsidR="007B3959" w:rsidRPr="00161C60">
              <w:rPr>
                <w:rFonts w:ascii="Times New Roman" w:hAnsi="Times New Roman"/>
                <w:sz w:val="24"/>
                <w:szCs w:val="24"/>
                <w:lang w:val="lv-LV"/>
              </w:rPr>
              <w:t>apakš</w:t>
            </w:r>
            <w:r w:rsidRPr="00161C60">
              <w:rPr>
                <w:rFonts w:ascii="Times New Roman" w:hAnsi="Times New Roman"/>
                <w:sz w:val="24"/>
                <w:szCs w:val="24"/>
                <w:lang w:val="lv-LV"/>
              </w:rPr>
              <w:t>punkts</w:t>
            </w:r>
            <w:r w:rsidR="00400F22" w:rsidRPr="00161C60">
              <w:rPr>
                <w:rFonts w:ascii="Times New Roman" w:hAnsi="Times New Roman"/>
                <w:sz w:val="24"/>
                <w:szCs w:val="24"/>
                <w:lang w:val="lv-LV"/>
              </w:rPr>
              <w:t>).</w:t>
            </w:r>
          </w:p>
          <w:p w:rsidR="009366EA" w:rsidRPr="00161C60" w:rsidRDefault="009366EA" w:rsidP="009366EA">
            <w:pPr>
              <w:pStyle w:val="Bezatstarpm1"/>
              <w:jc w:val="both"/>
              <w:rPr>
                <w:rFonts w:ascii="Times New Roman" w:hAnsi="Times New Roman"/>
                <w:sz w:val="24"/>
                <w:szCs w:val="24"/>
                <w:lang w:val="lv-LV"/>
              </w:rPr>
            </w:pPr>
          </w:p>
          <w:p w:rsidR="009366EA" w:rsidRPr="00161C60" w:rsidRDefault="009366EA" w:rsidP="009366EA">
            <w:pPr>
              <w:pStyle w:val="Bezatstarpm1"/>
              <w:jc w:val="both"/>
              <w:rPr>
                <w:rFonts w:ascii="Times New Roman" w:hAnsi="Times New Roman"/>
                <w:bCs/>
                <w:sz w:val="24"/>
                <w:szCs w:val="24"/>
                <w:lang w:val="lv-LV"/>
              </w:rPr>
            </w:pPr>
            <w:r w:rsidRPr="00161C60">
              <w:rPr>
                <w:rFonts w:ascii="Times New Roman" w:hAnsi="Times New Roman"/>
                <w:b/>
                <w:bCs/>
                <w:sz w:val="24"/>
                <w:szCs w:val="24"/>
                <w:lang w:val="lv-LV"/>
              </w:rPr>
              <w:t>Tiek konkretizēta dokumentu novērtēšanas kārtība</w:t>
            </w:r>
            <w:r w:rsidRPr="00161C60">
              <w:rPr>
                <w:rFonts w:ascii="Times New Roman" w:hAnsi="Times New Roman"/>
                <w:bCs/>
                <w:sz w:val="24"/>
                <w:szCs w:val="24"/>
                <w:lang w:val="lv-LV"/>
              </w:rPr>
              <w:t>.</w:t>
            </w:r>
            <w:r w:rsidR="00626B05" w:rsidRPr="00161C60">
              <w:rPr>
                <w:rFonts w:ascii="Times New Roman" w:hAnsi="Times New Roman"/>
                <w:bCs/>
                <w:sz w:val="24"/>
                <w:szCs w:val="24"/>
                <w:lang w:val="lv-LV"/>
              </w:rPr>
              <w:t xml:space="preserve"> Ņemot vērā, ka Administratīvā procesa likuma 64.panta otrā daļa pieļauj pagarināt administratīvā akta pieņemšanas termiņu pat līdz vienam gadam no iesnieguma saņemšanas dienas, ir nepieciešams ierobežot maksimālo lēmuma pieņemšanas termiņu. Līdz ar to izpildes laiks tiek noteikts </w:t>
            </w:r>
            <w:r w:rsidR="00626B05" w:rsidRPr="00161C60">
              <w:rPr>
                <w:rFonts w:ascii="Times New Roman" w:hAnsi="Times New Roman"/>
                <w:bCs/>
                <w:sz w:val="24"/>
                <w:szCs w:val="24"/>
                <w:lang w:val="lv-LV"/>
              </w:rPr>
              <w:lastRenderedPageBreak/>
              <w:t xml:space="preserve">atbilstoši Administratīvā procesa likuma 64.panta pirmajā daļā noteiktajam termiņam, saīsinot maksimālo iesnieguma izskatīšanas termiņu līdz </w:t>
            </w:r>
            <w:r w:rsidR="002419E7" w:rsidRPr="00161C60">
              <w:rPr>
                <w:rFonts w:ascii="Times New Roman" w:hAnsi="Times New Roman"/>
                <w:bCs/>
                <w:sz w:val="24"/>
                <w:szCs w:val="24"/>
                <w:lang w:val="lv-LV"/>
              </w:rPr>
              <w:t>vienam mēnesim</w:t>
            </w:r>
            <w:r w:rsidR="00626B05" w:rsidRPr="00161C60">
              <w:rPr>
                <w:rFonts w:ascii="Times New Roman" w:hAnsi="Times New Roman"/>
                <w:bCs/>
                <w:sz w:val="24"/>
                <w:szCs w:val="24"/>
                <w:lang w:val="lv-LV"/>
              </w:rPr>
              <w:t xml:space="preserve"> no iesnieguma saņemšanas dienas, ja </w:t>
            </w:r>
            <w:r w:rsidR="00ED0AD1" w:rsidRPr="00161C60">
              <w:rPr>
                <w:rFonts w:ascii="Times New Roman" w:hAnsi="Times New Roman"/>
                <w:sz w:val="24"/>
                <w:szCs w:val="24"/>
                <w:lang w:val="lv-LV"/>
              </w:rPr>
              <w:t xml:space="preserve">tas saistīts ar </w:t>
            </w:r>
            <w:r w:rsidR="00626B05" w:rsidRPr="00161C60">
              <w:rPr>
                <w:rFonts w:ascii="Times New Roman" w:hAnsi="Times New Roman"/>
                <w:sz w:val="24"/>
                <w:szCs w:val="24"/>
                <w:lang w:val="lv-LV"/>
              </w:rPr>
              <w:t>pieprasītās informācijas saņemšanas no Eiropas Ekonomikas zonas valsts</w:t>
            </w:r>
            <w:r w:rsidR="00655463" w:rsidRPr="00161C60">
              <w:rPr>
                <w:rFonts w:ascii="Times New Roman" w:hAnsi="Times New Roman"/>
                <w:sz w:val="24"/>
                <w:szCs w:val="24"/>
                <w:lang w:val="lv-LV"/>
              </w:rPr>
              <w:t xml:space="preserve">, </w:t>
            </w:r>
            <w:r w:rsidR="00655463" w:rsidRPr="00161C60">
              <w:rPr>
                <w:rFonts w:ascii="Times New Roman" w:hAnsi="Times New Roman"/>
                <w:bCs/>
                <w:sz w:val="24"/>
                <w:szCs w:val="24"/>
                <w:lang w:val="lv-LV"/>
              </w:rPr>
              <w:t>k</w:t>
            </w:r>
            <w:r w:rsidR="00626B05" w:rsidRPr="00161C60">
              <w:rPr>
                <w:rFonts w:ascii="Times New Roman" w:hAnsi="Times New Roman"/>
                <w:bCs/>
                <w:sz w:val="24"/>
                <w:szCs w:val="24"/>
                <w:lang w:val="lv-LV"/>
              </w:rPr>
              <w:t>ā arī citos gadījumos i</w:t>
            </w:r>
            <w:r w:rsidRPr="00161C60">
              <w:rPr>
                <w:rFonts w:ascii="Times New Roman" w:hAnsi="Times New Roman"/>
                <w:bCs/>
                <w:sz w:val="24"/>
                <w:szCs w:val="24"/>
                <w:lang w:val="lv-LV"/>
              </w:rPr>
              <w:t>zpildes laiks tiek noteikts</w:t>
            </w:r>
            <w:r w:rsidR="00626B05" w:rsidRPr="00161C60">
              <w:rPr>
                <w:rFonts w:ascii="Times New Roman" w:hAnsi="Times New Roman"/>
                <w:bCs/>
                <w:sz w:val="24"/>
                <w:szCs w:val="24"/>
                <w:lang w:val="lv-LV"/>
              </w:rPr>
              <w:t xml:space="preserve"> īsāks nekā Administratīvā procesa likuma 64.panta pirmajā daļā minētais termiņš</w:t>
            </w:r>
            <w:r w:rsidR="00655463" w:rsidRPr="00161C60">
              <w:rPr>
                <w:rFonts w:ascii="Times New Roman" w:hAnsi="Times New Roman"/>
                <w:bCs/>
                <w:sz w:val="24"/>
                <w:szCs w:val="24"/>
                <w:lang w:val="lv-LV"/>
              </w:rPr>
              <w:t xml:space="preserve"> </w:t>
            </w:r>
            <w:r w:rsidR="00655463" w:rsidRPr="00161C60">
              <w:rPr>
                <w:rFonts w:ascii="Times New Roman" w:hAnsi="Times New Roman"/>
                <w:sz w:val="24"/>
                <w:szCs w:val="24"/>
                <w:lang w:val="lv-LV"/>
              </w:rPr>
              <w:t xml:space="preserve">(šeit jāņem vērā arī fakts, ka pastāv risks, kad attiecīgā Eiropas Ekonomikas zonas valsts kompetentā iestāde atbildi uz pieprasīto informāciju nesniedz vai arī ir risks, ka atbilde tiks saņemta novēloti, bet pacientam zāles nepieciešamas steidzami. Šādos gadījumos jābūt Aģentūras </w:t>
            </w:r>
            <w:r w:rsidR="00857E0E" w:rsidRPr="00161C60">
              <w:rPr>
                <w:rFonts w:ascii="Times New Roman" w:hAnsi="Times New Roman"/>
                <w:sz w:val="24"/>
                <w:szCs w:val="24"/>
                <w:lang w:val="lv-LV"/>
              </w:rPr>
              <w:t xml:space="preserve">ātrai, operatīvai </w:t>
            </w:r>
            <w:r w:rsidR="00655463" w:rsidRPr="00161C60">
              <w:rPr>
                <w:rFonts w:ascii="Times New Roman" w:hAnsi="Times New Roman"/>
                <w:sz w:val="24"/>
                <w:szCs w:val="24"/>
                <w:lang w:val="lv-LV"/>
              </w:rPr>
              <w:t>un efektīvai rīcībai, lai pacients saņemtu vajadzīgās zāles laicīgi</w:t>
            </w:r>
            <w:r w:rsidR="00857E0E" w:rsidRPr="00161C60">
              <w:rPr>
                <w:rFonts w:ascii="Times New Roman" w:hAnsi="Times New Roman"/>
                <w:sz w:val="24"/>
                <w:szCs w:val="24"/>
                <w:lang w:val="lv-LV"/>
              </w:rPr>
              <w:t>, pi</w:t>
            </w:r>
            <w:r w:rsidR="00CA558B" w:rsidRPr="00161C60">
              <w:rPr>
                <w:rFonts w:ascii="Times New Roman" w:hAnsi="Times New Roman"/>
                <w:sz w:val="24"/>
                <w:szCs w:val="24"/>
                <w:lang w:val="lv-LV"/>
              </w:rPr>
              <w:t>emēram sazinoties ar attiecīgo</w:t>
            </w:r>
            <w:r w:rsidR="00857E0E" w:rsidRPr="00161C60">
              <w:rPr>
                <w:rFonts w:ascii="Times New Roman" w:hAnsi="Times New Roman"/>
                <w:sz w:val="24"/>
                <w:szCs w:val="24"/>
                <w:lang w:val="lv-LV"/>
              </w:rPr>
              <w:t xml:space="preserve"> institūciju telefoniski</w:t>
            </w:r>
            <w:r w:rsidR="00655463" w:rsidRPr="00161C60">
              <w:rPr>
                <w:rFonts w:ascii="Times New Roman" w:hAnsi="Times New Roman"/>
                <w:sz w:val="24"/>
                <w:szCs w:val="24"/>
                <w:lang w:val="lv-LV"/>
              </w:rPr>
              <w:t>)</w:t>
            </w:r>
            <w:r w:rsidRPr="00161C60">
              <w:rPr>
                <w:rFonts w:ascii="Times New Roman" w:hAnsi="Times New Roman"/>
                <w:bCs/>
                <w:sz w:val="24"/>
                <w:szCs w:val="24"/>
                <w:lang w:val="lv-LV"/>
              </w:rPr>
              <w:t>:</w:t>
            </w:r>
          </w:p>
          <w:p w:rsidR="009366EA" w:rsidRPr="00161C60" w:rsidRDefault="00EE1F78" w:rsidP="009366EA">
            <w:pPr>
              <w:pStyle w:val="Bezatstarpm1"/>
              <w:jc w:val="both"/>
              <w:rPr>
                <w:rFonts w:ascii="Times New Roman" w:hAnsi="Times New Roman"/>
                <w:sz w:val="24"/>
                <w:szCs w:val="24"/>
                <w:lang w:val="lv-LV"/>
              </w:rPr>
            </w:pPr>
            <w:r w:rsidRPr="00161C60">
              <w:rPr>
                <w:rFonts w:ascii="Times New Roman" w:hAnsi="Times New Roman"/>
                <w:sz w:val="24"/>
                <w:szCs w:val="24"/>
                <w:lang w:val="lv-LV"/>
              </w:rPr>
              <w:t>- </w:t>
            </w:r>
            <w:r w:rsidR="009366EA" w:rsidRPr="00161C60">
              <w:rPr>
                <w:rFonts w:ascii="Times New Roman" w:hAnsi="Times New Roman"/>
                <w:sz w:val="24"/>
                <w:szCs w:val="24"/>
                <w:lang w:val="lv-LV"/>
              </w:rPr>
              <w:t>ne ilgāk kā 15 dienas, ja paralēli importētās zālēs ir identis</w:t>
            </w:r>
            <w:r w:rsidR="00400F22" w:rsidRPr="00161C60">
              <w:rPr>
                <w:rFonts w:ascii="Times New Roman" w:hAnsi="Times New Roman"/>
                <w:sz w:val="24"/>
                <w:szCs w:val="24"/>
                <w:lang w:val="lv-LV"/>
              </w:rPr>
              <w:t>kas Latvijā reģistrētām zālēm,</w:t>
            </w:r>
          </w:p>
          <w:p w:rsidR="009366EA" w:rsidRPr="00161C60" w:rsidRDefault="00EE1F78" w:rsidP="009366EA">
            <w:pPr>
              <w:pStyle w:val="Bezatstarpm1"/>
              <w:jc w:val="both"/>
              <w:rPr>
                <w:rFonts w:ascii="Times New Roman" w:hAnsi="Times New Roman"/>
                <w:b/>
                <w:sz w:val="24"/>
                <w:szCs w:val="24"/>
                <w:lang w:val="lv-LV"/>
              </w:rPr>
            </w:pPr>
            <w:r w:rsidRPr="00161C60">
              <w:rPr>
                <w:rFonts w:ascii="Times New Roman" w:hAnsi="Times New Roman"/>
                <w:sz w:val="24"/>
                <w:szCs w:val="24"/>
                <w:lang w:val="lv-LV"/>
              </w:rPr>
              <w:t>- </w:t>
            </w:r>
            <w:r w:rsidR="009366EA" w:rsidRPr="00161C60">
              <w:rPr>
                <w:rFonts w:ascii="Times New Roman" w:hAnsi="Times New Roman"/>
                <w:sz w:val="24"/>
                <w:szCs w:val="24"/>
                <w:lang w:val="lv-LV"/>
              </w:rPr>
              <w:t xml:space="preserve">ne ilgāk kā piecas dienas, ja attiecīgās Latvijā </w:t>
            </w:r>
            <w:r w:rsidR="00536AF7" w:rsidRPr="00161C60">
              <w:rPr>
                <w:rFonts w:ascii="Times New Roman" w:hAnsi="Times New Roman"/>
                <w:sz w:val="24"/>
                <w:szCs w:val="24"/>
                <w:lang w:val="lv-LV"/>
              </w:rPr>
              <w:t>reģistrētās zāles nav pieejamas, un ja savlaicīgi nesaņemot zāles ir apdraudēta pacienta dzīvība vai radīts būtisks kaitējums pacienta vesel</w:t>
            </w:r>
            <w:r w:rsidR="009A42DE" w:rsidRPr="00161C60">
              <w:rPr>
                <w:rFonts w:ascii="Times New Roman" w:hAnsi="Times New Roman"/>
                <w:sz w:val="24"/>
                <w:szCs w:val="24"/>
                <w:lang w:val="lv-LV"/>
              </w:rPr>
              <w:t>ībai.</w:t>
            </w:r>
            <w:r w:rsidR="003B75FA" w:rsidRPr="00161C60">
              <w:rPr>
                <w:rFonts w:ascii="Times New Roman" w:hAnsi="Times New Roman"/>
                <w:sz w:val="24"/>
                <w:szCs w:val="24"/>
                <w:lang w:val="lv-LV"/>
              </w:rPr>
              <w:t xml:space="preserve"> </w:t>
            </w:r>
            <w:r w:rsidR="003B75FA" w:rsidRPr="00161C60">
              <w:rPr>
                <w:rFonts w:ascii="Times New Roman" w:hAnsi="Times New Roman"/>
                <w:b/>
                <w:sz w:val="24"/>
                <w:szCs w:val="24"/>
                <w:lang w:val="lv-LV"/>
              </w:rPr>
              <w:t>Aģentūra nereģistrēt</w:t>
            </w:r>
            <w:r w:rsidR="00CA558B" w:rsidRPr="00161C60">
              <w:rPr>
                <w:rFonts w:ascii="Times New Roman" w:hAnsi="Times New Roman"/>
                <w:b/>
                <w:sz w:val="24"/>
                <w:szCs w:val="24"/>
                <w:lang w:val="lv-LV"/>
              </w:rPr>
              <w:t xml:space="preserve">o zāļu atļauju var izsniegt </w:t>
            </w:r>
            <w:r w:rsidR="003B75FA" w:rsidRPr="00161C60">
              <w:rPr>
                <w:rFonts w:ascii="Times New Roman" w:hAnsi="Times New Roman"/>
                <w:b/>
                <w:sz w:val="24"/>
                <w:szCs w:val="24"/>
                <w:lang w:val="lv-LV"/>
              </w:rPr>
              <w:t>vienas dienas laikā.</w:t>
            </w:r>
          </w:p>
          <w:p w:rsidR="009366EA" w:rsidRPr="00161C60" w:rsidRDefault="00BF31DD" w:rsidP="009366EA">
            <w:pPr>
              <w:pStyle w:val="Bezatstarpm1"/>
              <w:jc w:val="both"/>
              <w:rPr>
                <w:rFonts w:ascii="Times New Roman" w:hAnsi="Times New Roman"/>
                <w:bCs/>
                <w:sz w:val="24"/>
                <w:szCs w:val="24"/>
                <w:lang w:val="lv-LV"/>
              </w:rPr>
            </w:pPr>
            <w:r w:rsidRPr="00161C60">
              <w:rPr>
                <w:rFonts w:ascii="Times New Roman" w:hAnsi="Times New Roman"/>
                <w:sz w:val="24"/>
                <w:szCs w:val="24"/>
                <w:lang w:val="lv-LV"/>
              </w:rPr>
              <w:t>Lai pacienti</w:t>
            </w:r>
            <w:r w:rsidR="009366EA" w:rsidRPr="00161C60">
              <w:rPr>
                <w:rFonts w:ascii="Times New Roman" w:hAnsi="Times New Roman"/>
                <w:sz w:val="24"/>
                <w:szCs w:val="24"/>
                <w:lang w:val="lv-LV"/>
              </w:rPr>
              <w:t xml:space="preserve"> varētu ātrāk saņemt nepieciešamās zāles, </w:t>
            </w:r>
            <w:r w:rsidR="009366EA" w:rsidRPr="00161C60">
              <w:rPr>
                <w:rFonts w:ascii="Times New Roman" w:hAnsi="Times New Roman"/>
                <w:bCs/>
                <w:sz w:val="24"/>
                <w:szCs w:val="24"/>
                <w:lang w:val="lv-LV"/>
              </w:rPr>
              <w:t>p</w:t>
            </w:r>
            <w:r w:rsidR="009366EA" w:rsidRPr="00161C60">
              <w:rPr>
                <w:rFonts w:ascii="Times New Roman" w:hAnsi="Times New Roman"/>
                <w:sz w:val="24"/>
                <w:szCs w:val="24"/>
                <w:lang w:val="lv-LV"/>
              </w:rPr>
              <w:t>aralēli importētām zālēm, kuras ir identiskas Latvijā reģistrētām zālēm, kā arī gadījumos, kad attiecīgās Latvijā reģistrētās zāles nav pieejamas</w:t>
            </w:r>
            <w:r w:rsidR="009366EA" w:rsidRPr="00161C60">
              <w:rPr>
                <w:rFonts w:ascii="Times New Roman" w:hAnsi="Times New Roman"/>
                <w:bCs/>
                <w:sz w:val="24"/>
                <w:szCs w:val="24"/>
                <w:lang w:val="lv-LV"/>
              </w:rPr>
              <w:t>, dokumentu novērtēšanas laiks tiek konkretizēts.</w:t>
            </w:r>
          </w:p>
          <w:p w:rsidR="009366EA" w:rsidRPr="00161C60" w:rsidRDefault="009366EA" w:rsidP="009366EA">
            <w:pPr>
              <w:pStyle w:val="Bezatstarpm1"/>
              <w:jc w:val="both"/>
              <w:rPr>
                <w:rFonts w:ascii="Times New Roman" w:hAnsi="Times New Roman"/>
                <w:sz w:val="24"/>
                <w:szCs w:val="24"/>
                <w:lang w:val="lv-LV"/>
              </w:rPr>
            </w:pPr>
            <w:r w:rsidRPr="00161C60">
              <w:rPr>
                <w:rFonts w:ascii="Times New Roman" w:hAnsi="Times New Roman"/>
                <w:bCs/>
                <w:sz w:val="24"/>
                <w:szCs w:val="24"/>
                <w:lang w:val="lv-LV"/>
              </w:rPr>
              <w:t xml:space="preserve">Pašreiz MK noteikumu Nr.416 42.punkta norma skaidri nenosaka </w:t>
            </w:r>
            <w:r w:rsidR="000F18CC" w:rsidRPr="00161C60">
              <w:rPr>
                <w:rFonts w:ascii="Times New Roman" w:hAnsi="Times New Roman"/>
                <w:bCs/>
                <w:sz w:val="24"/>
                <w:szCs w:val="24"/>
                <w:lang w:val="lv-LV"/>
              </w:rPr>
              <w:t>A</w:t>
            </w:r>
            <w:r w:rsidR="00626B05" w:rsidRPr="00161C60">
              <w:rPr>
                <w:rFonts w:ascii="Times New Roman" w:hAnsi="Times New Roman"/>
                <w:bCs/>
                <w:sz w:val="24"/>
                <w:szCs w:val="24"/>
                <w:lang w:val="lv-LV"/>
              </w:rPr>
              <w:t>ģentūras</w:t>
            </w:r>
            <w:r w:rsidRPr="00161C60">
              <w:rPr>
                <w:rFonts w:ascii="Times New Roman" w:hAnsi="Times New Roman"/>
                <w:bCs/>
                <w:sz w:val="24"/>
                <w:szCs w:val="24"/>
                <w:lang w:val="lv-LV"/>
              </w:rPr>
              <w:t xml:space="preserve"> rīcību, novērtējot iesniegumu paralēli importēto zāļu izplatīšanas atļaujas saņemšanai. Regulējums pieļauj atšķirīgu normu interpretāciju, nav skaidras, cik ilgā </w:t>
            </w:r>
            <w:r w:rsidRPr="00161C60">
              <w:rPr>
                <w:rFonts w:ascii="Times New Roman" w:hAnsi="Times New Roman"/>
                <w:sz w:val="24"/>
                <w:szCs w:val="24"/>
                <w:lang w:val="lv-LV"/>
              </w:rPr>
              <w:t xml:space="preserve">laikā </w:t>
            </w:r>
            <w:r w:rsidR="000E72AB" w:rsidRPr="00161C60">
              <w:rPr>
                <w:rFonts w:ascii="Times New Roman" w:hAnsi="Times New Roman"/>
                <w:sz w:val="24"/>
                <w:szCs w:val="24"/>
                <w:lang w:val="lv-LV"/>
              </w:rPr>
              <w:t>A</w:t>
            </w:r>
            <w:r w:rsidR="00626B05" w:rsidRPr="00161C60">
              <w:rPr>
                <w:rFonts w:ascii="Times New Roman" w:hAnsi="Times New Roman"/>
                <w:bCs/>
                <w:sz w:val="24"/>
                <w:szCs w:val="24"/>
                <w:lang w:val="lv-LV"/>
              </w:rPr>
              <w:t>ģentūrai</w:t>
            </w:r>
            <w:r w:rsidRPr="00161C60">
              <w:rPr>
                <w:rFonts w:ascii="Times New Roman" w:hAnsi="Times New Roman"/>
                <w:sz w:val="24"/>
                <w:szCs w:val="24"/>
                <w:lang w:val="lv-LV"/>
              </w:rPr>
              <w:t xml:space="preserve"> dokumentu novērtēšana jāveic, kā arī process iesnieguma iesniedzējam nav pārskatāms, jo </w:t>
            </w:r>
            <w:r w:rsidR="0070721A" w:rsidRPr="00161C60">
              <w:rPr>
                <w:rFonts w:ascii="Times New Roman" w:hAnsi="Times New Roman"/>
                <w:sz w:val="24"/>
                <w:szCs w:val="24"/>
                <w:lang w:val="lv-LV"/>
              </w:rPr>
              <w:t>A</w:t>
            </w:r>
            <w:r w:rsidR="00626B05" w:rsidRPr="00161C60">
              <w:rPr>
                <w:rFonts w:ascii="Times New Roman" w:hAnsi="Times New Roman"/>
                <w:bCs/>
                <w:sz w:val="24"/>
                <w:szCs w:val="24"/>
                <w:lang w:val="lv-LV"/>
              </w:rPr>
              <w:t>ģentūrai</w:t>
            </w:r>
            <w:r w:rsidRPr="00161C60">
              <w:rPr>
                <w:rFonts w:ascii="Times New Roman" w:hAnsi="Times New Roman"/>
                <w:sz w:val="24"/>
                <w:szCs w:val="24"/>
                <w:lang w:val="lv-LV"/>
              </w:rPr>
              <w:t xml:space="preserve"> nav noteikt pienākums informēt iesniedzēju par lietas izskatīšanas gaitu. Praksē komersanti saskaras ar problēmām, kad jāzvana regulāri uz </w:t>
            </w:r>
            <w:r w:rsidR="006D6035" w:rsidRPr="00161C60">
              <w:rPr>
                <w:rFonts w:ascii="Times New Roman" w:hAnsi="Times New Roman"/>
                <w:sz w:val="24"/>
                <w:szCs w:val="24"/>
                <w:lang w:val="lv-LV"/>
              </w:rPr>
              <w:t>A</w:t>
            </w:r>
            <w:r w:rsidRPr="00161C60">
              <w:rPr>
                <w:rFonts w:ascii="Times New Roman" w:hAnsi="Times New Roman"/>
                <w:sz w:val="24"/>
                <w:szCs w:val="24"/>
                <w:lang w:val="lv-LV"/>
              </w:rPr>
              <w:t>ģentūru, lai noskaidrotu iesnieguma virzību.</w:t>
            </w:r>
          </w:p>
          <w:p w:rsidR="009366EA" w:rsidRPr="00161C60" w:rsidRDefault="009366EA" w:rsidP="009366EA">
            <w:pPr>
              <w:pStyle w:val="Bezatstarpm1"/>
              <w:jc w:val="both"/>
              <w:rPr>
                <w:rFonts w:ascii="Times New Roman" w:hAnsi="Times New Roman"/>
                <w:sz w:val="24"/>
                <w:szCs w:val="24"/>
                <w:lang w:val="lv-LV"/>
              </w:rPr>
            </w:pPr>
            <w:r w:rsidRPr="00161C60">
              <w:rPr>
                <w:rFonts w:ascii="Times New Roman" w:hAnsi="Times New Roman"/>
                <w:sz w:val="24"/>
                <w:szCs w:val="24"/>
                <w:lang w:val="lv-LV"/>
              </w:rPr>
              <w:t>Grozījumi MK noteikumu Nr.416 42.punktā tiesisko regulējumu padara skaidrāku, veicina ātrāku dokumentu izskatīšanu, procesa izsekojamību elektroniski, palielina pārskatāmību pakalpojuma saņēmējam, samazina risku kompetentās iestādes patvaļīgai rīcībai attiecībā uz rīcības nenoteiktību vai pārmē</w:t>
            </w:r>
            <w:r w:rsidR="00DA5639" w:rsidRPr="00161C60">
              <w:rPr>
                <w:rFonts w:ascii="Times New Roman" w:hAnsi="Times New Roman"/>
                <w:sz w:val="24"/>
                <w:szCs w:val="24"/>
                <w:lang w:val="lv-LV"/>
              </w:rPr>
              <w:t xml:space="preserve">rīgi gariem lietas izskatīšanas </w:t>
            </w:r>
            <w:r w:rsidRPr="00161C60">
              <w:rPr>
                <w:rFonts w:ascii="Times New Roman" w:hAnsi="Times New Roman"/>
                <w:sz w:val="24"/>
                <w:szCs w:val="24"/>
                <w:lang w:val="lv-LV"/>
              </w:rPr>
              <w:t xml:space="preserve">(Noteikumu projekta </w:t>
            </w:r>
            <w:r w:rsidR="00574EAC" w:rsidRPr="00161C60">
              <w:rPr>
                <w:rFonts w:ascii="Times New Roman" w:hAnsi="Times New Roman"/>
                <w:sz w:val="24"/>
                <w:szCs w:val="24"/>
                <w:lang w:val="lv-LV"/>
              </w:rPr>
              <w:t>1.2</w:t>
            </w:r>
            <w:r w:rsidR="00AE4D0C" w:rsidRPr="00161C60">
              <w:rPr>
                <w:rFonts w:ascii="Times New Roman" w:hAnsi="Times New Roman"/>
                <w:sz w:val="24"/>
                <w:szCs w:val="24"/>
                <w:lang w:val="lv-LV"/>
              </w:rPr>
              <w:t>3</w:t>
            </w:r>
            <w:r w:rsidR="008C738C" w:rsidRPr="00161C60">
              <w:rPr>
                <w:rFonts w:ascii="Times New Roman" w:hAnsi="Times New Roman"/>
                <w:sz w:val="24"/>
                <w:szCs w:val="24"/>
                <w:lang w:val="lv-LV"/>
              </w:rPr>
              <w:t>.apakš</w:t>
            </w:r>
            <w:r w:rsidRPr="00161C60">
              <w:rPr>
                <w:rFonts w:ascii="Times New Roman" w:hAnsi="Times New Roman"/>
                <w:sz w:val="24"/>
                <w:szCs w:val="24"/>
                <w:lang w:val="lv-LV"/>
              </w:rPr>
              <w:t xml:space="preserve">punkts). Vienlaicīgi </w:t>
            </w:r>
            <w:r w:rsidR="00F65C47" w:rsidRPr="00161C60">
              <w:rPr>
                <w:rFonts w:ascii="Times New Roman" w:hAnsi="Times New Roman"/>
                <w:sz w:val="24"/>
                <w:szCs w:val="24"/>
                <w:lang w:val="lv-LV"/>
              </w:rPr>
              <w:t>A</w:t>
            </w:r>
            <w:r w:rsidR="00626B05" w:rsidRPr="00161C60">
              <w:rPr>
                <w:rFonts w:ascii="Times New Roman" w:hAnsi="Times New Roman"/>
                <w:bCs/>
                <w:sz w:val="24"/>
                <w:szCs w:val="24"/>
                <w:lang w:val="lv-LV"/>
              </w:rPr>
              <w:t>ģentūrai</w:t>
            </w:r>
            <w:r w:rsidRPr="00161C60">
              <w:rPr>
                <w:rFonts w:ascii="Times New Roman" w:hAnsi="Times New Roman"/>
                <w:sz w:val="24"/>
                <w:szCs w:val="24"/>
                <w:lang w:val="lv-LV"/>
              </w:rPr>
              <w:t xml:space="preserve"> būtu jāveido savā tīmekļa vietnē sistēma, lai komersants varētu izsekot ie</w:t>
            </w:r>
            <w:r w:rsidR="00EE1F78" w:rsidRPr="00161C60">
              <w:rPr>
                <w:rFonts w:ascii="Times New Roman" w:hAnsi="Times New Roman"/>
                <w:sz w:val="24"/>
                <w:szCs w:val="24"/>
                <w:lang w:val="lv-LV"/>
              </w:rPr>
              <w:t>snieguma izskatīšanas stadijām.</w:t>
            </w:r>
          </w:p>
          <w:p w:rsidR="009366EA" w:rsidRPr="00161C60" w:rsidRDefault="009366EA" w:rsidP="009366EA">
            <w:pPr>
              <w:pStyle w:val="Bezatstarpm1"/>
              <w:jc w:val="both"/>
              <w:rPr>
                <w:rFonts w:ascii="Times New Roman" w:hAnsi="Times New Roman"/>
                <w:sz w:val="24"/>
                <w:szCs w:val="24"/>
                <w:lang w:val="lv-LV"/>
              </w:rPr>
            </w:pPr>
            <w:r w:rsidRPr="00161C60">
              <w:rPr>
                <w:rFonts w:ascii="Times New Roman" w:hAnsi="Times New Roman"/>
                <w:sz w:val="24"/>
                <w:szCs w:val="24"/>
                <w:lang w:val="lv-LV"/>
              </w:rPr>
              <w:t xml:space="preserve">Savukārt grozījumi MK noteikumu Nr.416 </w:t>
            </w:r>
            <w:r w:rsidR="00EE2CA0" w:rsidRPr="00161C60">
              <w:rPr>
                <w:rFonts w:ascii="Times New Roman" w:hAnsi="Times New Roman"/>
                <w:sz w:val="24"/>
                <w:szCs w:val="24"/>
                <w:lang w:val="lv-LV"/>
              </w:rPr>
              <w:t xml:space="preserve">40.1. un </w:t>
            </w:r>
            <w:r w:rsidRPr="00161C60">
              <w:rPr>
                <w:rFonts w:ascii="Times New Roman" w:hAnsi="Times New Roman"/>
                <w:sz w:val="24"/>
                <w:szCs w:val="24"/>
                <w:lang w:val="lv-LV"/>
              </w:rPr>
              <w:t xml:space="preserve">41.1.apakšpunktā tiesisko regulējumu padara skaidrāku un palielina pārskatāmību pakalpojuma saņēmējam (Noteikumu projekta </w:t>
            </w:r>
            <w:r w:rsidR="006334C8" w:rsidRPr="00161C60">
              <w:rPr>
                <w:rFonts w:ascii="Times New Roman" w:hAnsi="Times New Roman"/>
                <w:sz w:val="24"/>
                <w:szCs w:val="24"/>
                <w:lang w:val="lv-LV"/>
              </w:rPr>
              <w:t>1.1</w:t>
            </w:r>
            <w:r w:rsidR="00AE4D0C" w:rsidRPr="00161C60">
              <w:rPr>
                <w:rFonts w:ascii="Times New Roman" w:hAnsi="Times New Roman"/>
                <w:sz w:val="24"/>
                <w:szCs w:val="24"/>
                <w:lang w:val="lv-LV"/>
              </w:rPr>
              <w:t>6</w:t>
            </w:r>
            <w:r w:rsidR="007B785A" w:rsidRPr="00161C60">
              <w:rPr>
                <w:rFonts w:ascii="Times New Roman" w:hAnsi="Times New Roman"/>
                <w:sz w:val="24"/>
                <w:szCs w:val="24"/>
                <w:lang w:val="lv-LV"/>
              </w:rPr>
              <w:t xml:space="preserve">. </w:t>
            </w:r>
            <w:r w:rsidR="001E489F" w:rsidRPr="00161C60">
              <w:rPr>
                <w:rFonts w:ascii="Times New Roman" w:hAnsi="Times New Roman"/>
                <w:sz w:val="24"/>
                <w:szCs w:val="24"/>
                <w:lang w:val="lv-LV"/>
              </w:rPr>
              <w:t xml:space="preserve">un </w:t>
            </w:r>
            <w:r w:rsidR="006334C8" w:rsidRPr="00161C60">
              <w:rPr>
                <w:rFonts w:ascii="Times New Roman" w:hAnsi="Times New Roman"/>
                <w:sz w:val="24"/>
                <w:szCs w:val="24"/>
                <w:lang w:val="lv-LV"/>
              </w:rPr>
              <w:t>1.</w:t>
            </w:r>
            <w:r w:rsidR="00AE4D0C" w:rsidRPr="00161C60">
              <w:rPr>
                <w:rFonts w:ascii="Times New Roman" w:hAnsi="Times New Roman"/>
                <w:sz w:val="24"/>
                <w:szCs w:val="24"/>
                <w:lang w:val="lv-LV"/>
              </w:rPr>
              <w:t>19</w:t>
            </w:r>
            <w:r w:rsidR="008C738C" w:rsidRPr="00161C60">
              <w:rPr>
                <w:rFonts w:ascii="Times New Roman" w:hAnsi="Times New Roman"/>
                <w:sz w:val="24"/>
                <w:szCs w:val="24"/>
                <w:lang w:val="lv-LV"/>
              </w:rPr>
              <w:t>.apakš</w:t>
            </w:r>
            <w:r w:rsidRPr="00161C60">
              <w:rPr>
                <w:rFonts w:ascii="Times New Roman" w:hAnsi="Times New Roman"/>
                <w:sz w:val="24"/>
                <w:szCs w:val="24"/>
                <w:lang w:val="lv-LV"/>
              </w:rPr>
              <w:t>punkts</w:t>
            </w:r>
            <w:r w:rsidR="00EE1F78" w:rsidRPr="00161C60">
              <w:rPr>
                <w:rFonts w:ascii="Times New Roman" w:hAnsi="Times New Roman"/>
                <w:sz w:val="24"/>
                <w:szCs w:val="24"/>
                <w:lang w:val="lv-LV"/>
              </w:rPr>
              <w:t>).</w:t>
            </w:r>
          </w:p>
          <w:p w:rsidR="009366EA" w:rsidRPr="00161C60" w:rsidRDefault="009366EA" w:rsidP="009366EA">
            <w:pPr>
              <w:pStyle w:val="Bezatstarpm1"/>
              <w:jc w:val="both"/>
              <w:rPr>
                <w:rFonts w:ascii="Times New Roman" w:hAnsi="Times New Roman"/>
                <w:sz w:val="24"/>
                <w:szCs w:val="24"/>
                <w:lang w:val="lv-LV"/>
              </w:rPr>
            </w:pPr>
          </w:p>
          <w:p w:rsidR="00400F22" w:rsidRPr="00161C60" w:rsidRDefault="00CC12F2" w:rsidP="009366EA">
            <w:pPr>
              <w:pStyle w:val="Bezatstarpm1"/>
              <w:jc w:val="both"/>
              <w:rPr>
                <w:rFonts w:ascii="Times New Roman" w:hAnsi="Times New Roman"/>
                <w:sz w:val="24"/>
                <w:szCs w:val="24"/>
                <w:lang w:val="lv-LV"/>
              </w:rPr>
            </w:pPr>
            <w:r w:rsidRPr="00161C60">
              <w:rPr>
                <w:rFonts w:ascii="Times New Roman" w:hAnsi="Times New Roman"/>
                <w:b/>
                <w:sz w:val="24"/>
                <w:szCs w:val="24"/>
                <w:lang w:val="lv-LV"/>
              </w:rPr>
              <w:t>g</w:t>
            </w:r>
            <w:r w:rsidR="009366EA" w:rsidRPr="00161C60">
              <w:rPr>
                <w:rFonts w:ascii="Times New Roman" w:hAnsi="Times New Roman"/>
                <w:b/>
                <w:sz w:val="24"/>
                <w:szCs w:val="24"/>
                <w:lang w:val="lv-LV"/>
              </w:rPr>
              <w:t>)</w:t>
            </w:r>
            <w:r w:rsidR="009366EA" w:rsidRPr="00161C60">
              <w:rPr>
                <w:rFonts w:ascii="Times New Roman" w:hAnsi="Times New Roman"/>
                <w:sz w:val="24"/>
                <w:szCs w:val="24"/>
                <w:lang w:val="lv-LV"/>
              </w:rPr>
              <w:t> </w:t>
            </w:r>
            <w:r w:rsidR="009366EA" w:rsidRPr="00161C60">
              <w:rPr>
                <w:rFonts w:ascii="Times New Roman" w:hAnsi="Times New Roman"/>
                <w:b/>
                <w:i/>
                <w:sz w:val="24"/>
                <w:szCs w:val="24"/>
                <w:lang w:val="lv-LV"/>
              </w:rPr>
              <w:t>Tiek konkretizētas prasības attiecībā uz šķīšanas pārbaudes veikšanu paralēli importētām zālēm.</w:t>
            </w:r>
          </w:p>
          <w:p w:rsidR="00A53A71" w:rsidRPr="00161C60" w:rsidRDefault="00A53A71" w:rsidP="009366EA">
            <w:pPr>
              <w:pStyle w:val="Bezatstarpm1"/>
              <w:jc w:val="both"/>
              <w:rPr>
                <w:rFonts w:ascii="Times New Roman" w:hAnsi="Times New Roman"/>
                <w:bCs/>
                <w:sz w:val="24"/>
                <w:szCs w:val="24"/>
                <w:lang w:val="lv-LV"/>
              </w:rPr>
            </w:pPr>
          </w:p>
          <w:p w:rsidR="009366EA" w:rsidRPr="00161C60" w:rsidRDefault="009366EA" w:rsidP="009366EA">
            <w:pPr>
              <w:pStyle w:val="Bezatstarpm1"/>
              <w:jc w:val="both"/>
              <w:rPr>
                <w:rFonts w:ascii="Times New Roman" w:hAnsi="Times New Roman"/>
                <w:sz w:val="24"/>
                <w:szCs w:val="24"/>
                <w:lang w:val="lv-LV"/>
              </w:rPr>
            </w:pPr>
            <w:r w:rsidRPr="00161C60">
              <w:rPr>
                <w:rFonts w:ascii="Times New Roman" w:hAnsi="Times New Roman"/>
                <w:bCs/>
                <w:sz w:val="24"/>
                <w:szCs w:val="24"/>
                <w:lang w:val="lv-LV"/>
              </w:rPr>
              <w:lastRenderedPageBreak/>
              <w:t>Pašreiz MK noteikumu Nr.416 40.6.apakšpunkta norma ir vispārīga</w:t>
            </w:r>
            <w:r w:rsidR="00BF31DD" w:rsidRPr="00161C60">
              <w:rPr>
                <w:rFonts w:ascii="Times New Roman" w:hAnsi="Times New Roman"/>
                <w:bCs/>
                <w:sz w:val="24"/>
                <w:szCs w:val="24"/>
                <w:lang w:val="lv-LV"/>
              </w:rPr>
              <w:t xml:space="preserve"> un</w:t>
            </w:r>
            <w:r w:rsidRPr="00161C60">
              <w:rPr>
                <w:rFonts w:ascii="Times New Roman" w:hAnsi="Times New Roman"/>
                <w:bCs/>
                <w:sz w:val="24"/>
                <w:szCs w:val="24"/>
                <w:lang w:val="lv-LV"/>
              </w:rPr>
              <w:t xml:space="preserve"> nosaka prasību visos gadījumos, kad ir atšķirība starp Latvijā reģistrētām zālēm un paralēli importētām zālēm no </w:t>
            </w:r>
            <w:r w:rsidRPr="00161C60">
              <w:rPr>
                <w:rFonts w:ascii="Times New Roman" w:hAnsi="Times New Roman"/>
                <w:sz w:val="24"/>
                <w:szCs w:val="24"/>
                <w:lang w:val="lv-LV"/>
              </w:rPr>
              <w:t xml:space="preserve">attiecīgās Eiropas Ekonomikas zonas valsts kompetentās iestādes </w:t>
            </w:r>
            <w:r w:rsidRPr="00161C60">
              <w:rPr>
                <w:rFonts w:ascii="Times New Roman" w:hAnsi="Times New Roman"/>
                <w:bCs/>
                <w:sz w:val="24"/>
                <w:szCs w:val="24"/>
                <w:lang w:val="lv-LV"/>
              </w:rPr>
              <w:t xml:space="preserve">pieprasīt </w:t>
            </w:r>
            <w:r w:rsidRPr="00161C60">
              <w:rPr>
                <w:rFonts w:ascii="Times New Roman" w:hAnsi="Times New Roman"/>
                <w:sz w:val="24"/>
                <w:szCs w:val="24"/>
                <w:lang w:val="lv-LV"/>
              </w:rPr>
              <w:t>ražošanas metodes aprakstu. Tā kā tas tiktu attiecināts arī uz gadījumiem, kad atšķirības ir nebūtiskas, piemēram, atšķirības iepakojuma lielumā, norma tiek konkretizēta</w:t>
            </w:r>
            <w:r w:rsidR="00A22B3F" w:rsidRPr="00161C60">
              <w:rPr>
                <w:rFonts w:ascii="Times New Roman" w:hAnsi="Times New Roman"/>
                <w:sz w:val="24"/>
                <w:szCs w:val="24"/>
                <w:lang w:val="lv-LV"/>
              </w:rPr>
              <w:t>, apvieno</w:t>
            </w:r>
            <w:r w:rsidR="00B35E35" w:rsidRPr="00161C60">
              <w:rPr>
                <w:rFonts w:ascii="Times New Roman" w:hAnsi="Times New Roman"/>
                <w:sz w:val="24"/>
                <w:szCs w:val="24"/>
                <w:lang w:val="lv-LV"/>
              </w:rPr>
              <w:t>jot to ar MK noteikumu Nr.416 43.punkta normu, v</w:t>
            </w:r>
            <w:r w:rsidRPr="00161C60">
              <w:rPr>
                <w:rFonts w:ascii="Times New Roman" w:hAnsi="Times New Roman"/>
                <w:sz w:val="24"/>
                <w:szCs w:val="24"/>
                <w:lang w:val="lv-LV"/>
              </w:rPr>
              <w:t>ienlaicīgi tiek veikts tehnisks</w:t>
            </w:r>
            <w:r w:rsidR="00CA558B" w:rsidRPr="00161C60">
              <w:rPr>
                <w:rFonts w:ascii="Times New Roman" w:hAnsi="Times New Roman"/>
                <w:sz w:val="24"/>
                <w:szCs w:val="24"/>
                <w:lang w:val="lv-LV"/>
              </w:rPr>
              <w:t xml:space="preserve"> grozījums</w:t>
            </w:r>
            <w:r w:rsidRPr="00161C60">
              <w:rPr>
                <w:rFonts w:ascii="Times New Roman" w:hAnsi="Times New Roman"/>
                <w:sz w:val="24"/>
                <w:szCs w:val="24"/>
                <w:lang w:val="lv-LV"/>
              </w:rPr>
              <w:t xml:space="preserve"> un MK noteikumu Nr.416 40.6.apakšpunkta norm</w:t>
            </w:r>
            <w:r w:rsidR="00C218E0" w:rsidRPr="00161C60">
              <w:rPr>
                <w:rFonts w:ascii="Times New Roman" w:hAnsi="Times New Roman"/>
                <w:sz w:val="24"/>
                <w:szCs w:val="24"/>
                <w:lang w:val="lv-LV"/>
              </w:rPr>
              <w:t xml:space="preserve">a </w:t>
            </w:r>
            <w:r w:rsidR="00B35E35" w:rsidRPr="00161C60">
              <w:rPr>
                <w:rFonts w:ascii="Times New Roman" w:hAnsi="Times New Roman"/>
                <w:sz w:val="24"/>
                <w:szCs w:val="24"/>
                <w:lang w:val="lv-LV"/>
              </w:rPr>
              <w:t>tiek svītrota</w:t>
            </w:r>
            <w:r w:rsidR="00C218E0" w:rsidRPr="00161C60">
              <w:rPr>
                <w:rFonts w:ascii="Times New Roman" w:hAnsi="Times New Roman"/>
                <w:sz w:val="24"/>
                <w:szCs w:val="24"/>
                <w:lang w:val="lv-LV"/>
              </w:rPr>
              <w:t xml:space="preserve">. </w:t>
            </w:r>
            <w:r w:rsidRPr="00161C60">
              <w:rPr>
                <w:rFonts w:ascii="Times New Roman" w:hAnsi="Times New Roman"/>
                <w:sz w:val="24"/>
                <w:szCs w:val="24"/>
                <w:lang w:val="lv-LV"/>
              </w:rPr>
              <w:t xml:space="preserve">Grozījumi Noteikumu projekta </w:t>
            </w:r>
            <w:r w:rsidR="002E166A" w:rsidRPr="00161C60">
              <w:rPr>
                <w:rFonts w:ascii="Times New Roman" w:hAnsi="Times New Roman"/>
                <w:sz w:val="24"/>
                <w:szCs w:val="24"/>
                <w:lang w:val="lv-LV"/>
              </w:rPr>
              <w:t>1.</w:t>
            </w:r>
            <w:r w:rsidR="00227D55" w:rsidRPr="00161C60">
              <w:rPr>
                <w:rFonts w:ascii="Times New Roman" w:hAnsi="Times New Roman"/>
                <w:sz w:val="24"/>
                <w:szCs w:val="24"/>
                <w:lang w:val="lv-LV"/>
              </w:rPr>
              <w:t>17</w:t>
            </w:r>
            <w:r w:rsidR="002E166A" w:rsidRPr="00161C60">
              <w:rPr>
                <w:rFonts w:ascii="Times New Roman" w:hAnsi="Times New Roman"/>
                <w:sz w:val="24"/>
                <w:szCs w:val="24"/>
                <w:lang w:val="lv-LV"/>
              </w:rPr>
              <w:t>. un 1.2</w:t>
            </w:r>
            <w:r w:rsidR="00227D55" w:rsidRPr="00161C60">
              <w:rPr>
                <w:rFonts w:ascii="Times New Roman" w:hAnsi="Times New Roman"/>
                <w:sz w:val="24"/>
                <w:szCs w:val="24"/>
                <w:lang w:val="lv-LV"/>
              </w:rPr>
              <w:t>3</w:t>
            </w:r>
            <w:r w:rsidR="00DA7120" w:rsidRPr="00161C60">
              <w:rPr>
                <w:rFonts w:ascii="Times New Roman" w:hAnsi="Times New Roman"/>
                <w:sz w:val="24"/>
                <w:szCs w:val="24"/>
                <w:lang w:val="lv-LV"/>
              </w:rPr>
              <w:t>.apakš</w:t>
            </w:r>
            <w:r w:rsidRPr="00161C60">
              <w:rPr>
                <w:rFonts w:ascii="Times New Roman" w:hAnsi="Times New Roman"/>
                <w:sz w:val="24"/>
                <w:szCs w:val="24"/>
                <w:lang w:val="lv-LV"/>
              </w:rPr>
              <w:t xml:space="preserve">punktā </w:t>
            </w:r>
            <w:r w:rsidR="000F5CC4" w:rsidRPr="00161C60">
              <w:rPr>
                <w:rFonts w:ascii="Times New Roman" w:hAnsi="Times New Roman"/>
                <w:sz w:val="24"/>
                <w:szCs w:val="24"/>
                <w:lang w:val="lv-LV"/>
              </w:rPr>
              <w:t xml:space="preserve">(attiecībā uz grozījumu MK Noteikumu Nr.416 43.punktā) </w:t>
            </w:r>
            <w:r w:rsidRPr="00161C60">
              <w:rPr>
                <w:rFonts w:ascii="Times New Roman" w:hAnsi="Times New Roman"/>
                <w:sz w:val="24"/>
                <w:szCs w:val="24"/>
                <w:lang w:val="lv-LV"/>
              </w:rPr>
              <w:t>šo problēmas situāciju atrisina.</w:t>
            </w:r>
          </w:p>
          <w:p w:rsidR="009366EA" w:rsidRPr="00161C60" w:rsidRDefault="009366EA" w:rsidP="009366EA">
            <w:pPr>
              <w:pStyle w:val="NoSpacing"/>
              <w:jc w:val="both"/>
              <w:rPr>
                <w:rFonts w:ascii="Times New Roman" w:hAnsi="Times New Roman"/>
                <w:sz w:val="24"/>
                <w:szCs w:val="24"/>
                <w:lang w:val="lv-LV"/>
              </w:rPr>
            </w:pPr>
          </w:p>
          <w:p w:rsidR="00735013" w:rsidRPr="00161C60" w:rsidRDefault="00CC12F2" w:rsidP="009366EA">
            <w:pPr>
              <w:pStyle w:val="NoSpacing"/>
              <w:jc w:val="both"/>
              <w:rPr>
                <w:rFonts w:ascii="Times New Roman" w:hAnsi="Times New Roman"/>
                <w:sz w:val="24"/>
                <w:szCs w:val="24"/>
                <w:lang w:val="lv-LV"/>
              </w:rPr>
            </w:pPr>
            <w:r w:rsidRPr="00161C60">
              <w:rPr>
                <w:rFonts w:ascii="Times New Roman" w:hAnsi="Times New Roman"/>
                <w:b/>
                <w:sz w:val="24"/>
                <w:szCs w:val="24"/>
                <w:lang w:val="lv-LV"/>
              </w:rPr>
              <w:t>h</w:t>
            </w:r>
            <w:r w:rsidR="00626B05" w:rsidRPr="00161C60">
              <w:rPr>
                <w:rFonts w:ascii="Times New Roman" w:hAnsi="Times New Roman"/>
                <w:b/>
                <w:sz w:val="24"/>
                <w:szCs w:val="24"/>
                <w:lang w:val="lv-LV"/>
              </w:rPr>
              <w:t>)</w:t>
            </w:r>
            <w:r w:rsidR="00EE1F78" w:rsidRPr="00161C60">
              <w:rPr>
                <w:rFonts w:ascii="Times New Roman" w:hAnsi="Times New Roman"/>
                <w:sz w:val="24"/>
                <w:szCs w:val="24"/>
                <w:lang w:val="lv-LV"/>
              </w:rPr>
              <w:t> </w:t>
            </w:r>
            <w:r w:rsidR="00735013" w:rsidRPr="00161C60">
              <w:rPr>
                <w:rFonts w:ascii="Times New Roman" w:hAnsi="Times New Roman"/>
                <w:b/>
                <w:i/>
                <w:sz w:val="24"/>
                <w:szCs w:val="24"/>
                <w:lang w:val="lv-LV"/>
              </w:rPr>
              <w:t xml:space="preserve">Zāļu izplatīšanā vairumtirdzniecībā </w:t>
            </w:r>
            <w:r w:rsidR="00AC51CE" w:rsidRPr="00161C60">
              <w:rPr>
                <w:rFonts w:ascii="Times New Roman" w:hAnsi="Times New Roman"/>
                <w:b/>
                <w:i/>
                <w:sz w:val="24"/>
                <w:szCs w:val="24"/>
                <w:lang w:val="lv-LV"/>
              </w:rPr>
              <w:t xml:space="preserve">tiek atcelti </w:t>
            </w:r>
            <w:r w:rsidR="00735013" w:rsidRPr="00161C60">
              <w:rPr>
                <w:rFonts w:ascii="Times New Roman" w:hAnsi="Times New Roman"/>
                <w:b/>
                <w:i/>
                <w:sz w:val="24"/>
                <w:szCs w:val="24"/>
                <w:lang w:val="lv-LV"/>
              </w:rPr>
              <w:t>ierobežojumi, kas neveicina zāļu starptautisko tird</w:t>
            </w:r>
            <w:r w:rsidR="0081723F" w:rsidRPr="00161C60">
              <w:rPr>
                <w:rFonts w:ascii="Times New Roman" w:hAnsi="Times New Roman"/>
                <w:b/>
                <w:i/>
                <w:sz w:val="24"/>
                <w:szCs w:val="24"/>
                <w:lang w:val="lv-LV"/>
              </w:rPr>
              <w:t>zniecību</w:t>
            </w:r>
            <w:r w:rsidR="0081723F" w:rsidRPr="00161C60">
              <w:rPr>
                <w:rFonts w:ascii="Times New Roman" w:hAnsi="Times New Roman"/>
                <w:sz w:val="24"/>
                <w:szCs w:val="24"/>
                <w:lang w:val="lv-LV"/>
              </w:rPr>
              <w:t xml:space="preserve"> (Noteikumu projekta 1.8</w:t>
            </w:r>
            <w:r w:rsidR="00735013" w:rsidRPr="00161C60">
              <w:rPr>
                <w:rFonts w:ascii="Times New Roman" w:hAnsi="Times New Roman"/>
                <w:sz w:val="24"/>
                <w:szCs w:val="24"/>
                <w:lang w:val="lv-LV"/>
              </w:rPr>
              <w:t>.apakšpunkts).</w:t>
            </w:r>
            <w:r w:rsidR="009D707D" w:rsidRPr="00161C60">
              <w:rPr>
                <w:rFonts w:ascii="Times New Roman" w:hAnsi="Times New Roman"/>
                <w:sz w:val="24"/>
                <w:szCs w:val="24"/>
                <w:lang w:val="lv-LV"/>
              </w:rPr>
              <w:t xml:space="preserve"> </w:t>
            </w:r>
          </w:p>
          <w:p w:rsidR="00DC5F67" w:rsidRPr="00161C60" w:rsidRDefault="00E42963" w:rsidP="00DC5F67">
            <w:pPr>
              <w:pStyle w:val="Bezatstarpm1"/>
              <w:jc w:val="both"/>
              <w:rPr>
                <w:rFonts w:ascii="Times New Roman" w:hAnsi="Times New Roman"/>
                <w:sz w:val="24"/>
                <w:szCs w:val="24"/>
                <w:lang w:val="lv-LV"/>
              </w:rPr>
            </w:pPr>
            <w:r w:rsidRPr="00161C60">
              <w:rPr>
                <w:rFonts w:ascii="Times New Roman" w:hAnsi="Times New Roman"/>
                <w:sz w:val="24"/>
                <w:szCs w:val="24"/>
                <w:shd w:val="clear" w:color="auto" w:fill="FFFFFF"/>
                <w:lang w:val="lv-LV"/>
              </w:rPr>
              <w:t>Pašreiz MK noteikumu Nr.416 regulējums neparedz z</w:t>
            </w:r>
            <w:r w:rsidR="009D707D" w:rsidRPr="00161C60">
              <w:rPr>
                <w:rFonts w:ascii="Times New Roman" w:hAnsi="Times New Roman"/>
                <w:sz w:val="24"/>
                <w:szCs w:val="24"/>
                <w:lang w:val="lv-LV"/>
              </w:rPr>
              <w:t xml:space="preserve">ālēm, kuras  </w:t>
            </w:r>
            <w:r w:rsidR="00F31AD5" w:rsidRPr="00161C60">
              <w:rPr>
                <w:rFonts w:ascii="Times New Roman" w:hAnsi="Times New Roman"/>
                <w:sz w:val="24"/>
                <w:szCs w:val="24"/>
                <w:lang w:val="lv-LV"/>
              </w:rPr>
              <w:t>paredzētas eksportēšanai</w:t>
            </w:r>
            <w:r w:rsidR="00CA558B" w:rsidRPr="00161C60">
              <w:rPr>
                <w:rFonts w:ascii="Times New Roman" w:hAnsi="Times New Roman"/>
                <w:sz w:val="24"/>
                <w:szCs w:val="24"/>
                <w:lang w:val="lv-LV"/>
              </w:rPr>
              <w:t xml:space="preserve"> uz trešo valsti vai piegādāšanai</w:t>
            </w:r>
            <w:r w:rsidR="009D707D" w:rsidRPr="00161C60">
              <w:rPr>
                <w:rFonts w:ascii="Times New Roman" w:hAnsi="Times New Roman"/>
                <w:sz w:val="24"/>
                <w:szCs w:val="24"/>
                <w:lang w:val="lv-LV"/>
              </w:rPr>
              <w:t xml:space="preserve"> uz citu </w:t>
            </w:r>
            <w:r w:rsidR="00F31AD5" w:rsidRPr="00161C60">
              <w:rPr>
                <w:rFonts w:ascii="Times New Roman" w:hAnsi="Times New Roman"/>
                <w:sz w:val="24"/>
                <w:szCs w:val="24"/>
                <w:lang w:val="lv-LV"/>
              </w:rPr>
              <w:t xml:space="preserve">Eiropas Savienības un </w:t>
            </w:r>
            <w:r w:rsidR="009D707D" w:rsidRPr="00161C60">
              <w:rPr>
                <w:rFonts w:ascii="Times New Roman" w:hAnsi="Times New Roman"/>
                <w:sz w:val="24"/>
                <w:szCs w:val="24"/>
                <w:lang w:val="lv-LV"/>
              </w:rPr>
              <w:t xml:space="preserve">Eiropas Ekonomikas zonas dalībvalsti, pavaddokumentā </w:t>
            </w:r>
            <w:r w:rsidRPr="00161C60">
              <w:rPr>
                <w:rFonts w:ascii="Times New Roman" w:hAnsi="Times New Roman"/>
                <w:sz w:val="24"/>
                <w:szCs w:val="24"/>
                <w:lang w:val="lv-LV"/>
              </w:rPr>
              <w:t xml:space="preserve">norādīt informāciju: </w:t>
            </w:r>
            <w:r w:rsidR="009D707D" w:rsidRPr="00161C60">
              <w:rPr>
                <w:rFonts w:ascii="Times New Roman" w:hAnsi="Times New Roman"/>
                <w:sz w:val="24"/>
                <w:szCs w:val="24"/>
                <w:lang w:val="lv-LV"/>
              </w:rPr>
              <w:t>”Zāles paredzētas eksportēt uz trešajām valsti vai piegādāt uz citu Eiropa</w:t>
            </w:r>
            <w:r w:rsidR="00F31AD5" w:rsidRPr="00161C60">
              <w:rPr>
                <w:rFonts w:ascii="Times New Roman" w:hAnsi="Times New Roman"/>
                <w:sz w:val="24"/>
                <w:szCs w:val="24"/>
                <w:lang w:val="lv-LV"/>
              </w:rPr>
              <w:t>s</w:t>
            </w:r>
            <w:r w:rsidR="002A2AE7" w:rsidRPr="00161C60">
              <w:rPr>
                <w:rFonts w:ascii="Times New Roman" w:hAnsi="Times New Roman"/>
                <w:sz w:val="24"/>
                <w:szCs w:val="24"/>
                <w:lang w:val="lv-LV"/>
              </w:rPr>
              <w:t xml:space="preserve"> Ekonomikas zonas dalībvalsti”.</w:t>
            </w:r>
          </w:p>
          <w:p w:rsidR="009D707D" w:rsidRPr="00161C60" w:rsidRDefault="00F31AD5" w:rsidP="009D707D">
            <w:pPr>
              <w:pStyle w:val="Bezatstarpm1"/>
              <w:jc w:val="both"/>
              <w:rPr>
                <w:rFonts w:ascii="Times New Roman" w:hAnsi="Times New Roman"/>
                <w:sz w:val="24"/>
                <w:szCs w:val="24"/>
                <w:lang w:val="lv-LV"/>
              </w:rPr>
            </w:pPr>
            <w:r w:rsidRPr="00161C60">
              <w:rPr>
                <w:rFonts w:ascii="Times New Roman" w:hAnsi="Times New Roman"/>
                <w:sz w:val="24"/>
                <w:szCs w:val="24"/>
                <w:lang w:val="lv-LV"/>
              </w:rPr>
              <w:t>Tas var radīt problēmu ne</w:t>
            </w:r>
            <w:r w:rsidR="00CA558B" w:rsidRPr="00161C60">
              <w:rPr>
                <w:rFonts w:ascii="Times New Roman" w:hAnsi="Times New Roman"/>
                <w:sz w:val="24"/>
                <w:szCs w:val="24"/>
                <w:lang w:val="lv-LV"/>
              </w:rPr>
              <w:t>pa</w:t>
            </w:r>
            <w:r w:rsidRPr="00161C60">
              <w:rPr>
                <w:rFonts w:ascii="Times New Roman" w:hAnsi="Times New Roman"/>
                <w:sz w:val="24"/>
                <w:szCs w:val="24"/>
                <w:lang w:val="lv-LV"/>
              </w:rPr>
              <w:t>matotiem starptautisko tirdzniecību</w:t>
            </w:r>
            <w:r w:rsidR="00B302A9" w:rsidRPr="00161C60">
              <w:rPr>
                <w:rFonts w:ascii="Times New Roman" w:hAnsi="Times New Roman"/>
                <w:sz w:val="24"/>
                <w:szCs w:val="24"/>
                <w:lang w:val="lv-LV"/>
              </w:rPr>
              <w:t xml:space="preserve"> neveicinošiem ierobežojumiem</w:t>
            </w:r>
            <w:r w:rsidRPr="00161C60">
              <w:rPr>
                <w:rFonts w:ascii="Times New Roman" w:hAnsi="Times New Roman"/>
                <w:sz w:val="24"/>
                <w:szCs w:val="24"/>
                <w:lang w:val="lv-LV"/>
              </w:rPr>
              <w:t>, piemēram, obligātu prasību eksportēšanai paredzētām zālēm papildus reģistrācijas apliecības īpašnieka</w:t>
            </w:r>
            <w:r w:rsidR="00B302A9" w:rsidRPr="00161C60">
              <w:rPr>
                <w:rFonts w:ascii="Times New Roman" w:hAnsi="Times New Roman"/>
                <w:sz w:val="24"/>
                <w:szCs w:val="24"/>
                <w:lang w:val="lv-LV"/>
              </w:rPr>
              <w:t>/</w:t>
            </w:r>
            <w:r w:rsidRPr="00161C60">
              <w:rPr>
                <w:rFonts w:ascii="Times New Roman" w:hAnsi="Times New Roman"/>
                <w:sz w:val="24"/>
                <w:szCs w:val="24"/>
                <w:lang w:val="lv-LV"/>
              </w:rPr>
              <w:t xml:space="preserve"> ražotāja sagatavotai zāļu lietošanas instrukcijai, piemēram, angļu valodā,  pievienot klāt zāļu lietošanas instrukciju latviešu valodā.</w:t>
            </w:r>
            <w:r w:rsidR="00B302A9" w:rsidRPr="00161C60">
              <w:rPr>
                <w:rFonts w:ascii="Times New Roman" w:hAnsi="Times New Roman"/>
                <w:sz w:val="24"/>
                <w:szCs w:val="24"/>
                <w:lang w:val="lv-LV"/>
              </w:rPr>
              <w:t xml:space="preserve"> </w:t>
            </w:r>
            <w:r w:rsidR="00DC5F67" w:rsidRPr="00161C60">
              <w:rPr>
                <w:rFonts w:ascii="Times New Roman" w:hAnsi="Times New Roman"/>
                <w:sz w:val="24"/>
                <w:szCs w:val="24"/>
                <w:lang w:val="lv-LV"/>
              </w:rPr>
              <w:t>E</w:t>
            </w:r>
            <w:r w:rsidR="00CA558B" w:rsidRPr="00161C60">
              <w:rPr>
                <w:rFonts w:ascii="Times New Roman" w:hAnsi="Times New Roman"/>
                <w:sz w:val="24"/>
                <w:szCs w:val="24"/>
                <w:lang w:val="lv-LV"/>
              </w:rPr>
              <w:t>ksportējamās</w:t>
            </w:r>
            <w:r w:rsidR="00DC5F67" w:rsidRPr="00161C60">
              <w:rPr>
                <w:rFonts w:ascii="Times New Roman" w:hAnsi="Times New Roman"/>
                <w:sz w:val="24"/>
                <w:szCs w:val="24"/>
                <w:lang w:val="lv-LV"/>
              </w:rPr>
              <w:t xml:space="preserve"> vai citai Eiropas Savienības dalībvalstij vai Eiropas Ekonomikas zonas valstij piegādājamās zāles netiek laistas tirgū Latvijā, piegādājot tās aptiekām ārstniecības iestādēm, </w:t>
            </w:r>
            <w:r w:rsidR="00DC5F67" w:rsidRPr="00161C60">
              <w:rPr>
                <w:rFonts w:ascii="Times New Roman" w:hAnsi="Times New Roman"/>
                <w:sz w:val="24"/>
                <w:szCs w:val="24"/>
                <w:shd w:val="clear" w:color="auto" w:fill="FFFFFF"/>
                <w:lang w:val="lv-LV"/>
              </w:rPr>
              <w:t>sociālās aprūpes institūcijām, praktizējošiem veterinārārstiem, prakses ārstiem un veterinārmedicīniskās aprūpes iestādēm.</w:t>
            </w:r>
            <w:r w:rsidR="00DC5F67" w:rsidRPr="00161C60">
              <w:rPr>
                <w:rFonts w:ascii="Times New Roman" w:hAnsi="Times New Roman"/>
                <w:sz w:val="24"/>
                <w:szCs w:val="24"/>
                <w:lang w:val="lv-LV"/>
              </w:rPr>
              <w:t xml:space="preserve"> </w:t>
            </w:r>
            <w:r w:rsidR="00B302A9" w:rsidRPr="00161C60">
              <w:rPr>
                <w:rFonts w:ascii="Times New Roman" w:hAnsi="Times New Roman"/>
                <w:sz w:val="24"/>
                <w:szCs w:val="24"/>
                <w:lang w:val="lv-LV"/>
              </w:rPr>
              <w:t>Savuk</w:t>
            </w:r>
            <w:r w:rsidR="006C736B" w:rsidRPr="00161C60">
              <w:rPr>
                <w:rFonts w:ascii="Times New Roman" w:hAnsi="Times New Roman"/>
                <w:sz w:val="24"/>
                <w:szCs w:val="24"/>
                <w:lang w:val="lv-LV"/>
              </w:rPr>
              <w:t>ārt</w:t>
            </w:r>
            <w:r w:rsidR="00DC5F67" w:rsidRPr="00161C60">
              <w:rPr>
                <w:rFonts w:ascii="Times New Roman" w:hAnsi="Times New Roman"/>
                <w:sz w:val="24"/>
                <w:szCs w:val="24"/>
                <w:lang w:val="lv-LV"/>
              </w:rPr>
              <w:t>, lai ātrāk identificētu paralēli importētās zāles,</w:t>
            </w:r>
            <w:r w:rsidR="006C736B" w:rsidRPr="00161C60">
              <w:rPr>
                <w:rFonts w:ascii="Times New Roman" w:hAnsi="Times New Roman"/>
                <w:sz w:val="24"/>
                <w:szCs w:val="24"/>
                <w:lang w:val="lv-LV"/>
              </w:rPr>
              <w:t xml:space="preserve"> </w:t>
            </w:r>
            <w:r w:rsidR="00B302A9" w:rsidRPr="00161C60">
              <w:rPr>
                <w:rFonts w:ascii="Times New Roman" w:hAnsi="Times New Roman"/>
                <w:sz w:val="24"/>
                <w:szCs w:val="24"/>
                <w:lang w:val="lv-LV"/>
              </w:rPr>
              <w:t xml:space="preserve">pavaddokumentā </w:t>
            </w:r>
            <w:r w:rsidR="00DC5F67" w:rsidRPr="00161C60">
              <w:rPr>
                <w:rFonts w:ascii="Times New Roman" w:hAnsi="Times New Roman"/>
                <w:sz w:val="24"/>
                <w:szCs w:val="24"/>
                <w:lang w:val="lv-LV"/>
              </w:rPr>
              <w:t>ir jānorāda</w:t>
            </w:r>
            <w:r w:rsidR="00B302A9" w:rsidRPr="00161C60">
              <w:rPr>
                <w:rFonts w:ascii="Times New Roman" w:hAnsi="Times New Roman"/>
                <w:sz w:val="24"/>
                <w:szCs w:val="24"/>
                <w:lang w:val="lv-LV"/>
              </w:rPr>
              <w:t xml:space="preserve"> informācija ”Paralēli importētās zāles”</w:t>
            </w:r>
            <w:r w:rsidR="00DC5F67" w:rsidRPr="00161C60">
              <w:rPr>
                <w:rFonts w:ascii="Times New Roman" w:hAnsi="Times New Roman"/>
                <w:sz w:val="24"/>
                <w:szCs w:val="24"/>
                <w:lang w:val="lv-LV"/>
              </w:rPr>
              <w:t>.</w:t>
            </w:r>
            <w:r w:rsidR="00E209BB" w:rsidRPr="00161C60">
              <w:rPr>
                <w:rFonts w:ascii="Times New Roman" w:hAnsi="Times New Roman"/>
                <w:sz w:val="24"/>
                <w:szCs w:val="24"/>
                <w:lang w:val="lv-LV"/>
              </w:rPr>
              <w:t xml:space="preserve"> </w:t>
            </w:r>
            <w:r w:rsidR="00DC5F67" w:rsidRPr="00161C60">
              <w:rPr>
                <w:rFonts w:ascii="Times New Roman" w:hAnsi="Times New Roman"/>
                <w:sz w:val="24"/>
                <w:szCs w:val="24"/>
                <w:lang w:val="lv-LV"/>
              </w:rPr>
              <w:t xml:space="preserve">Grozījumi </w:t>
            </w:r>
            <w:r w:rsidR="006C736B" w:rsidRPr="00161C60">
              <w:rPr>
                <w:rFonts w:ascii="Times New Roman" w:hAnsi="Times New Roman"/>
                <w:sz w:val="24"/>
                <w:szCs w:val="24"/>
                <w:lang w:val="lv-LV"/>
              </w:rPr>
              <w:t>Not</w:t>
            </w:r>
            <w:r w:rsidR="00DC5F67" w:rsidRPr="00161C60">
              <w:rPr>
                <w:rFonts w:ascii="Times New Roman" w:hAnsi="Times New Roman"/>
                <w:sz w:val="24"/>
                <w:szCs w:val="24"/>
                <w:lang w:val="lv-LV"/>
              </w:rPr>
              <w:t>eikumu projekta 1.8.apakšpunktā šīs problēmsituācijas atrisina</w:t>
            </w:r>
            <w:r w:rsidR="006C736B" w:rsidRPr="00161C60">
              <w:rPr>
                <w:rFonts w:ascii="Times New Roman" w:hAnsi="Times New Roman"/>
                <w:sz w:val="24"/>
                <w:szCs w:val="24"/>
                <w:lang w:val="lv-LV"/>
              </w:rPr>
              <w:t>.</w:t>
            </w:r>
          </w:p>
          <w:p w:rsidR="00735013" w:rsidRPr="00161C60" w:rsidRDefault="00735013" w:rsidP="009366EA">
            <w:pPr>
              <w:pStyle w:val="NoSpacing"/>
              <w:jc w:val="both"/>
              <w:rPr>
                <w:rFonts w:ascii="Times New Roman" w:hAnsi="Times New Roman"/>
                <w:sz w:val="24"/>
                <w:szCs w:val="24"/>
                <w:lang w:val="lv-LV"/>
              </w:rPr>
            </w:pPr>
          </w:p>
          <w:p w:rsidR="009366EA" w:rsidRPr="00161C60" w:rsidRDefault="00CC12F2" w:rsidP="009366EA">
            <w:pPr>
              <w:pStyle w:val="NoSpacing"/>
              <w:jc w:val="both"/>
              <w:rPr>
                <w:rFonts w:ascii="Times New Roman" w:hAnsi="Times New Roman"/>
                <w:b/>
                <w:i/>
                <w:sz w:val="24"/>
                <w:szCs w:val="24"/>
                <w:lang w:val="lv-LV"/>
              </w:rPr>
            </w:pPr>
            <w:r w:rsidRPr="00161C60">
              <w:rPr>
                <w:rFonts w:ascii="Times New Roman" w:hAnsi="Times New Roman"/>
                <w:b/>
                <w:sz w:val="24"/>
                <w:szCs w:val="24"/>
                <w:lang w:val="lv-LV"/>
              </w:rPr>
              <w:t>i</w:t>
            </w:r>
            <w:r w:rsidR="00626B05" w:rsidRPr="00161C60">
              <w:rPr>
                <w:rFonts w:ascii="Times New Roman" w:hAnsi="Times New Roman"/>
                <w:b/>
                <w:sz w:val="24"/>
                <w:szCs w:val="24"/>
                <w:lang w:val="lv-LV"/>
              </w:rPr>
              <w:t>)</w:t>
            </w:r>
            <w:r w:rsidR="009366EA" w:rsidRPr="00161C60">
              <w:rPr>
                <w:rFonts w:ascii="Times New Roman" w:hAnsi="Times New Roman"/>
                <w:sz w:val="24"/>
                <w:szCs w:val="24"/>
                <w:lang w:val="lv-LV"/>
              </w:rPr>
              <w:t> </w:t>
            </w:r>
            <w:r w:rsidR="00AC51CE" w:rsidRPr="00161C60">
              <w:rPr>
                <w:rFonts w:ascii="Times New Roman" w:hAnsi="Times New Roman"/>
                <w:b/>
                <w:i/>
                <w:sz w:val="24"/>
                <w:szCs w:val="24"/>
                <w:lang w:val="lv-LV"/>
              </w:rPr>
              <w:t xml:space="preserve">Tiek konkretizēta informācija </w:t>
            </w:r>
            <w:r w:rsidR="009366EA" w:rsidRPr="00161C60">
              <w:rPr>
                <w:rFonts w:ascii="Times New Roman" w:hAnsi="Times New Roman"/>
                <w:b/>
                <w:i/>
                <w:sz w:val="24"/>
                <w:szCs w:val="24"/>
                <w:lang w:val="lv-LV"/>
              </w:rPr>
              <w:t>paralēli importēto zāļu izplatīšanas a</w:t>
            </w:r>
            <w:r w:rsidR="00AC51CE" w:rsidRPr="00161C60">
              <w:rPr>
                <w:rFonts w:ascii="Times New Roman" w:hAnsi="Times New Roman"/>
                <w:b/>
                <w:i/>
                <w:sz w:val="24"/>
                <w:szCs w:val="24"/>
                <w:lang w:val="lv-LV"/>
              </w:rPr>
              <w:t>tļaujas iesniegumā</w:t>
            </w:r>
            <w:r w:rsidR="00FF35DC" w:rsidRPr="00161C60">
              <w:rPr>
                <w:rFonts w:ascii="Times New Roman" w:hAnsi="Times New Roman"/>
                <w:b/>
                <w:i/>
                <w:sz w:val="24"/>
                <w:szCs w:val="24"/>
                <w:lang w:val="lv-LV"/>
              </w:rPr>
              <w:t>.</w:t>
            </w:r>
          </w:p>
          <w:p w:rsidR="00AC51CE" w:rsidRPr="00161C60" w:rsidRDefault="00AC51CE" w:rsidP="009366EA">
            <w:pPr>
              <w:pStyle w:val="NoSpacing"/>
              <w:jc w:val="both"/>
              <w:rPr>
                <w:rFonts w:ascii="Times New Roman" w:hAnsi="Times New Roman"/>
                <w:sz w:val="24"/>
                <w:szCs w:val="24"/>
                <w:lang w:val="lv-LV"/>
              </w:rPr>
            </w:pPr>
          </w:p>
          <w:p w:rsidR="009366EA" w:rsidRPr="00161C60" w:rsidRDefault="009366EA" w:rsidP="009366EA">
            <w:pPr>
              <w:jc w:val="both"/>
            </w:pPr>
            <w:r w:rsidRPr="00161C60">
              <w:t xml:space="preserve">Pašreiz tiesiskais regulējums MK noteikumos Nr.416 neparedz  iesnieguma formu izmaiņu apstiprināšanai paralēli importētajās zālēs, kā arī iesnieguma iesniedzējiem nav tiesiska skaidrība par iesniedzamajiem datiem un dokumentiem. Grozījumi MK noteikumu Nr.416 48.punktā un 1.pielikumā padara tiesisko regulējumu padarītu skaidrāku (Noteikumu projekta </w:t>
            </w:r>
            <w:r w:rsidR="00191F11" w:rsidRPr="00161C60">
              <w:t>1.2</w:t>
            </w:r>
            <w:r w:rsidR="00AB30EE" w:rsidRPr="00161C60">
              <w:t>5</w:t>
            </w:r>
            <w:r w:rsidRPr="00161C60">
              <w:t>.</w:t>
            </w:r>
            <w:r w:rsidR="00191F11" w:rsidRPr="00161C60">
              <w:t xml:space="preserve"> un 1.</w:t>
            </w:r>
            <w:r w:rsidR="002F5ED8" w:rsidRPr="00161C60">
              <w:t>65.</w:t>
            </w:r>
            <w:r w:rsidR="00FF35DC" w:rsidRPr="00161C60">
              <w:t>apakšpunkts</w:t>
            </w:r>
            <w:r w:rsidRPr="00161C60">
              <w:t>).</w:t>
            </w:r>
          </w:p>
          <w:p w:rsidR="009366EA" w:rsidRPr="00161C60" w:rsidRDefault="009366EA" w:rsidP="009366EA">
            <w:pPr>
              <w:jc w:val="both"/>
            </w:pPr>
          </w:p>
          <w:p w:rsidR="007040E3" w:rsidRPr="00161C60" w:rsidRDefault="00CC12F2" w:rsidP="009366EA">
            <w:pPr>
              <w:jc w:val="both"/>
            </w:pPr>
            <w:r w:rsidRPr="00161C60">
              <w:rPr>
                <w:b/>
              </w:rPr>
              <w:t>j</w:t>
            </w:r>
            <w:r w:rsidR="00626B05" w:rsidRPr="00161C60">
              <w:rPr>
                <w:b/>
              </w:rPr>
              <w:t>)</w:t>
            </w:r>
            <w:r w:rsidR="009366EA" w:rsidRPr="00161C60">
              <w:t> </w:t>
            </w:r>
            <w:r w:rsidR="007040E3" w:rsidRPr="00161C60">
              <w:rPr>
                <w:b/>
                <w:i/>
              </w:rPr>
              <w:t>Tiek konkretizēts termins “pārpakošana” paralēli importēto zāļu kontekstā.</w:t>
            </w:r>
          </w:p>
          <w:p w:rsidR="007040E3" w:rsidRPr="00161C60" w:rsidRDefault="007040E3" w:rsidP="009366EA">
            <w:pPr>
              <w:jc w:val="both"/>
            </w:pPr>
          </w:p>
          <w:p w:rsidR="009366EA" w:rsidRPr="00161C60" w:rsidRDefault="009366EA" w:rsidP="009366EA">
            <w:pPr>
              <w:jc w:val="both"/>
            </w:pPr>
            <w:r w:rsidRPr="00161C60">
              <w:lastRenderedPageBreak/>
              <w:t xml:space="preserve">Līdz šim regulējums MK noteikumos Nr.416 skaidri nenorādīja, ko nozīmē pārpakošana. Tas rada risku sašaurinātai tiesību normu interpretācijai. Grozījumi Noteikuma projekta </w:t>
            </w:r>
            <w:r w:rsidR="00E21A78" w:rsidRPr="00161C60">
              <w:t>1.</w:t>
            </w:r>
            <w:r w:rsidRPr="00161C60">
              <w:t>2.</w:t>
            </w:r>
            <w:r w:rsidR="00E21A78" w:rsidRPr="00161C60">
              <w:t>apakš</w:t>
            </w:r>
            <w:r w:rsidRPr="00161C60">
              <w:t>punktā šo problēmu atrisina.</w:t>
            </w:r>
          </w:p>
          <w:p w:rsidR="00DE1DE6" w:rsidRPr="00161C60" w:rsidRDefault="00DE1DE6" w:rsidP="003712AE">
            <w:pPr>
              <w:keepLines/>
              <w:autoSpaceDE w:val="0"/>
              <w:autoSpaceDN w:val="0"/>
              <w:adjustRightInd w:val="0"/>
              <w:jc w:val="both"/>
            </w:pPr>
          </w:p>
          <w:p w:rsidR="00B325F2" w:rsidRPr="00161C60" w:rsidRDefault="00CC12F2" w:rsidP="00C4192A">
            <w:pPr>
              <w:pStyle w:val="NoSpacing"/>
              <w:jc w:val="both"/>
              <w:rPr>
                <w:rFonts w:ascii="Times New Roman" w:hAnsi="Times New Roman"/>
                <w:b/>
                <w:i/>
                <w:sz w:val="24"/>
                <w:szCs w:val="24"/>
                <w:lang w:val="lv-LV"/>
              </w:rPr>
            </w:pPr>
            <w:r w:rsidRPr="00161C60">
              <w:rPr>
                <w:rFonts w:ascii="Times New Roman" w:hAnsi="Times New Roman"/>
                <w:b/>
                <w:sz w:val="24"/>
                <w:szCs w:val="24"/>
                <w:lang w:val="lv-LV"/>
              </w:rPr>
              <w:t>k</w:t>
            </w:r>
            <w:r w:rsidR="00B325F2" w:rsidRPr="00161C60">
              <w:rPr>
                <w:rFonts w:ascii="Times New Roman" w:hAnsi="Times New Roman"/>
                <w:b/>
                <w:sz w:val="24"/>
                <w:szCs w:val="24"/>
                <w:lang w:val="lv-LV"/>
              </w:rPr>
              <w:t>)</w:t>
            </w:r>
            <w:r w:rsidR="00B95817" w:rsidRPr="00161C60">
              <w:rPr>
                <w:rFonts w:ascii="Times New Roman" w:hAnsi="Times New Roman"/>
                <w:b/>
                <w:sz w:val="24"/>
                <w:szCs w:val="24"/>
                <w:lang w:val="lv-LV"/>
              </w:rPr>
              <w:t> </w:t>
            </w:r>
            <w:r w:rsidR="00B325F2" w:rsidRPr="00161C60">
              <w:rPr>
                <w:rFonts w:ascii="Times New Roman" w:hAnsi="Times New Roman"/>
                <w:b/>
                <w:i/>
                <w:sz w:val="24"/>
                <w:szCs w:val="24"/>
                <w:lang w:val="lv-LV"/>
              </w:rPr>
              <w:t xml:space="preserve">Daļa normu attiecībā uz paralēli importēto zāļu marķējuma un zāļu lietošanas instrukcijas prasībām </w:t>
            </w:r>
            <w:r w:rsidR="00A25489" w:rsidRPr="00161C60">
              <w:rPr>
                <w:rFonts w:ascii="Times New Roman" w:hAnsi="Times New Roman"/>
                <w:b/>
                <w:i/>
                <w:sz w:val="24"/>
                <w:szCs w:val="24"/>
                <w:lang w:val="lv-LV"/>
              </w:rPr>
              <w:t xml:space="preserve">tiek </w:t>
            </w:r>
            <w:r w:rsidR="00026E4B" w:rsidRPr="00161C60">
              <w:rPr>
                <w:rFonts w:ascii="Times New Roman" w:hAnsi="Times New Roman"/>
                <w:b/>
                <w:i/>
                <w:sz w:val="24"/>
                <w:szCs w:val="24"/>
                <w:lang w:val="lv-LV"/>
              </w:rPr>
              <w:t xml:space="preserve">izslēgtas, jo tās dublējas ar </w:t>
            </w:r>
            <w:r w:rsidR="00B325F2" w:rsidRPr="00161C60">
              <w:rPr>
                <w:rFonts w:ascii="Times New Roman" w:hAnsi="Times New Roman"/>
                <w:b/>
                <w:i/>
                <w:sz w:val="24"/>
                <w:szCs w:val="24"/>
                <w:lang w:val="lv-LV"/>
              </w:rPr>
              <w:t xml:space="preserve">MK noteikumu Nr.57 </w:t>
            </w:r>
            <w:r w:rsidR="00026E4B" w:rsidRPr="00161C60">
              <w:rPr>
                <w:rFonts w:ascii="Times New Roman" w:hAnsi="Times New Roman"/>
                <w:b/>
                <w:i/>
                <w:sz w:val="24"/>
                <w:szCs w:val="24"/>
                <w:lang w:val="lv-LV"/>
              </w:rPr>
              <w:t>normām</w:t>
            </w:r>
            <w:r w:rsidR="00B325F2" w:rsidRPr="00161C60">
              <w:rPr>
                <w:rFonts w:ascii="Times New Roman" w:hAnsi="Times New Roman"/>
                <w:b/>
                <w:i/>
                <w:sz w:val="24"/>
                <w:szCs w:val="24"/>
                <w:lang w:val="lv-LV"/>
              </w:rPr>
              <w:t>.</w:t>
            </w:r>
          </w:p>
          <w:p w:rsidR="00B325F2" w:rsidRPr="00161C60" w:rsidRDefault="00B325F2" w:rsidP="00C4192A">
            <w:pPr>
              <w:pStyle w:val="NoSpacing"/>
              <w:jc w:val="both"/>
              <w:rPr>
                <w:rFonts w:ascii="Times New Roman" w:hAnsi="Times New Roman"/>
                <w:sz w:val="24"/>
                <w:szCs w:val="24"/>
                <w:lang w:val="lv-LV"/>
              </w:rPr>
            </w:pPr>
          </w:p>
          <w:p w:rsidR="00C4192A" w:rsidRPr="00161C60" w:rsidRDefault="00C4192A" w:rsidP="00C4192A">
            <w:pPr>
              <w:pStyle w:val="NoSpacing"/>
              <w:jc w:val="both"/>
              <w:rPr>
                <w:rFonts w:ascii="Times New Roman" w:hAnsi="Times New Roman"/>
                <w:sz w:val="24"/>
                <w:szCs w:val="24"/>
                <w:lang w:val="lv-LV"/>
              </w:rPr>
            </w:pPr>
            <w:r w:rsidRPr="00161C60">
              <w:rPr>
                <w:rFonts w:ascii="Times New Roman" w:hAnsi="Times New Roman"/>
                <w:sz w:val="24"/>
                <w:szCs w:val="24"/>
                <w:lang w:val="lv-LV"/>
              </w:rPr>
              <w:t>Pašreiz MK noteikumu Nr.</w:t>
            </w:r>
            <w:r w:rsidR="00CA558B" w:rsidRPr="00161C60">
              <w:rPr>
                <w:rFonts w:ascii="Times New Roman" w:hAnsi="Times New Roman"/>
                <w:sz w:val="24"/>
                <w:szCs w:val="24"/>
                <w:lang w:val="lv-LV"/>
              </w:rPr>
              <w:t xml:space="preserve">416 </w:t>
            </w:r>
            <w:r w:rsidRPr="00161C60">
              <w:rPr>
                <w:rFonts w:ascii="Times New Roman" w:hAnsi="Times New Roman"/>
                <w:sz w:val="24"/>
                <w:szCs w:val="24"/>
                <w:lang w:val="lv-LV"/>
              </w:rPr>
              <w:t>41.6.apakšpunkta norma nosaka prasību paralēli importēto zāļu lietošanas instrukcijā un marķējumā norādīt paralēli importēto zāļu izplatīšanas atļaujas turētāja firmu un adresi</w:t>
            </w:r>
            <w:r w:rsidR="00CA558B" w:rsidRPr="00161C60">
              <w:rPr>
                <w:rFonts w:ascii="Times New Roman" w:hAnsi="Times New Roman"/>
                <w:sz w:val="24"/>
                <w:szCs w:val="24"/>
                <w:lang w:val="lv-LV"/>
              </w:rPr>
              <w:t xml:space="preserve">. Šī prasība </w:t>
            </w:r>
            <w:r w:rsidR="002F0B65" w:rsidRPr="00161C60">
              <w:rPr>
                <w:rFonts w:ascii="Times New Roman" w:hAnsi="Times New Roman"/>
                <w:sz w:val="24"/>
                <w:szCs w:val="24"/>
                <w:lang w:val="lv-LV"/>
              </w:rPr>
              <w:t xml:space="preserve">ir jau regulēta </w:t>
            </w:r>
            <w:r w:rsidR="00533882" w:rsidRPr="00161C60">
              <w:rPr>
                <w:rFonts w:ascii="Times New Roman" w:hAnsi="Times New Roman"/>
                <w:sz w:val="24"/>
                <w:szCs w:val="24"/>
                <w:lang w:val="lv-LV"/>
              </w:rPr>
              <w:t xml:space="preserve">MK noteikumu Nr.57 </w:t>
            </w:r>
            <w:r w:rsidR="002F0B65" w:rsidRPr="00161C60">
              <w:rPr>
                <w:rFonts w:ascii="Times New Roman" w:hAnsi="Times New Roman"/>
                <w:sz w:val="24"/>
                <w:szCs w:val="24"/>
                <w:lang w:val="lv-LV"/>
              </w:rPr>
              <w:t>7.11.apakšpunktā.</w:t>
            </w:r>
            <w:r w:rsidRPr="00161C60">
              <w:rPr>
                <w:rFonts w:ascii="Times New Roman" w:hAnsi="Times New Roman"/>
                <w:sz w:val="24"/>
                <w:szCs w:val="24"/>
                <w:lang w:val="lv-LV"/>
              </w:rPr>
              <w:t xml:space="preserve"> Līdz ar to </w:t>
            </w:r>
            <w:r w:rsidRPr="00161C60">
              <w:rPr>
                <w:rFonts w:ascii="Times New Roman" w:eastAsia="MS Mincho" w:hAnsi="Times New Roman"/>
                <w:sz w:val="24"/>
                <w:szCs w:val="24"/>
                <w:lang w:val="lv-LV"/>
              </w:rPr>
              <w:t xml:space="preserve">attiecīgā norma no MK noteikumiem Nr.416 tiek izslēgta </w:t>
            </w:r>
            <w:r w:rsidRPr="00161C60">
              <w:rPr>
                <w:rFonts w:ascii="Times New Roman" w:hAnsi="Times New Roman"/>
                <w:sz w:val="24"/>
                <w:szCs w:val="24"/>
                <w:lang w:val="lv-LV"/>
              </w:rPr>
              <w:t>(Noteikumu projekta 1.2</w:t>
            </w:r>
            <w:r w:rsidR="00B76383" w:rsidRPr="00161C60">
              <w:rPr>
                <w:rFonts w:ascii="Times New Roman" w:hAnsi="Times New Roman"/>
                <w:sz w:val="24"/>
                <w:szCs w:val="24"/>
                <w:lang w:val="lv-LV"/>
              </w:rPr>
              <w:t>2</w:t>
            </w:r>
            <w:r w:rsidRPr="00161C60">
              <w:rPr>
                <w:rFonts w:ascii="Times New Roman" w:hAnsi="Times New Roman"/>
                <w:sz w:val="24"/>
                <w:szCs w:val="24"/>
                <w:lang w:val="lv-LV"/>
              </w:rPr>
              <w:t>.apakšpunkts)</w:t>
            </w:r>
            <w:r w:rsidR="002F0B65" w:rsidRPr="00161C60">
              <w:rPr>
                <w:rFonts w:ascii="Times New Roman" w:eastAsia="MS Mincho" w:hAnsi="Times New Roman"/>
                <w:sz w:val="24"/>
                <w:szCs w:val="24"/>
                <w:lang w:val="lv-LV"/>
              </w:rPr>
              <w:t>.</w:t>
            </w:r>
          </w:p>
          <w:p w:rsidR="00C4192A" w:rsidRPr="00161C60" w:rsidRDefault="00C4192A" w:rsidP="00C4192A">
            <w:pPr>
              <w:pStyle w:val="NoSpacing"/>
              <w:jc w:val="both"/>
              <w:rPr>
                <w:rFonts w:ascii="Times New Roman" w:hAnsi="Times New Roman"/>
                <w:sz w:val="24"/>
                <w:szCs w:val="24"/>
                <w:lang w:val="lv-LV"/>
              </w:rPr>
            </w:pPr>
          </w:p>
          <w:p w:rsidR="00C4192A" w:rsidRPr="00161C60" w:rsidRDefault="00C4192A" w:rsidP="00C4192A">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Pašreiz MK noteikumu Nr.416 41.5.apakšpunkta norma nosaka prasības zāļu marķējumam, kas nav MK noteikumu Nr.416 tvērums, un dublē </w:t>
            </w:r>
            <w:r w:rsidR="000873FE" w:rsidRPr="00161C60">
              <w:rPr>
                <w:rFonts w:ascii="Times New Roman" w:hAnsi="Times New Roman"/>
                <w:sz w:val="24"/>
                <w:szCs w:val="24"/>
                <w:lang w:val="lv-LV"/>
              </w:rPr>
              <w:t>MK noteikumu Nr.57</w:t>
            </w:r>
            <w:r w:rsidRPr="00161C60">
              <w:rPr>
                <w:rFonts w:ascii="Times New Roman" w:hAnsi="Times New Roman"/>
                <w:sz w:val="24"/>
                <w:szCs w:val="24"/>
                <w:lang w:val="lv-LV"/>
              </w:rPr>
              <w:t xml:space="preserve"> 7.11.apakšpunkta normu, kā arī vairāk atbilst MK noteikumu Nr.57 tvērumam. Līdz ar to </w:t>
            </w:r>
            <w:r w:rsidRPr="00161C60">
              <w:rPr>
                <w:rFonts w:ascii="Times New Roman" w:eastAsia="MS Mincho" w:hAnsi="Times New Roman"/>
                <w:sz w:val="24"/>
                <w:szCs w:val="24"/>
                <w:lang w:val="lv-LV"/>
              </w:rPr>
              <w:t xml:space="preserve">attiecīgā norma no MK noteikumiem Nr.416 tiek izslēgta </w:t>
            </w:r>
            <w:r w:rsidRPr="00161C60">
              <w:rPr>
                <w:rFonts w:ascii="Times New Roman" w:hAnsi="Times New Roman"/>
                <w:sz w:val="24"/>
                <w:szCs w:val="24"/>
                <w:lang w:val="lv-LV"/>
              </w:rPr>
              <w:t>(Noteikumu projekta 1.2</w:t>
            </w:r>
            <w:r w:rsidR="00B57282" w:rsidRPr="00161C60">
              <w:rPr>
                <w:rFonts w:ascii="Times New Roman" w:hAnsi="Times New Roman"/>
                <w:sz w:val="24"/>
                <w:szCs w:val="24"/>
                <w:lang w:val="lv-LV"/>
              </w:rPr>
              <w:t>2</w:t>
            </w:r>
            <w:r w:rsidRPr="00161C60">
              <w:rPr>
                <w:rFonts w:ascii="Times New Roman" w:hAnsi="Times New Roman"/>
                <w:sz w:val="24"/>
                <w:szCs w:val="24"/>
                <w:lang w:val="lv-LV"/>
              </w:rPr>
              <w:t>.apakšpunkts)</w:t>
            </w:r>
            <w:r w:rsidRPr="00161C60">
              <w:rPr>
                <w:rFonts w:ascii="Times New Roman" w:eastAsia="MS Mincho" w:hAnsi="Times New Roman"/>
                <w:sz w:val="24"/>
                <w:szCs w:val="24"/>
                <w:lang w:val="lv-LV"/>
              </w:rPr>
              <w:t>, jo šo jautājumu regulē MK noteikumi Nr.57.</w:t>
            </w:r>
          </w:p>
          <w:p w:rsidR="00C4192A" w:rsidRPr="00161C60" w:rsidRDefault="00C4192A" w:rsidP="003712AE">
            <w:pPr>
              <w:keepLines/>
              <w:autoSpaceDE w:val="0"/>
              <w:autoSpaceDN w:val="0"/>
              <w:adjustRightInd w:val="0"/>
              <w:jc w:val="both"/>
              <w:rPr>
                <w:b/>
              </w:rPr>
            </w:pPr>
          </w:p>
          <w:p w:rsidR="009C317C" w:rsidRPr="00161C60" w:rsidRDefault="004048F0" w:rsidP="009C317C">
            <w:pPr>
              <w:keepLines/>
              <w:autoSpaceDE w:val="0"/>
              <w:autoSpaceDN w:val="0"/>
              <w:adjustRightInd w:val="0"/>
              <w:jc w:val="both"/>
              <w:rPr>
                <w:b/>
                <w:i/>
              </w:rPr>
            </w:pPr>
            <w:r w:rsidRPr="00161C60">
              <w:t>1</w:t>
            </w:r>
            <w:r w:rsidR="00CC12F2" w:rsidRPr="00161C60">
              <w:t>0</w:t>
            </w:r>
            <w:r w:rsidRPr="00161C60">
              <w:t>)</w:t>
            </w:r>
            <w:r w:rsidR="003F32F8" w:rsidRPr="00161C60">
              <w:t> </w:t>
            </w:r>
            <w:r w:rsidR="009C317C" w:rsidRPr="00161C60">
              <w:rPr>
                <w:i/>
              </w:rPr>
              <w:t>Zāļu aprites uzraudzības pastiprināšana</w:t>
            </w:r>
            <w:r w:rsidR="002D341C" w:rsidRPr="00161C60">
              <w:rPr>
                <w:i/>
              </w:rPr>
              <w:t> - </w:t>
            </w:r>
            <w:r w:rsidR="009C317C" w:rsidRPr="00161C60">
              <w:rPr>
                <w:b/>
                <w:i/>
              </w:rPr>
              <w:t xml:space="preserve">turpmāk, zāļu vairumtirgotāji uzskaitē par zālēm norādīs arī produkta numuru un vairumtirgotāju licenču numurus, lai labāk un </w:t>
            </w:r>
            <w:r w:rsidR="00400F22" w:rsidRPr="00161C60">
              <w:rPr>
                <w:b/>
                <w:i/>
              </w:rPr>
              <w:t>ātrāk varētu identificēt zāles.</w:t>
            </w:r>
          </w:p>
          <w:p w:rsidR="009C317C" w:rsidRPr="00161C60" w:rsidRDefault="009C317C" w:rsidP="003712AE">
            <w:pPr>
              <w:keepLines/>
              <w:autoSpaceDE w:val="0"/>
              <w:autoSpaceDN w:val="0"/>
              <w:adjustRightInd w:val="0"/>
              <w:jc w:val="both"/>
              <w:rPr>
                <w:i/>
              </w:rPr>
            </w:pPr>
          </w:p>
          <w:p w:rsidR="003712AE" w:rsidRPr="00161C60" w:rsidRDefault="009C317C" w:rsidP="00B2776F">
            <w:pPr>
              <w:keepLines/>
              <w:autoSpaceDE w:val="0"/>
              <w:autoSpaceDN w:val="0"/>
              <w:adjustRightInd w:val="0"/>
              <w:jc w:val="both"/>
            </w:pPr>
            <w:r w:rsidRPr="00161C60">
              <w:t xml:space="preserve">Pašreiz, uzraugot zālēs, ne vienmēr iespējams tās ātri identificēt, jo </w:t>
            </w:r>
            <w:r w:rsidR="00FD7027" w:rsidRPr="00161C60">
              <w:t>tiesiskais regulējums MK n</w:t>
            </w:r>
            <w:r w:rsidR="003712AE" w:rsidRPr="00161C60">
              <w:t>oteikumu N</w:t>
            </w:r>
            <w:r w:rsidR="00F12D69" w:rsidRPr="00161C60">
              <w:t>r</w:t>
            </w:r>
            <w:r w:rsidR="000A28AB" w:rsidRPr="00161C60">
              <w:t>.416 12.5.apakšpunktā neparedz datu uzskaitē</w:t>
            </w:r>
            <w:r w:rsidR="003712AE" w:rsidRPr="00161C60">
              <w:t xml:space="preserve"> par darījumiem ar zālēm norādīt konkrēto </w:t>
            </w:r>
            <w:r w:rsidR="000A28AB" w:rsidRPr="00161C60">
              <w:rPr>
                <w:bCs/>
              </w:rPr>
              <w:t xml:space="preserve">numuru, ar kuru var identificēt katru zāļu iepakojuma lielumu. </w:t>
            </w:r>
            <w:r w:rsidR="000A28AB" w:rsidRPr="00161C60">
              <w:t xml:space="preserve">Arī </w:t>
            </w:r>
            <w:r w:rsidR="000A28AB" w:rsidRPr="00161C60">
              <w:rPr>
                <w:shd w:val="clear" w:color="auto" w:fill="FFFFFF"/>
              </w:rPr>
              <w:t xml:space="preserve">Eiropas Parlamenta un Padomes Direktīvas 2001/83 80.panta e) apakšpunkta norma </w:t>
            </w:r>
            <w:r w:rsidR="000A28AB" w:rsidRPr="00161C60">
              <w:t>paredz dalībvalstij rīcības brīvību nosakot, kāda informācija zāļu vairumtirgotājam uzskaitāma par zālēm.</w:t>
            </w:r>
            <w:r w:rsidR="000A28AB" w:rsidRPr="00161C60">
              <w:rPr>
                <w:bCs/>
              </w:rPr>
              <w:t xml:space="preserve"> Kā identifikatoru var izmantot ”produkta numuru”. Šādu terminu pašreiz </w:t>
            </w:r>
            <w:r w:rsidR="00B728FD" w:rsidRPr="00161C60">
              <w:rPr>
                <w:bCs/>
              </w:rPr>
              <w:t>A</w:t>
            </w:r>
            <w:r w:rsidR="00E87D4D" w:rsidRPr="00161C60">
              <w:rPr>
                <w:bCs/>
              </w:rPr>
              <w:t>ģentūra</w:t>
            </w:r>
            <w:r w:rsidR="000A28AB" w:rsidRPr="00161C60">
              <w:rPr>
                <w:bCs/>
              </w:rPr>
              <w:t xml:space="preserve"> lieto savā tīmekļa vietnē, apzīmējot Latvijas zāļu reģistrā ietverto zāļu iepakojuma lielumu</w:t>
            </w:r>
            <w:r w:rsidR="00C96B47" w:rsidRPr="00161C60">
              <w:rPr>
                <w:bCs/>
              </w:rPr>
              <w:t>, tai skaitā paralēli importētām zālēm</w:t>
            </w:r>
            <w:r w:rsidR="000A28AB" w:rsidRPr="00161C60">
              <w:rPr>
                <w:bCs/>
              </w:rPr>
              <w:t>. Tā kā ”produkta numurs” ļauj identificēt arī ra</w:t>
            </w:r>
            <w:r w:rsidR="00F758D4" w:rsidRPr="00161C60">
              <w:rPr>
                <w:bCs/>
              </w:rPr>
              <w:t xml:space="preserve">žotāja firmu un ražotājvalsti, </w:t>
            </w:r>
            <w:r w:rsidR="000A28AB" w:rsidRPr="00161C60">
              <w:rPr>
                <w:bCs/>
              </w:rPr>
              <w:t>MK noteikumu Nr.416 12.5.7.apakšpunkta normu var svītrot.</w:t>
            </w:r>
            <w:r w:rsidR="00F758D4" w:rsidRPr="00161C60">
              <w:rPr>
                <w:bCs/>
              </w:rPr>
              <w:t xml:space="preserve"> </w:t>
            </w:r>
            <w:r w:rsidR="00FC45C2" w:rsidRPr="00161C60">
              <w:t>S</w:t>
            </w:r>
            <w:r w:rsidR="00F12D69" w:rsidRPr="00161C60">
              <w:t xml:space="preserve">avukārt </w:t>
            </w:r>
            <w:r w:rsidR="00F758D4" w:rsidRPr="00161C60">
              <w:t xml:space="preserve">centralizēti reģistrētās zāles </w:t>
            </w:r>
            <w:r w:rsidR="00B2776F" w:rsidRPr="00161C60">
              <w:rPr>
                <w:bCs/>
                <w:iCs/>
              </w:rPr>
              <w:t xml:space="preserve">var identificēt pēc </w:t>
            </w:r>
            <w:r w:rsidR="00B2776F" w:rsidRPr="00161C60">
              <w:rPr>
                <w:bCs/>
              </w:rPr>
              <w:t xml:space="preserve">Eiropas zāļu aģentūras piešķirtā ES numura katras zāļu formas stipruma iepakojuma lielumam. </w:t>
            </w:r>
            <w:r w:rsidR="00FC45C2" w:rsidRPr="00161C60">
              <w:rPr>
                <w:bCs/>
              </w:rPr>
              <w:t xml:space="preserve">Nereģistrētās zāles </w:t>
            </w:r>
            <w:r w:rsidR="00C5177F" w:rsidRPr="00161C60">
              <w:rPr>
                <w:bCs/>
              </w:rPr>
              <w:t xml:space="preserve">arī </w:t>
            </w:r>
            <w:r w:rsidR="00FC45C2" w:rsidRPr="00161C60">
              <w:rPr>
                <w:bCs/>
              </w:rPr>
              <w:t xml:space="preserve">var identificēt pēc </w:t>
            </w:r>
            <w:r w:rsidR="00140DE5" w:rsidRPr="00161C60">
              <w:rPr>
                <w:bCs/>
              </w:rPr>
              <w:t>A</w:t>
            </w:r>
            <w:r w:rsidR="00E87D4D" w:rsidRPr="00161C60">
              <w:rPr>
                <w:bCs/>
              </w:rPr>
              <w:t>ģentūras</w:t>
            </w:r>
            <w:r w:rsidR="00FC45C2" w:rsidRPr="00161C60">
              <w:rPr>
                <w:bCs/>
              </w:rPr>
              <w:t xml:space="preserve"> piešķirtā </w:t>
            </w:r>
            <w:r w:rsidR="00FC45C2" w:rsidRPr="00161C60">
              <w:t xml:space="preserve">identifikācijas numura, kas ir norādīts </w:t>
            </w:r>
            <w:r w:rsidR="005D101A" w:rsidRPr="00161C60">
              <w:t>konkrētajām</w:t>
            </w:r>
            <w:r w:rsidR="00FC45C2" w:rsidRPr="00161C60">
              <w:t xml:space="preserve"> zālēm</w:t>
            </w:r>
            <w:r w:rsidR="005D101A" w:rsidRPr="00161C60">
              <w:t xml:space="preserve"> attiecīgajā </w:t>
            </w:r>
            <w:r w:rsidR="00FC45C2" w:rsidRPr="00161C60">
              <w:t>izplatīšanas atļaujā</w:t>
            </w:r>
            <w:r w:rsidR="000E7C0B" w:rsidRPr="00161C60">
              <w:t xml:space="preserve">. </w:t>
            </w:r>
            <w:r w:rsidR="00B2776F" w:rsidRPr="00161C60">
              <w:rPr>
                <w:bCs/>
              </w:rPr>
              <w:t xml:space="preserve">Savukārt </w:t>
            </w:r>
            <w:r w:rsidR="00F12D69" w:rsidRPr="00161C60">
              <w:t xml:space="preserve">zāļu vairumtirgotāji ir identificējami </w:t>
            </w:r>
            <w:r w:rsidR="003712AE" w:rsidRPr="00161C60">
              <w:t xml:space="preserve">pēc </w:t>
            </w:r>
            <w:r w:rsidR="00FC45C2" w:rsidRPr="00161C60">
              <w:t xml:space="preserve">viņu </w:t>
            </w:r>
            <w:r w:rsidR="003712AE" w:rsidRPr="00161C60">
              <w:t xml:space="preserve">attiecīgo licenču numuriem, </w:t>
            </w:r>
            <w:r w:rsidR="00F12D69" w:rsidRPr="00161C60">
              <w:t xml:space="preserve">kas būtu jānorāda uzskaites datos, </w:t>
            </w:r>
            <w:r w:rsidR="003712AE" w:rsidRPr="00161C60">
              <w:t xml:space="preserve">jo </w:t>
            </w:r>
            <w:r w:rsidR="00F12D69" w:rsidRPr="00161C60">
              <w:t xml:space="preserve">pašreiz </w:t>
            </w:r>
            <w:r w:rsidR="003712AE" w:rsidRPr="00161C60">
              <w:t>zāļu vairumtirdzniecību var veikt vairāki licencēti vienas juridiskās personas objekti</w:t>
            </w:r>
            <w:r w:rsidR="000A28AB" w:rsidRPr="00161C60">
              <w:t xml:space="preserve">. Grozījumi </w:t>
            </w:r>
            <w:r w:rsidR="001931B1" w:rsidRPr="00161C60">
              <w:lastRenderedPageBreak/>
              <w:t xml:space="preserve">Noteikumu projekta </w:t>
            </w:r>
            <w:r w:rsidR="000860A8" w:rsidRPr="00161C60">
              <w:t>1.</w:t>
            </w:r>
            <w:r w:rsidR="0081723F" w:rsidRPr="00161C60">
              <w:t>7</w:t>
            </w:r>
            <w:r w:rsidR="002C1093" w:rsidRPr="00161C60">
              <w:t>.</w:t>
            </w:r>
            <w:r w:rsidR="000860A8" w:rsidRPr="00161C60">
              <w:t>apakš</w:t>
            </w:r>
            <w:r w:rsidR="002C1093" w:rsidRPr="00161C60">
              <w:t>punkt</w:t>
            </w:r>
            <w:r w:rsidR="000A28AB" w:rsidRPr="00161C60">
              <w:t>ā risina šo problēmu</w:t>
            </w:r>
            <w:r w:rsidR="00A248DA" w:rsidRPr="00161C60">
              <w:t>, veicams arī tehnisks gr</w:t>
            </w:r>
            <w:r w:rsidR="0081723F" w:rsidRPr="00161C60">
              <w:t>ozījums (No</w:t>
            </w:r>
            <w:r w:rsidR="004918B3" w:rsidRPr="00161C60">
              <w:t>teikumu projekta 1.</w:t>
            </w:r>
            <w:r w:rsidR="00727CFB" w:rsidRPr="00161C60">
              <w:t>62</w:t>
            </w:r>
            <w:r w:rsidR="00A248DA" w:rsidRPr="00161C60">
              <w:t>.apakšpunkts).</w:t>
            </w:r>
          </w:p>
          <w:p w:rsidR="00093879" w:rsidRPr="00161C60" w:rsidRDefault="00093879" w:rsidP="00F62BDD">
            <w:pPr>
              <w:pStyle w:val="Bezatstarpm1"/>
              <w:jc w:val="both"/>
              <w:rPr>
                <w:rFonts w:ascii="Times New Roman" w:hAnsi="Times New Roman"/>
                <w:sz w:val="24"/>
                <w:szCs w:val="24"/>
                <w:lang w:val="lv-LV"/>
              </w:rPr>
            </w:pPr>
          </w:p>
          <w:p w:rsidR="00F62BDD" w:rsidRPr="00161C60" w:rsidRDefault="004048F0" w:rsidP="00F62BDD">
            <w:pPr>
              <w:pStyle w:val="Bezatstarpm1"/>
              <w:jc w:val="both"/>
              <w:rPr>
                <w:rFonts w:ascii="Times New Roman" w:hAnsi="Times New Roman"/>
                <w:sz w:val="24"/>
                <w:szCs w:val="24"/>
                <w:lang w:val="lv-LV"/>
              </w:rPr>
            </w:pPr>
            <w:r w:rsidRPr="00161C60">
              <w:rPr>
                <w:rFonts w:ascii="Times New Roman" w:hAnsi="Times New Roman"/>
                <w:sz w:val="24"/>
                <w:szCs w:val="24"/>
                <w:lang w:val="lv-LV"/>
              </w:rPr>
              <w:t>1</w:t>
            </w:r>
            <w:r w:rsidR="00CC12F2" w:rsidRPr="00161C60">
              <w:rPr>
                <w:rFonts w:ascii="Times New Roman" w:hAnsi="Times New Roman"/>
                <w:sz w:val="24"/>
                <w:szCs w:val="24"/>
                <w:lang w:val="lv-LV"/>
              </w:rPr>
              <w:t>1</w:t>
            </w:r>
            <w:r w:rsidRPr="00161C60">
              <w:rPr>
                <w:rFonts w:ascii="Times New Roman" w:hAnsi="Times New Roman"/>
                <w:sz w:val="24"/>
                <w:szCs w:val="24"/>
                <w:lang w:val="lv-LV"/>
              </w:rPr>
              <w:t>)</w:t>
            </w:r>
            <w:r w:rsidR="003F32F8" w:rsidRPr="00161C60">
              <w:rPr>
                <w:rFonts w:ascii="Times New Roman" w:hAnsi="Times New Roman"/>
                <w:sz w:val="24"/>
                <w:szCs w:val="24"/>
                <w:lang w:val="lv-LV"/>
              </w:rPr>
              <w:t> </w:t>
            </w:r>
            <w:r w:rsidR="00FC3776" w:rsidRPr="00161C60">
              <w:rPr>
                <w:rFonts w:ascii="Times New Roman" w:hAnsi="Times New Roman"/>
                <w:b/>
                <w:i/>
                <w:sz w:val="24"/>
                <w:szCs w:val="24"/>
                <w:lang w:val="lv-LV"/>
              </w:rPr>
              <w:t>Tiek pastiprināti norādīts, ka zāles, kurām apstiprināt</w:t>
            </w:r>
            <w:r w:rsidR="006565D0" w:rsidRPr="00161C60">
              <w:rPr>
                <w:rFonts w:ascii="Times New Roman" w:hAnsi="Times New Roman"/>
                <w:b/>
                <w:i/>
                <w:sz w:val="24"/>
                <w:szCs w:val="24"/>
                <w:lang w:val="lv-LV"/>
              </w:rPr>
              <w:t>s</w:t>
            </w:r>
            <w:r w:rsidR="00AB2EA2" w:rsidRPr="00161C60">
              <w:rPr>
                <w:rFonts w:ascii="Times New Roman" w:hAnsi="Times New Roman"/>
                <w:b/>
                <w:i/>
                <w:sz w:val="24"/>
                <w:szCs w:val="24"/>
                <w:lang w:val="lv-LV"/>
              </w:rPr>
              <w:t xml:space="preserve"> </w:t>
            </w:r>
            <w:r w:rsidR="008934AE" w:rsidRPr="00161C60">
              <w:rPr>
                <w:rFonts w:ascii="Times New Roman" w:hAnsi="Times New Roman"/>
                <w:b/>
                <w:i/>
                <w:sz w:val="24"/>
                <w:szCs w:val="24"/>
                <w:lang w:val="lv-LV"/>
              </w:rPr>
              <w:t xml:space="preserve">sekundārais </w:t>
            </w:r>
            <w:r w:rsidR="00FC3776" w:rsidRPr="00161C60">
              <w:rPr>
                <w:rFonts w:ascii="Times New Roman" w:hAnsi="Times New Roman"/>
                <w:b/>
                <w:i/>
                <w:sz w:val="24"/>
                <w:szCs w:val="24"/>
                <w:lang w:val="lv-LV"/>
              </w:rPr>
              <w:t>iepakojums, nedrīkst va</w:t>
            </w:r>
            <w:r w:rsidR="006565D0" w:rsidRPr="00161C60">
              <w:rPr>
                <w:rFonts w:ascii="Times New Roman" w:hAnsi="Times New Roman"/>
                <w:b/>
                <w:i/>
                <w:sz w:val="24"/>
                <w:szCs w:val="24"/>
                <w:lang w:val="lv-LV"/>
              </w:rPr>
              <w:t>irumtirdzniecībā izplatīt bez tā</w:t>
            </w:r>
            <w:r w:rsidR="007C1FB3" w:rsidRPr="00161C60">
              <w:rPr>
                <w:rFonts w:ascii="Times New Roman" w:hAnsi="Times New Roman"/>
                <w:sz w:val="24"/>
                <w:szCs w:val="24"/>
                <w:lang w:val="lv-LV"/>
              </w:rPr>
              <w:t>.</w:t>
            </w:r>
          </w:p>
          <w:p w:rsidR="00EE78E9" w:rsidRPr="00161C60" w:rsidRDefault="00EE78E9" w:rsidP="00F62BDD">
            <w:pPr>
              <w:keepLines/>
              <w:autoSpaceDE w:val="0"/>
              <w:autoSpaceDN w:val="0"/>
              <w:adjustRightInd w:val="0"/>
              <w:jc w:val="both"/>
            </w:pPr>
          </w:p>
          <w:p w:rsidR="00EE78E9" w:rsidRPr="00161C60" w:rsidRDefault="00F62BDD" w:rsidP="00F62BDD">
            <w:pPr>
              <w:keepLines/>
              <w:autoSpaceDE w:val="0"/>
              <w:autoSpaceDN w:val="0"/>
              <w:adjustRightInd w:val="0"/>
              <w:jc w:val="both"/>
            </w:pPr>
            <w:r w:rsidRPr="00161C60">
              <w:t>Saskaņā a</w:t>
            </w:r>
            <w:r w:rsidR="00C6233D" w:rsidRPr="00161C60">
              <w:t>r Farmācijas likuma 17.panta pirmās</w:t>
            </w:r>
            <w:r w:rsidRPr="00161C60">
              <w:t xml:space="preserve"> daļas normu Latvijā </w:t>
            </w:r>
            <w:r w:rsidR="008934AE" w:rsidRPr="00161C60">
              <w:t>a</w:t>
            </w:r>
            <w:r w:rsidR="008934AE" w:rsidRPr="00161C60">
              <w:rPr>
                <w:shd w:val="clear" w:color="auto" w:fill="FFFFFF"/>
              </w:rPr>
              <w:t>tļauts izplatīt tikai Latvijas Republikā reģistrētās un Latvijas zāļu reģistrā vai Latvijas veterināro zāļu reģistrā iekļautās zāles, izņemot šā likuma</w:t>
            </w:r>
            <w:r w:rsidR="008934AE" w:rsidRPr="00161C60">
              <w:rPr>
                <w:rStyle w:val="apple-converted-space"/>
                <w:shd w:val="clear" w:color="auto" w:fill="FFFFFF"/>
              </w:rPr>
              <w:t> </w:t>
            </w:r>
            <w:hyperlink r:id="rId14" w:anchor="p10" w:tgtFrame="_blank" w:history="1">
              <w:r w:rsidR="008934AE" w:rsidRPr="00161C60">
                <w:rPr>
                  <w:rStyle w:val="Hyperlink"/>
                  <w:color w:val="auto"/>
                  <w:shd w:val="clear" w:color="auto" w:fill="FFFFFF"/>
                </w:rPr>
                <w:t>10.panta</w:t>
              </w:r>
            </w:hyperlink>
            <w:r w:rsidR="008934AE" w:rsidRPr="00161C60">
              <w:rPr>
                <w:rStyle w:val="apple-converted-space"/>
                <w:shd w:val="clear" w:color="auto" w:fill="FFFFFF"/>
              </w:rPr>
              <w:t> </w:t>
            </w:r>
            <w:r w:rsidR="008934AE" w:rsidRPr="00161C60">
              <w:rPr>
                <w:shd w:val="clear" w:color="auto" w:fill="FFFFFF"/>
              </w:rPr>
              <w:t>7.punktā,</w:t>
            </w:r>
            <w:r w:rsidR="008934AE" w:rsidRPr="00161C60">
              <w:rPr>
                <w:rStyle w:val="apple-converted-space"/>
                <w:shd w:val="clear" w:color="auto" w:fill="FFFFFF"/>
              </w:rPr>
              <w:t> </w:t>
            </w:r>
            <w:hyperlink r:id="rId15" w:anchor="p12" w:tgtFrame="_blank" w:history="1">
              <w:r w:rsidR="008934AE" w:rsidRPr="00161C60">
                <w:rPr>
                  <w:rStyle w:val="Hyperlink"/>
                  <w:color w:val="auto"/>
                  <w:shd w:val="clear" w:color="auto" w:fill="FFFFFF"/>
                </w:rPr>
                <w:t>12.panta</w:t>
              </w:r>
            </w:hyperlink>
            <w:r w:rsidR="008934AE" w:rsidRPr="00161C60">
              <w:rPr>
                <w:rStyle w:val="apple-converted-space"/>
                <w:shd w:val="clear" w:color="auto" w:fill="FFFFFF"/>
              </w:rPr>
              <w:t> </w:t>
            </w:r>
            <w:r w:rsidR="008934AE" w:rsidRPr="00161C60">
              <w:rPr>
                <w:shd w:val="clear" w:color="auto" w:fill="FFFFFF"/>
              </w:rPr>
              <w:t>7. un 10.punktā un</w:t>
            </w:r>
            <w:r w:rsidR="008934AE" w:rsidRPr="00161C60">
              <w:rPr>
                <w:rStyle w:val="apple-converted-space"/>
                <w:shd w:val="clear" w:color="auto" w:fill="FFFFFF"/>
              </w:rPr>
              <w:t> </w:t>
            </w:r>
            <w:hyperlink r:id="rId16" w:anchor="p20" w:tgtFrame="_blank" w:history="1">
              <w:r w:rsidR="008934AE" w:rsidRPr="00161C60">
                <w:rPr>
                  <w:rStyle w:val="Hyperlink"/>
                  <w:color w:val="auto"/>
                  <w:shd w:val="clear" w:color="auto" w:fill="FFFFFF"/>
                </w:rPr>
                <w:t>20.pantā</w:t>
              </w:r>
            </w:hyperlink>
            <w:r w:rsidR="008934AE" w:rsidRPr="00161C60">
              <w:rPr>
                <w:rStyle w:val="apple-converted-space"/>
                <w:shd w:val="clear" w:color="auto" w:fill="FFFFFF"/>
              </w:rPr>
              <w:t> </w:t>
            </w:r>
            <w:r w:rsidR="008934AE" w:rsidRPr="00161C60">
              <w:rPr>
                <w:shd w:val="clear" w:color="auto" w:fill="FFFFFF"/>
              </w:rPr>
              <w:t xml:space="preserve">minētos gadījumus. </w:t>
            </w:r>
            <w:r w:rsidR="008934AE" w:rsidRPr="00161C60">
              <w:t>Latvijā reģistrēto</w:t>
            </w:r>
            <w:r w:rsidRPr="00161C60">
              <w:t xml:space="preserve"> zāļu iepakojums ir norādīts zāļu reģistrācijas dokumentācijā. Zāles var tikt reģistrētas ar primāro iepakojumu, kam ir tieša saskare ar zālēm, vai ar primāro un sekundāro iepakojumu, kurā ir ievietots primārais</w:t>
            </w:r>
            <w:r w:rsidR="00AB2EA2" w:rsidRPr="00161C60">
              <w:t xml:space="preserve"> iepakojums.</w:t>
            </w:r>
          </w:p>
          <w:p w:rsidR="00EE78E9" w:rsidRPr="00161C60" w:rsidRDefault="009005ED" w:rsidP="00F62BDD">
            <w:pPr>
              <w:keepLines/>
              <w:autoSpaceDE w:val="0"/>
              <w:autoSpaceDN w:val="0"/>
              <w:adjustRightInd w:val="0"/>
              <w:jc w:val="both"/>
            </w:pPr>
            <w:r w:rsidRPr="00161C60">
              <w:t xml:space="preserve">Ja </w:t>
            </w:r>
            <w:r w:rsidR="00F62BDD" w:rsidRPr="00161C60">
              <w:t>zāles ir reģistrētas ar primāro un sekundāro iepakojumu, tās vairumtirdzniecībā ir izplatāmas ar abiem reģistrētajiem iepakojumiem, kuri attiecīgajām zālēm ir norādī</w:t>
            </w:r>
            <w:r w:rsidR="00C47BEE" w:rsidRPr="00161C60">
              <w:t>ti reģi</w:t>
            </w:r>
            <w:r w:rsidR="00AB2EA2" w:rsidRPr="00161C60">
              <w:t>strācijas dokumentācijā.</w:t>
            </w:r>
          </w:p>
          <w:p w:rsidR="00F62BDD" w:rsidRPr="00161C60" w:rsidRDefault="00C47BEE" w:rsidP="00F62BDD">
            <w:pPr>
              <w:keepLines/>
              <w:autoSpaceDE w:val="0"/>
              <w:autoSpaceDN w:val="0"/>
              <w:adjustRightInd w:val="0"/>
              <w:jc w:val="both"/>
            </w:pPr>
            <w:r w:rsidRPr="00161C60">
              <w:t>J</w:t>
            </w:r>
            <w:r w:rsidR="00F62BDD" w:rsidRPr="00161C60">
              <w:t xml:space="preserve">a </w:t>
            </w:r>
            <w:r w:rsidRPr="00161C60">
              <w:t xml:space="preserve">paralēli importētās zāles </w:t>
            </w:r>
            <w:r w:rsidR="00F62BDD" w:rsidRPr="00161C60">
              <w:t>tiek pārpakotas (</w:t>
            </w:r>
            <w:r w:rsidR="00F62BDD" w:rsidRPr="00161C60">
              <w:rPr>
                <w:i/>
              </w:rPr>
              <w:t>re</w:t>
            </w:r>
            <w:r w:rsidR="00F60DF9" w:rsidRPr="00161C60">
              <w:rPr>
                <w:i/>
              </w:rPr>
              <w:t> </w:t>
            </w:r>
            <w:r w:rsidR="00E05688" w:rsidRPr="00161C60">
              <w:rPr>
                <w:i/>
              </w:rPr>
              <w:t>-</w:t>
            </w:r>
            <w:r w:rsidR="00F60DF9" w:rsidRPr="00161C60">
              <w:rPr>
                <w:i/>
              </w:rPr>
              <w:t> </w:t>
            </w:r>
            <w:proofErr w:type="spellStart"/>
            <w:r w:rsidR="00F62BDD" w:rsidRPr="00161C60">
              <w:rPr>
                <w:i/>
              </w:rPr>
              <w:t>packaging</w:t>
            </w:r>
            <w:proofErr w:type="spellEnd"/>
            <w:r w:rsidR="00F62BDD" w:rsidRPr="00161C60">
              <w:t>), tai skaitā pārmarķētas (</w:t>
            </w:r>
            <w:r w:rsidR="00F62BDD" w:rsidRPr="00161C60">
              <w:rPr>
                <w:i/>
              </w:rPr>
              <w:t>re</w:t>
            </w:r>
            <w:r w:rsidR="00F60DF9" w:rsidRPr="00161C60">
              <w:rPr>
                <w:i/>
              </w:rPr>
              <w:t> </w:t>
            </w:r>
            <w:r w:rsidR="00E05688" w:rsidRPr="00161C60">
              <w:rPr>
                <w:i/>
              </w:rPr>
              <w:t>-</w:t>
            </w:r>
            <w:r w:rsidR="00F60DF9" w:rsidRPr="00161C60">
              <w:rPr>
                <w:i/>
              </w:rPr>
              <w:t> </w:t>
            </w:r>
            <w:proofErr w:type="spellStart"/>
            <w:r w:rsidR="00F62BDD" w:rsidRPr="00161C60">
              <w:rPr>
                <w:i/>
              </w:rPr>
              <w:t>labelling</w:t>
            </w:r>
            <w:proofErr w:type="spellEnd"/>
            <w:r w:rsidR="00F62BDD" w:rsidRPr="00161C60">
              <w:t xml:space="preserve">), </w:t>
            </w:r>
            <w:r w:rsidRPr="00161C60">
              <w:t xml:space="preserve">tās </w:t>
            </w:r>
            <w:r w:rsidR="00217D1D" w:rsidRPr="00161C60">
              <w:t>jāizplata ar jauno</w:t>
            </w:r>
            <w:r w:rsidR="00F62BDD" w:rsidRPr="00161C60">
              <w:t xml:space="preserve"> sekundāro iepakojumu. Tomēr </w:t>
            </w:r>
            <w:r w:rsidRPr="00161C60">
              <w:t xml:space="preserve">pēc </w:t>
            </w:r>
            <w:r w:rsidR="00803248" w:rsidRPr="00161C60">
              <w:t>A</w:t>
            </w:r>
            <w:r w:rsidR="00E87D4D" w:rsidRPr="00161C60">
              <w:rPr>
                <w:bCs/>
              </w:rPr>
              <w:t>ģentūras</w:t>
            </w:r>
            <w:r w:rsidRPr="00161C60">
              <w:t xml:space="preserve"> sniegtās informācijas </w:t>
            </w:r>
            <w:r w:rsidR="00F62BDD" w:rsidRPr="00161C60">
              <w:t>praksē pastāv gadījumi, kad zāles</w:t>
            </w:r>
            <w:r w:rsidRPr="00161C60">
              <w:t xml:space="preserve"> vairumtirdzniecībā izplata bez sekundārā iepakojuma</w:t>
            </w:r>
            <w:r w:rsidR="00F62BDD" w:rsidRPr="00161C60">
              <w:t xml:space="preserve">, </w:t>
            </w:r>
            <w:r w:rsidRPr="00161C60">
              <w:t>neskatoties uz to, ka tas ir apstiprināts šo zāļu reģistrācijas dokumentācijā</w:t>
            </w:r>
            <w:r w:rsidR="00F62BDD" w:rsidRPr="00161C60">
              <w:t xml:space="preserve">. Tas </w:t>
            </w:r>
            <w:r w:rsidRPr="00161C60">
              <w:t xml:space="preserve">zināmā aspektā </w:t>
            </w:r>
            <w:r w:rsidR="00F62BDD" w:rsidRPr="00161C60">
              <w:t xml:space="preserve">ir risks arī nekvalitatīvu vai viltotu zāļu </w:t>
            </w:r>
            <w:r w:rsidRPr="00161C60">
              <w:t>nokļūšanai legālā izplatīšanas ķēdē.</w:t>
            </w:r>
            <w:r w:rsidR="008B4CAA" w:rsidRPr="00161C60">
              <w:t xml:space="preserve"> Tāpēc </w:t>
            </w:r>
            <w:r w:rsidR="00F62BDD" w:rsidRPr="00161C60">
              <w:t>MK noteikum</w:t>
            </w:r>
            <w:r w:rsidR="008B4CAA" w:rsidRPr="00161C60">
              <w:t xml:space="preserve">u Nr.416 12.3.apakšpunkta norma </w:t>
            </w:r>
            <w:r w:rsidR="00920AD4" w:rsidRPr="00161C60">
              <w:t>tiek konkretizēta</w:t>
            </w:r>
            <w:r w:rsidR="008B4CAA" w:rsidRPr="00161C60">
              <w:t>, skaidrāk nosakot</w:t>
            </w:r>
            <w:r w:rsidR="00AB2EA2" w:rsidRPr="00161C60">
              <w:t xml:space="preserve"> </w:t>
            </w:r>
            <w:r w:rsidR="008B4CAA" w:rsidRPr="00161C60">
              <w:t>zāļu piegādes prasības</w:t>
            </w:r>
            <w:r w:rsidR="00043AC1" w:rsidRPr="00161C60">
              <w:t xml:space="preserve"> (Noteikumu projekta </w:t>
            </w:r>
            <w:r w:rsidR="007C1FB3" w:rsidRPr="00161C60">
              <w:t>1.</w:t>
            </w:r>
            <w:r w:rsidR="0081723F" w:rsidRPr="00161C60">
              <w:t>6</w:t>
            </w:r>
            <w:r w:rsidR="00217D1D" w:rsidRPr="00161C60">
              <w:t>.</w:t>
            </w:r>
            <w:r w:rsidR="007C1FB3" w:rsidRPr="00161C60">
              <w:t>apakš</w:t>
            </w:r>
            <w:r w:rsidR="00217D1D" w:rsidRPr="00161C60">
              <w:t>punkts) un zāļu vairumtirgotājam ir skaidrāks priekšstats par savu tiesību un pienākumu ietvaru.</w:t>
            </w:r>
          </w:p>
          <w:p w:rsidR="00F62BDD" w:rsidRPr="00161C60" w:rsidRDefault="00F62BDD" w:rsidP="0014647D">
            <w:pPr>
              <w:jc w:val="both"/>
            </w:pPr>
          </w:p>
          <w:p w:rsidR="00990B4A" w:rsidRPr="00161C60" w:rsidRDefault="00990B4A" w:rsidP="00F62BDD">
            <w:pPr>
              <w:pStyle w:val="CommentText"/>
              <w:jc w:val="both"/>
              <w:rPr>
                <w:i/>
                <w:sz w:val="24"/>
                <w:szCs w:val="24"/>
              </w:rPr>
            </w:pPr>
            <w:r w:rsidRPr="00161C60">
              <w:rPr>
                <w:sz w:val="24"/>
                <w:szCs w:val="24"/>
              </w:rPr>
              <w:t xml:space="preserve">12) </w:t>
            </w:r>
            <w:r w:rsidR="006C149D" w:rsidRPr="00161C60">
              <w:rPr>
                <w:b/>
                <w:i/>
                <w:sz w:val="24"/>
                <w:szCs w:val="24"/>
              </w:rPr>
              <w:t xml:space="preserve">Konkretizēt Aģentūras </w:t>
            </w:r>
            <w:r w:rsidRPr="00161C60">
              <w:rPr>
                <w:b/>
                <w:i/>
                <w:sz w:val="24"/>
                <w:szCs w:val="24"/>
              </w:rPr>
              <w:t>pienākumus statistikas sniegšanā.</w:t>
            </w:r>
          </w:p>
          <w:p w:rsidR="00990B4A" w:rsidRPr="00161C60" w:rsidRDefault="00997073" w:rsidP="00F62BDD">
            <w:pPr>
              <w:pStyle w:val="CommentText"/>
              <w:jc w:val="both"/>
              <w:rPr>
                <w:sz w:val="24"/>
                <w:szCs w:val="24"/>
              </w:rPr>
            </w:pPr>
            <w:r w:rsidRPr="00161C60">
              <w:rPr>
                <w:sz w:val="24"/>
                <w:szCs w:val="24"/>
              </w:rPr>
              <w:t xml:space="preserve">Uzraudzības nolūkā </w:t>
            </w:r>
            <w:r w:rsidR="00990B4A" w:rsidRPr="00161C60">
              <w:rPr>
                <w:sz w:val="24"/>
                <w:szCs w:val="24"/>
              </w:rPr>
              <w:t>MK noteikumu</w:t>
            </w:r>
            <w:r w:rsidRPr="00161C60">
              <w:rPr>
                <w:sz w:val="24"/>
                <w:szCs w:val="24"/>
              </w:rPr>
              <w:t xml:space="preserve"> </w:t>
            </w:r>
            <w:r w:rsidR="00990B4A" w:rsidRPr="00161C60">
              <w:rPr>
                <w:sz w:val="24"/>
                <w:szCs w:val="24"/>
              </w:rPr>
              <w:t>Nr.416 146.13.apakšpunktā tiesību regulējumā tiek pastiprināti regulējumā norādīts, kādu informāciju par zāļu statistiku Aģentūra var izsniegt firmām (MK no</w:t>
            </w:r>
            <w:r w:rsidRPr="00161C60">
              <w:rPr>
                <w:sz w:val="24"/>
                <w:szCs w:val="24"/>
              </w:rPr>
              <w:t>teikumuNr.416 1.59.apakšpunkts)</w:t>
            </w:r>
            <w:r w:rsidR="00990B4A" w:rsidRPr="00161C60">
              <w:rPr>
                <w:sz w:val="24"/>
                <w:szCs w:val="24"/>
              </w:rPr>
              <w:t>.</w:t>
            </w:r>
          </w:p>
          <w:p w:rsidR="00990B4A" w:rsidRPr="00161C60" w:rsidRDefault="00990B4A" w:rsidP="00F62BDD">
            <w:pPr>
              <w:pStyle w:val="CommentText"/>
              <w:jc w:val="both"/>
              <w:rPr>
                <w:sz w:val="24"/>
                <w:szCs w:val="24"/>
              </w:rPr>
            </w:pPr>
          </w:p>
          <w:p w:rsidR="00607127" w:rsidRPr="00161C60" w:rsidRDefault="004048F0" w:rsidP="00F62BDD">
            <w:pPr>
              <w:pStyle w:val="CommentText"/>
              <w:jc w:val="both"/>
              <w:rPr>
                <w:b/>
                <w:i/>
                <w:sz w:val="24"/>
                <w:szCs w:val="24"/>
              </w:rPr>
            </w:pPr>
            <w:r w:rsidRPr="00161C60">
              <w:rPr>
                <w:sz w:val="24"/>
                <w:szCs w:val="24"/>
              </w:rPr>
              <w:t>13)</w:t>
            </w:r>
            <w:r w:rsidR="003F32F8" w:rsidRPr="00161C60">
              <w:rPr>
                <w:sz w:val="24"/>
                <w:szCs w:val="24"/>
              </w:rPr>
              <w:t> </w:t>
            </w:r>
            <w:r w:rsidR="00FD73BF" w:rsidRPr="00161C60">
              <w:rPr>
                <w:b/>
                <w:i/>
                <w:sz w:val="24"/>
                <w:szCs w:val="24"/>
              </w:rPr>
              <w:t>Konkretizēti zāļu vairumtirgotāja pienākumi</w:t>
            </w:r>
            <w:r w:rsidR="00AB2EA2" w:rsidRPr="00161C60">
              <w:rPr>
                <w:b/>
                <w:i/>
                <w:sz w:val="24"/>
                <w:szCs w:val="24"/>
              </w:rPr>
              <w:t xml:space="preserve"> </w:t>
            </w:r>
            <w:r w:rsidR="004300A7" w:rsidRPr="00161C60">
              <w:rPr>
                <w:b/>
                <w:i/>
                <w:sz w:val="24"/>
                <w:szCs w:val="24"/>
              </w:rPr>
              <w:t xml:space="preserve">saistībā ar </w:t>
            </w:r>
            <w:r w:rsidR="002D5069" w:rsidRPr="00161C60">
              <w:rPr>
                <w:b/>
                <w:i/>
                <w:sz w:val="24"/>
                <w:szCs w:val="24"/>
              </w:rPr>
              <w:t>statistikas datu sniegšanu par zālēm</w:t>
            </w:r>
            <w:r w:rsidR="00FD64DE" w:rsidRPr="00161C60">
              <w:rPr>
                <w:b/>
                <w:i/>
                <w:sz w:val="24"/>
                <w:szCs w:val="24"/>
              </w:rPr>
              <w:t>.</w:t>
            </w:r>
          </w:p>
          <w:p w:rsidR="00EE78E9" w:rsidRPr="00161C60" w:rsidRDefault="00EE78E9" w:rsidP="00F62BDD">
            <w:pPr>
              <w:pStyle w:val="CommentText"/>
              <w:jc w:val="both"/>
              <w:rPr>
                <w:sz w:val="24"/>
                <w:szCs w:val="24"/>
              </w:rPr>
            </w:pPr>
          </w:p>
          <w:p w:rsidR="00F62BDD" w:rsidRPr="00161C60" w:rsidRDefault="00C6233D" w:rsidP="00F62BDD">
            <w:pPr>
              <w:pStyle w:val="CommentText"/>
              <w:jc w:val="both"/>
              <w:rPr>
                <w:sz w:val="24"/>
                <w:szCs w:val="24"/>
              </w:rPr>
            </w:pPr>
            <w:r w:rsidRPr="00161C60">
              <w:rPr>
                <w:sz w:val="24"/>
                <w:szCs w:val="24"/>
              </w:rPr>
              <w:t>Pašreiz MK noteikumu Nr.416</w:t>
            </w:r>
            <w:r w:rsidR="00CA558B" w:rsidRPr="00161C60">
              <w:rPr>
                <w:sz w:val="24"/>
                <w:szCs w:val="24"/>
              </w:rPr>
              <w:t xml:space="preserve"> </w:t>
            </w:r>
            <w:r w:rsidR="00607127" w:rsidRPr="00161C60">
              <w:rPr>
                <w:sz w:val="24"/>
                <w:szCs w:val="24"/>
              </w:rPr>
              <w:t xml:space="preserve">tiesiskais regulējums </w:t>
            </w:r>
            <w:r w:rsidR="00366B0E" w:rsidRPr="00161C60">
              <w:rPr>
                <w:sz w:val="24"/>
                <w:szCs w:val="24"/>
              </w:rPr>
              <w:t>18.</w:t>
            </w:r>
            <w:r w:rsidR="00607127" w:rsidRPr="00161C60">
              <w:rPr>
                <w:sz w:val="24"/>
                <w:szCs w:val="24"/>
              </w:rPr>
              <w:t xml:space="preserve">punktā </w:t>
            </w:r>
            <w:r w:rsidR="00366B0E" w:rsidRPr="00161C60">
              <w:rPr>
                <w:sz w:val="24"/>
                <w:szCs w:val="24"/>
              </w:rPr>
              <w:t>nekonkretizē</w:t>
            </w:r>
            <w:r w:rsidR="00607127" w:rsidRPr="00161C60">
              <w:rPr>
                <w:sz w:val="24"/>
                <w:szCs w:val="24"/>
              </w:rPr>
              <w:t xml:space="preserve"> datus, kādi sniedzami </w:t>
            </w:r>
            <w:r w:rsidR="00E13222" w:rsidRPr="00161C60">
              <w:rPr>
                <w:sz w:val="24"/>
                <w:szCs w:val="24"/>
              </w:rPr>
              <w:t xml:space="preserve">Aģentūrai </w:t>
            </w:r>
            <w:r w:rsidR="00607127" w:rsidRPr="00161C60">
              <w:rPr>
                <w:sz w:val="24"/>
                <w:szCs w:val="24"/>
              </w:rPr>
              <w:t xml:space="preserve">par paralēli importētām zālēm, paralēli izplatītām zālēm un </w:t>
            </w:r>
            <w:r w:rsidR="00366B0E" w:rsidRPr="00161C60">
              <w:rPr>
                <w:sz w:val="24"/>
                <w:szCs w:val="24"/>
              </w:rPr>
              <w:t xml:space="preserve">centralizēti </w:t>
            </w:r>
            <w:r w:rsidRPr="00161C60">
              <w:rPr>
                <w:sz w:val="24"/>
                <w:szCs w:val="24"/>
              </w:rPr>
              <w:t>reģistrētām</w:t>
            </w:r>
            <w:r w:rsidR="00366B0E" w:rsidRPr="00161C60">
              <w:rPr>
                <w:sz w:val="24"/>
                <w:szCs w:val="24"/>
              </w:rPr>
              <w:t xml:space="preserve"> zālēm. Praksē </w:t>
            </w:r>
            <w:r w:rsidR="00F62BDD" w:rsidRPr="00161C60">
              <w:rPr>
                <w:sz w:val="24"/>
                <w:szCs w:val="24"/>
              </w:rPr>
              <w:t>zāļu vairumtirg</w:t>
            </w:r>
            <w:r w:rsidR="00697587" w:rsidRPr="00161C60">
              <w:rPr>
                <w:sz w:val="24"/>
                <w:szCs w:val="24"/>
              </w:rPr>
              <w:t>otāj</w:t>
            </w:r>
            <w:r w:rsidR="00366B0E" w:rsidRPr="00161C60">
              <w:rPr>
                <w:sz w:val="24"/>
                <w:szCs w:val="24"/>
              </w:rPr>
              <w:t>i, kā arī aptiekas</w:t>
            </w:r>
            <w:r w:rsidR="00697587" w:rsidRPr="00161C60">
              <w:rPr>
                <w:sz w:val="24"/>
                <w:szCs w:val="24"/>
              </w:rPr>
              <w:t xml:space="preserve">, kuras zāles izplata </w:t>
            </w:r>
            <w:r w:rsidR="00F62BDD" w:rsidRPr="00161C60">
              <w:rPr>
                <w:sz w:val="24"/>
                <w:szCs w:val="24"/>
              </w:rPr>
              <w:t>ārstniecības iestādēm, sociālās aprūpes institūcijām, praktizējošiem veterinārārstiem un veterin</w:t>
            </w:r>
            <w:r w:rsidR="000C55CB" w:rsidRPr="00161C60">
              <w:rPr>
                <w:sz w:val="24"/>
                <w:szCs w:val="24"/>
              </w:rPr>
              <w:t>ārmedicīniskās aprūpes iestādēm,</w:t>
            </w:r>
            <w:r w:rsidR="00366B0E" w:rsidRPr="00161C60">
              <w:rPr>
                <w:sz w:val="24"/>
                <w:szCs w:val="24"/>
              </w:rPr>
              <w:t xml:space="preserve"> datus par paralēli importētām zālēm, paralēli izplatītām zālēm un centralizēti </w:t>
            </w:r>
            <w:r w:rsidRPr="00161C60">
              <w:rPr>
                <w:sz w:val="24"/>
                <w:szCs w:val="24"/>
              </w:rPr>
              <w:t>reģistrētām</w:t>
            </w:r>
            <w:r w:rsidR="00366B0E" w:rsidRPr="00161C60">
              <w:rPr>
                <w:sz w:val="24"/>
                <w:szCs w:val="24"/>
              </w:rPr>
              <w:t xml:space="preserve"> zālēm</w:t>
            </w:r>
            <w:r w:rsidR="00AB2EA2" w:rsidRPr="00161C60">
              <w:rPr>
                <w:sz w:val="24"/>
                <w:szCs w:val="24"/>
              </w:rPr>
              <w:t xml:space="preserve"> </w:t>
            </w:r>
            <w:r w:rsidR="00366B0E" w:rsidRPr="00161C60">
              <w:rPr>
                <w:sz w:val="24"/>
                <w:szCs w:val="24"/>
              </w:rPr>
              <w:t xml:space="preserve">sniedz tādus pašus kā par reģistrētajām zālēm. Lai ieviestu tiesisku skaidrību, </w:t>
            </w:r>
            <w:r w:rsidR="00831921" w:rsidRPr="00161C60">
              <w:rPr>
                <w:sz w:val="24"/>
                <w:szCs w:val="24"/>
              </w:rPr>
              <w:t>MK noteikumu Nr.416</w:t>
            </w:r>
            <w:r w:rsidR="00F62BDD" w:rsidRPr="00161C60">
              <w:rPr>
                <w:sz w:val="24"/>
                <w:szCs w:val="24"/>
              </w:rPr>
              <w:t xml:space="preserve"> 18.2.apakšpunkts </w:t>
            </w:r>
            <w:r w:rsidR="00366B0E" w:rsidRPr="00161C60">
              <w:rPr>
                <w:sz w:val="24"/>
                <w:szCs w:val="24"/>
              </w:rPr>
              <w:t xml:space="preserve">tiek </w:t>
            </w:r>
            <w:r w:rsidR="00366B0E" w:rsidRPr="00161C60">
              <w:rPr>
                <w:sz w:val="24"/>
                <w:szCs w:val="24"/>
              </w:rPr>
              <w:lastRenderedPageBreak/>
              <w:t>precizēts</w:t>
            </w:r>
            <w:r w:rsidR="007E2138" w:rsidRPr="00161C60">
              <w:rPr>
                <w:sz w:val="24"/>
                <w:szCs w:val="24"/>
              </w:rPr>
              <w:t xml:space="preserve"> </w:t>
            </w:r>
            <w:r w:rsidR="00043AC1" w:rsidRPr="00161C60">
              <w:rPr>
                <w:sz w:val="24"/>
                <w:szCs w:val="24"/>
              </w:rPr>
              <w:t xml:space="preserve">(Noteikumu projekta </w:t>
            </w:r>
            <w:r w:rsidR="00294F97" w:rsidRPr="00161C60">
              <w:rPr>
                <w:sz w:val="24"/>
                <w:szCs w:val="24"/>
              </w:rPr>
              <w:t>1.1</w:t>
            </w:r>
            <w:r w:rsidR="00B9154F" w:rsidRPr="00161C60">
              <w:rPr>
                <w:sz w:val="24"/>
                <w:szCs w:val="24"/>
              </w:rPr>
              <w:t>0</w:t>
            </w:r>
            <w:r w:rsidR="00F00D01" w:rsidRPr="00161C60">
              <w:rPr>
                <w:sz w:val="24"/>
                <w:szCs w:val="24"/>
              </w:rPr>
              <w:t>.apakš</w:t>
            </w:r>
            <w:r w:rsidR="00831921" w:rsidRPr="00161C60">
              <w:rPr>
                <w:sz w:val="24"/>
                <w:szCs w:val="24"/>
              </w:rPr>
              <w:t>punkts), vienlaicīgi konkretizējot attiecīgi MK noteikumu Nr.416 153.3.1.apak</w:t>
            </w:r>
            <w:r w:rsidR="00276F54" w:rsidRPr="00161C60">
              <w:rPr>
                <w:sz w:val="24"/>
                <w:szCs w:val="24"/>
              </w:rPr>
              <w:t xml:space="preserve">špunktu (Noteikumu projekta </w:t>
            </w:r>
            <w:r w:rsidR="003B585C" w:rsidRPr="00161C60">
              <w:rPr>
                <w:sz w:val="24"/>
                <w:szCs w:val="24"/>
              </w:rPr>
              <w:t>1.</w:t>
            </w:r>
            <w:r w:rsidR="000C2968" w:rsidRPr="00161C60">
              <w:rPr>
                <w:sz w:val="24"/>
                <w:szCs w:val="24"/>
              </w:rPr>
              <w:t>62</w:t>
            </w:r>
            <w:r w:rsidR="003B585C" w:rsidRPr="00161C60">
              <w:rPr>
                <w:sz w:val="24"/>
                <w:szCs w:val="24"/>
              </w:rPr>
              <w:t>.apakšpunkts).</w:t>
            </w:r>
          </w:p>
          <w:p w:rsidR="00112DB0" w:rsidRPr="00161C60" w:rsidRDefault="00112DB0" w:rsidP="00F62BDD">
            <w:pPr>
              <w:pStyle w:val="CommentText"/>
              <w:jc w:val="both"/>
              <w:rPr>
                <w:sz w:val="24"/>
                <w:szCs w:val="24"/>
              </w:rPr>
            </w:pPr>
          </w:p>
          <w:p w:rsidR="008D79A1" w:rsidRPr="00161C60" w:rsidRDefault="004048F0" w:rsidP="008D79A1">
            <w:pPr>
              <w:jc w:val="both"/>
              <w:rPr>
                <w:b/>
              </w:rPr>
            </w:pPr>
            <w:r w:rsidRPr="00161C60">
              <w:rPr>
                <w:b/>
              </w:rPr>
              <w:t>3.</w:t>
            </w:r>
            <w:r w:rsidR="00641DA4" w:rsidRPr="00161C60">
              <w:rPr>
                <w:b/>
              </w:rPr>
              <w:t> </w:t>
            </w:r>
            <w:r w:rsidR="008D79A1" w:rsidRPr="00161C60">
              <w:rPr>
                <w:b/>
              </w:rPr>
              <w:t xml:space="preserve">Par </w:t>
            </w:r>
            <w:r w:rsidR="00D930A9" w:rsidRPr="00161C60">
              <w:rPr>
                <w:b/>
              </w:rPr>
              <w:t>tiesību regulējuma papildināšanu a</w:t>
            </w:r>
            <w:r w:rsidR="00641DA4" w:rsidRPr="00161C60">
              <w:rPr>
                <w:b/>
              </w:rPr>
              <w:t xml:space="preserve">ttiecībā uz </w:t>
            </w:r>
            <w:r w:rsidR="003E4601" w:rsidRPr="00161C60">
              <w:rPr>
                <w:b/>
              </w:rPr>
              <w:t>aptiekas pienākumiem</w:t>
            </w:r>
          </w:p>
          <w:p w:rsidR="008B6A34" w:rsidRPr="00161C60" w:rsidRDefault="008B6A34" w:rsidP="008D79A1">
            <w:pPr>
              <w:jc w:val="both"/>
            </w:pPr>
            <w:r w:rsidRPr="00161C60">
              <w:t xml:space="preserve"> a) </w:t>
            </w:r>
            <w:r w:rsidR="00C1111C" w:rsidRPr="00161C60">
              <w:rPr>
                <w:i/>
              </w:rPr>
              <w:t>Par zāļu izplatīšanu no aptiekām</w:t>
            </w:r>
          </w:p>
          <w:p w:rsidR="008D79A1" w:rsidRPr="00161C60" w:rsidRDefault="008D79A1" w:rsidP="008D79A1">
            <w:pPr>
              <w:jc w:val="both"/>
            </w:pPr>
            <w:r w:rsidRPr="00161C60">
              <w:t xml:space="preserve">Praksē rodas situācijas, kad pacientam aptiekā ir izsniegtas zāles, kurām to lietošanas laikā beidzas derīguma termiņš, tāpēc tiesiskais regulējums pastiprināts, definējot aptiekas pienākumu </w:t>
            </w:r>
            <w:r w:rsidR="00724113" w:rsidRPr="00161C60">
              <w:t xml:space="preserve">zāļu izsniegšanā </w:t>
            </w:r>
            <w:r w:rsidRPr="00161C60">
              <w:t xml:space="preserve">(Noteikumu projekta </w:t>
            </w:r>
            <w:r w:rsidR="00046BDC" w:rsidRPr="00161C60">
              <w:t>1.</w:t>
            </w:r>
            <w:r w:rsidR="002D4A6E" w:rsidRPr="00161C60">
              <w:t>28</w:t>
            </w:r>
            <w:r w:rsidRPr="00161C60">
              <w:t>.</w:t>
            </w:r>
            <w:r w:rsidR="00046BDC" w:rsidRPr="00161C60">
              <w:t>apakš</w:t>
            </w:r>
            <w:r w:rsidRPr="00161C60">
              <w:t>punkts).</w:t>
            </w:r>
          </w:p>
          <w:p w:rsidR="00174B38" w:rsidRPr="00161C60" w:rsidRDefault="00174B38" w:rsidP="00174B38">
            <w:pPr>
              <w:pStyle w:val="CommentText"/>
              <w:jc w:val="both"/>
              <w:rPr>
                <w:sz w:val="24"/>
                <w:szCs w:val="24"/>
              </w:rPr>
            </w:pPr>
          </w:p>
          <w:p w:rsidR="00174B38" w:rsidRPr="00161C60" w:rsidRDefault="008B6A34" w:rsidP="00174B38">
            <w:pPr>
              <w:pStyle w:val="CommentText"/>
              <w:jc w:val="both"/>
              <w:rPr>
                <w:sz w:val="24"/>
                <w:szCs w:val="24"/>
              </w:rPr>
            </w:pPr>
            <w:r w:rsidRPr="00161C60">
              <w:rPr>
                <w:b/>
                <w:i/>
                <w:sz w:val="24"/>
                <w:szCs w:val="24"/>
              </w:rPr>
              <w:t xml:space="preserve">b) </w:t>
            </w:r>
            <w:r w:rsidR="00174B38" w:rsidRPr="00161C60">
              <w:rPr>
                <w:b/>
                <w:i/>
                <w:sz w:val="24"/>
                <w:szCs w:val="24"/>
              </w:rPr>
              <w:t>Par aptiekas pienākumu sniegt Aģentūrai datus par recepšu un bezrecepšu zāļu izplatīšanu, kas dod pilnīgāku informāciju par zālēm, iespēju operatīvāk prognozēt zāļu lietošanu un sekot līdzi zāļu lietošanas kvalitātei, kā arī attīstīt pārraudzību par racionālu zāļu lietošanu, to izmaksu efektivitāti.</w:t>
            </w:r>
          </w:p>
          <w:p w:rsidR="00174B38" w:rsidRPr="00161C60" w:rsidRDefault="00174B38" w:rsidP="00174B38">
            <w:pPr>
              <w:pStyle w:val="CommentText"/>
              <w:jc w:val="both"/>
              <w:rPr>
                <w:sz w:val="24"/>
                <w:szCs w:val="24"/>
              </w:rPr>
            </w:pPr>
            <w:r w:rsidRPr="00161C60">
              <w:rPr>
                <w:sz w:val="24"/>
                <w:szCs w:val="24"/>
              </w:rPr>
              <w:t>Pašlaik valsts kompetento iestāžu - Aģentūras, Nacionālā veselības dienesta, Inspekcijas rīcībā nav pilnīga informācija par Latvijā lietotām zālēm, līdz ar to nevar pilnvērtīgi analizēt zāļu lietošanas tendences un identificēt riskus zāļu pieejamībā.</w:t>
            </w:r>
          </w:p>
          <w:p w:rsidR="00174B38" w:rsidRPr="00161C60" w:rsidRDefault="00174B38" w:rsidP="00174B38">
            <w:pPr>
              <w:pStyle w:val="CommentText"/>
              <w:jc w:val="both"/>
              <w:rPr>
                <w:sz w:val="24"/>
                <w:szCs w:val="24"/>
              </w:rPr>
            </w:pPr>
            <w:r w:rsidRPr="00161C60">
              <w:rPr>
                <w:sz w:val="24"/>
                <w:szCs w:val="24"/>
              </w:rPr>
              <w:t xml:space="preserve">Tas rada problēmas, jo nevar izsekot vai zāles tiek lietotas racionāli (pareizi), līdz ar to problēmsituācija negatīvi ietekmē </w:t>
            </w:r>
            <w:r w:rsidRPr="00161C60">
              <w:rPr>
                <w:sz w:val="24"/>
                <w:szCs w:val="24"/>
                <w:shd w:val="clear" w:color="auto" w:fill="FFFFFF"/>
              </w:rPr>
              <w:t>valsts politiku veselības aprūpes pakalpojumu pieejamības nodrošināšanā, kā arī racionālu un maksimāli efektīvu valsts budžeta līdzekļu izmantošanā.</w:t>
            </w:r>
          </w:p>
          <w:p w:rsidR="00174B38" w:rsidRPr="00161C60" w:rsidRDefault="00174B38" w:rsidP="00174B38">
            <w:pPr>
              <w:autoSpaceDE w:val="0"/>
              <w:autoSpaceDN w:val="0"/>
              <w:adjustRightInd w:val="0"/>
              <w:jc w:val="both"/>
              <w:rPr>
                <w:shd w:val="clear" w:color="auto" w:fill="FFFFFF"/>
              </w:rPr>
            </w:pPr>
            <w:r w:rsidRPr="00161C60">
              <w:rPr>
                <w:shd w:val="clear" w:color="auto" w:fill="FFFFFF"/>
              </w:rPr>
              <w:t>Pašreizējais regulējums zāļu realizācijas datu iegūšanā un zāļu statistikas veidošanā balstās uz:</w:t>
            </w:r>
          </w:p>
          <w:p w:rsidR="00174B38" w:rsidRPr="00161C60" w:rsidRDefault="00174B38" w:rsidP="00174B38">
            <w:pPr>
              <w:autoSpaceDE w:val="0"/>
              <w:autoSpaceDN w:val="0"/>
              <w:adjustRightInd w:val="0"/>
              <w:jc w:val="both"/>
              <w:rPr>
                <w:bCs/>
                <w:shd w:val="clear" w:color="auto" w:fill="FFFFFF"/>
              </w:rPr>
            </w:pPr>
            <w:r w:rsidRPr="00161C60">
              <w:rPr>
                <w:shd w:val="clear" w:color="auto" w:fill="FFFFFF"/>
              </w:rPr>
              <w:t xml:space="preserve">- zāļu ražotāja, zāļu lieltirgotavas un aptiekas Aģentūrā iesniegto valsts statistikas pārskatu, norādot vispārīgo realizācijas apgrozījumu </w:t>
            </w:r>
            <w:r w:rsidRPr="00161C60">
              <w:rPr>
                <w:i/>
                <w:shd w:val="clear" w:color="auto" w:fill="FFFFFF"/>
              </w:rPr>
              <w:t>euro</w:t>
            </w:r>
            <w:r w:rsidRPr="00161C60">
              <w:rPr>
                <w:shd w:val="clear" w:color="auto" w:fill="FFFFFF"/>
              </w:rPr>
              <w:t xml:space="preserve"> katru gadu līdz 31.janvārim atbilstoši Ministru kabineta 2009.gada 6.janvāra noteikumiem Nr.10 ”</w:t>
            </w:r>
            <w:r w:rsidRPr="00161C60">
              <w:rPr>
                <w:bCs/>
                <w:shd w:val="clear" w:color="auto" w:fill="FFFFFF"/>
              </w:rPr>
              <w:t>Noteikumi par valsts statistikas pārskatiem veselības aprūpes jomā” un MK noteikumu Nr.416 19.punktam;</w:t>
            </w:r>
          </w:p>
          <w:p w:rsidR="00174B38" w:rsidRPr="00161C60" w:rsidRDefault="00174B38" w:rsidP="00174B38">
            <w:pPr>
              <w:autoSpaceDE w:val="0"/>
              <w:autoSpaceDN w:val="0"/>
              <w:adjustRightInd w:val="0"/>
              <w:jc w:val="both"/>
            </w:pPr>
            <w:r w:rsidRPr="00161C60">
              <w:t>- zāļu vairumtirgotāju (tai skaitā k</w:t>
            </w:r>
            <w:r w:rsidRPr="00161C60">
              <w:rPr>
                <w:shd w:val="clear" w:color="auto" w:fill="FFFFFF"/>
              </w:rPr>
              <w:t>omersanta vai saimnieciskās darbības veicēja, kuram izsniegta speciāla atļauja (licence) aptiekas atvēršanai (darbībai), un kurš zāles izplata zāles ārstniecības iestādēm, sociālās aprūpes institūcijām) sniegtiem datiem par katru mēnesi līdz nākamā mēneša piecpadsmitajam datumam</w:t>
            </w:r>
            <w:r w:rsidRPr="00161C60">
              <w:rPr>
                <w:rStyle w:val="apple-converted-space"/>
                <w:shd w:val="clear" w:color="auto" w:fill="FFFFFF"/>
              </w:rPr>
              <w:t> </w:t>
            </w:r>
            <w:r w:rsidRPr="00161C60">
              <w:rPr>
                <w:shd w:val="clear" w:color="auto" w:fill="FFFFFF"/>
              </w:rPr>
              <w:t xml:space="preserve"> atbilstoši </w:t>
            </w:r>
            <w:r w:rsidRPr="00161C60">
              <w:t>MK noteikumu Nr.416 18.punkta normai;</w:t>
            </w:r>
          </w:p>
          <w:p w:rsidR="00174B38" w:rsidRPr="00161C60" w:rsidRDefault="00174B38" w:rsidP="00174B38">
            <w:pPr>
              <w:autoSpaceDE w:val="0"/>
              <w:autoSpaceDN w:val="0"/>
              <w:adjustRightInd w:val="0"/>
              <w:jc w:val="both"/>
            </w:pPr>
            <w:r w:rsidRPr="00161C60">
              <w:t xml:space="preserve">- aptiekas sniegtiem datiem </w:t>
            </w:r>
            <w:r w:rsidRPr="00161C60">
              <w:rPr>
                <w:shd w:val="clear" w:color="auto" w:fill="FFFFFF"/>
              </w:rPr>
              <w:t>(produkta numurs, zāļu nosaukums, izplatīto zāļu daudzums, cena, par kādu zāles tiek pārdotas, un patērētāju grupu) līdz katra nākamā gada 20.februārim</w:t>
            </w:r>
            <w:r w:rsidRPr="00161C60">
              <w:t xml:space="preserve"> par </w:t>
            </w:r>
            <w:r w:rsidRPr="00161C60">
              <w:rPr>
                <w:shd w:val="clear" w:color="auto" w:fill="FFFFFF"/>
              </w:rPr>
              <w:t xml:space="preserve">zāļu realizāciju iepriekšējā kalendāra gadā atbilstoši </w:t>
            </w:r>
            <w:r w:rsidRPr="00161C60">
              <w:t>MK noteikumu Nr.416 76.punktam.</w:t>
            </w:r>
          </w:p>
          <w:p w:rsidR="00174B38" w:rsidRPr="00161C60" w:rsidRDefault="00174B38" w:rsidP="00174B38">
            <w:pPr>
              <w:autoSpaceDE w:val="0"/>
              <w:autoSpaceDN w:val="0"/>
              <w:adjustRightInd w:val="0"/>
              <w:jc w:val="both"/>
            </w:pPr>
          </w:p>
          <w:p w:rsidR="00174B38" w:rsidRPr="00161C60" w:rsidRDefault="00174B38" w:rsidP="00174B38">
            <w:pPr>
              <w:autoSpaceDE w:val="0"/>
              <w:autoSpaceDN w:val="0"/>
              <w:adjustRightInd w:val="0"/>
              <w:jc w:val="both"/>
            </w:pPr>
            <w:r w:rsidRPr="00161C60">
              <w:rPr>
                <w:shd w:val="clear" w:color="auto" w:fill="FFFFFF"/>
              </w:rPr>
              <w:t xml:space="preserve">Zāļu patēriņa datus Aģentūra iegūst, apkopojot un analizējot Aģentūrai sniegtos licencēto lieltirgotavu zāļu realizācijas pārskatus, un Aģentūra izdod </w:t>
            </w:r>
            <w:r w:rsidRPr="00161C60">
              <w:rPr>
                <w:rStyle w:val="Strong"/>
                <w:b w:val="0"/>
                <w:shd w:val="clear" w:color="auto" w:fill="FFFFFF"/>
              </w:rPr>
              <w:t>statistikas pārskatu par zāļu patēriņu valstī (</w:t>
            </w:r>
            <w:proofErr w:type="spellStart"/>
            <w:r w:rsidRPr="00161C60">
              <w:rPr>
                <w:rStyle w:val="Strong"/>
                <w:b w:val="0"/>
                <w:shd w:val="clear" w:color="auto" w:fill="FFFFFF"/>
              </w:rPr>
              <w:t>www.zva.gov.lv</w:t>
            </w:r>
            <w:proofErr w:type="spellEnd"/>
            <w:r w:rsidRPr="00161C60">
              <w:rPr>
                <w:rStyle w:val="Strong"/>
                <w:b w:val="0"/>
                <w:shd w:val="clear" w:color="auto" w:fill="FFFFFF"/>
              </w:rPr>
              <w:t xml:space="preserve">), kurā </w:t>
            </w:r>
            <w:r w:rsidRPr="00161C60">
              <w:rPr>
                <w:rStyle w:val="Strong"/>
                <w:b w:val="0"/>
                <w:shd w:val="clear" w:color="auto" w:fill="FFFFFF"/>
              </w:rPr>
              <w:lastRenderedPageBreak/>
              <w:t>iekļauti zāļu patēriņa statistikas dati, šajā p</w:t>
            </w:r>
            <w:r w:rsidRPr="00161C60">
              <w:rPr>
                <w:shd w:val="clear" w:color="auto" w:fill="FFFFFF"/>
              </w:rPr>
              <w:t xml:space="preserve">ārskatā ir informācija par kopējo zāļu realizāciju </w:t>
            </w:r>
            <w:r w:rsidRPr="00161C60">
              <w:rPr>
                <w:i/>
                <w:shd w:val="clear" w:color="auto" w:fill="FFFFFF"/>
              </w:rPr>
              <w:t>euro</w:t>
            </w:r>
            <w:r w:rsidRPr="00161C60">
              <w:rPr>
                <w:shd w:val="clear" w:color="auto" w:fill="FFFFFF"/>
              </w:rPr>
              <w:t>, realizēto iepakojumu skaitu, realizācijas sadalījumu pa atsevišķām patērētāju grupām, zāļu realizāciju izteiktu definētajās dienas devās (DDD) uz 1000 Latvijas iedzīvotājiem dienā (DID), par visvairāk pārdotajām zālēm Latvijā, kā arī sniegts plašāks ieskats Latvijā ražoto zāļu tirgū. Š</w:t>
            </w:r>
            <w:r w:rsidRPr="00161C60">
              <w:t>ī informācija nepilnvērtīgi parāda zāļu lietošanas tendences.</w:t>
            </w:r>
          </w:p>
          <w:p w:rsidR="00174B38" w:rsidRPr="00161C60" w:rsidRDefault="00174B38" w:rsidP="00174B38">
            <w:pPr>
              <w:autoSpaceDE w:val="0"/>
              <w:autoSpaceDN w:val="0"/>
              <w:adjustRightInd w:val="0"/>
              <w:jc w:val="both"/>
            </w:pPr>
          </w:p>
          <w:p w:rsidR="006C149D" w:rsidRPr="00161C60" w:rsidRDefault="006C149D" w:rsidP="00174B38">
            <w:pPr>
              <w:autoSpaceDE w:val="0"/>
              <w:autoSpaceDN w:val="0"/>
              <w:adjustRightInd w:val="0"/>
              <w:jc w:val="both"/>
              <w:rPr>
                <w:b/>
                <w:i/>
              </w:rPr>
            </w:pPr>
            <w:r w:rsidRPr="00161C60">
              <w:rPr>
                <w:b/>
                <w:i/>
              </w:rPr>
              <w:t xml:space="preserve">Par Aģentūra </w:t>
            </w:r>
            <w:proofErr w:type="spellStart"/>
            <w:r w:rsidRPr="00161C60">
              <w:rPr>
                <w:b/>
                <w:i/>
              </w:rPr>
              <w:t>spienākumu</w:t>
            </w:r>
            <w:proofErr w:type="spellEnd"/>
            <w:r w:rsidRPr="00161C60">
              <w:rPr>
                <w:b/>
                <w:i/>
              </w:rPr>
              <w:t xml:space="preserve"> analizēt zāļu pieejamību</w:t>
            </w:r>
          </w:p>
          <w:p w:rsidR="00174B38" w:rsidRPr="00161C60" w:rsidRDefault="00174B38" w:rsidP="00174B38">
            <w:pPr>
              <w:autoSpaceDE w:val="0"/>
              <w:autoSpaceDN w:val="0"/>
              <w:adjustRightInd w:val="0"/>
              <w:jc w:val="both"/>
              <w:rPr>
                <w:shd w:val="clear" w:color="auto" w:fill="FFFFFF"/>
              </w:rPr>
            </w:pPr>
            <w:r w:rsidRPr="00161C60">
              <w:t xml:space="preserve">Aģentūra sagatavotos </w:t>
            </w:r>
            <w:r w:rsidRPr="00161C60">
              <w:rPr>
                <w:shd w:val="clear" w:color="auto" w:fill="FFFFFF"/>
              </w:rPr>
              <w:t xml:space="preserve">zāļu vairumtirdzniecības realizācijas datus, tai skaitā eksportētām, paralēli importētām un paralēli izplatītām zālēm, </w:t>
            </w:r>
            <w:r w:rsidRPr="00161C60">
              <w:t xml:space="preserve">izplata zāļu </w:t>
            </w:r>
            <w:r w:rsidRPr="00161C60">
              <w:rPr>
                <w:shd w:val="clear" w:color="auto" w:fill="FFFFFF"/>
              </w:rPr>
              <w:t xml:space="preserve">pieprasītājam, piemēram, zāļu lieltirgotavām, zāļu reģistrācijas īpašniekiem (MK noteikumu Nr.416. 146.13.un 146.14.apakšpunkts), tai skaitā iekasējot samaksu saskaņā ar </w:t>
            </w:r>
            <w:r w:rsidRPr="00161C60">
              <w:t>Ministru kabineta 2013.gada 17.septembra noteikumiem Nr.873</w:t>
            </w:r>
            <w:r w:rsidRPr="00161C60">
              <w:rPr>
                <w:rStyle w:val="apple-converted-space"/>
              </w:rPr>
              <w:t> </w:t>
            </w:r>
            <w:r w:rsidRPr="00161C60">
              <w:t xml:space="preserve"> ”Zāļu valsts aģentūras maksas pakalpojumu cenrādis”</w:t>
            </w:r>
            <w:r w:rsidRPr="00161C60">
              <w:rPr>
                <w:shd w:val="clear" w:color="auto" w:fill="FFFFFF"/>
              </w:rPr>
              <w:t>.</w:t>
            </w:r>
          </w:p>
          <w:p w:rsidR="00174B38" w:rsidRPr="00161C60" w:rsidRDefault="00174B38" w:rsidP="00174B38">
            <w:pPr>
              <w:autoSpaceDE w:val="0"/>
              <w:autoSpaceDN w:val="0"/>
              <w:adjustRightInd w:val="0"/>
              <w:jc w:val="both"/>
              <w:rPr>
                <w:shd w:val="clear" w:color="auto" w:fill="FFFFFF"/>
              </w:rPr>
            </w:pPr>
            <w:r w:rsidRPr="00161C60">
              <w:rPr>
                <w:shd w:val="clear" w:color="auto" w:fill="FFFFFF"/>
              </w:rPr>
              <w:t xml:space="preserve">Pašreiz Aģentūras veiktā zāļu realizācijas datu analīze balstās uz zāļu vairumtirgotāju datiem, ir </w:t>
            </w:r>
            <w:r w:rsidRPr="00161C60">
              <w:t xml:space="preserve">orientēta vairāk uz </w:t>
            </w:r>
            <w:r w:rsidRPr="00161C60">
              <w:rPr>
                <w:shd w:val="clear" w:color="auto" w:fill="FFFFFF"/>
              </w:rPr>
              <w:t>pārdoto iepakojumu skaitu (apgrozījumu</w:t>
            </w:r>
            <w:r w:rsidRPr="00161C60">
              <w:rPr>
                <w:rStyle w:val="apple-converted-space"/>
                <w:shd w:val="clear" w:color="auto" w:fill="FFFFFF"/>
              </w:rPr>
              <w:t> </w:t>
            </w:r>
            <w:r w:rsidRPr="00161C60">
              <w:rPr>
                <w:i/>
                <w:iCs/>
                <w:shd w:val="clear" w:color="auto" w:fill="FFFFFF"/>
              </w:rPr>
              <w:t>euro</w:t>
            </w:r>
            <w:r w:rsidRPr="00161C60">
              <w:rPr>
                <w:iCs/>
                <w:shd w:val="clear" w:color="auto" w:fill="FFFFFF"/>
              </w:rPr>
              <w:t xml:space="preserve">) un zāļu saņēmēju identificēšanu uz kā bāzes komersanti, tai skaitā ārvalstu farmaceitiskās firma, var attīstīt savu darbību, bet ne uz racionālas zāļu lietošanas analīzi, kas dotu pilnvērtīgāku ieskatu zāļu pieejamības situācijā. Savukārt aptieka datus sniedz par laika periodu - kalendārais gads, kas nedod pietiekoši ātri iespēju operatīvi analizēt situāciju, </w:t>
            </w:r>
            <w:r w:rsidRPr="00161C60">
              <w:t>sekot līdzi racionālai zāļu lietošanai un identificēt problēmas saistībā ar zāļu lietošanu un pieejamību.</w:t>
            </w:r>
          </w:p>
          <w:p w:rsidR="00514840" w:rsidRPr="00161C60" w:rsidRDefault="00174B38" w:rsidP="00174B38">
            <w:pPr>
              <w:autoSpaceDE w:val="0"/>
              <w:autoSpaceDN w:val="0"/>
              <w:adjustRightInd w:val="0"/>
              <w:jc w:val="both"/>
              <w:rPr>
                <w:b/>
              </w:rPr>
            </w:pPr>
            <w:r w:rsidRPr="00161C60">
              <w:t>Tāpēc MK noteikumi Nr.416 tiek precizēti, konkretizējot regulējumu attiecībā uz aptiekas pienākumu datu sniegšanā par izplatītām zālēm un Aģentūras pienākumu analizēt zāļu pieejamību (Noteikumu projekta 1.3</w:t>
            </w:r>
            <w:r w:rsidR="002D4A6E" w:rsidRPr="00161C60">
              <w:t>0</w:t>
            </w:r>
            <w:r w:rsidRPr="00161C60">
              <w:t>. un 1.</w:t>
            </w:r>
            <w:r w:rsidR="00E8243F" w:rsidRPr="00161C60">
              <w:t>60</w:t>
            </w:r>
            <w:r w:rsidRPr="00161C60">
              <w:t>.apakšpunkts</w:t>
            </w:r>
            <w:r w:rsidRPr="00161C60">
              <w:rPr>
                <w:i/>
              </w:rPr>
              <w:t> - attiecībā uz MK noteikumu Nr.416 146.16.apakšpunktu</w:t>
            </w:r>
            <w:r w:rsidRPr="00161C60">
              <w:t>), kā arī tiek no</w:t>
            </w:r>
            <w:r w:rsidR="00811E2B" w:rsidRPr="00161C60">
              <w:t xml:space="preserve">teikts pārejas periods līdz 2017.gada </w:t>
            </w:r>
            <w:r w:rsidRPr="00161C60">
              <w:t>1.</w:t>
            </w:r>
            <w:r w:rsidR="00811E2B" w:rsidRPr="00161C60">
              <w:t>janvārim</w:t>
            </w:r>
            <w:r w:rsidRPr="00161C60">
              <w:t xml:space="preserve"> normas īstenošanai, lai aptiekas un Aģentūra varētu sagatavoties (Noteikumu projekta 1.</w:t>
            </w:r>
            <w:r w:rsidR="00026089" w:rsidRPr="00161C60">
              <w:t>64</w:t>
            </w:r>
            <w:r w:rsidRPr="00161C60">
              <w:t>.apakšpunkts)</w:t>
            </w:r>
            <w:r w:rsidRPr="00161C60">
              <w:rPr>
                <w:i/>
              </w:rPr>
              <w:t xml:space="preserve">. </w:t>
            </w:r>
            <w:r w:rsidRPr="00161C60">
              <w:rPr>
                <w:b/>
              </w:rPr>
              <w:t xml:space="preserve">Aptieku dati par recepšu un bezrecepšu zāļu izplatīšanu, dod pilnīgāku informāciju par zālēm, iespēju operatīvāk prognozēt zāļu lietošanu un sekot līdzi zāļu lietošanas kvalitātei, kā arī attīstīt pārraudzību par racionālu zāļu lietošanu, to izmaksu efektivitāti, ātrāk identificēt problēmas saistībā ar neracionālu zāļu lietošanu, novērtēt zāļu lietošanas politiku un veicināt informācijas pieejamību par zāļu lietošanu un izrakstīšanu, ko nesniedz Aģentūras apkopotie zāļu statistikas dati. Tā kā Aģentūra atbilstoši Farmācijas likumā noteiktajai kompetencei ir kompetentā iestāde, kura reģistrē zāles un pārrauga zāļu izplatīšanu izdodot tiesību aktos noteiktā izplatīšanas atļaujas, kā arī vāc statistiku par zālēm, un sadarbojas ar Eiropas Savienības institūcijām, citu valstu kompetentajām institūcijām un starptautiskām organizācijām,  Aģentūrai ir jāorganizē un jāveic zāļu pieejamības sistēmiska analīze, jo nevar būt situācija, kad Latvijā pacientam vajadzīgo zāļu nav un nav arī risinājums, kā tos </w:t>
            </w:r>
            <w:r w:rsidRPr="00161C60">
              <w:rPr>
                <w:b/>
              </w:rPr>
              <w:lastRenderedPageBreak/>
              <w:t xml:space="preserve">ātri sagādāt. Šai saistībā Aģentūrai ir jāizstrādā indikatoru kopums, ņemot vērā pieejamos datus par zāļu izplatīšanu, tajā skaitā zāļu reģistrācijas īpašnieku, ārstniecības iestāžu, ārstniecības personu, profesionālo asociāciju, Inspekcijas, Nacionālā veselības dienesta un citu kompetento iestāžu sniegto informāciju. Tas ir nepieciešams, jo zāļu lietošanas datu analīzei ir būtiska nozīme zāļu politikas veidošanai, ko pasvītrojusi arī Pasaules veselības organizācija (PVO), </w:t>
            </w:r>
            <w:r w:rsidRPr="00161C60">
              <w:t>jo tas palīdz identificēt trūkumus, un</w:t>
            </w:r>
            <w:r w:rsidRPr="00161C60">
              <w:rPr>
                <w:b/>
              </w:rPr>
              <w:t xml:space="preserve"> </w:t>
            </w:r>
            <w:r w:rsidRPr="00161C60">
              <w:t xml:space="preserve">izstrādāt efektīvus, uz pierādījumiem balstītus risinājumus, kurus varēs novērtēt ilgtermiņā. Kā zināms, PVO ir izveidoti, validēti un īstenoti risinājumi farmācijas sektora </w:t>
            </w:r>
            <w:proofErr w:type="spellStart"/>
            <w:r w:rsidRPr="00161C60">
              <w:t>monitorēšanai</w:t>
            </w:r>
            <w:proofErr w:type="spellEnd"/>
            <w:r w:rsidRPr="00161C60">
              <w:t xml:space="preserve"> valstu līmenī, kas cita starpā ir veidots ar mērķi nodrošināt informētu politikas lēmuma pieņemšanu.  </w:t>
            </w:r>
            <w:hyperlink r:id="rId17" w:history="1">
              <w:r w:rsidRPr="00161C60">
                <w:t>http://www.who.int/medicines/areas/coordination/coordination_assessment/en/</w:t>
              </w:r>
            </w:hyperlink>
            <w:r w:rsidRPr="00161C60">
              <w:rPr>
                <w:b/>
              </w:rPr>
              <w:t xml:space="preserve"> </w:t>
            </w:r>
          </w:p>
          <w:p w:rsidR="00174B38" w:rsidRPr="00161C60" w:rsidRDefault="00174B38" w:rsidP="00174B38">
            <w:pPr>
              <w:autoSpaceDE w:val="0"/>
              <w:autoSpaceDN w:val="0"/>
              <w:adjustRightInd w:val="0"/>
              <w:jc w:val="both"/>
              <w:rPr>
                <w:b/>
              </w:rPr>
            </w:pPr>
            <w:r w:rsidRPr="00161C60">
              <w:t>Esošā PVO sistēma, kur ir iekļauta arī Latvija, balstās uz trīs līmeņu indikatoriem, kur pirmais sniedz ieskatu par eksistējošajām valsts struktūrām un spēju implementēt farmācijā politikas iniciatīvas, otrais līmenis analizē zāļu pieejamību, racionālu izlietojumu un zāļu kvalitāti. Trešā līmeņa indikatori ir fokusēti uz atsevišķām jomām</w:t>
            </w:r>
            <w:r w:rsidR="00BE4D79" w:rsidRPr="00161C60">
              <w:t> - </w:t>
            </w:r>
            <w:r w:rsidRPr="00161C60">
              <w:t xml:space="preserve">zāļu cenas, piegādes vadība, racionāla zāļu lietošana u.c. </w:t>
            </w:r>
          </w:p>
          <w:p w:rsidR="008D79A1" w:rsidRPr="00161C60" w:rsidRDefault="008D79A1" w:rsidP="00F90AA5">
            <w:pPr>
              <w:jc w:val="both"/>
              <w:rPr>
                <w:i/>
              </w:rPr>
            </w:pPr>
          </w:p>
          <w:p w:rsidR="00E51531" w:rsidRPr="00161C60" w:rsidRDefault="00E51531" w:rsidP="00335060">
            <w:pPr>
              <w:jc w:val="both"/>
            </w:pPr>
            <w:r w:rsidRPr="00161C60">
              <w:rPr>
                <w:b/>
              </w:rPr>
              <w:t xml:space="preserve">c) </w:t>
            </w:r>
            <w:r w:rsidRPr="00161C60">
              <w:t xml:space="preserve">tiek konkretizēta aptiekas </w:t>
            </w:r>
            <w:r w:rsidRPr="00161C60">
              <w:rPr>
                <w:b/>
              </w:rPr>
              <w:t xml:space="preserve">atļaujas nereģistrētu zāļu izplatīšanai individuāli piešķirtām zālēm izsniegšanas </w:t>
            </w:r>
            <w:r w:rsidRPr="00161C60">
              <w:t>procedūra (Noteikumu projekta 1.</w:t>
            </w:r>
            <w:r w:rsidR="005312B0" w:rsidRPr="00161C60">
              <w:t>29</w:t>
            </w:r>
            <w:r w:rsidR="00C32F6A" w:rsidRPr="00161C60">
              <w:t>.</w:t>
            </w:r>
            <w:r w:rsidRPr="00161C60">
              <w:t>apakšpunkts).</w:t>
            </w:r>
          </w:p>
          <w:p w:rsidR="00E51531" w:rsidRPr="00161C60" w:rsidRDefault="00E51531" w:rsidP="00335060">
            <w:pPr>
              <w:jc w:val="both"/>
              <w:rPr>
                <w:b/>
              </w:rPr>
            </w:pPr>
          </w:p>
          <w:p w:rsidR="0050650A" w:rsidRPr="00161C60" w:rsidRDefault="004048F0" w:rsidP="00335060">
            <w:pPr>
              <w:jc w:val="both"/>
              <w:rPr>
                <w:b/>
              </w:rPr>
            </w:pPr>
            <w:r w:rsidRPr="00161C60">
              <w:rPr>
                <w:b/>
              </w:rPr>
              <w:t>4.</w:t>
            </w:r>
            <w:r w:rsidR="00641DA4" w:rsidRPr="00161C60">
              <w:rPr>
                <w:b/>
              </w:rPr>
              <w:t> </w:t>
            </w:r>
            <w:r w:rsidR="0050650A" w:rsidRPr="00161C60">
              <w:rPr>
                <w:b/>
              </w:rPr>
              <w:t>Par izm</w:t>
            </w:r>
            <w:r w:rsidR="008C61B7" w:rsidRPr="00161C60">
              <w:rPr>
                <w:b/>
              </w:rPr>
              <w:t xml:space="preserve">aiņām </w:t>
            </w:r>
            <w:r w:rsidR="0050650A" w:rsidRPr="00161C60">
              <w:rPr>
                <w:b/>
              </w:rPr>
              <w:t>zāļu ievešan</w:t>
            </w:r>
            <w:r w:rsidR="00586D85" w:rsidRPr="00161C60">
              <w:rPr>
                <w:b/>
              </w:rPr>
              <w:t>ā</w:t>
            </w:r>
            <w:r w:rsidR="0050650A" w:rsidRPr="00161C60">
              <w:rPr>
                <w:b/>
              </w:rPr>
              <w:t xml:space="preserve"> personiskai lietošanai </w:t>
            </w:r>
            <w:r w:rsidR="008C61B7" w:rsidRPr="00161C60">
              <w:rPr>
                <w:b/>
              </w:rPr>
              <w:t>un</w:t>
            </w:r>
            <w:r w:rsidR="0050650A" w:rsidRPr="00161C60">
              <w:rPr>
                <w:b/>
              </w:rPr>
              <w:t xml:space="preserve"> saņemšan</w:t>
            </w:r>
            <w:r w:rsidR="008C61B7" w:rsidRPr="00161C60">
              <w:rPr>
                <w:b/>
              </w:rPr>
              <w:t>ai</w:t>
            </w:r>
            <w:r w:rsidR="004763EE" w:rsidRPr="00161C60">
              <w:rPr>
                <w:b/>
              </w:rPr>
              <w:t xml:space="preserve"> </w:t>
            </w:r>
            <w:r w:rsidR="00BB0973" w:rsidRPr="00161C60">
              <w:rPr>
                <w:b/>
              </w:rPr>
              <w:t>pa pastu</w:t>
            </w:r>
            <w:r w:rsidR="002F2CDB" w:rsidRPr="00161C60">
              <w:rPr>
                <w:b/>
              </w:rPr>
              <w:t>. Fiziskām personām nebūs atļauts saņemt zāles pa pastu no trešajām valstīm.</w:t>
            </w:r>
          </w:p>
          <w:p w:rsidR="002F2CDB" w:rsidRPr="00161C60" w:rsidRDefault="002F2CDB" w:rsidP="00C10394">
            <w:pPr>
              <w:keepLines/>
              <w:autoSpaceDE w:val="0"/>
              <w:autoSpaceDN w:val="0"/>
              <w:adjustRightInd w:val="0"/>
              <w:jc w:val="both"/>
            </w:pPr>
          </w:p>
          <w:p w:rsidR="002F2CDB" w:rsidRPr="00161C60" w:rsidRDefault="00C10394" w:rsidP="00C10394">
            <w:pPr>
              <w:keepLines/>
              <w:autoSpaceDE w:val="0"/>
              <w:autoSpaceDN w:val="0"/>
              <w:adjustRightInd w:val="0"/>
              <w:jc w:val="both"/>
            </w:pPr>
            <w:r w:rsidRPr="00161C60">
              <w:t>Pašreiz MK noteikumu Nr.416 regulējums 106.1.apakšpunktā pieļauj fiziskai personai ievest zāles personiskai lietošanai (ceļotāja bagāžā) un saņemt pasta sūtījumos līdz 12 mēnešu lietošanai, tai skaitā</w:t>
            </w:r>
            <w:r w:rsidR="00586D85" w:rsidRPr="00161C60">
              <w:t>,</w:t>
            </w:r>
            <w:r w:rsidRPr="00161C60">
              <w:t xml:space="preserve"> no interneta aptiekas, kas zināmā aspektā, neparedzot sīkākus kritērijus</w:t>
            </w:r>
            <w:r w:rsidR="00586D85" w:rsidRPr="00161C60">
              <w:t>,</w:t>
            </w:r>
            <w:r w:rsidR="008D0B1B" w:rsidRPr="00161C60">
              <w:t xml:space="preserve"> </w:t>
            </w:r>
            <w:r w:rsidR="00586D85" w:rsidRPr="00161C60">
              <w:t>var radīt</w:t>
            </w:r>
            <w:r w:rsidRPr="00161C60">
              <w:t xml:space="preserve"> risku nekontrolētai un neatbilstošai zāļu lietošanai. </w:t>
            </w:r>
          </w:p>
          <w:p w:rsidR="00C10394" w:rsidRPr="00161C60" w:rsidRDefault="00586D85" w:rsidP="00C10394">
            <w:pPr>
              <w:keepLines/>
              <w:autoSpaceDE w:val="0"/>
              <w:autoSpaceDN w:val="0"/>
              <w:adjustRightInd w:val="0"/>
              <w:jc w:val="both"/>
              <w:rPr>
                <w:b/>
              </w:rPr>
            </w:pPr>
            <w:r w:rsidRPr="00161C60">
              <w:t>L</w:t>
            </w:r>
            <w:r w:rsidR="00C10394" w:rsidRPr="00161C60">
              <w:t>ai pastiprinātu uzraudzību</w:t>
            </w:r>
            <w:r w:rsidRPr="00161C60">
              <w:t xml:space="preserve"> šajā aspektā</w:t>
            </w:r>
            <w:r w:rsidR="00C10394" w:rsidRPr="00161C60">
              <w:t>, MK noteikum</w:t>
            </w:r>
            <w:r w:rsidRPr="00161C60">
              <w:t>i</w:t>
            </w:r>
            <w:r w:rsidR="00C10394" w:rsidRPr="00161C60">
              <w:t xml:space="preserve"> Nr.416 </w:t>
            </w:r>
            <w:r w:rsidRPr="00161C60">
              <w:t>tiek precizēti, nosakot</w:t>
            </w:r>
            <w:r w:rsidR="008D0B1B" w:rsidRPr="00161C60">
              <w:t xml:space="preserve"> </w:t>
            </w:r>
            <w:r w:rsidRPr="00161C60">
              <w:t>sīkākus</w:t>
            </w:r>
            <w:r w:rsidR="00C10394" w:rsidRPr="00161C60">
              <w:t xml:space="preserve"> kritērij</w:t>
            </w:r>
            <w:r w:rsidR="0064153A" w:rsidRPr="00161C60">
              <w:t>us</w:t>
            </w:r>
            <w:r w:rsidR="00C10394" w:rsidRPr="00161C60">
              <w:t xml:space="preserve"> zāļu ievešan</w:t>
            </w:r>
            <w:r w:rsidR="00C13C41" w:rsidRPr="00161C60">
              <w:t>ai</w:t>
            </w:r>
            <w:r w:rsidR="00C10394" w:rsidRPr="00161C60">
              <w:t xml:space="preserve"> personiskai lietošanai (</w:t>
            </w:r>
            <w:r w:rsidRPr="00161C60">
              <w:t xml:space="preserve">piemēram, </w:t>
            </w:r>
            <w:r w:rsidR="00C10394" w:rsidRPr="00161C60">
              <w:t>ceļotāja bag</w:t>
            </w:r>
            <w:r w:rsidRPr="00161C60">
              <w:t xml:space="preserve">āžā), kā arī </w:t>
            </w:r>
            <w:r w:rsidR="00C10394" w:rsidRPr="00161C60">
              <w:t>saņemšan</w:t>
            </w:r>
            <w:r w:rsidR="00C13C41" w:rsidRPr="00161C60">
              <w:t>ai</w:t>
            </w:r>
            <w:r w:rsidR="00FA74B1" w:rsidRPr="00161C60">
              <w:t xml:space="preserve"> pa pastu, </w:t>
            </w:r>
            <w:r w:rsidR="00FA74B1" w:rsidRPr="00161C60">
              <w:rPr>
                <w:b/>
              </w:rPr>
              <w:t xml:space="preserve">ierobežojot zāļu saņemšanas iespēju pa pastu </w:t>
            </w:r>
            <w:r w:rsidR="0005232D" w:rsidRPr="00161C60">
              <w:rPr>
                <w:b/>
              </w:rPr>
              <w:t>no trešajām valstīm</w:t>
            </w:r>
            <w:r w:rsidR="00841886" w:rsidRPr="00161C60">
              <w:rPr>
                <w:b/>
              </w:rPr>
              <w:t>.</w:t>
            </w:r>
            <w:r w:rsidR="005E3DD0" w:rsidRPr="00161C60">
              <w:rPr>
                <w:b/>
              </w:rPr>
              <w:t xml:space="preserve"> </w:t>
            </w:r>
            <w:r w:rsidR="005D7176" w:rsidRPr="00161C60">
              <w:rPr>
                <w:b/>
              </w:rPr>
              <w:t xml:space="preserve">Projektā tiek </w:t>
            </w:r>
            <w:r w:rsidR="002F2CDB" w:rsidRPr="00161C60">
              <w:rPr>
                <w:b/>
              </w:rPr>
              <w:t>noteikts</w:t>
            </w:r>
            <w:r w:rsidR="00987230" w:rsidRPr="00161C60">
              <w:rPr>
                <w:b/>
              </w:rPr>
              <w:t xml:space="preserve"> arī</w:t>
            </w:r>
            <w:r w:rsidR="005D7176" w:rsidRPr="00161C60">
              <w:rPr>
                <w:b/>
              </w:rPr>
              <w:t xml:space="preserve">, </w:t>
            </w:r>
            <w:r w:rsidR="002F2CDB" w:rsidRPr="00161C60">
              <w:rPr>
                <w:b/>
              </w:rPr>
              <w:t>ka</w:t>
            </w:r>
            <w:r w:rsidR="005D7176" w:rsidRPr="00161C60">
              <w:rPr>
                <w:b/>
              </w:rPr>
              <w:t xml:space="preserve"> fiziskai personai nav tiesības </w:t>
            </w:r>
            <w:r w:rsidR="002F2CDB" w:rsidRPr="00161C60">
              <w:rPr>
                <w:b/>
              </w:rPr>
              <w:t xml:space="preserve">arī </w:t>
            </w:r>
            <w:r w:rsidR="005D7176" w:rsidRPr="00161C60">
              <w:rPr>
                <w:b/>
              </w:rPr>
              <w:t>i</w:t>
            </w:r>
            <w:r w:rsidR="002F2CDB" w:rsidRPr="00161C60">
              <w:rPr>
                <w:b/>
              </w:rPr>
              <w:t xml:space="preserve">evest un saņemt pasta sūtījumā </w:t>
            </w:r>
            <w:r w:rsidR="005D7176" w:rsidRPr="00161C60">
              <w:rPr>
                <w:b/>
              </w:rPr>
              <w:t xml:space="preserve">narkotiskos </w:t>
            </w:r>
            <w:proofErr w:type="spellStart"/>
            <w:r w:rsidR="005D7176" w:rsidRPr="00161C60">
              <w:rPr>
                <w:b/>
              </w:rPr>
              <w:t>analgētiķus</w:t>
            </w:r>
            <w:proofErr w:type="spellEnd"/>
            <w:r w:rsidR="005D7176" w:rsidRPr="00161C60">
              <w:rPr>
                <w:b/>
              </w:rPr>
              <w:t xml:space="preserve">, jaunās </w:t>
            </w:r>
            <w:proofErr w:type="spellStart"/>
            <w:r w:rsidR="005D7176" w:rsidRPr="00161C60">
              <w:rPr>
                <w:b/>
              </w:rPr>
              <w:t>psihoa</w:t>
            </w:r>
            <w:r w:rsidR="002F2CDB" w:rsidRPr="00161C60">
              <w:rPr>
                <w:b/>
              </w:rPr>
              <w:t>ktīvās</w:t>
            </w:r>
            <w:proofErr w:type="spellEnd"/>
            <w:r w:rsidR="002F2CDB" w:rsidRPr="00161C60">
              <w:rPr>
                <w:b/>
              </w:rPr>
              <w:t xml:space="preserve"> vielas un aktīvās vielas</w:t>
            </w:r>
            <w:r w:rsidR="005D7176" w:rsidRPr="00161C60">
              <w:rPr>
                <w:b/>
              </w:rPr>
              <w:t xml:space="preserve">, </w:t>
            </w:r>
            <w:r w:rsidR="002F2CDB" w:rsidRPr="00161C60">
              <w:rPr>
                <w:b/>
              </w:rPr>
              <w:t>un viņa</w:t>
            </w:r>
            <w:r w:rsidR="005D7176" w:rsidRPr="00161C60">
              <w:rPr>
                <w:b/>
              </w:rPr>
              <w:t xml:space="preserve"> nedrīkst saņemt pasta sūtījumā no Eiropas Ekonomikas zonas valsts anaboliskos asteroīdus, testosteronus, augšanas hormonus vai to analogus, bet drīkst tos ievest </w:t>
            </w:r>
            <w:r w:rsidR="002F2CDB" w:rsidRPr="00161C60">
              <w:rPr>
                <w:b/>
              </w:rPr>
              <w:t xml:space="preserve">ceļotāja bagāžā </w:t>
            </w:r>
            <w:r w:rsidR="005D7176" w:rsidRPr="00161C60">
              <w:rPr>
                <w:b/>
              </w:rPr>
              <w:t>no Eiropas Ekonomikas zonas valsts personīgi 14 dienu lietošanai</w:t>
            </w:r>
            <w:r w:rsidR="005D7176" w:rsidRPr="00161C60">
              <w:t xml:space="preserve">. </w:t>
            </w:r>
            <w:r w:rsidR="00FA74B1" w:rsidRPr="00161C60">
              <w:t xml:space="preserve">(Noteikumu </w:t>
            </w:r>
            <w:r w:rsidR="00160ABA" w:rsidRPr="00161C60">
              <w:t xml:space="preserve">projekta </w:t>
            </w:r>
            <w:r w:rsidR="00BD08AD" w:rsidRPr="00161C60">
              <w:t>1.</w:t>
            </w:r>
            <w:r w:rsidR="00987230" w:rsidRPr="00161C60">
              <w:t>44</w:t>
            </w:r>
            <w:r w:rsidR="001808F0" w:rsidRPr="00161C60">
              <w:t>.</w:t>
            </w:r>
            <w:r w:rsidR="00160ABA" w:rsidRPr="00161C60">
              <w:t xml:space="preserve"> un </w:t>
            </w:r>
            <w:r w:rsidR="00BD08AD" w:rsidRPr="00161C60">
              <w:t>1.</w:t>
            </w:r>
            <w:r w:rsidR="001734C9" w:rsidRPr="00161C60">
              <w:t>44</w:t>
            </w:r>
            <w:r w:rsidR="001808F0" w:rsidRPr="00161C60">
              <w:t>.apakš</w:t>
            </w:r>
            <w:r w:rsidR="00C10394" w:rsidRPr="00161C60">
              <w:t>punkts)</w:t>
            </w:r>
            <w:r w:rsidR="005D7176" w:rsidRPr="00161C60">
              <w:t xml:space="preserve">. </w:t>
            </w:r>
            <w:r w:rsidR="00C10394" w:rsidRPr="00161C60">
              <w:t xml:space="preserve">Normas izstrādē ņemta vērā arī citu ES dalībvalstu pieredze (skatīt </w:t>
            </w:r>
            <w:r w:rsidR="00606903" w:rsidRPr="00161C60">
              <w:t xml:space="preserve">Anotācijas I sadaļas </w:t>
            </w:r>
            <w:r w:rsidR="001A0C6A" w:rsidRPr="00161C60">
              <w:t>4.punkta 1.apakšpunktu</w:t>
            </w:r>
            <w:r w:rsidR="00C10394" w:rsidRPr="00161C60">
              <w:t>)</w:t>
            </w:r>
            <w:r w:rsidRPr="00161C60">
              <w:t xml:space="preserve">, ņemot vērā, ka ES </w:t>
            </w:r>
            <w:r w:rsidR="00FA175F" w:rsidRPr="00161C60">
              <w:t xml:space="preserve">tiesību </w:t>
            </w:r>
            <w:r w:rsidR="00FA175F" w:rsidRPr="00161C60">
              <w:lastRenderedPageBreak/>
              <w:t>akti</w:t>
            </w:r>
            <w:r w:rsidRPr="00161C60">
              <w:t xml:space="preserve"> neierobežo zāļu importu personiskai lietošanai un paredz nereģistrētu zāļu saņemšanas iespēju.</w:t>
            </w:r>
          </w:p>
          <w:p w:rsidR="005D4DF8" w:rsidRPr="00161C60" w:rsidRDefault="005D4DF8" w:rsidP="00335060">
            <w:pPr>
              <w:jc w:val="both"/>
            </w:pPr>
          </w:p>
          <w:p w:rsidR="00093879" w:rsidRPr="00161C60" w:rsidRDefault="004048F0" w:rsidP="00093879">
            <w:pPr>
              <w:pStyle w:val="Bezatstarpm1"/>
              <w:jc w:val="both"/>
              <w:rPr>
                <w:rFonts w:ascii="Times New Roman" w:hAnsi="Times New Roman"/>
                <w:b/>
                <w:sz w:val="24"/>
                <w:szCs w:val="24"/>
                <w:lang w:val="lv-LV"/>
              </w:rPr>
            </w:pPr>
            <w:r w:rsidRPr="00161C60">
              <w:rPr>
                <w:rFonts w:ascii="Times New Roman" w:hAnsi="Times New Roman"/>
                <w:b/>
                <w:sz w:val="24"/>
                <w:szCs w:val="24"/>
                <w:lang w:val="lv-LV"/>
              </w:rPr>
              <w:t>5.</w:t>
            </w:r>
            <w:r w:rsidR="00641DA4" w:rsidRPr="00161C60">
              <w:rPr>
                <w:rFonts w:ascii="Times New Roman" w:hAnsi="Times New Roman"/>
                <w:b/>
                <w:sz w:val="24"/>
                <w:szCs w:val="24"/>
                <w:lang w:val="lv-LV"/>
              </w:rPr>
              <w:t> </w:t>
            </w:r>
            <w:r w:rsidR="00093879" w:rsidRPr="00161C60">
              <w:rPr>
                <w:rFonts w:ascii="Times New Roman" w:hAnsi="Times New Roman"/>
                <w:b/>
                <w:sz w:val="24"/>
                <w:szCs w:val="24"/>
                <w:lang w:val="lv-LV"/>
              </w:rPr>
              <w:t xml:space="preserve">Par </w:t>
            </w:r>
            <w:r w:rsidR="00BB0973" w:rsidRPr="00161C60">
              <w:rPr>
                <w:rFonts w:ascii="Times New Roman" w:hAnsi="Times New Roman"/>
                <w:b/>
                <w:sz w:val="24"/>
                <w:szCs w:val="24"/>
                <w:lang w:val="lv-LV"/>
              </w:rPr>
              <w:t xml:space="preserve">izmaiņām </w:t>
            </w:r>
            <w:r w:rsidR="00093879" w:rsidRPr="00161C60">
              <w:rPr>
                <w:rFonts w:ascii="Times New Roman" w:hAnsi="Times New Roman"/>
                <w:b/>
                <w:sz w:val="24"/>
                <w:szCs w:val="24"/>
                <w:lang w:val="lv-LV"/>
              </w:rPr>
              <w:t>imunoloģisk</w:t>
            </w:r>
            <w:r w:rsidR="00BB0973" w:rsidRPr="00161C60">
              <w:rPr>
                <w:rFonts w:ascii="Times New Roman" w:hAnsi="Times New Roman"/>
                <w:b/>
                <w:sz w:val="24"/>
                <w:szCs w:val="24"/>
                <w:lang w:val="lv-LV"/>
              </w:rPr>
              <w:t>o</w:t>
            </w:r>
            <w:r w:rsidR="00093879" w:rsidRPr="00161C60">
              <w:rPr>
                <w:rFonts w:ascii="Times New Roman" w:hAnsi="Times New Roman"/>
                <w:b/>
                <w:sz w:val="24"/>
                <w:szCs w:val="24"/>
                <w:lang w:val="lv-LV"/>
              </w:rPr>
              <w:t xml:space="preserve"> preparāt</w:t>
            </w:r>
            <w:r w:rsidR="00BB0973" w:rsidRPr="00161C60">
              <w:rPr>
                <w:rFonts w:ascii="Times New Roman" w:hAnsi="Times New Roman"/>
                <w:b/>
                <w:sz w:val="24"/>
                <w:szCs w:val="24"/>
                <w:lang w:val="lv-LV"/>
              </w:rPr>
              <w:t xml:space="preserve">u </w:t>
            </w:r>
            <w:r w:rsidR="00093879" w:rsidRPr="00161C60">
              <w:rPr>
                <w:rFonts w:ascii="Times New Roman" w:hAnsi="Times New Roman"/>
                <w:b/>
                <w:sz w:val="24"/>
                <w:szCs w:val="24"/>
                <w:lang w:val="lv-LV"/>
              </w:rPr>
              <w:t>un no cilvēka asinīm un plazmas iegūt</w:t>
            </w:r>
            <w:r w:rsidR="00BB0973" w:rsidRPr="00161C60">
              <w:rPr>
                <w:rFonts w:ascii="Times New Roman" w:hAnsi="Times New Roman"/>
                <w:b/>
                <w:sz w:val="24"/>
                <w:szCs w:val="24"/>
                <w:lang w:val="lv-LV"/>
              </w:rPr>
              <w:t>o</w:t>
            </w:r>
            <w:r w:rsidR="00553463" w:rsidRPr="00161C60">
              <w:rPr>
                <w:rFonts w:ascii="Times New Roman" w:hAnsi="Times New Roman"/>
                <w:b/>
                <w:sz w:val="24"/>
                <w:szCs w:val="24"/>
                <w:lang w:val="lv-LV"/>
              </w:rPr>
              <w:t xml:space="preserve"> </w:t>
            </w:r>
            <w:r w:rsidR="00BB0973" w:rsidRPr="00161C60">
              <w:rPr>
                <w:rFonts w:ascii="Times New Roman" w:hAnsi="Times New Roman"/>
                <w:b/>
                <w:sz w:val="24"/>
                <w:szCs w:val="24"/>
                <w:lang w:val="lv-LV"/>
              </w:rPr>
              <w:t>zāļu kvalitātes kontrolē</w:t>
            </w:r>
            <w:r w:rsidR="00353B48" w:rsidRPr="00161C60">
              <w:rPr>
                <w:rFonts w:ascii="Times New Roman" w:hAnsi="Times New Roman"/>
                <w:b/>
                <w:sz w:val="24"/>
                <w:szCs w:val="24"/>
                <w:lang w:val="lv-LV"/>
              </w:rPr>
              <w:t xml:space="preserve">. </w:t>
            </w:r>
            <w:r w:rsidR="00B836F0" w:rsidRPr="00161C60">
              <w:rPr>
                <w:rFonts w:ascii="Times New Roman" w:hAnsi="Times New Roman"/>
                <w:b/>
                <w:sz w:val="24"/>
                <w:szCs w:val="24"/>
                <w:lang w:val="lv-LV"/>
              </w:rPr>
              <w:t>A</w:t>
            </w:r>
            <w:r w:rsidR="00353B48" w:rsidRPr="00161C60">
              <w:rPr>
                <w:rFonts w:ascii="Times New Roman" w:hAnsi="Times New Roman"/>
                <w:b/>
                <w:sz w:val="24"/>
                <w:szCs w:val="24"/>
                <w:lang w:val="lv-LV"/>
              </w:rPr>
              <w:t>ģentūra būs tiesīga neveikt testēšanu kvalitātes katrai imunoloģisko preparātu un no cilvēka asinīm un plazmas iegūto zāļu ievestajai sērijai, ja pacientam zāles būs vajadzīgas steidzami.</w:t>
            </w:r>
          </w:p>
          <w:p w:rsidR="00353B48" w:rsidRPr="00161C60" w:rsidRDefault="00353B48" w:rsidP="00BC598D">
            <w:pPr>
              <w:pStyle w:val="Bezatstarpm1"/>
              <w:jc w:val="both"/>
              <w:rPr>
                <w:rFonts w:ascii="Times New Roman" w:hAnsi="Times New Roman"/>
                <w:sz w:val="24"/>
                <w:szCs w:val="24"/>
                <w:lang w:val="lv-LV"/>
              </w:rPr>
            </w:pPr>
          </w:p>
          <w:p w:rsidR="00BC598D" w:rsidRPr="00161C60" w:rsidRDefault="00BC598D" w:rsidP="00BC598D">
            <w:pPr>
              <w:pStyle w:val="Bezatstarpm1"/>
              <w:jc w:val="both"/>
              <w:rPr>
                <w:rFonts w:ascii="Times New Roman" w:hAnsi="Times New Roman"/>
                <w:sz w:val="24"/>
                <w:szCs w:val="24"/>
                <w:lang w:val="lv-LV"/>
              </w:rPr>
            </w:pPr>
            <w:r w:rsidRPr="00161C60">
              <w:rPr>
                <w:rFonts w:ascii="Times New Roman" w:hAnsi="Times New Roman"/>
                <w:sz w:val="24"/>
                <w:szCs w:val="24"/>
                <w:lang w:val="lv-LV"/>
              </w:rPr>
              <w:t>Pašreiz MK noteikumu Nr.416 regulējums neparedz izņēmuma tiesības nepiemērot obligātu kvalitātes kontroli katrai imunoloģisko preparātu un no cilvēka asinīm un plazmas iegūto zāļu ievestajai sērijai. Tas rada risku, ka ārkārtas situācijās (zāles nepieciešamas sabiedrības veselības aizsardzības nolūkā), pacients nevar zāles saņemt, ja tām veikta katras sērijas testēšana. Šai aspektā MK noteikumu Nr.416 regulējums būtu jāprecizē, paredzot izņēmuma tiesības, kādas dalībvalsts var realizēt kvalitātes kontrolē imunoloģiskajiem preparātu un no cilvēka asinīm un plazmas iegūtajām zālēm, kādas ir noteiktas ar</w:t>
            </w:r>
            <w:r w:rsidR="00C6233D" w:rsidRPr="00161C60">
              <w:rPr>
                <w:rFonts w:ascii="Times New Roman" w:hAnsi="Times New Roman"/>
                <w:sz w:val="24"/>
                <w:szCs w:val="24"/>
                <w:lang w:val="lv-LV"/>
              </w:rPr>
              <w:t>ī</w:t>
            </w:r>
            <w:r w:rsidR="00841886" w:rsidRPr="00161C60">
              <w:rPr>
                <w:rFonts w:ascii="Times New Roman" w:hAnsi="Times New Roman"/>
                <w:sz w:val="24"/>
                <w:szCs w:val="24"/>
                <w:lang w:val="lv-LV"/>
              </w:rPr>
              <w:t xml:space="preserve"> </w:t>
            </w:r>
            <w:r w:rsidRPr="00161C60">
              <w:rPr>
                <w:rFonts w:ascii="Times New Roman" w:hAnsi="Times New Roman"/>
                <w:sz w:val="24"/>
                <w:szCs w:val="24"/>
                <w:shd w:val="clear" w:color="auto" w:fill="FFFFFF"/>
                <w:lang w:val="lv-LV"/>
              </w:rPr>
              <w:t>Eiropas Parlamenta un Padomes Direktīvas</w:t>
            </w:r>
            <w:r w:rsidR="00693633" w:rsidRPr="00161C60">
              <w:rPr>
                <w:rStyle w:val="apple-converted-space"/>
                <w:rFonts w:ascii="Times New Roman" w:hAnsi="Times New Roman"/>
                <w:sz w:val="24"/>
                <w:szCs w:val="24"/>
                <w:shd w:val="clear" w:color="auto" w:fill="FFFFFF"/>
                <w:lang w:val="lv-LV"/>
              </w:rPr>
              <w:t xml:space="preserve"> </w:t>
            </w:r>
            <w:hyperlink r:id="rId18" w:tgtFrame="_blank" w:history="1">
              <w:r w:rsidRPr="00161C60">
                <w:rPr>
                  <w:rStyle w:val="Hyperlink"/>
                  <w:rFonts w:ascii="Times New Roman" w:hAnsi="Times New Roman"/>
                  <w:color w:val="auto"/>
                  <w:sz w:val="24"/>
                  <w:szCs w:val="24"/>
                  <w:shd w:val="clear" w:color="auto" w:fill="FFFFFF"/>
                  <w:lang w:val="lv-LV"/>
                </w:rPr>
                <w:t>2001/83/EK</w:t>
              </w:r>
            </w:hyperlink>
            <w:r w:rsidR="009E5BF7" w:rsidRPr="00161C60">
              <w:rPr>
                <w:rStyle w:val="apple-converted-space"/>
                <w:rFonts w:ascii="Times New Roman" w:hAnsi="Times New Roman"/>
                <w:sz w:val="24"/>
                <w:szCs w:val="24"/>
                <w:shd w:val="clear" w:color="auto" w:fill="FFFFFF"/>
                <w:lang w:val="lv-LV"/>
              </w:rPr>
              <w:t xml:space="preserve"> </w:t>
            </w:r>
            <w:r w:rsidRPr="00161C60">
              <w:rPr>
                <w:rFonts w:ascii="Times New Roman" w:hAnsi="Times New Roman"/>
                <w:sz w:val="24"/>
                <w:szCs w:val="24"/>
                <w:shd w:val="clear" w:color="auto" w:fill="FFFFFF"/>
                <w:lang w:val="lv-LV"/>
              </w:rPr>
              <w:t>par Kopienas kodeksu, kas attiecas uz cilvēkiem paredzētām zālēm 114.panta norm</w:t>
            </w:r>
            <w:r w:rsidR="00C6233D" w:rsidRPr="00161C60">
              <w:rPr>
                <w:rFonts w:ascii="Times New Roman" w:hAnsi="Times New Roman"/>
                <w:sz w:val="24"/>
                <w:szCs w:val="24"/>
                <w:shd w:val="clear" w:color="auto" w:fill="FFFFFF"/>
                <w:lang w:val="lv-LV"/>
              </w:rPr>
              <w:t>ā</w:t>
            </w:r>
            <w:r w:rsidRPr="00161C60">
              <w:rPr>
                <w:rFonts w:ascii="Times New Roman" w:hAnsi="Times New Roman"/>
                <w:sz w:val="24"/>
                <w:szCs w:val="24"/>
                <w:shd w:val="clear" w:color="auto" w:fill="FFFFFF"/>
                <w:lang w:val="lv-LV"/>
              </w:rPr>
              <w:t>.</w:t>
            </w:r>
          </w:p>
          <w:p w:rsidR="00093879" w:rsidRPr="00161C60" w:rsidRDefault="00093879" w:rsidP="00093879">
            <w:pPr>
              <w:pStyle w:val="Bezatstarpm1"/>
              <w:jc w:val="both"/>
              <w:rPr>
                <w:rFonts w:ascii="Times New Roman" w:hAnsi="Times New Roman"/>
                <w:sz w:val="24"/>
                <w:szCs w:val="24"/>
                <w:lang w:val="lv-LV"/>
              </w:rPr>
            </w:pPr>
            <w:r w:rsidRPr="00161C60">
              <w:rPr>
                <w:rFonts w:ascii="Times New Roman" w:hAnsi="Times New Roman"/>
                <w:sz w:val="24"/>
                <w:szCs w:val="24"/>
                <w:lang w:val="lv-LV"/>
              </w:rPr>
              <w:t xml:space="preserve">Grozījums MK noteikumu Nr.416 </w:t>
            </w:r>
            <w:r w:rsidR="00BC598D" w:rsidRPr="00161C60">
              <w:rPr>
                <w:rFonts w:ascii="Times New Roman" w:hAnsi="Times New Roman"/>
                <w:sz w:val="24"/>
                <w:szCs w:val="24"/>
                <w:lang w:val="lv-LV"/>
              </w:rPr>
              <w:t>regulējumā</w:t>
            </w:r>
            <w:r w:rsidRPr="00161C60">
              <w:rPr>
                <w:rFonts w:ascii="Times New Roman" w:hAnsi="Times New Roman"/>
                <w:sz w:val="24"/>
                <w:szCs w:val="24"/>
                <w:lang w:val="lv-LV"/>
              </w:rPr>
              <w:t xml:space="preserve"> ievieš lielāku tiesisku skaidrību attiecībā uz sniedzamajiem kvalitāti apliecinošiem dokumentiem, kādi sniedzami par imunoloģiskajiem preparātiem un no cilvēka asinīm un plazmas iegūta</w:t>
            </w:r>
            <w:r w:rsidR="00F42A39" w:rsidRPr="00161C60">
              <w:rPr>
                <w:rFonts w:ascii="Times New Roman" w:hAnsi="Times New Roman"/>
                <w:sz w:val="24"/>
                <w:szCs w:val="24"/>
                <w:lang w:val="lv-LV"/>
              </w:rPr>
              <w:t>jām zālēm (</w:t>
            </w:r>
            <w:r w:rsidR="00B57A4A" w:rsidRPr="00161C60">
              <w:rPr>
                <w:rFonts w:ascii="Times New Roman" w:hAnsi="Times New Roman"/>
                <w:sz w:val="24"/>
                <w:szCs w:val="24"/>
                <w:lang w:val="lv-LV"/>
              </w:rPr>
              <w:t>Noteikumu projekta 1.</w:t>
            </w:r>
            <w:r w:rsidR="00670ABC" w:rsidRPr="00161C60">
              <w:rPr>
                <w:rFonts w:ascii="Times New Roman" w:hAnsi="Times New Roman"/>
                <w:sz w:val="24"/>
                <w:szCs w:val="24"/>
                <w:lang w:val="lv-LV"/>
              </w:rPr>
              <w:t>47</w:t>
            </w:r>
            <w:r w:rsidRPr="00161C60">
              <w:rPr>
                <w:rFonts w:ascii="Times New Roman" w:hAnsi="Times New Roman"/>
                <w:sz w:val="24"/>
                <w:szCs w:val="24"/>
                <w:lang w:val="lv-LV"/>
              </w:rPr>
              <w:t>.</w:t>
            </w:r>
            <w:r w:rsidR="00BC598D" w:rsidRPr="00161C60">
              <w:rPr>
                <w:rFonts w:ascii="Times New Roman" w:hAnsi="Times New Roman"/>
                <w:sz w:val="24"/>
                <w:szCs w:val="24"/>
                <w:lang w:val="lv-LV"/>
              </w:rPr>
              <w:t>apakš</w:t>
            </w:r>
            <w:r w:rsidRPr="00161C60">
              <w:rPr>
                <w:rFonts w:ascii="Times New Roman" w:hAnsi="Times New Roman"/>
                <w:sz w:val="24"/>
                <w:szCs w:val="24"/>
                <w:lang w:val="lv-LV"/>
              </w:rPr>
              <w:t>punkts).</w:t>
            </w:r>
            <w:r w:rsidR="000E3B98" w:rsidRPr="00161C60">
              <w:rPr>
                <w:rFonts w:ascii="Times New Roman" w:hAnsi="Times New Roman"/>
                <w:sz w:val="24"/>
                <w:szCs w:val="24"/>
                <w:lang w:val="lv-LV"/>
              </w:rPr>
              <w:t xml:space="preserve"> V</w:t>
            </w:r>
            <w:r w:rsidR="00FD7027" w:rsidRPr="00161C60">
              <w:rPr>
                <w:rFonts w:ascii="Times New Roman" w:hAnsi="Times New Roman"/>
                <w:sz w:val="24"/>
                <w:szCs w:val="24"/>
                <w:lang w:val="lv-LV"/>
              </w:rPr>
              <w:t>ienlaicīgi tehniski grozāms MK n</w:t>
            </w:r>
            <w:r w:rsidR="000E3B98" w:rsidRPr="00161C60">
              <w:rPr>
                <w:rFonts w:ascii="Times New Roman" w:hAnsi="Times New Roman"/>
                <w:sz w:val="24"/>
                <w:szCs w:val="24"/>
                <w:lang w:val="lv-LV"/>
              </w:rPr>
              <w:t>oteikumu Nr.416 107.punkts</w:t>
            </w:r>
            <w:r w:rsidR="00F42A39" w:rsidRPr="00161C60">
              <w:rPr>
                <w:rFonts w:ascii="Times New Roman" w:hAnsi="Times New Roman"/>
                <w:sz w:val="24"/>
                <w:szCs w:val="24"/>
                <w:lang w:val="lv-LV"/>
              </w:rPr>
              <w:t xml:space="preserve"> (Noteikumu projekta </w:t>
            </w:r>
            <w:r w:rsidR="00B57A4A" w:rsidRPr="00161C60">
              <w:rPr>
                <w:rFonts w:ascii="Times New Roman" w:hAnsi="Times New Roman"/>
                <w:sz w:val="24"/>
                <w:szCs w:val="24"/>
                <w:lang w:val="lv-LV"/>
              </w:rPr>
              <w:t>1.</w:t>
            </w:r>
            <w:r w:rsidR="00C6696F" w:rsidRPr="00161C60">
              <w:rPr>
                <w:rFonts w:ascii="Times New Roman" w:hAnsi="Times New Roman"/>
                <w:sz w:val="24"/>
                <w:szCs w:val="24"/>
                <w:lang w:val="lv-LV"/>
              </w:rPr>
              <w:t>46</w:t>
            </w:r>
            <w:r w:rsidR="00BC598D" w:rsidRPr="00161C60">
              <w:rPr>
                <w:rFonts w:ascii="Times New Roman" w:hAnsi="Times New Roman"/>
                <w:sz w:val="24"/>
                <w:szCs w:val="24"/>
                <w:lang w:val="lv-LV"/>
              </w:rPr>
              <w:t>.apakš</w:t>
            </w:r>
            <w:r w:rsidR="00037775" w:rsidRPr="00161C60">
              <w:rPr>
                <w:rFonts w:ascii="Times New Roman" w:hAnsi="Times New Roman"/>
                <w:sz w:val="24"/>
                <w:szCs w:val="24"/>
                <w:lang w:val="lv-LV"/>
              </w:rPr>
              <w:t>punkts)</w:t>
            </w:r>
            <w:r w:rsidR="00601BC8" w:rsidRPr="00161C60">
              <w:rPr>
                <w:rFonts w:ascii="Times New Roman" w:hAnsi="Times New Roman"/>
                <w:sz w:val="24"/>
                <w:szCs w:val="24"/>
                <w:lang w:val="lv-LV"/>
              </w:rPr>
              <w:t>.</w:t>
            </w:r>
          </w:p>
          <w:p w:rsidR="00093879" w:rsidRPr="00161C60" w:rsidRDefault="00093879" w:rsidP="008332F0">
            <w:pPr>
              <w:pStyle w:val="NoSpacing"/>
              <w:jc w:val="both"/>
              <w:rPr>
                <w:rFonts w:ascii="Times New Roman" w:hAnsi="Times New Roman"/>
                <w:i/>
                <w:sz w:val="24"/>
                <w:szCs w:val="24"/>
                <w:lang w:val="lv-LV"/>
              </w:rPr>
            </w:pPr>
          </w:p>
          <w:p w:rsidR="00112DB0" w:rsidRPr="00161C60" w:rsidRDefault="004048F0" w:rsidP="0060538A">
            <w:pPr>
              <w:jc w:val="both"/>
              <w:rPr>
                <w:b/>
                <w:i/>
              </w:rPr>
            </w:pPr>
            <w:r w:rsidRPr="00161C60">
              <w:rPr>
                <w:b/>
              </w:rPr>
              <w:t>6.</w:t>
            </w:r>
            <w:r w:rsidR="00400F22" w:rsidRPr="00161C60">
              <w:rPr>
                <w:b/>
              </w:rPr>
              <w:t> </w:t>
            </w:r>
            <w:r w:rsidR="00CB5DF1" w:rsidRPr="00161C60">
              <w:rPr>
                <w:b/>
              </w:rPr>
              <w:t>Par izmaiņām zāļu atlikušo krājumu izplatīšanas atļaujas kārtībā pēc izmaiņu apstiprināšanas reģistrācijas dokumentācijā</w:t>
            </w:r>
            <w:r w:rsidR="00E31D80" w:rsidRPr="00161C60">
              <w:rPr>
                <w:b/>
              </w:rPr>
              <w:t> - </w:t>
            </w:r>
            <w:r w:rsidR="0060538A" w:rsidRPr="00161C60">
              <w:rPr>
                <w:b/>
                <w:i/>
              </w:rPr>
              <w:t>tiek atcelta atļauja atlikušo zāļu krājumu izplatīšanai.</w:t>
            </w:r>
          </w:p>
          <w:p w:rsidR="0060538A" w:rsidRPr="00161C60" w:rsidRDefault="0060538A" w:rsidP="0060538A">
            <w:pPr>
              <w:jc w:val="both"/>
              <w:rPr>
                <w:b/>
                <w:i/>
              </w:rPr>
            </w:pPr>
          </w:p>
          <w:p w:rsidR="00CB5DF1" w:rsidRPr="00161C60" w:rsidRDefault="00CB5DF1" w:rsidP="00CB5DF1">
            <w:pPr>
              <w:jc w:val="both"/>
            </w:pPr>
            <w:r w:rsidRPr="00161C60">
              <w:t>Pašre</w:t>
            </w:r>
            <w:r w:rsidR="00CA558B" w:rsidRPr="00161C60">
              <w:t>izējais regulējums MK noteikumu</w:t>
            </w:r>
            <w:r w:rsidRPr="00161C60">
              <w:t xml:space="preserve"> Nr.416 79.punktā paredz gadījumus, kad zāļu reģistrācijas īpašniekam un paralēlajam importētājam jāsaņem atļauja atlikušo zāļu krājumu izplatīšanai saistībā ar izmaiņām reģistrācijas dokumentācijā (MK noteik</w:t>
            </w:r>
            <w:r w:rsidR="00E87D4D" w:rsidRPr="00161C60">
              <w:t>umu Nr.416 79.1.apakšpunkts),</w:t>
            </w:r>
            <w:r w:rsidRPr="00161C60">
              <w:t xml:space="preserve"> kas rada ne</w:t>
            </w:r>
            <w:r w:rsidR="00E31D80" w:rsidRPr="00161C60">
              <w:t>vajadzīgu administratīvo slogu.</w:t>
            </w:r>
            <w:r w:rsidRPr="00161C60">
              <w:t xml:space="preserve"> Zāļu reģistrācija īpašnieks un paralēlais importētājs šo informāciju var saņemt no </w:t>
            </w:r>
            <w:r w:rsidR="008C12A1" w:rsidRPr="00161C60">
              <w:t>A</w:t>
            </w:r>
            <w:r w:rsidR="00E87D4D" w:rsidRPr="00161C60">
              <w:rPr>
                <w:bCs/>
              </w:rPr>
              <w:t>ģentūras</w:t>
            </w:r>
            <w:r w:rsidRPr="00161C60">
              <w:t>, kura, izvērtējot visus apstākļus un pieprasot no reģistrācijas īpašnieka informāciju lemj par zāļu krājumu realizācijas termiņu, ņemot vērā izmaiņu raksturu vai tā ir būtiskas vai ne. Līdz ar to zāļu reģistrācija īpašniekam un paralēlajam importētājam nebūtu jāsniedz iesniegums un jāsaņem atļauja atlikušo zāļu krājumu izp</w:t>
            </w:r>
            <w:r w:rsidR="00004B3B" w:rsidRPr="00161C60">
              <w:t>latīšanai.</w:t>
            </w:r>
          </w:p>
          <w:p w:rsidR="00CB5DF1" w:rsidRPr="00161C60" w:rsidRDefault="00CB5DF1" w:rsidP="00CB5DF1">
            <w:pPr>
              <w:jc w:val="both"/>
              <w:rPr>
                <w:b/>
              </w:rPr>
            </w:pPr>
            <w:r w:rsidRPr="00161C60">
              <w:t>Pašreiz paralēlais importētājs nesaņem arī informāciju par atlikušo zāļu krājumu realizāciju (MK noteikumu Nr.416 79.2.apa</w:t>
            </w:r>
            <w:r w:rsidR="00037775" w:rsidRPr="00161C60">
              <w:t xml:space="preserve">kšpunkts), ja zāļu izplatīšana </w:t>
            </w:r>
            <w:r w:rsidRPr="00161C60">
              <w:t xml:space="preserve">netiek atļauta, ja izmaiņas zāļu reģistrācijā netiek ieviestas vai ja to ieviešana saistīta ar steidzamiem drošības ierobežojumiem vai </w:t>
            </w:r>
            <w:r w:rsidRPr="00161C60">
              <w:lastRenderedPageBreak/>
              <w:t>ar iedzīvotāju veselības aizsardzību un drošu zāļu lietošanu. Šādu informāciju saņem tikai zāļu reģistrācijas īpašnieks, tāpēc regulējums ir jāprecizē</w:t>
            </w:r>
            <w:r w:rsidR="004771AC" w:rsidRPr="00161C60">
              <w:t>, arī MK noteikumu Nr.416 78.punktā.</w:t>
            </w:r>
          </w:p>
          <w:p w:rsidR="00C6696F" w:rsidRPr="00161C60" w:rsidRDefault="00CB5DF1" w:rsidP="00CB5DF1">
            <w:pPr>
              <w:jc w:val="both"/>
            </w:pPr>
            <w:r w:rsidRPr="00161C60">
              <w:t>Pašreizējais regulējums paredz reģistrācijas īpašniekam saņemt atļauju atlikušo zāļu krājumu izplatīšanai, ja zāles nav pārreģistrētas, vai pā</w:t>
            </w:r>
            <w:r w:rsidR="003A4E48" w:rsidRPr="00161C60">
              <w:t>rreģistrāciju aptur vai anulē</w:t>
            </w:r>
            <w:r w:rsidR="00C6696F" w:rsidRPr="00161C60">
              <w:t xml:space="preserve"> (MK noteikumu Nr.416 81.punkts)</w:t>
            </w:r>
            <w:r w:rsidR="003A4E48" w:rsidRPr="00161C60">
              <w:t xml:space="preserve">, kas </w:t>
            </w:r>
            <w:r w:rsidRPr="00161C60">
              <w:t>rada nevajadzīgu administratīvo slogu, jo atļaujas saņemš</w:t>
            </w:r>
            <w:r w:rsidR="003A4E48" w:rsidRPr="00161C60">
              <w:t xml:space="preserve">anai ir jāiesniedz iesniegums. </w:t>
            </w:r>
            <w:r w:rsidRPr="00161C60">
              <w:t>Zāļu reģistrācija</w:t>
            </w:r>
            <w:r w:rsidR="00EC0721" w:rsidRPr="00161C60">
              <w:t>s</w:t>
            </w:r>
            <w:r w:rsidRPr="00161C60">
              <w:t xml:space="preserve"> īpašnieks šo informāciju var saņemt no </w:t>
            </w:r>
            <w:r w:rsidR="003704E2" w:rsidRPr="00161C60">
              <w:t>A</w:t>
            </w:r>
            <w:r w:rsidR="00E87D4D" w:rsidRPr="00161C60">
              <w:rPr>
                <w:bCs/>
              </w:rPr>
              <w:t>ģentūras</w:t>
            </w:r>
            <w:r w:rsidRPr="00161C60">
              <w:t xml:space="preserve">, neiesniedzot iesniegumu, kad </w:t>
            </w:r>
            <w:r w:rsidR="004B0488" w:rsidRPr="00161C60">
              <w:t>A</w:t>
            </w:r>
            <w:r w:rsidR="00E87D4D" w:rsidRPr="00161C60">
              <w:rPr>
                <w:bCs/>
              </w:rPr>
              <w:t>ģentūras</w:t>
            </w:r>
            <w:r w:rsidRPr="00161C60">
              <w:t xml:space="preserve"> lēmumu pieņem tikai atteikuma gadījumā, kad netiek atļauta atli</w:t>
            </w:r>
            <w:r w:rsidR="004771AC" w:rsidRPr="00161C60">
              <w:t xml:space="preserve">kušo zāļu krājuma realizācija. </w:t>
            </w:r>
            <w:r w:rsidRPr="00161C60">
              <w:t xml:space="preserve">Līdz ar to zāļu reģistrācija īpašniekam nebūtu jāsniedz iesniegums un jāsaņem atļauja atlikušo zāļu krājumu izplatīšanai. Vienlaicīgi </w:t>
            </w:r>
            <w:r w:rsidR="00AB009D" w:rsidRPr="00161C60">
              <w:t>A</w:t>
            </w:r>
            <w:r w:rsidR="00E87D4D" w:rsidRPr="00161C60">
              <w:rPr>
                <w:bCs/>
              </w:rPr>
              <w:t>ģentūrai</w:t>
            </w:r>
            <w:r w:rsidRPr="00161C60">
              <w:t xml:space="preserve"> šī informācija būtu jāsniedz arī paralēlajam importētājam.</w:t>
            </w:r>
            <w:r w:rsidR="00E75718" w:rsidRPr="00161C60">
              <w:t xml:space="preserve"> </w:t>
            </w:r>
          </w:p>
          <w:p w:rsidR="004771AC" w:rsidRPr="00161C60" w:rsidRDefault="00E75718" w:rsidP="00CB5DF1">
            <w:pPr>
              <w:jc w:val="both"/>
            </w:pPr>
            <w:r w:rsidRPr="00161C60">
              <w:t>Lai nebūtu jāizdod divi lēmumi</w:t>
            </w:r>
            <w:r w:rsidR="00E31D80" w:rsidRPr="00161C60">
              <w:t> - </w:t>
            </w:r>
            <w:r w:rsidRPr="00161C60">
              <w:t>par zāļu pārreģistrācijas atteikumu (zāļu reģistrācijas apturēšanu, zāļu reģistrācijas anulēšanu) un par atlikušo zāļu krājumu izplatīšanu, un ņemot vērā to, ka šie jautājumi ir cieši saistīti (atsakot zāļu pārreģistrāciju ir nepieciešams arī nekavējoties lemt par atlikušo zāļu krājumu izplatīšanu), tiek paredzēts, ka turpmāk lēmums par zāļu atlikušo krājumu izplatīšanu tiks norādīts lēmumā par zāļu pārreģistrāciju (zāļu reģistrācijas apturēšanu, zāļu reģistrācijas anulēšanu)</w:t>
            </w:r>
            <w:r w:rsidR="00C6696F" w:rsidRPr="00161C60">
              <w:t xml:space="preserve">. Zāļu reģistrācijas, pārreģistrācijas </w:t>
            </w:r>
            <w:proofErr w:type="spellStart"/>
            <w:r w:rsidR="00C6696F" w:rsidRPr="00161C60">
              <w:t>jautrājumus</w:t>
            </w:r>
            <w:proofErr w:type="spellEnd"/>
            <w:r w:rsidR="00C6696F" w:rsidRPr="00161C60">
              <w:t xml:space="preserve"> regulē</w:t>
            </w:r>
            <w:r w:rsidR="00C6233D" w:rsidRPr="00161C60">
              <w:t xml:space="preserve"> Ministru kabineta 2006.gada 9.maija </w:t>
            </w:r>
            <w:r w:rsidR="00C6696F" w:rsidRPr="00161C60">
              <w:t>noteikumi</w:t>
            </w:r>
            <w:r w:rsidR="008B2367" w:rsidRPr="00161C60">
              <w:t xml:space="preserve"> Nr.376 ”</w:t>
            </w:r>
            <w:r w:rsidR="00C6233D" w:rsidRPr="00161C60">
              <w:t>Zāļu reģistrēšanas kārtība”</w:t>
            </w:r>
            <w:r w:rsidRPr="00161C60">
              <w:t>.</w:t>
            </w:r>
          </w:p>
          <w:p w:rsidR="00724113" w:rsidRPr="00161C60" w:rsidRDefault="00F32C39" w:rsidP="002C4D83">
            <w:pPr>
              <w:jc w:val="both"/>
              <w:rPr>
                <w:b/>
              </w:rPr>
            </w:pPr>
            <w:r w:rsidRPr="00161C60">
              <w:t xml:space="preserve">Grozījumi </w:t>
            </w:r>
            <w:r w:rsidR="0081723F" w:rsidRPr="00161C60">
              <w:t>(</w:t>
            </w:r>
            <w:r w:rsidR="00852F5C" w:rsidRPr="00161C60">
              <w:t>Noteikumu projekta</w:t>
            </w:r>
            <w:r w:rsidR="003901A6" w:rsidRPr="00161C60">
              <w:t xml:space="preserve"> 1.3</w:t>
            </w:r>
            <w:r w:rsidR="00DE1232" w:rsidRPr="00161C60">
              <w:t>1</w:t>
            </w:r>
            <w:r w:rsidR="004771AC" w:rsidRPr="00161C60">
              <w:t>.</w:t>
            </w:r>
            <w:r w:rsidR="00671DA7" w:rsidRPr="00161C60">
              <w:t>,</w:t>
            </w:r>
            <w:r w:rsidR="003901A6" w:rsidRPr="00161C60">
              <w:t xml:space="preserve"> 1.3</w:t>
            </w:r>
            <w:r w:rsidR="00DE1232" w:rsidRPr="00161C60">
              <w:t>2</w:t>
            </w:r>
            <w:r w:rsidR="004771AC" w:rsidRPr="00161C60">
              <w:t>.</w:t>
            </w:r>
            <w:r w:rsidR="00671DA7" w:rsidRPr="00161C60">
              <w:t xml:space="preserve"> un</w:t>
            </w:r>
            <w:r w:rsidR="00852F5C" w:rsidRPr="00161C60">
              <w:t xml:space="preserve"> 1.</w:t>
            </w:r>
            <w:r w:rsidR="00C6696F" w:rsidRPr="00161C60">
              <w:t>66</w:t>
            </w:r>
            <w:r w:rsidR="00671DA7" w:rsidRPr="00161C60">
              <w:t>.</w:t>
            </w:r>
            <w:r w:rsidR="004771AC" w:rsidRPr="00161C60">
              <w:t>apakšpunk</w:t>
            </w:r>
            <w:r w:rsidR="00AD45FA" w:rsidRPr="00161C60">
              <w:t>t</w:t>
            </w:r>
            <w:r w:rsidR="004771AC" w:rsidRPr="00161C60">
              <w:t>ā) šīs problēmas</w:t>
            </w:r>
            <w:r w:rsidR="00233B0A" w:rsidRPr="00161C60">
              <w:t xml:space="preserve"> atrisina.</w:t>
            </w:r>
            <w:r w:rsidR="00E31D80" w:rsidRPr="00161C60">
              <w:t xml:space="preserve"> </w:t>
            </w:r>
            <w:r w:rsidR="00724113" w:rsidRPr="00161C60">
              <w:t xml:space="preserve">Līdz ar to tiek </w:t>
            </w:r>
            <w:r w:rsidR="00724113" w:rsidRPr="00161C60">
              <w:rPr>
                <w:rFonts w:eastAsia="Calibri"/>
              </w:rPr>
              <w:t>vienkāršotas administratīvās procedūras un likvidēti šķēršļi pakalpojumu darbībai, prasības padarot mazāk ierobežojošas</w:t>
            </w:r>
            <w:r w:rsidR="004771AC" w:rsidRPr="00161C60">
              <w:rPr>
                <w:rFonts w:eastAsia="Calibri"/>
              </w:rPr>
              <w:t>.</w:t>
            </w:r>
          </w:p>
          <w:p w:rsidR="002C4D83" w:rsidRPr="00161C60" w:rsidRDefault="002C4D83" w:rsidP="002C4D83">
            <w:pPr>
              <w:jc w:val="both"/>
              <w:rPr>
                <w:b/>
              </w:rPr>
            </w:pPr>
          </w:p>
          <w:p w:rsidR="009C772C" w:rsidRPr="00161C60" w:rsidRDefault="004048F0" w:rsidP="009C772C">
            <w:pPr>
              <w:spacing w:after="120"/>
              <w:jc w:val="both"/>
              <w:rPr>
                <w:b/>
              </w:rPr>
            </w:pPr>
            <w:r w:rsidRPr="00161C60">
              <w:rPr>
                <w:b/>
              </w:rPr>
              <w:t>7.</w:t>
            </w:r>
            <w:r w:rsidR="009C772C" w:rsidRPr="00161C60">
              <w:rPr>
                <w:b/>
              </w:rPr>
              <w:t> </w:t>
            </w:r>
            <w:r w:rsidR="00F85FD4" w:rsidRPr="00161C60">
              <w:rPr>
                <w:b/>
              </w:rPr>
              <w:t>Turpmāk,</w:t>
            </w:r>
            <w:r w:rsidR="009C772C" w:rsidRPr="00161C60">
              <w:rPr>
                <w:b/>
              </w:rPr>
              <w:t xml:space="preserve"> zāļu reģistrācijas īpašnieka</w:t>
            </w:r>
            <w:r w:rsidR="00F85FD4" w:rsidRPr="00161C60">
              <w:rPr>
                <w:b/>
              </w:rPr>
              <w:t xml:space="preserve">m </w:t>
            </w:r>
            <w:r w:rsidR="00DF7B23" w:rsidRPr="00161C60">
              <w:rPr>
                <w:b/>
              </w:rPr>
              <w:t xml:space="preserve">un paralēlajam izplatītājam </w:t>
            </w:r>
            <w:r w:rsidR="00F85FD4" w:rsidRPr="00161C60">
              <w:rPr>
                <w:b/>
              </w:rPr>
              <w:t>būs</w:t>
            </w:r>
            <w:r w:rsidR="009C772C" w:rsidRPr="00161C60">
              <w:rPr>
                <w:b/>
              </w:rPr>
              <w:t xml:space="preserve"> pienākum</w:t>
            </w:r>
            <w:r w:rsidR="00AF0DDE" w:rsidRPr="00161C60">
              <w:rPr>
                <w:b/>
              </w:rPr>
              <w:t>s</w:t>
            </w:r>
            <w:r w:rsidR="00E31D80" w:rsidRPr="00161C60">
              <w:rPr>
                <w:b/>
              </w:rPr>
              <w:t xml:space="preserve"> </w:t>
            </w:r>
            <w:r w:rsidR="00F85FD4" w:rsidRPr="00161C60">
              <w:rPr>
                <w:b/>
              </w:rPr>
              <w:t>paziņo</w:t>
            </w:r>
            <w:r w:rsidR="00AF0DDE" w:rsidRPr="00161C60">
              <w:rPr>
                <w:b/>
              </w:rPr>
              <w:t>t</w:t>
            </w:r>
            <w:r w:rsidR="00E31D80" w:rsidRPr="00161C60">
              <w:rPr>
                <w:b/>
              </w:rPr>
              <w:t xml:space="preserve"> </w:t>
            </w:r>
            <w:r w:rsidR="008D6235" w:rsidRPr="00161C60">
              <w:rPr>
                <w:b/>
              </w:rPr>
              <w:t>A</w:t>
            </w:r>
            <w:r w:rsidR="00A92537" w:rsidRPr="00161C60">
              <w:rPr>
                <w:b/>
              </w:rPr>
              <w:t xml:space="preserve">ģentūrai </w:t>
            </w:r>
            <w:r w:rsidR="009C772C" w:rsidRPr="00161C60">
              <w:rPr>
                <w:b/>
              </w:rPr>
              <w:t>par centralizēti reģistrēto zāļu izplatīšanu Latvijā</w:t>
            </w:r>
            <w:r w:rsidR="00471760" w:rsidRPr="00161C60">
              <w:rPr>
                <w:b/>
              </w:rPr>
              <w:t>.</w:t>
            </w:r>
          </w:p>
          <w:p w:rsidR="009A1FE7" w:rsidRPr="00161C60" w:rsidRDefault="009C772C" w:rsidP="00DF7B23">
            <w:pPr>
              <w:spacing w:after="120"/>
              <w:jc w:val="both"/>
            </w:pPr>
            <w:r w:rsidRPr="00161C60">
              <w:t>Pašreiz tiesiskais regulējum</w:t>
            </w:r>
            <w:r w:rsidR="0086639E" w:rsidRPr="00161C60">
              <w:t>s MK noteikumu Nr.416 neparedz z</w:t>
            </w:r>
            <w:r w:rsidRPr="00161C60">
              <w:t xml:space="preserve">āļu reģistrācijas īpašnieka </w:t>
            </w:r>
            <w:r w:rsidR="00DF7B23" w:rsidRPr="00161C60">
              <w:t xml:space="preserve">un paralēlā izplatītāja </w:t>
            </w:r>
            <w:r w:rsidRPr="00161C60">
              <w:t xml:space="preserve">pienākumu paziņot </w:t>
            </w:r>
            <w:r w:rsidR="006D4027" w:rsidRPr="00161C60">
              <w:t>A</w:t>
            </w:r>
            <w:r w:rsidR="00E87D4D" w:rsidRPr="00161C60">
              <w:rPr>
                <w:bCs/>
              </w:rPr>
              <w:t>ģentūrai</w:t>
            </w:r>
            <w:r w:rsidRPr="00161C60">
              <w:t xml:space="preserve"> par centralizēti reģistrēto zāļu faktisko izplatīšanas uzsākšanu Latvijā, kā arī </w:t>
            </w:r>
            <w:r w:rsidR="00DF7B23" w:rsidRPr="00161C60">
              <w:t xml:space="preserve">pienākumu </w:t>
            </w:r>
            <w:r w:rsidR="00EC0721" w:rsidRPr="00161C60">
              <w:t>pa</w:t>
            </w:r>
            <w:r w:rsidR="00DF7B23" w:rsidRPr="00161C60">
              <w:t xml:space="preserve">ziņot </w:t>
            </w:r>
            <w:r w:rsidR="00EC0721" w:rsidRPr="00161C60">
              <w:t xml:space="preserve">par </w:t>
            </w:r>
            <w:r w:rsidRPr="00161C60">
              <w:t xml:space="preserve">gadījumiem, kad pastāvīgi vai uz laiku </w:t>
            </w:r>
            <w:r w:rsidR="00C6233D" w:rsidRPr="00161C60">
              <w:t xml:space="preserve">zāles </w:t>
            </w:r>
            <w:r w:rsidRPr="00161C60">
              <w:t xml:space="preserve">netiek laistas Latvijas tirgū. Tas rada risku, kad pacietam nozīmētās centralizēti reģistrētās zāles Latvijā var nebūt pieejamas, jo to faktiskā izplatīšana Latvijā nav uzsākta vai ir pārtraukta, kas var </w:t>
            </w:r>
            <w:r w:rsidR="00EC0721" w:rsidRPr="00161C60">
              <w:t xml:space="preserve">radīt risku pacienta veselībai vai </w:t>
            </w:r>
            <w:r w:rsidRPr="00161C60">
              <w:t>dzīvībai. Lai nodrošinātu informāciju par centralizēti reģistrēto zāļu pieejamību Latvijā, tiesiskais regulējums MK noteikumos Nr.41</w:t>
            </w:r>
            <w:r w:rsidR="00FD7027" w:rsidRPr="00161C60">
              <w:t xml:space="preserve">6 ir jāpapildina. </w:t>
            </w:r>
            <w:r w:rsidR="00DF7B23" w:rsidRPr="00161C60">
              <w:t>Ieviešot šādu prasību ar MK noteikumu Nr.416 60.</w:t>
            </w:r>
            <w:r w:rsidR="00DF7B23" w:rsidRPr="00161C60">
              <w:rPr>
                <w:vertAlign w:val="superscript"/>
              </w:rPr>
              <w:t>2</w:t>
            </w:r>
            <w:r w:rsidR="00DF7B23" w:rsidRPr="00161C60">
              <w:t>punktu</w:t>
            </w:r>
            <w:r w:rsidR="00E31D80" w:rsidRPr="00161C60">
              <w:t xml:space="preserve"> </w:t>
            </w:r>
            <w:r w:rsidR="00DF7B23" w:rsidRPr="00161C60">
              <w:t>un grozot</w:t>
            </w:r>
            <w:r w:rsidR="00E31D80" w:rsidRPr="00161C60">
              <w:t xml:space="preserve"> </w:t>
            </w:r>
            <w:r w:rsidR="00FD7027" w:rsidRPr="00161C60">
              <w:t>MK n</w:t>
            </w:r>
            <w:r w:rsidRPr="00161C60">
              <w:t>o</w:t>
            </w:r>
            <w:r w:rsidR="00DF7B23" w:rsidRPr="00161C60">
              <w:t>teikumu Nr.416 153.3.apakšpunktu, šī</w:t>
            </w:r>
            <w:r w:rsidRPr="00161C60">
              <w:t xml:space="preserve"> problēmu</w:t>
            </w:r>
            <w:r w:rsidR="00E31D80" w:rsidRPr="00161C60">
              <w:t xml:space="preserve"> </w:t>
            </w:r>
            <w:r w:rsidR="00DF7B23" w:rsidRPr="00161C60">
              <w:t>tiek atrisināta</w:t>
            </w:r>
            <w:r w:rsidR="00F85FD4" w:rsidRPr="00161C60">
              <w:t xml:space="preserve"> (Note</w:t>
            </w:r>
            <w:r w:rsidR="003A0E43" w:rsidRPr="00161C60">
              <w:t xml:space="preserve">ikumu projekta </w:t>
            </w:r>
            <w:r w:rsidR="003901A6" w:rsidRPr="00161C60">
              <w:t>1.</w:t>
            </w:r>
            <w:r w:rsidR="00B12AA2" w:rsidRPr="00161C60">
              <w:t>27</w:t>
            </w:r>
            <w:r w:rsidR="00DF7B23" w:rsidRPr="00161C60">
              <w:t xml:space="preserve">. un </w:t>
            </w:r>
            <w:r w:rsidR="003901A6" w:rsidRPr="00161C60">
              <w:t>1.6</w:t>
            </w:r>
            <w:r w:rsidR="00123851" w:rsidRPr="00161C60">
              <w:t>1</w:t>
            </w:r>
            <w:r w:rsidR="002C4D83" w:rsidRPr="00161C60">
              <w:t>.apakšpunkts</w:t>
            </w:r>
            <w:r w:rsidRPr="00161C60">
              <w:t>).</w:t>
            </w:r>
          </w:p>
          <w:p w:rsidR="00441C3B" w:rsidRPr="00161C60" w:rsidRDefault="00441C3B" w:rsidP="00410437">
            <w:pPr>
              <w:pStyle w:val="NoSpacing"/>
              <w:jc w:val="both"/>
              <w:rPr>
                <w:rFonts w:ascii="Times New Roman" w:hAnsi="Times New Roman"/>
                <w:b/>
                <w:sz w:val="24"/>
                <w:szCs w:val="24"/>
                <w:lang w:val="lv-LV"/>
              </w:rPr>
            </w:pPr>
          </w:p>
          <w:p w:rsidR="008C1060" w:rsidRPr="00161C60" w:rsidRDefault="004048F0" w:rsidP="00410437">
            <w:pPr>
              <w:pStyle w:val="NoSpacing"/>
              <w:jc w:val="both"/>
              <w:rPr>
                <w:rFonts w:ascii="Times New Roman" w:hAnsi="Times New Roman"/>
                <w:b/>
                <w:sz w:val="24"/>
                <w:szCs w:val="24"/>
                <w:lang w:val="lv-LV"/>
              </w:rPr>
            </w:pPr>
            <w:r w:rsidRPr="00161C60">
              <w:rPr>
                <w:rFonts w:ascii="Times New Roman" w:hAnsi="Times New Roman"/>
                <w:b/>
                <w:sz w:val="24"/>
                <w:szCs w:val="24"/>
                <w:lang w:val="lv-LV"/>
              </w:rPr>
              <w:lastRenderedPageBreak/>
              <w:t>8.</w:t>
            </w:r>
            <w:r w:rsidR="00641DA4" w:rsidRPr="00161C60">
              <w:rPr>
                <w:rFonts w:ascii="Times New Roman" w:hAnsi="Times New Roman"/>
                <w:sz w:val="24"/>
                <w:szCs w:val="24"/>
                <w:lang w:val="lv-LV"/>
              </w:rPr>
              <w:t> </w:t>
            </w:r>
            <w:r w:rsidR="00F24298" w:rsidRPr="00161C60">
              <w:rPr>
                <w:rFonts w:ascii="Times New Roman" w:hAnsi="Times New Roman"/>
                <w:b/>
                <w:sz w:val="24"/>
                <w:szCs w:val="24"/>
                <w:lang w:val="lv-LV"/>
              </w:rPr>
              <w:t>Z</w:t>
            </w:r>
            <w:r w:rsidR="001E6706" w:rsidRPr="00161C60">
              <w:rPr>
                <w:rFonts w:ascii="Times New Roman" w:hAnsi="Times New Roman"/>
                <w:b/>
                <w:sz w:val="24"/>
                <w:szCs w:val="24"/>
                <w:lang w:val="lv-LV"/>
              </w:rPr>
              <w:t xml:space="preserve">āļu izplatīšanas un atsaukšanas </w:t>
            </w:r>
            <w:r w:rsidR="00DB2456" w:rsidRPr="00161C60">
              <w:rPr>
                <w:rFonts w:ascii="Times New Roman" w:hAnsi="Times New Roman"/>
                <w:b/>
                <w:sz w:val="24"/>
                <w:szCs w:val="24"/>
                <w:lang w:val="lv-LV"/>
              </w:rPr>
              <w:t>procedūr</w:t>
            </w:r>
            <w:r w:rsidR="006122BB" w:rsidRPr="00161C60">
              <w:rPr>
                <w:rFonts w:ascii="Times New Roman" w:hAnsi="Times New Roman"/>
                <w:b/>
                <w:sz w:val="24"/>
                <w:szCs w:val="24"/>
                <w:lang w:val="lv-LV"/>
              </w:rPr>
              <w:t xml:space="preserve">as </w:t>
            </w:r>
            <w:r w:rsidR="00F24298" w:rsidRPr="00161C60">
              <w:rPr>
                <w:rFonts w:ascii="Times New Roman" w:hAnsi="Times New Roman"/>
                <w:b/>
                <w:sz w:val="24"/>
                <w:szCs w:val="24"/>
                <w:lang w:val="lv-LV"/>
              </w:rPr>
              <w:t>tiek konkretizētas atbilstoši</w:t>
            </w:r>
            <w:r w:rsidR="00094950" w:rsidRPr="00161C60">
              <w:rPr>
                <w:rFonts w:ascii="Times New Roman" w:hAnsi="Times New Roman"/>
                <w:b/>
                <w:sz w:val="24"/>
                <w:szCs w:val="24"/>
                <w:lang w:val="lv-LV"/>
              </w:rPr>
              <w:t xml:space="preserve"> Eiropas Kopienas</w:t>
            </w:r>
            <w:r w:rsidR="00F24298" w:rsidRPr="00161C60">
              <w:rPr>
                <w:rFonts w:ascii="Times New Roman" w:hAnsi="Times New Roman"/>
                <w:b/>
                <w:sz w:val="24"/>
                <w:szCs w:val="24"/>
                <w:lang w:val="lv-LV"/>
              </w:rPr>
              <w:t xml:space="preserve"> inspekcijas procedūrai</w:t>
            </w:r>
            <w:r w:rsidR="00094950" w:rsidRPr="00161C60">
              <w:rPr>
                <w:rFonts w:ascii="Times New Roman" w:hAnsi="Times New Roman"/>
                <w:b/>
                <w:sz w:val="24"/>
                <w:szCs w:val="24"/>
                <w:lang w:val="lv-LV"/>
              </w:rPr>
              <w:t>.</w:t>
            </w:r>
          </w:p>
          <w:p w:rsidR="00641DA4" w:rsidRPr="00161C60" w:rsidRDefault="006B08E1" w:rsidP="00410437">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Zāļu atsaukšanas procedūra ir regulēta </w:t>
            </w:r>
            <w:r w:rsidR="0028690C" w:rsidRPr="00161C60">
              <w:rPr>
                <w:rFonts w:ascii="Times New Roman" w:hAnsi="Times New Roman"/>
                <w:sz w:val="24"/>
                <w:szCs w:val="24"/>
                <w:lang w:val="lv-LV"/>
              </w:rPr>
              <w:t>MK n</w:t>
            </w:r>
            <w:r w:rsidRPr="00161C60">
              <w:rPr>
                <w:rFonts w:ascii="Times New Roman" w:hAnsi="Times New Roman"/>
                <w:sz w:val="24"/>
                <w:szCs w:val="24"/>
                <w:lang w:val="lv-LV"/>
              </w:rPr>
              <w:t xml:space="preserve">oteikumu Nr.416 </w:t>
            </w:r>
            <w:r w:rsidR="008332F0" w:rsidRPr="00161C60">
              <w:rPr>
                <w:rFonts w:ascii="Times New Roman" w:hAnsi="Times New Roman"/>
                <w:sz w:val="24"/>
                <w:szCs w:val="24"/>
                <w:lang w:val="lv-LV"/>
              </w:rPr>
              <w:t>XI. nodaļā</w:t>
            </w:r>
            <w:r w:rsidRPr="00161C60">
              <w:rPr>
                <w:rFonts w:ascii="Times New Roman" w:hAnsi="Times New Roman"/>
                <w:sz w:val="24"/>
                <w:szCs w:val="24"/>
                <w:lang w:val="lv-LV"/>
              </w:rPr>
              <w:t xml:space="preserve"> ”Rīcība ārkārtas situācijās un zāļu atsaukšanas kārtība” un </w:t>
            </w:r>
            <w:r w:rsidR="00935E12" w:rsidRPr="00161C60">
              <w:rPr>
                <w:rFonts w:ascii="Times New Roman" w:hAnsi="Times New Roman"/>
                <w:sz w:val="24"/>
                <w:szCs w:val="24"/>
                <w:lang w:val="lv-LV"/>
              </w:rPr>
              <w:t>XII.</w:t>
            </w:r>
            <w:r w:rsidR="00471760" w:rsidRPr="00161C60">
              <w:rPr>
                <w:rFonts w:ascii="Times New Roman" w:hAnsi="Times New Roman"/>
                <w:sz w:val="24"/>
                <w:szCs w:val="24"/>
                <w:lang w:val="lv-LV"/>
              </w:rPr>
              <w:t xml:space="preserve"> </w:t>
            </w:r>
            <w:r w:rsidR="008332F0" w:rsidRPr="00161C60">
              <w:rPr>
                <w:rFonts w:ascii="Times New Roman" w:hAnsi="Times New Roman"/>
                <w:sz w:val="24"/>
                <w:szCs w:val="24"/>
                <w:lang w:val="lv-LV"/>
              </w:rPr>
              <w:t>nodaļā</w:t>
            </w:r>
            <w:r w:rsidRPr="00161C60">
              <w:rPr>
                <w:rFonts w:ascii="Times New Roman" w:hAnsi="Times New Roman"/>
                <w:sz w:val="24"/>
                <w:szCs w:val="24"/>
                <w:lang w:val="lv-LV"/>
              </w:rPr>
              <w:t xml:space="preserve"> ”Kompetentās iestādes pienākumi un procedūra ātrai reaģēšanai”</w:t>
            </w:r>
            <w:r w:rsidR="00E5381F" w:rsidRPr="00161C60">
              <w:rPr>
                <w:rFonts w:ascii="Times New Roman" w:hAnsi="Times New Roman"/>
                <w:sz w:val="24"/>
                <w:szCs w:val="24"/>
                <w:lang w:val="lv-LV"/>
              </w:rPr>
              <w:t>. Š</w:t>
            </w:r>
            <w:r w:rsidRPr="00161C60">
              <w:rPr>
                <w:rFonts w:ascii="Times New Roman" w:hAnsi="Times New Roman"/>
                <w:sz w:val="24"/>
                <w:szCs w:val="24"/>
                <w:lang w:val="lv-LV"/>
              </w:rPr>
              <w:t xml:space="preserve">o procesu koordinē </w:t>
            </w:r>
            <w:r w:rsidR="0041204A" w:rsidRPr="00161C60">
              <w:rPr>
                <w:rFonts w:ascii="Times New Roman" w:hAnsi="Times New Roman"/>
                <w:sz w:val="24"/>
                <w:szCs w:val="24"/>
                <w:lang w:val="lv-LV"/>
              </w:rPr>
              <w:t>I</w:t>
            </w:r>
            <w:r w:rsidRPr="00161C60">
              <w:rPr>
                <w:rFonts w:ascii="Times New Roman" w:hAnsi="Times New Roman"/>
                <w:sz w:val="24"/>
                <w:szCs w:val="24"/>
                <w:lang w:val="lv-LV"/>
              </w:rPr>
              <w:t>nspekcija, kura ir kompetentā iestāde ātrās reaģēšanas paziņojuma pārraidē</w:t>
            </w:r>
            <w:r w:rsidR="008332F0" w:rsidRPr="00161C60">
              <w:rPr>
                <w:rFonts w:ascii="Times New Roman" w:hAnsi="Times New Roman"/>
                <w:sz w:val="24"/>
                <w:szCs w:val="24"/>
                <w:lang w:val="lv-LV"/>
              </w:rPr>
              <w:t xml:space="preserve"> arī </w:t>
            </w:r>
            <w:r w:rsidR="00E5381F" w:rsidRPr="00161C60">
              <w:rPr>
                <w:rFonts w:ascii="Times New Roman" w:hAnsi="Times New Roman"/>
                <w:sz w:val="24"/>
                <w:szCs w:val="24"/>
                <w:lang w:val="lv-LV"/>
              </w:rPr>
              <w:t>citām dalībvalstīm.</w:t>
            </w:r>
          </w:p>
          <w:p w:rsidR="009624F5" w:rsidRPr="00161C60" w:rsidRDefault="009624F5" w:rsidP="00410437">
            <w:pPr>
              <w:pStyle w:val="NoSpacing"/>
              <w:jc w:val="both"/>
              <w:rPr>
                <w:rFonts w:ascii="Times New Roman" w:hAnsi="Times New Roman"/>
                <w:sz w:val="24"/>
                <w:szCs w:val="24"/>
                <w:lang w:val="lv-LV"/>
              </w:rPr>
            </w:pPr>
          </w:p>
          <w:p w:rsidR="00F2074F" w:rsidRPr="00161C60" w:rsidRDefault="00BB6FFD" w:rsidP="00410437">
            <w:pPr>
              <w:pStyle w:val="NoSpacing"/>
              <w:jc w:val="both"/>
              <w:rPr>
                <w:rFonts w:ascii="Times New Roman" w:hAnsi="Times New Roman"/>
                <w:i/>
                <w:sz w:val="24"/>
                <w:szCs w:val="24"/>
                <w:lang w:val="lv-LV"/>
              </w:rPr>
            </w:pPr>
            <w:r w:rsidRPr="00161C60">
              <w:rPr>
                <w:rFonts w:ascii="Times New Roman" w:hAnsi="Times New Roman"/>
                <w:sz w:val="24"/>
                <w:szCs w:val="24"/>
                <w:lang w:val="lv-LV"/>
              </w:rPr>
              <w:t>a)</w:t>
            </w:r>
            <w:r w:rsidR="00471760" w:rsidRPr="00161C60">
              <w:rPr>
                <w:rFonts w:ascii="Times New Roman" w:hAnsi="Times New Roman"/>
                <w:sz w:val="24"/>
                <w:szCs w:val="24"/>
                <w:lang w:val="lv-LV"/>
              </w:rPr>
              <w:t> </w:t>
            </w:r>
            <w:r w:rsidR="00410437" w:rsidRPr="00161C60">
              <w:rPr>
                <w:rFonts w:ascii="Times New Roman" w:hAnsi="Times New Roman"/>
                <w:sz w:val="24"/>
                <w:szCs w:val="24"/>
                <w:lang w:val="lv-LV"/>
              </w:rPr>
              <w:t>Pašreiz MK n</w:t>
            </w:r>
            <w:r w:rsidR="008332F0" w:rsidRPr="00161C60">
              <w:rPr>
                <w:rFonts w:ascii="Times New Roman" w:hAnsi="Times New Roman"/>
                <w:sz w:val="24"/>
                <w:szCs w:val="24"/>
                <w:lang w:val="lv-LV"/>
              </w:rPr>
              <w:t xml:space="preserve">oteikumu Nr.416 </w:t>
            </w:r>
            <w:r w:rsidR="0028690C" w:rsidRPr="00161C60">
              <w:rPr>
                <w:rFonts w:ascii="Times New Roman" w:hAnsi="Times New Roman"/>
                <w:sz w:val="24"/>
                <w:szCs w:val="24"/>
                <w:lang w:val="lv-LV"/>
              </w:rPr>
              <w:t>112.</w:t>
            </w:r>
            <w:r w:rsidR="0028690C" w:rsidRPr="00161C60">
              <w:rPr>
                <w:rFonts w:ascii="Times New Roman" w:hAnsi="Times New Roman"/>
                <w:sz w:val="24"/>
                <w:szCs w:val="24"/>
                <w:vertAlign w:val="superscript"/>
                <w:lang w:val="lv-LV"/>
              </w:rPr>
              <w:t>1</w:t>
            </w:r>
            <w:r w:rsidR="0028690C" w:rsidRPr="00161C60">
              <w:rPr>
                <w:rFonts w:ascii="Times New Roman" w:hAnsi="Times New Roman"/>
                <w:sz w:val="24"/>
                <w:szCs w:val="24"/>
                <w:lang w:val="lv-LV"/>
              </w:rPr>
              <w:t xml:space="preserve">punkta regulējums par </w:t>
            </w:r>
            <w:r w:rsidR="0041204A" w:rsidRPr="00161C60">
              <w:rPr>
                <w:rFonts w:ascii="Times New Roman" w:hAnsi="Times New Roman"/>
                <w:sz w:val="24"/>
                <w:szCs w:val="24"/>
                <w:lang w:val="lv-LV"/>
              </w:rPr>
              <w:t>I</w:t>
            </w:r>
            <w:r w:rsidR="00F611AE" w:rsidRPr="00161C60">
              <w:rPr>
                <w:rFonts w:ascii="Times New Roman" w:hAnsi="Times New Roman"/>
                <w:sz w:val="24"/>
                <w:szCs w:val="24"/>
                <w:lang w:val="lv-LV"/>
              </w:rPr>
              <w:t xml:space="preserve">nspekcijas lēmumu </w:t>
            </w:r>
            <w:r w:rsidR="0028690C" w:rsidRPr="00161C60">
              <w:rPr>
                <w:rFonts w:ascii="Times New Roman" w:hAnsi="Times New Roman"/>
                <w:sz w:val="24"/>
                <w:szCs w:val="24"/>
                <w:lang w:val="lv-LV"/>
              </w:rPr>
              <w:t xml:space="preserve">zāļu atsaukšanā </w:t>
            </w:r>
            <w:r w:rsidR="00F611AE" w:rsidRPr="00161C60">
              <w:rPr>
                <w:rFonts w:ascii="Times New Roman" w:hAnsi="Times New Roman"/>
                <w:sz w:val="24"/>
                <w:szCs w:val="24"/>
                <w:lang w:val="lv-LV"/>
              </w:rPr>
              <w:t>neregulē</w:t>
            </w:r>
            <w:r w:rsidR="00F2033F" w:rsidRPr="00161C60">
              <w:rPr>
                <w:rFonts w:ascii="Times New Roman" w:hAnsi="Times New Roman"/>
                <w:sz w:val="24"/>
                <w:szCs w:val="24"/>
                <w:lang w:val="lv-LV"/>
              </w:rPr>
              <w:t>,</w:t>
            </w:r>
            <w:r w:rsidR="00F611AE" w:rsidRPr="00161C60">
              <w:rPr>
                <w:rFonts w:ascii="Times New Roman" w:hAnsi="Times New Roman"/>
                <w:sz w:val="24"/>
                <w:szCs w:val="24"/>
                <w:lang w:val="lv-LV"/>
              </w:rPr>
              <w:t xml:space="preserve"> no kāda līmeņa zāles ir jāatsauc, </w:t>
            </w:r>
            <w:r w:rsidR="00F611AE" w:rsidRPr="00161C60">
              <w:rPr>
                <w:rFonts w:ascii="Times New Roman" w:hAnsi="Times New Roman"/>
                <w:i/>
                <w:sz w:val="24"/>
                <w:szCs w:val="24"/>
                <w:lang w:val="lv-LV"/>
              </w:rPr>
              <w:t>piemēram</w:t>
            </w:r>
            <w:r w:rsidR="00F611AE" w:rsidRPr="00161C60">
              <w:rPr>
                <w:rFonts w:ascii="Times New Roman" w:hAnsi="Times New Roman"/>
                <w:sz w:val="24"/>
                <w:szCs w:val="24"/>
                <w:lang w:val="lv-LV"/>
              </w:rPr>
              <w:t>, no zāļu izplatītājiem vai arī</w:t>
            </w:r>
            <w:r w:rsidR="00C6233D" w:rsidRPr="00161C60">
              <w:rPr>
                <w:rFonts w:ascii="Times New Roman" w:hAnsi="Times New Roman"/>
                <w:sz w:val="24"/>
                <w:szCs w:val="24"/>
                <w:lang w:val="lv-LV"/>
              </w:rPr>
              <w:t xml:space="preserve"> no zāļu</w:t>
            </w:r>
            <w:r w:rsidR="00F611AE" w:rsidRPr="00161C60">
              <w:rPr>
                <w:rFonts w:ascii="Times New Roman" w:hAnsi="Times New Roman"/>
                <w:sz w:val="24"/>
                <w:szCs w:val="24"/>
                <w:lang w:val="lv-LV"/>
              </w:rPr>
              <w:t xml:space="preserve"> lietotājiem.</w:t>
            </w:r>
            <w:r w:rsidR="001631D5" w:rsidRPr="00161C60">
              <w:rPr>
                <w:rFonts w:ascii="Times New Roman" w:hAnsi="Times New Roman"/>
                <w:sz w:val="24"/>
                <w:szCs w:val="24"/>
                <w:lang w:val="lv-LV"/>
              </w:rPr>
              <w:t xml:space="preserve"> Grozījums Noteikumu projekta </w:t>
            </w:r>
            <w:r w:rsidR="009624F5" w:rsidRPr="00161C60">
              <w:rPr>
                <w:rFonts w:ascii="Times New Roman" w:hAnsi="Times New Roman"/>
                <w:sz w:val="24"/>
                <w:szCs w:val="24"/>
                <w:lang w:val="lv-LV"/>
              </w:rPr>
              <w:t>1.</w:t>
            </w:r>
            <w:r w:rsidR="00745046" w:rsidRPr="00161C60">
              <w:rPr>
                <w:rFonts w:ascii="Times New Roman" w:hAnsi="Times New Roman"/>
                <w:sz w:val="24"/>
                <w:szCs w:val="24"/>
                <w:lang w:val="lv-LV"/>
              </w:rPr>
              <w:t>47</w:t>
            </w:r>
            <w:r w:rsidR="0094146A" w:rsidRPr="00161C60">
              <w:rPr>
                <w:rFonts w:ascii="Times New Roman" w:hAnsi="Times New Roman"/>
                <w:sz w:val="24"/>
                <w:szCs w:val="24"/>
                <w:lang w:val="lv-LV"/>
              </w:rPr>
              <w:t>.apakšpunktā</w:t>
            </w:r>
            <w:r w:rsidR="00AE0A98" w:rsidRPr="00161C60">
              <w:rPr>
                <w:rFonts w:ascii="Times New Roman" w:hAnsi="Times New Roman"/>
                <w:sz w:val="24"/>
                <w:szCs w:val="24"/>
                <w:lang w:val="lv-LV"/>
              </w:rPr>
              <w:t xml:space="preserve"> šo problēmu atrisina.</w:t>
            </w:r>
          </w:p>
          <w:p w:rsidR="0028690C" w:rsidRPr="00161C60" w:rsidRDefault="0028690C" w:rsidP="001028F0">
            <w:pPr>
              <w:pStyle w:val="NoSpacing"/>
              <w:jc w:val="both"/>
              <w:rPr>
                <w:rFonts w:ascii="Times New Roman" w:hAnsi="Times New Roman"/>
                <w:sz w:val="24"/>
                <w:szCs w:val="24"/>
                <w:lang w:val="lv-LV"/>
              </w:rPr>
            </w:pPr>
          </w:p>
          <w:p w:rsidR="008C1060" w:rsidRPr="00161C60" w:rsidRDefault="0094146A" w:rsidP="006D1B4C">
            <w:pPr>
              <w:pStyle w:val="NoSpacing"/>
              <w:jc w:val="both"/>
              <w:rPr>
                <w:rFonts w:ascii="Times New Roman" w:hAnsi="Times New Roman"/>
                <w:sz w:val="24"/>
                <w:szCs w:val="24"/>
                <w:lang w:val="lv-LV"/>
              </w:rPr>
            </w:pPr>
            <w:r w:rsidRPr="00161C60">
              <w:rPr>
                <w:rFonts w:ascii="Times New Roman" w:hAnsi="Times New Roman"/>
                <w:sz w:val="24"/>
                <w:szCs w:val="24"/>
                <w:lang w:val="lv-LV"/>
              </w:rPr>
              <w:t>b</w:t>
            </w:r>
            <w:r w:rsidR="00BB6FFD" w:rsidRPr="00161C60">
              <w:rPr>
                <w:rFonts w:ascii="Times New Roman" w:hAnsi="Times New Roman"/>
                <w:sz w:val="24"/>
                <w:szCs w:val="24"/>
                <w:lang w:val="lv-LV"/>
              </w:rPr>
              <w:t>)</w:t>
            </w:r>
            <w:r w:rsidR="004D3A1D" w:rsidRPr="00161C60">
              <w:rPr>
                <w:rFonts w:ascii="Times New Roman" w:hAnsi="Times New Roman"/>
                <w:sz w:val="24"/>
                <w:szCs w:val="24"/>
                <w:lang w:val="lv-LV"/>
              </w:rPr>
              <w:t> </w:t>
            </w:r>
            <w:r w:rsidR="003E5694" w:rsidRPr="00161C60">
              <w:rPr>
                <w:rFonts w:ascii="Times New Roman" w:hAnsi="Times New Roman"/>
                <w:sz w:val="24"/>
                <w:szCs w:val="24"/>
                <w:lang w:val="lv-LV"/>
              </w:rPr>
              <w:t>Pašreiz MK noteik</w:t>
            </w:r>
            <w:r w:rsidR="00343501" w:rsidRPr="00161C60">
              <w:rPr>
                <w:rFonts w:ascii="Times New Roman" w:hAnsi="Times New Roman"/>
                <w:sz w:val="24"/>
                <w:szCs w:val="24"/>
                <w:lang w:val="lv-LV"/>
              </w:rPr>
              <w:t>umu Nr.416 115.punkta regulējums</w:t>
            </w:r>
            <w:r w:rsidR="003E5694" w:rsidRPr="00161C60">
              <w:rPr>
                <w:rFonts w:ascii="Times New Roman" w:hAnsi="Times New Roman"/>
                <w:sz w:val="24"/>
                <w:szCs w:val="24"/>
                <w:lang w:val="lv-LV"/>
              </w:rPr>
              <w:t xml:space="preserve"> nosaka zāļu reģistrācijas īpašnieka pienākumu </w:t>
            </w:r>
            <w:r w:rsidR="00343501" w:rsidRPr="00161C60">
              <w:rPr>
                <w:rFonts w:ascii="Times New Roman" w:hAnsi="Times New Roman"/>
                <w:sz w:val="24"/>
                <w:szCs w:val="24"/>
                <w:lang w:val="lv-LV"/>
              </w:rPr>
              <w:t xml:space="preserve">paziņojumus par </w:t>
            </w:r>
            <w:r w:rsidR="00CF2986" w:rsidRPr="00161C60">
              <w:rPr>
                <w:rFonts w:ascii="Times New Roman" w:hAnsi="Times New Roman"/>
                <w:sz w:val="24"/>
                <w:szCs w:val="24"/>
                <w:lang w:val="lv-LV"/>
              </w:rPr>
              <w:t xml:space="preserve">visām </w:t>
            </w:r>
            <w:r w:rsidR="00343501" w:rsidRPr="00161C60">
              <w:rPr>
                <w:rFonts w:ascii="Times New Roman" w:hAnsi="Times New Roman"/>
                <w:sz w:val="24"/>
                <w:szCs w:val="24"/>
                <w:lang w:val="lv-LV"/>
              </w:rPr>
              <w:t>zālēm sniegt</w:t>
            </w:r>
            <w:r w:rsidR="003E5694" w:rsidRPr="00161C60">
              <w:rPr>
                <w:rFonts w:ascii="Times New Roman" w:hAnsi="Times New Roman"/>
                <w:sz w:val="24"/>
                <w:szCs w:val="24"/>
                <w:lang w:val="lv-LV"/>
              </w:rPr>
              <w:t xml:space="preserve"> kompetentajām iestādēm, taču par</w:t>
            </w:r>
            <w:r w:rsidR="00343501" w:rsidRPr="00161C60">
              <w:rPr>
                <w:rFonts w:ascii="Times New Roman" w:hAnsi="Times New Roman"/>
                <w:sz w:val="24"/>
                <w:szCs w:val="24"/>
                <w:lang w:val="lv-LV"/>
              </w:rPr>
              <w:t xml:space="preserve"> centralizēti </w:t>
            </w:r>
            <w:r w:rsidR="00C6233D" w:rsidRPr="00161C60">
              <w:rPr>
                <w:rFonts w:ascii="Times New Roman" w:hAnsi="Times New Roman"/>
                <w:sz w:val="24"/>
                <w:szCs w:val="24"/>
                <w:lang w:val="lv-LV"/>
              </w:rPr>
              <w:t>reģistrētām</w:t>
            </w:r>
            <w:r w:rsidR="00343501" w:rsidRPr="00161C60">
              <w:rPr>
                <w:rFonts w:ascii="Times New Roman" w:hAnsi="Times New Roman"/>
                <w:sz w:val="24"/>
                <w:szCs w:val="24"/>
                <w:lang w:val="lv-LV"/>
              </w:rPr>
              <w:t xml:space="preserve"> zālēm</w:t>
            </w:r>
            <w:r w:rsidR="003E5694" w:rsidRPr="00161C60">
              <w:rPr>
                <w:rFonts w:ascii="Times New Roman" w:hAnsi="Times New Roman"/>
                <w:sz w:val="24"/>
                <w:szCs w:val="24"/>
                <w:lang w:val="lv-LV"/>
              </w:rPr>
              <w:t xml:space="preserve"> šo informāciju </w:t>
            </w:r>
            <w:r w:rsidR="00343501" w:rsidRPr="00161C60">
              <w:rPr>
                <w:rFonts w:ascii="Times New Roman" w:hAnsi="Times New Roman"/>
                <w:sz w:val="24"/>
                <w:szCs w:val="24"/>
                <w:lang w:val="lv-LV"/>
              </w:rPr>
              <w:t xml:space="preserve">zāļu </w:t>
            </w:r>
            <w:r w:rsidR="00410437" w:rsidRPr="00161C60">
              <w:rPr>
                <w:rFonts w:ascii="Times New Roman" w:hAnsi="Times New Roman"/>
                <w:sz w:val="24"/>
                <w:szCs w:val="24"/>
                <w:lang w:val="lv-LV"/>
              </w:rPr>
              <w:t>reģistrācijas īpašnieks</w:t>
            </w:r>
            <w:r w:rsidR="00471760" w:rsidRPr="00161C60">
              <w:rPr>
                <w:rFonts w:ascii="Times New Roman" w:hAnsi="Times New Roman"/>
                <w:sz w:val="24"/>
                <w:szCs w:val="24"/>
                <w:lang w:val="lv-LV"/>
              </w:rPr>
              <w:t xml:space="preserve"> </w:t>
            </w:r>
            <w:r w:rsidR="00410437" w:rsidRPr="00161C60">
              <w:rPr>
                <w:rFonts w:ascii="Times New Roman" w:hAnsi="Times New Roman"/>
                <w:sz w:val="24"/>
                <w:szCs w:val="24"/>
                <w:lang w:val="lv-LV"/>
              </w:rPr>
              <w:t>sniedz</w:t>
            </w:r>
            <w:r w:rsidR="003E5694" w:rsidRPr="00161C60">
              <w:rPr>
                <w:rFonts w:ascii="Times New Roman" w:hAnsi="Times New Roman"/>
                <w:sz w:val="24"/>
                <w:szCs w:val="24"/>
                <w:lang w:val="lv-LV"/>
              </w:rPr>
              <w:t xml:space="preserve"> Eiropas zāļu aģentūrai</w:t>
            </w:r>
            <w:r w:rsidR="00410437" w:rsidRPr="00161C60">
              <w:rPr>
                <w:rFonts w:ascii="Times New Roman" w:hAnsi="Times New Roman"/>
                <w:sz w:val="24"/>
                <w:szCs w:val="24"/>
                <w:lang w:val="lv-LV"/>
              </w:rPr>
              <w:t xml:space="preserve"> nepastarpināti</w:t>
            </w:r>
            <w:r w:rsidR="003E5694" w:rsidRPr="00161C60">
              <w:rPr>
                <w:rFonts w:ascii="Times New Roman" w:hAnsi="Times New Roman"/>
                <w:sz w:val="24"/>
                <w:szCs w:val="24"/>
                <w:lang w:val="lv-LV"/>
              </w:rPr>
              <w:t xml:space="preserve">, kura to pārsūta dalībvalstīm. </w:t>
            </w:r>
            <w:r w:rsidR="0087539B" w:rsidRPr="00161C60">
              <w:rPr>
                <w:rFonts w:ascii="Times New Roman" w:hAnsi="Times New Roman"/>
                <w:sz w:val="24"/>
                <w:szCs w:val="24"/>
                <w:lang w:val="lv-LV"/>
              </w:rPr>
              <w:t>Lai nodrošinātu ātrāku informācijas apriti Eiropas</w:t>
            </w:r>
            <w:r w:rsidR="00C6233D" w:rsidRPr="00161C60">
              <w:rPr>
                <w:rFonts w:ascii="Times New Roman" w:hAnsi="Times New Roman"/>
                <w:sz w:val="24"/>
                <w:szCs w:val="24"/>
                <w:lang w:val="lv-LV"/>
              </w:rPr>
              <w:t xml:space="preserve"> zāļu aģentūra ir apstiprinājusi</w:t>
            </w:r>
            <w:r w:rsidR="0087539B" w:rsidRPr="00161C60">
              <w:rPr>
                <w:rFonts w:ascii="Times New Roman" w:hAnsi="Times New Roman"/>
                <w:sz w:val="24"/>
                <w:szCs w:val="24"/>
                <w:lang w:val="lv-LV"/>
              </w:rPr>
              <w:t xml:space="preserve"> paziņojuma formu </w:t>
            </w:r>
            <w:r w:rsidR="001E6B88" w:rsidRPr="00161C60">
              <w:rPr>
                <w:rFonts w:ascii="Times New Roman" w:hAnsi="Times New Roman"/>
                <w:sz w:val="24"/>
                <w:szCs w:val="24"/>
                <w:lang w:val="lv-LV"/>
              </w:rPr>
              <w:t xml:space="preserve">elektroniskai </w:t>
            </w:r>
            <w:r w:rsidR="0087539B" w:rsidRPr="00161C60">
              <w:rPr>
                <w:rFonts w:ascii="Times New Roman" w:hAnsi="Times New Roman"/>
                <w:sz w:val="24"/>
                <w:szCs w:val="24"/>
                <w:lang w:val="lv-LV"/>
              </w:rPr>
              <w:t xml:space="preserve">informācijas sniegšanai </w:t>
            </w:r>
            <w:r w:rsidR="001E6B88" w:rsidRPr="00161C60">
              <w:rPr>
                <w:rFonts w:ascii="Times New Roman" w:hAnsi="Times New Roman"/>
                <w:sz w:val="24"/>
                <w:szCs w:val="24"/>
                <w:lang w:val="lv-LV"/>
              </w:rPr>
              <w:t>Eiropas zāļu aģentūrai un dalībvalsts kompetentajām iestādēm, kas</w:t>
            </w:r>
            <w:r w:rsidR="00471760" w:rsidRPr="00161C60">
              <w:rPr>
                <w:rFonts w:ascii="Times New Roman" w:hAnsi="Times New Roman"/>
                <w:sz w:val="24"/>
                <w:szCs w:val="24"/>
                <w:lang w:val="lv-LV"/>
              </w:rPr>
              <w:t xml:space="preserve"> </w:t>
            </w:r>
            <w:r w:rsidR="001E6B88" w:rsidRPr="00161C60">
              <w:rPr>
                <w:rFonts w:ascii="Times New Roman" w:hAnsi="Times New Roman"/>
                <w:sz w:val="24"/>
                <w:szCs w:val="24"/>
                <w:lang w:val="lv-LV"/>
              </w:rPr>
              <w:t>ieviešama</w:t>
            </w:r>
            <w:r w:rsidR="00C6233D" w:rsidRPr="00161C60">
              <w:rPr>
                <w:rFonts w:ascii="Times New Roman" w:hAnsi="Times New Roman"/>
                <w:sz w:val="24"/>
                <w:szCs w:val="24"/>
                <w:lang w:val="lv-LV"/>
              </w:rPr>
              <w:t xml:space="preserve"> MK noteikumos</w:t>
            </w:r>
            <w:r w:rsidR="0087539B" w:rsidRPr="00161C60">
              <w:rPr>
                <w:rFonts w:ascii="Times New Roman" w:hAnsi="Times New Roman"/>
                <w:sz w:val="24"/>
                <w:szCs w:val="24"/>
                <w:lang w:val="lv-LV"/>
              </w:rPr>
              <w:t xml:space="preserve"> Nr.416</w:t>
            </w:r>
            <w:r w:rsidRPr="00161C60">
              <w:rPr>
                <w:rFonts w:ascii="Times New Roman" w:hAnsi="Times New Roman"/>
                <w:sz w:val="24"/>
                <w:szCs w:val="24"/>
                <w:lang w:val="lv-LV"/>
              </w:rPr>
              <w:t xml:space="preserve"> (Noteikumu projekta </w:t>
            </w:r>
            <w:r w:rsidR="006820CD" w:rsidRPr="00161C60">
              <w:rPr>
                <w:rFonts w:ascii="Times New Roman" w:hAnsi="Times New Roman"/>
                <w:sz w:val="24"/>
                <w:szCs w:val="24"/>
                <w:lang w:val="lv-LV"/>
              </w:rPr>
              <w:t>1.</w:t>
            </w:r>
            <w:r w:rsidR="00BB6FFD" w:rsidRPr="00161C60">
              <w:rPr>
                <w:rFonts w:ascii="Times New Roman" w:hAnsi="Times New Roman"/>
                <w:sz w:val="24"/>
                <w:szCs w:val="24"/>
                <w:lang w:val="lv-LV"/>
              </w:rPr>
              <w:t>49</w:t>
            </w:r>
            <w:r w:rsidR="009624F5" w:rsidRPr="00161C60">
              <w:rPr>
                <w:rFonts w:ascii="Times New Roman" w:hAnsi="Times New Roman"/>
                <w:sz w:val="24"/>
                <w:szCs w:val="24"/>
                <w:lang w:val="lv-LV"/>
              </w:rPr>
              <w:t>.</w:t>
            </w:r>
            <w:r w:rsidR="00047562" w:rsidRPr="00161C60">
              <w:rPr>
                <w:rFonts w:ascii="Times New Roman" w:hAnsi="Times New Roman"/>
                <w:sz w:val="24"/>
                <w:szCs w:val="24"/>
                <w:lang w:val="lv-LV"/>
              </w:rPr>
              <w:t>,</w:t>
            </w:r>
            <w:r w:rsidR="006820CD" w:rsidRPr="00161C60">
              <w:rPr>
                <w:rFonts w:ascii="Times New Roman" w:hAnsi="Times New Roman"/>
                <w:sz w:val="24"/>
                <w:szCs w:val="24"/>
                <w:lang w:val="lv-LV"/>
              </w:rPr>
              <w:t>1.</w:t>
            </w:r>
            <w:r w:rsidR="00BB6FFD" w:rsidRPr="00161C60">
              <w:rPr>
                <w:rFonts w:ascii="Times New Roman" w:hAnsi="Times New Roman"/>
                <w:sz w:val="24"/>
                <w:szCs w:val="24"/>
                <w:lang w:val="lv-LV"/>
              </w:rPr>
              <w:t>50</w:t>
            </w:r>
            <w:r w:rsidRPr="00161C60">
              <w:rPr>
                <w:rFonts w:ascii="Times New Roman" w:hAnsi="Times New Roman"/>
                <w:sz w:val="24"/>
                <w:szCs w:val="24"/>
                <w:lang w:val="lv-LV"/>
              </w:rPr>
              <w:t>.</w:t>
            </w:r>
            <w:r w:rsidR="006820CD" w:rsidRPr="00161C60">
              <w:rPr>
                <w:rFonts w:ascii="Times New Roman" w:hAnsi="Times New Roman"/>
                <w:sz w:val="24"/>
                <w:szCs w:val="24"/>
                <w:lang w:val="lv-LV"/>
              </w:rPr>
              <w:t xml:space="preserve"> un 1.</w:t>
            </w:r>
            <w:r w:rsidR="00BB6FFD" w:rsidRPr="00161C60">
              <w:rPr>
                <w:rFonts w:ascii="Times New Roman" w:hAnsi="Times New Roman"/>
                <w:sz w:val="24"/>
                <w:szCs w:val="24"/>
                <w:lang w:val="lv-LV"/>
              </w:rPr>
              <w:t>76</w:t>
            </w:r>
            <w:r w:rsidR="00047562" w:rsidRPr="00161C60">
              <w:rPr>
                <w:rFonts w:ascii="Times New Roman" w:hAnsi="Times New Roman"/>
                <w:sz w:val="24"/>
                <w:szCs w:val="24"/>
                <w:lang w:val="lv-LV"/>
              </w:rPr>
              <w:t>.</w:t>
            </w:r>
            <w:r w:rsidRPr="00161C60">
              <w:rPr>
                <w:rFonts w:ascii="Times New Roman" w:hAnsi="Times New Roman"/>
                <w:sz w:val="24"/>
                <w:szCs w:val="24"/>
                <w:lang w:val="lv-LV"/>
              </w:rPr>
              <w:t>apakšpunkts).</w:t>
            </w:r>
          </w:p>
          <w:p w:rsidR="0094146A" w:rsidRPr="00161C60" w:rsidRDefault="0094146A" w:rsidP="006D1B4C">
            <w:pPr>
              <w:pStyle w:val="NoSpacing"/>
              <w:jc w:val="both"/>
              <w:rPr>
                <w:rFonts w:ascii="Times New Roman" w:hAnsi="Times New Roman"/>
                <w:sz w:val="24"/>
                <w:szCs w:val="24"/>
                <w:lang w:val="lv-LV"/>
              </w:rPr>
            </w:pPr>
          </w:p>
          <w:p w:rsidR="009624F5" w:rsidRPr="00161C60" w:rsidRDefault="0094146A" w:rsidP="006D1B4C">
            <w:pPr>
              <w:pStyle w:val="NoSpacing"/>
              <w:jc w:val="both"/>
              <w:rPr>
                <w:rFonts w:ascii="Times New Roman" w:hAnsi="Times New Roman"/>
                <w:sz w:val="24"/>
                <w:szCs w:val="24"/>
                <w:lang w:val="lv-LV"/>
              </w:rPr>
            </w:pPr>
            <w:r w:rsidRPr="00161C60">
              <w:rPr>
                <w:rFonts w:ascii="Times New Roman" w:hAnsi="Times New Roman"/>
                <w:sz w:val="24"/>
                <w:szCs w:val="24"/>
                <w:lang w:val="lv-LV"/>
              </w:rPr>
              <w:t>c</w:t>
            </w:r>
            <w:r w:rsidR="0052690D" w:rsidRPr="00161C60">
              <w:rPr>
                <w:rFonts w:ascii="Times New Roman" w:hAnsi="Times New Roman"/>
                <w:sz w:val="24"/>
                <w:szCs w:val="24"/>
                <w:lang w:val="lv-LV"/>
              </w:rPr>
              <w:t>. </w:t>
            </w:r>
            <w:r w:rsidR="00EA5FAF" w:rsidRPr="00161C60">
              <w:rPr>
                <w:rFonts w:ascii="Times New Roman" w:hAnsi="Times New Roman"/>
                <w:sz w:val="24"/>
                <w:szCs w:val="24"/>
                <w:lang w:val="lv-LV"/>
              </w:rPr>
              <w:t xml:space="preserve">Pašreiz zāļu atsaukšanas procedūras </w:t>
            </w:r>
            <w:r w:rsidR="001A3893" w:rsidRPr="00161C60">
              <w:rPr>
                <w:rFonts w:ascii="Times New Roman" w:hAnsi="Times New Roman"/>
                <w:sz w:val="24"/>
                <w:szCs w:val="24"/>
                <w:lang w:val="lv-LV"/>
              </w:rPr>
              <w:t>tiesiskais regulējums MK noteikumu Nr.416 127.punktā</w:t>
            </w:r>
            <w:r w:rsidR="00EC0721" w:rsidRPr="00161C60">
              <w:rPr>
                <w:rFonts w:ascii="Times New Roman" w:hAnsi="Times New Roman"/>
                <w:sz w:val="24"/>
                <w:szCs w:val="24"/>
                <w:lang w:val="lv-LV"/>
              </w:rPr>
              <w:t xml:space="preserve"> </w:t>
            </w:r>
            <w:r w:rsidR="00CF2986" w:rsidRPr="00161C60">
              <w:rPr>
                <w:rFonts w:ascii="Times New Roman" w:hAnsi="Times New Roman"/>
                <w:sz w:val="24"/>
                <w:szCs w:val="24"/>
                <w:lang w:val="lv-LV"/>
              </w:rPr>
              <w:t xml:space="preserve">zāļu atsaukšanas </w:t>
            </w:r>
            <w:r w:rsidR="001A3893" w:rsidRPr="00161C60">
              <w:rPr>
                <w:rFonts w:ascii="Times New Roman" w:hAnsi="Times New Roman"/>
                <w:sz w:val="24"/>
                <w:szCs w:val="24"/>
                <w:lang w:val="lv-LV"/>
              </w:rPr>
              <w:t xml:space="preserve">procedūru nepiemēro gadījumos </w:t>
            </w:r>
            <w:r w:rsidR="00CF2986" w:rsidRPr="00161C60">
              <w:rPr>
                <w:rFonts w:ascii="Times New Roman" w:hAnsi="Times New Roman"/>
                <w:sz w:val="24"/>
                <w:szCs w:val="24"/>
                <w:lang w:val="lv-LV"/>
              </w:rPr>
              <w:t>saistībā ar zāļu blakusparādībām</w:t>
            </w:r>
            <w:r w:rsidR="00EA5FAF" w:rsidRPr="00161C60">
              <w:rPr>
                <w:rFonts w:ascii="Times New Roman" w:hAnsi="Times New Roman"/>
                <w:sz w:val="24"/>
                <w:szCs w:val="24"/>
                <w:lang w:val="lv-LV"/>
              </w:rPr>
              <w:t xml:space="preserve">, </w:t>
            </w:r>
            <w:r w:rsidR="00533896" w:rsidRPr="00161C60">
              <w:rPr>
                <w:rFonts w:ascii="Times New Roman" w:hAnsi="Times New Roman"/>
                <w:sz w:val="24"/>
                <w:szCs w:val="24"/>
                <w:lang w:val="lv-LV"/>
              </w:rPr>
              <w:t xml:space="preserve">savukārt šis </w:t>
            </w:r>
            <w:r w:rsidR="001A3893" w:rsidRPr="00161C60">
              <w:rPr>
                <w:rFonts w:ascii="Times New Roman" w:hAnsi="Times New Roman"/>
                <w:sz w:val="24"/>
                <w:szCs w:val="24"/>
                <w:lang w:val="lv-LV"/>
              </w:rPr>
              <w:t xml:space="preserve">jautājums nav regulēts arī </w:t>
            </w:r>
            <w:r w:rsidR="00EA5FAF" w:rsidRPr="00161C60">
              <w:rPr>
                <w:rFonts w:ascii="Times New Roman" w:hAnsi="Times New Roman"/>
                <w:sz w:val="24"/>
                <w:szCs w:val="24"/>
                <w:lang w:val="lv-LV"/>
              </w:rPr>
              <w:t>normatīvajos aktos par farmakovigilanci. Tā kā EK inspekcijas proced</w:t>
            </w:r>
            <w:r w:rsidR="000114EA" w:rsidRPr="00161C60">
              <w:rPr>
                <w:rFonts w:ascii="Times New Roman" w:hAnsi="Times New Roman"/>
                <w:sz w:val="24"/>
                <w:szCs w:val="24"/>
                <w:lang w:val="lv-LV"/>
              </w:rPr>
              <w:t>ūra</w:t>
            </w:r>
            <w:r w:rsidR="00CF2986" w:rsidRPr="00161C60">
              <w:rPr>
                <w:rFonts w:ascii="Times New Roman" w:hAnsi="Times New Roman"/>
                <w:sz w:val="24"/>
                <w:szCs w:val="24"/>
                <w:lang w:val="lv-LV"/>
              </w:rPr>
              <w:t xml:space="preserve"> zāļu atsaukšanā </w:t>
            </w:r>
            <w:r w:rsidR="000114EA" w:rsidRPr="00161C60">
              <w:rPr>
                <w:rFonts w:ascii="Times New Roman" w:hAnsi="Times New Roman"/>
                <w:sz w:val="24"/>
                <w:szCs w:val="24"/>
                <w:lang w:val="lv-LV"/>
              </w:rPr>
              <w:t>skata visus aspektus, tai skaitā</w:t>
            </w:r>
            <w:r w:rsidR="005F5CDF" w:rsidRPr="00161C60">
              <w:rPr>
                <w:rFonts w:ascii="Times New Roman" w:hAnsi="Times New Roman"/>
                <w:sz w:val="24"/>
                <w:szCs w:val="24"/>
                <w:lang w:val="lv-LV"/>
              </w:rPr>
              <w:t xml:space="preserve"> </w:t>
            </w:r>
            <w:r w:rsidR="00CF2986" w:rsidRPr="00161C60">
              <w:rPr>
                <w:rFonts w:ascii="Times New Roman" w:hAnsi="Times New Roman"/>
                <w:sz w:val="24"/>
                <w:szCs w:val="24"/>
                <w:lang w:val="lv-LV"/>
              </w:rPr>
              <w:t>arī farmakovigilances aspektus</w:t>
            </w:r>
            <w:r w:rsidR="00EA5FAF" w:rsidRPr="00161C60">
              <w:rPr>
                <w:rFonts w:ascii="Times New Roman" w:hAnsi="Times New Roman"/>
                <w:sz w:val="24"/>
                <w:szCs w:val="24"/>
                <w:lang w:val="lv-LV"/>
              </w:rPr>
              <w:t>, MK noteikumu</w:t>
            </w:r>
            <w:r w:rsidR="003D4F13" w:rsidRPr="00161C60">
              <w:rPr>
                <w:rFonts w:ascii="Times New Roman" w:hAnsi="Times New Roman"/>
                <w:sz w:val="24"/>
                <w:szCs w:val="24"/>
                <w:lang w:val="lv-LV"/>
              </w:rPr>
              <w:t xml:space="preserve"> Nr.416 </w:t>
            </w:r>
            <w:r w:rsidR="00EA5FAF" w:rsidRPr="00161C60">
              <w:rPr>
                <w:rFonts w:ascii="Times New Roman" w:hAnsi="Times New Roman"/>
                <w:sz w:val="24"/>
                <w:szCs w:val="24"/>
                <w:lang w:val="lv-LV"/>
              </w:rPr>
              <w:t xml:space="preserve">normas tiek </w:t>
            </w:r>
            <w:r w:rsidR="000114EA" w:rsidRPr="00161C60">
              <w:rPr>
                <w:rFonts w:ascii="Times New Roman" w:hAnsi="Times New Roman"/>
                <w:sz w:val="24"/>
                <w:szCs w:val="24"/>
                <w:lang w:val="lv-LV"/>
              </w:rPr>
              <w:t>konkretizētas, attiecinot šo procedūru</w:t>
            </w:r>
            <w:r w:rsidR="005F5CDF" w:rsidRPr="00161C60">
              <w:rPr>
                <w:rFonts w:ascii="Times New Roman" w:hAnsi="Times New Roman"/>
                <w:sz w:val="24"/>
                <w:szCs w:val="24"/>
                <w:lang w:val="lv-LV"/>
              </w:rPr>
              <w:t xml:space="preserve"> </w:t>
            </w:r>
            <w:r w:rsidR="000114EA" w:rsidRPr="00161C60">
              <w:rPr>
                <w:rFonts w:ascii="Times New Roman" w:hAnsi="Times New Roman"/>
                <w:sz w:val="24"/>
                <w:szCs w:val="24"/>
                <w:lang w:val="lv-LV"/>
              </w:rPr>
              <w:t xml:space="preserve">arī </w:t>
            </w:r>
            <w:r w:rsidR="00EA5FAF" w:rsidRPr="00161C60">
              <w:rPr>
                <w:rFonts w:ascii="Times New Roman" w:hAnsi="Times New Roman"/>
                <w:sz w:val="24"/>
                <w:szCs w:val="24"/>
                <w:lang w:val="lv-LV"/>
              </w:rPr>
              <w:t xml:space="preserve">uz visiem </w:t>
            </w:r>
            <w:r w:rsidR="00CF2986" w:rsidRPr="00161C60">
              <w:rPr>
                <w:rFonts w:ascii="Times New Roman" w:hAnsi="Times New Roman"/>
                <w:sz w:val="24"/>
                <w:szCs w:val="24"/>
                <w:lang w:val="lv-LV"/>
              </w:rPr>
              <w:t>zāļu atsaukšanas gadījumi</w:t>
            </w:r>
            <w:r w:rsidR="00EE1F78" w:rsidRPr="00161C60">
              <w:rPr>
                <w:rFonts w:ascii="Times New Roman" w:hAnsi="Times New Roman"/>
                <w:sz w:val="24"/>
                <w:szCs w:val="24"/>
                <w:lang w:val="lv-LV"/>
              </w:rPr>
              <w:t>em.</w:t>
            </w:r>
          </w:p>
          <w:p w:rsidR="00641DA4" w:rsidRPr="00161C60" w:rsidRDefault="009624F5" w:rsidP="006A3843">
            <w:pPr>
              <w:pStyle w:val="NoSpacing"/>
              <w:jc w:val="both"/>
              <w:rPr>
                <w:rFonts w:ascii="Times New Roman" w:hAnsi="Times New Roman"/>
                <w:i/>
                <w:sz w:val="24"/>
                <w:szCs w:val="24"/>
                <w:lang w:val="lv-LV"/>
              </w:rPr>
            </w:pPr>
            <w:r w:rsidRPr="00161C60">
              <w:rPr>
                <w:rFonts w:ascii="Times New Roman" w:hAnsi="Times New Roman"/>
                <w:sz w:val="24"/>
                <w:szCs w:val="24"/>
                <w:lang w:val="lv-LV"/>
              </w:rPr>
              <w:t>Grozījumi MK noteikumu Nr.416 precizē zāļu atsaukšanas regulējumu, saskaņojot to ar EK inspekcijas procedūru (Noteikumu projekta</w:t>
            </w:r>
            <w:r w:rsidR="00FB3FB1" w:rsidRPr="00161C60">
              <w:rPr>
                <w:rFonts w:ascii="Times New Roman" w:hAnsi="Times New Roman"/>
                <w:sz w:val="24"/>
                <w:szCs w:val="24"/>
                <w:lang w:val="lv-LV"/>
              </w:rPr>
              <w:t xml:space="preserve"> </w:t>
            </w:r>
            <w:r w:rsidR="006820CD" w:rsidRPr="00161C60">
              <w:rPr>
                <w:rFonts w:ascii="Times New Roman" w:hAnsi="Times New Roman"/>
                <w:sz w:val="24"/>
                <w:szCs w:val="24"/>
                <w:lang w:val="lv-LV"/>
              </w:rPr>
              <w:t>1.5</w:t>
            </w:r>
            <w:r w:rsidR="00E309FE" w:rsidRPr="00161C60">
              <w:rPr>
                <w:rFonts w:ascii="Times New Roman" w:hAnsi="Times New Roman"/>
                <w:sz w:val="24"/>
                <w:szCs w:val="24"/>
                <w:lang w:val="lv-LV"/>
              </w:rPr>
              <w:t>1</w:t>
            </w:r>
            <w:r w:rsidR="006820CD" w:rsidRPr="00161C60">
              <w:rPr>
                <w:rFonts w:ascii="Times New Roman" w:hAnsi="Times New Roman"/>
                <w:sz w:val="24"/>
                <w:szCs w:val="24"/>
                <w:lang w:val="lv-LV"/>
              </w:rPr>
              <w:t>., 1.</w:t>
            </w:r>
            <w:r w:rsidR="00E309FE" w:rsidRPr="00161C60">
              <w:rPr>
                <w:rFonts w:ascii="Times New Roman" w:hAnsi="Times New Roman"/>
                <w:sz w:val="24"/>
                <w:szCs w:val="24"/>
                <w:lang w:val="lv-LV"/>
              </w:rPr>
              <w:t>52</w:t>
            </w:r>
            <w:r w:rsidR="00E46727" w:rsidRPr="00161C60">
              <w:rPr>
                <w:rFonts w:ascii="Times New Roman" w:hAnsi="Times New Roman"/>
                <w:sz w:val="24"/>
                <w:szCs w:val="24"/>
                <w:lang w:val="lv-LV"/>
              </w:rPr>
              <w:t>.,</w:t>
            </w:r>
            <w:r w:rsidR="006820CD" w:rsidRPr="00161C60">
              <w:rPr>
                <w:rFonts w:ascii="Times New Roman" w:hAnsi="Times New Roman"/>
                <w:sz w:val="24"/>
                <w:szCs w:val="24"/>
                <w:lang w:val="lv-LV"/>
              </w:rPr>
              <w:t xml:space="preserve"> 1.</w:t>
            </w:r>
            <w:r w:rsidR="00E309FE" w:rsidRPr="00161C60">
              <w:rPr>
                <w:rFonts w:ascii="Times New Roman" w:hAnsi="Times New Roman"/>
                <w:sz w:val="24"/>
                <w:szCs w:val="24"/>
                <w:lang w:val="lv-LV"/>
              </w:rPr>
              <w:t>53</w:t>
            </w:r>
            <w:r w:rsidR="00E46727" w:rsidRPr="00161C60">
              <w:rPr>
                <w:rFonts w:ascii="Times New Roman" w:hAnsi="Times New Roman"/>
                <w:sz w:val="24"/>
                <w:szCs w:val="24"/>
                <w:lang w:val="lv-LV"/>
              </w:rPr>
              <w:t xml:space="preserve">. un </w:t>
            </w:r>
            <w:r w:rsidR="00FB3FB1" w:rsidRPr="00161C60">
              <w:rPr>
                <w:rFonts w:ascii="Times New Roman" w:hAnsi="Times New Roman"/>
                <w:sz w:val="24"/>
                <w:szCs w:val="24"/>
                <w:lang w:val="lv-LV"/>
              </w:rPr>
              <w:t>1.</w:t>
            </w:r>
            <w:r w:rsidR="00E309FE" w:rsidRPr="00161C60">
              <w:rPr>
                <w:rFonts w:ascii="Times New Roman" w:hAnsi="Times New Roman"/>
                <w:sz w:val="24"/>
                <w:szCs w:val="24"/>
                <w:lang w:val="lv-LV"/>
              </w:rPr>
              <w:t>55</w:t>
            </w:r>
            <w:r w:rsidR="00E46727" w:rsidRPr="00161C60">
              <w:rPr>
                <w:rFonts w:ascii="Times New Roman" w:hAnsi="Times New Roman"/>
                <w:sz w:val="24"/>
                <w:szCs w:val="24"/>
                <w:lang w:val="lv-LV"/>
              </w:rPr>
              <w:t>.apakšpunkts)</w:t>
            </w:r>
            <w:r w:rsidR="00873616" w:rsidRPr="00161C60">
              <w:rPr>
                <w:rFonts w:ascii="Times New Roman" w:hAnsi="Times New Roman"/>
                <w:sz w:val="24"/>
                <w:szCs w:val="24"/>
                <w:lang w:val="lv-LV"/>
              </w:rPr>
              <w:t>,</w:t>
            </w:r>
            <w:r w:rsidR="00F23DB8" w:rsidRPr="00161C60">
              <w:rPr>
                <w:rFonts w:ascii="Times New Roman" w:hAnsi="Times New Roman"/>
                <w:sz w:val="24"/>
                <w:szCs w:val="24"/>
                <w:lang w:val="lv-LV"/>
              </w:rPr>
              <w:t xml:space="preserve"> </w:t>
            </w:r>
            <w:r w:rsidR="00CF2986" w:rsidRPr="00161C60">
              <w:rPr>
                <w:rFonts w:ascii="Times New Roman" w:hAnsi="Times New Roman"/>
                <w:sz w:val="24"/>
                <w:szCs w:val="24"/>
                <w:lang w:val="lv-LV"/>
              </w:rPr>
              <w:t xml:space="preserve">un </w:t>
            </w:r>
            <w:r w:rsidR="00EA5FAF" w:rsidRPr="00161C60">
              <w:rPr>
                <w:rFonts w:ascii="Times New Roman" w:hAnsi="Times New Roman"/>
                <w:sz w:val="24"/>
                <w:szCs w:val="24"/>
                <w:lang w:val="lv-LV"/>
              </w:rPr>
              <w:t xml:space="preserve">konkretizējot </w:t>
            </w:r>
            <w:r w:rsidR="0041204A" w:rsidRPr="00161C60">
              <w:rPr>
                <w:rFonts w:ascii="Times New Roman" w:hAnsi="Times New Roman"/>
                <w:sz w:val="24"/>
                <w:szCs w:val="24"/>
                <w:lang w:val="lv-LV"/>
              </w:rPr>
              <w:t>I</w:t>
            </w:r>
            <w:r w:rsidR="00F2033F" w:rsidRPr="00161C60">
              <w:rPr>
                <w:rFonts w:ascii="Times New Roman" w:hAnsi="Times New Roman"/>
                <w:sz w:val="24"/>
                <w:szCs w:val="24"/>
                <w:lang w:val="lv-LV"/>
              </w:rPr>
              <w:t>nspekcijas pienākumu</w:t>
            </w:r>
            <w:r w:rsidR="005F5CDF" w:rsidRPr="00161C60">
              <w:rPr>
                <w:rFonts w:ascii="Times New Roman" w:hAnsi="Times New Roman"/>
                <w:sz w:val="24"/>
                <w:szCs w:val="24"/>
                <w:lang w:val="lv-LV"/>
              </w:rPr>
              <w:t xml:space="preserve"> </w:t>
            </w:r>
            <w:r w:rsidR="007267CE" w:rsidRPr="00161C60">
              <w:rPr>
                <w:rFonts w:ascii="Times New Roman" w:hAnsi="Times New Roman"/>
                <w:sz w:val="24"/>
                <w:szCs w:val="24"/>
                <w:lang w:val="lv-LV"/>
              </w:rPr>
              <w:t xml:space="preserve">informācijas </w:t>
            </w:r>
            <w:r w:rsidR="00401E9A" w:rsidRPr="00161C60">
              <w:rPr>
                <w:rFonts w:ascii="Times New Roman" w:hAnsi="Times New Roman"/>
                <w:sz w:val="24"/>
                <w:szCs w:val="24"/>
                <w:lang w:val="lv-LV"/>
              </w:rPr>
              <w:t>sniegšanai Pasaules Veselības organizācijai</w:t>
            </w:r>
            <w:r w:rsidR="00410437" w:rsidRPr="00161C60">
              <w:rPr>
                <w:rFonts w:ascii="Times New Roman" w:hAnsi="Times New Roman"/>
                <w:sz w:val="24"/>
                <w:szCs w:val="24"/>
                <w:lang w:val="lv-LV"/>
              </w:rPr>
              <w:t xml:space="preserve"> (Noteikumu projekta </w:t>
            </w:r>
            <w:r w:rsidR="006820CD" w:rsidRPr="00161C60">
              <w:rPr>
                <w:rFonts w:ascii="Times New Roman" w:hAnsi="Times New Roman"/>
                <w:sz w:val="24"/>
                <w:szCs w:val="24"/>
                <w:lang w:val="lv-LV"/>
              </w:rPr>
              <w:t>1.</w:t>
            </w:r>
            <w:r w:rsidR="002334BA" w:rsidRPr="00161C60">
              <w:rPr>
                <w:rFonts w:ascii="Times New Roman" w:hAnsi="Times New Roman"/>
                <w:sz w:val="24"/>
                <w:szCs w:val="24"/>
                <w:lang w:val="lv-LV"/>
              </w:rPr>
              <w:t>56</w:t>
            </w:r>
            <w:r w:rsidRPr="00161C60">
              <w:rPr>
                <w:rFonts w:ascii="Times New Roman" w:hAnsi="Times New Roman"/>
                <w:sz w:val="24"/>
                <w:szCs w:val="24"/>
                <w:lang w:val="lv-LV"/>
              </w:rPr>
              <w:t>.apakš</w:t>
            </w:r>
            <w:r w:rsidR="007267CE" w:rsidRPr="00161C60">
              <w:rPr>
                <w:rFonts w:ascii="Times New Roman" w:hAnsi="Times New Roman"/>
                <w:sz w:val="24"/>
                <w:szCs w:val="24"/>
                <w:lang w:val="lv-LV"/>
              </w:rPr>
              <w:t>punkts).</w:t>
            </w:r>
            <w:r w:rsidR="005F5CDF" w:rsidRPr="00161C60">
              <w:rPr>
                <w:rFonts w:ascii="Times New Roman" w:hAnsi="Times New Roman"/>
                <w:sz w:val="24"/>
                <w:szCs w:val="24"/>
                <w:lang w:val="lv-LV"/>
              </w:rPr>
              <w:t xml:space="preserve"> </w:t>
            </w:r>
            <w:r w:rsidR="003F32F8" w:rsidRPr="00161C60">
              <w:rPr>
                <w:rFonts w:ascii="Times New Roman" w:hAnsi="Times New Roman"/>
                <w:i/>
                <w:sz w:val="24"/>
                <w:szCs w:val="24"/>
                <w:lang w:val="lv-LV"/>
              </w:rPr>
              <w:t>Piezīme</w:t>
            </w:r>
            <w:r w:rsidR="003F32F8" w:rsidRPr="00161C60">
              <w:rPr>
                <w:rFonts w:ascii="Times New Roman" w:hAnsi="Times New Roman"/>
                <w:sz w:val="24"/>
                <w:szCs w:val="24"/>
                <w:lang w:val="lv-LV"/>
              </w:rPr>
              <w:t>. EK inspekcijas procedūru s</w:t>
            </w:r>
            <w:r w:rsidR="003F32F8" w:rsidRPr="00161C60">
              <w:rPr>
                <w:rFonts w:ascii="Times New Roman" w:hAnsi="Times New Roman"/>
                <w:i/>
                <w:sz w:val="24"/>
                <w:szCs w:val="24"/>
                <w:lang w:val="lv-LV"/>
              </w:rPr>
              <w:t xml:space="preserve">katīt: </w:t>
            </w:r>
            <w:hyperlink r:id="rId19" w:history="1">
              <w:r w:rsidR="003F32F8" w:rsidRPr="00161C60">
                <w:rPr>
                  <w:rStyle w:val="Hyperlink"/>
                  <w:rFonts w:ascii="Times New Roman" w:hAnsi="Times New Roman"/>
                  <w:i/>
                  <w:color w:val="auto"/>
                  <w:sz w:val="24"/>
                  <w:szCs w:val="24"/>
                  <w:lang w:val="lv-LV"/>
                </w:rPr>
                <w:t>http://www.ema.europa.eu/ema/index.jsp?curl=pages/regulation/document_listing/document_listing_000156.jsp&amp;mid=WC0b01ac0580&gt;0296cb</w:t>
              </w:r>
            </w:hyperlink>
          </w:p>
          <w:p w:rsidR="00641DA4" w:rsidRPr="00161C60" w:rsidRDefault="00D329E0" w:rsidP="00FC36FF">
            <w:pPr>
              <w:jc w:val="both"/>
              <w:rPr>
                <w:i/>
              </w:rPr>
            </w:pPr>
            <w:r w:rsidRPr="00161C60">
              <w:rPr>
                <w:rFonts w:eastAsia="Calibri"/>
              </w:rPr>
              <w:t>d</w:t>
            </w:r>
            <w:r w:rsidR="00FC36FF" w:rsidRPr="00161C60">
              <w:rPr>
                <w:rFonts w:eastAsia="Calibri"/>
              </w:rPr>
              <w:t>. </w:t>
            </w:r>
            <w:r w:rsidR="00641DA4" w:rsidRPr="00161C60">
              <w:t xml:space="preserve">Pašreizējais tiesiskais regulējums MK noteikumu Nr.416 124.punktā attiecībā par prasību </w:t>
            </w:r>
            <w:r w:rsidR="0041204A" w:rsidRPr="00161C60">
              <w:t>I</w:t>
            </w:r>
            <w:r w:rsidR="00641DA4" w:rsidRPr="00161C60">
              <w:t>nspekcijai paziņot kontaktpersonu par zāļu atsaukšanu, tai skaitā nepārtrauktas darbības tālruņa numuru (saziņai jebkurā diennakts laikā) nekonkretizē informācijas pārradi elektroniskā veidā (piemēram, ar tālruņa starpniecīb</w:t>
            </w:r>
            <w:r w:rsidR="00D825FB" w:rsidRPr="00161C60">
              <w:t>u un elektroniskā pasta adresēm</w:t>
            </w:r>
            <w:r w:rsidR="00641DA4" w:rsidRPr="00161C60">
              <w:t>, kas paātrinātu informā</w:t>
            </w:r>
            <w:r w:rsidR="00C6233D" w:rsidRPr="00161C60">
              <w:t>cijas pārraidi</w:t>
            </w:r>
            <w:r w:rsidR="00D825FB" w:rsidRPr="00161C60">
              <w:t>)</w:t>
            </w:r>
            <w:r w:rsidR="00C6233D" w:rsidRPr="00161C60">
              <w:t xml:space="preserve">, kā arī rada </w:t>
            </w:r>
            <w:r w:rsidR="00641DA4" w:rsidRPr="00161C60">
              <w:t xml:space="preserve">administratīvo slogu komersantiem, arī sociālās aprūpes institūcijām un ārstniecības iestādēm, </w:t>
            </w:r>
            <w:r w:rsidR="00641DA4" w:rsidRPr="00161C60">
              <w:lastRenderedPageBreak/>
              <w:t>kuras nestrādā die</w:t>
            </w:r>
            <w:r w:rsidR="00037775" w:rsidRPr="00161C60">
              <w:t xml:space="preserve">nnakti. </w:t>
            </w:r>
            <w:r w:rsidR="0041204A" w:rsidRPr="00161C60">
              <w:t>I</w:t>
            </w:r>
            <w:r w:rsidR="00641DA4" w:rsidRPr="00161C60">
              <w:t>nspekcijai šo informāciju ir iespējams iegūt ar</w:t>
            </w:r>
            <w:r w:rsidR="0076363E" w:rsidRPr="00161C60">
              <w:t>ī</w:t>
            </w:r>
            <w:r w:rsidR="00641DA4" w:rsidRPr="00161C60">
              <w:t xml:space="preserve"> no ārstniecības iestāžu reģistra un sociālo pakalpojumu sniedzēju reģistra datiem, kā arī, nepieciešamības gadījumā, komunicējot ar </w:t>
            </w:r>
            <w:r w:rsidR="003D5499" w:rsidRPr="00161C60">
              <w:t>A</w:t>
            </w:r>
            <w:r w:rsidR="00641DA4" w:rsidRPr="00161C60">
              <w:t>ģentūru un Pārtikas un veterināro dienestu</w:t>
            </w:r>
            <w:r w:rsidR="007713EB" w:rsidRPr="00161C60">
              <w:t xml:space="preserve"> (turpmāk – Dienests)</w:t>
            </w:r>
            <w:r w:rsidR="00641DA4" w:rsidRPr="00161C60">
              <w:t xml:space="preserve">. </w:t>
            </w:r>
            <w:r w:rsidR="00641DA4" w:rsidRPr="00161C60">
              <w:rPr>
                <w:i/>
              </w:rPr>
              <w:t>Piemēram</w:t>
            </w:r>
            <w:r w:rsidR="00641DA4" w:rsidRPr="00161C60">
              <w:t xml:space="preserve">, attiecībā uz zāļu reģistrācijas īpašniekiem, informācija jau ir </w:t>
            </w:r>
            <w:r w:rsidR="00AF6AE1" w:rsidRPr="00161C60">
              <w:t>A</w:t>
            </w:r>
            <w:r w:rsidR="00134DF1" w:rsidRPr="00161C60">
              <w:t>ģentūras</w:t>
            </w:r>
            <w:r w:rsidR="00641DA4" w:rsidRPr="00161C60">
              <w:t xml:space="preserve"> rīcībā, jo tā ir norādīta zāļu reģistrācijas dokumentācijā. Savukārt par licencētiem farmaceitiskās darbības uzņēmumiem kontaktpersonas varētu būt arī iesniegumos licenču saņemšanai norādītās amatpersonas. Grozījumi tiesību regulējumā MK noteikumos Nr.416 atrisina šo p</w:t>
            </w:r>
            <w:r w:rsidR="005C1478" w:rsidRPr="00161C60">
              <w:t xml:space="preserve">roblēmu (Noteikumu projekta </w:t>
            </w:r>
            <w:r w:rsidR="006820CD" w:rsidRPr="00161C60">
              <w:t>1.</w:t>
            </w:r>
            <w:r w:rsidR="00D825FB" w:rsidRPr="00161C60">
              <w:t>54</w:t>
            </w:r>
            <w:r w:rsidRPr="00161C60">
              <w:t>.</w:t>
            </w:r>
            <w:r w:rsidR="007945E2" w:rsidRPr="00161C60">
              <w:t xml:space="preserve"> un 1.</w:t>
            </w:r>
            <w:r w:rsidR="00D825FB" w:rsidRPr="00161C60">
              <w:t>77</w:t>
            </w:r>
            <w:r w:rsidR="00A07329" w:rsidRPr="00161C60">
              <w:t>.</w:t>
            </w:r>
            <w:r w:rsidRPr="00161C60">
              <w:t>apakš</w:t>
            </w:r>
            <w:r w:rsidR="00FC36FF" w:rsidRPr="00161C60">
              <w:t>punkts</w:t>
            </w:r>
            <w:r w:rsidR="00641DA4" w:rsidRPr="00161C60">
              <w:t>).</w:t>
            </w:r>
          </w:p>
          <w:p w:rsidR="003C1AD0" w:rsidRPr="00161C60" w:rsidRDefault="003C1AD0" w:rsidP="003C1AD0">
            <w:pPr>
              <w:pStyle w:val="NoSpacing"/>
              <w:jc w:val="both"/>
              <w:rPr>
                <w:rFonts w:ascii="Times New Roman" w:hAnsi="Times New Roman"/>
                <w:sz w:val="24"/>
                <w:szCs w:val="24"/>
                <w:lang w:val="lv-LV"/>
              </w:rPr>
            </w:pPr>
          </w:p>
          <w:p w:rsidR="00C47F05" w:rsidRPr="00161C60" w:rsidRDefault="00D329E0" w:rsidP="00C47F05">
            <w:pPr>
              <w:pStyle w:val="NoSpacing"/>
              <w:jc w:val="both"/>
              <w:rPr>
                <w:rFonts w:ascii="Times New Roman" w:hAnsi="Times New Roman"/>
                <w:sz w:val="24"/>
                <w:szCs w:val="24"/>
                <w:lang w:val="lv-LV"/>
              </w:rPr>
            </w:pPr>
            <w:r w:rsidRPr="00161C60">
              <w:rPr>
                <w:rFonts w:ascii="Times New Roman" w:hAnsi="Times New Roman"/>
                <w:sz w:val="24"/>
                <w:szCs w:val="24"/>
                <w:shd w:val="clear" w:color="auto" w:fill="FFFFFF"/>
                <w:lang w:val="lv-LV"/>
              </w:rPr>
              <w:t>e</w:t>
            </w:r>
            <w:r w:rsidR="00C47F05" w:rsidRPr="00161C60">
              <w:rPr>
                <w:rFonts w:ascii="Times New Roman" w:hAnsi="Times New Roman"/>
                <w:sz w:val="24"/>
                <w:szCs w:val="24"/>
                <w:shd w:val="clear" w:color="auto" w:fill="FFFFFF"/>
                <w:lang w:val="lv-LV"/>
              </w:rPr>
              <w:t>.</w:t>
            </w:r>
            <w:r w:rsidR="00C47F05" w:rsidRPr="00161C60">
              <w:rPr>
                <w:rFonts w:ascii="Times New Roman" w:hAnsi="Times New Roman"/>
                <w:i/>
                <w:sz w:val="24"/>
                <w:szCs w:val="24"/>
                <w:shd w:val="clear" w:color="auto" w:fill="FFFFFF"/>
                <w:lang w:val="lv-LV"/>
              </w:rPr>
              <w:t> </w:t>
            </w:r>
            <w:r w:rsidR="00C47F05" w:rsidRPr="00161C60">
              <w:rPr>
                <w:rFonts w:ascii="Times New Roman" w:hAnsi="Times New Roman"/>
                <w:sz w:val="24"/>
                <w:szCs w:val="24"/>
                <w:lang w:val="lv-LV"/>
              </w:rPr>
              <w:t xml:space="preserve">Pašreiz tiesiskais regulējums MK noteikumu </w:t>
            </w:r>
            <w:r w:rsidR="00C6233D" w:rsidRPr="00161C60">
              <w:rPr>
                <w:rFonts w:ascii="Times New Roman" w:hAnsi="Times New Roman"/>
                <w:sz w:val="24"/>
                <w:szCs w:val="24"/>
                <w:lang w:val="lv-LV"/>
              </w:rPr>
              <w:t xml:space="preserve">Nr.416 </w:t>
            </w:r>
            <w:r w:rsidR="00C47F05" w:rsidRPr="00161C60">
              <w:rPr>
                <w:rFonts w:ascii="Times New Roman" w:hAnsi="Times New Roman"/>
                <w:sz w:val="24"/>
                <w:szCs w:val="24"/>
                <w:lang w:val="lv-LV"/>
              </w:rPr>
              <w:t xml:space="preserve">31.2.apakšpunktā neparedz aptiekas vadītāja rīcību zāļu viltojumu gadījumā, bet zāļu atsaukšana saskaņā ar MK noteikumu </w:t>
            </w:r>
            <w:r w:rsidR="00BE7AB2" w:rsidRPr="00161C60">
              <w:rPr>
                <w:rFonts w:ascii="Times New Roman" w:hAnsi="Times New Roman"/>
                <w:sz w:val="24"/>
                <w:szCs w:val="24"/>
                <w:lang w:val="lv-LV"/>
              </w:rPr>
              <w:t xml:space="preserve">Nr.416 </w:t>
            </w:r>
            <w:r w:rsidR="00C47F05" w:rsidRPr="00161C60">
              <w:rPr>
                <w:rFonts w:ascii="Times New Roman" w:hAnsi="Times New Roman"/>
                <w:sz w:val="24"/>
                <w:szCs w:val="24"/>
                <w:lang w:val="lv-LV"/>
              </w:rPr>
              <w:t xml:space="preserve">12.4.apakšpunktu un </w:t>
            </w:r>
            <w:r w:rsidR="00C47F05" w:rsidRPr="00161C60">
              <w:rPr>
                <w:rFonts w:ascii="Times New Roman" w:hAnsi="Times New Roman"/>
                <w:sz w:val="24"/>
                <w:szCs w:val="24"/>
                <w:shd w:val="clear" w:color="auto" w:fill="FFFFFF"/>
                <w:lang w:val="lv-LV"/>
              </w:rPr>
              <w:t>XI. nodaļu ”Rīcība ārkārtas situācijās un zāļu atsaukšanas kārtība”</w:t>
            </w:r>
            <w:r w:rsidR="00C47F05" w:rsidRPr="00161C60">
              <w:rPr>
                <w:rFonts w:ascii="Times New Roman" w:hAnsi="Times New Roman"/>
                <w:sz w:val="24"/>
                <w:szCs w:val="24"/>
                <w:lang w:val="lv-LV"/>
              </w:rPr>
              <w:t xml:space="preserve"> var notikt arī gadījumos, kad konstatēti viltojumi vai aizdomas par tiem. Līdz ar to aptiekas vadītāja pienākumi saistībā ar zāļu viltoju</w:t>
            </w:r>
            <w:r w:rsidR="003927C0" w:rsidRPr="00161C60">
              <w:rPr>
                <w:rFonts w:ascii="Times New Roman" w:hAnsi="Times New Roman"/>
                <w:sz w:val="24"/>
                <w:szCs w:val="24"/>
                <w:lang w:val="lv-LV"/>
              </w:rPr>
              <w:t>miem nav skaidri. Grozījumi N</w:t>
            </w:r>
            <w:r w:rsidR="00C47F05" w:rsidRPr="00161C60">
              <w:rPr>
                <w:rFonts w:ascii="Times New Roman" w:hAnsi="Times New Roman"/>
                <w:sz w:val="24"/>
                <w:szCs w:val="24"/>
                <w:lang w:val="lv-LV"/>
              </w:rPr>
              <w:t xml:space="preserve">oteikumu </w:t>
            </w:r>
            <w:r w:rsidR="003927C0" w:rsidRPr="00161C60">
              <w:rPr>
                <w:rFonts w:ascii="Times New Roman" w:hAnsi="Times New Roman"/>
                <w:sz w:val="24"/>
                <w:szCs w:val="24"/>
                <w:lang w:val="lv-LV"/>
              </w:rPr>
              <w:t xml:space="preserve">projekta </w:t>
            </w:r>
            <w:r w:rsidRPr="00161C60">
              <w:rPr>
                <w:rFonts w:ascii="Times New Roman" w:hAnsi="Times New Roman"/>
                <w:sz w:val="24"/>
                <w:szCs w:val="24"/>
                <w:lang w:val="lv-LV"/>
              </w:rPr>
              <w:t>1.</w:t>
            </w:r>
            <w:r w:rsidR="00C33F27" w:rsidRPr="00161C60">
              <w:rPr>
                <w:rFonts w:ascii="Times New Roman" w:hAnsi="Times New Roman"/>
                <w:sz w:val="24"/>
                <w:szCs w:val="24"/>
                <w:lang w:val="lv-LV"/>
              </w:rPr>
              <w:t>11</w:t>
            </w:r>
            <w:r w:rsidR="00C47F05" w:rsidRPr="00161C60">
              <w:rPr>
                <w:rFonts w:ascii="Times New Roman" w:hAnsi="Times New Roman"/>
                <w:sz w:val="24"/>
                <w:szCs w:val="24"/>
                <w:lang w:val="lv-LV"/>
              </w:rPr>
              <w:t xml:space="preserve">. un </w:t>
            </w:r>
            <w:r w:rsidRPr="00161C60">
              <w:rPr>
                <w:rFonts w:ascii="Times New Roman" w:hAnsi="Times New Roman"/>
                <w:sz w:val="24"/>
                <w:szCs w:val="24"/>
                <w:lang w:val="lv-LV"/>
              </w:rPr>
              <w:t>1.</w:t>
            </w:r>
            <w:r w:rsidR="00FE2B6B" w:rsidRPr="00161C60">
              <w:rPr>
                <w:rFonts w:ascii="Times New Roman" w:hAnsi="Times New Roman"/>
                <w:sz w:val="24"/>
                <w:szCs w:val="24"/>
                <w:lang w:val="lv-LV"/>
              </w:rPr>
              <w:t>1</w:t>
            </w:r>
            <w:r w:rsidR="00C33F27" w:rsidRPr="00161C60">
              <w:rPr>
                <w:rFonts w:ascii="Times New Roman" w:hAnsi="Times New Roman"/>
                <w:sz w:val="24"/>
                <w:szCs w:val="24"/>
                <w:lang w:val="lv-LV"/>
              </w:rPr>
              <w:t>2</w:t>
            </w:r>
            <w:r w:rsidR="00C47F05" w:rsidRPr="00161C60">
              <w:rPr>
                <w:rFonts w:ascii="Times New Roman" w:hAnsi="Times New Roman"/>
                <w:sz w:val="24"/>
                <w:szCs w:val="24"/>
                <w:lang w:val="lv-LV"/>
              </w:rPr>
              <w:t>.</w:t>
            </w:r>
            <w:r w:rsidRPr="00161C60">
              <w:rPr>
                <w:rFonts w:ascii="Times New Roman" w:hAnsi="Times New Roman"/>
                <w:sz w:val="24"/>
                <w:szCs w:val="24"/>
                <w:lang w:val="lv-LV"/>
              </w:rPr>
              <w:t>apakš</w:t>
            </w:r>
            <w:r w:rsidR="00C47F05" w:rsidRPr="00161C60">
              <w:rPr>
                <w:rFonts w:ascii="Times New Roman" w:hAnsi="Times New Roman"/>
                <w:sz w:val="24"/>
                <w:szCs w:val="24"/>
                <w:lang w:val="lv-LV"/>
              </w:rPr>
              <w:t>punktā šo problēmu atrisina.</w:t>
            </w:r>
          </w:p>
          <w:p w:rsidR="00C47F05" w:rsidRPr="00161C60" w:rsidRDefault="00C47F05" w:rsidP="00C47F05">
            <w:pPr>
              <w:pStyle w:val="NoSpacing"/>
              <w:jc w:val="both"/>
              <w:rPr>
                <w:rFonts w:ascii="Times New Roman" w:hAnsi="Times New Roman"/>
                <w:i/>
                <w:sz w:val="24"/>
                <w:szCs w:val="24"/>
                <w:shd w:val="clear" w:color="auto" w:fill="FFFFFF"/>
                <w:lang w:val="lv-LV"/>
              </w:rPr>
            </w:pPr>
          </w:p>
          <w:p w:rsidR="00641DA4" w:rsidRPr="00161C60" w:rsidRDefault="004048F0" w:rsidP="00BA7763">
            <w:pPr>
              <w:spacing w:after="120"/>
              <w:jc w:val="both"/>
              <w:rPr>
                <w:b/>
                <w:bCs/>
              </w:rPr>
            </w:pPr>
            <w:r w:rsidRPr="00161C60">
              <w:rPr>
                <w:b/>
                <w:bCs/>
              </w:rPr>
              <w:t>9.</w:t>
            </w:r>
            <w:r w:rsidR="004D3A1D" w:rsidRPr="00161C60">
              <w:rPr>
                <w:b/>
                <w:bCs/>
              </w:rPr>
              <w:t> </w:t>
            </w:r>
            <w:r w:rsidR="00641DA4" w:rsidRPr="00161C60">
              <w:rPr>
                <w:b/>
                <w:bCs/>
              </w:rPr>
              <w:t>Par vienotas formas ieviešanu zāļu labas izplatīšanas prakses pārbaudes kontroles ziņojumam</w:t>
            </w:r>
          </w:p>
          <w:p w:rsidR="000A053B" w:rsidRPr="00161C60" w:rsidRDefault="002707A0" w:rsidP="00BA7763">
            <w:pPr>
              <w:spacing w:after="120"/>
              <w:jc w:val="both"/>
            </w:pPr>
            <w:r w:rsidRPr="00161C60">
              <w:t xml:space="preserve">Tā kā Eiropas zāļu aģentūra ir apstiprinājusi </w:t>
            </w:r>
            <w:r w:rsidRPr="00161C60">
              <w:rPr>
                <w:bCs/>
              </w:rPr>
              <w:t>Zāļu labas izplatīšanas prak</w:t>
            </w:r>
            <w:r w:rsidR="00A84585" w:rsidRPr="00161C60">
              <w:rPr>
                <w:bCs/>
              </w:rPr>
              <w:t>ses pārbaudes kontroles ziņojuma formu</w:t>
            </w:r>
            <w:r w:rsidRPr="00161C60">
              <w:rPr>
                <w:bCs/>
              </w:rPr>
              <w:t xml:space="preserve">, </w:t>
            </w:r>
            <w:r w:rsidR="00C85813" w:rsidRPr="00161C60">
              <w:rPr>
                <w:bCs/>
              </w:rPr>
              <w:t xml:space="preserve">klasificējot tajā </w:t>
            </w:r>
            <w:r w:rsidRPr="00161C60">
              <w:rPr>
                <w:bCs/>
              </w:rPr>
              <w:t xml:space="preserve">pārbaudes laikā konstatētos trūkumus, tas ir ieviešams MK noteikumu Nr.416 regulējumā (Noteikumu projekta </w:t>
            </w:r>
            <w:r w:rsidR="00CD28BF" w:rsidRPr="00161C60">
              <w:rPr>
                <w:bCs/>
              </w:rPr>
              <w:t>1.</w:t>
            </w:r>
            <w:r w:rsidR="00A84585" w:rsidRPr="00161C60">
              <w:rPr>
                <w:bCs/>
              </w:rPr>
              <w:t>58</w:t>
            </w:r>
            <w:r w:rsidR="006A3843" w:rsidRPr="00161C60">
              <w:rPr>
                <w:bCs/>
              </w:rPr>
              <w:t>.</w:t>
            </w:r>
            <w:r w:rsidR="009A1FE7" w:rsidRPr="00161C60">
              <w:rPr>
                <w:bCs/>
              </w:rPr>
              <w:t xml:space="preserve"> un 1.</w:t>
            </w:r>
            <w:r w:rsidR="00A84585" w:rsidRPr="00161C60">
              <w:rPr>
                <w:bCs/>
              </w:rPr>
              <w:t>78</w:t>
            </w:r>
            <w:r w:rsidR="00534421" w:rsidRPr="00161C60">
              <w:rPr>
                <w:bCs/>
              </w:rPr>
              <w:t>.</w:t>
            </w:r>
            <w:r w:rsidR="006A3843" w:rsidRPr="00161C60">
              <w:rPr>
                <w:bCs/>
              </w:rPr>
              <w:t>apakšpunkts</w:t>
            </w:r>
            <w:r w:rsidRPr="00161C60">
              <w:rPr>
                <w:bCs/>
              </w:rPr>
              <w:t>)</w:t>
            </w:r>
            <w:r w:rsidR="009413FC" w:rsidRPr="00161C60">
              <w:rPr>
                <w:bCs/>
              </w:rPr>
              <w:t>.</w:t>
            </w:r>
          </w:p>
          <w:p w:rsidR="00187698" w:rsidRPr="00161C60" w:rsidRDefault="00694061" w:rsidP="00167652">
            <w:pPr>
              <w:spacing w:after="120"/>
              <w:jc w:val="both"/>
              <w:rPr>
                <w:i/>
              </w:rPr>
            </w:pPr>
            <w:hyperlink r:id="rId20" w:history="1">
              <w:r w:rsidR="005C7C52" w:rsidRPr="00161C60">
                <w:rPr>
                  <w:rStyle w:val="Hyperlink"/>
                  <w:color w:val="auto"/>
                </w:rPr>
                <w:t>http://www.ema.europa.eu/ema/index.jsp?curl=pages/regulation/document_listing/document_listing_000156.jsp&amp;mid=WC0b01ac05800296cb</w:t>
              </w:r>
            </w:hyperlink>
          </w:p>
          <w:p w:rsidR="00756708" w:rsidRPr="00161C60" w:rsidRDefault="00756708" w:rsidP="008F39F3">
            <w:pPr>
              <w:pStyle w:val="CM4"/>
              <w:spacing w:before="60" w:after="60"/>
              <w:jc w:val="both"/>
              <w:rPr>
                <w:rFonts w:ascii="Times New Roman" w:hAnsi="Times New Roman"/>
                <w:b/>
                <w:i/>
              </w:rPr>
            </w:pPr>
          </w:p>
          <w:p w:rsidR="008F39F3" w:rsidRPr="00161C60" w:rsidRDefault="004048F0" w:rsidP="008F39F3">
            <w:pPr>
              <w:pStyle w:val="CM4"/>
              <w:spacing w:before="60" w:after="60"/>
              <w:jc w:val="both"/>
              <w:rPr>
                <w:rFonts w:ascii="Times New Roman" w:hAnsi="Times New Roman"/>
                <w:b/>
              </w:rPr>
            </w:pPr>
            <w:r w:rsidRPr="00161C60">
              <w:rPr>
                <w:rFonts w:ascii="Times New Roman" w:hAnsi="Times New Roman"/>
                <w:b/>
              </w:rPr>
              <w:t>10.</w:t>
            </w:r>
            <w:r w:rsidR="00187698" w:rsidRPr="00161C60">
              <w:rPr>
                <w:rFonts w:ascii="Times New Roman" w:hAnsi="Times New Roman"/>
                <w:b/>
              </w:rPr>
              <w:t> </w:t>
            </w:r>
            <w:r w:rsidR="008F39F3" w:rsidRPr="00161C60">
              <w:rPr>
                <w:rFonts w:ascii="Times New Roman" w:hAnsi="Times New Roman"/>
                <w:b/>
              </w:rPr>
              <w:t>Par kompetento iestāžu pienākum</w:t>
            </w:r>
            <w:r w:rsidR="00187698" w:rsidRPr="00161C60">
              <w:rPr>
                <w:rFonts w:ascii="Times New Roman" w:hAnsi="Times New Roman"/>
                <w:b/>
              </w:rPr>
              <w:t>iem</w:t>
            </w:r>
            <w:r w:rsidR="00CE6DC2" w:rsidRPr="00161C60">
              <w:rPr>
                <w:rFonts w:ascii="Times New Roman" w:hAnsi="Times New Roman"/>
                <w:b/>
              </w:rPr>
              <w:t xml:space="preserve"> </w:t>
            </w:r>
            <w:r w:rsidR="00280EF6" w:rsidRPr="00161C60">
              <w:rPr>
                <w:rFonts w:ascii="Times New Roman" w:hAnsi="Times New Roman"/>
                <w:b/>
              </w:rPr>
              <w:t xml:space="preserve">sadarbībā un </w:t>
            </w:r>
            <w:r w:rsidR="009076B3" w:rsidRPr="00161C60">
              <w:rPr>
                <w:rFonts w:ascii="Times New Roman" w:hAnsi="Times New Roman"/>
                <w:b/>
              </w:rPr>
              <w:t>informācijas publiskošanā par profilakses un izpildes jomā veiktajiem pasākumiem pret zāļu viltošanu un sadarbības nodrošināšanā</w:t>
            </w:r>
          </w:p>
          <w:p w:rsidR="008508F1" w:rsidRPr="00161C60" w:rsidRDefault="008F39F3" w:rsidP="00167652">
            <w:pPr>
              <w:pStyle w:val="CM4"/>
              <w:spacing w:before="60" w:after="60"/>
              <w:jc w:val="both"/>
              <w:rPr>
                <w:rFonts w:ascii="Times New Roman" w:hAnsi="Times New Roman"/>
              </w:rPr>
            </w:pPr>
            <w:r w:rsidRPr="00161C60">
              <w:rPr>
                <w:rFonts w:ascii="Times New Roman" w:hAnsi="Times New Roman"/>
              </w:rPr>
              <w:t>MK noteikumu Nr.416 regulējums tiek konkretizēts, nosakot kompetento iestāžu pienākumus</w:t>
            </w:r>
            <w:r w:rsidR="00280EF6" w:rsidRPr="00161C60">
              <w:rPr>
                <w:rFonts w:ascii="Times New Roman" w:hAnsi="Times New Roman"/>
              </w:rPr>
              <w:t xml:space="preserve"> ātrās reaģēšanas sistēmā (</w:t>
            </w:r>
            <w:r w:rsidR="009A1FE7" w:rsidRPr="00161C60">
              <w:rPr>
                <w:rFonts w:ascii="Times New Roman" w:hAnsi="Times New Roman"/>
              </w:rPr>
              <w:t xml:space="preserve">Noteikumu </w:t>
            </w:r>
            <w:r w:rsidR="0015405A" w:rsidRPr="00161C60">
              <w:rPr>
                <w:rFonts w:ascii="Times New Roman" w:hAnsi="Times New Roman"/>
              </w:rPr>
              <w:t>projekta 1.</w:t>
            </w:r>
            <w:r w:rsidR="002D0836" w:rsidRPr="00161C60">
              <w:rPr>
                <w:rFonts w:ascii="Times New Roman" w:hAnsi="Times New Roman"/>
              </w:rPr>
              <w:t>63</w:t>
            </w:r>
            <w:r w:rsidR="00280EF6" w:rsidRPr="00161C60">
              <w:rPr>
                <w:rFonts w:ascii="Times New Roman" w:hAnsi="Times New Roman"/>
              </w:rPr>
              <w:t>.apakšpunkts</w:t>
            </w:r>
            <w:r w:rsidR="00CE6DC2" w:rsidRPr="00161C60">
              <w:rPr>
                <w:rFonts w:ascii="Times New Roman" w:hAnsi="Times New Roman"/>
                <w:i/>
              </w:rPr>
              <w:t> - </w:t>
            </w:r>
            <w:r w:rsidR="00B63A94" w:rsidRPr="00161C60">
              <w:rPr>
                <w:rFonts w:ascii="Times New Roman" w:hAnsi="Times New Roman"/>
                <w:i/>
              </w:rPr>
              <w:t>attiecībā uz MK n</w:t>
            </w:r>
            <w:r w:rsidR="00280EF6" w:rsidRPr="00161C60">
              <w:rPr>
                <w:rFonts w:ascii="Times New Roman" w:hAnsi="Times New Roman"/>
                <w:i/>
              </w:rPr>
              <w:t>oteikumu 156.</w:t>
            </w:r>
            <w:r w:rsidR="00280EF6" w:rsidRPr="00161C60">
              <w:rPr>
                <w:rFonts w:ascii="Times New Roman" w:hAnsi="Times New Roman"/>
                <w:i/>
                <w:vertAlign w:val="superscript"/>
              </w:rPr>
              <w:t>1</w:t>
            </w:r>
            <w:r w:rsidR="00CC49E0" w:rsidRPr="00161C60">
              <w:rPr>
                <w:rFonts w:ascii="Times New Roman" w:hAnsi="Times New Roman"/>
                <w:i/>
              </w:rPr>
              <w:t>,</w:t>
            </w:r>
            <w:r w:rsidR="00CC49E0" w:rsidRPr="00161C60">
              <w:rPr>
                <w:rFonts w:ascii="Times New Roman" w:hAnsi="Times New Roman"/>
                <w:i/>
                <w:vertAlign w:val="superscript"/>
              </w:rPr>
              <w:t xml:space="preserve"> </w:t>
            </w:r>
            <w:r w:rsidR="00280EF6" w:rsidRPr="00161C60">
              <w:rPr>
                <w:rFonts w:ascii="Times New Roman" w:hAnsi="Times New Roman"/>
                <w:i/>
              </w:rPr>
              <w:t>156.</w:t>
            </w:r>
            <w:r w:rsidR="0000691D" w:rsidRPr="00161C60">
              <w:rPr>
                <w:rFonts w:ascii="Times New Roman" w:hAnsi="Times New Roman"/>
                <w:i/>
                <w:vertAlign w:val="superscript"/>
              </w:rPr>
              <w:t>2</w:t>
            </w:r>
            <w:r w:rsidR="00CC49E0" w:rsidRPr="00161C60">
              <w:rPr>
                <w:rFonts w:ascii="Times New Roman" w:hAnsi="Times New Roman"/>
                <w:i/>
              </w:rPr>
              <w:t xml:space="preserve"> un 156.</w:t>
            </w:r>
            <w:r w:rsidR="00CC49E0" w:rsidRPr="00161C60">
              <w:rPr>
                <w:rFonts w:ascii="Times New Roman" w:hAnsi="Times New Roman"/>
                <w:i/>
                <w:vertAlign w:val="superscript"/>
              </w:rPr>
              <w:t>4</w:t>
            </w:r>
            <w:r w:rsidR="00280EF6" w:rsidRPr="00161C60">
              <w:rPr>
                <w:rFonts w:ascii="Times New Roman" w:hAnsi="Times New Roman"/>
                <w:i/>
              </w:rPr>
              <w:t>apakšpunktu)</w:t>
            </w:r>
            <w:r w:rsidRPr="00161C60">
              <w:rPr>
                <w:rFonts w:ascii="Times New Roman" w:hAnsi="Times New Roman"/>
              </w:rPr>
              <w:t xml:space="preserve">, </w:t>
            </w:r>
            <w:r w:rsidR="00B63A94" w:rsidRPr="00161C60">
              <w:rPr>
                <w:rFonts w:ascii="Times New Roman" w:hAnsi="Times New Roman"/>
              </w:rPr>
              <w:t>farmakovigilances sistēmā (Noteikumu projekta 1.63.apak</w:t>
            </w:r>
            <w:r w:rsidR="005F18AE" w:rsidRPr="00161C60">
              <w:rPr>
                <w:rFonts w:ascii="Times New Roman" w:hAnsi="Times New Roman"/>
              </w:rPr>
              <w:t>špunkts - </w:t>
            </w:r>
            <w:r w:rsidR="00B63A94" w:rsidRPr="00161C60">
              <w:rPr>
                <w:rFonts w:ascii="Times New Roman" w:hAnsi="Times New Roman"/>
                <w:i/>
              </w:rPr>
              <w:t>attiecībā uz MK noteikumu 156.</w:t>
            </w:r>
            <w:r w:rsidR="00B63A94" w:rsidRPr="00161C60">
              <w:rPr>
                <w:rFonts w:ascii="Times New Roman" w:hAnsi="Times New Roman"/>
                <w:i/>
                <w:vertAlign w:val="superscript"/>
              </w:rPr>
              <w:t>3</w:t>
            </w:r>
            <w:r w:rsidR="00B63A94" w:rsidRPr="00161C60">
              <w:rPr>
                <w:rFonts w:ascii="Times New Roman" w:hAnsi="Times New Roman"/>
                <w:i/>
              </w:rPr>
              <w:t>apakšpunktu</w:t>
            </w:r>
            <w:r w:rsidR="00B63A94" w:rsidRPr="00161C60">
              <w:rPr>
                <w:rFonts w:ascii="Times New Roman" w:hAnsi="Times New Roman"/>
              </w:rPr>
              <w:t xml:space="preserve">), </w:t>
            </w:r>
            <w:r w:rsidR="00B73370" w:rsidRPr="00161C60">
              <w:rPr>
                <w:rFonts w:ascii="Times New Roman" w:hAnsi="Times New Roman"/>
              </w:rPr>
              <w:t xml:space="preserve">kā arī, </w:t>
            </w:r>
            <w:r w:rsidRPr="00161C60">
              <w:rPr>
                <w:rFonts w:ascii="Times New Roman" w:hAnsi="Times New Roman"/>
              </w:rPr>
              <w:t xml:space="preserve">lai īstenotu </w:t>
            </w:r>
            <w:r w:rsidR="00FE79AC" w:rsidRPr="00161C60">
              <w:rPr>
                <w:rFonts w:ascii="Times New Roman" w:hAnsi="Times New Roman"/>
              </w:rPr>
              <w:t xml:space="preserve">Eiropas Parlamenta un Padomes </w:t>
            </w:r>
            <w:r w:rsidRPr="00161C60">
              <w:rPr>
                <w:rFonts w:ascii="Times New Roman" w:hAnsi="Times New Roman"/>
              </w:rPr>
              <w:t>Direk</w:t>
            </w:r>
            <w:r w:rsidR="000A2B97" w:rsidRPr="00161C60">
              <w:rPr>
                <w:rFonts w:ascii="Times New Roman" w:hAnsi="Times New Roman"/>
              </w:rPr>
              <w:t xml:space="preserve">tīvas 2011/62 1.pants 25.panta </w:t>
            </w:r>
            <w:r w:rsidR="00280EF6" w:rsidRPr="00161C60">
              <w:rPr>
                <w:rFonts w:ascii="Times New Roman" w:hAnsi="Times New Roman"/>
              </w:rPr>
              <w:t xml:space="preserve">118 b panta </w:t>
            </w:r>
            <w:r w:rsidRPr="00161C60">
              <w:rPr>
                <w:rFonts w:ascii="Times New Roman" w:hAnsi="Times New Roman"/>
              </w:rPr>
              <w:t xml:space="preserve">normu informācijas publiskošanā par profilakses un izpildes jomā veiktajiem pasākumiem pret zāļu viltošanu </w:t>
            </w:r>
            <w:r w:rsidR="00003F2A" w:rsidRPr="00161C60">
              <w:rPr>
                <w:rFonts w:ascii="Times New Roman" w:hAnsi="Times New Roman"/>
              </w:rPr>
              <w:t xml:space="preserve">un sadarbības nodrošināšanā </w:t>
            </w:r>
            <w:r w:rsidR="00C52E96" w:rsidRPr="00161C60">
              <w:rPr>
                <w:rFonts w:ascii="Times New Roman" w:hAnsi="Times New Roman"/>
              </w:rPr>
              <w:t xml:space="preserve">(Noteikumu projekta </w:t>
            </w:r>
            <w:r w:rsidR="0015405A" w:rsidRPr="00161C60">
              <w:rPr>
                <w:rFonts w:ascii="Times New Roman" w:hAnsi="Times New Roman"/>
              </w:rPr>
              <w:t>1.</w:t>
            </w:r>
            <w:r w:rsidR="007A1EAA" w:rsidRPr="00161C60">
              <w:rPr>
                <w:rFonts w:ascii="Times New Roman" w:hAnsi="Times New Roman"/>
              </w:rPr>
              <w:t>6</w:t>
            </w:r>
            <w:r w:rsidR="00B63A94" w:rsidRPr="00161C60">
              <w:rPr>
                <w:rFonts w:ascii="Times New Roman" w:hAnsi="Times New Roman"/>
              </w:rPr>
              <w:t>3</w:t>
            </w:r>
            <w:r w:rsidR="007C685F" w:rsidRPr="00161C60">
              <w:rPr>
                <w:rFonts w:ascii="Times New Roman" w:hAnsi="Times New Roman"/>
              </w:rPr>
              <w:t>.apakšpunkts</w:t>
            </w:r>
            <w:r w:rsidR="00400F22" w:rsidRPr="00161C60">
              <w:rPr>
                <w:rFonts w:ascii="Times New Roman" w:hAnsi="Times New Roman"/>
              </w:rPr>
              <w:t> -</w:t>
            </w:r>
            <w:r w:rsidR="00B73370" w:rsidRPr="00161C60">
              <w:rPr>
                <w:rFonts w:ascii="Times New Roman" w:hAnsi="Times New Roman"/>
              </w:rPr>
              <w:t> </w:t>
            </w:r>
            <w:r w:rsidR="00B73370" w:rsidRPr="00161C60">
              <w:rPr>
                <w:rFonts w:ascii="Times New Roman" w:hAnsi="Times New Roman"/>
                <w:i/>
              </w:rPr>
              <w:t>attiecībā uz MK noteikumu Nr.416 156.</w:t>
            </w:r>
            <w:r w:rsidR="00B73370" w:rsidRPr="00161C60">
              <w:rPr>
                <w:rFonts w:ascii="Times New Roman" w:hAnsi="Times New Roman"/>
                <w:i/>
                <w:vertAlign w:val="superscript"/>
              </w:rPr>
              <w:t>5</w:t>
            </w:r>
            <w:r w:rsidR="00B73370" w:rsidRPr="00161C60">
              <w:rPr>
                <w:rFonts w:ascii="Times New Roman" w:hAnsi="Times New Roman"/>
                <w:i/>
              </w:rPr>
              <w:t xml:space="preserve"> apakšpunktu</w:t>
            </w:r>
            <w:r w:rsidRPr="00161C60">
              <w:rPr>
                <w:rFonts w:ascii="Times New Roman" w:hAnsi="Times New Roman"/>
              </w:rPr>
              <w:t>).</w:t>
            </w:r>
          </w:p>
          <w:p w:rsidR="00756708" w:rsidRPr="00161C60" w:rsidRDefault="00756708" w:rsidP="000A35DC">
            <w:pPr>
              <w:pStyle w:val="CommentText"/>
              <w:jc w:val="both"/>
              <w:rPr>
                <w:i/>
                <w:sz w:val="24"/>
                <w:szCs w:val="24"/>
              </w:rPr>
            </w:pPr>
          </w:p>
          <w:p w:rsidR="003C4AE4" w:rsidRPr="00161C60" w:rsidRDefault="004048F0" w:rsidP="00F0618A">
            <w:pPr>
              <w:shd w:val="clear" w:color="auto" w:fill="FFFFFF"/>
              <w:jc w:val="both"/>
            </w:pPr>
            <w:r w:rsidRPr="00161C60">
              <w:t>11.</w:t>
            </w:r>
            <w:r w:rsidR="003C4AE4" w:rsidRPr="00161C60">
              <w:t> </w:t>
            </w:r>
            <w:r w:rsidR="00F0618A" w:rsidRPr="00161C60">
              <w:t xml:space="preserve">Tā kā saskaņā ar </w:t>
            </w:r>
            <w:r w:rsidR="00F0618A" w:rsidRPr="00161C60">
              <w:rPr>
                <w:bCs/>
              </w:rPr>
              <w:t>Ministru kabineta 2008.gada 5.februāra noteikumiem Nr.76</w:t>
            </w:r>
            <w:r w:rsidR="0049034D" w:rsidRPr="00161C60">
              <w:rPr>
                <w:rStyle w:val="apple-converted-space"/>
              </w:rPr>
              <w:t xml:space="preserve"> </w:t>
            </w:r>
            <w:r w:rsidR="00F0618A" w:rsidRPr="00161C60">
              <w:t>”</w:t>
            </w:r>
            <w:r w:rsidR="00F0618A" w:rsidRPr="00161C60">
              <w:rPr>
                <w:bCs/>
              </w:rPr>
              <w:t xml:space="preserve">Veselības inspekcijas nolikums” </w:t>
            </w:r>
            <w:r w:rsidR="00F0618A" w:rsidRPr="00161C60">
              <w:t xml:space="preserve">ārstniecības </w:t>
            </w:r>
            <w:r w:rsidR="00F0618A" w:rsidRPr="00161C60">
              <w:lastRenderedPageBreak/>
              <w:t xml:space="preserve">iestādes </w:t>
            </w:r>
            <w:r w:rsidR="00F521CC" w:rsidRPr="00161C60">
              <w:t>reģistrē</w:t>
            </w:r>
            <w:r w:rsidR="0049034D" w:rsidRPr="00161C60">
              <w:t xml:space="preserve"> </w:t>
            </w:r>
            <w:r w:rsidR="0041204A" w:rsidRPr="00161C60">
              <w:t>I</w:t>
            </w:r>
            <w:r w:rsidR="00F0618A" w:rsidRPr="00161C60">
              <w:t>nspekcij</w:t>
            </w:r>
            <w:r w:rsidR="00F521CC" w:rsidRPr="00161C60">
              <w:t>a</w:t>
            </w:r>
            <w:r w:rsidR="00F0618A" w:rsidRPr="00161C60">
              <w:t xml:space="preserve"> Ārstniecības iestāžu reģistrā, nevis </w:t>
            </w:r>
            <w:r w:rsidR="00F0618A" w:rsidRPr="00161C60">
              <w:rPr>
                <w:shd w:val="clear" w:color="auto" w:fill="FFFFFF"/>
              </w:rPr>
              <w:t xml:space="preserve">Latvijas Ārstu biedrības Ārstu prakses reģistrā, </w:t>
            </w:r>
            <w:r w:rsidR="00F0618A" w:rsidRPr="00161C60">
              <w:t>MK noteikumu Nr.416 104.1.apakšpunkta norma tiek pr</w:t>
            </w:r>
            <w:r w:rsidR="009A1FE7" w:rsidRPr="00161C60">
              <w:t>ecizēta</w:t>
            </w:r>
            <w:r w:rsidR="001C28E1" w:rsidRPr="00161C60">
              <w:t>, lai konkretizētu dokumentus, kādus kompetentā iestāde izsniedz apliecinot ārstniecības iestādes, prakses ārsta darbības legalitāti</w:t>
            </w:r>
            <w:r w:rsidR="009A1FE7" w:rsidRPr="00161C60">
              <w:t xml:space="preserve"> (</w:t>
            </w:r>
            <w:r w:rsidR="0015405A" w:rsidRPr="00161C60">
              <w:t>Noteikumu projekta 1.</w:t>
            </w:r>
            <w:r w:rsidR="004E667E" w:rsidRPr="00161C60">
              <w:t>43</w:t>
            </w:r>
            <w:r w:rsidR="00F0618A" w:rsidRPr="00161C60">
              <w:t>.apakšpunkts).</w:t>
            </w:r>
          </w:p>
          <w:p w:rsidR="003C4AE4" w:rsidRPr="00161C60" w:rsidRDefault="003C4AE4" w:rsidP="000A35DC">
            <w:pPr>
              <w:pStyle w:val="CommentText"/>
              <w:jc w:val="both"/>
              <w:rPr>
                <w:sz w:val="24"/>
                <w:szCs w:val="24"/>
              </w:rPr>
            </w:pPr>
          </w:p>
          <w:p w:rsidR="0038565A" w:rsidRPr="00161C60" w:rsidRDefault="004048F0" w:rsidP="000A35DC">
            <w:pPr>
              <w:pStyle w:val="CommentText"/>
              <w:jc w:val="both"/>
              <w:rPr>
                <w:sz w:val="24"/>
                <w:szCs w:val="24"/>
              </w:rPr>
            </w:pPr>
            <w:r w:rsidRPr="00161C60">
              <w:rPr>
                <w:b/>
                <w:sz w:val="24"/>
                <w:szCs w:val="24"/>
              </w:rPr>
              <w:t>12.</w:t>
            </w:r>
            <w:r w:rsidR="007752A0" w:rsidRPr="00161C60">
              <w:rPr>
                <w:b/>
                <w:sz w:val="24"/>
                <w:szCs w:val="24"/>
              </w:rPr>
              <w:t> </w:t>
            </w:r>
            <w:r w:rsidR="0038565A" w:rsidRPr="00161C60">
              <w:rPr>
                <w:b/>
                <w:sz w:val="24"/>
                <w:szCs w:val="24"/>
              </w:rPr>
              <w:t>Par tehniskiem grozījumiem</w:t>
            </w:r>
          </w:p>
          <w:p w:rsidR="00A155CE" w:rsidRPr="00161C60" w:rsidRDefault="00E179F2" w:rsidP="00AA6C97">
            <w:pPr>
              <w:pStyle w:val="CommentText"/>
              <w:jc w:val="both"/>
              <w:rPr>
                <w:sz w:val="24"/>
                <w:szCs w:val="24"/>
                <w:shd w:val="clear" w:color="auto" w:fill="F1F1F1"/>
              </w:rPr>
            </w:pPr>
            <w:r w:rsidRPr="00161C60">
              <w:rPr>
                <w:sz w:val="24"/>
                <w:szCs w:val="24"/>
              </w:rPr>
              <w:t>1) </w:t>
            </w:r>
            <w:r w:rsidR="00AA6C97" w:rsidRPr="00161C60">
              <w:rPr>
                <w:sz w:val="24"/>
                <w:szCs w:val="24"/>
              </w:rPr>
              <w:t xml:space="preserve">MK noteikumi Nr.416 ir redakcionāli jāprecizē </w:t>
            </w:r>
            <w:r w:rsidR="008E426C" w:rsidRPr="00161C60">
              <w:rPr>
                <w:sz w:val="24"/>
                <w:szCs w:val="24"/>
              </w:rPr>
              <w:t>saskaņā ar</w:t>
            </w:r>
            <w:r w:rsidR="00AA6C97" w:rsidRPr="00161C60">
              <w:rPr>
                <w:sz w:val="24"/>
                <w:szCs w:val="24"/>
              </w:rPr>
              <w:t xml:space="preserve"> Ministru kabineta 2009.gada 3.februāra noteikumu Nr.108 ”Normatīvo aktu projektu sagatavošanas noteikumi” </w:t>
            </w:r>
            <w:r w:rsidR="00AA6C97" w:rsidRPr="00161C60">
              <w:rPr>
                <w:bCs/>
                <w:sz w:val="24"/>
                <w:szCs w:val="24"/>
              </w:rPr>
              <w:t>(turpmāk - MK no</w:t>
            </w:r>
            <w:r w:rsidR="008E426C" w:rsidRPr="00161C60">
              <w:rPr>
                <w:bCs/>
                <w:sz w:val="24"/>
                <w:szCs w:val="24"/>
              </w:rPr>
              <w:t>teikumi Nr.108) 2.3.apakšpunktu</w:t>
            </w:r>
            <w:r w:rsidR="00AA6C97" w:rsidRPr="00161C60">
              <w:rPr>
                <w:bCs/>
                <w:sz w:val="24"/>
                <w:szCs w:val="24"/>
              </w:rPr>
              <w:t xml:space="preserve">, lai nodrošinātu </w:t>
            </w:r>
            <w:r w:rsidR="00AA6C97" w:rsidRPr="00161C60">
              <w:rPr>
                <w:sz w:val="24"/>
                <w:szCs w:val="24"/>
              </w:rPr>
              <w:t xml:space="preserve">terminoloģijas konsekvenci, </w:t>
            </w:r>
            <w:r w:rsidR="008E426C" w:rsidRPr="00161C60">
              <w:rPr>
                <w:sz w:val="24"/>
                <w:szCs w:val="24"/>
              </w:rPr>
              <w:t>mainot</w:t>
            </w:r>
            <w:r w:rsidR="0049034D" w:rsidRPr="00161C60">
              <w:rPr>
                <w:sz w:val="24"/>
                <w:szCs w:val="24"/>
              </w:rPr>
              <w:t xml:space="preserve"> </w:t>
            </w:r>
            <w:r w:rsidR="008E426C" w:rsidRPr="00161C60">
              <w:rPr>
                <w:sz w:val="24"/>
                <w:szCs w:val="24"/>
              </w:rPr>
              <w:t xml:space="preserve">atsauci uz </w:t>
            </w:r>
            <w:r w:rsidR="00AA6C97" w:rsidRPr="00161C60">
              <w:rPr>
                <w:sz w:val="24"/>
                <w:szCs w:val="24"/>
              </w:rPr>
              <w:t>normatīvā akta n</w:t>
            </w:r>
            <w:r w:rsidR="00B528AA" w:rsidRPr="00161C60">
              <w:rPr>
                <w:sz w:val="24"/>
                <w:szCs w:val="24"/>
              </w:rPr>
              <w:t>osaukum</w:t>
            </w:r>
            <w:r w:rsidR="008E426C" w:rsidRPr="00161C60">
              <w:rPr>
                <w:sz w:val="24"/>
                <w:szCs w:val="24"/>
              </w:rPr>
              <w:t>u</w:t>
            </w:r>
            <w:r w:rsidR="00B528AA" w:rsidRPr="00161C60">
              <w:rPr>
                <w:sz w:val="24"/>
                <w:szCs w:val="24"/>
              </w:rPr>
              <w:t xml:space="preserve"> (Noteikumu projekta </w:t>
            </w:r>
            <w:r w:rsidR="003B52FB" w:rsidRPr="00161C60">
              <w:rPr>
                <w:sz w:val="24"/>
                <w:szCs w:val="24"/>
              </w:rPr>
              <w:t xml:space="preserve">1.1., </w:t>
            </w:r>
            <w:r w:rsidR="00E25F74" w:rsidRPr="00161C60">
              <w:rPr>
                <w:sz w:val="24"/>
                <w:szCs w:val="24"/>
              </w:rPr>
              <w:t>1.4. un 1.5</w:t>
            </w:r>
            <w:r w:rsidR="00085B48" w:rsidRPr="00161C60">
              <w:rPr>
                <w:sz w:val="24"/>
                <w:szCs w:val="24"/>
              </w:rPr>
              <w:t>.</w:t>
            </w:r>
            <w:r w:rsidR="00072026" w:rsidRPr="00161C60">
              <w:rPr>
                <w:sz w:val="24"/>
                <w:szCs w:val="24"/>
              </w:rPr>
              <w:t xml:space="preserve"> un 1.39.</w:t>
            </w:r>
            <w:r w:rsidR="00085B48" w:rsidRPr="00161C60">
              <w:rPr>
                <w:sz w:val="24"/>
                <w:szCs w:val="24"/>
              </w:rPr>
              <w:t>apakšpunkts).</w:t>
            </w:r>
          </w:p>
          <w:p w:rsidR="0029558D" w:rsidRPr="00161C60" w:rsidRDefault="0029558D" w:rsidP="00360679">
            <w:pPr>
              <w:pStyle w:val="CommentText"/>
              <w:jc w:val="both"/>
              <w:rPr>
                <w:i/>
                <w:sz w:val="24"/>
                <w:szCs w:val="24"/>
                <w:u w:val="single"/>
              </w:rPr>
            </w:pPr>
          </w:p>
          <w:p w:rsidR="00421DF0" w:rsidRPr="00161C60" w:rsidRDefault="00E25F74" w:rsidP="003671B4">
            <w:pPr>
              <w:pStyle w:val="CommentText"/>
              <w:jc w:val="both"/>
              <w:rPr>
                <w:rFonts w:eastAsia="MS Mincho"/>
                <w:sz w:val="24"/>
                <w:szCs w:val="24"/>
              </w:rPr>
            </w:pPr>
            <w:r w:rsidRPr="00161C60">
              <w:rPr>
                <w:sz w:val="24"/>
                <w:szCs w:val="24"/>
              </w:rPr>
              <w:t>2</w:t>
            </w:r>
            <w:r w:rsidR="00217D1D" w:rsidRPr="00161C60">
              <w:rPr>
                <w:sz w:val="24"/>
                <w:szCs w:val="24"/>
              </w:rPr>
              <w:t>) </w:t>
            </w:r>
            <w:r w:rsidR="0075515A" w:rsidRPr="00161C60">
              <w:rPr>
                <w:sz w:val="24"/>
                <w:szCs w:val="24"/>
              </w:rPr>
              <w:t xml:space="preserve">Tā kā </w:t>
            </w:r>
            <w:r w:rsidR="00DE5ADE" w:rsidRPr="00161C60">
              <w:rPr>
                <w:sz w:val="24"/>
                <w:szCs w:val="24"/>
              </w:rPr>
              <w:t>MK noteikumu Nr.416 12.</w:t>
            </w:r>
            <w:r w:rsidR="00DE5ADE" w:rsidRPr="00161C60">
              <w:rPr>
                <w:sz w:val="24"/>
                <w:szCs w:val="24"/>
                <w:vertAlign w:val="superscript"/>
              </w:rPr>
              <w:t>3</w:t>
            </w:r>
            <w:r w:rsidR="0075515A" w:rsidRPr="00161C60">
              <w:rPr>
                <w:sz w:val="24"/>
                <w:szCs w:val="24"/>
              </w:rPr>
              <w:t>punkta norma nosaka zāļu izvešanas</w:t>
            </w:r>
            <w:r w:rsidR="005812D4" w:rsidRPr="00161C60">
              <w:rPr>
                <w:sz w:val="24"/>
                <w:szCs w:val="24"/>
              </w:rPr>
              <w:t xml:space="preserve"> </w:t>
            </w:r>
            <w:r w:rsidR="0075515A" w:rsidRPr="00161C60">
              <w:rPr>
                <w:sz w:val="24"/>
                <w:szCs w:val="24"/>
              </w:rPr>
              <w:t xml:space="preserve">prasības uz trešajām valstīm, un šo regulējumu nosaka atsevišķi </w:t>
            </w:r>
            <w:r w:rsidR="000A4842" w:rsidRPr="00161C60">
              <w:rPr>
                <w:sz w:val="24"/>
                <w:szCs w:val="24"/>
              </w:rPr>
              <w:t>Ministru kabineta 2007.gada 26.jūnija noteikum</w:t>
            </w:r>
            <w:r w:rsidR="0075515A" w:rsidRPr="00161C60">
              <w:rPr>
                <w:sz w:val="24"/>
                <w:szCs w:val="24"/>
              </w:rPr>
              <w:t>i</w:t>
            </w:r>
            <w:r w:rsidR="000A4842" w:rsidRPr="00161C60">
              <w:rPr>
                <w:sz w:val="24"/>
                <w:szCs w:val="24"/>
              </w:rPr>
              <w:t xml:space="preserve"> Nr.436 “</w:t>
            </w:r>
            <w:r w:rsidR="000A4842" w:rsidRPr="00161C60">
              <w:rPr>
                <w:bCs/>
                <w:sz w:val="24"/>
                <w:szCs w:val="24"/>
              </w:rPr>
              <w:t>Zāļu ievešanas un izvešanas kārtība</w:t>
            </w:r>
            <w:r w:rsidR="00C5074C" w:rsidRPr="00161C60">
              <w:rPr>
                <w:sz w:val="24"/>
                <w:szCs w:val="24"/>
              </w:rPr>
              <w:t>”</w:t>
            </w:r>
            <w:r w:rsidR="000A4842" w:rsidRPr="00161C60">
              <w:rPr>
                <w:sz w:val="24"/>
                <w:szCs w:val="24"/>
              </w:rPr>
              <w:t xml:space="preserve"> (turpmāk </w:t>
            </w:r>
            <w:r w:rsidR="00DE5ADE" w:rsidRPr="00161C60">
              <w:rPr>
                <w:rFonts w:eastAsia="MS Mincho"/>
                <w:sz w:val="24"/>
                <w:szCs w:val="24"/>
              </w:rPr>
              <w:t>-</w:t>
            </w:r>
            <w:r w:rsidR="000A4842" w:rsidRPr="00161C60">
              <w:rPr>
                <w:rFonts w:eastAsia="MS Mincho"/>
                <w:sz w:val="24"/>
                <w:szCs w:val="24"/>
              </w:rPr>
              <w:t> MK notei</w:t>
            </w:r>
            <w:r w:rsidR="009B7410" w:rsidRPr="00161C60">
              <w:rPr>
                <w:rFonts w:eastAsia="MS Mincho"/>
                <w:sz w:val="24"/>
                <w:szCs w:val="24"/>
              </w:rPr>
              <w:t>kumi Nr.43</w:t>
            </w:r>
            <w:r w:rsidR="000A4842" w:rsidRPr="00161C60">
              <w:rPr>
                <w:rFonts w:eastAsia="MS Mincho"/>
                <w:sz w:val="24"/>
                <w:szCs w:val="24"/>
              </w:rPr>
              <w:t>6)</w:t>
            </w:r>
            <w:r w:rsidR="0075515A" w:rsidRPr="00161C60">
              <w:rPr>
                <w:rFonts w:eastAsia="MS Mincho"/>
                <w:sz w:val="24"/>
                <w:szCs w:val="24"/>
              </w:rPr>
              <w:t xml:space="preserve">, attiecīgās normas </w:t>
            </w:r>
            <w:r w:rsidR="00217D1D" w:rsidRPr="00161C60">
              <w:rPr>
                <w:rFonts w:eastAsia="MS Mincho"/>
                <w:sz w:val="24"/>
                <w:szCs w:val="24"/>
              </w:rPr>
              <w:t>tiks ietvertas</w:t>
            </w:r>
            <w:r w:rsidR="005812D4" w:rsidRPr="00161C60">
              <w:rPr>
                <w:rFonts w:eastAsia="MS Mincho"/>
                <w:sz w:val="24"/>
                <w:szCs w:val="24"/>
              </w:rPr>
              <w:t xml:space="preserve"> </w:t>
            </w:r>
            <w:r w:rsidR="00DA5D5A" w:rsidRPr="00161C60">
              <w:rPr>
                <w:rFonts w:eastAsia="MS Mincho"/>
                <w:sz w:val="24"/>
                <w:szCs w:val="24"/>
              </w:rPr>
              <w:t>MK noteikumos Nr.436</w:t>
            </w:r>
            <w:r w:rsidR="001E6638" w:rsidRPr="00161C60">
              <w:rPr>
                <w:rFonts w:eastAsia="MS Mincho"/>
                <w:sz w:val="24"/>
                <w:szCs w:val="24"/>
              </w:rPr>
              <w:t xml:space="preserve"> (</w:t>
            </w:r>
            <w:r w:rsidR="008A4F5A" w:rsidRPr="00161C60">
              <w:rPr>
                <w:rFonts w:eastAsia="MS Mincho"/>
                <w:sz w:val="24"/>
                <w:szCs w:val="24"/>
              </w:rPr>
              <w:t>Noteik</w:t>
            </w:r>
            <w:r w:rsidR="00924B79" w:rsidRPr="00161C60">
              <w:rPr>
                <w:rFonts w:eastAsia="MS Mincho"/>
                <w:sz w:val="24"/>
                <w:szCs w:val="24"/>
              </w:rPr>
              <w:t>umu projekta</w:t>
            </w:r>
            <w:r w:rsidR="00B05767" w:rsidRPr="00161C60">
              <w:rPr>
                <w:rFonts w:eastAsia="MS Mincho"/>
                <w:sz w:val="24"/>
                <w:szCs w:val="24"/>
              </w:rPr>
              <w:t xml:space="preserve"> </w:t>
            </w:r>
            <w:r w:rsidR="0015405A" w:rsidRPr="00161C60">
              <w:rPr>
                <w:rFonts w:eastAsia="MS Mincho"/>
                <w:sz w:val="24"/>
                <w:szCs w:val="24"/>
              </w:rPr>
              <w:t>1.</w:t>
            </w:r>
            <w:r w:rsidR="00B05767" w:rsidRPr="00161C60">
              <w:rPr>
                <w:rFonts w:eastAsia="MS Mincho"/>
                <w:sz w:val="24"/>
                <w:szCs w:val="24"/>
              </w:rPr>
              <w:t>9</w:t>
            </w:r>
            <w:r w:rsidR="00E058ED" w:rsidRPr="00161C60">
              <w:rPr>
                <w:rFonts w:eastAsia="MS Mincho"/>
                <w:sz w:val="24"/>
                <w:szCs w:val="24"/>
              </w:rPr>
              <w:t>.apakš</w:t>
            </w:r>
            <w:r w:rsidR="002C7011" w:rsidRPr="00161C60">
              <w:rPr>
                <w:rFonts w:eastAsia="MS Mincho"/>
                <w:sz w:val="24"/>
                <w:szCs w:val="24"/>
              </w:rPr>
              <w:t>punkts)</w:t>
            </w:r>
            <w:r w:rsidR="000A4842" w:rsidRPr="00161C60">
              <w:rPr>
                <w:rFonts w:eastAsia="MS Mincho"/>
                <w:sz w:val="24"/>
                <w:szCs w:val="24"/>
              </w:rPr>
              <w:t>.</w:t>
            </w:r>
          </w:p>
          <w:p w:rsidR="007F054D" w:rsidRPr="00161C60" w:rsidRDefault="007F054D" w:rsidP="000355B5">
            <w:pPr>
              <w:pStyle w:val="CommentText"/>
              <w:jc w:val="both"/>
              <w:rPr>
                <w:b/>
                <w:sz w:val="24"/>
                <w:szCs w:val="24"/>
              </w:rPr>
            </w:pPr>
          </w:p>
          <w:p w:rsidR="003A5350" w:rsidRPr="00161C60" w:rsidRDefault="00E25F74" w:rsidP="00641DA4">
            <w:pPr>
              <w:pStyle w:val="CommentText"/>
              <w:jc w:val="both"/>
              <w:rPr>
                <w:sz w:val="24"/>
                <w:szCs w:val="24"/>
              </w:rPr>
            </w:pPr>
            <w:r w:rsidRPr="00161C60">
              <w:rPr>
                <w:sz w:val="24"/>
                <w:szCs w:val="24"/>
              </w:rPr>
              <w:t>3</w:t>
            </w:r>
            <w:r w:rsidR="00217D1D" w:rsidRPr="00161C60">
              <w:rPr>
                <w:sz w:val="24"/>
                <w:szCs w:val="24"/>
              </w:rPr>
              <w:t xml:space="preserve">) Tehnisks precizējums </w:t>
            </w:r>
            <w:r w:rsidR="000355B5" w:rsidRPr="00161C60">
              <w:rPr>
                <w:sz w:val="24"/>
                <w:szCs w:val="24"/>
              </w:rPr>
              <w:t xml:space="preserve">nepieciešams, lai MK noteikumu Nr.416 31.2.6.punkta normu saskaņotu ar MK noteikumu </w:t>
            </w:r>
            <w:r w:rsidR="00CC2073" w:rsidRPr="00161C60">
              <w:rPr>
                <w:sz w:val="24"/>
                <w:szCs w:val="24"/>
              </w:rPr>
              <w:t xml:space="preserve">N.416 </w:t>
            </w:r>
            <w:r w:rsidR="000355B5" w:rsidRPr="00161C60">
              <w:rPr>
                <w:sz w:val="24"/>
                <w:szCs w:val="24"/>
              </w:rPr>
              <w:t>12.4.apakšpunkta normu (Noteikumu pr</w:t>
            </w:r>
            <w:r w:rsidR="00924B79" w:rsidRPr="00161C60">
              <w:rPr>
                <w:sz w:val="24"/>
                <w:szCs w:val="24"/>
              </w:rPr>
              <w:t xml:space="preserve">ojekta </w:t>
            </w:r>
            <w:r w:rsidR="00E058ED" w:rsidRPr="00161C60">
              <w:rPr>
                <w:sz w:val="24"/>
                <w:szCs w:val="24"/>
              </w:rPr>
              <w:t>1.</w:t>
            </w:r>
            <w:r w:rsidR="0015405A" w:rsidRPr="00161C60">
              <w:rPr>
                <w:sz w:val="24"/>
                <w:szCs w:val="24"/>
              </w:rPr>
              <w:t>1</w:t>
            </w:r>
            <w:r w:rsidR="00557D2F" w:rsidRPr="00161C60">
              <w:rPr>
                <w:sz w:val="24"/>
                <w:szCs w:val="24"/>
              </w:rPr>
              <w:t>2</w:t>
            </w:r>
            <w:r w:rsidR="000355B5" w:rsidRPr="00161C60">
              <w:rPr>
                <w:sz w:val="24"/>
                <w:szCs w:val="24"/>
              </w:rPr>
              <w:t>.</w:t>
            </w:r>
            <w:r w:rsidR="00E058ED" w:rsidRPr="00161C60">
              <w:rPr>
                <w:sz w:val="24"/>
                <w:szCs w:val="24"/>
              </w:rPr>
              <w:t>apakš</w:t>
            </w:r>
            <w:r w:rsidR="000355B5" w:rsidRPr="00161C60">
              <w:rPr>
                <w:sz w:val="24"/>
                <w:szCs w:val="24"/>
              </w:rPr>
              <w:t>punkts)</w:t>
            </w:r>
            <w:r w:rsidR="0012188F" w:rsidRPr="00161C60">
              <w:rPr>
                <w:sz w:val="24"/>
                <w:szCs w:val="24"/>
              </w:rPr>
              <w:t>.</w:t>
            </w:r>
          </w:p>
          <w:p w:rsidR="007C632F" w:rsidRPr="00161C60" w:rsidRDefault="007C632F" w:rsidP="00522345">
            <w:pPr>
              <w:pStyle w:val="CommentText"/>
              <w:jc w:val="both"/>
              <w:rPr>
                <w:sz w:val="24"/>
                <w:szCs w:val="24"/>
              </w:rPr>
            </w:pPr>
          </w:p>
          <w:p w:rsidR="00522345" w:rsidRPr="00161C60" w:rsidRDefault="00D375ED" w:rsidP="00FE1674">
            <w:pPr>
              <w:jc w:val="both"/>
            </w:pPr>
            <w:r w:rsidRPr="00161C60">
              <w:t>4</w:t>
            </w:r>
            <w:r w:rsidR="00522345" w:rsidRPr="00161C60">
              <w:t>)</w:t>
            </w:r>
            <w:r w:rsidR="00D0651A" w:rsidRPr="00161C60">
              <w:t> </w:t>
            </w:r>
            <w:r w:rsidR="00522345" w:rsidRPr="00161C60">
              <w:t xml:space="preserve">Grozījums </w:t>
            </w:r>
            <w:r w:rsidR="0015405A" w:rsidRPr="00161C60">
              <w:t>Noteikumu projekta 1.2</w:t>
            </w:r>
            <w:r w:rsidR="00557D2F" w:rsidRPr="00161C60">
              <w:t>2</w:t>
            </w:r>
            <w:r w:rsidR="00327981" w:rsidRPr="00161C60">
              <w:t>.apakš</w:t>
            </w:r>
            <w:r w:rsidR="00522345" w:rsidRPr="00161C60">
              <w:t xml:space="preserve">punktā nodrošinot </w:t>
            </w:r>
            <w:r w:rsidR="00D0651A" w:rsidRPr="00161C60">
              <w:t xml:space="preserve">arī </w:t>
            </w:r>
            <w:r w:rsidR="00522345" w:rsidRPr="00161C60">
              <w:t xml:space="preserve">atbilstību </w:t>
            </w:r>
            <w:r w:rsidR="00FE1674" w:rsidRPr="00161C60">
              <w:t xml:space="preserve">MK noteikumi Nr.108 3.punktam, izslēdzot normas, kas dublē tāda paša spēka normatīvā akta tiesību normās </w:t>
            </w:r>
            <w:r w:rsidR="00043B33" w:rsidRPr="00161C60">
              <w:t xml:space="preserve">(MK noteikumi Nr.57) </w:t>
            </w:r>
            <w:r w:rsidR="00FE1674" w:rsidRPr="00161C60">
              <w:t xml:space="preserve">ietverto normatīvo regulējumu. </w:t>
            </w:r>
          </w:p>
          <w:p w:rsidR="008C60A4" w:rsidRPr="00161C60" w:rsidRDefault="008C60A4" w:rsidP="00FE1674">
            <w:pPr>
              <w:jc w:val="both"/>
            </w:pPr>
          </w:p>
          <w:p w:rsidR="00070E2B" w:rsidRPr="00161C60" w:rsidRDefault="00D375ED" w:rsidP="00070E2B">
            <w:pPr>
              <w:pStyle w:val="CommentText"/>
              <w:jc w:val="both"/>
              <w:rPr>
                <w:sz w:val="24"/>
                <w:szCs w:val="24"/>
              </w:rPr>
            </w:pPr>
            <w:r w:rsidRPr="00161C60">
              <w:rPr>
                <w:sz w:val="24"/>
                <w:szCs w:val="24"/>
              </w:rPr>
              <w:t>5</w:t>
            </w:r>
            <w:r w:rsidR="000A2B97" w:rsidRPr="00161C60">
              <w:rPr>
                <w:sz w:val="24"/>
                <w:szCs w:val="24"/>
              </w:rPr>
              <w:t>) </w:t>
            </w:r>
            <w:r w:rsidR="008E1C53" w:rsidRPr="00161C60">
              <w:rPr>
                <w:sz w:val="24"/>
                <w:szCs w:val="24"/>
              </w:rPr>
              <w:t xml:space="preserve">Tā kā saskaņā ar pašreizējo regulējumu MK Noteikumos Nr.416 paralēli importēto zāļu izplatīšanas atļaujas netiek pārreģistrētas, tās tiek izsniegtas uz nenoteiktu laiku, MK noteikumu Nr.416 55.4.apakšpunkta norma nav izpildāma, un tā tiek svītrota </w:t>
            </w:r>
            <w:r w:rsidR="00070E2B" w:rsidRPr="00161C60">
              <w:rPr>
                <w:sz w:val="24"/>
                <w:szCs w:val="24"/>
              </w:rPr>
              <w:t xml:space="preserve">(Noteikumu projekta </w:t>
            </w:r>
            <w:r w:rsidR="00327981" w:rsidRPr="00161C60">
              <w:rPr>
                <w:sz w:val="24"/>
                <w:szCs w:val="24"/>
              </w:rPr>
              <w:t>1.</w:t>
            </w:r>
            <w:r w:rsidR="00557D2F" w:rsidRPr="00161C60">
              <w:rPr>
                <w:sz w:val="24"/>
                <w:szCs w:val="24"/>
              </w:rPr>
              <w:t>26</w:t>
            </w:r>
            <w:r w:rsidR="00E25F74" w:rsidRPr="00161C60">
              <w:rPr>
                <w:sz w:val="24"/>
                <w:szCs w:val="24"/>
              </w:rPr>
              <w:t>.</w:t>
            </w:r>
            <w:r w:rsidR="00327981" w:rsidRPr="00161C60">
              <w:rPr>
                <w:sz w:val="24"/>
                <w:szCs w:val="24"/>
              </w:rPr>
              <w:t>apakš</w:t>
            </w:r>
            <w:r w:rsidR="00070E2B" w:rsidRPr="00161C60">
              <w:rPr>
                <w:sz w:val="24"/>
                <w:szCs w:val="24"/>
              </w:rPr>
              <w:t>punkts</w:t>
            </w:r>
            <w:r w:rsidR="00441C3B" w:rsidRPr="00161C60">
              <w:rPr>
                <w:sz w:val="24"/>
                <w:szCs w:val="24"/>
              </w:rPr>
              <w:t xml:space="preserve">), vienlaicīgi tiek precizēts arī MK noteikumu Nr.416 </w:t>
            </w:r>
            <w:r w:rsidR="00995EC1" w:rsidRPr="00161C60">
              <w:rPr>
                <w:sz w:val="24"/>
                <w:szCs w:val="24"/>
              </w:rPr>
              <w:t xml:space="preserve">1.pielikums </w:t>
            </w:r>
            <w:r w:rsidR="00441C3B" w:rsidRPr="00161C60">
              <w:rPr>
                <w:sz w:val="24"/>
                <w:szCs w:val="24"/>
              </w:rPr>
              <w:t>(</w:t>
            </w:r>
            <w:r w:rsidR="002B044B" w:rsidRPr="00161C60">
              <w:rPr>
                <w:sz w:val="24"/>
                <w:szCs w:val="24"/>
              </w:rPr>
              <w:t xml:space="preserve">Noteikumu projekta </w:t>
            </w:r>
            <w:r w:rsidR="00B660CE" w:rsidRPr="00161C60">
              <w:rPr>
                <w:sz w:val="24"/>
                <w:szCs w:val="24"/>
              </w:rPr>
              <w:t>1.</w:t>
            </w:r>
            <w:r w:rsidR="00261867" w:rsidRPr="00161C60">
              <w:rPr>
                <w:sz w:val="24"/>
                <w:szCs w:val="24"/>
              </w:rPr>
              <w:t>65</w:t>
            </w:r>
            <w:r w:rsidR="00441C3B" w:rsidRPr="00161C60">
              <w:rPr>
                <w:sz w:val="24"/>
                <w:szCs w:val="24"/>
              </w:rPr>
              <w:t>.apakšpunkts)</w:t>
            </w:r>
            <w:r w:rsidR="00F13DF6" w:rsidRPr="00161C60">
              <w:rPr>
                <w:sz w:val="24"/>
                <w:szCs w:val="24"/>
              </w:rPr>
              <w:t>.</w:t>
            </w:r>
          </w:p>
          <w:p w:rsidR="00217D1D" w:rsidRPr="00161C60" w:rsidRDefault="00217D1D" w:rsidP="00217D1D">
            <w:pPr>
              <w:pStyle w:val="CommentText"/>
              <w:jc w:val="both"/>
              <w:rPr>
                <w:sz w:val="24"/>
                <w:szCs w:val="24"/>
              </w:rPr>
            </w:pPr>
          </w:p>
          <w:p w:rsidR="001A3893" w:rsidRPr="00161C60" w:rsidRDefault="00D375ED" w:rsidP="001A3893">
            <w:pPr>
              <w:pStyle w:val="NoSpacing"/>
              <w:jc w:val="both"/>
              <w:rPr>
                <w:rFonts w:ascii="Times New Roman" w:hAnsi="Times New Roman"/>
                <w:sz w:val="24"/>
                <w:szCs w:val="24"/>
                <w:lang w:val="lv-LV"/>
              </w:rPr>
            </w:pPr>
            <w:r w:rsidRPr="00161C60">
              <w:rPr>
                <w:rFonts w:ascii="Times New Roman" w:hAnsi="Times New Roman"/>
                <w:sz w:val="24"/>
                <w:szCs w:val="24"/>
                <w:lang w:val="lv-LV"/>
              </w:rPr>
              <w:t>6</w:t>
            </w:r>
            <w:r w:rsidR="003C66D6" w:rsidRPr="00161C60">
              <w:rPr>
                <w:rFonts w:ascii="Times New Roman" w:hAnsi="Times New Roman"/>
                <w:sz w:val="24"/>
                <w:szCs w:val="24"/>
                <w:lang w:val="lv-LV"/>
              </w:rPr>
              <w:t>) </w:t>
            </w:r>
            <w:r w:rsidR="0023629E" w:rsidRPr="00161C60">
              <w:rPr>
                <w:rFonts w:ascii="Times New Roman" w:hAnsi="Times New Roman"/>
                <w:sz w:val="24"/>
                <w:szCs w:val="24"/>
                <w:lang w:val="lv-LV"/>
              </w:rPr>
              <w:t xml:space="preserve">Tehniski tiek precizēta zāļu labas izplatīšanas prakses sertifikāta forma </w:t>
            </w:r>
            <w:r w:rsidR="00C068B2" w:rsidRPr="00161C60">
              <w:rPr>
                <w:rFonts w:ascii="Times New Roman" w:hAnsi="Times New Roman"/>
                <w:sz w:val="24"/>
                <w:szCs w:val="24"/>
                <w:lang w:val="lv-LV"/>
              </w:rPr>
              <w:t>atsaucēs uz EK tiesību regulējuma pantiem, norādē par sertifikāta derīgumu, to, kā var pārbaudīt sertifikāta un licences autentiskumu, kā arī sertifikāta tehnisko noformējumu (Noteik</w:t>
            </w:r>
            <w:r w:rsidR="00E07029" w:rsidRPr="00161C60">
              <w:rPr>
                <w:rFonts w:ascii="Times New Roman" w:hAnsi="Times New Roman"/>
                <w:sz w:val="24"/>
                <w:szCs w:val="24"/>
                <w:lang w:val="lv-LV"/>
              </w:rPr>
              <w:t xml:space="preserve">umu </w:t>
            </w:r>
            <w:r w:rsidR="00114EF7" w:rsidRPr="00161C60">
              <w:rPr>
                <w:rFonts w:ascii="Times New Roman" w:hAnsi="Times New Roman"/>
                <w:sz w:val="24"/>
                <w:szCs w:val="24"/>
                <w:lang w:val="lv-LV"/>
              </w:rPr>
              <w:t xml:space="preserve">projekta </w:t>
            </w:r>
            <w:r w:rsidR="00270D41" w:rsidRPr="00161C60">
              <w:rPr>
                <w:rFonts w:ascii="Times New Roman" w:hAnsi="Times New Roman"/>
                <w:sz w:val="24"/>
                <w:szCs w:val="24"/>
                <w:lang w:val="lv-LV"/>
              </w:rPr>
              <w:t>1.</w:t>
            </w:r>
            <w:r w:rsidR="00064110" w:rsidRPr="00161C60">
              <w:rPr>
                <w:rFonts w:ascii="Times New Roman" w:hAnsi="Times New Roman"/>
                <w:sz w:val="24"/>
                <w:szCs w:val="24"/>
                <w:lang w:val="lv-LV"/>
              </w:rPr>
              <w:t>79</w:t>
            </w:r>
            <w:r w:rsidR="00A07329" w:rsidRPr="00161C60">
              <w:rPr>
                <w:rFonts w:ascii="Times New Roman" w:hAnsi="Times New Roman"/>
                <w:sz w:val="24"/>
                <w:szCs w:val="24"/>
                <w:lang w:val="lv-LV"/>
              </w:rPr>
              <w:t>.apakšpunkts</w:t>
            </w:r>
            <w:r w:rsidR="0046227A" w:rsidRPr="00161C60">
              <w:rPr>
                <w:rFonts w:ascii="Times New Roman" w:hAnsi="Times New Roman"/>
                <w:sz w:val="24"/>
                <w:szCs w:val="24"/>
                <w:lang w:val="lv-LV"/>
              </w:rPr>
              <w:t xml:space="preserve">) atbilstoši EK inspekcijas procedūrā </w:t>
            </w:r>
            <w:r w:rsidR="00494C17" w:rsidRPr="00161C60">
              <w:rPr>
                <w:rFonts w:ascii="Times New Roman" w:hAnsi="Times New Roman"/>
                <w:sz w:val="24"/>
                <w:szCs w:val="24"/>
                <w:lang w:val="lv-LV"/>
              </w:rPr>
              <w:t xml:space="preserve">ietvertajai vienotajai formai. </w:t>
            </w:r>
            <w:r w:rsidR="0046227A" w:rsidRPr="00161C60">
              <w:rPr>
                <w:rFonts w:ascii="Times New Roman" w:hAnsi="Times New Roman"/>
                <w:i/>
                <w:sz w:val="24"/>
                <w:szCs w:val="24"/>
                <w:lang w:val="lv-LV"/>
              </w:rPr>
              <w:t>Skatīt</w:t>
            </w:r>
            <w:r w:rsidR="001A3893" w:rsidRPr="00161C60">
              <w:rPr>
                <w:rFonts w:ascii="Times New Roman" w:hAnsi="Times New Roman"/>
                <w:i/>
                <w:sz w:val="24"/>
                <w:szCs w:val="24"/>
                <w:lang w:val="lv-LV"/>
              </w:rPr>
              <w:t xml:space="preserve">: </w:t>
            </w:r>
            <w:hyperlink r:id="rId21" w:history="1">
              <w:r w:rsidR="001A3893" w:rsidRPr="00161C60">
                <w:rPr>
                  <w:rStyle w:val="Hyperlink"/>
                  <w:rFonts w:ascii="Times New Roman" w:hAnsi="Times New Roman"/>
                  <w:i/>
                  <w:color w:val="auto"/>
                  <w:sz w:val="24"/>
                  <w:szCs w:val="24"/>
                  <w:lang w:val="lv-LV"/>
                </w:rPr>
                <w:t>http://www.ema.europa.eu/ema/index.jsp?curl=pages/regulation/document_listing/document_listing_000156.jsp&amp;mid=WC0b01ac0580&gt;0296cb</w:t>
              </w:r>
            </w:hyperlink>
          </w:p>
          <w:p w:rsidR="00C068B2" w:rsidRPr="00161C60" w:rsidRDefault="00C068B2" w:rsidP="00217D1D">
            <w:pPr>
              <w:pStyle w:val="CommentText"/>
              <w:jc w:val="both"/>
              <w:rPr>
                <w:sz w:val="24"/>
                <w:szCs w:val="24"/>
              </w:rPr>
            </w:pPr>
          </w:p>
          <w:p w:rsidR="00157482" w:rsidRPr="00161C60" w:rsidRDefault="00D375ED" w:rsidP="00641DA4">
            <w:pPr>
              <w:pStyle w:val="CommentText"/>
              <w:jc w:val="both"/>
              <w:rPr>
                <w:sz w:val="24"/>
                <w:szCs w:val="24"/>
              </w:rPr>
            </w:pPr>
            <w:r w:rsidRPr="00161C60">
              <w:rPr>
                <w:sz w:val="24"/>
                <w:szCs w:val="24"/>
              </w:rPr>
              <w:lastRenderedPageBreak/>
              <w:t>7</w:t>
            </w:r>
            <w:r w:rsidR="00217D1D" w:rsidRPr="00161C60">
              <w:rPr>
                <w:sz w:val="24"/>
                <w:szCs w:val="24"/>
              </w:rPr>
              <w:t>) Tehnisks kļūdas labojums (Noteikumu pr</w:t>
            </w:r>
            <w:r w:rsidR="00AE41BA" w:rsidRPr="00161C60">
              <w:rPr>
                <w:sz w:val="24"/>
                <w:szCs w:val="24"/>
              </w:rPr>
              <w:t xml:space="preserve">ojekta </w:t>
            </w:r>
            <w:r w:rsidR="00EB5B02" w:rsidRPr="00161C60">
              <w:rPr>
                <w:sz w:val="24"/>
                <w:szCs w:val="24"/>
              </w:rPr>
              <w:t>1.</w:t>
            </w:r>
            <w:r w:rsidR="00AB4182" w:rsidRPr="00161C60">
              <w:rPr>
                <w:sz w:val="24"/>
                <w:szCs w:val="24"/>
              </w:rPr>
              <w:t>72</w:t>
            </w:r>
            <w:r w:rsidR="00494C17" w:rsidRPr="00161C60">
              <w:rPr>
                <w:sz w:val="24"/>
                <w:szCs w:val="24"/>
              </w:rPr>
              <w:t>.apakšpunkts</w:t>
            </w:r>
            <w:r w:rsidR="00217D1D" w:rsidRPr="00161C60">
              <w:rPr>
                <w:sz w:val="24"/>
                <w:szCs w:val="24"/>
              </w:rPr>
              <w:t>).</w:t>
            </w:r>
          </w:p>
          <w:p w:rsidR="008E1C53" w:rsidRPr="00161C60" w:rsidRDefault="008E1C53" w:rsidP="00494C17">
            <w:pPr>
              <w:pStyle w:val="CommentText"/>
              <w:jc w:val="both"/>
              <w:rPr>
                <w:sz w:val="24"/>
                <w:szCs w:val="24"/>
              </w:rPr>
            </w:pPr>
          </w:p>
          <w:p w:rsidR="00EE2013" w:rsidRPr="00161C60" w:rsidRDefault="00D375ED" w:rsidP="00494C17">
            <w:pPr>
              <w:pStyle w:val="CommentText"/>
              <w:jc w:val="both"/>
              <w:rPr>
                <w:sz w:val="24"/>
                <w:szCs w:val="24"/>
              </w:rPr>
            </w:pPr>
            <w:r w:rsidRPr="00161C60">
              <w:rPr>
                <w:sz w:val="24"/>
                <w:szCs w:val="24"/>
              </w:rPr>
              <w:t>8</w:t>
            </w:r>
            <w:r w:rsidR="00400F22" w:rsidRPr="00161C60">
              <w:rPr>
                <w:sz w:val="24"/>
                <w:szCs w:val="24"/>
              </w:rPr>
              <w:t>) </w:t>
            </w:r>
            <w:r w:rsidR="008E1C53" w:rsidRPr="00161C60">
              <w:rPr>
                <w:sz w:val="24"/>
                <w:szCs w:val="24"/>
              </w:rPr>
              <w:t xml:space="preserve">Tehniski precizēts MK noteikumu 146.5.apakšpunkts, precizējot atsauci uz izsniegtajām atļaujām </w:t>
            </w:r>
            <w:r w:rsidR="00EB5B02" w:rsidRPr="00161C60">
              <w:rPr>
                <w:sz w:val="24"/>
                <w:szCs w:val="24"/>
              </w:rPr>
              <w:t>(Noteikumu projekta 1.</w:t>
            </w:r>
            <w:r w:rsidRPr="00161C60">
              <w:rPr>
                <w:sz w:val="24"/>
                <w:szCs w:val="24"/>
              </w:rPr>
              <w:t>57</w:t>
            </w:r>
            <w:r w:rsidR="008E1C53" w:rsidRPr="00161C60">
              <w:rPr>
                <w:sz w:val="24"/>
                <w:szCs w:val="24"/>
              </w:rPr>
              <w:t>.apakšpunkts).</w:t>
            </w:r>
            <w:r w:rsidR="00EE2013" w:rsidRPr="00161C60">
              <w:rPr>
                <w:sz w:val="24"/>
                <w:szCs w:val="24"/>
              </w:rPr>
              <w:t xml:space="preserve"> </w:t>
            </w:r>
          </w:p>
          <w:p w:rsidR="00C12AD1" w:rsidRPr="00161C60" w:rsidRDefault="00C12AD1" w:rsidP="00494C17">
            <w:pPr>
              <w:pStyle w:val="CommentText"/>
              <w:jc w:val="both"/>
              <w:rPr>
                <w:sz w:val="24"/>
                <w:szCs w:val="24"/>
              </w:rPr>
            </w:pPr>
          </w:p>
          <w:p w:rsidR="0054370D" w:rsidRPr="00161C60" w:rsidRDefault="00D375ED" w:rsidP="0054370D">
            <w:pPr>
              <w:pStyle w:val="NoSpacing"/>
              <w:jc w:val="both"/>
              <w:rPr>
                <w:rFonts w:ascii="Times New Roman" w:hAnsi="Times New Roman"/>
                <w:sz w:val="24"/>
                <w:szCs w:val="24"/>
                <w:lang w:val="lv-LV"/>
              </w:rPr>
            </w:pPr>
            <w:r w:rsidRPr="00161C60">
              <w:rPr>
                <w:rFonts w:ascii="Times New Roman" w:hAnsi="Times New Roman"/>
                <w:sz w:val="24"/>
                <w:szCs w:val="24"/>
                <w:lang w:val="lv-LV"/>
              </w:rPr>
              <w:t>9</w:t>
            </w:r>
            <w:r w:rsidR="0054370D" w:rsidRPr="00161C60">
              <w:rPr>
                <w:rFonts w:ascii="Times New Roman" w:hAnsi="Times New Roman"/>
                <w:sz w:val="24"/>
                <w:szCs w:val="24"/>
                <w:lang w:val="lv-LV"/>
              </w:rPr>
              <w:t xml:space="preserve">) MK. </w:t>
            </w:r>
            <w:r w:rsidR="00A6036D" w:rsidRPr="00161C60">
              <w:rPr>
                <w:rFonts w:ascii="Times New Roman" w:hAnsi="Times New Roman"/>
                <w:sz w:val="24"/>
                <w:szCs w:val="24"/>
                <w:lang w:val="lv-LV"/>
              </w:rPr>
              <w:t>notei</w:t>
            </w:r>
            <w:r w:rsidR="0054370D" w:rsidRPr="00161C60">
              <w:rPr>
                <w:rFonts w:ascii="Times New Roman" w:hAnsi="Times New Roman"/>
                <w:sz w:val="24"/>
                <w:szCs w:val="24"/>
                <w:lang w:val="lv-LV"/>
              </w:rPr>
              <w:t>kumu Nr.416 41.4.1.apakšpunkts norma tiek saskaņota ar  grozījumiem MK noteikumos Nr.57, lai konkretizētu paralēli importētām zālēm un nereģistrētajām zālēm prasības zāļu marķējumā un lietošanas instrukcijās. Grozījumi MK noteikumos Nr.57 ir izsludināti Valsts sekretāru sanāksmē 2015.gada 16.aprīlī (VSS protokols Nr.15, 30.</w:t>
            </w:r>
            <w:r w:rsidR="0054370D" w:rsidRPr="00161C60">
              <w:rPr>
                <w:rFonts w:ascii="Times New Roman" w:hAnsi="Times New Roman"/>
                <w:bCs/>
                <w:sz w:val="24"/>
                <w:szCs w:val="24"/>
                <w:lang w:val="lv-LV"/>
              </w:rPr>
              <w:t>§</w:t>
            </w:r>
            <w:r w:rsidR="0054370D" w:rsidRPr="00161C60">
              <w:rPr>
                <w:rFonts w:ascii="Times New Roman" w:hAnsi="Times New Roman"/>
                <w:sz w:val="24"/>
                <w:szCs w:val="24"/>
                <w:lang w:val="lv-LV"/>
              </w:rPr>
              <w:t>, VSS - 330)</w:t>
            </w:r>
            <w:r w:rsidR="002B21E2" w:rsidRPr="00161C60">
              <w:rPr>
                <w:rFonts w:ascii="Times New Roman" w:hAnsi="Times New Roman"/>
                <w:sz w:val="24"/>
                <w:szCs w:val="24"/>
                <w:lang w:val="lv-LV"/>
              </w:rPr>
              <w:t xml:space="preserve"> (Noteikumu </w:t>
            </w:r>
            <w:proofErr w:type="spellStart"/>
            <w:r w:rsidR="002B21E2" w:rsidRPr="00161C60">
              <w:rPr>
                <w:rFonts w:ascii="Times New Roman" w:hAnsi="Times New Roman"/>
                <w:sz w:val="24"/>
                <w:szCs w:val="24"/>
                <w:lang w:val="lv-LV"/>
              </w:rPr>
              <w:t>orjekta</w:t>
            </w:r>
            <w:proofErr w:type="spellEnd"/>
            <w:r w:rsidR="002B21E2" w:rsidRPr="00161C60">
              <w:rPr>
                <w:rFonts w:ascii="Times New Roman" w:hAnsi="Times New Roman"/>
                <w:sz w:val="24"/>
                <w:szCs w:val="24"/>
                <w:lang w:val="lv-LV"/>
              </w:rPr>
              <w:t xml:space="preserve"> 1.21</w:t>
            </w:r>
            <w:r w:rsidR="0054370D" w:rsidRPr="00161C60">
              <w:rPr>
                <w:rFonts w:ascii="Times New Roman" w:hAnsi="Times New Roman"/>
                <w:sz w:val="24"/>
                <w:szCs w:val="24"/>
                <w:lang w:val="lv-LV"/>
              </w:rPr>
              <w:t>.apakšpunkts).</w:t>
            </w:r>
          </w:p>
          <w:p w:rsidR="0054370D" w:rsidRPr="00161C60" w:rsidRDefault="0054370D" w:rsidP="008E1C53">
            <w:pPr>
              <w:pStyle w:val="CommentText"/>
              <w:jc w:val="both"/>
              <w:rPr>
                <w:sz w:val="24"/>
                <w:szCs w:val="24"/>
              </w:rPr>
            </w:pPr>
            <w:r w:rsidRPr="00161C60">
              <w:rPr>
                <w:sz w:val="24"/>
                <w:szCs w:val="24"/>
              </w:rPr>
              <w:t xml:space="preserve"> </w:t>
            </w:r>
          </w:p>
          <w:p w:rsidR="001D6ED7" w:rsidRPr="00161C60" w:rsidRDefault="004048F0" w:rsidP="008E1C53">
            <w:pPr>
              <w:pStyle w:val="CommentText"/>
              <w:jc w:val="both"/>
              <w:rPr>
                <w:b/>
                <w:sz w:val="24"/>
                <w:szCs w:val="24"/>
              </w:rPr>
            </w:pPr>
            <w:r w:rsidRPr="00161C60">
              <w:rPr>
                <w:b/>
                <w:sz w:val="24"/>
                <w:szCs w:val="24"/>
              </w:rPr>
              <w:t>13.</w:t>
            </w:r>
            <w:r w:rsidR="00400F22" w:rsidRPr="00161C60">
              <w:rPr>
                <w:b/>
                <w:sz w:val="24"/>
                <w:szCs w:val="24"/>
              </w:rPr>
              <w:t> </w:t>
            </w:r>
            <w:r w:rsidR="001D6ED7" w:rsidRPr="00161C60">
              <w:rPr>
                <w:b/>
                <w:sz w:val="24"/>
                <w:szCs w:val="24"/>
              </w:rPr>
              <w:t>Par pārejas periodu</w:t>
            </w:r>
          </w:p>
          <w:p w:rsidR="001A257C" w:rsidRPr="00161C60" w:rsidRDefault="00C12AD1" w:rsidP="00233748">
            <w:pPr>
              <w:pStyle w:val="CommentText"/>
              <w:jc w:val="both"/>
              <w:rPr>
                <w:sz w:val="24"/>
                <w:szCs w:val="24"/>
              </w:rPr>
            </w:pPr>
            <w:r w:rsidRPr="00161C60">
              <w:rPr>
                <w:sz w:val="24"/>
                <w:szCs w:val="24"/>
              </w:rPr>
              <w:t xml:space="preserve">Grozījumiem noteikts pārejas periods līdz </w:t>
            </w:r>
            <w:r w:rsidR="00845EB2" w:rsidRPr="00161C60">
              <w:rPr>
                <w:sz w:val="24"/>
                <w:szCs w:val="24"/>
              </w:rPr>
              <w:t xml:space="preserve">2016.gada 1.martam </w:t>
            </w:r>
            <w:r w:rsidRPr="00161C60">
              <w:rPr>
                <w:sz w:val="24"/>
                <w:szCs w:val="24"/>
              </w:rPr>
              <w:t>(Noteikumu projekta 2.punkts), lai persona, uz kuru normatīvais regulējums attiecas, var laicīgi iepazīties ar normām.</w:t>
            </w:r>
          </w:p>
        </w:tc>
      </w:tr>
      <w:tr w:rsidR="00E56B62" w:rsidRPr="00161C60" w:rsidTr="00A60AEA">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161C60" w:rsidRDefault="0008549E" w:rsidP="00F621BF">
            <w:pPr>
              <w:spacing w:before="100" w:beforeAutospacing="1" w:after="100" w:afterAutospacing="1" w:line="360" w:lineRule="auto"/>
              <w:jc w:val="center"/>
            </w:pPr>
            <w:r w:rsidRPr="00161C60">
              <w:lastRenderedPageBreak/>
              <w:t>3.</w:t>
            </w:r>
          </w:p>
        </w:tc>
        <w:tc>
          <w:tcPr>
            <w:tcW w:w="856" w:type="pct"/>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Projekta izstrādē iesaistītās institūcijas</w:t>
            </w:r>
          </w:p>
        </w:tc>
        <w:tc>
          <w:tcPr>
            <w:tcW w:w="3893" w:type="pct"/>
            <w:tcBorders>
              <w:top w:val="outset" w:sz="6" w:space="0" w:color="414142"/>
              <w:left w:val="outset" w:sz="6" w:space="0" w:color="414142"/>
              <w:bottom w:val="outset" w:sz="6" w:space="0" w:color="414142"/>
              <w:right w:val="outset" w:sz="6" w:space="0" w:color="414142"/>
            </w:tcBorders>
            <w:hideMark/>
          </w:tcPr>
          <w:p w:rsidR="0008549E" w:rsidRPr="00161C60" w:rsidRDefault="004F0631" w:rsidP="00883B9C">
            <w:pPr>
              <w:spacing w:before="75" w:after="75"/>
            </w:pPr>
            <w:r w:rsidRPr="00161C60">
              <w:t>A</w:t>
            </w:r>
            <w:r w:rsidR="00725824" w:rsidRPr="00161C60">
              <w:t>ģentūra</w:t>
            </w:r>
            <w:r w:rsidR="006F1EFA" w:rsidRPr="00161C60">
              <w:t xml:space="preserve"> un</w:t>
            </w:r>
            <w:r w:rsidR="008728A9" w:rsidRPr="00161C60">
              <w:t xml:space="preserve"> </w:t>
            </w:r>
            <w:r w:rsidR="00883B9C" w:rsidRPr="00161C60">
              <w:t>I</w:t>
            </w:r>
            <w:r w:rsidR="006F1EFA" w:rsidRPr="00161C60">
              <w:t>nspekcija</w:t>
            </w:r>
          </w:p>
        </w:tc>
      </w:tr>
      <w:tr w:rsidR="0008549E" w:rsidRPr="00161C60" w:rsidTr="00A60AEA">
        <w:tc>
          <w:tcPr>
            <w:tcW w:w="251" w:type="pct"/>
            <w:tcBorders>
              <w:top w:val="outset" w:sz="6" w:space="0" w:color="414142"/>
              <w:left w:val="outset" w:sz="6" w:space="0" w:color="414142"/>
              <w:bottom w:val="outset" w:sz="6" w:space="0" w:color="414142"/>
              <w:right w:val="outset" w:sz="6" w:space="0" w:color="414142"/>
            </w:tcBorders>
            <w:hideMark/>
          </w:tcPr>
          <w:p w:rsidR="0008549E" w:rsidRPr="00161C60" w:rsidRDefault="0008549E" w:rsidP="00F621BF">
            <w:pPr>
              <w:spacing w:before="100" w:beforeAutospacing="1" w:after="100" w:afterAutospacing="1" w:line="360" w:lineRule="auto"/>
              <w:jc w:val="center"/>
            </w:pPr>
            <w:r w:rsidRPr="00161C60">
              <w:t>4.</w:t>
            </w:r>
          </w:p>
        </w:tc>
        <w:tc>
          <w:tcPr>
            <w:tcW w:w="856" w:type="pct"/>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Cita informācija</w:t>
            </w:r>
          </w:p>
        </w:tc>
        <w:tc>
          <w:tcPr>
            <w:tcW w:w="3893" w:type="pct"/>
            <w:tcBorders>
              <w:top w:val="outset" w:sz="6" w:space="0" w:color="414142"/>
              <w:left w:val="outset" w:sz="6" w:space="0" w:color="414142"/>
              <w:bottom w:val="outset" w:sz="6" w:space="0" w:color="414142"/>
              <w:right w:val="outset" w:sz="6" w:space="0" w:color="414142"/>
            </w:tcBorders>
            <w:hideMark/>
          </w:tcPr>
          <w:p w:rsidR="00606903" w:rsidRPr="00161C60" w:rsidRDefault="001A0C6A" w:rsidP="00C10394">
            <w:pPr>
              <w:autoSpaceDE w:val="0"/>
              <w:autoSpaceDN w:val="0"/>
              <w:adjustRightInd w:val="0"/>
              <w:jc w:val="both"/>
              <w:rPr>
                <w:i/>
              </w:rPr>
            </w:pPr>
            <w:r w:rsidRPr="00161C60">
              <w:rPr>
                <w:i/>
              </w:rPr>
              <w:t>1. </w:t>
            </w:r>
            <w:r w:rsidR="00606903" w:rsidRPr="00161C60">
              <w:rPr>
                <w:i/>
              </w:rPr>
              <w:t>Informācija par zāļu ievešanu personiskai vajadzībai – ceļotāja bagāžā un saņemšanu pa pastu</w:t>
            </w:r>
          </w:p>
          <w:p w:rsidR="00783060" w:rsidRPr="00161C60" w:rsidRDefault="00783060" w:rsidP="00C10394">
            <w:pPr>
              <w:autoSpaceDE w:val="0"/>
              <w:autoSpaceDN w:val="0"/>
              <w:adjustRightInd w:val="0"/>
              <w:jc w:val="both"/>
            </w:pPr>
          </w:p>
          <w:p w:rsidR="00372119" w:rsidRPr="00161C60" w:rsidRDefault="00C10394" w:rsidP="00C10394">
            <w:pPr>
              <w:autoSpaceDE w:val="0"/>
              <w:autoSpaceDN w:val="0"/>
              <w:adjustRightInd w:val="0"/>
              <w:jc w:val="both"/>
            </w:pPr>
            <w:r w:rsidRPr="00161C60">
              <w:t xml:space="preserve">Apvienotā Karalistē, Ungārijā, Kiprā </w:t>
            </w:r>
            <w:r w:rsidR="00372119" w:rsidRPr="00161C60">
              <w:rPr>
                <w:bCs/>
              </w:rPr>
              <w:t>atļauts</w:t>
            </w:r>
            <w:r w:rsidRPr="00161C60">
              <w:t xml:space="preserve"> importēt zāles personiskajām vajadzībām no trešajām valstīm un saņemt pa pastu, piem., no </w:t>
            </w:r>
            <w:proofErr w:type="spellStart"/>
            <w:r w:rsidRPr="00161C60">
              <w:rPr>
                <w:i/>
              </w:rPr>
              <w:t>health</w:t>
            </w:r>
            <w:proofErr w:type="spellEnd"/>
            <w:r w:rsidR="003C66D6" w:rsidRPr="00161C60">
              <w:rPr>
                <w:i/>
              </w:rPr>
              <w:t xml:space="preserve"> </w:t>
            </w:r>
            <w:proofErr w:type="spellStart"/>
            <w:r w:rsidRPr="00161C60">
              <w:rPr>
                <w:i/>
              </w:rPr>
              <w:t>care</w:t>
            </w:r>
            <w:proofErr w:type="spellEnd"/>
            <w:r w:rsidR="003C66D6" w:rsidRPr="00161C60">
              <w:rPr>
                <w:i/>
              </w:rPr>
              <w:t xml:space="preserve"> </w:t>
            </w:r>
            <w:proofErr w:type="spellStart"/>
            <w:r w:rsidRPr="00161C60">
              <w:rPr>
                <w:i/>
              </w:rPr>
              <w:t>insitution</w:t>
            </w:r>
            <w:proofErr w:type="spellEnd"/>
            <w:r w:rsidR="00AB4D20" w:rsidRPr="00161C60">
              <w:t xml:space="preserve">, aptiekas, tai skaitā </w:t>
            </w:r>
            <w:proofErr w:type="spellStart"/>
            <w:r w:rsidR="00AB4D20" w:rsidRPr="00161C60">
              <w:t>Ā</w:t>
            </w:r>
            <w:r w:rsidRPr="00161C60">
              <w:t>jūrvēdas</w:t>
            </w:r>
            <w:proofErr w:type="spellEnd"/>
            <w:r w:rsidRPr="00161C60">
              <w:t xml:space="preserve"> preparātus. Savukārt Spānijā tas </w:t>
            </w:r>
            <w:r w:rsidR="00372119" w:rsidRPr="00161C60">
              <w:t>nav atļauts</w:t>
            </w:r>
            <w:r w:rsidRPr="00161C60">
              <w:t>.</w:t>
            </w:r>
            <w:r w:rsidR="003C66D6" w:rsidRPr="00161C60">
              <w:t xml:space="preserve"> </w:t>
            </w:r>
            <w:r w:rsidRPr="00161C60">
              <w:t>Ungārijā regulējums pieļauj, ka viena persona var importēt zāles priekš otras personas, bet jābūt pamatojumam, proti medicīniskai dokumentācijai (ieviest speciāls termins</w:t>
            </w:r>
            <w:r w:rsidR="00037775" w:rsidRPr="00161C60">
              <w:t> </w:t>
            </w:r>
            <w:r w:rsidR="005A30A4" w:rsidRPr="00161C60">
              <w:t>-</w:t>
            </w:r>
            <w:r w:rsidR="00037775" w:rsidRPr="00161C60">
              <w:t> </w:t>
            </w:r>
            <w:proofErr w:type="spellStart"/>
            <w:r w:rsidRPr="00161C60">
              <w:rPr>
                <w:i/>
              </w:rPr>
              <w:t>justified</w:t>
            </w:r>
            <w:proofErr w:type="spellEnd"/>
            <w:r w:rsidR="003C66D6" w:rsidRPr="00161C60">
              <w:rPr>
                <w:i/>
              </w:rPr>
              <w:t xml:space="preserve"> </w:t>
            </w:r>
            <w:proofErr w:type="spellStart"/>
            <w:r w:rsidRPr="00161C60">
              <w:rPr>
                <w:i/>
              </w:rPr>
              <w:t>quatity</w:t>
            </w:r>
            <w:proofErr w:type="spellEnd"/>
            <w:r w:rsidR="00372119" w:rsidRPr="00161C60">
              <w:rPr>
                <w:i/>
              </w:rPr>
              <w:t>)</w:t>
            </w:r>
            <w:r w:rsidRPr="00161C60">
              <w:t>. Ki</w:t>
            </w:r>
            <w:r w:rsidR="005A30A4" w:rsidRPr="00161C60">
              <w:t>prā, ievedot bezrecepšu zāles </w:t>
            </w:r>
            <w:r w:rsidR="00037775" w:rsidRPr="00161C60">
              <w:t>- </w:t>
            </w:r>
            <w:r w:rsidRPr="00161C60">
              <w:t xml:space="preserve">pacients sniedz deklarāciju, kurā viņš uzņemas pilnu </w:t>
            </w:r>
            <w:r w:rsidR="00372119" w:rsidRPr="00161C60">
              <w:t xml:space="preserve">atbildību par šo </w:t>
            </w:r>
            <w:r w:rsidR="00114EF7" w:rsidRPr="00161C60">
              <w:t>zāļu lietošanu, par citām zālēm</w:t>
            </w:r>
            <w:r w:rsidRPr="00161C60">
              <w:t>, proti</w:t>
            </w:r>
            <w:r w:rsidR="00372119" w:rsidRPr="00161C60">
              <w:t>,</w:t>
            </w:r>
            <w:r w:rsidRPr="00161C60">
              <w:t xml:space="preserve"> recepšu u.c., vajadzīga ārsta recepte. Zāles nedrīkst saturēt aizliegtas vielas, daudzums nedrīkst pārsniegt 3 mēnešu vajadzības. Informācijas lietošanas instrukcijā jābūt angļu vai grieķu valodā.</w:t>
            </w:r>
            <w:r w:rsidR="003C66D6" w:rsidRPr="00161C60">
              <w:t xml:space="preserve"> </w:t>
            </w:r>
            <w:r w:rsidRPr="00161C60">
              <w:t xml:space="preserve">Spānijā </w:t>
            </w:r>
            <w:r w:rsidR="00372119" w:rsidRPr="00161C60">
              <w:t>atļauts</w:t>
            </w:r>
            <w:r w:rsidRPr="00161C60">
              <w:t xml:space="preserve"> ievest tikai </w:t>
            </w:r>
            <w:r w:rsidR="00372119" w:rsidRPr="00161C60">
              <w:t xml:space="preserve">tās </w:t>
            </w:r>
            <w:r w:rsidRPr="00161C60">
              <w:t>zāles, kuras domātas ceļošanas laikam. Bulgārijā kritērijs ir recepte</w:t>
            </w:r>
            <w:r w:rsidR="00037775" w:rsidRPr="00161C60">
              <w:t> - </w:t>
            </w:r>
            <w:r w:rsidRPr="00161C60">
              <w:t>recepšu zālēm un atmaksājamām zālēm, atļautiem ievedamie daudzumiem jāatbilst 2</w:t>
            </w:r>
            <w:r w:rsidR="00037775" w:rsidRPr="00161C60">
              <w:t> - </w:t>
            </w:r>
            <w:r w:rsidRPr="00161C60">
              <w:t>3 mēnešu patēriņam, ievedamām zālēm jābūt oriģinālā iepakojumā. Kiprā</w:t>
            </w:r>
            <w:r w:rsidR="00037775" w:rsidRPr="00161C60">
              <w:t>, ievedot bezrecepšu zāles - </w:t>
            </w:r>
            <w:r w:rsidRPr="00161C60">
              <w:t xml:space="preserve">pacients sniedz deklarāciju, kurā viņš uzņemas pilnu </w:t>
            </w:r>
            <w:r w:rsidR="00372119" w:rsidRPr="00161C60">
              <w:t>atbildību par šo zāļu lietošanu, c</w:t>
            </w:r>
            <w:r w:rsidR="00037775" w:rsidRPr="00161C60">
              <w:t>itām zālēm -, </w:t>
            </w:r>
            <w:r w:rsidRPr="00161C60">
              <w:t>proti</w:t>
            </w:r>
            <w:r w:rsidR="00372119" w:rsidRPr="00161C60">
              <w:t>,</w:t>
            </w:r>
            <w:r w:rsidRPr="00161C60">
              <w:t xml:space="preserve"> recepšu vajadzīga ārsta recepte. Zāles nedrīkst saturēt aizliegtas vielas, daudzums nedrīkst pārsniegt 3 mēnešu vajadzības. Informācijas lietošanas instrukcijā</w:t>
            </w:r>
            <w:r w:rsidR="00037775" w:rsidRPr="00161C60">
              <w:t xml:space="preserve"> jābūt angļu vai grieķu valodā.</w:t>
            </w:r>
          </w:p>
          <w:p w:rsidR="00372119" w:rsidRPr="00161C60" w:rsidRDefault="00372119" w:rsidP="00C10394">
            <w:pPr>
              <w:autoSpaceDE w:val="0"/>
              <w:autoSpaceDN w:val="0"/>
              <w:adjustRightInd w:val="0"/>
              <w:jc w:val="both"/>
              <w:rPr>
                <w:u w:val="single"/>
              </w:rPr>
            </w:pPr>
          </w:p>
          <w:p w:rsidR="00C10394" w:rsidRPr="00161C60" w:rsidRDefault="00C10394" w:rsidP="00C10394">
            <w:pPr>
              <w:autoSpaceDE w:val="0"/>
              <w:autoSpaceDN w:val="0"/>
              <w:adjustRightInd w:val="0"/>
              <w:jc w:val="both"/>
            </w:pPr>
            <w:r w:rsidRPr="00161C60">
              <w:t xml:space="preserve">Apvienotā Karalistē </w:t>
            </w:r>
            <w:r w:rsidR="00372119" w:rsidRPr="00161C60">
              <w:rPr>
                <w:bCs/>
              </w:rPr>
              <w:t xml:space="preserve">atļauts </w:t>
            </w:r>
            <w:r w:rsidRPr="00161C60">
              <w:t xml:space="preserve">pacientam saņemt zāles pa pastu no citas </w:t>
            </w:r>
            <w:r w:rsidRPr="00161C60">
              <w:lastRenderedPageBreak/>
              <w:t>dalībvalsts licencētas interneta aptiekas vai licencētas aptiekas. Par recepšu zālēm jābūt receptei, izsniegšana notiek no licencētas aptiekas. Recepšu zālēm tas darb</w:t>
            </w:r>
            <w:r w:rsidR="00037775" w:rsidRPr="00161C60">
              <w:t>ojas tikai e - receptes ietvaros.</w:t>
            </w:r>
          </w:p>
          <w:p w:rsidR="00372119" w:rsidRPr="00161C60" w:rsidRDefault="00C10394" w:rsidP="00372119">
            <w:pPr>
              <w:autoSpaceDE w:val="0"/>
              <w:autoSpaceDN w:val="0"/>
              <w:adjustRightInd w:val="0"/>
              <w:jc w:val="both"/>
            </w:pPr>
            <w:r w:rsidRPr="00161C60">
              <w:t xml:space="preserve">Spānijā atļauts </w:t>
            </w:r>
            <w:r w:rsidR="00372119" w:rsidRPr="00161C60">
              <w:t xml:space="preserve">pa pastu saņemt </w:t>
            </w:r>
            <w:r w:rsidRPr="00161C60">
              <w:t>tik</w:t>
            </w:r>
            <w:r w:rsidR="00372119" w:rsidRPr="00161C60">
              <w:t>ai attiecībā uz bezrecepšu zāles</w:t>
            </w:r>
            <w:r w:rsidRPr="00161C60">
              <w:t>, un zāles var saņemt tikai no aptiekas, kurai ir interneta adrese</w:t>
            </w:r>
            <w:r w:rsidR="00372119" w:rsidRPr="00161C60">
              <w:t xml:space="preserve">. </w:t>
            </w:r>
            <w:r w:rsidRPr="00161C60">
              <w:t>Kiprā šajā gadījumā sūtījums pakļauts inspekcijai.</w:t>
            </w:r>
            <w:r w:rsidR="00372119" w:rsidRPr="00161C60">
              <w:t xml:space="preserve"> Čehijas Republikā importēt zāles caur internetu ir aizliegts, bet imports atļauts individuālos gadījumos, kas paiet zem speciālām ārstēšanas programmām un ir atļaut</w:t>
            </w:r>
            <w:r w:rsidR="00037775" w:rsidRPr="00161C60">
              <w:t xml:space="preserve">s izplatīt nereģistrētas zāles </w:t>
            </w:r>
            <w:r w:rsidR="00372119" w:rsidRPr="00161C60">
              <w:t>specifiskā režīmā (to atļauj Veselības ministrija un zāles, lai ārstētu nopietnas slimības), sūtījumu saņemšana pa pastu iespējama tikai no dal</w:t>
            </w:r>
            <w:r w:rsidR="003C66D6" w:rsidRPr="00161C60">
              <w:t>ībvalstīm un tikai no aptiekas.</w:t>
            </w:r>
          </w:p>
          <w:p w:rsidR="00113EC9" w:rsidRPr="00161C60" w:rsidRDefault="00372119" w:rsidP="00C55EB7">
            <w:pPr>
              <w:autoSpaceDE w:val="0"/>
              <w:autoSpaceDN w:val="0"/>
              <w:adjustRightInd w:val="0"/>
              <w:jc w:val="both"/>
            </w:pPr>
            <w:r w:rsidRPr="00161C60">
              <w:t>V</w:t>
            </w:r>
            <w:r w:rsidR="003C66D6" w:rsidRPr="00161C60">
              <w:t>alstīs pastāv ierobežojumi/</w:t>
            </w:r>
            <w:r w:rsidR="00C10394" w:rsidRPr="00161C60">
              <w:t>aizliegumi attiecībā uz narkotiskajām vielām.</w:t>
            </w:r>
          </w:p>
        </w:tc>
      </w:tr>
    </w:tbl>
    <w:p w:rsidR="00D07F03" w:rsidRPr="00161C60" w:rsidRDefault="00D07F03" w:rsidP="00AD24B4">
      <w:pPr>
        <w:pStyle w:val="NoSpacing"/>
        <w:rPr>
          <w:rFonts w:ascii="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1983"/>
        <w:gridCol w:w="665"/>
        <w:gridCol w:w="6026"/>
      </w:tblGrid>
      <w:tr w:rsidR="004917AE" w:rsidRPr="00161C60" w:rsidTr="004917AE">
        <w:trPr>
          <w:trHeight w:val="450"/>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93D99" w:rsidRPr="00161C60" w:rsidRDefault="004917AE" w:rsidP="00093D99">
            <w:pPr>
              <w:spacing w:before="100" w:beforeAutospacing="1" w:after="100" w:afterAutospacing="1" w:line="265" w:lineRule="atLeast"/>
              <w:jc w:val="center"/>
              <w:rPr>
                <w:bCs/>
                <w:lang w:eastAsia="en-US"/>
              </w:rPr>
            </w:pPr>
            <w:r w:rsidRPr="00161C60">
              <w:rPr>
                <w:bCs/>
                <w:lang w:eastAsia="en-US"/>
              </w:rPr>
              <w:t>II. Tiesību akta projekta ietekme uz sabiedrību, tautsaimniecības attīstību un administratīvo slogu</w:t>
            </w:r>
          </w:p>
        </w:tc>
      </w:tr>
      <w:tr w:rsidR="004917AE" w:rsidRPr="00161C60" w:rsidTr="00316962">
        <w:tblPrEx>
          <w:shd w:val="clear" w:color="auto" w:fill="auto"/>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t>1.</w:t>
            </w:r>
          </w:p>
        </w:tc>
        <w:tc>
          <w:tcPr>
            <w:tcW w:w="1086"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t>Sabiedrības mērķgrupas, kuras tiesiskais regulējums ietekmē vai varētu ietekmēt</w:t>
            </w:r>
          </w:p>
        </w:tc>
        <w:tc>
          <w:tcPr>
            <w:tcW w:w="3664" w:type="pct"/>
            <w:gridSpan w:val="2"/>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pPr>
              <w:spacing w:before="75" w:after="75"/>
              <w:jc w:val="both"/>
              <w:rPr>
                <w:i/>
              </w:rPr>
            </w:pPr>
            <w:r w:rsidRPr="00161C60">
              <w:t>1. </w:t>
            </w:r>
            <w:r w:rsidR="00233748" w:rsidRPr="00161C60">
              <w:t>Sešas a</w:t>
            </w:r>
            <w:r w:rsidRPr="00161C60">
              <w:t xml:space="preserve">ptiekas </w:t>
            </w:r>
            <w:r w:rsidRPr="00161C60">
              <w:rPr>
                <w:i/>
              </w:rPr>
              <w:t>(pēc Aģentūras datiem uz 02.05.2015. ir 823 licencētas aptiekas)</w:t>
            </w:r>
            <w:r w:rsidR="00233748" w:rsidRPr="00161C60">
              <w:rPr>
                <w:i/>
              </w:rPr>
              <w:t xml:space="preserve">, </w:t>
            </w:r>
            <w:r w:rsidRPr="00161C60">
              <w:t>kuras bezrecepšu zāles izplata internetā</w:t>
            </w:r>
            <w:r w:rsidRPr="00161C60">
              <w:rPr>
                <w:i/>
              </w:rPr>
              <w:t xml:space="preserve">: </w:t>
            </w:r>
            <w:r w:rsidRPr="00161C60">
              <w:t>četras atrodas Rīgā, viena Olainē, viena Jelgavā</w:t>
            </w:r>
            <w:r w:rsidR="000904C1" w:rsidRPr="00161C60">
              <w:t xml:space="preserve"> </w:t>
            </w:r>
            <w:r w:rsidRPr="00161C60">
              <w:t>(</w:t>
            </w:r>
            <w:r w:rsidRPr="00161C60">
              <w:rPr>
                <w:i/>
              </w:rPr>
              <w:t>Aģentūras dati uz 15.01.2015.)</w:t>
            </w:r>
            <w:r w:rsidR="00233748" w:rsidRPr="00161C60">
              <w:t>.</w:t>
            </w:r>
          </w:p>
          <w:p w:rsidR="004917AE" w:rsidRPr="00161C60" w:rsidRDefault="004917AE" w:rsidP="00D567AB">
            <w:pPr>
              <w:spacing w:before="75" w:after="75"/>
              <w:jc w:val="both"/>
            </w:pPr>
          </w:p>
          <w:p w:rsidR="004917AE" w:rsidRPr="00161C60" w:rsidRDefault="004917AE" w:rsidP="00D567AB">
            <w:pPr>
              <w:spacing w:before="75" w:after="75"/>
              <w:jc w:val="both"/>
              <w:rPr>
                <w:i/>
              </w:rPr>
            </w:pPr>
            <w:r w:rsidRPr="00161C60">
              <w:t>2. Zāļu vairumtirgotāji (</w:t>
            </w:r>
            <w:r w:rsidRPr="00161C60">
              <w:rPr>
                <w:i/>
              </w:rPr>
              <w:t xml:space="preserve">pēc Aģentūras datiem uz 02.05.2015. ir 70 licencētas zāļu lieltirgotavas; </w:t>
            </w:r>
            <w:hyperlink r:id="rId22" w:history="1">
              <w:r w:rsidRPr="00161C60">
                <w:rPr>
                  <w:rStyle w:val="Hyperlink"/>
                  <w:i/>
                  <w:color w:val="auto"/>
                </w:rPr>
                <w:t>www.zva.gov.lv</w:t>
              </w:r>
            </w:hyperlink>
            <w:r w:rsidRPr="00161C60">
              <w:rPr>
                <w:i/>
              </w:rPr>
              <w:t>)</w:t>
            </w:r>
            <w:r w:rsidR="00233748" w:rsidRPr="00161C60">
              <w:rPr>
                <w:i/>
              </w:rPr>
              <w:t>, tajā</w:t>
            </w:r>
            <w:r w:rsidR="003F0BBE" w:rsidRPr="00161C60">
              <w:rPr>
                <w:i/>
              </w:rPr>
              <w:t xml:space="preserve"> skaitā </w:t>
            </w:r>
            <w:r w:rsidRPr="00161C60">
              <w:t>paralēlie importētāji (</w:t>
            </w:r>
            <w:r w:rsidRPr="00161C60">
              <w:rPr>
                <w:i/>
              </w:rPr>
              <w:t xml:space="preserve">pēc Aģentūras datiem uz 07.01.2015. ir 10 paralēlie importētāji no 70 licencētām zāļu lieltirgotavām; </w:t>
            </w:r>
            <w:hyperlink r:id="rId23" w:history="1">
              <w:r w:rsidRPr="00161C60">
                <w:rPr>
                  <w:rStyle w:val="Hyperlink"/>
                  <w:i/>
                  <w:color w:val="auto"/>
                </w:rPr>
                <w:t>www.zva.gov.lv</w:t>
              </w:r>
            </w:hyperlink>
            <w:r w:rsidRPr="00161C60">
              <w:t xml:space="preserve">; </w:t>
            </w:r>
            <w:r w:rsidRPr="00161C60">
              <w:rPr>
                <w:i/>
              </w:rPr>
              <w:t xml:space="preserve">Paralēlais imports sastāda ~1,6% no kopējā zāļu apgrozījuma un pēc </w:t>
            </w:r>
            <w:r w:rsidR="007B4D9A" w:rsidRPr="00161C60">
              <w:rPr>
                <w:i/>
              </w:rPr>
              <w:t>A</w:t>
            </w:r>
            <w:r w:rsidRPr="00161C60">
              <w:rPr>
                <w:i/>
              </w:rPr>
              <w:t xml:space="preserve">ģentūras datiem </w:t>
            </w:r>
            <w:r w:rsidRPr="00161C60">
              <w:rPr>
                <w:rFonts w:eastAsia="Calibri"/>
                <w:i/>
              </w:rPr>
              <w:t xml:space="preserve">2013.gadā Latvijā tika izplatītas 299 paralēli importētās zāles, </w:t>
            </w:r>
            <w:r w:rsidRPr="00161C60">
              <w:rPr>
                <w:i/>
              </w:rPr>
              <w:t>2014.gadā Aģentūrā iesniegti 100 paralēli importēto zāļu izplatīšanas atļauju pieprasījumi un 204 iesniegumi izmaiņu apstiprināšanai).</w:t>
            </w:r>
          </w:p>
          <w:p w:rsidR="004917AE" w:rsidRPr="00161C60" w:rsidRDefault="004917AE" w:rsidP="00D567AB">
            <w:pPr>
              <w:spacing w:before="75" w:after="75"/>
              <w:jc w:val="both"/>
            </w:pPr>
          </w:p>
          <w:p w:rsidR="004917AE" w:rsidRPr="00161C60" w:rsidRDefault="004917AE" w:rsidP="00D567AB">
            <w:pPr>
              <w:spacing w:before="75" w:after="75"/>
              <w:jc w:val="both"/>
            </w:pPr>
            <w:r w:rsidRPr="00161C60">
              <w:t>3. Zāļu ražotāji (</w:t>
            </w:r>
            <w:r w:rsidRPr="00161C60">
              <w:rPr>
                <w:i/>
              </w:rPr>
              <w:t xml:space="preserve">pēc Aģentūras datiem uz 04.04.2015. ir 29 licencēti zāļu ražotāji/ importētāji; </w:t>
            </w:r>
            <w:hyperlink r:id="rId24" w:history="1">
              <w:r w:rsidRPr="00161C60">
                <w:rPr>
                  <w:rStyle w:val="Hyperlink"/>
                  <w:i/>
                  <w:color w:val="auto"/>
                </w:rPr>
                <w:t>www.zva.gov.lv</w:t>
              </w:r>
            </w:hyperlink>
            <w:r w:rsidRPr="00161C60">
              <w:rPr>
                <w:i/>
              </w:rPr>
              <w:t>)</w:t>
            </w:r>
            <w:r w:rsidR="000E2E36" w:rsidRPr="00161C60">
              <w:rPr>
                <w:i/>
              </w:rPr>
              <w:t> - </w:t>
            </w:r>
            <w:r w:rsidRPr="00161C60">
              <w:t>savu saražoto zāļu vairumtirgotāji.</w:t>
            </w:r>
          </w:p>
          <w:p w:rsidR="004917AE" w:rsidRPr="00161C60" w:rsidRDefault="004917AE" w:rsidP="00D567AB">
            <w:pPr>
              <w:spacing w:before="75" w:after="75"/>
              <w:jc w:val="both"/>
            </w:pPr>
          </w:p>
          <w:p w:rsidR="004917AE" w:rsidRPr="00161C60" w:rsidRDefault="004917AE" w:rsidP="00D567AB">
            <w:pPr>
              <w:spacing w:before="75" w:after="75"/>
              <w:jc w:val="both"/>
            </w:pPr>
            <w:r w:rsidRPr="00161C60">
              <w:t>4. Zāļu reģistrācijas īpašnieki (</w:t>
            </w:r>
            <w:hyperlink r:id="rId25" w:history="1">
              <w:r w:rsidRPr="00161C60">
                <w:rPr>
                  <w:rStyle w:val="Hyperlink"/>
                  <w:color w:val="auto"/>
                </w:rPr>
                <w:t>www.zva.gov.lv</w:t>
              </w:r>
            </w:hyperlink>
            <w:r w:rsidRPr="00161C60">
              <w:t>).</w:t>
            </w:r>
          </w:p>
          <w:p w:rsidR="004917AE" w:rsidRPr="00161C60" w:rsidRDefault="004917AE" w:rsidP="00D567AB">
            <w:pPr>
              <w:spacing w:before="75" w:after="75"/>
              <w:jc w:val="both"/>
            </w:pPr>
          </w:p>
          <w:p w:rsidR="004917AE" w:rsidRPr="00161C60" w:rsidRDefault="004917AE" w:rsidP="00D567AB">
            <w:pPr>
              <w:spacing w:before="75" w:after="75"/>
              <w:jc w:val="both"/>
              <w:rPr>
                <w:bCs/>
              </w:rPr>
            </w:pPr>
            <w:r w:rsidRPr="00161C60">
              <w:t>5. </w:t>
            </w:r>
            <w:r w:rsidRPr="00161C60">
              <w:rPr>
                <w:bCs/>
              </w:rPr>
              <w:t>Latvijas iedzīvotāji (sabiedrība kopumā)</w:t>
            </w:r>
            <w:r w:rsidR="00071424" w:rsidRPr="00161C60">
              <w:rPr>
                <w:bCs/>
              </w:rPr>
              <w:t>.I</w:t>
            </w:r>
            <w:r w:rsidRPr="00161C60">
              <w:t>edzīvotāji, kuri zāles ved personiskām vajadzībām ceļotāja bagāžā, kā arī saņem pa pastu.</w:t>
            </w:r>
          </w:p>
          <w:p w:rsidR="004917AE" w:rsidRPr="00161C60" w:rsidRDefault="004917AE" w:rsidP="00D567AB">
            <w:pPr>
              <w:autoSpaceDE w:val="0"/>
              <w:autoSpaceDN w:val="0"/>
              <w:adjustRightInd w:val="0"/>
              <w:jc w:val="both"/>
              <w:rPr>
                <w:rFonts w:eastAsia="Calibri"/>
              </w:rPr>
            </w:pPr>
          </w:p>
          <w:p w:rsidR="004917AE" w:rsidRPr="00161C60" w:rsidRDefault="004917AE" w:rsidP="003B70A4">
            <w:pPr>
              <w:autoSpaceDE w:val="0"/>
              <w:autoSpaceDN w:val="0"/>
              <w:adjustRightInd w:val="0"/>
              <w:jc w:val="both"/>
            </w:pPr>
            <w:r w:rsidRPr="00161C60">
              <w:rPr>
                <w:rFonts w:eastAsia="Calibri"/>
              </w:rPr>
              <w:t>6.</w:t>
            </w:r>
            <w:r w:rsidRPr="00161C60">
              <w:rPr>
                <w:rFonts w:eastAsia="Calibri"/>
                <w:i/>
              </w:rPr>
              <w:t> </w:t>
            </w:r>
            <w:r w:rsidR="00784890" w:rsidRPr="00161C60">
              <w:rPr>
                <w:rFonts w:eastAsia="Calibri"/>
              </w:rPr>
              <w:t>A</w:t>
            </w:r>
            <w:r w:rsidRPr="00161C60">
              <w:t xml:space="preserve">ģentūras un </w:t>
            </w:r>
            <w:r w:rsidR="003B70A4" w:rsidRPr="00161C60">
              <w:t>I</w:t>
            </w:r>
            <w:r w:rsidRPr="00161C60">
              <w:t>nspekcijas amatpersonas, kuras nodrošina attiecīgi savai kompetencei zāļu uzraudzību un kontroli.</w:t>
            </w:r>
          </w:p>
        </w:tc>
      </w:tr>
      <w:tr w:rsidR="004917AE" w:rsidRPr="00161C60" w:rsidTr="00316962">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lastRenderedPageBreak/>
              <w:t>2.</w:t>
            </w:r>
          </w:p>
        </w:tc>
        <w:tc>
          <w:tcPr>
            <w:tcW w:w="1086"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t>Tiesiskā regulējuma ietekme uz tautsaimniecību un administratīvo slogu</w:t>
            </w:r>
          </w:p>
        </w:tc>
        <w:tc>
          <w:tcPr>
            <w:tcW w:w="3664" w:type="pct"/>
            <w:gridSpan w:val="2"/>
            <w:tcBorders>
              <w:top w:val="outset" w:sz="6" w:space="0" w:color="414142"/>
              <w:left w:val="outset" w:sz="6" w:space="0" w:color="414142"/>
              <w:bottom w:val="outset" w:sz="6" w:space="0" w:color="414142"/>
              <w:right w:val="outset" w:sz="6" w:space="0" w:color="414142"/>
            </w:tcBorders>
            <w:hideMark/>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6615"/>
            </w:tblGrid>
            <w:tr w:rsidR="00A47F25" w:rsidRPr="00161C60" w:rsidTr="00834F42">
              <w:trPr>
                <w:trHeight w:val="510"/>
              </w:trPr>
              <w:tc>
                <w:tcPr>
                  <w:tcW w:w="3359" w:type="pct"/>
                  <w:tcBorders>
                    <w:top w:val="outset" w:sz="6" w:space="0" w:color="414142"/>
                    <w:left w:val="outset" w:sz="6" w:space="0" w:color="414142"/>
                    <w:bottom w:val="outset" w:sz="6" w:space="0" w:color="414142"/>
                    <w:right w:val="outset" w:sz="6" w:space="0" w:color="414142"/>
                  </w:tcBorders>
                  <w:hideMark/>
                </w:tcPr>
                <w:p w:rsidR="00A47F25" w:rsidRPr="00161C60" w:rsidRDefault="00A47F25" w:rsidP="00834F42">
                  <w:pPr>
                    <w:spacing w:before="75" w:after="75"/>
                    <w:jc w:val="both"/>
                  </w:pPr>
                  <w:r w:rsidRPr="00161C60">
                    <w:t>1. Tiesiskais regulējums Noteikumu projekta 1.7.apakšpunktā (</w:t>
                  </w:r>
                  <w:r w:rsidRPr="00161C60">
                    <w:rPr>
                      <w:i/>
                    </w:rPr>
                    <w:t>12.5.2. un 12.5.4apakšpunkts</w:t>
                  </w:r>
                  <w:r w:rsidRPr="00161C60">
                    <w:t>) palielina administratīvo slogu aptiekām, zāļu vairumtirgotājiem un zāļu ražotājiem  (II sadaļas 1., 2. un 3.punkts), jo pirkšanas pārdošanas rēķinos par zālēm, papildu MK noteikumu Nr.416 12.5.apakšpunktā minētajai informācijai, būs jānorāda arī zāļu produkta numurs Latvijā reģistrētām zālēm un paralēli importētām zālēm, centralizēti reģistrētām zālēm, tai skai</w:t>
                  </w:r>
                  <w:r w:rsidR="00C55EB7" w:rsidRPr="00161C60">
                    <w:t>tā paralēli izplatāmām zālēm, - </w:t>
                  </w:r>
                  <w:r w:rsidRPr="00161C60">
                    <w:t>Eiropas savienības numurs (piešķir Eiropas Zāļu aģentūra), nereģistrētām zālēm - </w:t>
                  </w:r>
                  <w:r w:rsidR="00687C9E" w:rsidRPr="00161C60">
                    <w:t>A</w:t>
                  </w:r>
                  <w:r w:rsidRPr="00161C60">
                    <w:t>ģentūras piešķirtais identifikācijas numurs. (</w:t>
                  </w:r>
                  <w:r w:rsidR="00E324BA" w:rsidRPr="00161C60">
                    <w:t>A</w:t>
                  </w:r>
                  <w:r w:rsidRPr="00161C60">
                    <w:t xml:space="preserve">ģentūras priekšlikums). Kompetentās iestādēm (II sadaļas 1.punkts 6.apakšpunkts) </w:t>
                  </w:r>
                  <w:r w:rsidRPr="00161C60">
                    <w:rPr>
                      <w:shd w:val="clear" w:color="auto" w:fill="FFFFFF"/>
                    </w:rPr>
                    <w:t>administratīvais slogs, tiesības un pienākumi, kā arī veicamās darbības, nemainās.</w:t>
                  </w:r>
                </w:p>
                <w:p w:rsidR="00A47F25" w:rsidRPr="00161C60" w:rsidRDefault="00A47F25" w:rsidP="00834F42">
                  <w:pPr>
                    <w:spacing w:before="75" w:after="75"/>
                    <w:jc w:val="both"/>
                  </w:pPr>
                </w:p>
                <w:p w:rsidR="00A47F25" w:rsidRPr="00161C60" w:rsidRDefault="00A47F25" w:rsidP="00834F42">
                  <w:pPr>
                    <w:spacing w:before="75" w:after="75"/>
                    <w:jc w:val="both"/>
                  </w:pPr>
                  <w:r w:rsidRPr="00161C60">
                    <w:t>2. Tiesiskais regulējums Noteikumu projekta 1.8.apakšpunktā (</w:t>
                  </w:r>
                  <w:r w:rsidRPr="00161C60">
                    <w:rPr>
                      <w:i/>
                    </w:rPr>
                    <w:t>12.15.apakšpunkts</w:t>
                  </w:r>
                  <w:r w:rsidRPr="00161C60">
                    <w:t xml:space="preserve">) samazina administratīvo slogu zāļu vairumtirgotājiem (II sadaļas 2.punkts), jo zāļu vairumtirgotājam, kurš būs iesaistījies arī starptautiskās aktivitātēs nebūs jāveic zāļu marķēšana valsts valodā, ja zāles nebūs paredzētas izplatīt Latvijā mazumtirdzniecībai, un tas veicinās ātrāku iespēju iesaistīties starptautiskās aktivitātēs, tādējādi attīstot uzņēmējdarbību. Kompetentās iestādēm (II sadaļas 1.punkts 6.apakšpunkts) </w:t>
                  </w:r>
                  <w:r w:rsidRPr="00161C60">
                    <w:rPr>
                      <w:shd w:val="clear" w:color="auto" w:fill="FFFFFF"/>
                    </w:rPr>
                    <w:t>administratīvais slogs, tiesības un pienākumi, kā arī veicamās darbības, nemainās.</w:t>
                  </w:r>
                </w:p>
                <w:p w:rsidR="00A47F25" w:rsidRPr="00161C60" w:rsidRDefault="00A47F25" w:rsidP="00834F42">
                  <w:pPr>
                    <w:spacing w:before="75" w:after="75"/>
                    <w:jc w:val="both"/>
                  </w:pPr>
                </w:p>
                <w:p w:rsidR="00A47F25" w:rsidRPr="00161C60" w:rsidRDefault="00A47F25" w:rsidP="00834F42">
                  <w:pPr>
                    <w:spacing w:before="75" w:after="75"/>
                    <w:jc w:val="both"/>
                  </w:pPr>
                  <w:r w:rsidRPr="00161C60">
                    <w:t>3. Tiesiskais re</w:t>
                  </w:r>
                  <w:r w:rsidR="00E24038" w:rsidRPr="00161C60">
                    <w:t>gulējums Noteikumu projekta 1.1</w:t>
                  </w:r>
                  <w:r w:rsidR="00093D99" w:rsidRPr="00161C60">
                    <w:t>0</w:t>
                  </w:r>
                  <w:r w:rsidRPr="00161C60">
                    <w:t>.apakšpunktā (</w:t>
                  </w:r>
                  <w:r w:rsidRPr="00161C60">
                    <w:rPr>
                      <w:i/>
                    </w:rPr>
                    <w:t>18.2.apakšpunkts</w:t>
                  </w:r>
                  <w:r w:rsidRPr="00161C60">
                    <w:t xml:space="preserve">) būtiskas ietekmes uz uzņēmējdarbības vidi nav, jo pašreiz praksē </w:t>
                  </w:r>
                  <w:r w:rsidRPr="00161C60">
                    <w:rPr>
                      <w:shd w:val="clear" w:color="auto" w:fill="FFFFFF"/>
                    </w:rPr>
                    <w:t xml:space="preserve">zāļu vairumtirgotāji (II sadaļas 2.punkts), paziņojot </w:t>
                  </w:r>
                  <w:r w:rsidR="008848BC" w:rsidRPr="00161C60">
                    <w:rPr>
                      <w:shd w:val="clear" w:color="auto" w:fill="FFFFFF"/>
                    </w:rPr>
                    <w:t>A</w:t>
                  </w:r>
                  <w:r w:rsidRPr="00161C60">
                    <w:rPr>
                      <w:shd w:val="clear" w:color="auto" w:fill="FFFFFF"/>
                    </w:rPr>
                    <w:t xml:space="preserve">ģentūrai zāļu realizācijas datus, paziņojumā attiecīgi no rāda </w:t>
                  </w:r>
                  <w:r w:rsidRPr="00161C60">
                    <w:rPr>
                      <w:bCs/>
                    </w:rPr>
                    <w:t>paralēli importētām zālēm</w:t>
                  </w:r>
                  <w:r w:rsidR="00540F93" w:rsidRPr="00161C60">
                    <w:t> -</w:t>
                  </w:r>
                  <w:r w:rsidRPr="00161C60">
                    <w:t> </w:t>
                  </w:r>
                  <w:r w:rsidRPr="00161C60">
                    <w:rPr>
                      <w:rFonts w:eastAsia="MS Mincho"/>
                      <w:bCs/>
                      <w:iCs/>
                    </w:rPr>
                    <w:t>produkta numuru Latvijas zāļu reģistrā</w:t>
                  </w:r>
                  <w:r w:rsidRPr="00161C60">
                    <w:t xml:space="preserve">; </w:t>
                  </w:r>
                  <w:r w:rsidRPr="00161C60">
                    <w:rPr>
                      <w:bCs/>
                    </w:rPr>
                    <w:t>centralizēti reģistrētām zālēm un paralēli izplatāmām zālēm </w:t>
                  </w:r>
                  <w:r w:rsidR="00540F93" w:rsidRPr="00161C60">
                    <w:t>-</w:t>
                  </w:r>
                  <w:r w:rsidRPr="00161C60">
                    <w:t> </w:t>
                  </w:r>
                  <w:r w:rsidRPr="00161C60">
                    <w:rPr>
                      <w:bCs/>
                    </w:rPr>
                    <w:t xml:space="preserve">Eiropas zāļu aģentūras piešķirto Eiropas Savienības numuru. Pašreiz ir viens paralēlais izplatītājs, </w:t>
                  </w:r>
                  <w:r w:rsidRPr="00161C60">
                    <w:t xml:space="preserve">un 2013.gadā Latvijā izplatīja 20 paralēli izplatītas zāles. Praktiski </w:t>
                  </w:r>
                  <w:r w:rsidRPr="00161C60">
                    <w:rPr>
                      <w:shd w:val="clear" w:color="auto" w:fill="FFFFFF"/>
                    </w:rPr>
                    <w:t xml:space="preserve">administratīvais slogs, tiesības un pienākumi, kā arī veicamās darbības, nemainās, tai skaitā </w:t>
                  </w:r>
                  <w:r w:rsidRPr="00161C60">
                    <w:t xml:space="preserve">kompetentās iestādēm (II </w:t>
                  </w:r>
                  <w:r w:rsidR="00F671C9" w:rsidRPr="00161C60">
                    <w:t>sadaļas 1.punkts 6.apakšpunkts)</w:t>
                  </w:r>
                  <w:r w:rsidRPr="00161C60">
                    <w:t>.</w:t>
                  </w:r>
                </w:p>
                <w:p w:rsidR="00A47F25" w:rsidRPr="00161C60" w:rsidRDefault="00A47F25" w:rsidP="00834F42">
                  <w:pPr>
                    <w:spacing w:before="75" w:after="75"/>
                    <w:jc w:val="both"/>
                  </w:pPr>
                </w:p>
                <w:p w:rsidR="00A47F25" w:rsidRPr="00161C60" w:rsidRDefault="00A47F25" w:rsidP="00834F42">
                  <w:pPr>
                    <w:pStyle w:val="NoSpacing"/>
                    <w:jc w:val="both"/>
                    <w:rPr>
                      <w:rFonts w:ascii="Times New Roman" w:hAnsi="Times New Roman"/>
                      <w:sz w:val="24"/>
                      <w:szCs w:val="24"/>
                      <w:lang w:val="lv-LV"/>
                    </w:rPr>
                  </w:pPr>
                  <w:r w:rsidRPr="00161C60">
                    <w:rPr>
                      <w:rFonts w:ascii="Times New Roman" w:hAnsi="Times New Roman"/>
                      <w:sz w:val="24"/>
                      <w:szCs w:val="24"/>
                      <w:lang w:val="lv-LV"/>
                    </w:rPr>
                    <w:t>4. Tiesiskais re</w:t>
                  </w:r>
                  <w:r w:rsidR="00E24038" w:rsidRPr="00161C60">
                    <w:rPr>
                      <w:rFonts w:ascii="Times New Roman" w:hAnsi="Times New Roman"/>
                      <w:sz w:val="24"/>
                      <w:szCs w:val="24"/>
                      <w:lang w:val="lv-LV"/>
                    </w:rPr>
                    <w:t>gulējums Noteikumu projekta 1.1</w:t>
                  </w:r>
                  <w:r w:rsidR="00093D99" w:rsidRPr="00161C60">
                    <w:rPr>
                      <w:rFonts w:ascii="Times New Roman" w:hAnsi="Times New Roman"/>
                      <w:sz w:val="24"/>
                      <w:szCs w:val="24"/>
                      <w:lang w:val="lv-LV"/>
                    </w:rPr>
                    <w:t>5</w:t>
                  </w:r>
                  <w:r w:rsidR="00E24038" w:rsidRPr="00161C60">
                    <w:rPr>
                      <w:rFonts w:ascii="Times New Roman" w:hAnsi="Times New Roman"/>
                      <w:sz w:val="24"/>
                      <w:szCs w:val="24"/>
                      <w:lang w:val="lv-LV"/>
                    </w:rPr>
                    <w:t>. 1.1</w:t>
                  </w:r>
                  <w:r w:rsidR="00093D99" w:rsidRPr="00161C60">
                    <w:rPr>
                      <w:rFonts w:ascii="Times New Roman" w:hAnsi="Times New Roman"/>
                      <w:sz w:val="24"/>
                      <w:szCs w:val="24"/>
                      <w:lang w:val="lv-LV"/>
                    </w:rPr>
                    <w:t>6</w:t>
                  </w:r>
                  <w:r w:rsidR="0032289F" w:rsidRPr="00161C60">
                    <w:rPr>
                      <w:rFonts w:ascii="Times New Roman" w:hAnsi="Times New Roman"/>
                      <w:sz w:val="24"/>
                      <w:szCs w:val="24"/>
                      <w:lang w:val="lv-LV"/>
                    </w:rPr>
                    <w:t>.</w:t>
                  </w:r>
                  <w:r w:rsidR="00E24038" w:rsidRPr="00161C60">
                    <w:rPr>
                      <w:rFonts w:ascii="Times New Roman" w:hAnsi="Times New Roman"/>
                      <w:sz w:val="24"/>
                      <w:szCs w:val="24"/>
                      <w:lang w:val="lv-LV"/>
                    </w:rPr>
                    <w:t xml:space="preserve"> un 1.2</w:t>
                  </w:r>
                  <w:r w:rsidR="00093D99" w:rsidRPr="00161C60">
                    <w:rPr>
                      <w:rFonts w:ascii="Times New Roman" w:hAnsi="Times New Roman"/>
                      <w:sz w:val="24"/>
                      <w:szCs w:val="24"/>
                      <w:lang w:val="lv-LV"/>
                    </w:rPr>
                    <w:t>3</w:t>
                  </w:r>
                  <w:r w:rsidRPr="00161C60">
                    <w:rPr>
                      <w:rFonts w:ascii="Times New Roman" w:hAnsi="Times New Roman"/>
                      <w:sz w:val="24"/>
                      <w:szCs w:val="24"/>
                      <w:lang w:val="lv-LV"/>
                    </w:rPr>
                    <w:t>.apakšpunktā (</w:t>
                  </w:r>
                  <w:r w:rsidRPr="00161C60">
                    <w:rPr>
                      <w:rFonts w:ascii="Times New Roman" w:hAnsi="Times New Roman"/>
                      <w:i/>
                      <w:sz w:val="24"/>
                      <w:szCs w:val="24"/>
                      <w:lang w:val="lv-LV"/>
                    </w:rPr>
                    <w:t xml:space="preserve">40. </w:t>
                  </w:r>
                  <w:r w:rsidR="00F671C9" w:rsidRPr="00161C60">
                    <w:rPr>
                      <w:rFonts w:ascii="Times New Roman" w:hAnsi="Times New Roman"/>
                      <w:i/>
                      <w:sz w:val="24"/>
                      <w:szCs w:val="24"/>
                      <w:lang w:val="lv-LV"/>
                    </w:rPr>
                    <w:t>u</w:t>
                  </w:r>
                  <w:r w:rsidRPr="00161C60">
                    <w:rPr>
                      <w:rFonts w:ascii="Times New Roman" w:hAnsi="Times New Roman"/>
                      <w:i/>
                      <w:sz w:val="24"/>
                      <w:szCs w:val="24"/>
                      <w:lang w:val="lv-LV"/>
                    </w:rPr>
                    <w:t>n</w:t>
                  </w:r>
                  <w:r w:rsidR="00F671C9" w:rsidRPr="00161C60">
                    <w:rPr>
                      <w:rFonts w:ascii="Times New Roman" w:hAnsi="Times New Roman"/>
                      <w:i/>
                      <w:sz w:val="24"/>
                      <w:szCs w:val="24"/>
                      <w:lang w:val="lv-LV"/>
                    </w:rPr>
                    <w:t xml:space="preserve"> </w:t>
                  </w:r>
                  <w:r w:rsidRPr="00161C60">
                    <w:rPr>
                      <w:rFonts w:ascii="Times New Roman" w:hAnsi="Times New Roman"/>
                      <w:i/>
                      <w:sz w:val="24"/>
                      <w:szCs w:val="24"/>
                      <w:lang w:val="lv-LV"/>
                    </w:rPr>
                    <w:t>42.punktā</w:t>
                  </w:r>
                  <w:r w:rsidRPr="00161C60">
                    <w:rPr>
                      <w:rFonts w:ascii="Times New Roman" w:hAnsi="Times New Roman"/>
                      <w:sz w:val="24"/>
                      <w:szCs w:val="24"/>
                      <w:lang w:val="lv-LV"/>
                    </w:rPr>
                    <w:t xml:space="preserve">) </w:t>
                  </w:r>
                  <w:r w:rsidRPr="00161C60">
                    <w:rPr>
                      <w:rFonts w:ascii="Times New Roman" w:hAnsi="Times New Roman"/>
                      <w:sz w:val="24"/>
                      <w:szCs w:val="24"/>
                      <w:shd w:val="clear" w:color="auto" w:fill="FFFFFF"/>
                      <w:lang w:val="lv-LV"/>
                    </w:rPr>
                    <w:t>sniedz tiesisku note</w:t>
                  </w:r>
                  <w:r w:rsidR="00F671C9" w:rsidRPr="00161C60">
                    <w:rPr>
                      <w:rFonts w:ascii="Times New Roman" w:hAnsi="Times New Roman"/>
                      <w:sz w:val="24"/>
                      <w:szCs w:val="24"/>
                      <w:shd w:val="clear" w:color="auto" w:fill="FFFFFF"/>
                      <w:lang w:val="lv-LV"/>
                    </w:rPr>
                    <w:t>iktību pakalpojumu sniedzējiem -</w:t>
                  </w:r>
                  <w:r w:rsidRPr="00161C60">
                    <w:rPr>
                      <w:rFonts w:ascii="Times New Roman" w:hAnsi="Times New Roman"/>
                      <w:sz w:val="24"/>
                      <w:szCs w:val="24"/>
                      <w:shd w:val="clear" w:color="auto" w:fill="FFFFFF"/>
                      <w:lang w:val="lv-LV"/>
                    </w:rPr>
                    <w:t> paralēlajiem importētājiem (</w:t>
                  </w:r>
                  <w:r w:rsidRPr="00161C60">
                    <w:rPr>
                      <w:rFonts w:ascii="Times New Roman" w:hAnsi="Times New Roman"/>
                      <w:sz w:val="24"/>
                      <w:szCs w:val="24"/>
                      <w:lang w:val="lv-LV"/>
                    </w:rPr>
                    <w:t>II sadaļas 1.punkts 2.2.apakšpunkts), jo tie</w:t>
                  </w:r>
                  <w:r w:rsidR="00EC0721" w:rsidRPr="00161C60">
                    <w:rPr>
                      <w:rFonts w:ascii="Times New Roman" w:hAnsi="Times New Roman"/>
                      <w:sz w:val="24"/>
                      <w:szCs w:val="24"/>
                      <w:lang w:val="lv-LV"/>
                    </w:rPr>
                    <w:t>k konkretizēti</w:t>
                  </w:r>
                  <w:r w:rsidRPr="00161C60">
                    <w:rPr>
                      <w:rFonts w:ascii="Times New Roman" w:hAnsi="Times New Roman"/>
                      <w:sz w:val="24"/>
                      <w:szCs w:val="24"/>
                      <w:lang w:val="lv-LV"/>
                    </w:rPr>
                    <w:t xml:space="preserve"> </w:t>
                  </w:r>
                  <w:r w:rsidR="005A4998" w:rsidRPr="00161C60">
                    <w:rPr>
                      <w:rFonts w:ascii="Times New Roman" w:hAnsi="Times New Roman"/>
                      <w:sz w:val="24"/>
                      <w:szCs w:val="24"/>
                      <w:lang w:val="lv-LV"/>
                    </w:rPr>
                    <w:t>primārā ekspertīzē izskatāmie jautājumi un pēc primārās ekspert</w:t>
                  </w:r>
                  <w:r w:rsidR="00E52CD3" w:rsidRPr="00161C60">
                    <w:rPr>
                      <w:rFonts w:ascii="Times New Roman" w:hAnsi="Times New Roman"/>
                      <w:sz w:val="24"/>
                      <w:szCs w:val="24"/>
                      <w:lang w:val="lv-LV"/>
                    </w:rPr>
                    <w:t>īzes </w:t>
                  </w:r>
                  <w:r w:rsidR="005A4998" w:rsidRPr="00161C60">
                    <w:rPr>
                      <w:rFonts w:ascii="Times New Roman" w:hAnsi="Times New Roman"/>
                      <w:sz w:val="24"/>
                      <w:szCs w:val="24"/>
                      <w:lang w:val="lv-LV"/>
                    </w:rPr>
                    <w:t>-</w:t>
                  </w:r>
                  <w:r w:rsidR="00E52CD3" w:rsidRPr="00161C60">
                    <w:rPr>
                      <w:rFonts w:ascii="Times New Roman" w:hAnsi="Times New Roman"/>
                      <w:sz w:val="24"/>
                      <w:szCs w:val="24"/>
                      <w:lang w:val="lv-LV"/>
                    </w:rPr>
                    <w:t> </w:t>
                  </w:r>
                  <w:r w:rsidR="005A4998" w:rsidRPr="00161C60">
                    <w:rPr>
                      <w:rFonts w:ascii="Times New Roman" w:hAnsi="Times New Roman"/>
                      <w:sz w:val="24"/>
                      <w:szCs w:val="24"/>
                      <w:lang w:val="lv-LV"/>
                    </w:rPr>
                    <w:t>zāļu n</w:t>
                  </w:r>
                  <w:r w:rsidR="00EC0721" w:rsidRPr="00161C60">
                    <w:rPr>
                      <w:rFonts w:ascii="Times New Roman" w:hAnsi="Times New Roman"/>
                      <w:sz w:val="24"/>
                      <w:szCs w:val="24"/>
                      <w:lang w:val="lv-LV"/>
                    </w:rPr>
                    <w:t>ovērtēšanā izskatāmie jautājumi</w:t>
                  </w:r>
                  <w:r w:rsidR="005A4998" w:rsidRPr="00161C60">
                    <w:rPr>
                      <w:rFonts w:ascii="Times New Roman" w:hAnsi="Times New Roman"/>
                      <w:sz w:val="24"/>
                      <w:szCs w:val="24"/>
                      <w:lang w:val="lv-LV"/>
                    </w:rPr>
                    <w:t xml:space="preserve">, kā arī </w:t>
                  </w:r>
                  <w:r w:rsidRPr="00161C60">
                    <w:rPr>
                      <w:rFonts w:ascii="Times New Roman" w:hAnsi="Times New Roman"/>
                      <w:sz w:val="24"/>
                      <w:szCs w:val="24"/>
                      <w:lang w:val="lv-LV"/>
                    </w:rPr>
                    <w:t xml:space="preserve">laiks, kādā kompetentā iestāde novērtē zāles, kas izslēdz </w:t>
                  </w:r>
                  <w:r w:rsidRPr="00161C60">
                    <w:rPr>
                      <w:rFonts w:ascii="Times New Roman" w:hAnsi="Times New Roman"/>
                      <w:sz w:val="24"/>
                      <w:szCs w:val="24"/>
                      <w:shd w:val="clear" w:color="auto" w:fill="FFFFFF"/>
                      <w:lang w:val="lv-LV"/>
                    </w:rPr>
                    <w:t>pārmērīgi birokrātiskas prasīb</w:t>
                  </w:r>
                  <w:r w:rsidR="00A0253D" w:rsidRPr="00161C60">
                    <w:rPr>
                      <w:rFonts w:ascii="Times New Roman" w:hAnsi="Times New Roman"/>
                      <w:sz w:val="24"/>
                      <w:szCs w:val="24"/>
                      <w:shd w:val="clear" w:color="auto" w:fill="FFFFFF"/>
                      <w:lang w:val="lv-LV"/>
                    </w:rPr>
                    <w:t xml:space="preserve">as no valsts institūciju puses, tai skaitā </w:t>
                  </w:r>
                  <w:r w:rsidRPr="00161C60">
                    <w:rPr>
                      <w:rFonts w:ascii="Times New Roman" w:hAnsi="Times New Roman"/>
                      <w:sz w:val="24"/>
                      <w:szCs w:val="24"/>
                      <w:shd w:val="clear" w:color="auto" w:fill="FFFFFF"/>
                      <w:lang w:val="lv-LV"/>
                    </w:rPr>
                    <w:t xml:space="preserve">nepamatoti pagarinot jautājuma </w:t>
                  </w:r>
                  <w:r w:rsidRPr="00161C60">
                    <w:rPr>
                      <w:rFonts w:ascii="Times New Roman" w:hAnsi="Times New Roman"/>
                      <w:sz w:val="24"/>
                      <w:szCs w:val="24"/>
                      <w:shd w:val="clear" w:color="auto" w:fill="FFFFFF"/>
                      <w:lang w:val="lv-LV"/>
                    </w:rPr>
                    <w:lastRenderedPageBreak/>
                    <w:t>izskatīšanas laiku</w:t>
                  </w:r>
                  <w:r w:rsidR="00334701" w:rsidRPr="00161C60">
                    <w:rPr>
                      <w:rFonts w:ascii="Times New Roman" w:hAnsi="Times New Roman"/>
                      <w:sz w:val="24"/>
                      <w:szCs w:val="24"/>
                      <w:shd w:val="clear" w:color="auto" w:fill="FFFFFF"/>
                      <w:lang w:val="lv-LV"/>
                    </w:rPr>
                    <w:t xml:space="preserve"> primārā ekspertīzē un ekspertīzē pēc primārās ekspertīzes</w:t>
                  </w:r>
                  <w:r w:rsidR="0046754F" w:rsidRPr="00161C60">
                    <w:rPr>
                      <w:rFonts w:ascii="Times New Roman" w:hAnsi="Times New Roman"/>
                      <w:sz w:val="24"/>
                      <w:szCs w:val="24"/>
                      <w:shd w:val="clear" w:color="auto" w:fill="FFFFFF"/>
                      <w:lang w:val="lv-LV"/>
                    </w:rPr>
                    <w:t>, pārsniedzot mēnesi no iesnieguma saņemšanas dienas</w:t>
                  </w:r>
                  <w:r w:rsidR="00716AC7" w:rsidRPr="00161C60">
                    <w:rPr>
                      <w:rFonts w:ascii="Times New Roman" w:hAnsi="Times New Roman"/>
                      <w:sz w:val="24"/>
                      <w:szCs w:val="24"/>
                      <w:shd w:val="clear" w:color="auto" w:fill="FFFFFF"/>
                      <w:lang w:val="lv-LV"/>
                    </w:rPr>
                    <w:t xml:space="preserve"> </w:t>
                  </w:r>
                  <w:r w:rsidR="00BF6CF6" w:rsidRPr="00161C60">
                    <w:rPr>
                      <w:rFonts w:ascii="Times New Roman" w:hAnsi="Times New Roman"/>
                      <w:sz w:val="24"/>
                      <w:szCs w:val="24"/>
                      <w:shd w:val="clear" w:color="auto" w:fill="FFFFFF"/>
                      <w:lang w:val="lv-LV"/>
                    </w:rPr>
                    <w:t>A</w:t>
                  </w:r>
                  <w:r w:rsidR="00716AC7" w:rsidRPr="00161C60">
                    <w:rPr>
                      <w:rFonts w:ascii="Times New Roman" w:hAnsi="Times New Roman"/>
                      <w:sz w:val="24"/>
                      <w:szCs w:val="24"/>
                      <w:shd w:val="clear" w:color="auto" w:fill="FFFFFF"/>
                      <w:lang w:val="lv-LV"/>
                    </w:rPr>
                    <w:t>ģentūrā</w:t>
                  </w:r>
                  <w:r w:rsidR="0046754F" w:rsidRPr="00161C60">
                    <w:rPr>
                      <w:rFonts w:ascii="Times New Roman" w:hAnsi="Times New Roman"/>
                      <w:sz w:val="24"/>
                      <w:szCs w:val="24"/>
                      <w:shd w:val="clear" w:color="auto" w:fill="FFFFFF"/>
                      <w:lang w:val="lv-LV"/>
                    </w:rPr>
                    <w:t xml:space="preserve">, </w:t>
                  </w:r>
                  <w:r w:rsidR="00A0253D" w:rsidRPr="00161C60">
                    <w:rPr>
                      <w:rFonts w:ascii="Times New Roman" w:hAnsi="Times New Roman"/>
                      <w:sz w:val="24"/>
                      <w:szCs w:val="24"/>
                      <w:shd w:val="clear" w:color="auto" w:fill="FFFFFF"/>
                      <w:lang w:val="lv-LV"/>
                    </w:rPr>
                    <w:t xml:space="preserve">līdz ar to </w:t>
                  </w:r>
                  <w:r w:rsidRPr="00161C60">
                    <w:rPr>
                      <w:rFonts w:ascii="Times New Roman" w:hAnsi="Times New Roman"/>
                      <w:sz w:val="24"/>
                      <w:szCs w:val="24"/>
                      <w:shd w:val="clear" w:color="auto" w:fill="FFFFFF"/>
                      <w:lang w:val="lv-LV"/>
                    </w:rPr>
                    <w:t xml:space="preserve">samazinās risks ierēdņu korumpētībai; sabiedrībai tiek veicināta </w:t>
                  </w:r>
                  <w:r w:rsidRPr="00161C60">
                    <w:rPr>
                      <w:rFonts w:ascii="Times New Roman" w:hAnsi="Times New Roman"/>
                      <w:sz w:val="24"/>
                      <w:szCs w:val="24"/>
                      <w:lang w:val="lv-LV"/>
                    </w:rPr>
                    <w:t>uzņēmējdarbības attīstības un starptautisko sadarbību, bet iedzīvotāji (pacienti) var saņemt ātrāk vajadzīgās zāles. Vienlaicīgi tas var palielināt Aģentūrai administratīvo slogu, jo saīsinās zāļu novērtēšanas laiks.</w:t>
                  </w:r>
                </w:p>
                <w:p w:rsidR="00A47F25" w:rsidRPr="00161C60" w:rsidRDefault="00A47F25" w:rsidP="00834F42">
                  <w:pPr>
                    <w:pStyle w:val="NoSpacing"/>
                    <w:jc w:val="both"/>
                    <w:rPr>
                      <w:rFonts w:ascii="Times New Roman" w:hAnsi="Times New Roman"/>
                      <w:sz w:val="24"/>
                      <w:szCs w:val="24"/>
                      <w:lang w:val="lv-LV"/>
                    </w:rPr>
                  </w:pPr>
                </w:p>
                <w:p w:rsidR="00A47F25" w:rsidRPr="00161C60" w:rsidRDefault="00A47F25" w:rsidP="00834F42">
                  <w:pPr>
                    <w:pStyle w:val="NoSpacing"/>
                    <w:jc w:val="both"/>
                    <w:rPr>
                      <w:rFonts w:ascii="Times New Roman" w:hAnsi="Times New Roman"/>
                      <w:sz w:val="24"/>
                      <w:szCs w:val="24"/>
                      <w:shd w:val="clear" w:color="auto" w:fill="FFFFFF"/>
                      <w:lang w:val="lv-LV"/>
                    </w:rPr>
                  </w:pPr>
                  <w:r w:rsidRPr="00161C60">
                    <w:rPr>
                      <w:rFonts w:ascii="Times New Roman" w:hAnsi="Times New Roman"/>
                      <w:sz w:val="24"/>
                      <w:szCs w:val="24"/>
                      <w:lang w:val="lv-LV"/>
                    </w:rPr>
                    <w:t>5. Tiesiskais re</w:t>
                  </w:r>
                  <w:r w:rsidR="000F7773" w:rsidRPr="00161C60">
                    <w:rPr>
                      <w:rFonts w:ascii="Times New Roman" w:hAnsi="Times New Roman"/>
                      <w:sz w:val="24"/>
                      <w:szCs w:val="24"/>
                      <w:lang w:val="lv-LV"/>
                    </w:rPr>
                    <w:t>gulējums Noteikumu projekta 1.2</w:t>
                  </w:r>
                  <w:r w:rsidR="00093D99" w:rsidRPr="00161C60">
                    <w:rPr>
                      <w:rFonts w:ascii="Times New Roman" w:hAnsi="Times New Roman"/>
                      <w:sz w:val="24"/>
                      <w:szCs w:val="24"/>
                      <w:lang w:val="lv-LV"/>
                    </w:rPr>
                    <w:t>3</w:t>
                  </w:r>
                  <w:r w:rsidRPr="00161C60">
                    <w:rPr>
                      <w:rFonts w:ascii="Times New Roman" w:hAnsi="Times New Roman"/>
                      <w:sz w:val="24"/>
                      <w:szCs w:val="24"/>
                      <w:lang w:val="lv-LV"/>
                    </w:rPr>
                    <w:t>.apakšpunktā (</w:t>
                  </w:r>
                  <w:r w:rsidRPr="00161C60">
                    <w:rPr>
                      <w:rFonts w:ascii="Times New Roman" w:hAnsi="Times New Roman"/>
                      <w:i/>
                      <w:sz w:val="24"/>
                      <w:szCs w:val="24"/>
                      <w:lang w:val="lv-LV"/>
                    </w:rPr>
                    <w:t>43.punktā</w:t>
                  </w:r>
                  <w:r w:rsidRPr="00161C60">
                    <w:rPr>
                      <w:rFonts w:ascii="Times New Roman" w:hAnsi="Times New Roman"/>
                      <w:sz w:val="24"/>
                      <w:szCs w:val="24"/>
                      <w:lang w:val="lv-LV"/>
                    </w:rPr>
                    <w:t xml:space="preserve">) nemaina Aģentūras un </w:t>
                  </w:r>
                  <w:r w:rsidRPr="00161C60">
                    <w:rPr>
                      <w:rFonts w:ascii="Times New Roman" w:hAnsi="Times New Roman"/>
                      <w:sz w:val="24"/>
                      <w:szCs w:val="24"/>
                      <w:shd w:val="clear" w:color="auto" w:fill="FFFFFF"/>
                      <w:lang w:val="lv-LV"/>
                    </w:rPr>
                    <w:t>paralēlā importētāja (</w:t>
                  </w:r>
                  <w:r w:rsidRPr="00161C60">
                    <w:rPr>
                      <w:rFonts w:ascii="Times New Roman" w:hAnsi="Times New Roman"/>
                      <w:sz w:val="24"/>
                      <w:szCs w:val="24"/>
                      <w:lang w:val="lv-LV"/>
                    </w:rPr>
                    <w:t>II sadaļas 1.punkts 2.2.apakšpunkts) tiesības un pienākumus, kā arī veicamās darbības, jo MK noteikumu Nr.416 40.6.apakšpunkta norma tiek pārvietota uz 43.punktu.</w:t>
                  </w:r>
                </w:p>
                <w:p w:rsidR="00A47F25" w:rsidRPr="00161C60" w:rsidRDefault="00A47F25" w:rsidP="00834F42">
                  <w:pPr>
                    <w:spacing w:before="75" w:after="75"/>
                    <w:jc w:val="both"/>
                  </w:pPr>
                </w:p>
                <w:p w:rsidR="00A47F25" w:rsidRPr="00161C60" w:rsidRDefault="00A47F25" w:rsidP="00834F42">
                  <w:pPr>
                    <w:spacing w:before="75" w:after="75"/>
                    <w:jc w:val="both"/>
                    <w:rPr>
                      <w:i/>
                    </w:rPr>
                  </w:pPr>
                  <w:r w:rsidRPr="00161C60">
                    <w:t>6.Tiesiskais re</w:t>
                  </w:r>
                  <w:r w:rsidR="000F7773" w:rsidRPr="00161C60">
                    <w:t>gulējums Noteikumu projekta 1.2</w:t>
                  </w:r>
                  <w:r w:rsidR="009A3B84" w:rsidRPr="00161C60">
                    <w:t>3</w:t>
                  </w:r>
                  <w:r w:rsidRPr="00161C60">
                    <w:t>.apakšpunktā (</w:t>
                  </w:r>
                  <w:r w:rsidRPr="00161C60">
                    <w:rPr>
                      <w:i/>
                    </w:rPr>
                    <w:t xml:space="preserve">44.punktā) </w:t>
                  </w:r>
                  <w:r w:rsidRPr="00161C60">
                    <w:rPr>
                      <w:shd w:val="clear" w:color="auto" w:fill="FFFFFF"/>
                    </w:rPr>
                    <w:t>panāk tiesisku noteiktību pakalpojumu sniedzējiem – paralēlajiem importētājiem</w:t>
                  </w:r>
                  <w:r w:rsidR="0011404B" w:rsidRPr="00161C60">
                    <w:rPr>
                      <w:shd w:val="clear" w:color="auto" w:fill="FFFFFF"/>
                    </w:rPr>
                    <w:t xml:space="preserve"> </w:t>
                  </w:r>
                  <w:r w:rsidRPr="00161C60">
                    <w:t>(II sadaļas 1.punkts 2.2.apakšpunkts) attiecībā uz Aģentūras lēmumu saņemšanas kārtību, tiek veicināta uzņēmējdarbības attīstība.</w:t>
                  </w:r>
                </w:p>
                <w:p w:rsidR="00A47F25" w:rsidRPr="00161C60" w:rsidRDefault="00A47F25" w:rsidP="00834F42">
                  <w:pPr>
                    <w:spacing w:before="75" w:after="75"/>
                    <w:jc w:val="both"/>
                  </w:pPr>
                </w:p>
                <w:p w:rsidR="00A47F25" w:rsidRPr="00161C60" w:rsidRDefault="00A47F25" w:rsidP="00834F42">
                  <w:pPr>
                    <w:spacing w:before="75" w:after="75"/>
                    <w:jc w:val="both"/>
                  </w:pPr>
                  <w:r w:rsidRPr="00161C60">
                    <w:t>7. Tiesiskais re</w:t>
                  </w:r>
                  <w:r w:rsidR="0086789E" w:rsidRPr="00161C60">
                    <w:t>gulējums Noteikumu projekta 1.2</w:t>
                  </w:r>
                  <w:r w:rsidR="009A3B84" w:rsidRPr="00161C60">
                    <w:t>4</w:t>
                  </w:r>
                  <w:r w:rsidRPr="00161C60">
                    <w:t>.apakšpunktā (</w:t>
                  </w:r>
                  <w:r w:rsidRPr="00161C60">
                    <w:rPr>
                      <w:i/>
                    </w:rPr>
                    <w:t>46.punkts</w:t>
                  </w:r>
                  <w:r w:rsidRPr="00161C60">
                    <w:t>) samazina administratīvo slogu paralēliem importētājiem (II sadaļas 1.punkts 2.2.apakšpunkts), jo paralēlais importētājs ātrāk saņem  informāciju par izmaiņām reģistrētājās zālēs, kas var ietekmēt paralēli importēto zāļu apriti. Tas veicina uzņēmējdarbības attīstību, starptautisko sadarbību. Iedzīvotājiem (pacientiem) samazinās risks saņemt zāles.</w:t>
                  </w:r>
                </w:p>
                <w:p w:rsidR="00A47F25" w:rsidRPr="00161C60" w:rsidRDefault="00A47F25" w:rsidP="00834F42">
                  <w:pPr>
                    <w:spacing w:before="75" w:after="75"/>
                    <w:jc w:val="both"/>
                  </w:pPr>
                </w:p>
                <w:p w:rsidR="00A47F25" w:rsidRPr="00161C60" w:rsidRDefault="00A47F25" w:rsidP="00834F42">
                  <w:pPr>
                    <w:spacing w:before="75" w:after="75"/>
                    <w:jc w:val="both"/>
                  </w:pPr>
                  <w:r w:rsidRPr="00161C60">
                    <w:t>8. Tiesiskais re</w:t>
                  </w:r>
                  <w:r w:rsidR="0086789E" w:rsidRPr="00161C60">
                    <w:t>gulējums Noteikumu projekta 1.2</w:t>
                  </w:r>
                  <w:r w:rsidR="009A3B84" w:rsidRPr="00161C60">
                    <w:t>5</w:t>
                  </w:r>
                  <w:r w:rsidRPr="00161C60">
                    <w:t>.apakšpunktā (</w:t>
                  </w:r>
                  <w:r w:rsidRPr="00161C60">
                    <w:rPr>
                      <w:i/>
                    </w:rPr>
                    <w:t>48.punkts</w:t>
                  </w:r>
                  <w:r w:rsidRPr="00161C60">
                    <w:t>) samazina administratīvo slogu paralēliem importētājiem (II sadaļas 1.punkts 2.2.apakšpunkts) veicina uzņēmējdarbības attīstību un starptautisko sadarbību, jo paralēlais importētājam nebūs jāaptur paralēli importēto zāļu izplatīšana visos gadījumos, ja valstī, no kuras zāles piegādā, notikušās izmainās reģistrētajās zāles, kuras nav būtiskas. Tas veicina uzņēmējdarbības attīstību, starptautisko sadarbību. Iedzīvotājiem (pacientiem) samazinās risks saņemt zāles novēloti.</w:t>
                  </w:r>
                </w:p>
                <w:p w:rsidR="00A47F25" w:rsidRPr="00161C60" w:rsidRDefault="00A47F25" w:rsidP="00834F42">
                  <w:pPr>
                    <w:pStyle w:val="NoSpacing"/>
                    <w:jc w:val="both"/>
                    <w:rPr>
                      <w:rFonts w:ascii="Times New Roman" w:hAnsi="Times New Roman"/>
                      <w:sz w:val="24"/>
                      <w:szCs w:val="24"/>
                      <w:lang w:val="lv-LV"/>
                    </w:rPr>
                  </w:pPr>
                </w:p>
                <w:p w:rsidR="00A47F25" w:rsidRPr="00161C60" w:rsidRDefault="00304AB4" w:rsidP="00834F42">
                  <w:pPr>
                    <w:pStyle w:val="NoSpacing"/>
                    <w:jc w:val="both"/>
                    <w:rPr>
                      <w:rFonts w:ascii="Times New Roman" w:hAnsi="Times New Roman"/>
                      <w:sz w:val="24"/>
                      <w:szCs w:val="24"/>
                      <w:shd w:val="clear" w:color="auto" w:fill="FFFFFF"/>
                      <w:lang w:val="lv-LV"/>
                    </w:rPr>
                  </w:pPr>
                  <w:r w:rsidRPr="00161C60">
                    <w:rPr>
                      <w:rFonts w:ascii="Times New Roman" w:hAnsi="Times New Roman"/>
                      <w:sz w:val="24"/>
                      <w:szCs w:val="24"/>
                      <w:lang w:val="lv-LV"/>
                    </w:rPr>
                    <w:t>9.</w:t>
                  </w:r>
                  <w:r w:rsidR="00A47F25" w:rsidRPr="00161C60">
                    <w:rPr>
                      <w:rFonts w:ascii="Times New Roman" w:hAnsi="Times New Roman"/>
                      <w:sz w:val="24"/>
                      <w:szCs w:val="24"/>
                      <w:lang w:val="lv-LV"/>
                    </w:rPr>
                    <w:t xml:space="preserve"> Tiesiskais regulējums </w:t>
                  </w:r>
                  <w:r w:rsidR="006B7AE8" w:rsidRPr="00161C60">
                    <w:rPr>
                      <w:rFonts w:ascii="Times New Roman" w:hAnsi="Times New Roman"/>
                      <w:sz w:val="24"/>
                      <w:szCs w:val="24"/>
                      <w:lang w:val="lv-LV"/>
                    </w:rPr>
                    <w:t>Noteikumu projekta 1.1</w:t>
                  </w:r>
                  <w:r w:rsidR="009A3B84" w:rsidRPr="00161C60">
                    <w:rPr>
                      <w:rFonts w:ascii="Times New Roman" w:hAnsi="Times New Roman"/>
                      <w:sz w:val="24"/>
                      <w:szCs w:val="24"/>
                      <w:lang w:val="lv-LV"/>
                    </w:rPr>
                    <w:t>4</w:t>
                  </w:r>
                  <w:r w:rsidR="00A47F25" w:rsidRPr="00161C60">
                    <w:rPr>
                      <w:rFonts w:ascii="Times New Roman" w:hAnsi="Times New Roman"/>
                      <w:sz w:val="24"/>
                      <w:szCs w:val="24"/>
                      <w:lang w:val="lv-LV"/>
                    </w:rPr>
                    <w:t>.apakšpunktā (</w:t>
                  </w:r>
                  <w:r w:rsidR="00A47F25" w:rsidRPr="00161C60">
                    <w:rPr>
                      <w:rFonts w:ascii="Times New Roman" w:hAnsi="Times New Roman"/>
                      <w:i/>
                      <w:sz w:val="24"/>
                      <w:szCs w:val="24"/>
                      <w:lang w:val="lv-LV"/>
                    </w:rPr>
                    <w:t>39</w:t>
                  </w:r>
                  <w:r w:rsidR="00220400" w:rsidRPr="00161C60">
                    <w:rPr>
                      <w:rFonts w:ascii="Times New Roman" w:hAnsi="Times New Roman"/>
                      <w:i/>
                      <w:sz w:val="24"/>
                      <w:szCs w:val="24"/>
                      <w:lang w:val="lv-LV"/>
                    </w:rPr>
                    <w:t>.</w:t>
                  </w:r>
                  <w:r w:rsidR="00A47F25" w:rsidRPr="00161C60">
                    <w:rPr>
                      <w:rFonts w:ascii="Times New Roman" w:hAnsi="Times New Roman"/>
                      <w:i/>
                      <w:sz w:val="24"/>
                      <w:szCs w:val="24"/>
                      <w:lang w:val="lv-LV"/>
                    </w:rPr>
                    <w:t>punkts</w:t>
                  </w:r>
                  <w:r w:rsidR="00A47F25" w:rsidRPr="00161C60">
                    <w:rPr>
                      <w:rFonts w:ascii="Times New Roman" w:hAnsi="Times New Roman"/>
                      <w:sz w:val="24"/>
                      <w:szCs w:val="24"/>
                      <w:lang w:val="lv-LV"/>
                    </w:rPr>
                    <w:t xml:space="preserve">) samazina administratīvo slogu paralēliem importētājiem (II sadaļas 1.punkts 2.2.apakšpunkts) </w:t>
                  </w:r>
                  <w:r w:rsidR="00A47F25" w:rsidRPr="00161C60">
                    <w:rPr>
                      <w:rFonts w:ascii="Times New Roman" w:hAnsi="Times New Roman"/>
                      <w:sz w:val="24"/>
                      <w:szCs w:val="24"/>
                      <w:shd w:val="clear" w:color="auto" w:fill="FFFFFF"/>
                      <w:lang w:val="lv-LV"/>
                    </w:rPr>
                    <w:t xml:space="preserve">vienkāršotas administratīvās procedūras dokumentu saņemšanā, jo samazinās paralēlā importētājam iesniegumu skaits atļaujas saņemšanai paralēli importēto zāļu izplatīšanai. </w:t>
                  </w:r>
                  <w:r w:rsidR="00A47F25" w:rsidRPr="00161C60">
                    <w:rPr>
                      <w:rFonts w:ascii="Times New Roman" w:hAnsi="Times New Roman"/>
                      <w:sz w:val="24"/>
                      <w:szCs w:val="24"/>
                      <w:lang w:val="lv-LV"/>
                    </w:rPr>
                    <w:t xml:space="preserve">Tas veicina uzņēmējdarbības attīstību. </w:t>
                  </w:r>
                  <w:r w:rsidR="00A47F25" w:rsidRPr="00161C60">
                    <w:rPr>
                      <w:rFonts w:ascii="Times New Roman" w:hAnsi="Times New Roman"/>
                      <w:sz w:val="24"/>
                      <w:szCs w:val="24"/>
                      <w:lang w:val="lv-LV"/>
                    </w:rPr>
                    <w:lastRenderedPageBreak/>
                    <w:t>Aģentūrai jāpārkāto iekšējās procedūras iesnieguma izskatīšanā.</w:t>
                  </w:r>
                </w:p>
                <w:p w:rsidR="00A47F25" w:rsidRPr="00161C60" w:rsidRDefault="00A47F25" w:rsidP="00834F42">
                  <w:pPr>
                    <w:spacing w:before="75" w:after="75"/>
                    <w:jc w:val="both"/>
                  </w:pPr>
                </w:p>
                <w:p w:rsidR="00A47F25" w:rsidRPr="00161C60" w:rsidRDefault="00304AB4" w:rsidP="00834F42">
                  <w:pPr>
                    <w:pStyle w:val="NoSpacing"/>
                    <w:jc w:val="both"/>
                    <w:rPr>
                      <w:rFonts w:ascii="Times New Roman" w:hAnsi="Times New Roman"/>
                      <w:sz w:val="24"/>
                      <w:szCs w:val="24"/>
                      <w:lang w:val="lv-LV"/>
                    </w:rPr>
                  </w:pPr>
                  <w:r w:rsidRPr="00161C60">
                    <w:rPr>
                      <w:rFonts w:ascii="Times New Roman" w:hAnsi="Times New Roman"/>
                      <w:sz w:val="24"/>
                      <w:szCs w:val="24"/>
                      <w:lang w:val="lv-LV"/>
                    </w:rPr>
                    <w:t>10.</w:t>
                  </w:r>
                  <w:r w:rsidR="00A47F25" w:rsidRPr="00161C60">
                    <w:rPr>
                      <w:rFonts w:ascii="Times New Roman" w:hAnsi="Times New Roman"/>
                      <w:sz w:val="24"/>
                      <w:szCs w:val="24"/>
                      <w:lang w:val="lv-LV"/>
                    </w:rPr>
                    <w:t> Tiesiskais re</w:t>
                  </w:r>
                  <w:r w:rsidR="00356A3F" w:rsidRPr="00161C60">
                    <w:rPr>
                      <w:rFonts w:ascii="Times New Roman" w:hAnsi="Times New Roman"/>
                      <w:sz w:val="24"/>
                      <w:szCs w:val="24"/>
                      <w:lang w:val="lv-LV"/>
                    </w:rPr>
                    <w:t xml:space="preserve">gulējums Noteikumu </w:t>
                  </w:r>
                  <w:r w:rsidR="004E081C" w:rsidRPr="00161C60">
                    <w:rPr>
                      <w:rFonts w:ascii="Times New Roman" w:hAnsi="Times New Roman"/>
                      <w:sz w:val="24"/>
                      <w:szCs w:val="24"/>
                      <w:lang w:val="lv-LV"/>
                    </w:rPr>
                    <w:t>projekta 1.</w:t>
                  </w:r>
                  <w:r w:rsidR="009A3B84" w:rsidRPr="00161C60">
                    <w:rPr>
                      <w:rFonts w:ascii="Times New Roman" w:hAnsi="Times New Roman"/>
                      <w:sz w:val="24"/>
                      <w:szCs w:val="24"/>
                      <w:lang w:val="lv-LV"/>
                    </w:rPr>
                    <w:t>28</w:t>
                  </w:r>
                  <w:r w:rsidR="00A47F25" w:rsidRPr="00161C60">
                    <w:rPr>
                      <w:rFonts w:ascii="Times New Roman" w:hAnsi="Times New Roman"/>
                      <w:sz w:val="24"/>
                      <w:szCs w:val="24"/>
                      <w:lang w:val="lv-LV"/>
                    </w:rPr>
                    <w:t>.apakšpunktā (</w:t>
                  </w:r>
                  <w:r w:rsidR="00A47F25" w:rsidRPr="00161C60">
                    <w:rPr>
                      <w:rFonts w:ascii="Times New Roman" w:hAnsi="Times New Roman"/>
                      <w:i/>
                      <w:sz w:val="24"/>
                      <w:szCs w:val="24"/>
                      <w:lang w:val="lv-LV"/>
                    </w:rPr>
                    <w:t>70.</w:t>
                  </w:r>
                  <w:r w:rsidR="00A47F25" w:rsidRPr="00161C60">
                    <w:rPr>
                      <w:rFonts w:ascii="Times New Roman" w:hAnsi="Times New Roman"/>
                      <w:i/>
                      <w:sz w:val="24"/>
                      <w:szCs w:val="24"/>
                      <w:vertAlign w:val="superscript"/>
                      <w:lang w:val="lv-LV"/>
                    </w:rPr>
                    <w:t>1</w:t>
                  </w:r>
                  <w:r w:rsidR="00A47F25" w:rsidRPr="00161C60">
                    <w:rPr>
                      <w:rFonts w:ascii="Times New Roman" w:hAnsi="Times New Roman"/>
                      <w:i/>
                      <w:sz w:val="24"/>
                      <w:szCs w:val="24"/>
                      <w:lang w:val="lv-LV"/>
                    </w:rPr>
                    <w:t>punkts</w:t>
                  </w:r>
                  <w:r w:rsidR="00A47F25" w:rsidRPr="00161C60">
                    <w:rPr>
                      <w:rFonts w:ascii="Times New Roman" w:hAnsi="Times New Roman"/>
                      <w:sz w:val="24"/>
                      <w:szCs w:val="24"/>
                      <w:lang w:val="lv-LV"/>
                    </w:rPr>
                    <w:t>) paplašina informāciju, kuru farmaceits aptiekā sniedz pacientam, izsniedzot zāles, farmaceitam būs jāsniedz pacien</w:t>
                  </w:r>
                  <w:r w:rsidR="00092EDE" w:rsidRPr="00161C60">
                    <w:rPr>
                      <w:rFonts w:ascii="Times New Roman" w:hAnsi="Times New Roman"/>
                      <w:sz w:val="24"/>
                      <w:szCs w:val="24"/>
                      <w:lang w:val="lv-LV"/>
                    </w:rPr>
                    <w:t>tam informācija par zālēm</w:t>
                  </w:r>
                  <w:r w:rsidR="000E2E36" w:rsidRPr="00161C60">
                    <w:rPr>
                      <w:rFonts w:ascii="Times New Roman" w:hAnsi="Times New Roman"/>
                      <w:sz w:val="24"/>
                      <w:szCs w:val="24"/>
                      <w:lang w:val="lv-LV"/>
                    </w:rPr>
                    <w:t> - </w:t>
                  </w:r>
                  <w:r w:rsidR="00092EDE" w:rsidRPr="00161C60">
                    <w:rPr>
                      <w:rFonts w:ascii="Times New Roman" w:hAnsi="Times New Roman"/>
                      <w:sz w:val="24"/>
                      <w:szCs w:val="24"/>
                      <w:lang w:val="lv-LV"/>
                    </w:rPr>
                    <w:t xml:space="preserve">to </w:t>
                  </w:r>
                  <w:r w:rsidR="00A47F25" w:rsidRPr="00161C60">
                    <w:rPr>
                      <w:rFonts w:ascii="Times New Roman" w:hAnsi="Times New Roman"/>
                      <w:sz w:val="24"/>
                      <w:szCs w:val="24"/>
                      <w:lang w:val="lv-LV"/>
                    </w:rPr>
                    <w:t>derīguma termiņu, ja zālēm līdz derīguma beigām ir atlicis mazāk par diviem mēnešiem. Tā kā farmaceits nodrošina farmaceitisko aprūpi, sniedzot pacietam informācijas sniegšana par zāļu lietošanu, kuru sniedz aptiekā farmaceits (II sadaļas 1.punkts 1.apakšpunkts), nav uzsk</w:t>
                  </w:r>
                  <w:r w:rsidR="006C71F5" w:rsidRPr="00161C60">
                    <w:rPr>
                      <w:rFonts w:ascii="Times New Roman" w:hAnsi="Times New Roman"/>
                      <w:sz w:val="24"/>
                      <w:szCs w:val="24"/>
                      <w:lang w:val="lv-LV"/>
                    </w:rPr>
                    <w:t>atāma par administratīvo slogu.</w:t>
                  </w:r>
                </w:p>
                <w:p w:rsidR="00A47F25" w:rsidRPr="00161C60" w:rsidRDefault="00A47F25" w:rsidP="00834F42">
                  <w:pPr>
                    <w:autoSpaceDE w:val="0"/>
                    <w:autoSpaceDN w:val="0"/>
                    <w:adjustRightInd w:val="0"/>
                    <w:jc w:val="both"/>
                    <w:rPr>
                      <w:rFonts w:eastAsia="Calibri"/>
                    </w:rPr>
                  </w:pPr>
                </w:p>
                <w:p w:rsidR="00A47F25" w:rsidRPr="00161C60" w:rsidRDefault="00304AB4" w:rsidP="00834F42">
                  <w:pPr>
                    <w:autoSpaceDE w:val="0"/>
                    <w:autoSpaceDN w:val="0"/>
                    <w:adjustRightInd w:val="0"/>
                    <w:jc w:val="both"/>
                  </w:pPr>
                  <w:r w:rsidRPr="00161C60">
                    <w:t>11.</w:t>
                  </w:r>
                  <w:r w:rsidR="00A47F25" w:rsidRPr="00161C60">
                    <w:t> Tiesiskais regulējums Noteikumu projek</w:t>
                  </w:r>
                  <w:r w:rsidR="00B62324" w:rsidRPr="00161C60">
                    <w:t>ta 1.3</w:t>
                  </w:r>
                  <w:r w:rsidR="009A3B84" w:rsidRPr="00161C60">
                    <w:t>0</w:t>
                  </w:r>
                  <w:r w:rsidR="00A47F25" w:rsidRPr="00161C60">
                    <w:t>.apakšpunktā (</w:t>
                  </w:r>
                  <w:r w:rsidR="00A47F25" w:rsidRPr="00161C60">
                    <w:rPr>
                      <w:i/>
                    </w:rPr>
                    <w:t>76.</w:t>
                  </w:r>
                  <w:r w:rsidR="00A47F25" w:rsidRPr="00161C60">
                    <w:rPr>
                      <w:i/>
                      <w:vertAlign w:val="superscript"/>
                    </w:rPr>
                    <w:t>1</w:t>
                  </w:r>
                  <w:r w:rsidR="00A47F25" w:rsidRPr="00161C60">
                    <w:rPr>
                      <w:i/>
                    </w:rPr>
                    <w:t>punkts</w:t>
                  </w:r>
                  <w:r w:rsidR="00A47F25" w:rsidRPr="00161C60">
                    <w:t xml:space="preserve">) palielina administratīvo slogu aptiekai (II sadaļas 1.punkts 1.apakšpunkts), jo tiek noteikts aptiekas pienākums informēt </w:t>
                  </w:r>
                  <w:r w:rsidR="00C52BA3" w:rsidRPr="00161C60">
                    <w:t>A</w:t>
                  </w:r>
                  <w:r w:rsidR="00A47F25" w:rsidRPr="00161C60">
                    <w:t>ģentūru par mazumtirdzniecībā izplatāmām zālēm, un tā  samazināšanai nomai tiek noteikts pāreja</w:t>
                  </w:r>
                  <w:r w:rsidR="00AF4F74" w:rsidRPr="00161C60">
                    <w:t>s periods līdz 2017</w:t>
                  </w:r>
                  <w:r w:rsidR="00A47F25" w:rsidRPr="00161C60">
                    <w:t xml:space="preserve">.gada </w:t>
                  </w:r>
                  <w:r w:rsidR="005F589F" w:rsidRPr="00161C60">
                    <w:t>1.</w:t>
                  </w:r>
                  <w:r w:rsidR="00AF4F74" w:rsidRPr="00161C60">
                    <w:t>janvārim</w:t>
                  </w:r>
                  <w:r w:rsidR="00356A3F" w:rsidRPr="00161C60">
                    <w:t xml:space="preserve"> (Noteikumu projekta 1.6</w:t>
                  </w:r>
                  <w:r w:rsidR="00AF4F74" w:rsidRPr="00161C60">
                    <w:t>4</w:t>
                  </w:r>
                  <w:r w:rsidR="00A47F25" w:rsidRPr="00161C60">
                    <w:t>.apakš</w:t>
                  </w:r>
                  <w:r w:rsidR="00092EDE" w:rsidRPr="00161C60">
                    <w:t>punkts).</w:t>
                  </w:r>
                </w:p>
                <w:p w:rsidR="00A47F25" w:rsidRPr="00161C60" w:rsidRDefault="00387F91" w:rsidP="00834F42">
                  <w:pPr>
                    <w:jc w:val="both"/>
                    <w:rPr>
                      <w:sz w:val="28"/>
                      <w:szCs w:val="28"/>
                    </w:rPr>
                  </w:pPr>
                  <w:r w:rsidRPr="00161C60">
                    <w:t>Vienlaicīgi tas var palielināt Aģentūrai administratīvo slogu jo kopā pēc Aģentūras sniegtās informācijas, Aģentūrai būs jāapstrādā 3160 atskaites.</w:t>
                  </w:r>
                </w:p>
                <w:p w:rsidR="00387F91" w:rsidRPr="00161C60" w:rsidRDefault="00387F91" w:rsidP="00834F42">
                  <w:pPr>
                    <w:autoSpaceDE w:val="0"/>
                    <w:autoSpaceDN w:val="0"/>
                    <w:adjustRightInd w:val="0"/>
                    <w:jc w:val="both"/>
                  </w:pPr>
                </w:p>
                <w:p w:rsidR="00A47F25" w:rsidRPr="00161C60" w:rsidRDefault="00304AB4" w:rsidP="00834F42">
                  <w:pPr>
                    <w:autoSpaceDE w:val="0"/>
                    <w:autoSpaceDN w:val="0"/>
                    <w:adjustRightInd w:val="0"/>
                    <w:jc w:val="both"/>
                  </w:pPr>
                  <w:r w:rsidRPr="00161C60">
                    <w:t>12.</w:t>
                  </w:r>
                  <w:r w:rsidR="00A47F25" w:rsidRPr="00161C60">
                    <w:t> Tiesiskais re</w:t>
                  </w:r>
                  <w:r w:rsidR="005B6BEF" w:rsidRPr="00161C60">
                    <w:t>gulējums Noteikumu projekta 1.3</w:t>
                  </w:r>
                  <w:r w:rsidR="009A3B84" w:rsidRPr="00161C60">
                    <w:t>2</w:t>
                  </w:r>
                  <w:r w:rsidR="00A47F25" w:rsidRPr="00161C60">
                    <w:t>.apakšpunktā (</w:t>
                  </w:r>
                  <w:r w:rsidR="00A47F25" w:rsidRPr="00161C60">
                    <w:rPr>
                      <w:i/>
                    </w:rPr>
                    <w:t>81.punkts</w:t>
                  </w:r>
                  <w:r w:rsidR="00A47F25" w:rsidRPr="00161C60">
                    <w:t>) ievieš tiesisku notei</w:t>
                  </w:r>
                  <w:r w:rsidR="00092EDE" w:rsidRPr="00161C60">
                    <w:t>ktību pakalpojumu sniedzējiem - </w:t>
                  </w:r>
                  <w:r w:rsidR="00A47F25" w:rsidRPr="00161C60">
                    <w:t>zāļu reģistrācijas īpašniekam un zāļu izplatītājiem (II sadaļas 1.punkts 1., 2., 3. un 4.apakšpunkts), kas veicina zāļu izplatītājiem uzņēmējdarbības attīstību un iedzīvotāji (I sadaļas 1.punkts 5.apakšpunkts) var laicīgi saņemt zāles.</w:t>
                  </w:r>
                </w:p>
                <w:p w:rsidR="003B644D" w:rsidRPr="00161C60" w:rsidRDefault="003B644D" w:rsidP="00834F42">
                  <w:pPr>
                    <w:autoSpaceDE w:val="0"/>
                    <w:autoSpaceDN w:val="0"/>
                    <w:adjustRightInd w:val="0"/>
                    <w:jc w:val="both"/>
                  </w:pPr>
                </w:p>
                <w:p w:rsidR="00A47F25" w:rsidRPr="00161C60" w:rsidRDefault="00304AB4" w:rsidP="00834F42">
                  <w:pPr>
                    <w:autoSpaceDE w:val="0"/>
                    <w:autoSpaceDN w:val="0"/>
                    <w:adjustRightInd w:val="0"/>
                    <w:jc w:val="both"/>
                  </w:pPr>
                  <w:r w:rsidRPr="00161C60">
                    <w:t>13.</w:t>
                  </w:r>
                  <w:r w:rsidR="00A47F25" w:rsidRPr="00161C60">
                    <w:t> Tiesiskais re</w:t>
                  </w:r>
                  <w:r w:rsidR="00885969" w:rsidRPr="00161C60">
                    <w:t>gulējums Noteikumu projekta 1.4</w:t>
                  </w:r>
                  <w:r w:rsidR="00AD50F4" w:rsidRPr="00161C60">
                    <w:t>1</w:t>
                  </w:r>
                  <w:r w:rsidR="00A47F25" w:rsidRPr="00161C60">
                    <w:t>.apakšpunktā (</w:t>
                  </w:r>
                  <w:r w:rsidR="00A47F25" w:rsidRPr="00161C60">
                    <w:rPr>
                      <w:i/>
                    </w:rPr>
                    <w:t>103.6., 103.7. un 103.8.apa</w:t>
                  </w:r>
                  <w:r w:rsidR="00A47F25" w:rsidRPr="00161C60">
                    <w:t>kšpunkts) ievieš tiesisku noteiktību pakalpojumu sniedzējiem - aptiekām (II sadaļas 1.punkts 1.apakšpunkts), un iedzīvotājiem (I sadaļas 1.punkts 5.apakšpunkts) palielinās zāļu drošība, jo licencēto aptieku iegādes vietas tīmeklī ir vieglāk identificējamas, īpaši atzīmētas ar Eiropas Savien</w:t>
                  </w:r>
                  <w:r w:rsidR="000E2E36" w:rsidRPr="00161C60">
                    <w:t xml:space="preserve">ībā apstiprinātu Vienoto logo. </w:t>
                  </w:r>
                  <w:r w:rsidR="00A47F25" w:rsidRPr="00161C60">
                    <w:t>Administratīv</w:t>
                  </w:r>
                  <w:r w:rsidR="00091BCE" w:rsidRPr="00161C60">
                    <w:t xml:space="preserve">ais slogs palielinās Aģentūrai </w:t>
                  </w:r>
                  <w:r w:rsidR="00A47F25" w:rsidRPr="00161C60">
                    <w:t>saistībā ar procedūru izstrādi.</w:t>
                  </w:r>
                </w:p>
                <w:p w:rsidR="00A47F25" w:rsidRPr="00161C60" w:rsidRDefault="00A47F25" w:rsidP="00834F42">
                  <w:pPr>
                    <w:autoSpaceDE w:val="0"/>
                    <w:autoSpaceDN w:val="0"/>
                    <w:adjustRightInd w:val="0"/>
                    <w:jc w:val="both"/>
                  </w:pPr>
                </w:p>
                <w:p w:rsidR="00A47F25" w:rsidRPr="00161C60" w:rsidRDefault="00304AB4" w:rsidP="00834F42">
                  <w:pPr>
                    <w:pStyle w:val="NoSpacing"/>
                    <w:jc w:val="both"/>
                    <w:rPr>
                      <w:rFonts w:ascii="Times New Roman" w:hAnsi="Times New Roman"/>
                      <w:sz w:val="24"/>
                      <w:szCs w:val="24"/>
                      <w:shd w:val="clear" w:color="auto" w:fill="FFFFFF"/>
                      <w:lang w:val="lv-LV"/>
                    </w:rPr>
                  </w:pPr>
                  <w:r w:rsidRPr="00161C60">
                    <w:rPr>
                      <w:rFonts w:ascii="Times New Roman" w:hAnsi="Times New Roman"/>
                      <w:sz w:val="24"/>
                      <w:szCs w:val="24"/>
                      <w:lang w:val="lv-LV"/>
                    </w:rPr>
                    <w:t>14.</w:t>
                  </w:r>
                  <w:r w:rsidR="00A47F25" w:rsidRPr="00161C60">
                    <w:rPr>
                      <w:rFonts w:ascii="Times New Roman" w:hAnsi="Times New Roman"/>
                      <w:sz w:val="24"/>
                      <w:szCs w:val="24"/>
                      <w:lang w:val="lv-LV"/>
                    </w:rPr>
                    <w:t> Tiesiskais re</w:t>
                  </w:r>
                  <w:r w:rsidR="00885969" w:rsidRPr="00161C60">
                    <w:rPr>
                      <w:rFonts w:ascii="Times New Roman" w:hAnsi="Times New Roman"/>
                      <w:sz w:val="24"/>
                      <w:szCs w:val="24"/>
                      <w:lang w:val="lv-LV"/>
                    </w:rPr>
                    <w:t>gulējums Noteikumu projekta 1.</w:t>
                  </w:r>
                  <w:r w:rsidR="00D62C1D" w:rsidRPr="00161C60">
                    <w:rPr>
                      <w:rFonts w:ascii="Times New Roman" w:hAnsi="Times New Roman"/>
                      <w:sz w:val="24"/>
                      <w:szCs w:val="24"/>
                      <w:lang w:val="lv-LV"/>
                    </w:rPr>
                    <w:t>47</w:t>
                  </w:r>
                  <w:r w:rsidR="00A47F25" w:rsidRPr="00161C60">
                    <w:rPr>
                      <w:rFonts w:ascii="Times New Roman" w:hAnsi="Times New Roman"/>
                      <w:sz w:val="24"/>
                      <w:szCs w:val="24"/>
                      <w:lang w:val="lv-LV"/>
                    </w:rPr>
                    <w:t>.apakšpunktā (</w:t>
                  </w:r>
                  <w:r w:rsidR="00A47F25" w:rsidRPr="00161C60">
                    <w:rPr>
                      <w:rFonts w:ascii="Times New Roman" w:hAnsi="Times New Roman"/>
                      <w:i/>
                      <w:sz w:val="24"/>
                      <w:szCs w:val="24"/>
                      <w:lang w:val="lv-LV"/>
                    </w:rPr>
                    <w:t>109.punkts</w:t>
                  </w:r>
                  <w:r w:rsidR="00A47F25" w:rsidRPr="00161C60">
                    <w:rPr>
                      <w:rFonts w:ascii="Times New Roman" w:hAnsi="Times New Roman"/>
                      <w:sz w:val="24"/>
                      <w:szCs w:val="24"/>
                      <w:lang w:val="lv-LV"/>
                    </w:rPr>
                    <w:t>) ievieš tiesisku note</w:t>
                  </w:r>
                  <w:r w:rsidR="00091BCE" w:rsidRPr="00161C60">
                    <w:rPr>
                      <w:rFonts w:ascii="Times New Roman" w:hAnsi="Times New Roman"/>
                      <w:sz w:val="24"/>
                      <w:szCs w:val="24"/>
                      <w:lang w:val="lv-LV"/>
                    </w:rPr>
                    <w:t>iktību pakalpojumu sniedzējiem -</w:t>
                  </w:r>
                  <w:r w:rsidR="00A47F25" w:rsidRPr="00161C60">
                    <w:rPr>
                      <w:rFonts w:ascii="Times New Roman" w:hAnsi="Times New Roman"/>
                      <w:sz w:val="24"/>
                      <w:szCs w:val="24"/>
                      <w:lang w:val="lv-LV"/>
                    </w:rPr>
                    <w:t xml:space="preserve"> zāļu reģistrācijas īpašniekiem (II sadaļas 1.punkts 4.apakšpunkts) par gadījumiem, kad zāļu paraugi testēšanai nav jāiesniedz, tādējādi samazinot administratīvo slogu, izslēdzot </w:t>
                  </w:r>
                  <w:r w:rsidR="00A47F25" w:rsidRPr="00161C60">
                    <w:rPr>
                      <w:rFonts w:ascii="Times New Roman" w:hAnsi="Times New Roman"/>
                      <w:sz w:val="24"/>
                      <w:szCs w:val="24"/>
                      <w:shd w:val="clear" w:color="auto" w:fill="FFFFFF"/>
                      <w:lang w:val="lv-LV"/>
                    </w:rPr>
                    <w:t>risku pārmērīgi birokrātiskām prasībām no Aģentūras puses.</w:t>
                  </w:r>
                </w:p>
                <w:p w:rsidR="00A47F25" w:rsidRPr="00161C60" w:rsidRDefault="00A47F25" w:rsidP="00834F42">
                  <w:pPr>
                    <w:jc w:val="both"/>
                  </w:pPr>
                </w:p>
                <w:p w:rsidR="00A47F25" w:rsidRPr="00161C60" w:rsidRDefault="00304AB4" w:rsidP="00834F42">
                  <w:pPr>
                    <w:autoSpaceDE w:val="0"/>
                    <w:autoSpaceDN w:val="0"/>
                    <w:adjustRightInd w:val="0"/>
                    <w:jc w:val="both"/>
                    <w:rPr>
                      <w:rFonts w:eastAsia="Calibri"/>
                    </w:rPr>
                  </w:pPr>
                  <w:r w:rsidRPr="00161C60">
                    <w:t>15.</w:t>
                  </w:r>
                  <w:r w:rsidR="00A47F25" w:rsidRPr="00161C60">
                    <w:t> Tiesiskais regulējums Noteikumu projekta</w:t>
                  </w:r>
                  <w:r w:rsidR="00885969" w:rsidRPr="00161C60">
                    <w:t xml:space="preserve"> 1.</w:t>
                  </w:r>
                  <w:r w:rsidR="00D62C1D" w:rsidRPr="00161C60">
                    <w:t>51</w:t>
                  </w:r>
                  <w:r w:rsidR="00A47F25" w:rsidRPr="00161C60">
                    <w:t xml:space="preserve">.apakšpunktā </w:t>
                  </w:r>
                  <w:r w:rsidR="00A47F25" w:rsidRPr="00161C60">
                    <w:lastRenderedPageBreak/>
                    <w:t>(</w:t>
                  </w:r>
                  <w:r w:rsidR="00A47F25" w:rsidRPr="00161C60">
                    <w:rPr>
                      <w:i/>
                    </w:rPr>
                    <w:t>115.</w:t>
                  </w:r>
                  <w:r w:rsidR="00A47F25" w:rsidRPr="00161C60">
                    <w:rPr>
                      <w:i/>
                      <w:vertAlign w:val="superscript"/>
                    </w:rPr>
                    <w:t>1</w:t>
                  </w:r>
                  <w:r w:rsidR="00A47F25" w:rsidRPr="00161C60">
                    <w:rPr>
                      <w:i/>
                    </w:rPr>
                    <w:t>, 115.</w:t>
                  </w:r>
                  <w:r w:rsidR="00A47F25" w:rsidRPr="00161C60">
                    <w:rPr>
                      <w:i/>
                      <w:vertAlign w:val="superscript"/>
                    </w:rPr>
                    <w:t>2</w:t>
                  </w:r>
                  <w:r w:rsidR="00A47F25" w:rsidRPr="00161C60">
                    <w:rPr>
                      <w:i/>
                    </w:rPr>
                    <w:t>, 115.</w:t>
                  </w:r>
                  <w:r w:rsidR="00A47F25" w:rsidRPr="00161C60">
                    <w:rPr>
                      <w:i/>
                      <w:vertAlign w:val="superscript"/>
                    </w:rPr>
                    <w:t>3</w:t>
                  </w:r>
                  <w:r w:rsidR="00A47F25" w:rsidRPr="00161C60">
                    <w:rPr>
                      <w:i/>
                    </w:rPr>
                    <w:t xml:space="preserve"> un 115.</w:t>
                  </w:r>
                  <w:r w:rsidR="00A47F25" w:rsidRPr="00161C60">
                    <w:rPr>
                      <w:i/>
                      <w:vertAlign w:val="superscript"/>
                    </w:rPr>
                    <w:t>4</w:t>
                  </w:r>
                  <w:r w:rsidR="00A47F25" w:rsidRPr="00161C60">
                    <w:rPr>
                      <w:i/>
                    </w:rPr>
                    <w:t>punkts</w:t>
                  </w:r>
                  <w:r w:rsidR="00A47F25" w:rsidRPr="00161C60">
                    <w:t>) ievieš tiesisku note</w:t>
                  </w:r>
                  <w:r w:rsidR="000E2E36" w:rsidRPr="00161C60">
                    <w:t>iktību pakalpojumu sniedzējiem -</w:t>
                  </w:r>
                  <w:r w:rsidR="00A47F25" w:rsidRPr="00161C60">
                    <w:t xml:space="preserve"> zāļu reģistrācijas īpašniekiem (II sadaļas 1.punkts 4.apakšpunkts) attiecībā uz informāciju, kāda sniedzama par zālēm Eiropas Zāļu aģentūrai, vienlaicīgi samazinot administratīvo slogu un nodrošinot informācijas sniegšanu iespēja </w:t>
                  </w:r>
                  <w:r w:rsidR="00A47F25" w:rsidRPr="00161C60">
                    <w:rPr>
                      <w:rFonts w:eastAsia="Calibri"/>
                    </w:rPr>
                    <w:t>Aģentūrā elektroniski (e</w:t>
                  </w:r>
                  <w:r w:rsidR="00091BCE" w:rsidRPr="00161C60">
                    <w:rPr>
                      <w:rFonts w:eastAsia="Calibri"/>
                    </w:rPr>
                    <w:t> </w:t>
                  </w:r>
                  <w:r w:rsidR="00A47F25" w:rsidRPr="00161C60">
                    <w:rPr>
                      <w:rFonts w:eastAsia="Calibri"/>
                    </w:rPr>
                    <w:t>-</w:t>
                  </w:r>
                  <w:r w:rsidR="00091BCE" w:rsidRPr="00161C60">
                    <w:rPr>
                      <w:rFonts w:eastAsia="Calibri"/>
                    </w:rPr>
                    <w:t> </w:t>
                  </w:r>
                  <w:r w:rsidR="00A47F25" w:rsidRPr="00161C60">
                    <w:rPr>
                      <w:rFonts w:eastAsia="Calibri"/>
                    </w:rPr>
                    <w:t>parakstītu).</w:t>
                  </w:r>
                </w:p>
                <w:p w:rsidR="00A47F25" w:rsidRPr="00161C60" w:rsidRDefault="00A47F25" w:rsidP="00834F42">
                  <w:pPr>
                    <w:jc w:val="both"/>
                    <w:rPr>
                      <w:i/>
                    </w:rPr>
                  </w:pPr>
                </w:p>
                <w:p w:rsidR="00A47F25" w:rsidRPr="00161C60" w:rsidRDefault="00304AB4" w:rsidP="00834F42">
                  <w:pPr>
                    <w:autoSpaceDE w:val="0"/>
                    <w:autoSpaceDN w:val="0"/>
                    <w:adjustRightInd w:val="0"/>
                    <w:jc w:val="both"/>
                  </w:pPr>
                  <w:r w:rsidRPr="00161C60">
                    <w:t>16.</w:t>
                  </w:r>
                  <w:r w:rsidR="00A47F25" w:rsidRPr="00161C60">
                    <w:t> Tiesiskais regulējums</w:t>
                  </w:r>
                  <w:r w:rsidR="00885969" w:rsidRPr="00161C60">
                    <w:t xml:space="preserve"> Noteikumu projekta 1.</w:t>
                  </w:r>
                  <w:r w:rsidR="00D62C1D" w:rsidRPr="00161C60">
                    <w:t>48</w:t>
                  </w:r>
                  <w:r w:rsidR="00356A3F" w:rsidRPr="00161C60">
                    <w:t>. un 1</w:t>
                  </w:r>
                  <w:r w:rsidR="003365F3" w:rsidRPr="00161C60">
                    <w:t>.5</w:t>
                  </w:r>
                  <w:r w:rsidR="007B78ED" w:rsidRPr="00161C60">
                    <w:t>1</w:t>
                  </w:r>
                  <w:r w:rsidR="00A47F25" w:rsidRPr="00161C60">
                    <w:t>.apakšpunktā (</w:t>
                  </w:r>
                  <w:r w:rsidR="00A47F25" w:rsidRPr="00161C60">
                    <w:rPr>
                      <w:i/>
                    </w:rPr>
                    <w:t>116., 116.</w:t>
                  </w:r>
                  <w:r w:rsidR="00A47F25" w:rsidRPr="00161C60">
                    <w:rPr>
                      <w:i/>
                      <w:vertAlign w:val="superscript"/>
                    </w:rPr>
                    <w:t>2</w:t>
                  </w:r>
                  <w:r w:rsidR="00A47F25" w:rsidRPr="00161C60">
                    <w:rPr>
                      <w:i/>
                    </w:rPr>
                    <w:t>, 116.</w:t>
                  </w:r>
                  <w:r w:rsidR="00A47F25" w:rsidRPr="00161C60">
                    <w:rPr>
                      <w:i/>
                      <w:vertAlign w:val="superscript"/>
                    </w:rPr>
                    <w:t>3</w:t>
                  </w:r>
                  <w:r w:rsidR="00A47F25" w:rsidRPr="00161C60">
                    <w:rPr>
                      <w:i/>
                    </w:rPr>
                    <w:t>, 116.</w:t>
                  </w:r>
                  <w:r w:rsidR="00A47F25" w:rsidRPr="00161C60">
                    <w:rPr>
                      <w:i/>
                      <w:vertAlign w:val="superscript"/>
                    </w:rPr>
                    <w:t>4</w:t>
                  </w:r>
                  <w:r w:rsidR="00D62C1D" w:rsidRPr="00161C60">
                    <w:rPr>
                      <w:i/>
                    </w:rPr>
                    <w:t>,</w:t>
                  </w:r>
                  <w:r w:rsidR="00A47F25" w:rsidRPr="00161C60">
                    <w:rPr>
                      <w:i/>
                    </w:rPr>
                    <w:t>116.</w:t>
                  </w:r>
                  <w:r w:rsidR="00A47F25" w:rsidRPr="00161C60">
                    <w:rPr>
                      <w:i/>
                      <w:vertAlign w:val="superscript"/>
                    </w:rPr>
                    <w:t>5</w:t>
                  </w:r>
                  <w:r w:rsidR="00D62C1D" w:rsidRPr="00161C60">
                    <w:rPr>
                      <w:i/>
                    </w:rPr>
                    <w:t xml:space="preserve"> un 116.</w:t>
                  </w:r>
                  <w:r w:rsidR="00D62C1D" w:rsidRPr="00161C60">
                    <w:rPr>
                      <w:i/>
                      <w:vertAlign w:val="superscript"/>
                    </w:rPr>
                    <w:t>6</w:t>
                  </w:r>
                  <w:r w:rsidR="00D62C1D" w:rsidRPr="00161C60">
                    <w:rPr>
                      <w:i/>
                    </w:rPr>
                    <w:t>punkts</w:t>
                  </w:r>
                  <w:r w:rsidR="00A47F25" w:rsidRPr="00161C60">
                    <w:t>) ievieš tiesisku noteiktību pakalpojumu sniedzējiem  (II sadaļas 1.punkts 1.,</w:t>
                  </w:r>
                  <w:r w:rsidR="000E2E36" w:rsidRPr="00161C60">
                    <w:t xml:space="preserve"> </w:t>
                  </w:r>
                  <w:r w:rsidR="00A47F25" w:rsidRPr="00161C60">
                    <w:t>2., 3., un 4.apakšpunkts), iedzīvotājiem (II sadaļas 1.punkts 1.,</w:t>
                  </w:r>
                  <w:r w:rsidR="000E2E36" w:rsidRPr="00161C60">
                    <w:t xml:space="preserve"> </w:t>
                  </w:r>
                  <w:r w:rsidR="00A47F25" w:rsidRPr="00161C60">
                    <w:t>2., 3., un 4.apakšpunkts), Aģentūrai un Inspekcijai attiecībā uz informācijas sniegšanu par zāļu viltojumiem, nekvalitatīvām zālēm, iespējamo krāpniecību. Administratīvais slogs nemainās.</w:t>
                  </w:r>
                </w:p>
                <w:p w:rsidR="00A47F25" w:rsidRPr="00161C60" w:rsidRDefault="00A47F25" w:rsidP="00834F42">
                  <w:pPr>
                    <w:autoSpaceDE w:val="0"/>
                    <w:autoSpaceDN w:val="0"/>
                    <w:adjustRightInd w:val="0"/>
                    <w:jc w:val="both"/>
                    <w:rPr>
                      <w:rFonts w:eastAsia="Calibri"/>
                    </w:rPr>
                  </w:pPr>
                </w:p>
                <w:p w:rsidR="00A47F25" w:rsidRPr="00161C60" w:rsidRDefault="00304AB4" w:rsidP="00834F42">
                  <w:pPr>
                    <w:autoSpaceDE w:val="0"/>
                    <w:autoSpaceDN w:val="0"/>
                    <w:adjustRightInd w:val="0"/>
                    <w:jc w:val="both"/>
                  </w:pPr>
                  <w:r w:rsidRPr="00161C60">
                    <w:t>17.</w:t>
                  </w:r>
                  <w:r w:rsidR="00A47F25" w:rsidRPr="00161C60">
                    <w:t> Tiesiskais regulējums</w:t>
                  </w:r>
                  <w:r w:rsidR="002F5A4D" w:rsidRPr="00161C60">
                    <w:t xml:space="preserve"> Noteikumu projekta 1.</w:t>
                  </w:r>
                  <w:r w:rsidR="007B78ED" w:rsidRPr="00161C60">
                    <w:t>52</w:t>
                  </w:r>
                  <w:r w:rsidR="00726180" w:rsidRPr="00161C60">
                    <w:t>. un 1.55</w:t>
                  </w:r>
                  <w:r w:rsidR="00A47F25" w:rsidRPr="00161C60">
                    <w:t>.apakšpunktā</w:t>
                  </w:r>
                  <w:r w:rsidR="00A47F25" w:rsidRPr="00161C60">
                    <w:rPr>
                      <w:i/>
                    </w:rPr>
                    <w:t xml:space="preserve"> (127., 128., 129., 130., 131. un 132.punkts</w:t>
                  </w:r>
                  <w:r w:rsidR="00A47F25" w:rsidRPr="00161C60">
                    <w:t>) nemaina administratīvo slogu Inspekcijai, tiesiskais regulējums ievieš tiesisku noteiktību par izpildāmām darbībām ātrā reaģēšanas procedūrā.</w:t>
                  </w:r>
                </w:p>
                <w:p w:rsidR="00A47F25" w:rsidRPr="00161C60" w:rsidRDefault="00A47F25" w:rsidP="00834F42">
                  <w:pPr>
                    <w:autoSpaceDE w:val="0"/>
                    <w:autoSpaceDN w:val="0"/>
                    <w:adjustRightInd w:val="0"/>
                    <w:ind w:firstLine="851"/>
                    <w:jc w:val="both"/>
                  </w:pPr>
                </w:p>
                <w:p w:rsidR="00A47F25" w:rsidRPr="00161C60" w:rsidRDefault="00304AB4" w:rsidP="00834F42">
                  <w:pPr>
                    <w:autoSpaceDE w:val="0"/>
                    <w:autoSpaceDN w:val="0"/>
                    <w:adjustRightInd w:val="0"/>
                    <w:jc w:val="both"/>
                  </w:pPr>
                  <w:r w:rsidRPr="00161C60">
                    <w:t>18.</w:t>
                  </w:r>
                  <w:r w:rsidR="00A47F25" w:rsidRPr="00161C60">
                    <w:t> Tiesiskais re</w:t>
                  </w:r>
                  <w:r w:rsidR="00356A3F" w:rsidRPr="00161C60">
                    <w:t xml:space="preserve">gulējums Noteikumu projekta </w:t>
                  </w:r>
                  <w:r w:rsidR="003E4A0C" w:rsidRPr="00161C60">
                    <w:t>1.</w:t>
                  </w:r>
                  <w:r w:rsidR="00D46DB8" w:rsidRPr="00161C60">
                    <w:t>60</w:t>
                  </w:r>
                  <w:r w:rsidR="00C262DA" w:rsidRPr="00161C60">
                    <w:t>.</w:t>
                  </w:r>
                  <w:r w:rsidR="00A47F25" w:rsidRPr="00161C60">
                    <w:t>apakšpunktā (</w:t>
                  </w:r>
                  <w:r w:rsidR="003E4A0C" w:rsidRPr="00161C60">
                    <w:rPr>
                      <w:i/>
                    </w:rPr>
                    <w:t>146</w:t>
                  </w:r>
                  <w:r w:rsidR="00A47F25" w:rsidRPr="00161C60">
                    <w:rPr>
                      <w:i/>
                    </w:rPr>
                    <w:t>.15.apakšpunkts</w:t>
                  </w:r>
                  <w:r w:rsidR="00A47F25" w:rsidRPr="00161C60">
                    <w:t xml:space="preserve">) palielina administratīvo slogu Aģentūrai tīmekļa vietnes pilnveidošanā Īstenošanas </w:t>
                  </w:r>
                  <w:r w:rsidR="00A47F25" w:rsidRPr="00161C60">
                    <w:rPr>
                      <w:bCs/>
                    </w:rPr>
                    <w:t>Regula Nr.699/2014 īstenošanai.</w:t>
                  </w:r>
                </w:p>
                <w:p w:rsidR="00A47F25" w:rsidRPr="00161C60" w:rsidRDefault="00A47F25" w:rsidP="00834F42">
                  <w:pPr>
                    <w:autoSpaceDE w:val="0"/>
                    <w:autoSpaceDN w:val="0"/>
                    <w:adjustRightInd w:val="0"/>
                    <w:jc w:val="both"/>
                    <w:rPr>
                      <w:rFonts w:eastAsia="Calibri"/>
                    </w:rPr>
                  </w:pPr>
                </w:p>
                <w:p w:rsidR="00A47F25" w:rsidRPr="00161C60" w:rsidRDefault="00304AB4" w:rsidP="00834F42">
                  <w:pPr>
                    <w:autoSpaceDE w:val="0"/>
                    <w:autoSpaceDN w:val="0"/>
                    <w:adjustRightInd w:val="0"/>
                    <w:jc w:val="both"/>
                    <w:rPr>
                      <w:rFonts w:eastAsia="Calibri"/>
                    </w:rPr>
                  </w:pPr>
                  <w:r w:rsidRPr="00161C60">
                    <w:t>19.</w:t>
                  </w:r>
                  <w:r w:rsidR="00A47F25" w:rsidRPr="00161C60">
                    <w:t> Tiesiskais re</w:t>
                  </w:r>
                  <w:r w:rsidR="0088675E" w:rsidRPr="00161C60">
                    <w:t>gulējums Noteikumu projekta 1.</w:t>
                  </w:r>
                  <w:r w:rsidR="00D46DB8" w:rsidRPr="00161C60">
                    <w:t>63</w:t>
                  </w:r>
                  <w:r w:rsidR="00A47F25" w:rsidRPr="00161C60">
                    <w:t>.apakšpunktā (</w:t>
                  </w:r>
                  <w:r w:rsidR="00A47F25" w:rsidRPr="00161C60">
                    <w:rPr>
                      <w:i/>
                    </w:rPr>
                    <w:t>156.</w:t>
                  </w:r>
                  <w:r w:rsidR="00A47F25" w:rsidRPr="00161C60">
                    <w:rPr>
                      <w:i/>
                      <w:vertAlign w:val="superscript"/>
                    </w:rPr>
                    <w:t>1</w:t>
                  </w:r>
                  <w:r w:rsidR="00A47F25" w:rsidRPr="00161C60">
                    <w:rPr>
                      <w:i/>
                    </w:rPr>
                    <w:t>., 156.</w:t>
                  </w:r>
                  <w:r w:rsidR="00A47F25" w:rsidRPr="00161C60">
                    <w:rPr>
                      <w:i/>
                      <w:vertAlign w:val="superscript"/>
                    </w:rPr>
                    <w:t>2</w:t>
                  </w:r>
                  <w:r w:rsidR="00A47F25" w:rsidRPr="00161C60">
                    <w:rPr>
                      <w:i/>
                    </w:rPr>
                    <w:t>., 156.</w:t>
                  </w:r>
                  <w:r w:rsidR="00A47F25" w:rsidRPr="00161C60">
                    <w:rPr>
                      <w:i/>
                      <w:vertAlign w:val="superscript"/>
                    </w:rPr>
                    <w:t>3</w:t>
                  </w:r>
                  <w:r w:rsidR="00A47F25" w:rsidRPr="00161C60">
                    <w:rPr>
                      <w:i/>
                    </w:rPr>
                    <w:t>, 156.</w:t>
                  </w:r>
                  <w:r w:rsidR="00A47F25" w:rsidRPr="00161C60">
                    <w:rPr>
                      <w:i/>
                      <w:vertAlign w:val="superscript"/>
                    </w:rPr>
                    <w:t>4</w:t>
                  </w:r>
                  <w:r w:rsidR="00A47F25" w:rsidRPr="00161C60">
                    <w:rPr>
                      <w:i/>
                    </w:rPr>
                    <w:t>, 156.</w:t>
                  </w:r>
                  <w:r w:rsidR="00A47F25" w:rsidRPr="00161C60">
                    <w:rPr>
                      <w:i/>
                      <w:vertAlign w:val="superscript"/>
                    </w:rPr>
                    <w:t xml:space="preserve">5 </w:t>
                  </w:r>
                  <w:r w:rsidR="00A47F25" w:rsidRPr="00161C60">
                    <w:rPr>
                      <w:i/>
                    </w:rPr>
                    <w:t>punktu</w:t>
                  </w:r>
                  <w:r w:rsidR="00A47F25" w:rsidRPr="00161C60">
                    <w:t>) ievieš tiesisku noteiktību kompetentajām iestādēm (II sadaļas 1.punkts 6.apakšpunkts) sadarbības organizēšanā.</w:t>
                  </w:r>
                </w:p>
                <w:p w:rsidR="00A47F25" w:rsidRPr="00161C60" w:rsidRDefault="00A47F25" w:rsidP="00834F42">
                  <w:pPr>
                    <w:pStyle w:val="NoSpacing"/>
                    <w:jc w:val="both"/>
                    <w:rPr>
                      <w:sz w:val="24"/>
                      <w:szCs w:val="24"/>
                      <w:lang w:val="lv-LV"/>
                    </w:rPr>
                  </w:pPr>
                </w:p>
                <w:p w:rsidR="00A47F25" w:rsidRPr="00161C60" w:rsidRDefault="00304AB4" w:rsidP="00834F42">
                  <w:pPr>
                    <w:autoSpaceDE w:val="0"/>
                    <w:autoSpaceDN w:val="0"/>
                    <w:adjustRightInd w:val="0"/>
                    <w:jc w:val="both"/>
                    <w:rPr>
                      <w:rFonts w:eastAsia="Calibri"/>
                    </w:rPr>
                  </w:pPr>
                  <w:r w:rsidRPr="00161C60">
                    <w:t>20.</w:t>
                  </w:r>
                  <w:r w:rsidR="00A47F25" w:rsidRPr="00161C60">
                    <w:t> Tiesiskais re</w:t>
                  </w:r>
                  <w:r w:rsidR="0088675E" w:rsidRPr="00161C60">
                    <w:t>gulējums Noteikumu projekta 1.</w:t>
                  </w:r>
                  <w:r w:rsidR="00B7380C" w:rsidRPr="00161C60">
                    <w:t>65</w:t>
                  </w:r>
                  <w:r w:rsidR="00A47F25" w:rsidRPr="00161C60">
                    <w:t>.apakšpunktā (</w:t>
                  </w:r>
                  <w:r w:rsidR="00A47F25" w:rsidRPr="00161C60">
                    <w:rPr>
                      <w:i/>
                    </w:rPr>
                    <w:t>1. un 2.pielikums</w:t>
                  </w:r>
                  <w:r w:rsidR="00A47F25" w:rsidRPr="00161C60">
                    <w:t>) ievieš tiesisku noteiktību pakalpojuma sniedzējam (II sadaļas 1.punkts 2.3.apakšpunkts), kā arī samazināts administratīvais slogs saistībā ar dokumentu iesniegšanu, kas veicina uzņēmējdarbības attīstību.</w:t>
                  </w:r>
                </w:p>
                <w:p w:rsidR="00A47F25" w:rsidRPr="00161C60" w:rsidRDefault="00A47F25" w:rsidP="00834F42">
                  <w:pPr>
                    <w:autoSpaceDE w:val="0"/>
                    <w:autoSpaceDN w:val="0"/>
                    <w:adjustRightInd w:val="0"/>
                    <w:jc w:val="both"/>
                  </w:pPr>
                </w:p>
                <w:p w:rsidR="00A47F25" w:rsidRPr="00161C60" w:rsidRDefault="00304AB4" w:rsidP="00834F42">
                  <w:pPr>
                    <w:autoSpaceDE w:val="0"/>
                    <w:autoSpaceDN w:val="0"/>
                    <w:adjustRightInd w:val="0"/>
                    <w:jc w:val="both"/>
                  </w:pPr>
                  <w:r w:rsidRPr="00161C60">
                    <w:t>21.</w:t>
                  </w:r>
                  <w:r w:rsidR="00A47F25" w:rsidRPr="00161C60">
                    <w:t> Tiesiskais regulējums Noteikumu projek</w:t>
                  </w:r>
                  <w:r w:rsidR="0088675E" w:rsidRPr="00161C60">
                    <w:t>ta 1.</w:t>
                  </w:r>
                  <w:r w:rsidR="00A66038" w:rsidRPr="00161C60">
                    <w:t>67</w:t>
                  </w:r>
                  <w:r w:rsidR="0088675E" w:rsidRPr="00161C60">
                    <w:t>.</w:t>
                  </w:r>
                  <w:r w:rsidR="00A47F25" w:rsidRPr="00161C60">
                    <w:t>apakšpunktā (</w:t>
                  </w:r>
                  <w:r w:rsidR="0088675E" w:rsidRPr="00161C60">
                    <w:rPr>
                      <w:i/>
                    </w:rPr>
                    <w:t>5</w:t>
                  </w:r>
                  <w:r w:rsidR="00A47F25" w:rsidRPr="00161C60">
                    <w:rPr>
                      <w:i/>
                    </w:rPr>
                    <w:t>.p</w:t>
                  </w:r>
                  <w:r w:rsidR="00D10EE7" w:rsidRPr="00161C60">
                    <w:rPr>
                      <w:i/>
                    </w:rPr>
                    <w:t>ielikums</w:t>
                  </w:r>
                  <w:r w:rsidR="00091BCE" w:rsidRPr="00161C60">
                    <w:t xml:space="preserve">), </w:t>
                  </w:r>
                  <w:r w:rsidR="0088675E" w:rsidRPr="00161C60">
                    <w:t>1.</w:t>
                  </w:r>
                  <w:r w:rsidR="00B7380C" w:rsidRPr="00161C60">
                    <w:t>70</w:t>
                  </w:r>
                  <w:r w:rsidR="000A451E" w:rsidRPr="00161C60">
                    <w:t>.</w:t>
                  </w:r>
                  <w:r w:rsidR="00A47F25" w:rsidRPr="00161C60">
                    <w:t>apakšpunktā (</w:t>
                  </w:r>
                  <w:r w:rsidR="00A47F25" w:rsidRPr="00161C60">
                    <w:rPr>
                      <w:i/>
                    </w:rPr>
                    <w:t>7.pielikums</w:t>
                  </w:r>
                  <w:r w:rsidR="00091BCE" w:rsidRPr="00161C60">
                    <w:t xml:space="preserve">) </w:t>
                  </w:r>
                  <w:r w:rsidR="00A47F25" w:rsidRPr="00161C60">
                    <w:t xml:space="preserve">noteiktību pakalpojuma sniedzējam (II sadaļas 1.punkts 2.apakšpunkts) </w:t>
                  </w:r>
                  <w:r w:rsidR="00091BCE" w:rsidRPr="00161C60">
                    <w:rPr>
                      <w:shd w:val="clear" w:color="auto" w:fill="FFFFFF"/>
                    </w:rPr>
                    <w:t>administratīvais slogu un</w:t>
                  </w:r>
                  <w:r w:rsidR="00A47F25" w:rsidRPr="00161C60">
                    <w:rPr>
                      <w:shd w:val="clear" w:color="auto" w:fill="FFFFFF"/>
                    </w:rPr>
                    <w:t xml:space="preserve"> tiesības un pienākumus, kā arī veicamās darbības, nemaina.</w:t>
                  </w:r>
                </w:p>
                <w:p w:rsidR="00A47F25" w:rsidRPr="00161C60" w:rsidRDefault="00A47F25" w:rsidP="00834F42">
                  <w:pPr>
                    <w:autoSpaceDE w:val="0"/>
                    <w:autoSpaceDN w:val="0"/>
                    <w:adjustRightInd w:val="0"/>
                    <w:jc w:val="both"/>
                  </w:pPr>
                </w:p>
                <w:p w:rsidR="00A47F25" w:rsidRPr="00161C60" w:rsidRDefault="00304AB4" w:rsidP="00834F42">
                  <w:pPr>
                    <w:pStyle w:val="Heading4"/>
                    <w:shd w:val="clear" w:color="auto" w:fill="FFFFFF"/>
                    <w:jc w:val="both"/>
                    <w:rPr>
                      <w:rFonts w:ascii="Times New Roman" w:hAnsi="Times New Roman"/>
                      <w:b w:val="0"/>
                      <w:i w:val="0"/>
                      <w:color w:val="auto"/>
                    </w:rPr>
                  </w:pPr>
                  <w:r w:rsidRPr="00161C60">
                    <w:rPr>
                      <w:rFonts w:ascii="Times New Roman" w:hAnsi="Times New Roman"/>
                      <w:b w:val="0"/>
                      <w:i w:val="0"/>
                      <w:color w:val="auto"/>
                    </w:rPr>
                    <w:t>22.</w:t>
                  </w:r>
                  <w:r w:rsidR="00A47F25" w:rsidRPr="00161C60">
                    <w:rPr>
                      <w:rFonts w:ascii="Times New Roman" w:hAnsi="Times New Roman"/>
                      <w:b w:val="0"/>
                      <w:i w:val="0"/>
                      <w:color w:val="auto"/>
                    </w:rPr>
                    <w:t> Tiesiskais re</w:t>
                  </w:r>
                  <w:r w:rsidR="00F7308B" w:rsidRPr="00161C60">
                    <w:rPr>
                      <w:rFonts w:ascii="Times New Roman" w:hAnsi="Times New Roman"/>
                      <w:b w:val="0"/>
                      <w:i w:val="0"/>
                      <w:color w:val="auto"/>
                    </w:rPr>
                    <w:t>gulējums Noteikumu projekta 1.</w:t>
                  </w:r>
                  <w:r w:rsidR="00C7545C" w:rsidRPr="00161C60">
                    <w:rPr>
                      <w:rFonts w:ascii="Times New Roman" w:hAnsi="Times New Roman"/>
                      <w:b w:val="0"/>
                      <w:i w:val="0"/>
                      <w:color w:val="auto"/>
                    </w:rPr>
                    <w:t>71</w:t>
                  </w:r>
                  <w:r w:rsidR="00A47F25" w:rsidRPr="00161C60">
                    <w:rPr>
                      <w:rFonts w:ascii="Times New Roman" w:hAnsi="Times New Roman"/>
                      <w:b w:val="0"/>
                      <w:i w:val="0"/>
                      <w:color w:val="auto"/>
                    </w:rPr>
                    <w:t xml:space="preserve">.apakšpunktā </w:t>
                  </w:r>
                  <w:r w:rsidR="00A47F25" w:rsidRPr="00161C60">
                    <w:rPr>
                      <w:rFonts w:ascii="Times New Roman" w:hAnsi="Times New Roman"/>
                      <w:b w:val="0"/>
                      <w:i w:val="0"/>
                      <w:color w:val="auto"/>
                    </w:rPr>
                    <w:lastRenderedPageBreak/>
                    <w:t>(</w:t>
                  </w:r>
                  <w:r w:rsidR="00A47F25" w:rsidRPr="00161C60">
                    <w:rPr>
                      <w:rFonts w:ascii="Times New Roman" w:hAnsi="Times New Roman"/>
                      <w:b w:val="0"/>
                      <w:color w:val="auto"/>
                    </w:rPr>
                    <w:t>7.pielikums</w:t>
                  </w:r>
                  <w:r w:rsidR="00964C57" w:rsidRPr="00161C60">
                    <w:rPr>
                      <w:rFonts w:ascii="Times New Roman" w:hAnsi="Times New Roman"/>
                      <w:b w:val="0"/>
                      <w:i w:val="0"/>
                      <w:color w:val="auto"/>
                    </w:rPr>
                    <w:t xml:space="preserve">) </w:t>
                  </w:r>
                  <w:r w:rsidR="00A47F25" w:rsidRPr="00161C60">
                    <w:rPr>
                      <w:rFonts w:ascii="Times New Roman" w:hAnsi="Times New Roman"/>
                      <w:b w:val="0"/>
                      <w:i w:val="0"/>
                      <w:color w:val="auto"/>
                    </w:rPr>
                    <w:t xml:space="preserve">pakalpojuma sniedzējam (II sadaļas 1.punkts 2.apakšpunkts) </w:t>
                  </w:r>
                  <w:r w:rsidR="00A47F25" w:rsidRPr="00161C60">
                    <w:rPr>
                      <w:rFonts w:ascii="Times New Roman" w:hAnsi="Times New Roman"/>
                      <w:b w:val="0"/>
                      <w:i w:val="0"/>
                      <w:color w:val="auto"/>
                      <w:shd w:val="clear" w:color="auto" w:fill="FFFFFF"/>
                    </w:rPr>
                    <w:t xml:space="preserve">administratīvais slogu palielina saistībā ar informācijas norādi </w:t>
                  </w:r>
                  <w:r w:rsidR="00A47F25" w:rsidRPr="00161C60">
                    <w:rPr>
                      <w:rFonts w:ascii="Times New Roman" w:hAnsi="Times New Roman"/>
                      <w:b w:val="0"/>
                      <w:i w:val="0"/>
                      <w:color w:val="auto"/>
                    </w:rPr>
                    <w:t>iesniegumā individuāli piešķirtu nereģistrētu zāļu izplatīšanas atļaujas saņemšanai.</w:t>
                  </w:r>
                </w:p>
                <w:p w:rsidR="00A47F25" w:rsidRPr="00161C60" w:rsidRDefault="00304AB4" w:rsidP="00834F42">
                  <w:pPr>
                    <w:pStyle w:val="Heading1Agency"/>
                    <w:numPr>
                      <w:ilvl w:val="0"/>
                      <w:numId w:val="0"/>
                    </w:numPr>
                    <w:spacing w:after="0"/>
                    <w:jc w:val="both"/>
                    <w:rPr>
                      <w:rFonts w:ascii="Times New Roman" w:hAnsi="Times New Roman" w:cs="Times New Roman"/>
                      <w:b w:val="0"/>
                      <w:sz w:val="24"/>
                      <w:szCs w:val="24"/>
                      <w:lang w:val="lv-LV"/>
                    </w:rPr>
                  </w:pPr>
                  <w:r w:rsidRPr="00161C60">
                    <w:rPr>
                      <w:rFonts w:ascii="Times New Roman" w:hAnsi="Times New Roman" w:cs="Times New Roman"/>
                      <w:b w:val="0"/>
                      <w:sz w:val="24"/>
                      <w:szCs w:val="24"/>
                      <w:lang w:val="lv-LV"/>
                    </w:rPr>
                    <w:t>23.</w:t>
                  </w:r>
                  <w:r w:rsidR="00A47F25" w:rsidRPr="00161C60">
                    <w:rPr>
                      <w:rFonts w:ascii="Times New Roman" w:hAnsi="Times New Roman" w:cs="Times New Roman"/>
                      <w:b w:val="0"/>
                      <w:sz w:val="24"/>
                      <w:szCs w:val="24"/>
                      <w:lang w:val="lv-LV"/>
                    </w:rPr>
                    <w:t> Tiesiskais re</w:t>
                  </w:r>
                  <w:r w:rsidR="00F7308B" w:rsidRPr="00161C60">
                    <w:rPr>
                      <w:rFonts w:ascii="Times New Roman" w:hAnsi="Times New Roman" w:cs="Times New Roman"/>
                      <w:b w:val="0"/>
                      <w:sz w:val="24"/>
                      <w:szCs w:val="24"/>
                      <w:lang w:val="lv-LV"/>
                    </w:rPr>
                    <w:t>gulējums Noteikumu projekta 1.</w:t>
                  </w:r>
                  <w:r w:rsidR="000A451E" w:rsidRPr="00161C60">
                    <w:rPr>
                      <w:rFonts w:ascii="Times New Roman" w:hAnsi="Times New Roman" w:cs="Times New Roman"/>
                      <w:b w:val="0"/>
                      <w:sz w:val="24"/>
                      <w:szCs w:val="24"/>
                      <w:lang w:val="lv-LV"/>
                    </w:rPr>
                    <w:t>76</w:t>
                  </w:r>
                  <w:r w:rsidR="00A47F25" w:rsidRPr="00161C60">
                    <w:rPr>
                      <w:rFonts w:ascii="Times New Roman" w:hAnsi="Times New Roman" w:cs="Times New Roman"/>
                      <w:b w:val="0"/>
                      <w:sz w:val="24"/>
                      <w:szCs w:val="24"/>
                      <w:lang w:val="lv-LV"/>
                    </w:rPr>
                    <w:t>.apakšpunktā (</w:t>
                  </w:r>
                  <w:r w:rsidR="00A47F25" w:rsidRPr="00161C60">
                    <w:rPr>
                      <w:rFonts w:ascii="Times New Roman" w:hAnsi="Times New Roman" w:cs="Times New Roman"/>
                      <w:b w:val="0"/>
                      <w:i/>
                      <w:sz w:val="24"/>
                      <w:szCs w:val="24"/>
                      <w:lang w:val="lv-LV"/>
                    </w:rPr>
                    <w:t>8.</w:t>
                  </w:r>
                  <w:r w:rsidR="00A47F25" w:rsidRPr="00161C60">
                    <w:rPr>
                      <w:rFonts w:ascii="Times New Roman" w:hAnsi="Times New Roman" w:cs="Times New Roman"/>
                      <w:b w:val="0"/>
                      <w:i/>
                      <w:sz w:val="24"/>
                      <w:szCs w:val="24"/>
                      <w:vertAlign w:val="superscript"/>
                      <w:lang w:val="lv-LV"/>
                    </w:rPr>
                    <w:t>1</w:t>
                  </w:r>
                  <w:r w:rsidR="00A47F25" w:rsidRPr="00161C60">
                    <w:rPr>
                      <w:rFonts w:ascii="Times New Roman" w:hAnsi="Times New Roman" w:cs="Times New Roman"/>
                      <w:b w:val="0"/>
                      <w:i/>
                      <w:sz w:val="24"/>
                      <w:szCs w:val="24"/>
                      <w:lang w:val="lv-LV"/>
                    </w:rPr>
                    <w:t>pielikums</w:t>
                  </w:r>
                  <w:r w:rsidR="00091BCE" w:rsidRPr="00161C60">
                    <w:rPr>
                      <w:rFonts w:ascii="Times New Roman" w:hAnsi="Times New Roman" w:cs="Times New Roman"/>
                      <w:b w:val="0"/>
                      <w:sz w:val="24"/>
                      <w:szCs w:val="24"/>
                      <w:lang w:val="lv-LV"/>
                    </w:rPr>
                    <w:t xml:space="preserve">) </w:t>
                  </w:r>
                  <w:r w:rsidR="00A47F25" w:rsidRPr="00161C60">
                    <w:rPr>
                      <w:rFonts w:ascii="Times New Roman" w:hAnsi="Times New Roman" w:cs="Times New Roman"/>
                      <w:b w:val="0"/>
                      <w:sz w:val="24"/>
                      <w:szCs w:val="24"/>
                      <w:lang w:val="lv-LV"/>
                    </w:rPr>
                    <w:t xml:space="preserve">pakalpojuma sniedzējam (II sadaļas 1.punkts 4.apakšpunkts) </w:t>
                  </w:r>
                  <w:r w:rsidR="00A47F25" w:rsidRPr="00161C60">
                    <w:rPr>
                      <w:rFonts w:ascii="Times New Roman" w:hAnsi="Times New Roman" w:cs="Times New Roman"/>
                      <w:b w:val="0"/>
                      <w:sz w:val="24"/>
                      <w:szCs w:val="24"/>
                      <w:shd w:val="clear" w:color="auto" w:fill="FFFFFF"/>
                      <w:lang w:val="lv-LV"/>
                    </w:rPr>
                    <w:t xml:space="preserve">administratīvais slogu palielina, jo tiek noteikts </w:t>
                  </w:r>
                  <w:r w:rsidR="00A47F25" w:rsidRPr="00161C60">
                    <w:rPr>
                      <w:rFonts w:ascii="Times New Roman" w:hAnsi="Times New Roman" w:cs="Times New Roman"/>
                      <w:b w:val="0"/>
                      <w:sz w:val="24"/>
                      <w:szCs w:val="24"/>
                      <w:lang w:val="lv-LV"/>
                    </w:rPr>
                    <w:t xml:space="preserve">zāļu reģistrācijas īpašnieka pienākums sniegt konkrētus datus paziņojumā par </w:t>
                  </w:r>
                  <w:r w:rsidR="00A47F25" w:rsidRPr="00161C60">
                    <w:rPr>
                      <w:rFonts w:ascii="Times New Roman" w:eastAsia="Times New Roman" w:hAnsi="Times New Roman" w:cs="Times New Roman"/>
                      <w:b w:val="0"/>
                      <w:sz w:val="24"/>
                      <w:szCs w:val="24"/>
                      <w:lang w:val="lv-LV" w:eastAsia="lv-LV"/>
                    </w:rPr>
                    <w:t>darbību, ko tas veic, lai apturētu zāļu izplatīšanu, pieprasītu zāļu atsaukšanu no tirgus, pieprasītu reģistrācijas anulēšanu vai nepieteiktos zāļu pārreģistrācijai, un par attiecīgās rīcības iemesliem, kuras formu ir apstiprinājusi Eiropas zāļu aģentūra.</w:t>
                  </w:r>
                </w:p>
                <w:p w:rsidR="00A47F25" w:rsidRPr="00161C60" w:rsidRDefault="00A47F25" w:rsidP="00834F42">
                  <w:pPr>
                    <w:autoSpaceDE w:val="0"/>
                    <w:autoSpaceDN w:val="0"/>
                    <w:adjustRightInd w:val="0"/>
                    <w:jc w:val="both"/>
                  </w:pPr>
                </w:p>
                <w:p w:rsidR="00A47F25" w:rsidRPr="00161C60" w:rsidRDefault="00304AB4" w:rsidP="00834F42">
                  <w:pPr>
                    <w:autoSpaceDE w:val="0"/>
                    <w:autoSpaceDN w:val="0"/>
                    <w:adjustRightInd w:val="0"/>
                    <w:jc w:val="both"/>
                    <w:rPr>
                      <w:shd w:val="clear" w:color="auto" w:fill="FFFFFF"/>
                    </w:rPr>
                  </w:pPr>
                  <w:r w:rsidRPr="00161C60">
                    <w:t>24.</w:t>
                  </w:r>
                  <w:r w:rsidR="00A47F25" w:rsidRPr="00161C60">
                    <w:t> Tiesiskais re</w:t>
                  </w:r>
                  <w:r w:rsidR="00F7308B" w:rsidRPr="00161C60">
                    <w:t>gulējums Noteikumu projekta 1.</w:t>
                  </w:r>
                  <w:r w:rsidR="000A451E" w:rsidRPr="00161C60">
                    <w:t>78</w:t>
                  </w:r>
                  <w:r w:rsidR="00A47F25" w:rsidRPr="00161C60">
                    <w:t>.</w:t>
                  </w:r>
                  <w:r w:rsidR="00F7308B" w:rsidRPr="00161C60">
                    <w:t xml:space="preserve"> un 1.</w:t>
                  </w:r>
                  <w:r w:rsidR="000A451E" w:rsidRPr="00161C60">
                    <w:t>79</w:t>
                  </w:r>
                  <w:r w:rsidR="00B722FA" w:rsidRPr="00161C60">
                    <w:t>.</w:t>
                  </w:r>
                  <w:r w:rsidR="00A47F25" w:rsidRPr="00161C60">
                    <w:t>apakšpunktā (</w:t>
                  </w:r>
                  <w:r w:rsidR="00A47F25" w:rsidRPr="00161C60">
                    <w:rPr>
                      <w:i/>
                    </w:rPr>
                    <w:t>13.</w:t>
                  </w:r>
                  <w:r w:rsidR="00A47F25" w:rsidRPr="00161C60">
                    <w:rPr>
                      <w:i/>
                      <w:vertAlign w:val="superscript"/>
                    </w:rPr>
                    <w:t xml:space="preserve">1 </w:t>
                  </w:r>
                  <w:r w:rsidR="0042174E" w:rsidRPr="00161C60">
                    <w:rPr>
                      <w:i/>
                    </w:rPr>
                    <w:t>un 14.</w:t>
                  </w:r>
                  <w:r w:rsidR="00A47F25" w:rsidRPr="00161C60">
                    <w:rPr>
                      <w:i/>
                    </w:rPr>
                    <w:t>pielikumu</w:t>
                  </w:r>
                  <w:r w:rsidR="00CA7B42" w:rsidRPr="00161C60">
                    <w:t>)</w:t>
                  </w:r>
                  <w:r w:rsidR="00964C57" w:rsidRPr="00161C60">
                    <w:t xml:space="preserve"> </w:t>
                  </w:r>
                  <w:r w:rsidR="00A47F25" w:rsidRPr="00161C60">
                    <w:t xml:space="preserve">Aģentūrai  (II sadaļas 1.punkts 6.apakšpunkts) </w:t>
                  </w:r>
                  <w:r w:rsidR="00A47F25" w:rsidRPr="00161C60">
                    <w:rPr>
                      <w:shd w:val="clear" w:color="auto" w:fill="FFFFFF"/>
                    </w:rPr>
                    <w:t>administratīvo slogu, tiesības un pienākumus, kā arī veicamās darbības, nemaina.</w:t>
                  </w:r>
                </w:p>
                <w:p w:rsidR="00A47F25" w:rsidRPr="00161C60" w:rsidRDefault="00A47F25" w:rsidP="00834F42">
                  <w:pPr>
                    <w:spacing w:before="75" w:after="75"/>
                    <w:jc w:val="both"/>
                  </w:pPr>
                </w:p>
                <w:p w:rsidR="00A47F25" w:rsidRPr="00161C60" w:rsidRDefault="00304AB4" w:rsidP="00834F42">
                  <w:pPr>
                    <w:spacing w:before="75" w:after="75"/>
                    <w:jc w:val="both"/>
                    <w:rPr>
                      <w:shd w:val="clear" w:color="auto" w:fill="FFFFFF"/>
                    </w:rPr>
                  </w:pPr>
                  <w:r w:rsidRPr="00161C60">
                    <w:t>25.</w:t>
                  </w:r>
                  <w:r w:rsidR="00A47F25" w:rsidRPr="00161C60">
                    <w:t xml:space="preserve"> Administratīvais slogs samazinās zāļu reģistrācijas īpašniekiem un paralēlajiem importētājiem, jo tiek atceltas </w:t>
                  </w:r>
                  <w:r w:rsidR="00A47F25" w:rsidRPr="00161C60">
                    <w:rPr>
                      <w:shd w:val="clear" w:color="auto" w:fill="FFFFFF"/>
                    </w:rPr>
                    <w:t>atlikušo zāļu krājumu izplatīšanas atļaujas (Noteikumu p</w:t>
                  </w:r>
                  <w:r w:rsidR="00413A4A" w:rsidRPr="00161C60">
                    <w:rPr>
                      <w:shd w:val="clear" w:color="auto" w:fill="FFFFFF"/>
                    </w:rPr>
                    <w:t>rojekta 1.3</w:t>
                  </w:r>
                  <w:r w:rsidR="00BE37F5" w:rsidRPr="00161C60">
                    <w:rPr>
                      <w:shd w:val="clear" w:color="auto" w:fill="FFFFFF"/>
                    </w:rPr>
                    <w:t>1</w:t>
                  </w:r>
                  <w:r w:rsidR="00A47F25" w:rsidRPr="00161C60">
                    <w:rPr>
                      <w:shd w:val="clear" w:color="auto" w:fill="FFFFFF"/>
                    </w:rPr>
                    <w:t>.</w:t>
                  </w:r>
                  <w:r w:rsidR="000A451E" w:rsidRPr="00161C60">
                    <w:rPr>
                      <w:shd w:val="clear" w:color="auto" w:fill="FFFFFF"/>
                    </w:rPr>
                    <w:t xml:space="preserve"> un 1.32.</w:t>
                  </w:r>
                  <w:r w:rsidR="00A47F25" w:rsidRPr="00161C60">
                    <w:rPr>
                      <w:shd w:val="clear" w:color="auto" w:fill="FFFFFF"/>
                    </w:rPr>
                    <w:t>apakšpunkts).</w:t>
                  </w:r>
                </w:p>
              </w:tc>
            </w:tr>
          </w:tbl>
          <w:p w:rsidR="004917AE" w:rsidRPr="00161C60" w:rsidRDefault="004917AE" w:rsidP="00D567AB">
            <w:pPr>
              <w:spacing w:before="75" w:after="75"/>
              <w:jc w:val="both"/>
            </w:pPr>
          </w:p>
        </w:tc>
      </w:tr>
      <w:tr w:rsidR="004917AE" w:rsidRPr="00161C60" w:rsidTr="00316962">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lastRenderedPageBreak/>
              <w:t>3.</w:t>
            </w:r>
          </w:p>
        </w:tc>
        <w:tc>
          <w:tcPr>
            <w:tcW w:w="1086"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t>Administratīvo izmaksu monetārs novērtējums</w:t>
            </w:r>
          </w:p>
        </w:tc>
        <w:tc>
          <w:tcPr>
            <w:tcW w:w="3664" w:type="pct"/>
            <w:gridSpan w:val="2"/>
            <w:tcBorders>
              <w:top w:val="outset" w:sz="6" w:space="0" w:color="414142"/>
              <w:left w:val="outset" w:sz="6" w:space="0" w:color="414142"/>
              <w:bottom w:val="outset" w:sz="6" w:space="0" w:color="414142"/>
              <w:right w:val="outset" w:sz="6" w:space="0" w:color="414142"/>
            </w:tcBorders>
            <w:hideMark/>
          </w:tcPr>
          <w:p w:rsidR="004A2416" w:rsidRPr="00161C60" w:rsidRDefault="004A2416" w:rsidP="00D567AB">
            <w:pPr>
              <w:jc w:val="both"/>
            </w:pPr>
            <w:r w:rsidRPr="00161C60">
              <w:t>Veicot administratīvās izmaksu aprēķinu Veselības ministrija ir ņēmusi vērā vidējo darba samaksu 2014.gadā (741 euro (privātajā sektorā) un 813 euro (sabiedriskajā sektorā), vidējo darba stundu skaitu mēnesī 165,58 un vidējo darba dienu skaitu gadā 249 dienas).</w:t>
            </w:r>
          </w:p>
          <w:p w:rsidR="004A2416" w:rsidRPr="00161C60" w:rsidRDefault="00091BCE" w:rsidP="00D567AB">
            <w:pPr>
              <w:jc w:val="both"/>
            </w:pPr>
            <w:r w:rsidRPr="00161C60">
              <w:t>1) </w:t>
            </w:r>
            <w:r w:rsidR="004A2416" w:rsidRPr="00161C60">
              <w:t>noteikumu projekta 1.7.</w:t>
            </w:r>
            <w:r w:rsidR="000E2E4E" w:rsidRPr="00161C60">
              <w:t>apakš</w:t>
            </w:r>
            <w:r w:rsidR="004A2416" w:rsidRPr="00161C60">
              <w:t>punkts (noteikumu 12.5.</w:t>
            </w:r>
            <w:r w:rsidR="008E6C0A" w:rsidRPr="00161C60">
              <w:t>2. un 12.5.4.</w:t>
            </w:r>
            <w:r w:rsidR="004A2416" w:rsidRPr="00161C60">
              <w:t>apakšpunkts)</w:t>
            </w:r>
          </w:p>
          <w:p w:rsidR="004A2416" w:rsidRPr="00161C60" w:rsidRDefault="008E6C0A" w:rsidP="00D567AB">
            <w:pPr>
              <w:jc w:val="both"/>
            </w:pPr>
            <w:r w:rsidRPr="00161C60">
              <w:t>C=(4,47x0,15</w:t>
            </w:r>
            <w:r w:rsidR="004A2416" w:rsidRPr="00161C60">
              <w:t>)x(9</w:t>
            </w:r>
            <w:r w:rsidRPr="00161C60">
              <w:t>9x124</w:t>
            </w:r>
            <w:r w:rsidR="004A2416" w:rsidRPr="00161C60">
              <w:t>)=</w:t>
            </w:r>
            <w:r w:rsidRPr="00161C60">
              <w:t>0,67x12276=</w:t>
            </w:r>
            <w:r w:rsidRPr="00161C60">
              <w:rPr>
                <w:b/>
              </w:rPr>
              <w:t>8224.92</w:t>
            </w:r>
          </w:p>
          <w:p w:rsidR="008E6C0A" w:rsidRPr="00161C60" w:rsidRDefault="00091BCE" w:rsidP="00D567AB">
            <w:pPr>
              <w:jc w:val="both"/>
            </w:pPr>
            <w:r w:rsidRPr="00161C60">
              <w:t>2) </w:t>
            </w:r>
            <w:r w:rsidR="008E6C0A" w:rsidRPr="00161C60">
              <w:t>noteikumu projekta 1.8.</w:t>
            </w:r>
            <w:r w:rsidR="000E2E4E" w:rsidRPr="00161C60">
              <w:t>apakš</w:t>
            </w:r>
            <w:r w:rsidR="008E6C0A" w:rsidRPr="00161C60">
              <w:t>punkts (noteikumu 12.15.apakšpunkts)</w:t>
            </w:r>
          </w:p>
          <w:p w:rsidR="008E6C0A" w:rsidRPr="00161C60" w:rsidRDefault="008E6C0A" w:rsidP="00D567AB">
            <w:pPr>
              <w:jc w:val="both"/>
            </w:pPr>
            <w:r w:rsidRPr="00161C60">
              <w:t>C=(4,47x0,05)x(99x124)=0,22x12276=</w:t>
            </w:r>
            <w:r w:rsidR="006D3AD4" w:rsidRPr="00161C60">
              <w:rPr>
                <w:b/>
              </w:rPr>
              <w:t>2700</w:t>
            </w:r>
            <w:r w:rsidRPr="00161C60">
              <w:rPr>
                <w:b/>
              </w:rPr>
              <w:t>,</w:t>
            </w:r>
            <w:r w:rsidR="006D3AD4" w:rsidRPr="00161C60">
              <w:rPr>
                <w:b/>
              </w:rPr>
              <w:t>72</w:t>
            </w:r>
          </w:p>
          <w:p w:rsidR="008E6C0A" w:rsidRPr="00161C60" w:rsidRDefault="00091BCE" w:rsidP="00D567AB">
            <w:pPr>
              <w:jc w:val="both"/>
            </w:pPr>
            <w:r w:rsidRPr="00161C60">
              <w:t>3) </w:t>
            </w:r>
            <w:r w:rsidR="0031657E" w:rsidRPr="00161C60">
              <w:t>noteikumu projekta 1.1</w:t>
            </w:r>
            <w:r w:rsidR="00F8732F" w:rsidRPr="00161C60">
              <w:t>0</w:t>
            </w:r>
            <w:r w:rsidR="008E6C0A" w:rsidRPr="00161C60">
              <w:t>.</w:t>
            </w:r>
            <w:r w:rsidR="000E2E4E" w:rsidRPr="00161C60">
              <w:t>apakš</w:t>
            </w:r>
            <w:r w:rsidR="008E6C0A" w:rsidRPr="00161C60">
              <w:t>punkts (noteikumu 18.2.apakšpunkts)</w:t>
            </w:r>
          </w:p>
          <w:p w:rsidR="008E6C0A" w:rsidRPr="00161C60" w:rsidRDefault="008E6C0A" w:rsidP="00D567AB">
            <w:pPr>
              <w:jc w:val="both"/>
            </w:pPr>
            <w:r w:rsidRPr="00161C60">
              <w:t>C=(4,47x0,05)x(922x12)=0,22x11064=</w:t>
            </w:r>
            <w:r w:rsidRPr="00161C60">
              <w:rPr>
                <w:b/>
              </w:rPr>
              <w:t>2434,08</w:t>
            </w:r>
          </w:p>
          <w:p w:rsidR="008E6C0A" w:rsidRPr="00161C60" w:rsidRDefault="0094093A" w:rsidP="00D567AB">
            <w:pPr>
              <w:jc w:val="both"/>
            </w:pPr>
            <w:r w:rsidRPr="00161C60">
              <w:t>4) </w:t>
            </w:r>
            <w:r w:rsidR="0031657E" w:rsidRPr="00161C60">
              <w:t>noteikumu projekta 1.1</w:t>
            </w:r>
            <w:r w:rsidR="00F8732F" w:rsidRPr="00161C60">
              <w:t>4</w:t>
            </w:r>
            <w:r w:rsidR="008E6C0A" w:rsidRPr="00161C60">
              <w:t>.</w:t>
            </w:r>
            <w:r w:rsidR="000E2E4E" w:rsidRPr="00161C60">
              <w:t>apakš</w:t>
            </w:r>
            <w:r w:rsidR="008E6C0A" w:rsidRPr="00161C60">
              <w:t>punkts</w:t>
            </w:r>
            <w:r w:rsidR="0031657E" w:rsidRPr="00161C60">
              <w:t xml:space="preserve"> un 1.</w:t>
            </w:r>
            <w:r w:rsidR="00940DBE" w:rsidRPr="00161C60">
              <w:t>65</w:t>
            </w:r>
            <w:r w:rsidR="00EE42F9" w:rsidRPr="00161C60">
              <w:t>.</w:t>
            </w:r>
            <w:r w:rsidR="000E2E4E" w:rsidRPr="00161C60">
              <w:t>apakš</w:t>
            </w:r>
            <w:r w:rsidR="00EE42F9" w:rsidRPr="00161C60">
              <w:t>punkts</w:t>
            </w:r>
            <w:r w:rsidR="008E6C0A" w:rsidRPr="00161C60">
              <w:t xml:space="preserve"> (noteikumu 39.punkts</w:t>
            </w:r>
            <w:r w:rsidR="00EE42F9" w:rsidRPr="00161C60">
              <w:t xml:space="preserve"> un 1.pielikums</w:t>
            </w:r>
            <w:r w:rsidR="008E6C0A" w:rsidRPr="00161C60">
              <w:t>)</w:t>
            </w:r>
          </w:p>
          <w:p w:rsidR="008E6C0A" w:rsidRPr="00161C60" w:rsidRDefault="008E6C0A" w:rsidP="00D567AB">
            <w:pPr>
              <w:jc w:val="both"/>
            </w:pPr>
            <w:r w:rsidRPr="00161C60">
              <w:t>C=(4,47x1,6)x(99x4)=</w:t>
            </w:r>
            <w:r w:rsidR="006D3AD4" w:rsidRPr="00161C60">
              <w:t>7,15</w:t>
            </w:r>
            <w:r w:rsidRPr="00161C60">
              <w:t>x396=</w:t>
            </w:r>
            <w:r w:rsidRPr="00161C60">
              <w:rPr>
                <w:b/>
              </w:rPr>
              <w:t>2</w:t>
            </w:r>
            <w:r w:rsidR="006D3AD4" w:rsidRPr="00161C60">
              <w:rPr>
                <w:b/>
              </w:rPr>
              <w:t>831</w:t>
            </w:r>
            <w:r w:rsidRPr="00161C60">
              <w:rPr>
                <w:b/>
              </w:rPr>
              <w:t>,</w:t>
            </w:r>
            <w:r w:rsidR="006D3AD4" w:rsidRPr="00161C60">
              <w:rPr>
                <w:b/>
              </w:rPr>
              <w:t>4</w:t>
            </w:r>
            <w:r w:rsidRPr="00161C60">
              <w:rPr>
                <w:b/>
              </w:rPr>
              <w:t>0</w:t>
            </w:r>
          </w:p>
          <w:p w:rsidR="008E6C0A" w:rsidRPr="00161C60" w:rsidRDefault="0094093A" w:rsidP="00D567AB">
            <w:pPr>
              <w:jc w:val="both"/>
            </w:pPr>
            <w:r w:rsidRPr="00161C60">
              <w:t>5) </w:t>
            </w:r>
            <w:r w:rsidR="0031657E" w:rsidRPr="00161C60">
              <w:t>noteikumu projekta 1.2</w:t>
            </w:r>
            <w:r w:rsidR="00F8732F" w:rsidRPr="00161C60">
              <w:t>3</w:t>
            </w:r>
            <w:r w:rsidR="008E6C0A" w:rsidRPr="00161C60">
              <w:t>.</w:t>
            </w:r>
            <w:r w:rsidR="000E2E4E" w:rsidRPr="00161C60">
              <w:t>apakš</w:t>
            </w:r>
            <w:r w:rsidR="008E6C0A" w:rsidRPr="00161C60">
              <w:t>punkts</w:t>
            </w:r>
            <w:r w:rsidR="0031657E" w:rsidRPr="00161C60">
              <w:t xml:space="preserve"> un 1.</w:t>
            </w:r>
            <w:r w:rsidR="00940DBE" w:rsidRPr="00161C60">
              <w:t>65</w:t>
            </w:r>
            <w:r w:rsidR="00EE42F9" w:rsidRPr="00161C60">
              <w:t>.</w:t>
            </w:r>
            <w:r w:rsidR="000E2E4E" w:rsidRPr="00161C60">
              <w:t>apakš</w:t>
            </w:r>
            <w:r w:rsidR="00EE42F9" w:rsidRPr="00161C60">
              <w:t>punkts</w:t>
            </w:r>
            <w:r w:rsidR="008E6C0A" w:rsidRPr="00161C60">
              <w:t xml:space="preserve"> (noteikumu 42., 43. un 44.punkts</w:t>
            </w:r>
            <w:r w:rsidR="00EE42F9" w:rsidRPr="00161C60">
              <w:t xml:space="preserve"> un 2.pielikums</w:t>
            </w:r>
            <w:r w:rsidR="008E6C0A" w:rsidRPr="00161C60">
              <w:t>)</w:t>
            </w:r>
          </w:p>
          <w:p w:rsidR="008E6C0A" w:rsidRPr="00161C60" w:rsidRDefault="008E6C0A" w:rsidP="00D567AB">
            <w:pPr>
              <w:jc w:val="both"/>
            </w:pPr>
            <w:r w:rsidRPr="00161C60">
              <w:t>C=(4,91x</w:t>
            </w:r>
            <w:r w:rsidR="00822A84" w:rsidRPr="00161C60">
              <w:t>18)x(396x1)=88,38x396=</w:t>
            </w:r>
            <w:r w:rsidR="00822A84" w:rsidRPr="00161C60">
              <w:rPr>
                <w:b/>
              </w:rPr>
              <w:t>34998,48</w:t>
            </w:r>
          </w:p>
          <w:p w:rsidR="004A2416" w:rsidRPr="00161C60" w:rsidRDefault="0094093A" w:rsidP="00D567AB">
            <w:pPr>
              <w:jc w:val="both"/>
            </w:pPr>
            <w:r w:rsidRPr="00161C60">
              <w:t>6) </w:t>
            </w:r>
            <w:r w:rsidR="0031657E" w:rsidRPr="00161C60">
              <w:t>noteikumu projekta 1.2</w:t>
            </w:r>
            <w:r w:rsidR="00F8732F" w:rsidRPr="00161C60">
              <w:t>4</w:t>
            </w:r>
            <w:r w:rsidR="00822A84" w:rsidRPr="00161C60">
              <w:t>.</w:t>
            </w:r>
            <w:r w:rsidR="000E2E4E" w:rsidRPr="00161C60">
              <w:t>apakš</w:t>
            </w:r>
            <w:r w:rsidR="00822A84" w:rsidRPr="00161C60">
              <w:t>punkts (noteikumu 46.punkts)</w:t>
            </w:r>
          </w:p>
          <w:p w:rsidR="00822A84" w:rsidRPr="00161C60" w:rsidRDefault="00822A84" w:rsidP="00D567AB">
            <w:pPr>
              <w:jc w:val="both"/>
            </w:pPr>
            <w:r w:rsidRPr="00161C60">
              <w:t>C=(4,91x1)x(99x1)=4,91x99=</w:t>
            </w:r>
            <w:r w:rsidRPr="00161C60">
              <w:rPr>
                <w:b/>
              </w:rPr>
              <w:t>486,09</w:t>
            </w:r>
          </w:p>
          <w:p w:rsidR="00822A84" w:rsidRPr="00161C60" w:rsidRDefault="00091BCE" w:rsidP="00D567AB">
            <w:pPr>
              <w:jc w:val="both"/>
            </w:pPr>
            <w:r w:rsidRPr="00161C60">
              <w:lastRenderedPageBreak/>
              <w:t>7) </w:t>
            </w:r>
            <w:r w:rsidR="0031657E" w:rsidRPr="00161C60">
              <w:t>noteikumu projekta 1.2</w:t>
            </w:r>
            <w:r w:rsidR="00F8732F" w:rsidRPr="00161C60">
              <w:t>5</w:t>
            </w:r>
            <w:r w:rsidR="00822A84" w:rsidRPr="00161C60">
              <w:t>.</w:t>
            </w:r>
            <w:r w:rsidR="000E2E4E" w:rsidRPr="00161C60">
              <w:t>apakš</w:t>
            </w:r>
            <w:r w:rsidR="00822A84" w:rsidRPr="00161C60">
              <w:t>punkts (noteikumu 48.punkts)</w:t>
            </w:r>
            <w:r w:rsidRPr="00161C60">
              <w:t> - </w:t>
            </w:r>
            <w:r w:rsidR="00822A84" w:rsidRPr="00161C60">
              <w:t xml:space="preserve">administratīvās izmaksas nepārsniegs Ministru kabineta 2009.gada 15.decembra instrukcijas Nr.19 „Tiesību akta projekta sākotnējās ietekmes izvērtēšanas kārtība” </w:t>
            </w:r>
            <w:r w:rsidR="0067531F" w:rsidRPr="00161C60">
              <w:t>25.punktā noteikto summu juridiskām personām</w:t>
            </w:r>
            <w:r w:rsidRPr="00161C60">
              <w:t> - </w:t>
            </w:r>
            <w:r w:rsidR="0067531F" w:rsidRPr="00161C60">
              <w:t>2000 euro</w:t>
            </w:r>
          </w:p>
          <w:p w:rsidR="0067531F" w:rsidRPr="00161C60" w:rsidRDefault="00964C57" w:rsidP="0067531F">
            <w:pPr>
              <w:jc w:val="both"/>
            </w:pPr>
            <w:r w:rsidRPr="00161C60">
              <w:t>8) </w:t>
            </w:r>
            <w:r w:rsidR="0031657E" w:rsidRPr="00161C60">
              <w:t>noteikumu projekta 1.</w:t>
            </w:r>
            <w:r w:rsidR="00F8732F" w:rsidRPr="00161C60">
              <w:t>27</w:t>
            </w:r>
            <w:r w:rsidR="0067531F" w:rsidRPr="00161C60">
              <w:t>.</w:t>
            </w:r>
            <w:r w:rsidR="000E2E4E" w:rsidRPr="00161C60">
              <w:t>apakš</w:t>
            </w:r>
            <w:r w:rsidR="0067531F" w:rsidRPr="00161C60">
              <w:t>punkts (noteikumu 60.</w:t>
            </w:r>
            <w:r w:rsidR="0067531F" w:rsidRPr="00161C60">
              <w:rPr>
                <w:vertAlign w:val="superscript"/>
              </w:rPr>
              <w:t>2</w:t>
            </w:r>
            <w:r w:rsidRPr="00161C60">
              <w:t>apakšpunkts) - </w:t>
            </w:r>
            <w:r w:rsidR="0067531F" w:rsidRPr="00161C60">
              <w:t>administratīvās izmaksas nepārsniegs Ministru kabineta 2009.gada 15.decembra instrukcijas Nr.19 „Tiesību akta projekta sākotnējās ietekmes izvērtēšanas kārtība” 25.punktā noteikto summu juridiskām personām</w:t>
            </w:r>
            <w:r w:rsidR="00091BCE" w:rsidRPr="00161C60">
              <w:t> - </w:t>
            </w:r>
            <w:r w:rsidR="0067531F" w:rsidRPr="00161C60">
              <w:t>2000 euro</w:t>
            </w:r>
          </w:p>
          <w:p w:rsidR="0067531F" w:rsidRPr="00161C60" w:rsidRDefault="00964C57" w:rsidP="00D567AB">
            <w:pPr>
              <w:jc w:val="both"/>
            </w:pPr>
            <w:r w:rsidRPr="00161C60">
              <w:t>9) </w:t>
            </w:r>
            <w:r w:rsidR="0031657E" w:rsidRPr="00161C60">
              <w:t>noteikumu projekta 1.</w:t>
            </w:r>
            <w:r w:rsidR="00F8732F" w:rsidRPr="00161C60">
              <w:t>28</w:t>
            </w:r>
            <w:r w:rsidR="0067531F" w:rsidRPr="00161C60">
              <w:t>.</w:t>
            </w:r>
            <w:r w:rsidR="000E2E4E" w:rsidRPr="00161C60">
              <w:t>apakš</w:t>
            </w:r>
            <w:r w:rsidR="0067531F" w:rsidRPr="00161C60">
              <w:t>punkts (noteikumu 70.</w:t>
            </w:r>
            <w:r w:rsidR="0067531F" w:rsidRPr="00161C60">
              <w:rPr>
                <w:vertAlign w:val="superscript"/>
              </w:rPr>
              <w:t>1</w:t>
            </w:r>
            <w:r w:rsidR="0067531F" w:rsidRPr="00161C60">
              <w:t>punkts)</w:t>
            </w:r>
          </w:p>
          <w:p w:rsidR="0067531F" w:rsidRPr="00161C60" w:rsidRDefault="00686276" w:rsidP="00D567AB">
            <w:pPr>
              <w:jc w:val="both"/>
            </w:pPr>
            <w:r w:rsidRPr="00161C60">
              <w:t>C=(4,47x0,01</w:t>
            </w:r>
            <w:r w:rsidR="0067531F" w:rsidRPr="00161C60">
              <w:t>)x(1711x</w:t>
            </w:r>
            <w:r w:rsidR="00984BAC" w:rsidRPr="00161C60">
              <w:t>10 000</w:t>
            </w:r>
            <w:r w:rsidRPr="00161C60">
              <w:t>)</w:t>
            </w:r>
            <w:r w:rsidR="00984BAC" w:rsidRPr="00161C60">
              <w:t>=0.04</w:t>
            </w:r>
            <w:r w:rsidR="00261781" w:rsidRPr="00161C60">
              <w:t>5</w:t>
            </w:r>
            <w:r w:rsidR="00984BAC" w:rsidRPr="00161C60">
              <w:t>x17110000=</w:t>
            </w:r>
            <w:r w:rsidR="00261781" w:rsidRPr="00161C60">
              <w:rPr>
                <w:b/>
              </w:rPr>
              <w:t>769</w:t>
            </w:r>
            <w:r w:rsidR="00984BAC" w:rsidRPr="00161C60">
              <w:rPr>
                <w:b/>
              </w:rPr>
              <w:t>,</w:t>
            </w:r>
            <w:r w:rsidR="00261781" w:rsidRPr="00161C60">
              <w:rPr>
                <w:b/>
              </w:rPr>
              <w:t>95</w:t>
            </w:r>
          </w:p>
          <w:p w:rsidR="00FD09C7" w:rsidRPr="00161C60" w:rsidRDefault="00232100" w:rsidP="00D567AB">
            <w:pPr>
              <w:jc w:val="both"/>
            </w:pPr>
            <w:r w:rsidRPr="00161C60">
              <w:t>10</w:t>
            </w:r>
            <w:r w:rsidR="00091BCE" w:rsidRPr="00161C60">
              <w:t>) </w:t>
            </w:r>
            <w:r w:rsidR="005208FA" w:rsidRPr="00161C60">
              <w:t>noteikumu projekta 1.3</w:t>
            </w:r>
            <w:r w:rsidR="00F8732F" w:rsidRPr="00161C60">
              <w:t>0</w:t>
            </w:r>
            <w:r w:rsidR="00FD09C7" w:rsidRPr="00161C60">
              <w:t>.</w:t>
            </w:r>
            <w:r w:rsidR="000E2E4E" w:rsidRPr="00161C60">
              <w:t>apakš</w:t>
            </w:r>
            <w:r w:rsidR="00FD09C7" w:rsidRPr="00161C60">
              <w:t>punkts (noteikumu 76.</w:t>
            </w:r>
            <w:r w:rsidR="00FD09C7" w:rsidRPr="00161C60">
              <w:rPr>
                <w:vertAlign w:val="superscript"/>
              </w:rPr>
              <w:t>1</w:t>
            </w:r>
            <w:r w:rsidR="00FD09C7" w:rsidRPr="00161C60">
              <w:t>punkts)</w:t>
            </w:r>
          </w:p>
          <w:p w:rsidR="00FD09C7" w:rsidRPr="00161C60" w:rsidRDefault="00FD09C7" w:rsidP="00D567AB">
            <w:pPr>
              <w:jc w:val="both"/>
            </w:pPr>
            <w:r w:rsidRPr="00161C60">
              <w:t>C=(4,47x1)x(</w:t>
            </w:r>
            <w:r w:rsidR="00750BD7" w:rsidRPr="00161C60">
              <w:t>823x4)=4,47x3292=</w:t>
            </w:r>
            <w:r w:rsidR="00750BD7" w:rsidRPr="00161C60">
              <w:rPr>
                <w:b/>
              </w:rPr>
              <w:t>14715,24</w:t>
            </w:r>
          </w:p>
          <w:p w:rsidR="004A2416" w:rsidRPr="00161C60" w:rsidRDefault="00232100" w:rsidP="00D567AB">
            <w:pPr>
              <w:jc w:val="both"/>
            </w:pPr>
            <w:r w:rsidRPr="00161C60">
              <w:t>11</w:t>
            </w:r>
            <w:r w:rsidR="00091BCE" w:rsidRPr="00161C60">
              <w:t>) </w:t>
            </w:r>
            <w:r w:rsidR="005208FA" w:rsidRPr="00161C60">
              <w:t>noteikumu projekta 1.3</w:t>
            </w:r>
            <w:r w:rsidR="00F8732F" w:rsidRPr="00161C60">
              <w:t>2</w:t>
            </w:r>
            <w:r w:rsidR="00750BD7" w:rsidRPr="00161C60">
              <w:t>.</w:t>
            </w:r>
            <w:r w:rsidR="000E2E4E" w:rsidRPr="00161C60">
              <w:t>apakš</w:t>
            </w:r>
            <w:r w:rsidR="00750BD7" w:rsidRPr="00161C60">
              <w:t>punkts (noteikumu 81.punkts)</w:t>
            </w:r>
            <w:r w:rsidR="00091BCE" w:rsidRPr="00161C60">
              <w:t> - </w:t>
            </w:r>
            <w:r w:rsidR="00F56514" w:rsidRPr="00161C60">
              <w:t>administratīvās izmaksas nepārsniegs Ministru kabineta 2009.gada 15.decembra instrukcijas Nr.19 „Tiesību akta projekta sākotnējās ietekmes izvērtēšanas kārtība” 25.punktā notei</w:t>
            </w:r>
            <w:r w:rsidR="00091BCE" w:rsidRPr="00161C60">
              <w:t>kto summu juridiskām personām - </w:t>
            </w:r>
            <w:r w:rsidR="00F56514" w:rsidRPr="00161C60">
              <w:t>2000 euro</w:t>
            </w:r>
          </w:p>
          <w:p w:rsidR="004A2416" w:rsidRPr="00161C60" w:rsidRDefault="00232100" w:rsidP="00D567AB">
            <w:pPr>
              <w:jc w:val="both"/>
            </w:pPr>
            <w:r w:rsidRPr="00161C60">
              <w:t>12</w:t>
            </w:r>
            <w:r w:rsidR="00AC7827" w:rsidRPr="00161C60">
              <w:t>) </w:t>
            </w:r>
            <w:r w:rsidR="005A01F6" w:rsidRPr="00161C60">
              <w:t>noteikumu projekta 1.</w:t>
            </w:r>
            <w:r w:rsidR="00B46780" w:rsidRPr="00161C60">
              <w:t>47</w:t>
            </w:r>
            <w:r w:rsidR="00F56514" w:rsidRPr="00161C60">
              <w:t>.</w:t>
            </w:r>
            <w:r w:rsidR="000E2E4E" w:rsidRPr="00161C60">
              <w:t>apakš</w:t>
            </w:r>
            <w:r w:rsidR="00F56514" w:rsidRPr="00161C60">
              <w:t>punkts (noteikumu 109.punkts)</w:t>
            </w:r>
            <w:r w:rsidR="00AC7827" w:rsidRPr="00161C60">
              <w:t> - </w:t>
            </w:r>
            <w:r w:rsidR="004076E1" w:rsidRPr="00161C60">
              <w:t>administratīvās izmaksas nepārsniegs Ministru kabineta 2009.gada 15.decembra instrukcijas Nr.19 „Tiesību akta projekta sākotnējās ietekmes izvērtēšanas kārtība” 25.punktā notei</w:t>
            </w:r>
            <w:r w:rsidR="00AC7827" w:rsidRPr="00161C60">
              <w:t>kto summu juridiskām personām - </w:t>
            </w:r>
            <w:r w:rsidR="004076E1" w:rsidRPr="00161C60">
              <w:t>2000 euro</w:t>
            </w:r>
          </w:p>
          <w:p w:rsidR="004A2416" w:rsidRPr="00161C60" w:rsidRDefault="00232100" w:rsidP="00D567AB">
            <w:pPr>
              <w:jc w:val="both"/>
            </w:pPr>
            <w:r w:rsidRPr="00161C60">
              <w:t>13</w:t>
            </w:r>
            <w:r w:rsidR="00AC7827" w:rsidRPr="00161C60">
              <w:t>) </w:t>
            </w:r>
            <w:r w:rsidR="00C53419" w:rsidRPr="00161C60">
              <w:t>noteikumu projekta 1.</w:t>
            </w:r>
            <w:r w:rsidR="00F716AF" w:rsidRPr="00161C60">
              <w:t>50</w:t>
            </w:r>
            <w:r w:rsidR="004076E1" w:rsidRPr="00161C60">
              <w:t>.</w:t>
            </w:r>
            <w:r w:rsidR="002B044B" w:rsidRPr="00161C60">
              <w:t>apakš</w:t>
            </w:r>
            <w:r w:rsidR="004076E1" w:rsidRPr="00161C60">
              <w:t>punkts</w:t>
            </w:r>
            <w:r w:rsidR="00C53419" w:rsidRPr="00161C60">
              <w:t>un 1.</w:t>
            </w:r>
            <w:r w:rsidR="00F8732F" w:rsidRPr="00161C60">
              <w:t>75</w:t>
            </w:r>
            <w:r w:rsidR="00505D8A" w:rsidRPr="00161C60">
              <w:t>.</w:t>
            </w:r>
            <w:r w:rsidR="000E2E4E" w:rsidRPr="00161C60">
              <w:t>apakš</w:t>
            </w:r>
            <w:r w:rsidR="00505D8A" w:rsidRPr="00161C60">
              <w:t>punkts</w:t>
            </w:r>
            <w:r w:rsidR="004076E1" w:rsidRPr="00161C60">
              <w:t xml:space="preserve"> (noteikumu 115.</w:t>
            </w:r>
            <w:r w:rsidR="004076E1" w:rsidRPr="00161C60">
              <w:rPr>
                <w:vertAlign w:val="superscript"/>
              </w:rPr>
              <w:t>1</w:t>
            </w:r>
            <w:r w:rsidR="004076E1" w:rsidRPr="00161C60">
              <w:t>, 115.</w:t>
            </w:r>
            <w:r w:rsidR="004076E1" w:rsidRPr="00161C60">
              <w:rPr>
                <w:vertAlign w:val="superscript"/>
              </w:rPr>
              <w:t>2</w:t>
            </w:r>
            <w:r w:rsidR="004076E1" w:rsidRPr="00161C60">
              <w:t>, 115.</w:t>
            </w:r>
            <w:r w:rsidR="004076E1" w:rsidRPr="00161C60">
              <w:rPr>
                <w:vertAlign w:val="superscript"/>
              </w:rPr>
              <w:t>3</w:t>
            </w:r>
            <w:r w:rsidR="004076E1" w:rsidRPr="00161C60">
              <w:t xml:space="preserve"> un 115.</w:t>
            </w:r>
            <w:r w:rsidR="004076E1" w:rsidRPr="00161C60">
              <w:rPr>
                <w:vertAlign w:val="superscript"/>
              </w:rPr>
              <w:t>4</w:t>
            </w:r>
            <w:r w:rsidR="004076E1" w:rsidRPr="00161C60">
              <w:t>punkts</w:t>
            </w:r>
            <w:r w:rsidR="00505D8A" w:rsidRPr="00161C60">
              <w:t xml:space="preserve"> un 8.</w:t>
            </w:r>
            <w:r w:rsidR="00505D8A" w:rsidRPr="00161C60">
              <w:rPr>
                <w:vertAlign w:val="superscript"/>
              </w:rPr>
              <w:t>1</w:t>
            </w:r>
            <w:r w:rsidR="00505D8A" w:rsidRPr="00161C60">
              <w:t>pielikums</w:t>
            </w:r>
            <w:r w:rsidR="004076E1" w:rsidRPr="00161C60">
              <w:t>)</w:t>
            </w:r>
          </w:p>
          <w:p w:rsidR="004076E1" w:rsidRPr="00161C60" w:rsidRDefault="004076E1" w:rsidP="00D567AB">
            <w:pPr>
              <w:jc w:val="both"/>
            </w:pPr>
            <w:r w:rsidRPr="00161C60">
              <w:t>C=(4,47x2)x(342x1)=8,94x342=</w:t>
            </w:r>
            <w:r w:rsidRPr="00161C60">
              <w:rPr>
                <w:b/>
              </w:rPr>
              <w:t>3057,48</w:t>
            </w:r>
          </w:p>
          <w:p w:rsidR="00936099" w:rsidRPr="00161C60" w:rsidRDefault="00232100" w:rsidP="00D567AB">
            <w:pPr>
              <w:jc w:val="both"/>
            </w:pPr>
            <w:r w:rsidRPr="00161C60">
              <w:t>14</w:t>
            </w:r>
            <w:r w:rsidR="00AC7827" w:rsidRPr="00161C60">
              <w:t>) </w:t>
            </w:r>
            <w:r w:rsidR="002B044B" w:rsidRPr="00161C60">
              <w:t>no</w:t>
            </w:r>
            <w:r w:rsidR="00414FAA" w:rsidRPr="00161C60">
              <w:t>teikumu projekta 1.</w:t>
            </w:r>
            <w:r w:rsidR="00B070ED" w:rsidRPr="00161C60">
              <w:t>55</w:t>
            </w:r>
            <w:r w:rsidR="00936099" w:rsidRPr="00161C60">
              <w:t>.</w:t>
            </w:r>
            <w:r w:rsidR="009F6241" w:rsidRPr="00161C60">
              <w:t>apakš</w:t>
            </w:r>
            <w:r w:rsidR="00936099" w:rsidRPr="00161C60">
              <w:t>punkts (noteikumu 127., 128., 129., 130., 131. un 132.punkts)</w:t>
            </w:r>
          </w:p>
          <w:p w:rsidR="00936099" w:rsidRPr="00161C60" w:rsidRDefault="00936099" w:rsidP="00D567AB">
            <w:pPr>
              <w:jc w:val="both"/>
            </w:pPr>
            <w:r w:rsidRPr="00161C60">
              <w:t>C=(4,91x1)x(1x41)=4,91x41=</w:t>
            </w:r>
            <w:r w:rsidRPr="00161C60">
              <w:rPr>
                <w:b/>
              </w:rPr>
              <w:t>201,31</w:t>
            </w:r>
          </w:p>
          <w:p w:rsidR="00936099" w:rsidRPr="00161C60" w:rsidRDefault="00232100" w:rsidP="00D567AB">
            <w:pPr>
              <w:jc w:val="both"/>
            </w:pPr>
            <w:r w:rsidRPr="00161C60">
              <w:t>15</w:t>
            </w:r>
            <w:r w:rsidR="00AC7827" w:rsidRPr="00161C60">
              <w:t>) </w:t>
            </w:r>
            <w:r w:rsidR="009F6241" w:rsidRPr="00161C60">
              <w:t>noteikumu projekta 1.</w:t>
            </w:r>
            <w:r w:rsidR="00155BFA" w:rsidRPr="00161C60">
              <w:t>60</w:t>
            </w:r>
            <w:r w:rsidR="004B3EE1" w:rsidRPr="00161C60">
              <w:t>.</w:t>
            </w:r>
            <w:r w:rsidR="002B044B" w:rsidRPr="00161C60">
              <w:t>apakš</w:t>
            </w:r>
            <w:r w:rsidR="004B3EE1" w:rsidRPr="00161C60">
              <w:t>punkts (noteikumu 146.17.apakšpunkts)</w:t>
            </w:r>
          </w:p>
          <w:p w:rsidR="004B3EE1" w:rsidRPr="00161C60" w:rsidRDefault="004B3EE1" w:rsidP="00D567AB">
            <w:pPr>
              <w:jc w:val="both"/>
            </w:pPr>
            <w:r w:rsidRPr="00161C60">
              <w:t>C=(4,91x0,25)x(1x48)=1,22x48=</w:t>
            </w:r>
            <w:r w:rsidRPr="00161C60">
              <w:rPr>
                <w:b/>
              </w:rPr>
              <w:t>58,56</w:t>
            </w:r>
          </w:p>
          <w:p w:rsidR="004B3EE1" w:rsidRPr="00161C60" w:rsidRDefault="00232100" w:rsidP="00D567AB">
            <w:pPr>
              <w:jc w:val="both"/>
            </w:pPr>
            <w:r w:rsidRPr="00161C60">
              <w:t>16</w:t>
            </w:r>
            <w:r w:rsidR="00AC7827" w:rsidRPr="00161C60">
              <w:t>) </w:t>
            </w:r>
            <w:r w:rsidR="00F507E3" w:rsidRPr="00161C60">
              <w:t>noteikumu projekta 1.</w:t>
            </w:r>
            <w:r w:rsidR="009B116A" w:rsidRPr="00161C60">
              <w:t>63</w:t>
            </w:r>
            <w:r w:rsidR="00EE42F9" w:rsidRPr="00161C60">
              <w:t>.</w:t>
            </w:r>
            <w:r w:rsidR="002B044B" w:rsidRPr="00161C60">
              <w:t>apakš</w:t>
            </w:r>
            <w:r w:rsidR="00EE42F9" w:rsidRPr="00161C60">
              <w:t>punkts (noteikumu 156.</w:t>
            </w:r>
            <w:r w:rsidR="00EE42F9" w:rsidRPr="00161C60">
              <w:rPr>
                <w:vertAlign w:val="superscript"/>
              </w:rPr>
              <w:t>1</w:t>
            </w:r>
            <w:r w:rsidR="00EE42F9" w:rsidRPr="00161C60">
              <w:t>punkts)</w:t>
            </w:r>
          </w:p>
          <w:p w:rsidR="00EE42F9" w:rsidRPr="00161C60" w:rsidRDefault="00EE42F9" w:rsidP="00D567AB">
            <w:pPr>
              <w:jc w:val="both"/>
            </w:pPr>
            <w:r w:rsidRPr="00161C60">
              <w:t>C=(4,91x0,25)x(1x41)=1,22x41=</w:t>
            </w:r>
            <w:r w:rsidRPr="00161C60">
              <w:rPr>
                <w:b/>
              </w:rPr>
              <w:t>50,02</w:t>
            </w:r>
          </w:p>
          <w:p w:rsidR="00EE42F9" w:rsidRPr="00161C60" w:rsidRDefault="00232100" w:rsidP="00D567AB">
            <w:pPr>
              <w:jc w:val="both"/>
            </w:pPr>
            <w:r w:rsidRPr="00161C60">
              <w:t>17</w:t>
            </w:r>
            <w:r w:rsidR="00AC7827" w:rsidRPr="00161C60">
              <w:t>) </w:t>
            </w:r>
            <w:r w:rsidR="00F507E3" w:rsidRPr="00161C60">
              <w:t>noteikumu projekta 1.</w:t>
            </w:r>
            <w:r w:rsidR="009B116A" w:rsidRPr="00161C60">
              <w:t>63</w:t>
            </w:r>
            <w:r w:rsidR="002B044B" w:rsidRPr="00161C60">
              <w:t>.apakš</w:t>
            </w:r>
            <w:r w:rsidR="00EE42F9" w:rsidRPr="00161C60">
              <w:t>punkts (noteikumu 156.</w:t>
            </w:r>
            <w:r w:rsidR="00EE42F9" w:rsidRPr="00161C60">
              <w:rPr>
                <w:vertAlign w:val="superscript"/>
              </w:rPr>
              <w:t>3</w:t>
            </w:r>
            <w:r w:rsidR="00EE42F9" w:rsidRPr="00161C60">
              <w:t>punkts)</w:t>
            </w:r>
          </w:p>
          <w:p w:rsidR="00EE42F9" w:rsidRPr="00161C60" w:rsidRDefault="00EE42F9" w:rsidP="00D567AB">
            <w:pPr>
              <w:jc w:val="both"/>
              <w:rPr>
                <w:b/>
              </w:rPr>
            </w:pPr>
            <w:r w:rsidRPr="00161C60">
              <w:t>C=(4,91x0,25)x(1x30)=1,22x30=</w:t>
            </w:r>
            <w:r w:rsidRPr="00161C60">
              <w:rPr>
                <w:b/>
              </w:rPr>
              <w:t>36,60</w:t>
            </w:r>
          </w:p>
          <w:p w:rsidR="00EE42F9" w:rsidRPr="00161C60" w:rsidRDefault="00232100" w:rsidP="00D567AB">
            <w:pPr>
              <w:jc w:val="both"/>
            </w:pPr>
            <w:r w:rsidRPr="00161C60">
              <w:t>18</w:t>
            </w:r>
            <w:r w:rsidR="00F507E3" w:rsidRPr="00161C60">
              <w:t>)</w:t>
            </w:r>
            <w:r w:rsidR="00AC7827" w:rsidRPr="00161C60">
              <w:t> </w:t>
            </w:r>
            <w:r w:rsidR="00F507E3" w:rsidRPr="00161C60">
              <w:t>noteikumu projekta 1.</w:t>
            </w:r>
            <w:r w:rsidR="009B116A" w:rsidRPr="00161C60">
              <w:t>63</w:t>
            </w:r>
            <w:r w:rsidR="00EE42F9" w:rsidRPr="00161C60">
              <w:t>.</w:t>
            </w:r>
            <w:r w:rsidR="002B044B" w:rsidRPr="00161C60">
              <w:t>apakš</w:t>
            </w:r>
            <w:r w:rsidR="00EE42F9" w:rsidRPr="00161C60">
              <w:t>punkts (noteikumu 156.</w:t>
            </w:r>
            <w:r w:rsidR="00EE42F9" w:rsidRPr="00161C60">
              <w:rPr>
                <w:vertAlign w:val="superscript"/>
              </w:rPr>
              <w:t>4</w:t>
            </w:r>
            <w:r w:rsidR="00EE42F9" w:rsidRPr="00161C60">
              <w:t>punkts)</w:t>
            </w:r>
          </w:p>
          <w:p w:rsidR="00EE42F9" w:rsidRPr="00161C60" w:rsidRDefault="00EE42F9" w:rsidP="00D567AB">
            <w:pPr>
              <w:jc w:val="both"/>
            </w:pPr>
            <w:r w:rsidRPr="00161C60">
              <w:t>C=(4,91x8)x(2x2)=39,28x4=</w:t>
            </w:r>
            <w:r w:rsidRPr="00161C60">
              <w:rPr>
                <w:b/>
              </w:rPr>
              <w:t>157,12</w:t>
            </w:r>
          </w:p>
          <w:p w:rsidR="00EE42F9" w:rsidRPr="00161C60" w:rsidRDefault="00232100" w:rsidP="00D567AB">
            <w:pPr>
              <w:jc w:val="both"/>
            </w:pPr>
            <w:r w:rsidRPr="00161C60">
              <w:t>19</w:t>
            </w:r>
            <w:r w:rsidR="00AC7827" w:rsidRPr="00161C60">
              <w:t>) </w:t>
            </w:r>
            <w:r w:rsidR="001501B1" w:rsidRPr="00161C60">
              <w:t>noteikumu projekta 1.</w:t>
            </w:r>
            <w:r w:rsidR="009B116A" w:rsidRPr="00161C60">
              <w:t>63</w:t>
            </w:r>
            <w:r w:rsidR="001501B1" w:rsidRPr="00161C60">
              <w:t>.</w:t>
            </w:r>
            <w:r w:rsidR="002B044B" w:rsidRPr="00161C60">
              <w:t>apakš</w:t>
            </w:r>
            <w:r w:rsidR="00EE42F9" w:rsidRPr="00161C60">
              <w:t>punkts (noteikumu 156.</w:t>
            </w:r>
            <w:r w:rsidR="00EE42F9" w:rsidRPr="00161C60">
              <w:rPr>
                <w:vertAlign w:val="superscript"/>
              </w:rPr>
              <w:t>5</w:t>
            </w:r>
            <w:r w:rsidR="00EE42F9" w:rsidRPr="00161C60">
              <w:t>punkts)</w:t>
            </w:r>
          </w:p>
          <w:p w:rsidR="00EE42F9" w:rsidRPr="00161C60" w:rsidRDefault="00EE42F9" w:rsidP="00D567AB">
            <w:pPr>
              <w:jc w:val="both"/>
              <w:rPr>
                <w:b/>
              </w:rPr>
            </w:pPr>
            <w:r w:rsidRPr="00161C60">
              <w:t>C=(4,91x8)x(5x2)=39,28x10=</w:t>
            </w:r>
            <w:r w:rsidRPr="00161C60">
              <w:rPr>
                <w:b/>
              </w:rPr>
              <w:t>392,80</w:t>
            </w:r>
          </w:p>
          <w:p w:rsidR="00E45F37" w:rsidRPr="00161C60" w:rsidRDefault="0094093A" w:rsidP="00D567AB">
            <w:pPr>
              <w:jc w:val="both"/>
            </w:pPr>
            <w:r w:rsidRPr="00161C60">
              <w:t>20</w:t>
            </w:r>
            <w:r w:rsidR="00AC7827" w:rsidRPr="00161C60">
              <w:t>) </w:t>
            </w:r>
            <w:r w:rsidR="002539DE" w:rsidRPr="00161C60">
              <w:t>noteikumu projekta 1.</w:t>
            </w:r>
            <w:r w:rsidR="00BA3FBA" w:rsidRPr="00161C60">
              <w:t>69</w:t>
            </w:r>
            <w:r w:rsidR="00E45F37" w:rsidRPr="00161C60">
              <w:t>.</w:t>
            </w:r>
            <w:r w:rsidR="002B044B" w:rsidRPr="00161C60">
              <w:t>apakš</w:t>
            </w:r>
            <w:r w:rsidR="00E45F37" w:rsidRPr="00161C60">
              <w:t>punkts (grozījumi noteikumu 6.pielikumā)</w:t>
            </w:r>
          </w:p>
          <w:p w:rsidR="00EE42F9" w:rsidRPr="00161C60" w:rsidRDefault="00E45F37" w:rsidP="00D567AB">
            <w:pPr>
              <w:jc w:val="both"/>
              <w:rPr>
                <w:b/>
              </w:rPr>
            </w:pPr>
            <w:r w:rsidRPr="00161C60">
              <w:t>C=(4,91x0,03)x(1x3699)=0,15x3699=</w:t>
            </w:r>
            <w:r w:rsidRPr="00161C60">
              <w:rPr>
                <w:b/>
              </w:rPr>
              <w:t>554,85</w:t>
            </w:r>
          </w:p>
          <w:p w:rsidR="00E45F37" w:rsidRPr="00161C60" w:rsidRDefault="00232100" w:rsidP="00D567AB">
            <w:pPr>
              <w:jc w:val="both"/>
            </w:pPr>
            <w:r w:rsidRPr="00161C60">
              <w:t>21</w:t>
            </w:r>
            <w:r w:rsidR="00AC7827" w:rsidRPr="00161C60">
              <w:t>) </w:t>
            </w:r>
            <w:r w:rsidR="002539DE" w:rsidRPr="00161C60">
              <w:t>noteikumu projekta 1.</w:t>
            </w:r>
            <w:r w:rsidR="0075633D" w:rsidRPr="00161C60">
              <w:t>71</w:t>
            </w:r>
            <w:r w:rsidR="00E45F37" w:rsidRPr="00161C60">
              <w:t xml:space="preserve">.punkts (grozījumi noteikumu 7.pielikumā) </w:t>
            </w:r>
          </w:p>
          <w:p w:rsidR="00E45F37" w:rsidRPr="00161C60" w:rsidRDefault="00E45F37" w:rsidP="00D567AB">
            <w:pPr>
              <w:jc w:val="both"/>
            </w:pPr>
            <w:r w:rsidRPr="00161C60">
              <w:t>C=(4.47x0,02)x(99x3699)=0,0</w:t>
            </w:r>
            <w:r w:rsidR="006742A3" w:rsidRPr="00161C60">
              <w:t>9</w:t>
            </w:r>
            <w:r w:rsidRPr="00161C60">
              <w:t>x366201=</w:t>
            </w:r>
            <w:r w:rsidR="006742A3" w:rsidRPr="00161C60">
              <w:rPr>
                <w:b/>
              </w:rPr>
              <w:t>32958</w:t>
            </w:r>
            <w:r w:rsidRPr="00161C60">
              <w:rPr>
                <w:b/>
              </w:rPr>
              <w:t>,0</w:t>
            </w:r>
            <w:r w:rsidR="006742A3" w:rsidRPr="00161C60">
              <w:rPr>
                <w:b/>
              </w:rPr>
              <w:t>9</w:t>
            </w:r>
          </w:p>
          <w:p w:rsidR="00E45F37" w:rsidRPr="00161C60" w:rsidRDefault="00232100" w:rsidP="00D567AB">
            <w:pPr>
              <w:jc w:val="both"/>
            </w:pPr>
            <w:r w:rsidRPr="00161C60">
              <w:lastRenderedPageBreak/>
              <w:t>22</w:t>
            </w:r>
            <w:r w:rsidR="0094093A" w:rsidRPr="00161C60">
              <w:t>) </w:t>
            </w:r>
            <w:r w:rsidR="00CB6FAF" w:rsidRPr="00161C60">
              <w:t>noteikumu projekta 1.</w:t>
            </w:r>
            <w:r w:rsidR="00032933" w:rsidRPr="00161C60">
              <w:t>78</w:t>
            </w:r>
            <w:r w:rsidR="00CB6FAF" w:rsidRPr="00161C60">
              <w:t>.apakšpunkts un 1.</w:t>
            </w:r>
            <w:r w:rsidR="00032933" w:rsidRPr="00161C60">
              <w:t>79</w:t>
            </w:r>
            <w:r w:rsidR="00505D8A" w:rsidRPr="00161C60">
              <w:t>.</w:t>
            </w:r>
            <w:r w:rsidR="002B044B" w:rsidRPr="00161C60">
              <w:t>apakš</w:t>
            </w:r>
            <w:r w:rsidR="00505D8A" w:rsidRPr="00161C60">
              <w:t>punkts (noteikumu 13.</w:t>
            </w:r>
            <w:r w:rsidR="00505D8A" w:rsidRPr="00161C60">
              <w:rPr>
                <w:vertAlign w:val="superscript"/>
              </w:rPr>
              <w:t>1</w:t>
            </w:r>
            <w:r w:rsidR="00505D8A" w:rsidRPr="00161C60">
              <w:t>pielikums un 14.pielikums)</w:t>
            </w:r>
          </w:p>
          <w:p w:rsidR="00EE42F9" w:rsidRPr="00161C60" w:rsidRDefault="00505D8A" w:rsidP="007B2829">
            <w:pPr>
              <w:jc w:val="both"/>
              <w:rPr>
                <w:b/>
              </w:rPr>
            </w:pPr>
            <w:r w:rsidRPr="00161C60">
              <w:t>C=(4,91x4)x(1x20)=19,64x20=</w:t>
            </w:r>
            <w:r w:rsidRPr="00161C60">
              <w:rPr>
                <w:b/>
              </w:rPr>
              <w:t>392,80</w:t>
            </w:r>
          </w:p>
          <w:p w:rsidR="004A5022" w:rsidRPr="00161C60" w:rsidRDefault="004A5022" w:rsidP="00F8732F">
            <w:pPr>
              <w:jc w:val="both"/>
              <w:rPr>
                <w:b/>
              </w:rPr>
            </w:pPr>
            <w:r w:rsidRPr="00161C60">
              <w:rPr>
                <w:b/>
              </w:rPr>
              <w:t xml:space="preserve">Kopējās administratīvās izmaksas sastāda </w:t>
            </w:r>
            <w:r w:rsidR="00F8732F" w:rsidRPr="00161C60">
              <w:rPr>
                <w:b/>
              </w:rPr>
              <w:t xml:space="preserve">105020. </w:t>
            </w:r>
          </w:p>
        </w:tc>
      </w:tr>
      <w:tr w:rsidR="004917AE" w:rsidRPr="00161C60" w:rsidTr="00316962">
        <w:tblPrEx>
          <w:shd w:val="clear" w:color="auto" w:fill="auto"/>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lastRenderedPageBreak/>
              <w:t>4.</w:t>
            </w:r>
          </w:p>
        </w:tc>
        <w:tc>
          <w:tcPr>
            <w:tcW w:w="1086" w:type="pct"/>
            <w:tcBorders>
              <w:top w:val="outset" w:sz="6" w:space="0" w:color="414142"/>
              <w:left w:val="outset" w:sz="6" w:space="0" w:color="414142"/>
              <w:bottom w:val="outset" w:sz="6" w:space="0" w:color="414142"/>
              <w:right w:val="outset" w:sz="6" w:space="0" w:color="414142"/>
            </w:tcBorders>
            <w:hideMark/>
          </w:tcPr>
          <w:p w:rsidR="004917AE" w:rsidRPr="00161C60" w:rsidRDefault="004917AE" w:rsidP="00D567AB">
            <w:r w:rsidRPr="00161C60">
              <w:t>Cita informācija</w:t>
            </w:r>
          </w:p>
        </w:tc>
        <w:tc>
          <w:tcPr>
            <w:tcW w:w="3664" w:type="pct"/>
            <w:gridSpan w:val="2"/>
            <w:tcBorders>
              <w:top w:val="outset" w:sz="6" w:space="0" w:color="414142"/>
              <w:left w:val="outset" w:sz="6" w:space="0" w:color="414142"/>
              <w:bottom w:val="outset" w:sz="6" w:space="0" w:color="414142"/>
              <w:right w:val="outset" w:sz="6" w:space="0" w:color="414142"/>
            </w:tcBorders>
            <w:hideMark/>
          </w:tcPr>
          <w:p w:rsidR="004917AE" w:rsidRPr="00161C60" w:rsidRDefault="004917AE" w:rsidP="00BC5610">
            <w:pPr>
              <w:pStyle w:val="NoSpacing"/>
              <w:jc w:val="both"/>
              <w:rPr>
                <w:rFonts w:ascii="Times New Roman" w:hAnsi="Times New Roman"/>
                <w:sz w:val="24"/>
                <w:szCs w:val="24"/>
                <w:lang w:val="lv-LV"/>
              </w:rPr>
            </w:pPr>
            <w:r w:rsidRPr="00161C60">
              <w:rPr>
                <w:rFonts w:ascii="Times New Roman" w:hAnsi="Times New Roman"/>
                <w:sz w:val="24"/>
                <w:szCs w:val="24"/>
                <w:lang w:val="lv-LV"/>
              </w:rPr>
              <w:t xml:space="preserve">Noteikumu projektā paredzēto pasākumu īstenošanu Aģentūra nodrošinās saņemto pašu ieņēmumu ietvaros, savukārt Inspekcija, </w:t>
            </w:r>
            <w:r w:rsidR="00BC5610" w:rsidRPr="00161C60">
              <w:rPr>
                <w:rFonts w:ascii="Times New Roman" w:hAnsi="Times New Roman"/>
                <w:sz w:val="24"/>
                <w:szCs w:val="24"/>
                <w:lang w:val="lv-LV"/>
              </w:rPr>
              <w:t>D</w:t>
            </w:r>
            <w:r w:rsidRPr="00161C60">
              <w:rPr>
                <w:rFonts w:ascii="Times New Roman" w:hAnsi="Times New Roman"/>
                <w:sz w:val="24"/>
                <w:szCs w:val="24"/>
                <w:lang w:val="lv-LV"/>
              </w:rPr>
              <w:t>ienests, muita un Vals</w:t>
            </w:r>
            <w:r w:rsidR="00AF0201" w:rsidRPr="00161C60">
              <w:rPr>
                <w:rFonts w:ascii="Times New Roman" w:hAnsi="Times New Roman"/>
                <w:sz w:val="24"/>
                <w:szCs w:val="24"/>
                <w:lang w:val="lv-LV"/>
              </w:rPr>
              <w:t xml:space="preserve">ts </w:t>
            </w:r>
            <w:r w:rsidR="00AC7827" w:rsidRPr="00161C60">
              <w:rPr>
                <w:rFonts w:ascii="Times New Roman" w:hAnsi="Times New Roman"/>
                <w:sz w:val="24"/>
                <w:szCs w:val="24"/>
                <w:lang w:val="lv-LV"/>
              </w:rPr>
              <w:t>policija </w:t>
            </w:r>
            <w:r w:rsidR="00AF0201" w:rsidRPr="00161C60">
              <w:rPr>
                <w:rFonts w:ascii="Times New Roman" w:hAnsi="Times New Roman"/>
                <w:sz w:val="24"/>
                <w:szCs w:val="24"/>
                <w:lang w:val="lv-LV"/>
              </w:rPr>
              <w:t>-</w:t>
            </w:r>
            <w:r w:rsidR="00AC7827" w:rsidRPr="00161C60">
              <w:rPr>
                <w:rFonts w:ascii="Times New Roman" w:hAnsi="Times New Roman"/>
                <w:sz w:val="24"/>
                <w:szCs w:val="24"/>
                <w:lang w:val="lv-LV"/>
              </w:rPr>
              <w:t> </w:t>
            </w:r>
            <w:r w:rsidRPr="00161C60">
              <w:rPr>
                <w:rFonts w:ascii="Times New Roman" w:hAnsi="Times New Roman"/>
                <w:sz w:val="24"/>
                <w:szCs w:val="24"/>
                <w:lang w:val="lv-LV"/>
              </w:rPr>
              <w:t>piešķirto valsts budžeta līdzekļu ietvaros.</w:t>
            </w:r>
          </w:p>
        </w:tc>
      </w:tr>
      <w:tr w:rsidR="004917AE" w:rsidRPr="00161C60" w:rsidTr="004917AE">
        <w:trPr>
          <w:trHeight w:val="450"/>
        </w:trPr>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309B9" w:rsidRPr="00161C60" w:rsidRDefault="00C309B9" w:rsidP="00C309B9">
            <w:pPr>
              <w:spacing w:before="100" w:beforeAutospacing="1" w:after="100" w:afterAutospacing="1" w:line="265" w:lineRule="atLeast"/>
              <w:jc w:val="center"/>
              <w:rPr>
                <w:bCs/>
                <w:lang w:eastAsia="en-US"/>
              </w:rPr>
            </w:pPr>
            <w:r w:rsidRPr="00161C60">
              <w:rPr>
                <w:bCs/>
                <w:lang w:eastAsia="en-US"/>
              </w:rPr>
              <w:t>IV. Tiesību akta projekta ietekme uz spēkā esošo tiesību normu sistēmu</w:t>
            </w:r>
          </w:p>
        </w:tc>
      </w:tr>
      <w:tr w:rsidR="004917AE" w:rsidRPr="00161C60" w:rsidTr="004917A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309B9" w:rsidP="00C309B9">
            <w:pPr>
              <w:rPr>
                <w:lang w:eastAsia="en-US"/>
              </w:rPr>
            </w:pPr>
            <w:r w:rsidRPr="00161C60">
              <w:rPr>
                <w:lang w:eastAsia="en-US"/>
              </w:rPr>
              <w:t>1.</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309B9" w:rsidP="00C309B9">
            <w:pPr>
              <w:rPr>
                <w:lang w:eastAsia="en-US"/>
              </w:rPr>
            </w:pPr>
            <w:r w:rsidRPr="00161C60">
              <w:rPr>
                <w:lang w:eastAsia="en-US"/>
              </w:rPr>
              <w:t>Nepieciešamie saistītie tiesību aktu projekti</w:t>
            </w:r>
          </w:p>
          <w:p w:rsidR="0027217C" w:rsidRPr="00161C60" w:rsidRDefault="0027217C" w:rsidP="00C309B9">
            <w:pPr>
              <w:rPr>
                <w:lang w:eastAsia="en-US"/>
              </w:rPr>
            </w:pP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9C08FA" w:rsidRPr="00161C60" w:rsidRDefault="00C309B9" w:rsidP="002961B3">
            <w:pPr>
              <w:pStyle w:val="CommentText"/>
              <w:jc w:val="both"/>
              <w:rPr>
                <w:sz w:val="24"/>
                <w:szCs w:val="24"/>
              </w:rPr>
            </w:pPr>
            <w:r w:rsidRPr="00161C60">
              <w:rPr>
                <w:sz w:val="24"/>
                <w:szCs w:val="24"/>
              </w:rPr>
              <w:t xml:space="preserve">Grozījumi izdarāmi MK </w:t>
            </w:r>
            <w:r w:rsidR="009B7410" w:rsidRPr="00161C60">
              <w:rPr>
                <w:sz w:val="24"/>
                <w:szCs w:val="24"/>
              </w:rPr>
              <w:t>noteikumos Nr.43</w:t>
            </w:r>
            <w:r w:rsidRPr="00161C60">
              <w:rPr>
                <w:sz w:val="24"/>
                <w:szCs w:val="24"/>
              </w:rPr>
              <w:t xml:space="preserve">6, jo </w:t>
            </w:r>
            <w:r w:rsidR="00024076" w:rsidRPr="00161C60">
              <w:rPr>
                <w:sz w:val="24"/>
                <w:szCs w:val="24"/>
              </w:rPr>
              <w:t xml:space="preserve">MK noteikumu </w:t>
            </w:r>
            <w:r w:rsidR="00BC513A" w:rsidRPr="00161C60">
              <w:rPr>
                <w:sz w:val="24"/>
                <w:szCs w:val="24"/>
              </w:rPr>
              <w:t>N</w:t>
            </w:r>
            <w:r w:rsidR="00024076" w:rsidRPr="00161C60">
              <w:rPr>
                <w:sz w:val="24"/>
                <w:szCs w:val="24"/>
              </w:rPr>
              <w:t>r.416 12.</w:t>
            </w:r>
            <w:r w:rsidR="00024076" w:rsidRPr="00161C60">
              <w:rPr>
                <w:sz w:val="24"/>
                <w:szCs w:val="24"/>
                <w:vertAlign w:val="superscript"/>
              </w:rPr>
              <w:t>3</w:t>
            </w:r>
            <w:r w:rsidR="00024076" w:rsidRPr="00161C60">
              <w:rPr>
                <w:sz w:val="24"/>
                <w:szCs w:val="24"/>
              </w:rPr>
              <w:t xml:space="preserve">norma </w:t>
            </w:r>
            <w:r w:rsidRPr="00161C60">
              <w:rPr>
                <w:sz w:val="24"/>
                <w:szCs w:val="24"/>
              </w:rPr>
              <w:t xml:space="preserve">(attiecas uz zāļu </w:t>
            </w:r>
            <w:r w:rsidR="00024076" w:rsidRPr="00161C60">
              <w:rPr>
                <w:sz w:val="24"/>
                <w:szCs w:val="24"/>
              </w:rPr>
              <w:t>eksportēšanu) tiek pārcelta</w:t>
            </w:r>
            <w:r w:rsidR="002E5A48" w:rsidRPr="00161C60">
              <w:rPr>
                <w:sz w:val="24"/>
                <w:szCs w:val="24"/>
              </w:rPr>
              <w:t xml:space="preserve"> uz MK n</w:t>
            </w:r>
            <w:r w:rsidRPr="00161C60">
              <w:rPr>
                <w:sz w:val="24"/>
                <w:szCs w:val="24"/>
              </w:rPr>
              <w:t>oteikumi</w:t>
            </w:r>
            <w:r w:rsidR="00BA49CD" w:rsidRPr="00161C60">
              <w:rPr>
                <w:sz w:val="24"/>
                <w:szCs w:val="24"/>
              </w:rPr>
              <w:t>em</w:t>
            </w:r>
            <w:r w:rsidR="00654B9A" w:rsidRPr="00161C60">
              <w:rPr>
                <w:sz w:val="24"/>
                <w:szCs w:val="24"/>
              </w:rPr>
              <w:t xml:space="preserve"> Nr.436</w:t>
            </w:r>
            <w:r w:rsidR="0027217C" w:rsidRPr="00161C60">
              <w:rPr>
                <w:sz w:val="24"/>
                <w:szCs w:val="24"/>
              </w:rPr>
              <w:t>. Grozījumi MK noteikumos Nr.436 ir izsludināti Valsts sekretāru sanāksmē 2015.</w:t>
            </w:r>
            <w:r w:rsidR="00F57434" w:rsidRPr="00161C60">
              <w:rPr>
                <w:sz w:val="24"/>
                <w:szCs w:val="24"/>
              </w:rPr>
              <w:t>gada 9</w:t>
            </w:r>
            <w:r w:rsidR="0027217C" w:rsidRPr="00161C60">
              <w:rPr>
                <w:sz w:val="24"/>
                <w:szCs w:val="24"/>
              </w:rPr>
              <w:t>.aprīlī</w:t>
            </w:r>
            <w:r w:rsidR="00131C1E" w:rsidRPr="00161C60">
              <w:rPr>
                <w:sz w:val="24"/>
                <w:szCs w:val="24"/>
              </w:rPr>
              <w:t xml:space="preserve"> (VSS protokols Nr.14, 21</w:t>
            </w:r>
            <w:r w:rsidR="00B64785" w:rsidRPr="00161C60">
              <w:rPr>
                <w:sz w:val="24"/>
                <w:szCs w:val="24"/>
              </w:rPr>
              <w:t>.</w:t>
            </w:r>
            <w:r w:rsidR="00F57434" w:rsidRPr="00161C60">
              <w:rPr>
                <w:bCs/>
                <w:sz w:val="28"/>
                <w:szCs w:val="28"/>
              </w:rPr>
              <w:t>§</w:t>
            </w:r>
            <w:r w:rsidR="00F57434" w:rsidRPr="00161C60">
              <w:rPr>
                <w:sz w:val="24"/>
                <w:szCs w:val="24"/>
              </w:rPr>
              <w:t xml:space="preserve">, </w:t>
            </w:r>
            <w:r w:rsidR="00654B9A" w:rsidRPr="00161C60">
              <w:rPr>
                <w:sz w:val="24"/>
                <w:szCs w:val="24"/>
              </w:rPr>
              <w:t>VSS</w:t>
            </w:r>
            <w:r w:rsidR="00AC7827" w:rsidRPr="00161C60">
              <w:rPr>
                <w:sz w:val="24"/>
                <w:szCs w:val="24"/>
              </w:rPr>
              <w:t> - </w:t>
            </w:r>
            <w:r w:rsidR="00654B9A" w:rsidRPr="00161C60">
              <w:rPr>
                <w:sz w:val="24"/>
                <w:szCs w:val="24"/>
              </w:rPr>
              <w:t>296)</w:t>
            </w:r>
            <w:r w:rsidR="0027217C" w:rsidRPr="00161C60">
              <w:rPr>
                <w:sz w:val="24"/>
                <w:szCs w:val="24"/>
              </w:rPr>
              <w:t>.</w:t>
            </w:r>
          </w:p>
        </w:tc>
      </w:tr>
      <w:tr w:rsidR="004917AE" w:rsidRPr="00161C60" w:rsidTr="004917A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309B9" w:rsidP="00C309B9">
            <w:pPr>
              <w:rPr>
                <w:lang w:eastAsia="en-US"/>
              </w:rPr>
            </w:pPr>
            <w:r w:rsidRPr="00161C60">
              <w:rPr>
                <w:lang w:eastAsia="en-US"/>
              </w:rPr>
              <w:t>2.</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309B9" w:rsidP="00C309B9">
            <w:pPr>
              <w:rPr>
                <w:lang w:eastAsia="en-US"/>
              </w:rPr>
            </w:pPr>
            <w:r w:rsidRPr="00161C60">
              <w:rPr>
                <w:lang w:eastAsia="en-US"/>
              </w:rPr>
              <w:t>Atbildīgā institūcija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E664F" w:rsidP="00BA49CD">
            <w:pPr>
              <w:pStyle w:val="tv213"/>
              <w:spacing w:before="0" w:beforeAutospacing="0" w:after="0" w:afterAutospacing="0" w:line="265" w:lineRule="atLeast"/>
              <w:jc w:val="both"/>
              <w:rPr>
                <w:lang w:val="lv-LV"/>
              </w:rPr>
            </w:pPr>
            <w:r w:rsidRPr="00161C60">
              <w:rPr>
                <w:lang w:val="lv-LV"/>
              </w:rPr>
              <w:t>Par grozīj</w:t>
            </w:r>
            <w:r w:rsidR="00887DD0" w:rsidRPr="00161C60">
              <w:rPr>
                <w:lang w:val="lv-LV"/>
              </w:rPr>
              <w:t xml:space="preserve">umu izstrādi </w:t>
            </w:r>
            <w:r w:rsidRPr="00161C60">
              <w:rPr>
                <w:lang w:val="lv-LV"/>
              </w:rPr>
              <w:t>atbildīga ir Veselības ministrija.</w:t>
            </w:r>
          </w:p>
        </w:tc>
      </w:tr>
      <w:tr w:rsidR="004917AE" w:rsidRPr="00161C60" w:rsidTr="004917A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309B9" w:rsidP="00C309B9">
            <w:pPr>
              <w:rPr>
                <w:lang w:eastAsia="en-US"/>
              </w:rPr>
            </w:pPr>
            <w:r w:rsidRPr="00161C60">
              <w:rPr>
                <w:lang w:eastAsia="en-US"/>
              </w:rPr>
              <w:t>3.</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C309B9" w:rsidP="00C309B9">
            <w:pPr>
              <w:rPr>
                <w:lang w:eastAsia="en-US"/>
              </w:rPr>
            </w:pPr>
            <w:r w:rsidRPr="00161C60">
              <w:rPr>
                <w:lang w:eastAsia="en-US"/>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C309B9" w:rsidRPr="00161C60" w:rsidRDefault="00F878AF" w:rsidP="002961B3">
            <w:pPr>
              <w:jc w:val="both"/>
              <w:rPr>
                <w:lang w:eastAsia="en-US"/>
              </w:rPr>
            </w:pPr>
            <w:r w:rsidRPr="00161C60">
              <w:rPr>
                <w:lang w:eastAsia="en-US"/>
              </w:rPr>
              <w:t xml:space="preserve">Grozījumi </w:t>
            </w:r>
            <w:r w:rsidR="002961B3" w:rsidRPr="00161C60">
              <w:t xml:space="preserve">MK noteikumos Nr.436 </w:t>
            </w:r>
            <w:r w:rsidRPr="00161C60">
              <w:rPr>
                <w:lang w:eastAsia="en-US"/>
              </w:rPr>
              <w:t>ir pieņemami vienlaicīgi ar grozījumiem Ministru kabineta noteikumos Nr.416.</w:t>
            </w:r>
          </w:p>
        </w:tc>
      </w:tr>
    </w:tbl>
    <w:p w:rsidR="00C309B9" w:rsidRPr="00161C60" w:rsidRDefault="00C309B9" w:rsidP="00123AE0">
      <w:pPr>
        <w:pStyle w:val="NoSpacing"/>
        <w:rPr>
          <w:rFonts w:ascii="Times New Roman" w:hAnsi="Times New Roman"/>
          <w:i/>
          <w:sz w:val="24"/>
          <w:szCs w:val="24"/>
          <w:lang w:val="lv-LV"/>
        </w:rPr>
      </w:pPr>
    </w:p>
    <w:tbl>
      <w:tblPr>
        <w:tblW w:w="89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581"/>
        <w:gridCol w:w="5813"/>
      </w:tblGrid>
      <w:tr w:rsidR="00D72DF2" w:rsidRPr="00161C60" w:rsidTr="009424DD">
        <w:tc>
          <w:tcPr>
            <w:tcW w:w="5000" w:type="pct"/>
            <w:gridSpan w:val="3"/>
            <w:tcBorders>
              <w:top w:val="single" w:sz="4" w:space="0" w:color="auto"/>
              <w:left w:val="single" w:sz="4" w:space="0" w:color="auto"/>
              <w:bottom w:val="single" w:sz="4" w:space="0" w:color="auto"/>
              <w:right w:val="single" w:sz="4" w:space="0" w:color="auto"/>
            </w:tcBorders>
          </w:tcPr>
          <w:p w:rsidR="00D72DF2" w:rsidRPr="00161C60" w:rsidRDefault="00D72DF2" w:rsidP="009424DD">
            <w:pPr>
              <w:jc w:val="center"/>
              <w:rPr>
                <w:bCs/>
              </w:rPr>
            </w:pPr>
          </w:p>
          <w:p w:rsidR="00D72DF2" w:rsidRPr="00161C60" w:rsidRDefault="00D72DF2" w:rsidP="009424DD">
            <w:pPr>
              <w:jc w:val="center"/>
              <w:rPr>
                <w:bCs/>
              </w:rPr>
            </w:pPr>
            <w:r w:rsidRPr="00161C60">
              <w:rPr>
                <w:bCs/>
              </w:rPr>
              <w:t>V. Tiesību akta projekta atbilstība Latvijas Republikas starptautiskajām saistībām</w:t>
            </w:r>
          </w:p>
        </w:tc>
      </w:tr>
      <w:tr w:rsidR="00D72DF2" w:rsidRPr="00161C60" w:rsidTr="00161C60">
        <w:tc>
          <w:tcPr>
            <w:tcW w:w="301"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rPr>
                <w:iCs/>
              </w:rPr>
            </w:pPr>
            <w:r w:rsidRPr="00161C60">
              <w:rPr>
                <w:iCs/>
              </w:rPr>
              <w:t>1.</w:t>
            </w:r>
          </w:p>
        </w:tc>
        <w:tc>
          <w:tcPr>
            <w:tcW w:w="1445"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jc w:val="both"/>
              <w:rPr>
                <w:iCs/>
              </w:rPr>
            </w:pPr>
            <w:r w:rsidRPr="00161C60">
              <w:t>Saistības pret Eiropas Savienību</w:t>
            </w:r>
          </w:p>
        </w:tc>
        <w:tc>
          <w:tcPr>
            <w:tcW w:w="3253" w:type="pct"/>
            <w:tcBorders>
              <w:top w:val="single" w:sz="4" w:space="0" w:color="auto"/>
              <w:left w:val="single" w:sz="4" w:space="0" w:color="auto"/>
              <w:bottom w:val="single" w:sz="4" w:space="0" w:color="auto"/>
              <w:right w:val="single" w:sz="4" w:space="0" w:color="auto"/>
            </w:tcBorders>
            <w:hideMark/>
          </w:tcPr>
          <w:p w:rsidR="00DB2456" w:rsidRPr="00161C60" w:rsidRDefault="002272EC" w:rsidP="00566699">
            <w:pPr>
              <w:tabs>
                <w:tab w:val="left" w:pos="297"/>
              </w:tabs>
              <w:jc w:val="both"/>
            </w:pPr>
            <w:r w:rsidRPr="00161C60">
              <w:t xml:space="preserve">Eiropas Parlamenta un Padomes </w:t>
            </w:r>
            <w:r w:rsidR="00DB2456" w:rsidRPr="00161C60">
              <w:t>Direktīva 2011/62</w:t>
            </w:r>
          </w:p>
          <w:p w:rsidR="002272EC" w:rsidRPr="00161C60" w:rsidRDefault="00167EC6" w:rsidP="00566699">
            <w:pPr>
              <w:tabs>
                <w:tab w:val="left" w:pos="297"/>
              </w:tabs>
              <w:jc w:val="both"/>
            </w:pPr>
            <w:r w:rsidRPr="00161C60">
              <w:rPr>
                <w:shd w:val="clear" w:color="auto" w:fill="FFFFFF"/>
              </w:rPr>
              <w:t xml:space="preserve">Eiropas Parlamenta un Padomes </w:t>
            </w:r>
            <w:r w:rsidR="002272EC" w:rsidRPr="00161C60">
              <w:t>Direktīva 2001/83</w:t>
            </w:r>
          </w:p>
          <w:p w:rsidR="005E20E0" w:rsidRPr="00161C60" w:rsidRDefault="005E20E0" w:rsidP="00806CF1">
            <w:pPr>
              <w:tabs>
                <w:tab w:val="left" w:pos="297"/>
              </w:tabs>
              <w:jc w:val="both"/>
            </w:pPr>
            <w:r w:rsidRPr="00161C60">
              <w:t xml:space="preserve">Īstenošanas </w:t>
            </w:r>
            <w:r w:rsidRPr="00161C60">
              <w:rPr>
                <w:bCs/>
              </w:rPr>
              <w:t>Regula Nr.699/2014</w:t>
            </w:r>
            <w:r w:rsidR="005C6858" w:rsidRPr="00161C60">
              <w:rPr>
                <w:bCs/>
              </w:rPr>
              <w:t xml:space="preserve">, jāievieš līdz </w:t>
            </w:r>
            <w:r w:rsidR="005C6858" w:rsidRPr="00161C60">
              <w:rPr>
                <w:shd w:val="clear" w:color="auto" w:fill="FFFFFF"/>
              </w:rPr>
              <w:t>2015. gada 1. jūlija</w:t>
            </w:r>
            <w:r w:rsidR="002804DA" w:rsidRPr="00161C60">
              <w:rPr>
                <w:shd w:val="clear" w:color="auto" w:fill="FFFFFF"/>
              </w:rPr>
              <w:t>m</w:t>
            </w:r>
            <w:r w:rsidR="005C6858" w:rsidRPr="00161C60">
              <w:rPr>
                <w:shd w:val="clear" w:color="auto" w:fill="FFFFFF"/>
              </w:rPr>
              <w:t>.</w:t>
            </w:r>
          </w:p>
        </w:tc>
      </w:tr>
      <w:tr w:rsidR="00D72DF2" w:rsidRPr="00161C60" w:rsidTr="00161C60">
        <w:tc>
          <w:tcPr>
            <w:tcW w:w="301"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rPr>
                <w:iCs/>
              </w:rPr>
            </w:pPr>
            <w:r w:rsidRPr="00161C60">
              <w:rPr>
                <w:iCs/>
              </w:rPr>
              <w:t>2.</w:t>
            </w:r>
          </w:p>
        </w:tc>
        <w:tc>
          <w:tcPr>
            <w:tcW w:w="1445"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jc w:val="both"/>
              <w:rPr>
                <w:iCs/>
              </w:rPr>
            </w:pPr>
            <w:r w:rsidRPr="00161C60">
              <w:t>Citas starptautiskās saistības</w:t>
            </w:r>
          </w:p>
        </w:tc>
        <w:tc>
          <w:tcPr>
            <w:tcW w:w="3253"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jc w:val="both"/>
              <w:rPr>
                <w:iCs/>
              </w:rPr>
            </w:pPr>
            <w:r w:rsidRPr="00161C60">
              <w:t>Projekts šo jomu neskar.</w:t>
            </w:r>
          </w:p>
        </w:tc>
      </w:tr>
      <w:tr w:rsidR="00D72DF2" w:rsidRPr="00161C60" w:rsidTr="00161C60">
        <w:tc>
          <w:tcPr>
            <w:tcW w:w="301"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rPr>
                <w:iCs/>
              </w:rPr>
            </w:pPr>
            <w:r w:rsidRPr="00161C60">
              <w:rPr>
                <w:iCs/>
              </w:rPr>
              <w:t>3.</w:t>
            </w:r>
          </w:p>
        </w:tc>
        <w:tc>
          <w:tcPr>
            <w:tcW w:w="1445"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jc w:val="both"/>
            </w:pPr>
            <w:r w:rsidRPr="00161C60">
              <w:t>Cita informācija</w:t>
            </w:r>
          </w:p>
        </w:tc>
        <w:tc>
          <w:tcPr>
            <w:tcW w:w="3253" w:type="pct"/>
            <w:tcBorders>
              <w:top w:val="single" w:sz="4" w:space="0" w:color="auto"/>
              <w:left w:val="single" w:sz="4" w:space="0" w:color="auto"/>
              <w:bottom w:val="single" w:sz="4" w:space="0" w:color="auto"/>
              <w:right w:val="single" w:sz="4" w:space="0" w:color="auto"/>
            </w:tcBorders>
            <w:hideMark/>
          </w:tcPr>
          <w:p w:rsidR="00D72DF2" w:rsidRPr="00161C60" w:rsidRDefault="00D72DF2" w:rsidP="009424DD">
            <w:pPr>
              <w:tabs>
                <w:tab w:val="left" w:pos="2628"/>
              </w:tabs>
              <w:jc w:val="both"/>
              <w:rPr>
                <w:iCs/>
              </w:rPr>
            </w:pPr>
            <w:r w:rsidRPr="00161C60">
              <w:rPr>
                <w:iCs/>
              </w:rPr>
              <w:t>Nav</w:t>
            </w:r>
          </w:p>
        </w:tc>
      </w:tr>
    </w:tbl>
    <w:p w:rsidR="00666EF9" w:rsidRPr="00161C60" w:rsidRDefault="00666EF9" w:rsidP="00666EF9">
      <w:pPr>
        <w:jc w:val="center"/>
        <w:rPr>
          <w:b/>
          <w:u w:val="single"/>
        </w:rPr>
      </w:pP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722"/>
        <w:gridCol w:w="3118"/>
        <w:gridCol w:w="1131"/>
        <w:gridCol w:w="1984"/>
      </w:tblGrid>
      <w:tr w:rsidR="00D72DF2" w:rsidRPr="00161C60" w:rsidTr="009424DD">
        <w:trPr>
          <w:trHeight w:val="52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D72DF2" w:rsidRPr="00161C60" w:rsidRDefault="00D72DF2" w:rsidP="009424DD">
            <w:pPr>
              <w:jc w:val="center"/>
              <w:rPr>
                <w:bCs/>
              </w:rPr>
            </w:pPr>
            <w:r w:rsidRPr="00161C60">
              <w:rPr>
                <w:bCs/>
              </w:rPr>
              <w:t xml:space="preserve">1.tabula </w:t>
            </w:r>
          </w:p>
          <w:p w:rsidR="00D72DF2" w:rsidRPr="00161C60" w:rsidRDefault="00D72DF2" w:rsidP="009424DD">
            <w:pPr>
              <w:jc w:val="center"/>
              <w:rPr>
                <w:bCs/>
                <w:i/>
              </w:rPr>
            </w:pPr>
            <w:r w:rsidRPr="00161C60">
              <w:rPr>
                <w:bCs/>
              </w:rPr>
              <w:t>Tiesību akta projekta atbilstība ES tiesību aktiem</w:t>
            </w:r>
          </w:p>
        </w:tc>
      </w:tr>
      <w:tr w:rsidR="00D72DF2" w:rsidRPr="00161C60" w:rsidTr="009424DD">
        <w:trPr>
          <w:trHeight w:val="163"/>
        </w:trPr>
        <w:tc>
          <w:tcPr>
            <w:tcW w:w="8955" w:type="dxa"/>
            <w:gridSpan w:val="4"/>
            <w:tcBorders>
              <w:top w:val="single" w:sz="4" w:space="0" w:color="auto"/>
              <w:left w:val="single" w:sz="4" w:space="0" w:color="auto"/>
              <w:bottom w:val="single" w:sz="4" w:space="0" w:color="auto"/>
              <w:right w:val="single" w:sz="4" w:space="0" w:color="auto"/>
            </w:tcBorders>
            <w:vAlign w:val="center"/>
            <w:hideMark/>
          </w:tcPr>
          <w:p w:rsidR="00D72DF2" w:rsidRPr="00161C60" w:rsidRDefault="001272FA" w:rsidP="00566699">
            <w:r w:rsidRPr="00161C60">
              <w:t>Eiropas Parlamenta un Padomes Direktīva</w:t>
            </w:r>
            <w:r w:rsidR="00FF2633" w:rsidRPr="00161C60">
              <w:t xml:space="preserve"> 2011/62</w:t>
            </w:r>
          </w:p>
          <w:p w:rsidR="002272EC" w:rsidRPr="00161C60" w:rsidRDefault="00167EC6" w:rsidP="002272EC">
            <w:pPr>
              <w:tabs>
                <w:tab w:val="left" w:pos="297"/>
              </w:tabs>
              <w:jc w:val="both"/>
            </w:pPr>
            <w:r w:rsidRPr="00161C60">
              <w:rPr>
                <w:shd w:val="clear" w:color="auto" w:fill="FFFFFF"/>
              </w:rPr>
              <w:t xml:space="preserve">Eiropas Parlamenta un Padomes </w:t>
            </w:r>
            <w:r w:rsidR="002272EC" w:rsidRPr="00161C60">
              <w:t>Direktīva 2001/83</w:t>
            </w:r>
          </w:p>
          <w:p w:rsidR="005E20E0" w:rsidRPr="00161C60" w:rsidRDefault="005E20E0" w:rsidP="002272EC">
            <w:pPr>
              <w:tabs>
                <w:tab w:val="left" w:pos="297"/>
              </w:tabs>
              <w:jc w:val="both"/>
            </w:pPr>
            <w:r w:rsidRPr="00161C60">
              <w:t xml:space="preserve">Īstenošanas </w:t>
            </w:r>
            <w:r w:rsidRPr="00161C60">
              <w:rPr>
                <w:bCs/>
              </w:rPr>
              <w:t>Regula Nr.699/2014</w:t>
            </w:r>
          </w:p>
        </w:tc>
      </w:tr>
      <w:tr w:rsidR="00D72DF2"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D72DF2" w:rsidRPr="00161C60" w:rsidRDefault="00D72DF2" w:rsidP="009424DD">
            <w:pPr>
              <w:jc w:val="center"/>
            </w:pPr>
            <w:r w:rsidRPr="00161C60">
              <w: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D72DF2" w:rsidRPr="00161C60" w:rsidRDefault="00D72DF2" w:rsidP="009424DD">
            <w:pPr>
              <w:jc w:val="center"/>
            </w:pPr>
            <w:r w:rsidRPr="00161C60">
              <w:t>B</w:t>
            </w:r>
          </w:p>
        </w:tc>
        <w:tc>
          <w:tcPr>
            <w:tcW w:w="1131" w:type="dxa"/>
            <w:tcBorders>
              <w:top w:val="single" w:sz="4" w:space="0" w:color="auto"/>
              <w:left w:val="single" w:sz="4" w:space="0" w:color="auto"/>
              <w:bottom w:val="single" w:sz="4" w:space="0" w:color="auto"/>
              <w:right w:val="single" w:sz="4" w:space="0" w:color="auto"/>
            </w:tcBorders>
            <w:vAlign w:val="center"/>
            <w:hideMark/>
          </w:tcPr>
          <w:p w:rsidR="00D72DF2" w:rsidRPr="00161C60" w:rsidRDefault="00D72DF2" w:rsidP="009424DD">
            <w:pPr>
              <w:jc w:val="center"/>
            </w:pPr>
            <w:r w:rsidRPr="00161C60">
              <w: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2DF2" w:rsidRPr="00161C60" w:rsidRDefault="00D72DF2" w:rsidP="009424DD">
            <w:pPr>
              <w:jc w:val="center"/>
            </w:pPr>
            <w:r w:rsidRPr="00161C60">
              <w:t>D</w:t>
            </w:r>
          </w:p>
        </w:tc>
      </w:tr>
      <w:tr w:rsidR="009A0AE9" w:rsidRPr="00161C60" w:rsidTr="00161C60">
        <w:trPr>
          <w:trHeight w:val="355"/>
        </w:trPr>
        <w:tc>
          <w:tcPr>
            <w:tcW w:w="2722" w:type="dxa"/>
            <w:tcBorders>
              <w:top w:val="single" w:sz="4" w:space="0" w:color="auto"/>
              <w:left w:val="single" w:sz="4" w:space="0" w:color="auto"/>
              <w:bottom w:val="single" w:sz="4" w:space="0" w:color="auto"/>
              <w:right w:val="single" w:sz="4" w:space="0" w:color="auto"/>
            </w:tcBorders>
            <w:vAlign w:val="center"/>
            <w:hideMark/>
          </w:tcPr>
          <w:p w:rsidR="009A0AE9" w:rsidRPr="00161C60" w:rsidRDefault="009A0AE9" w:rsidP="004917AE">
            <w:r w:rsidRPr="00161C60">
              <w:t xml:space="preserve">Eiropas Parlamenta un Padomes Direktīva 2011/62 1.panta 20.punkts (attiecībā uz Direktīvas 2001/83 85c panta 1.punkta d) </w:t>
            </w:r>
            <w:proofErr w:type="spellStart"/>
            <w:r w:rsidRPr="00161C60">
              <w:t>ii</w:t>
            </w:r>
            <w:proofErr w:type="spellEnd"/>
            <w:r w:rsidRPr="00161C60">
              <w:t>) apakšpunktu</w:t>
            </w:r>
            <w:r w:rsidR="004917AE" w:rsidRPr="00161C60">
              <w:rPr>
                <w:strike/>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9A0AE9" w:rsidRPr="00161C60" w:rsidRDefault="00C47706" w:rsidP="00D214BB">
            <w:r w:rsidRPr="00161C60">
              <w:t>1.4</w:t>
            </w:r>
            <w:r w:rsidR="006844D1" w:rsidRPr="00161C60">
              <w:t>1</w:t>
            </w:r>
            <w:r w:rsidR="009A0AE9" w:rsidRPr="00161C60">
              <w:t>.</w:t>
            </w:r>
            <w:r w:rsidRPr="00161C60">
              <w:t>apakš</w:t>
            </w:r>
            <w:r w:rsidR="009A0AE9" w:rsidRPr="00161C60">
              <w:t>punkts (attiecībā uz MK noteikumu Nr.416 103.7.apakšpunktu)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9A0AE9" w:rsidRPr="00161C60" w:rsidRDefault="009A0AE9"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9A0AE9" w:rsidRPr="00161C60" w:rsidRDefault="009A0AE9" w:rsidP="00D214BB">
            <w:pPr>
              <w:jc w:val="center"/>
            </w:pPr>
            <w:r w:rsidRPr="00161C60">
              <w:t xml:space="preserve">Stingrākas prasības nav paredzētas </w:t>
            </w:r>
          </w:p>
        </w:tc>
      </w:tr>
      <w:tr w:rsidR="00D96544" w:rsidRPr="00161C60" w:rsidTr="00161C60">
        <w:trPr>
          <w:trHeight w:val="355"/>
        </w:trPr>
        <w:tc>
          <w:tcPr>
            <w:tcW w:w="2722" w:type="dxa"/>
            <w:tcBorders>
              <w:top w:val="single" w:sz="4" w:space="0" w:color="auto"/>
              <w:left w:val="single" w:sz="4" w:space="0" w:color="auto"/>
              <w:bottom w:val="single" w:sz="4" w:space="0" w:color="auto"/>
              <w:right w:val="single" w:sz="4" w:space="0" w:color="auto"/>
            </w:tcBorders>
            <w:vAlign w:val="center"/>
            <w:hideMark/>
          </w:tcPr>
          <w:p w:rsidR="00D96544" w:rsidRPr="00161C60" w:rsidRDefault="001272FA" w:rsidP="004917AE">
            <w:r w:rsidRPr="00161C60">
              <w:t xml:space="preserve">Eiropas Parlamenta un Padomes Direktīva </w:t>
            </w:r>
            <w:r w:rsidR="00D96544" w:rsidRPr="00161C60">
              <w:lastRenderedPageBreak/>
              <w:t xml:space="preserve">2011/62 1.panta 20.punkts (attiecībā uz Direktīvas 2001/83 85c panta 1.punkta d) </w:t>
            </w:r>
            <w:proofErr w:type="spellStart"/>
            <w:r w:rsidR="00D96544" w:rsidRPr="00161C60">
              <w:t>iii</w:t>
            </w:r>
            <w:proofErr w:type="spellEnd"/>
            <w:r w:rsidR="00D96544" w:rsidRPr="00161C60">
              <w:t>) apakšpunktu</w:t>
            </w:r>
            <w:r w:rsidR="004917AE" w:rsidRPr="00161C60">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D96544" w:rsidRPr="00161C60" w:rsidRDefault="00C47706" w:rsidP="00C47706">
            <w:r w:rsidRPr="00161C60">
              <w:lastRenderedPageBreak/>
              <w:t>1.4</w:t>
            </w:r>
            <w:r w:rsidR="006844D1" w:rsidRPr="00161C60">
              <w:t>1</w:t>
            </w:r>
            <w:r w:rsidR="00D96544" w:rsidRPr="00161C60">
              <w:t>.</w:t>
            </w:r>
            <w:r w:rsidRPr="00161C60">
              <w:t>apakš</w:t>
            </w:r>
            <w:r w:rsidR="00D96544" w:rsidRPr="00161C60">
              <w:t>punkts</w:t>
            </w:r>
            <w:r w:rsidR="00AE555B" w:rsidRPr="00161C60">
              <w:t xml:space="preserve"> (attiecībā uz MK noteikumu Nr.416 103.6.</w:t>
            </w:r>
            <w:r w:rsidR="009A0AE9" w:rsidRPr="00161C60">
              <w:t xml:space="preserve"> </w:t>
            </w:r>
            <w:r w:rsidR="009A0AE9" w:rsidRPr="00161C60">
              <w:lastRenderedPageBreak/>
              <w:t>un 103.7.</w:t>
            </w:r>
            <w:r w:rsidR="00AE555B" w:rsidRPr="00161C60">
              <w:t>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D96544" w:rsidRPr="00161C60" w:rsidRDefault="00D96544" w:rsidP="00240BCF">
            <w:pPr>
              <w:jc w:val="center"/>
            </w:pPr>
            <w:r w:rsidRPr="00161C60">
              <w:lastRenderedPageBreak/>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6544" w:rsidRPr="00161C60" w:rsidRDefault="00D96544" w:rsidP="00240BCF">
            <w:pPr>
              <w:jc w:val="center"/>
            </w:pPr>
            <w:r w:rsidRPr="00161C60">
              <w:t xml:space="preserve">Stingrākas prasības nav paredzētas </w:t>
            </w:r>
          </w:p>
        </w:tc>
      </w:tr>
      <w:tr w:rsidR="004B151D"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4B151D" w:rsidRPr="00161C60" w:rsidRDefault="004B151D" w:rsidP="004B151D">
            <w:r w:rsidRPr="00161C60">
              <w:lastRenderedPageBreak/>
              <w:t>Eiropas Parlamenta un Padomes Direktīva 2011/62 1.panta 20.punkts (attiecībā uz Direktīvas 2001/83 85c panta 3.punktu)</w:t>
            </w:r>
          </w:p>
        </w:tc>
        <w:tc>
          <w:tcPr>
            <w:tcW w:w="3118" w:type="dxa"/>
            <w:tcBorders>
              <w:top w:val="single" w:sz="4" w:space="0" w:color="auto"/>
              <w:left w:val="single" w:sz="4" w:space="0" w:color="auto"/>
              <w:bottom w:val="single" w:sz="4" w:space="0" w:color="auto"/>
              <w:right w:val="single" w:sz="4" w:space="0" w:color="auto"/>
            </w:tcBorders>
            <w:vAlign w:val="center"/>
            <w:hideMark/>
          </w:tcPr>
          <w:p w:rsidR="004B151D" w:rsidRPr="00161C60" w:rsidRDefault="00193A7B" w:rsidP="009424DD">
            <w:r w:rsidRPr="00161C60">
              <w:t>1.4</w:t>
            </w:r>
            <w:r w:rsidR="006844D1" w:rsidRPr="00161C60">
              <w:t>1</w:t>
            </w:r>
            <w:r w:rsidR="00BD6076" w:rsidRPr="00161C60">
              <w:t xml:space="preserve">.apakšpunkts (attiecībā uz MK noteikumu Nr.416 103.6.apakšpunktu) un </w:t>
            </w:r>
            <w:r w:rsidRPr="00161C60">
              <w:t>1.</w:t>
            </w:r>
            <w:r w:rsidR="006844D1" w:rsidRPr="00161C60">
              <w:t>60</w:t>
            </w:r>
            <w:r w:rsidR="00BD6076" w:rsidRPr="00161C60">
              <w:t>.</w:t>
            </w:r>
            <w:r w:rsidR="004B151D" w:rsidRPr="00161C60">
              <w:t>apakšpunkts (attiecībā uz MK noteikumu Nr.416 146.15.apakšpunktu)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4B151D" w:rsidRPr="00161C60" w:rsidRDefault="004B151D"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4B151D" w:rsidRPr="00161C60" w:rsidRDefault="004B151D" w:rsidP="00D214BB">
            <w:pPr>
              <w:jc w:val="center"/>
            </w:pPr>
            <w:r w:rsidRPr="00161C60">
              <w:t xml:space="preserve">Stingrākas prasības nav paredzētas </w:t>
            </w:r>
          </w:p>
        </w:tc>
      </w:tr>
      <w:tr w:rsidR="00FF2633"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FF2633" w:rsidRPr="00161C60" w:rsidRDefault="001272FA" w:rsidP="00FF2633">
            <w:r w:rsidRPr="00161C60">
              <w:t xml:space="preserve">Eiropas Parlamenta un Padomes Direktīva </w:t>
            </w:r>
            <w:r w:rsidR="00FF2633" w:rsidRPr="00161C60">
              <w:t>2011/62 1.panta 20.punkts (attiecībā uz Direktīvas 2001/83 85c panta 4.punkts b) apakšpunktu)</w:t>
            </w:r>
          </w:p>
        </w:tc>
        <w:tc>
          <w:tcPr>
            <w:tcW w:w="3118" w:type="dxa"/>
            <w:tcBorders>
              <w:top w:val="single" w:sz="4" w:space="0" w:color="auto"/>
              <w:left w:val="single" w:sz="4" w:space="0" w:color="auto"/>
              <w:bottom w:val="single" w:sz="4" w:space="0" w:color="auto"/>
              <w:right w:val="single" w:sz="4" w:space="0" w:color="auto"/>
            </w:tcBorders>
            <w:vAlign w:val="center"/>
            <w:hideMark/>
          </w:tcPr>
          <w:p w:rsidR="00FF2633" w:rsidRPr="00161C60" w:rsidRDefault="007F4B60" w:rsidP="005E5001">
            <w:r w:rsidRPr="00161C60">
              <w:t>1.</w:t>
            </w:r>
            <w:r w:rsidR="00192823" w:rsidRPr="00161C60">
              <w:t>42</w:t>
            </w:r>
            <w:r w:rsidR="005E5001" w:rsidRPr="00161C60">
              <w:t>.apakš</w:t>
            </w:r>
            <w:r w:rsidR="00FF2633" w:rsidRPr="00161C60">
              <w:t>punkts</w:t>
            </w:r>
          </w:p>
        </w:tc>
        <w:tc>
          <w:tcPr>
            <w:tcW w:w="1131" w:type="dxa"/>
            <w:tcBorders>
              <w:top w:val="single" w:sz="4" w:space="0" w:color="auto"/>
              <w:left w:val="single" w:sz="4" w:space="0" w:color="auto"/>
              <w:bottom w:val="single" w:sz="4" w:space="0" w:color="auto"/>
              <w:right w:val="single" w:sz="4" w:space="0" w:color="auto"/>
            </w:tcBorders>
            <w:vAlign w:val="center"/>
            <w:hideMark/>
          </w:tcPr>
          <w:p w:rsidR="00FF2633" w:rsidRPr="00161C60" w:rsidRDefault="00FF2633" w:rsidP="00996DA5">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FF2633" w:rsidRPr="00161C60" w:rsidRDefault="00FF2633" w:rsidP="00996DA5">
            <w:pPr>
              <w:jc w:val="center"/>
            </w:pPr>
            <w:r w:rsidRPr="00161C60">
              <w:t xml:space="preserve">Stingrākas prasības nav paredzētas </w:t>
            </w:r>
          </w:p>
        </w:tc>
      </w:tr>
      <w:tr w:rsidR="00CC49E0"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D214BB">
            <w:r w:rsidRPr="00161C60">
              <w:t xml:space="preserve">Eiropas Parlamenta un Padomes Direktīva 2011/62 1.panta 25.punkts </w:t>
            </w:r>
            <w:r w:rsidRPr="00161C60">
              <w:rPr>
                <w:i/>
              </w:rPr>
              <w:t>(attiecībā uz Direktīvas 2001/83 118 b pantu)</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CC49E0">
            <w:r w:rsidRPr="00161C60">
              <w:t>1</w:t>
            </w:r>
            <w:r w:rsidR="00A43963" w:rsidRPr="00161C60">
              <w:t>.</w:t>
            </w:r>
            <w:r w:rsidR="006844D1" w:rsidRPr="00161C60">
              <w:t>63</w:t>
            </w:r>
            <w:r w:rsidRPr="00161C60">
              <w:t>.apakšpunkts (attiecībā uz MK noteikumu Nr.416 156.</w:t>
            </w:r>
            <w:r w:rsidRPr="00161C60">
              <w:rPr>
                <w:vertAlign w:val="superscript"/>
              </w:rPr>
              <w:t xml:space="preserve">1, </w:t>
            </w:r>
            <w:r w:rsidRPr="00161C60">
              <w:t>156.</w:t>
            </w:r>
            <w:r w:rsidRPr="00161C60">
              <w:rPr>
                <w:vertAlign w:val="superscript"/>
              </w:rPr>
              <w:t xml:space="preserve">2 </w:t>
            </w:r>
            <w:r w:rsidRPr="00161C60">
              <w:t>un 156.</w:t>
            </w:r>
            <w:r w:rsidRPr="00161C60">
              <w:rPr>
                <w:vertAlign w:val="superscript"/>
              </w:rPr>
              <w:t>4</w:t>
            </w:r>
            <w:r w:rsidRPr="00161C60">
              <w:t>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D214BB">
            <w:pPr>
              <w:jc w:val="center"/>
            </w:pP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D214BB">
            <w:pPr>
              <w:jc w:val="center"/>
            </w:pPr>
          </w:p>
        </w:tc>
      </w:tr>
      <w:tr w:rsidR="00CC49E0"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FC347C">
            <w:r w:rsidRPr="00161C60">
              <w:t xml:space="preserve">Eiropas Parlamenta un Padomes Direktīva 2011/62 1.panta 25.punkts </w:t>
            </w:r>
            <w:r w:rsidRPr="00161C60">
              <w:rPr>
                <w:i/>
              </w:rPr>
              <w:t>(attiecībā uz Direktīvas 2001/83 118 b pantu)</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FC347C">
            <w:r w:rsidRPr="00161C60">
              <w:t>1</w:t>
            </w:r>
            <w:r w:rsidR="000D4846" w:rsidRPr="00161C60">
              <w:t>.</w:t>
            </w:r>
            <w:r w:rsidR="006844D1" w:rsidRPr="00161C60">
              <w:t>63</w:t>
            </w:r>
            <w:r w:rsidRPr="00161C60">
              <w:t>.apakšpunkts (attiecībā uz MK noteikumu Nr.416 156.</w:t>
            </w:r>
            <w:r w:rsidRPr="00161C60">
              <w:rPr>
                <w:vertAlign w:val="superscript"/>
              </w:rPr>
              <w:t>5</w:t>
            </w:r>
            <w:r w:rsidRPr="00161C60">
              <w:t>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D214BB">
            <w:pPr>
              <w:jc w:val="center"/>
            </w:pPr>
            <w:r w:rsidRPr="00161C60">
              <w:t xml:space="preserve">Stingrākas prasības nav paredzētas </w:t>
            </w:r>
          </w:p>
        </w:tc>
      </w:tr>
      <w:tr w:rsidR="00CC49E0"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A94B06">
            <w:pPr>
              <w:keepLines/>
              <w:autoSpaceDE w:val="0"/>
              <w:autoSpaceDN w:val="0"/>
              <w:adjustRightInd w:val="0"/>
              <w:jc w:val="both"/>
              <w:rPr>
                <w:shd w:val="clear" w:color="auto" w:fill="FFFFFF"/>
              </w:rPr>
            </w:pPr>
            <w:r w:rsidRPr="00161C60">
              <w:t xml:space="preserve">Eiropas Parlamenta un Padomes Direktīva 2011/62 1.pants 25.panta  </w:t>
            </w:r>
            <w:r w:rsidR="004917AE" w:rsidRPr="00161C60">
              <w:t xml:space="preserve">(attiecībā uz 118 b pantu) </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6F7CAE" w:rsidP="009424DD">
            <w:r w:rsidRPr="00161C60">
              <w:t>1.</w:t>
            </w:r>
            <w:r w:rsidR="006844D1" w:rsidRPr="00161C60">
              <w:t>63</w:t>
            </w:r>
            <w:r w:rsidR="004917AE" w:rsidRPr="00161C60">
              <w:t>.apakšpunkts (attiecībā uz MK noteikumu Nr. 416 156.</w:t>
            </w:r>
            <w:r w:rsidR="004917AE" w:rsidRPr="00161C60">
              <w:rPr>
                <w:vertAlign w:val="superscript"/>
              </w:rPr>
              <w:t>5</w:t>
            </w:r>
            <w:r w:rsidR="004917AE" w:rsidRPr="00161C60">
              <w:t>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8508F1">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8508F1">
            <w:pPr>
              <w:jc w:val="center"/>
            </w:pPr>
            <w:r w:rsidRPr="00161C60">
              <w:t xml:space="preserve">Stingrākas prasības nav paredzētas </w:t>
            </w:r>
          </w:p>
        </w:tc>
      </w:tr>
      <w:tr w:rsidR="00CC49E0"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A94B06">
            <w:pPr>
              <w:keepLines/>
              <w:autoSpaceDE w:val="0"/>
              <w:autoSpaceDN w:val="0"/>
              <w:adjustRightInd w:val="0"/>
              <w:jc w:val="both"/>
            </w:pPr>
            <w:r w:rsidRPr="00161C60">
              <w:rPr>
                <w:shd w:val="clear" w:color="auto" w:fill="FFFFFF"/>
              </w:rPr>
              <w:t xml:space="preserve">Eiropas Parlamenta un Padomes </w:t>
            </w:r>
            <w:r w:rsidRPr="00161C60">
              <w:t xml:space="preserve">Direktīva 2001/83 </w:t>
            </w:r>
            <w:r w:rsidRPr="00161C60">
              <w:rPr>
                <w:shd w:val="clear" w:color="auto" w:fill="FFFFFF"/>
              </w:rPr>
              <w:t>80.panta e) apakšpunkts</w:t>
            </w:r>
          </w:p>
          <w:p w:rsidR="00CC49E0" w:rsidRPr="00161C60" w:rsidRDefault="00CC49E0" w:rsidP="009424DD"/>
        </w:tc>
        <w:tc>
          <w:tcPr>
            <w:tcW w:w="3118"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F456F8" w:rsidP="009424DD">
            <w:r w:rsidRPr="00161C60">
              <w:t>1.7</w:t>
            </w:r>
            <w:r w:rsidR="00CC49E0" w:rsidRPr="00161C60">
              <w:t>.apakšpunkts</w:t>
            </w:r>
          </w:p>
        </w:tc>
        <w:tc>
          <w:tcPr>
            <w:tcW w:w="1131"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6C339C">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6C339C">
            <w:pPr>
              <w:jc w:val="center"/>
            </w:pPr>
            <w:r w:rsidRPr="00161C60">
              <w:t xml:space="preserve">Stingrākas prasības nav paredzētas </w:t>
            </w:r>
          </w:p>
        </w:tc>
      </w:tr>
      <w:tr w:rsidR="00CC49E0"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886B63">
            <w:pPr>
              <w:keepLines/>
              <w:autoSpaceDE w:val="0"/>
              <w:autoSpaceDN w:val="0"/>
              <w:adjustRightInd w:val="0"/>
              <w:jc w:val="both"/>
            </w:pPr>
            <w:r w:rsidRPr="00161C60">
              <w:rPr>
                <w:shd w:val="clear" w:color="auto" w:fill="FFFFFF"/>
              </w:rPr>
              <w:t xml:space="preserve">Eiropas Parlamenta un Padomes </w:t>
            </w:r>
            <w:r w:rsidRPr="00161C60">
              <w:t xml:space="preserve">Direktīva 2001/83 </w:t>
            </w:r>
            <w:r w:rsidRPr="00161C60">
              <w:rPr>
                <w:shd w:val="clear" w:color="auto" w:fill="FFFFFF"/>
              </w:rPr>
              <w:t>114.pants</w:t>
            </w:r>
          </w:p>
          <w:p w:rsidR="00CC49E0" w:rsidRPr="00161C60" w:rsidRDefault="00CC49E0" w:rsidP="009424DD"/>
        </w:tc>
        <w:tc>
          <w:tcPr>
            <w:tcW w:w="3118"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FD57B1" w:rsidP="004C6EAB">
            <w:r w:rsidRPr="00161C60">
              <w:t>1.</w:t>
            </w:r>
            <w:r w:rsidR="006844D1" w:rsidRPr="00161C60">
              <w:t>47</w:t>
            </w:r>
            <w:r w:rsidR="00CC49E0" w:rsidRPr="00161C60">
              <w:t>.apakšpunkts</w:t>
            </w:r>
          </w:p>
        </w:tc>
        <w:tc>
          <w:tcPr>
            <w:tcW w:w="1131"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9424DD">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9424DD">
            <w:pPr>
              <w:jc w:val="center"/>
            </w:pPr>
            <w:r w:rsidRPr="00161C60">
              <w:t xml:space="preserve">Stingrākas prasības nav paredzētas </w:t>
            </w:r>
          </w:p>
        </w:tc>
      </w:tr>
      <w:tr w:rsidR="00613B45"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886B63">
            <w:pPr>
              <w:keepLines/>
              <w:autoSpaceDE w:val="0"/>
              <w:autoSpaceDN w:val="0"/>
              <w:adjustRightInd w:val="0"/>
              <w:jc w:val="both"/>
              <w:rPr>
                <w:shd w:val="clear" w:color="auto" w:fill="FFFFFF"/>
              </w:rPr>
            </w:pPr>
            <w:r w:rsidRPr="00161C60">
              <w:t xml:space="preserve">Īstenošanas </w:t>
            </w:r>
            <w:r w:rsidRPr="00161C60">
              <w:rPr>
                <w:bCs/>
              </w:rPr>
              <w:t>Regula Nr.699/2014 1.pants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125006" w:rsidP="004C6EAB">
            <w:r w:rsidRPr="00161C60">
              <w:t>1.</w:t>
            </w:r>
            <w:r w:rsidR="006844D1" w:rsidRPr="00161C60">
              <w:t>41</w:t>
            </w:r>
            <w:r w:rsidR="00C132F8" w:rsidRPr="00161C60">
              <w:t>.apakšpunkts (attiecībā uz MK noteikumu Nr.416 103.6.apakšpunktu)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 xml:space="preserve">Stingrākas prasības nav paredzētas </w:t>
            </w:r>
          </w:p>
        </w:tc>
      </w:tr>
      <w:tr w:rsidR="00613B45"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886B63">
            <w:pPr>
              <w:keepLines/>
              <w:autoSpaceDE w:val="0"/>
              <w:autoSpaceDN w:val="0"/>
              <w:adjustRightInd w:val="0"/>
              <w:jc w:val="both"/>
            </w:pPr>
            <w:r w:rsidRPr="00161C60">
              <w:t xml:space="preserve">Īstenošanas </w:t>
            </w:r>
            <w:r w:rsidRPr="00161C60">
              <w:rPr>
                <w:bCs/>
              </w:rPr>
              <w:t>Regula Nr.699/2014 2.pants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125006" w:rsidP="004C6EAB">
            <w:r w:rsidRPr="00161C60">
              <w:t>1.</w:t>
            </w:r>
            <w:r w:rsidR="006844D1" w:rsidRPr="00161C60">
              <w:t>60</w:t>
            </w:r>
            <w:r w:rsidR="00F456F8" w:rsidRPr="00161C60">
              <w:t>.</w:t>
            </w:r>
            <w:r w:rsidR="00C4405A" w:rsidRPr="00161C60">
              <w:t xml:space="preserve">apakšpunkts (attiecībā uz MK noteikumu Nr.416 </w:t>
            </w:r>
            <w:r w:rsidR="00C4405A" w:rsidRPr="00161C60">
              <w:lastRenderedPageBreak/>
              <w:t>146.15.apakšpunktu)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lastRenderedPageBreak/>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 xml:space="preserve">Stingrākas prasības nav paredzētas </w:t>
            </w:r>
          </w:p>
        </w:tc>
      </w:tr>
      <w:tr w:rsidR="00613B45"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886B63">
            <w:pPr>
              <w:keepLines/>
              <w:autoSpaceDE w:val="0"/>
              <w:autoSpaceDN w:val="0"/>
              <w:adjustRightInd w:val="0"/>
              <w:jc w:val="both"/>
            </w:pPr>
            <w:r w:rsidRPr="00161C60">
              <w:lastRenderedPageBreak/>
              <w:t xml:space="preserve">Īstenošanas </w:t>
            </w:r>
            <w:r w:rsidRPr="00161C60">
              <w:rPr>
                <w:bCs/>
              </w:rPr>
              <w:t>Regula Nr.699/2014 3.pants</w:t>
            </w:r>
          </w:p>
        </w:tc>
        <w:tc>
          <w:tcPr>
            <w:tcW w:w="3118" w:type="dxa"/>
            <w:tcBorders>
              <w:top w:val="single" w:sz="4" w:space="0" w:color="auto"/>
              <w:left w:val="single" w:sz="4" w:space="0" w:color="auto"/>
              <w:bottom w:val="single" w:sz="4" w:space="0" w:color="auto"/>
              <w:right w:val="single" w:sz="4" w:space="0" w:color="auto"/>
            </w:tcBorders>
            <w:vAlign w:val="center"/>
            <w:hideMark/>
          </w:tcPr>
          <w:p w:rsidR="008E1448" w:rsidRPr="00161C60" w:rsidRDefault="00125006" w:rsidP="004C6EAB">
            <w:r w:rsidRPr="00161C60">
              <w:t>1.</w:t>
            </w:r>
            <w:r w:rsidR="006844D1" w:rsidRPr="00161C60">
              <w:t>41</w:t>
            </w:r>
            <w:r w:rsidR="008E1448" w:rsidRPr="00161C60">
              <w:t xml:space="preserve">.apakšpunkts (attiecībā uz MK noteikumu Nr.416 103.7.apakšpunktu) un </w:t>
            </w:r>
          </w:p>
          <w:p w:rsidR="00613B45" w:rsidRPr="00161C60" w:rsidRDefault="00125006" w:rsidP="004C6EAB">
            <w:r w:rsidRPr="00161C60">
              <w:t>1.</w:t>
            </w:r>
            <w:r w:rsidR="006844D1" w:rsidRPr="00161C60">
              <w:t>60</w:t>
            </w:r>
            <w:r w:rsidR="00F456F8" w:rsidRPr="00161C60">
              <w:t>.</w:t>
            </w:r>
            <w:r w:rsidR="008E1448" w:rsidRPr="00161C60">
              <w:t>apakšpunkts (attiecībā uz MK noteikumu Nr.416 146.15.apakšpunktu)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 xml:space="preserve">Stingrākas prasības nav paredzētas </w:t>
            </w:r>
          </w:p>
        </w:tc>
      </w:tr>
      <w:tr w:rsidR="00613B45" w:rsidRPr="00161C60" w:rsidTr="00161C60">
        <w:trPr>
          <w:trHeight w:val="165"/>
        </w:trPr>
        <w:tc>
          <w:tcPr>
            <w:tcW w:w="2722"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886B63">
            <w:pPr>
              <w:keepLines/>
              <w:autoSpaceDE w:val="0"/>
              <w:autoSpaceDN w:val="0"/>
              <w:adjustRightInd w:val="0"/>
              <w:jc w:val="both"/>
            </w:pPr>
            <w:r w:rsidRPr="00161C60">
              <w:t xml:space="preserve">Īstenošanas </w:t>
            </w:r>
            <w:r w:rsidRPr="00161C60">
              <w:rPr>
                <w:bCs/>
              </w:rPr>
              <w:t>Regula Nr.699/2014 4.pants</w:t>
            </w:r>
          </w:p>
        </w:tc>
        <w:tc>
          <w:tcPr>
            <w:tcW w:w="3118"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125006" w:rsidP="004C6EAB">
            <w:r w:rsidRPr="00161C60">
              <w:t>1.</w:t>
            </w:r>
            <w:r w:rsidR="006844D1" w:rsidRPr="00161C60">
              <w:t>60</w:t>
            </w:r>
            <w:r w:rsidR="00BD6076" w:rsidRPr="00161C60">
              <w:t>.</w:t>
            </w:r>
            <w:r w:rsidR="008E1448" w:rsidRPr="00161C60">
              <w:t>apakšpunkts (attiecībā uz MK noteikumu Nr.416 146.15.apakšpunktu)</w:t>
            </w:r>
          </w:p>
        </w:tc>
        <w:tc>
          <w:tcPr>
            <w:tcW w:w="1131"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Ieviests pilnībā</w:t>
            </w:r>
          </w:p>
        </w:tc>
        <w:tc>
          <w:tcPr>
            <w:tcW w:w="1984" w:type="dxa"/>
            <w:tcBorders>
              <w:top w:val="single" w:sz="4" w:space="0" w:color="auto"/>
              <w:left w:val="single" w:sz="4" w:space="0" w:color="auto"/>
              <w:bottom w:val="single" w:sz="4" w:space="0" w:color="auto"/>
              <w:right w:val="single" w:sz="4" w:space="0" w:color="auto"/>
            </w:tcBorders>
            <w:vAlign w:val="center"/>
            <w:hideMark/>
          </w:tcPr>
          <w:p w:rsidR="00613B45" w:rsidRPr="00161C60" w:rsidRDefault="00613B45" w:rsidP="00D214BB">
            <w:pPr>
              <w:jc w:val="center"/>
            </w:pPr>
            <w:r w:rsidRPr="00161C60">
              <w:t xml:space="preserve">Stingrākas prasības nav paredzētas </w:t>
            </w:r>
          </w:p>
        </w:tc>
      </w:tr>
      <w:tr w:rsidR="00CC49E0" w:rsidRPr="00161C60" w:rsidTr="00161C60">
        <w:trPr>
          <w:trHeight w:val="281"/>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9424DD">
            <w:r w:rsidRPr="00161C60">
              <w:t>Kā ir izmantota ES tiesību aktā paredzētā rīcības brīvība dalībvalstij pārņemt vai ieviest noteiktas ES tiesību akta normas.</w:t>
            </w:r>
          </w:p>
        </w:tc>
        <w:tc>
          <w:tcPr>
            <w:tcW w:w="6233" w:type="dxa"/>
            <w:gridSpan w:val="3"/>
            <w:tcBorders>
              <w:top w:val="single" w:sz="4" w:space="0" w:color="auto"/>
              <w:left w:val="single" w:sz="4" w:space="0" w:color="auto"/>
              <w:bottom w:val="single" w:sz="4" w:space="0" w:color="auto"/>
              <w:right w:val="single" w:sz="4" w:space="0" w:color="auto"/>
            </w:tcBorders>
            <w:hideMark/>
          </w:tcPr>
          <w:p w:rsidR="00CC49E0" w:rsidRPr="00161C60" w:rsidRDefault="00CC49E0" w:rsidP="00666EF9">
            <w:pPr>
              <w:jc w:val="both"/>
            </w:pPr>
            <w:r w:rsidRPr="00161C60">
              <w:t>Projekts šo jomu neskar.</w:t>
            </w:r>
          </w:p>
        </w:tc>
      </w:tr>
      <w:tr w:rsidR="00CC49E0" w:rsidRPr="00161C60" w:rsidTr="00161C60">
        <w:trPr>
          <w:trHeight w:val="913"/>
        </w:trPr>
        <w:tc>
          <w:tcPr>
            <w:tcW w:w="2722" w:type="dxa"/>
            <w:tcBorders>
              <w:top w:val="single" w:sz="4" w:space="0" w:color="auto"/>
              <w:left w:val="single" w:sz="4" w:space="0" w:color="auto"/>
              <w:bottom w:val="single" w:sz="4" w:space="0" w:color="auto"/>
              <w:right w:val="single" w:sz="4" w:space="0" w:color="auto"/>
            </w:tcBorders>
            <w:vAlign w:val="center"/>
            <w:hideMark/>
          </w:tcPr>
          <w:p w:rsidR="00CC49E0" w:rsidRPr="00161C60" w:rsidRDefault="00CC49E0" w:rsidP="009424DD">
            <w:pPr>
              <w:rPr>
                <w:i/>
              </w:rPr>
            </w:pPr>
            <w:r w:rsidRPr="00161C6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33" w:type="dxa"/>
            <w:gridSpan w:val="3"/>
            <w:tcBorders>
              <w:top w:val="single" w:sz="4" w:space="0" w:color="auto"/>
              <w:left w:val="single" w:sz="4" w:space="0" w:color="auto"/>
              <w:bottom w:val="single" w:sz="4" w:space="0" w:color="auto"/>
              <w:right w:val="single" w:sz="4" w:space="0" w:color="auto"/>
            </w:tcBorders>
            <w:hideMark/>
          </w:tcPr>
          <w:p w:rsidR="00CC49E0" w:rsidRPr="00161C60" w:rsidRDefault="00CC49E0" w:rsidP="009424DD">
            <w:r w:rsidRPr="00161C60">
              <w:t>Projekts šo jomu neskar.</w:t>
            </w:r>
          </w:p>
        </w:tc>
      </w:tr>
      <w:tr w:rsidR="00CC49E0" w:rsidRPr="00161C60" w:rsidTr="00161C60">
        <w:trPr>
          <w:trHeight w:val="382"/>
        </w:trPr>
        <w:tc>
          <w:tcPr>
            <w:tcW w:w="2722" w:type="dxa"/>
            <w:tcBorders>
              <w:top w:val="single" w:sz="4" w:space="0" w:color="auto"/>
              <w:left w:val="single" w:sz="4" w:space="0" w:color="auto"/>
              <w:bottom w:val="single" w:sz="4" w:space="0" w:color="auto"/>
              <w:right w:val="single" w:sz="4" w:space="0" w:color="auto"/>
            </w:tcBorders>
            <w:hideMark/>
          </w:tcPr>
          <w:p w:rsidR="00CC49E0" w:rsidRPr="00161C60" w:rsidRDefault="00CC49E0" w:rsidP="009424DD">
            <w:r w:rsidRPr="00161C60">
              <w:t>Cita informācija</w:t>
            </w:r>
          </w:p>
        </w:tc>
        <w:tc>
          <w:tcPr>
            <w:tcW w:w="6233" w:type="dxa"/>
            <w:gridSpan w:val="3"/>
            <w:tcBorders>
              <w:top w:val="single" w:sz="4" w:space="0" w:color="auto"/>
              <w:left w:val="single" w:sz="4" w:space="0" w:color="auto"/>
              <w:bottom w:val="single" w:sz="4" w:space="0" w:color="auto"/>
              <w:right w:val="single" w:sz="4" w:space="0" w:color="auto"/>
            </w:tcBorders>
            <w:hideMark/>
          </w:tcPr>
          <w:p w:rsidR="00CC49E0" w:rsidRPr="00161C60" w:rsidRDefault="00CC49E0" w:rsidP="004C6EAB">
            <w:pPr>
              <w:jc w:val="both"/>
              <w:rPr>
                <w:i/>
              </w:rPr>
            </w:pPr>
            <w:r w:rsidRPr="00161C60">
              <w:t xml:space="preserve">Eiropas Komisija (EK) ir apstiprinājusi vienotu logotipu aptiekām ar </w:t>
            </w:r>
            <w:r w:rsidRPr="00161C60">
              <w:rPr>
                <w:bCs/>
              </w:rPr>
              <w:t xml:space="preserve">2014.gada 24.jūnija </w:t>
            </w:r>
            <w:r w:rsidRPr="00161C60">
              <w:t xml:space="preserve">Īstenošanas </w:t>
            </w:r>
            <w:r w:rsidRPr="00161C60">
              <w:rPr>
                <w:bCs/>
              </w:rPr>
              <w:t xml:space="preserve">Regulu (ES) Nr.699/2014 par dizainu vienotajam logotipam, ar ko identificē personas, kas piedāvā iedzīvotājiem iegādāties zāles tālpārdošanā, un tā autentiskuma pārbaudes tehniskajām, elektroniskajām un kriptogrāfiskajām prasībām (publicēta </w:t>
            </w:r>
            <w:r w:rsidRPr="00161C60">
              <w:t xml:space="preserve">Eiropas Savienības Oficiālais Vēstnesī (L 184/5) </w:t>
            </w:r>
            <w:r w:rsidRPr="00161C60">
              <w:rPr>
                <w:bCs/>
              </w:rPr>
              <w:t xml:space="preserve">2014.gada 25.jūnijā. Vienlaicīgi </w:t>
            </w:r>
            <w:r w:rsidRPr="00161C60">
              <w:t xml:space="preserve">EK ir apstiprinājusi arī tehnisku dokumentu, kurā sīkā aprakstītas vienotā logotipa prasības (skatīt </w:t>
            </w:r>
            <w:proofErr w:type="spellStart"/>
            <w:r w:rsidRPr="00161C60">
              <w:t>info</w:t>
            </w:r>
            <w:proofErr w:type="spellEnd"/>
            <w:r w:rsidRPr="00161C60">
              <w:t xml:space="preserve">: </w:t>
            </w:r>
            <w:hyperlink r:id="rId26" w:history="1">
              <w:r w:rsidRPr="00161C60">
                <w:rPr>
                  <w:rStyle w:val="Hyperlink"/>
                  <w:i/>
                  <w:color w:val="auto"/>
                </w:rPr>
                <w:t>http://ec.europa.eu/health/human-use/eu-logo/index_en.htm</w:t>
              </w:r>
            </w:hyperlink>
            <w:r w:rsidRPr="00161C60">
              <w:t xml:space="preserve">), kas ir saistošas prasības dalībvalstīm attiecībā uz vienotā logotipa noformējumu, kas </w:t>
            </w:r>
            <w:r w:rsidR="00640E89" w:rsidRPr="00161C60">
              <w:t xml:space="preserve">ieviests </w:t>
            </w:r>
            <w:r w:rsidR="00125006" w:rsidRPr="00161C60">
              <w:t>Noteikumu projekta 1.</w:t>
            </w:r>
            <w:r w:rsidR="007F647F" w:rsidRPr="00161C60">
              <w:t>41</w:t>
            </w:r>
            <w:r w:rsidRPr="00161C60">
              <w:t>.apakšpunktā (attiecībā uz MK noteikumu Nr.416 103.8.apakšpunktu).</w:t>
            </w:r>
          </w:p>
        </w:tc>
      </w:tr>
    </w:tbl>
    <w:p w:rsidR="00D72DF2" w:rsidRPr="00161C60" w:rsidRDefault="00D72DF2" w:rsidP="00123AE0">
      <w:pPr>
        <w:pStyle w:val="NoSpacing"/>
        <w:rPr>
          <w:rFonts w:ascii="Times New Roman" w:hAnsi="Times New Roman"/>
          <w:i/>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2410"/>
        <w:gridCol w:w="6407"/>
      </w:tblGrid>
      <w:tr w:rsidR="00E56B62" w:rsidRPr="00161C60" w:rsidTr="004C6EAB">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161C60" w:rsidRDefault="00D07F03" w:rsidP="00D07F03">
            <w:pPr>
              <w:spacing w:before="100" w:beforeAutospacing="1" w:after="100" w:afterAutospacing="1" w:line="360" w:lineRule="auto"/>
              <w:ind w:firstLine="300"/>
              <w:jc w:val="center"/>
              <w:rPr>
                <w:bCs/>
              </w:rPr>
            </w:pPr>
            <w:r w:rsidRPr="00161C60">
              <w:rPr>
                <w:bCs/>
              </w:rPr>
              <w:t>VI. Sabiedrības līdzdalība un komunikācijas aktivitātes</w:t>
            </w:r>
          </w:p>
        </w:tc>
      </w:tr>
      <w:tr w:rsidR="00E56B62" w:rsidRPr="00161C60" w:rsidTr="00097D6B">
        <w:trPr>
          <w:trHeight w:val="540"/>
        </w:trPr>
        <w:tc>
          <w:tcPr>
            <w:tcW w:w="314" w:type="dxa"/>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lastRenderedPageBreak/>
              <w:t>1.</w:t>
            </w:r>
          </w:p>
        </w:tc>
        <w:tc>
          <w:tcPr>
            <w:tcW w:w="2410" w:type="dxa"/>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Plānotās sabiedrības līdzdalības un komunikācijas aktivitātes saistībā ar projektu</w:t>
            </w:r>
          </w:p>
        </w:tc>
        <w:tc>
          <w:tcPr>
            <w:tcW w:w="6407" w:type="dxa"/>
            <w:tcBorders>
              <w:top w:val="outset" w:sz="6" w:space="0" w:color="414142"/>
              <w:left w:val="outset" w:sz="6" w:space="0" w:color="414142"/>
              <w:bottom w:val="outset" w:sz="6" w:space="0" w:color="414142"/>
              <w:right w:val="outset" w:sz="6" w:space="0" w:color="414142"/>
            </w:tcBorders>
            <w:hideMark/>
          </w:tcPr>
          <w:p w:rsidR="00F4712B" w:rsidRPr="00161C60" w:rsidRDefault="00A84AD8" w:rsidP="008C7839">
            <w:pPr>
              <w:pStyle w:val="NoSpacing"/>
              <w:jc w:val="both"/>
              <w:rPr>
                <w:rFonts w:ascii="Times New Roman" w:hAnsi="Times New Roman"/>
                <w:sz w:val="24"/>
                <w:szCs w:val="24"/>
                <w:lang w:val="lv-LV"/>
              </w:rPr>
            </w:pPr>
            <w:r w:rsidRPr="00161C60">
              <w:rPr>
                <w:rFonts w:ascii="Times New Roman" w:hAnsi="Times New Roman"/>
                <w:sz w:val="24"/>
                <w:szCs w:val="24"/>
                <w:lang w:val="lv-LV"/>
              </w:rPr>
              <w:t>Noteikumu p</w:t>
            </w:r>
            <w:r w:rsidR="005A22B2" w:rsidRPr="00161C60">
              <w:rPr>
                <w:rFonts w:ascii="Times New Roman" w:hAnsi="Times New Roman"/>
                <w:sz w:val="24"/>
                <w:szCs w:val="24"/>
                <w:lang w:val="lv-LV"/>
              </w:rPr>
              <w:t xml:space="preserve">rojekts </w:t>
            </w:r>
            <w:r w:rsidR="0030287C" w:rsidRPr="00161C60">
              <w:rPr>
                <w:rFonts w:ascii="Times New Roman" w:hAnsi="Times New Roman"/>
                <w:sz w:val="24"/>
                <w:szCs w:val="24"/>
                <w:lang w:val="lv-LV"/>
              </w:rPr>
              <w:t xml:space="preserve">02.02.2015. </w:t>
            </w:r>
            <w:proofErr w:type="spellStart"/>
            <w:r w:rsidR="005A22B2" w:rsidRPr="00161C60">
              <w:rPr>
                <w:rFonts w:ascii="Times New Roman" w:hAnsi="Times New Roman"/>
                <w:sz w:val="24"/>
                <w:szCs w:val="24"/>
                <w:lang w:val="lv-LV"/>
              </w:rPr>
              <w:t>ievietots</w:t>
            </w:r>
            <w:r w:rsidRPr="00161C60">
              <w:rPr>
                <w:rFonts w:ascii="Times New Roman" w:hAnsi="Times New Roman"/>
                <w:sz w:val="24"/>
                <w:szCs w:val="24"/>
                <w:lang w:val="lv-LV"/>
              </w:rPr>
              <w:t>Veselības</w:t>
            </w:r>
            <w:proofErr w:type="spellEnd"/>
            <w:r w:rsidRPr="00161C60">
              <w:rPr>
                <w:rFonts w:ascii="Times New Roman" w:hAnsi="Times New Roman"/>
                <w:sz w:val="24"/>
                <w:szCs w:val="24"/>
                <w:lang w:val="lv-LV"/>
              </w:rPr>
              <w:t xml:space="preserve"> </w:t>
            </w:r>
            <w:proofErr w:type="spellStart"/>
            <w:r w:rsidRPr="00161C60">
              <w:rPr>
                <w:rFonts w:ascii="Times New Roman" w:hAnsi="Times New Roman"/>
                <w:sz w:val="24"/>
                <w:szCs w:val="24"/>
                <w:lang w:val="lv-LV"/>
              </w:rPr>
              <w:t>ministrijas</w:t>
            </w:r>
            <w:r w:rsidR="005A22B2" w:rsidRPr="00161C60">
              <w:rPr>
                <w:rFonts w:ascii="Times New Roman" w:hAnsi="Times New Roman"/>
                <w:sz w:val="24"/>
                <w:szCs w:val="24"/>
                <w:lang w:val="lv-LV"/>
              </w:rPr>
              <w:t>mājas</w:t>
            </w:r>
            <w:proofErr w:type="spellEnd"/>
            <w:r w:rsidR="005A22B2" w:rsidRPr="00161C60">
              <w:rPr>
                <w:rFonts w:ascii="Times New Roman" w:hAnsi="Times New Roman"/>
                <w:sz w:val="24"/>
                <w:szCs w:val="24"/>
                <w:lang w:val="lv-LV"/>
              </w:rPr>
              <w:t xml:space="preserve"> lapā </w:t>
            </w:r>
            <w:hyperlink r:id="rId27" w:history="1">
              <w:r w:rsidR="002604D2" w:rsidRPr="00161C60">
                <w:rPr>
                  <w:rStyle w:val="Hyperlink"/>
                  <w:rFonts w:ascii="Times New Roman" w:hAnsi="Times New Roman"/>
                  <w:color w:val="auto"/>
                  <w:sz w:val="24"/>
                  <w:szCs w:val="24"/>
                  <w:lang w:val="lv-LV"/>
                </w:rPr>
                <w:t>www.vm.gov.lv</w:t>
              </w:r>
            </w:hyperlink>
            <w:r w:rsidR="00C77460" w:rsidRPr="00161C60">
              <w:rPr>
                <w:rFonts w:ascii="Times New Roman" w:hAnsi="Times New Roman"/>
                <w:sz w:val="24"/>
                <w:szCs w:val="24"/>
                <w:lang w:val="lv-LV"/>
              </w:rPr>
              <w:t>, nosakot sabiedrisko apspriedi 18.02.2015.</w:t>
            </w:r>
          </w:p>
          <w:p w:rsidR="00F4712B" w:rsidRPr="00161C60" w:rsidRDefault="00F4712B" w:rsidP="008C7839">
            <w:pPr>
              <w:pStyle w:val="NoSpacing"/>
              <w:jc w:val="both"/>
              <w:rPr>
                <w:rFonts w:ascii="Times New Roman" w:hAnsi="Times New Roman"/>
                <w:sz w:val="24"/>
                <w:szCs w:val="24"/>
                <w:lang w:val="lv-LV"/>
              </w:rPr>
            </w:pPr>
          </w:p>
          <w:p w:rsidR="00C77460" w:rsidRPr="00161C60" w:rsidRDefault="00C77460" w:rsidP="008C7839">
            <w:pPr>
              <w:pStyle w:val="NoSpacing"/>
              <w:jc w:val="both"/>
              <w:rPr>
                <w:rFonts w:ascii="Times New Roman" w:hAnsi="Times New Roman"/>
                <w:sz w:val="24"/>
                <w:szCs w:val="24"/>
                <w:lang w:val="lv-LV"/>
              </w:rPr>
            </w:pPr>
            <w:r w:rsidRPr="00161C60">
              <w:rPr>
                <w:rFonts w:ascii="Times New Roman" w:hAnsi="Times New Roman"/>
                <w:sz w:val="24"/>
                <w:szCs w:val="24"/>
                <w:lang w:val="lv-LV"/>
              </w:rPr>
              <w:t>Par sabiedrisko apspriedi pēc projekta ievietošanas Veselības ministrija mājas lapā tika arī informēti farmācijas jomas sabiedrisko organizāciju un pacientu organizāciju pārstāvji - Latvijas Farmaceitu biedrība, Latvijas Farmācijas arodbiedrība, Aptieku biedrība, Aptieku īpašnieku asociācija, Latvijas Brīvo farmaceitu apvienība, Latvijas Ārstu biedrība, Aptieku attīstības biedrība, Biedrības ”Biofarmaceitisko zāļu ražotāju asociācija Latvijā”, Nodibinājuma ”Pacientu ombuds”, Latvijas Cilvēku ar īpašām vajadzībām sadarbības organizācija “</w:t>
            </w:r>
            <w:proofErr w:type="spellStart"/>
            <w:r w:rsidRPr="00161C60">
              <w:rPr>
                <w:rFonts w:ascii="Times New Roman" w:hAnsi="Times New Roman"/>
                <w:sz w:val="24"/>
                <w:szCs w:val="24"/>
                <w:lang w:val="lv-LV"/>
              </w:rPr>
              <w:t>Sustento</w:t>
            </w:r>
            <w:proofErr w:type="spellEnd"/>
            <w:r w:rsidRPr="00161C60">
              <w:rPr>
                <w:rFonts w:ascii="Times New Roman" w:hAnsi="Times New Roman"/>
                <w:sz w:val="24"/>
                <w:szCs w:val="24"/>
                <w:lang w:val="lv-LV"/>
              </w:rPr>
              <w:t>”, Latvijas Ķīmijas un farmācijas uzņēmēju asociācija, Latvijas Patērētāju interešu aizstāvības asociācija, Latvijas Patentbrīvo medikamentu asociācija, Latvijas Zāļu lieltirgotāju asociācija, Starptautisko inovatīvo farmaceitisko firmu asociācija un Latvijas Zāļu Paralēlā Importa Asociācija.</w:t>
            </w:r>
          </w:p>
        </w:tc>
      </w:tr>
      <w:tr w:rsidR="00E56B62" w:rsidRPr="00161C60" w:rsidTr="00097D6B">
        <w:trPr>
          <w:trHeight w:val="330"/>
        </w:trPr>
        <w:tc>
          <w:tcPr>
            <w:tcW w:w="314" w:type="dxa"/>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2.</w:t>
            </w:r>
          </w:p>
        </w:tc>
        <w:tc>
          <w:tcPr>
            <w:tcW w:w="2410" w:type="dxa"/>
            <w:tcBorders>
              <w:top w:val="outset" w:sz="6" w:space="0" w:color="414142"/>
              <w:left w:val="outset" w:sz="6" w:space="0" w:color="414142"/>
              <w:bottom w:val="outset" w:sz="6" w:space="0" w:color="414142"/>
              <w:right w:val="outset" w:sz="6" w:space="0" w:color="414142"/>
            </w:tcBorders>
            <w:hideMark/>
          </w:tcPr>
          <w:p w:rsidR="0008549E" w:rsidRPr="00161C60" w:rsidRDefault="0008549E" w:rsidP="00D07F03">
            <w:r w:rsidRPr="00161C60">
              <w:t>Sabiedrības līdzdalība projekta izstrādē</w:t>
            </w:r>
          </w:p>
        </w:tc>
        <w:tc>
          <w:tcPr>
            <w:tcW w:w="6407" w:type="dxa"/>
            <w:tcBorders>
              <w:top w:val="outset" w:sz="6" w:space="0" w:color="414142"/>
              <w:left w:val="outset" w:sz="6" w:space="0" w:color="414142"/>
              <w:bottom w:val="outset" w:sz="6" w:space="0" w:color="414142"/>
              <w:right w:val="outset" w:sz="6" w:space="0" w:color="414142"/>
            </w:tcBorders>
            <w:hideMark/>
          </w:tcPr>
          <w:p w:rsidR="00431A87" w:rsidRPr="00161C60" w:rsidRDefault="00431A87" w:rsidP="00431A87">
            <w:pPr>
              <w:jc w:val="both"/>
            </w:pPr>
            <w:r w:rsidRPr="00161C60">
              <w:t>Sabiedriskā apspriede notika Veselības ministrijā 18.02.2015.</w:t>
            </w:r>
          </w:p>
          <w:p w:rsidR="00431A87" w:rsidRPr="00161C60" w:rsidRDefault="00431A87" w:rsidP="00431A87">
            <w:pPr>
              <w:jc w:val="both"/>
            </w:pPr>
            <w:r w:rsidRPr="00161C60">
              <w:t xml:space="preserve">Sabiedriskajā apspriedē piedalījās </w:t>
            </w:r>
            <w:r w:rsidR="0036701A" w:rsidRPr="00161C60">
              <w:t xml:space="preserve">pārstāvji no SIA </w:t>
            </w:r>
            <w:r w:rsidR="008A355B" w:rsidRPr="00161C60">
              <w:t>”</w:t>
            </w:r>
            <w:r w:rsidRPr="00161C60">
              <w:t xml:space="preserve">Medikamentu informācijas centrs”, Latvijas Ārstu biedrības (pārstāvība no Farmācijas nodaļas); Latvijas Patentbrīvo medikamentu asociācijas (pārstāvība no AS "Grindeks", JSC "Grindeks"), Aptieku attīstības biedrības, Latvijas Zāļu Paralēlā Importa Asociācijas, ABC PHARMA SIA zāļu lieltirgotavas, Latvijas Farmācijas arodbiedrības, Aptieku biedrības; Aptieku īpašnieku asociācijas, Latvijas Brīvo farmaceitu apvienības, Biedrības ”Biofarmaceitisko zāļu ražotāju asociācija Latvijā”, Latvijas Zāļu lieltirgotāju asociācijas, Starptautisko inovatīvo farmaceitisko firmu asociācijas, AS “RECIPE PLUS” zāļu lieltirgotavas (pārstāvība no Starptautiskā tirdzniecības departamenta vadības puses), Tamro </w:t>
            </w:r>
            <w:proofErr w:type="spellStart"/>
            <w:r w:rsidRPr="00161C60">
              <w:t>Baltics</w:t>
            </w:r>
            <w:proofErr w:type="spellEnd"/>
            <w:r w:rsidRPr="00161C60">
              <w:t>, Biedrība ”Veselības projekti Latvijai”, firmas ”</w:t>
            </w:r>
            <w:proofErr w:type="spellStart"/>
            <w:r w:rsidRPr="00161C60">
              <w:t>Sanofi</w:t>
            </w:r>
            <w:proofErr w:type="spellEnd"/>
            <w:r w:rsidRPr="00161C60">
              <w:t>” Medicīnas departamenta.</w:t>
            </w:r>
          </w:p>
          <w:p w:rsidR="00431A87" w:rsidRPr="00161C60" w:rsidRDefault="00431A87" w:rsidP="00431A87">
            <w:pPr>
              <w:jc w:val="both"/>
            </w:pPr>
          </w:p>
          <w:p w:rsidR="00431A87" w:rsidRPr="00161C60" w:rsidRDefault="00431A87" w:rsidP="00431A87">
            <w:pPr>
              <w:jc w:val="both"/>
            </w:pPr>
            <w:r w:rsidRPr="00161C60">
              <w:t>Sabiedrības sniegtie iebildumi un priekšlikumi apkopoti Sabiedrības iebildumos un priekšlikumos par Noteikumu projektu un ievietoti Veselības ministrijas māja lapā:</w:t>
            </w:r>
          </w:p>
          <w:p w:rsidR="00431A87" w:rsidRPr="00161C60" w:rsidRDefault="00694061" w:rsidP="00431A87">
            <w:pPr>
              <w:jc w:val="both"/>
            </w:pPr>
            <w:hyperlink r:id="rId28" w:history="1">
              <w:r w:rsidR="00431A87" w:rsidRPr="00161C60">
                <w:rPr>
                  <w:rStyle w:val="Hyperlink"/>
                  <w:color w:val="auto"/>
                </w:rPr>
                <w:t>http://www.vm.gov.lv/lv/aktualitates/sabiedribas_lidzdaliba/sabiedriska_apspriede/</w:t>
              </w:r>
            </w:hyperlink>
          </w:p>
          <w:p w:rsidR="00431A87" w:rsidRPr="00161C60" w:rsidRDefault="00431A87" w:rsidP="00431A87">
            <w:pPr>
              <w:jc w:val="both"/>
            </w:pPr>
            <w:r w:rsidRPr="00161C60">
              <w:t>2015.gada 16.februārī viedokli rakstiskā formā sniedza Aptieku īpašnieku asociācija,</w:t>
            </w:r>
          </w:p>
          <w:p w:rsidR="00431A87" w:rsidRPr="00161C60" w:rsidRDefault="00431A87" w:rsidP="00431A87">
            <w:pPr>
              <w:jc w:val="both"/>
            </w:pPr>
            <w:r w:rsidRPr="00161C60">
              <w:t xml:space="preserve">2015.gada 16.februārī viedokli rakstiskā formā sniedza SIA “ABC </w:t>
            </w:r>
            <w:proofErr w:type="spellStart"/>
            <w:r w:rsidRPr="00161C60">
              <w:t>pharma</w:t>
            </w:r>
            <w:proofErr w:type="spellEnd"/>
            <w:r w:rsidRPr="00161C60">
              <w:t>”,</w:t>
            </w:r>
          </w:p>
          <w:p w:rsidR="00431A87" w:rsidRPr="00161C60" w:rsidRDefault="00431A87" w:rsidP="00431A87">
            <w:pPr>
              <w:jc w:val="both"/>
            </w:pPr>
            <w:r w:rsidRPr="00161C60">
              <w:t>2015.gada 16.februārī viedokli rakstiskā formā sniedza Latvijas zāļu lieltirgotāju asociācija,</w:t>
            </w:r>
          </w:p>
          <w:p w:rsidR="00431A87" w:rsidRPr="00161C60" w:rsidRDefault="00431A87" w:rsidP="00431A87">
            <w:pPr>
              <w:jc w:val="both"/>
            </w:pPr>
            <w:r w:rsidRPr="00161C60">
              <w:t xml:space="preserve">2015. gada  19.janvārī un16.februārī  viedokli rakstiskā formā </w:t>
            </w:r>
            <w:r w:rsidRPr="00161C60">
              <w:lastRenderedPageBreak/>
              <w:t>sniedza no Latvijas Zā</w:t>
            </w:r>
            <w:r w:rsidR="00AC7827" w:rsidRPr="00161C60">
              <w:t>ļu Paralēlā Importa asociācija,</w:t>
            </w:r>
          </w:p>
          <w:p w:rsidR="00431A87" w:rsidRPr="00161C60" w:rsidRDefault="00431A87" w:rsidP="00431A87">
            <w:pPr>
              <w:jc w:val="both"/>
            </w:pPr>
            <w:r w:rsidRPr="00161C60">
              <w:t>2015.gada 17.februārī viedokli rakstiskā formā sniedza Latvijas Ārstu biedrības (e-pasts)</w:t>
            </w:r>
            <w:r w:rsidR="00AC7827" w:rsidRPr="00161C60">
              <w:t>,</w:t>
            </w:r>
          </w:p>
          <w:p w:rsidR="00431A87" w:rsidRPr="00161C60" w:rsidRDefault="00431A87" w:rsidP="00431A87">
            <w:pPr>
              <w:jc w:val="both"/>
            </w:pPr>
            <w:r w:rsidRPr="00161C60">
              <w:t>2015.gada 18.februārī viedokli rakstiskā formā sniedza Starptautisko inovatīvo farmaceitisko firmu asociācija, Latvijas Patentbrīvo Medikamentu Asociācija, Biofarmaceitisko zāļu ražotāju asociācijas Latvijā.</w:t>
            </w:r>
          </w:p>
          <w:p w:rsidR="00431A87" w:rsidRPr="00161C60" w:rsidRDefault="00431A87" w:rsidP="00431A87">
            <w:pPr>
              <w:jc w:val="both"/>
            </w:pPr>
          </w:p>
          <w:p w:rsidR="00E33722" w:rsidRPr="00161C60" w:rsidRDefault="00334EF9" w:rsidP="006365F1">
            <w:pPr>
              <w:jc w:val="both"/>
            </w:pPr>
            <w:r w:rsidRPr="00161C60">
              <w:t>Rakstiski atzinumus par n</w:t>
            </w:r>
            <w:r w:rsidR="00431A87" w:rsidRPr="00161C60">
              <w:t xml:space="preserve">oteikumu projektu pēc izsludināšanas Valsts sanāksmē iesniedza </w:t>
            </w:r>
            <w:r w:rsidR="006365F1" w:rsidRPr="00161C60">
              <w:t xml:space="preserve">Starptautisko inovatīvo farmaceitisko firmu asociācija un Latvijas Patentbrīvo medikamentu asociācija (20.04.2015.), </w:t>
            </w:r>
            <w:r w:rsidR="00431A87" w:rsidRPr="00161C60">
              <w:t xml:space="preserve">Aptieku īpašnieku asociācija (27.04.2015.), Latvijas zāļu lieltirgotāju asociācija (27.04.2015.), Latvijas Zāļu Paralēlā Importa Asociācija (23.04.2015.), SIA ”ABC </w:t>
            </w:r>
            <w:proofErr w:type="spellStart"/>
            <w:r w:rsidR="00431A87" w:rsidRPr="00161C60">
              <w:t>pharma</w:t>
            </w:r>
            <w:proofErr w:type="spellEnd"/>
            <w:r w:rsidR="00431A87" w:rsidRPr="00161C60">
              <w:t>” (24.04.2015.)</w:t>
            </w:r>
            <w:r w:rsidR="006365F1" w:rsidRPr="00161C60">
              <w:t>,</w:t>
            </w:r>
            <w:r w:rsidR="00431A87" w:rsidRPr="00161C60">
              <w:t xml:space="preserve"> Latvijas Apt</w:t>
            </w:r>
            <w:r w:rsidR="006365F1" w:rsidRPr="00161C60">
              <w:t>iekāru asociācija (24.04.2015.)</w:t>
            </w:r>
            <w:r w:rsidR="00431A87" w:rsidRPr="00161C60">
              <w:t xml:space="preserve"> un Latvijas Zāļu Paralēlā Importa Asociācija (</w:t>
            </w:r>
            <w:r w:rsidR="00A67C4D" w:rsidRPr="00161C60">
              <w:t>05.05.2015.)</w:t>
            </w:r>
            <w:r w:rsidR="00431A87" w:rsidRPr="00161C60">
              <w:t>.</w:t>
            </w:r>
          </w:p>
        </w:tc>
      </w:tr>
      <w:tr w:rsidR="00640E89" w:rsidRPr="00161C60" w:rsidTr="00097D6B">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970901" w:rsidRPr="00161C60" w:rsidRDefault="00970901" w:rsidP="00D07F03">
            <w:r w:rsidRPr="00161C60">
              <w:lastRenderedPageBreak/>
              <w:t>3.</w:t>
            </w:r>
          </w:p>
        </w:tc>
        <w:tc>
          <w:tcPr>
            <w:tcW w:w="2410" w:type="dxa"/>
            <w:tcBorders>
              <w:top w:val="outset" w:sz="6" w:space="0" w:color="414142"/>
              <w:left w:val="outset" w:sz="6" w:space="0" w:color="414142"/>
              <w:bottom w:val="outset" w:sz="6" w:space="0" w:color="414142"/>
              <w:right w:val="outset" w:sz="6" w:space="0" w:color="414142"/>
            </w:tcBorders>
            <w:hideMark/>
          </w:tcPr>
          <w:p w:rsidR="00970901" w:rsidRPr="00161C60" w:rsidRDefault="00970901" w:rsidP="00D07F03">
            <w:r w:rsidRPr="00161C60">
              <w:t>Sabiedrības līdzdalības rezultāti</w:t>
            </w:r>
          </w:p>
        </w:tc>
        <w:tc>
          <w:tcPr>
            <w:tcW w:w="6407" w:type="dxa"/>
            <w:tcBorders>
              <w:top w:val="outset" w:sz="6" w:space="0" w:color="414142"/>
              <w:left w:val="outset" w:sz="6" w:space="0" w:color="414142"/>
              <w:bottom w:val="outset" w:sz="6" w:space="0" w:color="414142"/>
              <w:right w:val="outset" w:sz="6" w:space="0" w:color="414142"/>
            </w:tcBorders>
            <w:hideMark/>
          </w:tcPr>
          <w:p w:rsidR="00E148C3" w:rsidRPr="00161C60" w:rsidRDefault="00E33722" w:rsidP="007E47EA">
            <w:pPr>
              <w:pStyle w:val="NoSpacing"/>
              <w:jc w:val="both"/>
              <w:rPr>
                <w:rFonts w:ascii="Times New Roman" w:hAnsi="Times New Roman"/>
                <w:sz w:val="24"/>
                <w:szCs w:val="24"/>
                <w:lang w:val="lv-LV"/>
              </w:rPr>
            </w:pPr>
            <w:r w:rsidRPr="00161C60">
              <w:rPr>
                <w:rFonts w:ascii="Times New Roman" w:hAnsi="Times New Roman"/>
                <w:sz w:val="24"/>
                <w:szCs w:val="24"/>
                <w:lang w:val="lv-LV"/>
              </w:rPr>
              <w:t>Paralēlā Importa Asociācija atbalsta Veselības ministrijas ieceri - veicināt konkurenci farmaceitisko produktu tirgū ar mērķi panākt konsekventu zāļu cenu samazinājumu, izmantojot zāļu paralēlā importa un paralēlās izplatīšanas sniegtās iespējas.</w:t>
            </w:r>
            <w:r w:rsidR="00E148C3" w:rsidRPr="00161C60">
              <w:rPr>
                <w:rFonts w:ascii="Times New Roman" w:hAnsi="Times New Roman"/>
                <w:sz w:val="24"/>
                <w:szCs w:val="24"/>
                <w:lang w:val="lv-LV"/>
              </w:rPr>
              <w:t xml:space="preserve"> Latvijas Zāļu Paralēlā Importa asociācijas </w:t>
            </w:r>
            <w:r w:rsidR="00E148C3" w:rsidRPr="00161C60">
              <w:rPr>
                <w:rFonts w:ascii="Times New Roman" w:eastAsia="Times New Roman" w:hAnsi="Times New Roman"/>
                <w:sz w:val="24"/>
                <w:szCs w:val="24"/>
                <w:lang w:val="lv-LV" w:eastAsia="lv-LV"/>
              </w:rPr>
              <w:t xml:space="preserve">grozījumus vērtē pozitīvi un atbalstām to tālāko virzību, jo ar šo </w:t>
            </w:r>
            <w:r w:rsidR="00E148C3" w:rsidRPr="00161C60">
              <w:rPr>
                <w:rFonts w:ascii="Times New Roman" w:hAnsi="Times New Roman"/>
                <w:sz w:val="24"/>
                <w:szCs w:val="24"/>
                <w:lang w:val="lv-LV"/>
              </w:rPr>
              <w:t xml:space="preserve">grozījumu veikšanā. tiek samazināts administratīvais slogs lieltirgotājiem, paralēlajiem importētājiem un aptiekām. Atzinīgi vērtējam </w:t>
            </w:r>
            <w:r w:rsidR="00356A3F" w:rsidRPr="00161C60">
              <w:rPr>
                <w:rFonts w:ascii="Times New Roman" w:hAnsi="Times New Roman"/>
                <w:sz w:val="24"/>
                <w:szCs w:val="24"/>
                <w:lang w:val="lv-LV"/>
              </w:rPr>
              <w:t xml:space="preserve">MK </w:t>
            </w:r>
            <w:r w:rsidR="00E148C3" w:rsidRPr="00161C60">
              <w:rPr>
                <w:rFonts w:ascii="Times New Roman" w:hAnsi="Times New Roman"/>
                <w:sz w:val="24"/>
                <w:szCs w:val="24"/>
                <w:lang w:val="lv-LV"/>
              </w:rPr>
              <w:t xml:space="preserve">noteikumu </w:t>
            </w:r>
            <w:r w:rsidR="00356A3F" w:rsidRPr="00161C60">
              <w:rPr>
                <w:rFonts w:ascii="Times New Roman" w:hAnsi="Times New Roman"/>
                <w:sz w:val="24"/>
                <w:szCs w:val="24"/>
                <w:lang w:val="lv-LV"/>
              </w:rPr>
              <w:t xml:space="preserve"> Nr.416 </w:t>
            </w:r>
            <w:r w:rsidR="00E148C3" w:rsidRPr="00161C60">
              <w:rPr>
                <w:rFonts w:ascii="Times New Roman" w:hAnsi="Times New Roman"/>
                <w:sz w:val="24"/>
                <w:szCs w:val="24"/>
                <w:lang w:val="lv-LV"/>
              </w:rPr>
              <w:t>40., 41., 42., 43., 44. punktu grozījumus, jo tie paredz paralēlo zāļu izplatīšanas atļaujas ātrāku izsniegšanu, kas, savukārt, palielina konkurenci starp Latvijas komersantiem, kā rezultātā Latvijā pieejamās zāles kļūst lētākas.</w:t>
            </w:r>
          </w:p>
          <w:p w:rsidR="00E148C3" w:rsidRPr="00161C60" w:rsidRDefault="00E148C3" w:rsidP="007E47EA">
            <w:pPr>
              <w:pStyle w:val="NoSpacing"/>
              <w:jc w:val="both"/>
              <w:rPr>
                <w:rFonts w:ascii="Times New Roman" w:hAnsi="Times New Roman"/>
                <w:sz w:val="24"/>
                <w:szCs w:val="24"/>
                <w:lang w:val="lv-LV"/>
              </w:rPr>
            </w:pPr>
          </w:p>
          <w:p w:rsidR="00FD3475" w:rsidRPr="00161C60" w:rsidRDefault="00A92156" w:rsidP="007E47EA">
            <w:pPr>
              <w:jc w:val="both"/>
            </w:pPr>
            <w:r w:rsidRPr="00161C60">
              <w:t xml:space="preserve">Pašreiz nav ņemts vērā </w:t>
            </w:r>
            <w:r w:rsidR="00640E89" w:rsidRPr="00161C60">
              <w:t>Aptieku Īpašn</w:t>
            </w:r>
            <w:r w:rsidR="00E148C3" w:rsidRPr="00161C60">
              <w:t>ieku asociācija</w:t>
            </w:r>
            <w:r w:rsidRPr="00161C60">
              <w:t>s</w:t>
            </w:r>
            <w:r w:rsidR="00E148C3" w:rsidRPr="00161C60">
              <w:t xml:space="preserve"> </w:t>
            </w:r>
            <w:r w:rsidRPr="00161C60">
              <w:t xml:space="preserve">viedoklis </w:t>
            </w:r>
            <w:r w:rsidR="00647F6C" w:rsidRPr="00161C60">
              <w:t>par aptieku t</w:t>
            </w:r>
            <w:r w:rsidRPr="00161C60">
              <w:t xml:space="preserve">iesībām zāles sagādāt ārvalstīs, </w:t>
            </w:r>
            <w:r w:rsidR="00FD3475" w:rsidRPr="00161C60">
              <w:t>šie jautājumi ir pārrunājami ar farmācijas nozares ekspertiem.</w:t>
            </w:r>
          </w:p>
          <w:p w:rsidR="00E148C3" w:rsidRPr="00161C60" w:rsidRDefault="00FD3475" w:rsidP="007E47EA">
            <w:pPr>
              <w:jc w:val="both"/>
            </w:pPr>
            <w:r w:rsidRPr="00161C60">
              <w:t xml:space="preserve"> </w:t>
            </w:r>
            <w:r w:rsidR="00E148C3" w:rsidRPr="00161C60">
              <w:t>Latvijas zāļu lieltirgotāju asociācija izsaka savu atbalstu abu iepriekš minēto Ministru kabineta noteikumu projektu virzībai, jo šie noteikumu projekti ievērojami uzlabos zāļu pieejamību pacientiem, kā arī atvieglos birokrātiskās procedūras, kas saistītas ar zāļu paralēlo importu.</w:t>
            </w:r>
          </w:p>
          <w:p w:rsidR="00E148C3" w:rsidRPr="00161C60" w:rsidRDefault="00E148C3" w:rsidP="007E47EA">
            <w:pPr>
              <w:pStyle w:val="NoSpacing"/>
              <w:jc w:val="both"/>
              <w:rPr>
                <w:rFonts w:ascii="Times New Roman" w:hAnsi="Times New Roman"/>
                <w:sz w:val="24"/>
                <w:szCs w:val="24"/>
                <w:lang w:val="lv-LV"/>
              </w:rPr>
            </w:pPr>
          </w:p>
          <w:p w:rsidR="00F80DAF" w:rsidRPr="00161C60" w:rsidRDefault="00100924" w:rsidP="007E47EA">
            <w:pPr>
              <w:pStyle w:val="NoSpacing"/>
              <w:jc w:val="both"/>
              <w:rPr>
                <w:rFonts w:ascii="Times New Roman" w:hAnsi="Times New Roman"/>
                <w:strike/>
                <w:sz w:val="24"/>
                <w:szCs w:val="24"/>
                <w:lang w:val="lv-LV"/>
              </w:rPr>
            </w:pPr>
            <w:r w:rsidRPr="00161C60">
              <w:rPr>
                <w:rFonts w:ascii="Times New Roman" w:hAnsi="Times New Roman"/>
                <w:sz w:val="24"/>
                <w:szCs w:val="24"/>
                <w:lang w:val="lv-LV"/>
              </w:rPr>
              <w:t>Starptautisko inovatīvo farmaceitisko firmu asociācijas un Latvijas Patentbrīvo m</w:t>
            </w:r>
            <w:r w:rsidR="006F6F69" w:rsidRPr="00161C60">
              <w:rPr>
                <w:rFonts w:ascii="Times New Roman" w:hAnsi="Times New Roman"/>
                <w:sz w:val="24"/>
                <w:szCs w:val="24"/>
                <w:lang w:val="lv-LV"/>
              </w:rPr>
              <w:t>edikamentu asociācijas iebildums</w:t>
            </w:r>
            <w:r w:rsidRPr="00161C60">
              <w:rPr>
                <w:rFonts w:ascii="Times New Roman" w:hAnsi="Times New Roman"/>
                <w:sz w:val="24"/>
                <w:szCs w:val="24"/>
                <w:lang w:val="lv-LV"/>
              </w:rPr>
              <w:t xml:space="preserve"> pret  aptiekas tiesībām iegādāties nereģistrētas zāles ārvalstīs izskatīts kopīgā sanāksmē 2015.gada 2.oktobrī, izskaidrojot grozījuma mērķi. Starptautisko inovatīvo farmaceitisko firmu asociācijas un Latvijas Patentbrīvo medikamentu asociācijas iepriekš uzturētais iebildums, kam pievienojas arī Latvijas Ārstu biedrība, </w:t>
            </w:r>
            <w:r w:rsidR="00A92156" w:rsidRPr="00161C60">
              <w:rPr>
                <w:rFonts w:ascii="Times New Roman" w:hAnsi="Times New Roman"/>
                <w:sz w:val="24"/>
                <w:szCs w:val="24"/>
                <w:lang w:val="lv-LV"/>
              </w:rPr>
              <w:t xml:space="preserve">pašreiz </w:t>
            </w:r>
            <w:r w:rsidRPr="00161C60">
              <w:rPr>
                <w:rFonts w:ascii="Times New Roman" w:hAnsi="Times New Roman"/>
                <w:sz w:val="24"/>
                <w:szCs w:val="24"/>
                <w:lang w:val="lv-LV"/>
              </w:rPr>
              <w:t xml:space="preserve">ņemts vērā daļēji, </w:t>
            </w:r>
            <w:proofErr w:type="spellStart"/>
            <w:r w:rsidR="00A92156" w:rsidRPr="00161C60">
              <w:rPr>
                <w:rFonts w:ascii="Times New Roman" w:hAnsi="Times New Roman"/>
                <w:sz w:val="24"/>
                <w:szCs w:val="24"/>
                <w:lang w:val="lv-LV"/>
              </w:rPr>
              <w:t>neparedzor</w:t>
            </w:r>
            <w:proofErr w:type="spellEnd"/>
            <w:r w:rsidR="00A92156" w:rsidRPr="00161C60">
              <w:rPr>
                <w:rFonts w:ascii="Times New Roman" w:hAnsi="Times New Roman"/>
                <w:sz w:val="24"/>
                <w:szCs w:val="24"/>
                <w:lang w:val="lv-LV"/>
              </w:rPr>
              <w:t xml:space="preserve"> regulējumā normas, kas </w:t>
            </w:r>
            <w:proofErr w:type="spellStart"/>
            <w:r w:rsidR="00A92156" w:rsidRPr="00161C60">
              <w:rPr>
                <w:rFonts w:ascii="Times New Roman" w:hAnsi="Times New Roman"/>
                <w:sz w:val="24"/>
                <w:szCs w:val="24"/>
                <w:lang w:val="lv-LV"/>
              </w:rPr>
              <w:t>pielautu</w:t>
            </w:r>
            <w:proofErr w:type="spellEnd"/>
            <w:r w:rsidR="00A92156" w:rsidRPr="00161C60">
              <w:rPr>
                <w:rFonts w:ascii="Times New Roman" w:hAnsi="Times New Roman"/>
                <w:sz w:val="24"/>
                <w:szCs w:val="24"/>
                <w:lang w:val="lv-LV"/>
              </w:rPr>
              <w:t xml:space="preserve"> </w:t>
            </w:r>
            <w:r w:rsidRPr="00161C60">
              <w:rPr>
                <w:rFonts w:ascii="Times New Roman" w:hAnsi="Times New Roman"/>
                <w:sz w:val="24"/>
                <w:szCs w:val="24"/>
                <w:lang w:val="lv-LV"/>
              </w:rPr>
              <w:lastRenderedPageBreak/>
              <w:t xml:space="preserve">aptiekas tiesības iegādāties nereģistrētās zāles tikai </w:t>
            </w:r>
            <w:r w:rsidR="00A92156" w:rsidRPr="00161C60">
              <w:rPr>
                <w:rFonts w:ascii="Times New Roman" w:hAnsi="Times New Roman"/>
                <w:sz w:val="24"/>
                <w:szCs w:val="24"/>
                <w:lang w:val="lv-LV"/>
              </w:rPr>
              <w:t>ārvalstīs</w:t>
            </w:r>
            <w:r w:rsidR="00FD3475" w:rsidRPr="00161C60">
              <w:rPr>
                <w:rFonts w:ascii="Times New Roman" w:hAnsi="Times New Roman"/>
                <w:sz w:val="24"/>
                <w:szCs w:val="24"/>
                <w:lang w:val="lv-LV"/>
              </w:rPr>
              <w:t>, jo šie jautājumi ir pārrunājami ar farmācijas nozares ekspertiem</w:t>
            </w:r>
            <w:r w:rsidR="00EA2968" w:rsidRPr="00161C60">
              <w:rPr>
                <w:rFonts w:ascii="Times New Roman" w:hAnsi="Times New Roman"/>
                <w:sz w:val="24"/>
                <w:szCs w:val="24"/>
                <w:lang w:val="lv-LV"/>
              </w:rPr>
              <w:t>.</w:t>
            </w:r>
          </w:p>
          <w:p w:rsidR="007E47EA" w:rsidRPr="00161C60" w:rsidRDefault="007E47EA" w:rsidP="00EA2968">
            <w:pPr>
              <w:autoSpaceDE w:val="0"/>
              <w:autoSpaceDN w:val="0"/>
              <w:adjustRightInd w:val="0"/>
              <w:jc w:val="both"/>
              <w:rPr>
                <w:rFonts w:eastAsia="Calibri"/>
                <w:strike/>
                <w:lang w:eastAsia="en-US"/>
              </w:rPr>
            </w:pPr>
            <w:r w:rsidRPr="00161C60">
              <w:t>Latvijas Ārstu biedrība</w:t>
            </w:r>
            <w:r w:rsidR="005D1B6C" w:rsidRPr="00161C60">
              <w:t>s</w:t>
            </w:r>
            <w:r w:rsidRPr="00161C60">
              <w:t xml:space="preserve"> </w:t>
            </w:r>
            <w:r w:rsidR="00307B6D" w:rsidRPr="00161C60">
              <w:t>iebildums</w:t>
            </w:r>
            <w:r w:rsidR="005D1B6C" w:rsidRPr="00161C60">
              <w:t xml:space="preserve"> par</w:t>
            </w:r>
            <w:r w:rsidR="00307B6D" w:rsidRPr="00161C60">
              <w:t xml:space="preserve"> </w:t>
            </w:r>
            <w:r w:rsidR="00307B6D" w:rsidRPr="00161C60">
              <w:rPr>
                <w:rFonts w:eastAsia="Calibri"/>
                <w:lang w:eastAsia="en-US"/>
              </w:rPr>
              <w:t>aptiekas tiesībām</w:t>
            </w:r>
            <w:r w:rsidRPr="00161C60">
              <w:rPr>
                <w:rFonts w:eastAsia="Calibri"/>
                <w:lang w:eastAsia="en-US"/>
              </w:rPr>
              <w:t xml:space="preserve"> pārdot zāles citai aptiekai</w:t>
            </w:r>
            <w:r w:rsidR="00FD3475" w:rsidRPr="00161C60">
              <w:rPr>
                <w:rFonts w:eastAsia="Calibri"/>
                <w:lang w:eastAsia="en-US"/>
              </w:rPr>
              <w:t xml:space="preserve"> un paralēlā importa definējumu</w:t>
            </w:r>
            <w:r w:rsidRPr="00161C60">
              <w:rPr>
                <w:rFonts w:eastAsia="Calibri"/>
                <w:lang w:eastAsia="en-US"/>
              </w:rPr>
              <w:t>, ņemts vērā</w:t>
            </w:r>
            <w:r w:rsidR="00EA2968" w:rsidRPr="00161C60">
              <w:rPr>
                <w:rFonts w:eastAsia="Calibri"/>
                <w:lang w:eastAsia="en-US"/>
              </w:rPr>
              <w:t>.</w:t>
            </w:r>
          </w:p>
          <w:p w:rsidR="00B14BE1" w:rsidRPr="00161C60" w:rsidRDefault="00B14BE1" w:rsidP="00307B6D">
            <w:pPr>
              <w:autoSpaceDE w:val="0"/>
              <w:autoSpaceDN w:val="0"/>
              <w:adjustRightInd w:val="0"/>
              <w:jc w:val="both"/>
              <w:rPr>
                <w:rFonts w:eastAsia="Calibri"/>
                <w:lang w:eastAsia="en-US"/>
              </w:rPr>
            </w:pPr>
          </w:p>
          <w:p w:rsidR="00A92156" w:rsidRPr="00161C60" w:rsidRDefault="00A92156" w:rsidP="00A92156">
            <w:pPr>
              <w:pStyle w:val="Bezatstarpm1"/>
              <w:jc w:val="both"/>
              <w:rPr>
                <w:rFonts w:ascii="Times New Roman" w:hAnsi="Times New Roman"/>
                <w:sz w:val="24"/>
                <w:szCs w:val="24"/>
                <w:lang w:val="lv-LV"/>
              </w:rPr>
            </w:pPr>
            <w:r w:rsidRPr="00161C60">
              <w:rPr>
                <w:rFonts w:ascii="Times New Roman" w:hAnsi="Times New Roman"/>
                <w:sz w:val="24"/>
                <w:szCs w:val="24"/>
                <w:lang w:val="lv-LV"/>
              </w:rPr>
              <w:t>Vienlaicīgi Veselības ministrija akcentē, ka normatīvais regulējums par aptiekas tiesībām iegādāties nereģistrētas zāles ārvalstīs nebūtu uzskatāms par apdraudējumu pacientiem, jo šajā gadījumā normatīvā regulējumā var pastiprināt</w:t>
            </w:r>
            <w:r w:rsidR="005C7BD1" w:rsidRPr="00161C60">
              <w:rPr>
                <w:rFonts w:ascii="Times New Roman" w:hAnsi="Times New Roman"/>
                <w:sz w:val="24"/>
                <w:szCs w:val="24"/>
                <w:lang w:val="lv-LV"/>
              </w:rPr>
              <w:t xml:space="preserve"> </w:t>
            </w:r>
            <w:r w:rsidRPr="00161C60">
              <w:rPr>
                <w:rFonts w:ascii="Times New Roman" w:hAnsi="Times New Roman"/>
                <w:sz w:val="24"/>
                <w:szCs w:val="24"/>
                <w:lang w:val="lv-LV"/>
              </w:rPr>
              <w:t>aptiekas uzraudzību, nosakot aptiekai pienākumu, piemēram, Zāļu valsts aģentūrā saņemt licencē speciālās darbības nosacījumu - ”nereģistrētu zāļu ievešana no ārvalstīm”, pēc tam saņemt Zāļu valsts aģentūrā par konkrētām individuāli piešķirtām nereģistrētām zālēm atļauju nereģistrētu zāļu izplatīšanai (piemēram, ievešanai no Eiropas Savienības dalībvalsts vai Eiropas Ekonomikas zonas valsts). Šāds regulējums būtu pat stingrāks nekā citās dalībvalstīs, piemēram, Vācijā, Beļģijā, Ungārijā un Lietuvā, kur aptiekai atļauts iegādāties nereģistrētas zāles citās dalībvalstīs bez īpašas atļaujas - zāles ievedot uz savas licence pamata. Piešķirot aptiekām tiesības ievest nereģistrētas zāles no ārvalstīm, netiktu mainītas Farmācijas likuma 10.panta 7.punktā noteiktās nereģistrēto zāļu izplatīšanas prasības, kas atbilst arī Eiropas Savienības direktīvām un Eiropas Savienības tiesu praksei. Šeit neiet runa par centralizēti reģistrēto zāļu, tai skaitā paralēli izplatāmo zāļu, un paralēli importēto zāļu piegādēm, jo tās ir reģistrētas zāles.</w:t>
            </w:r>
          </w:p>
          <w:p w:rsidR="00A92156" w:rsidRPr="00161C60" w:rsidRDefault="00A92156" w:rsidP="00A92156">
            <w:pPr>
              <w:pStyle w:val="Bezatstarpm1"/>
              <w:jc w:val="both"/>
              <w:rPr>
                <w:rFonts w:ascii="Times New Roman" w:hAnsi="Times New Roman"/>
                <w:sz w:val="24"/>
                <w:szCs w:val="24"/>
                <w:lang w:val="lv-LV"/>
              </w:rPr>
            </w:pPr>
            <w:r w:rsidRPr="00161C60">
              <w:rPr>
                <w:rFonts w:ascii="Times New Roman" w:hAnsi="Times New Roman"/>
                <w:sz w:val="24"/>
                <w:szCs w:val="24"/>
                <w:lang w:val="lv-LV"/>
              </w:rPr>
              <w:t xml:space="preserve">Šajā aspektā pretrunas, kā norāda LDDK, ar Farmācijas likuma 33. un 35.pantu, Direktīvas Nr.2001/83 5.panta 1.punktu un 76.panta 3.punktu, nav, jo Direktīvas 2001/83 5.panta 1.punkta normas mērķis ir pateikt, ka uz nereģistrētām zālēm, ko piegādā, izpildot </w:t>
            </w:r>
            <w:proofErr w:type="spellStart"/>
            <w:r w:rsidRPr="00161C60">
              <w:rPr>
                <w:rFonts w:ascii="Times New Roman" w:hAnsi="Times New Roman"/>
                <w:sz w:val="24"/>
                <w:szCs w:val="24"/>
                <w:lang w:val="lv-LV"/>
              </w:rPr>
              <w:t>bona</w:t>
            </w:r>
            <w:proofErr w:type="spellEnd"/>
            <w:r w:rsidRPr="00161C60">
              <w:rPr>
                <w:rFonts w:ascii="Times New Roman" w:hAnsi="Times New Roman"/>
                <w:sz w:val="24"/>
                <w:szCs w:val="24"/>
                <w:lang w:val="lv-LV"/>
              </w:rPr>
              <w:t xml:space="preserve"> </w:t>
            </w:r>
            <w:proofErr w:type="spellStart"/>
            <w:r w:rsidRPr="00161C60">
              <w:rPr>
                <w:rFonts w:ascii="Times New Roman" w:hAnsi="Times New Roman"/>
                <w:sz w:val="24"/>
                <w:szCs w:val="24"/>
                <w:lang w:val="lv-LV"/>
              </w:rPr>
              <w:t>fide</w:t>
            </w:r>
            <w:proofErr w:type="spellEnd"/>
            <w:r w:rsidRPr="00161C60">
              <w:rPr>
                <w:rFonts w:ascii="Times New Roman" w:hAnsi="Times New Roman"/>
                <w:sz w:val="24"/>
                <w:szCs w:val="24"/>
                <w:lang w:val="lv-LV"/>
              </w:rPr>
              <w:t xml:space="preserve"> pasūtījumu saskaņā ar ārstniecības personas pieprasījumu un kuras ir paredzētas atsevišķu pacientu lietošanai, ārstniecības personai uzņemoties atbildību, neattiecas pārējās Direktīva 2001/83 normas. Aptiekām tiesības iepirkt zāles nosaka Farmācijas likuma 41.panta norma. Pretrunas ar Direktīvas 2001/83 76.panta 3.punkta normu nav, jo Direktīvas 2001/83 76.panta 3.punkta mērķis ir noteikt prasību licences saņemšanai zāļu vairumtirgotājiem, bet saskaņā ar Direktīvas 2001/83 5.panta 1.punktu , lai īstenotu īpašas vajadzības, dalībvalsts var neattiecināt šīs direktīvas noteikumus uz nereģistrētājām zālēm.</w:t>
            </w:r>
          </w:p>
          <w:p w:rsidR="00A92156" w:rsidRPr="00161C60" w:rsidRDefault="00A92156" w:rsidP="00A92156">
            <w:pPr>
              <w:pStyle w:val="Bezatstarpm1"/>
              <w:jc w:val="both"/>
              <w:rPr>
                <w:rFonts w:ascii="Times New Roman" w:hAnsi="Times New Roman"/>
                <w:sz w:val="24"/>
                <w:szCs w:val="24"/>
                <w:lang w:val="lv-LV"/>
              </w:rPr>
            </w:pPr>
            <w:r w:rsidRPr="00161C60">
              <w:rPr>
                <w:rFonts w:ascii="Times New Roman" w:hAnsi="Times New Roman"/>
                <w:sz w:val="24"/>
                <w:szCs w:val="24"/>
                <w:shd w:val="clear" w:color="auto" w:fill="FFFFFF"/>
                <w:lang w:val="lv-LV"/>
              </w:rPr>
              <w:t xml:space="preserve">Aptiekas tiesības pašai ievest nereģistrētas zāles no </w:t>
            </w:r>
            <w:r w:rsidRPr="00161C60">
              <w:rPr>
                <w:rFonts w:ascii="Times New Roman" w:hAnsi="Times New Roman"/>
                <w:sz w:val="24"/>
                <w:szCs w:val="24"/>
                <w:lang w:val="lv-LV"/>
              </w:rPr>
              <w:t>ārvalstīm</w:t>
            </w:r>
            <w:r w:rsidRPr="00161C60">
              <w:rPr>
                <w:rFonts w:ascii="Times New Roman" w:hAnsi="Times New Roman"/>
                <w:sz w:val="24"/>
                <w:szCs w:val="24"/>
                <w:shd w:val="clear" w:color="auto" w:fill="FFFFFF"/>
                <w:lang w:val="lv-LV"/>
              </w:rPr>
              <w:t xml:space="preserve"> atbilst Farmācijas likuma 33.pantā noteiktajām aptiekas tiesībām zāļu izplatīšanā, jo saskaņā ar Farmācijas likuma 1.panta 8.punktu izplatīšana ir zāļu iepirkšana, uzglabāšana, piegāde, pārvietošana pāri valsts robežai (ievešana, izvešana), pārdošana vai nodošana lietošanā par maksu vai bez maksas.</w:t>
            </w:r>
          </w:p>
          <w:p w:rsidR="00A92156" w:rsidRPr="00161C60" w:rsidRDefault="00A92156" w:rsidP="00A92156">
            <w:pPr>
              <w:pStyle w:val="CommentText"/>
              <w:jc w:val="both"/>
              <w:rPr>
                <w:sz w:val="24"/>
                <w:szCs w:val="24"/>
              </w:rPr>
            </w:pPr>
          </w:p>
          <w:p w:rsidR="00A92156" w:rsidRPr="00161C60" w:rsidRDefault="00A92156" w:rsidP="00A92156">
            <w:pPr>
              <w:pStyle w:val="Bezatstarpm1"/>
              <w:jc w:val="both"/>
              <w:rPr>
                <w:rFonts w:ascii="Times New Roman" w:hAnsi="Times New Roman"/>
                <w:sz w:val="24"/>
                <w:szCs w:val="24"/>
                <w:lang w:val="lv-LV"/>
              </w:rPr>
            </w:pPr>
            <w:r w:rsidRPr="00161C60">
              <w:rPr>
                <w:rFonts w:ascii="Times New Roman" w:hAnsi="Times New Roman"/>
                <w:sz w:val="24"/>
                <w:szCs w:val="24"/>
                <w:lang w:val="lv-LV"/>
              </w:rPr>
              <w:lastRenderedPageBreak/>
              <w:t xml:space="preserve">Arī Vācijā, Beļģijā, Ungārijā un Lietuvā aptiekai atļauts iegādāties nereģistrētas zāles citās dalībvalstīs bez īpašas atļaujas, piemēram, aptiekām, kuras iegādājas zāles citās valstīs </w:t>
            </w:r>
            <w:r w:rsidRPr="00161C60">
              <w:rPr>
                <w:rFonts w:ascii="Times New Roman" w:hAnsi="Times New Roman"/>
                <w:sz w:val="24"/>
                <w:szCs w:val="24"/>
                <w:u w:val="single"/>
                <w:lang w:val="lv-LV"/>
              </w:rPr>
              <w:t>nav ieviesta ”atļaujas” sistēma</w:t>
            </w:r>
            <w:r w:rsidRPr="00161C60">
              <w:rPr>
                <w:rFonts w:ascii="Times New Roman" w:hAnsi="Times New Roman"/>
                <w:sz w:val="24"/>
                <w:szCs w:val="24"/>
                <w:lang w:val="lv-LV"/>
              </w:rPr>
              <w:t>, bet tās vietā aptiekai ir atļauts zāles ievest uz savas licence pamata, līdz ar to šajās valstīs netiek saskatīts zāļu viltojuma risks, ja aptieka iegādājas pacientam vajadzīgās zāles citās dalībvalstīs. Vienlaicīgi izvērtējama arī nepieciešamība  aptiekai dot tiesības iegādāties ārsta nozīmētas nereģistrētas zāles trešajās valstīs, ja zāļu vairumtirgotāji atsaka to piegādes.</w:t>
            </w:r>
          </w:p>
          <w:p w:rsidR="00A92156" w:rsidRPr="00161C60" w:rsidRDefault="00A92156" w:rsidP="00A92156">
            <w:pPr>
              <w:pStyle w:val="Bezatstarpm1"/>
              <w:jc w:val="both"/>
              <w:rPr>
                <w:rFonts w:ascii="Times New Roman" w:hAnsi="Times New Roman"/>
                <w:sz w:val="24"/>
                <w:szCs w:val="24"/>
                <w:lang w:val="lv-LV"/>
              </w:rPr>
            </w:pPr>
          </w:p>
          <w:p w:rsidR="00A92156" w:rsidRPr="00161C60" w:rsidRDefault="00A92156" w:rsidP="00A92156">
            <w:pPr>
              <w:pStyle w:val="Bezatstarpm1"/>
              <w:jc w:val="both"/>
              <w:rPr>
                <w:rFonts w:ascii="Times New Roman" w:hAnsi="Times New Roman"/>
                <w:sz w:val="24"/>
                <w:szCs w:val="24"/>
                <w:lang w:val="lv-LV"/>
              </w:rPr>
            </w:pPr>
            <w:r w:rsidRPr="00161C60">
              <w:rPr>
                <w:rFonts w:ascii="Times New Roman" w:hAnsi="Times New Roman"/>
                <w:sz w:val="24"/>
                <w:szCs w:val="24"/>
                <w:lang w:val="lv-LV"/>
              </w:rPr>
              <w:t>Nereģistrēto zāļu drošums un izsekojamība nemazinātos, jo:</w:t>
            </w:r>
          </w:p>
          <w:p w:rsidR="00A92156" w:rsidRPr="00161C60" w:rsidRDefault="00A92156" w:rsidP="00A92156">
            <w:pPr>
              <w:pStyle w:val="CommentText"/>
              <w:jc w:val="both"/>
              <w:rPr>
                <w:sz w:val="24"/>
                <w:szCs w:val="24"/>
              </w:rPr>
            </w:pPr>
            <w:r w:rsidRPr="00161C60">
              <w:rPr>
                <w:sz w:val="24"/>
                <w:szCs w:val="24"/>
              </w:rPr>
              <w:t>1) Aptieku, tāpat kā zāļu lieltirgotavu, uzrauga kontrolējošas institūcijas - Veselības inspekcija un Zāļu valsts aģentūra. Veselības inspekcija ātrā brīdinājuma sistēmā saņem informāciju no Pasaules veselības organizācijas un Eiropas Savienības par konstatētiem zāļu viltojumiem, un var šīs ziņas ātri izplatīt.</w:t>
            </w:r>
          </w:p>
          <w:p w:rsidR="00A92156" w:rsidRPr="00161C60" w:rsidRDefault="00A92156" w:rsidP="00A92156">
            <w:pPr>
              <w:pStyle w:val="CommentText"/>
              <w:jc w:val="both"/>
              <w:rPr>
                <w:sz w:val="24"/>
                <w:szCs w:val="24"/>
              </w:rPr>
            </w:pPr>
            <w:r w:rsidRPr="00161C60">
              <w:rPr>
                <w:sz w:val="24"/>
                <w:szCs w:val="24"/>
              </w:rPr>
              <w:t>2) Kārtība, kādā aptieka izsniegtu nereģistrētas zāles pacientiem nemainītos, jo aptieka nereģistrētas zāles izsniegtu tāpat kā līdz šim, piemēram, pēc ārstniecības iestādes pieprasījuma vai pacienta uzrādītas ārstniecības personas receptes, kas balstās uz regulējumu Farmācijas likumā un MK noteikumos Nr.416.</w:t>
            </w:r>
          </w:p>
          <w:p w:rsidR="00A92156" w:rsidRPr="00161C60" w:rsidRDefault="00A92156" w:rsidP="00A92156">
            <w:pPr>
              <w:pStyle w:val="CommentText"/>
              <w:jc w:val="both"/>
              <w:rPr>
                <w:sz w:val="24"/>
                <w:szCs w:val="24"/>
                <w:shd w:val="clear" w:color="auto" w:fill="FFFFFF"/>
              </w:rPr>
            </w:pPr>
            <w:r w:rsidRPr="00161C60">
              <w:rPr>
                <w:sz w:val="24"/>
                <w:szCs w:val="24"/>
              </w:rPr>
              <w:t xml:space="preserve">3) Pašreiz regulējums </w:t>
            </w:r>
            <w:r w:rsidRPr="00161C60">
              <w:rPr>
                <w:sz w:val="24"/>
                <w:szCs w:val="24"/>
                <w:shd w:val="clear" w:color="auto" w:fill="FFFFFF"/>
              </w:rPr>
              <w:t xml:space="preserve">Ministru kabineta 2013.gada 22.janvāra noteikumos Nr.47 ”Farmakovigilances kārtība” (turpmāk - MK noteikumi Nr.47) (8.punkts) </w:t>
            </w:r>
            <w:r w:rsidRPr="00161C60">
              <w:rPr>
                <w:sz w:val="24"/>
                <w:szCs w:val="24"/>
              </w:rPr>
              <w:t xml:space="preserve">jau paredz nereģistrētu zāļu blakusparādību uzraudzībā arī </w:t>
            </w:r>
            <w:r w:rsidRPr="00161C60">
              <w:rPr>
                <w:sz w:val="24"/>
                <w:szCs w:val="24"/>
                <w:shd w:val="clear" w:color="auto" w:fill="FFFFFF"/>
              </w:rPr>
              <w:t>ārstniecības personas un farmaceita pienākumu ziņot Zāļu valsts aģentūrai  par nereģistrētu zāļu blakusparādībām, kas novērotas lietojot šīs zāles. Līdz ar to zāļu drošums tiktu uzraudzīts.</w:t>
            </w:r>
          </w:p>
          <w:p w:rsidR="00A92156" w:rsidRPr="00161C60" w:rsidRDefault="00A92156" w:rsidP="00A92156">
            <w:pPr>
              <w:pStyle w:val="CommentText"/>
              <w:jc w:val="both"/>
              <w:rPr>
                <w:sz w:val="24"/>
                <w:szCs w:val="24"/>
              </w:rPr>
            </w:pPr>
            <w:r w:rsidRPr="00161C60">
              <w:rPr>
                <w:sz w:val="24"/>
                <w:szCs w:val="24"/>
                <w:shd w:val="clear" w:color="auto" w:fill="FFFFFF"/>
              </w:rPr>
              <w:t xml:space="preserve">4) Regulējums MK noteikumos Nr.416 (22.2., 30.4., 30.5. un 30.6.apakšpunkts un 67.punkts) jau paredz prasības aptiekai zāļu uzglabāšanā un transportēšanā. </w:t>
            </w:r>
            <w:r w:rsidRPr="00161C60">
              <w:rPr>
                <w:sz w:val="24"/>
                <w:szCs w:val="24"/>
              </w:rPr>
              <w:t>Normatīvā regulējumā varētu aptiekai pastiprināti norādīt pienākumu zāles ārvalstīs iegādāties no personām, kuras ir tiesīgas tās izplatīt, nodrošināt zāļu labas izplatīšanas prakses prasības zāles piegādājot, uzglabājot un transportējot, līdzīgi kā tas noteikts zāļu lieltirgotavām. Zāļu valsts aģentūra un Veselības inspekcija, komunicējot ar attiecīgo dalībvalstu kompetentajām iestādēm, var sniegt atbalstu aptiekai, palīdzot noskaidrot citas valsts kompetentajā iestādē, piemēram, vai persona, no kuras zāles iegādāsies, ir licencēta. Eiropas Savienības zāļu aģentūru un inspekciju sarakstiem ir jābūt Latvijas kompetento iestāžu rīcībā.</w:t>
            </w:r>
          </w:p>
          <w:p w:rsidR="00A92156" w:rsidRPr="00161C60" w:rsidRDefault="00A92156" w:rsidP="00A92156">
            <w:pPr>
              <w:pStyle w:val="CommentText"/>
              <w:jc w:val="both"/>
              <w:rPr>
                <w:sz w:val="24"/>
                <w:szCs w:val="24"/>
              </w:rPr>
            </w:pPr>
            <w:r w:rsidRPr="00161C60">
              <w:rPr>
                <w:sz w:val="24"/>
                <w:szCs w:val="24"/>
                <w:shd w:val="clear" w:color="auto" w:fill="FFFFFF"/>
              </w:rPr>
              <w:t xml:space="preserve">5) Regulējums MK noteikumos Nr.416 (67.punkts) jau paredz aptiekai, līdzīgi kā to dara zāļu lieltirgotavas, izstrādāt ārkārtas situācijas plānu, lai sadarbībā ar attiecīgo zāļu ražotāju vai zāļu īpašnieku vai arī pēc Veselības inspekcijas rīkojuma nodrošinātu efektīvu zāļu atsaukšanu no tirgus. Aptieka uzskaitītu katru </w:t>
            </w:r>
            <w:r w:rsidRPr="00161C60">
              <w:rPr>
                <w:sz w:val="24"/>
                <w:szCs w:val="24"/>
                <w:shd w:val="clear" w:color="auto" w:fill="FFFFFF"/>
              </w:rPr>
              <w:lastRenderedPageBreak/>
              <w:t>darījumu ar saņemtajām un nosūtītajām zālēm, saglabātu un darīt pieejamus datus Veselības inspekcijai.</w:t>
            </w:r>
          </w:p>
          <w:p w:rsidR="00A92156" w:rsidRPr="00161C60" w:rsidRDefault="00A92156" w:rsidP="00A92156">
            <w:pPr>
              <w:pStyle w:val="Bezatstarpm1"/>
              <w:jc w:val="both"/>
              <w:rPr>
                <w:rFonts w:ascii="Times New Roman" w:hAnsi="Times New Roman"/>
                <w:b/>
                <w:sz w:val="24"/>
                <w:szCs w:val="24"/>
                <w:lang w:val="lv-LV"/>
              </w:rPr>
            </w:pPr>
            <w:r w:rsidRPr="00161C60">
              <w:rPr>
                <w:rFonts w:ascii="Times New Roman" w:hAnsi="Times New Roman"/>
                <w:sz w:val="24"/>
                <w:szCs w:val="24"/>
                <w:lang w:val="lv-LV"/>
              </w:rPr>
              <w:t>6) Aptieka, tāpat kā zāļu lieltirgotava ziņotu Zāļu valsts aģentūrai pirms zāļu izplatīšanas uzsākšanas par ievestajām nereģistrētajām zālēm, tai skaitā sēriju numuriem. Līdz ar to nav pamata LDDK apgalvojumam par apdraudējumu zāļu izsekojamībai.</w:t>
            </w:r>
          </w:p>
          <w:p w:rsidR="00A92156" w:rsidRPr="00161C60" w:rsidRDefault="00A92156" w:rsidP="00716B17">
            <w:pPr>
              <w:pStyle w:val="Bezatstarpm1"/>
              <w:jc w:val="both"/>
              <w:rPr>
                <w:rFonts w:ascii="Times New Roman" w:hAnsi="Times New Roman"/>
                <w:sz w:val="24"/>
                <w:szCs w:val="24"/>
                <w:lang w:val="lv-LV"/>
              </w:rPr>
            </w:pPr>
          </w:p>
          <w:p w:rsidR="00716B17" w:rsidRPr="00161C60" w:rsidRDefault="00716B17" w:rsidP="00716B17">
            <w:pPr>
              <w:pStyle w:val="Bezatstarpm1"/>
              <w:jc w:val="both"/>
              <w:rPr>
                <w:rFonts w:ascii="Times New Roman" w:hAnsi="Times New Roman"/>
                <w:sz w:val="24"/>
                <w:szCs w:val="24"/>
                <w:lang w:val="lv-LV"/>
              </w:rPr>
            </w:pPr>
            <w:r w:rsidRPr="00161C60">
              <w:rPr>
                <w:rFonts w:ascii="Times New Roman" w:hAnsi="Times New Roman"/>
                <w:sz w:val="24"/>
                <w:szCs w:val="24"/>
                <w:lang w:val="lv-LV"/>
              </w:rPr>
              <w:t>Veselības ministrija akcentē, ka atvieglojumi paralēli importēto zāļu izplatīšanā ir viens no pasākumiem, kas veicina zāļu pieejamību un var ietekmēt zāļu cenas samazināšanos un v</w:t>
            </w:r>
            <w:r w:rsidRPr="00161C60">
              <w:rPr>
                <w:rFonts w:ascii="Times New Roman" w:hAnsi="Times New Roman"/>
                <w:noProof/>
                <w:sz w:val="24"/>
                <w:szCs w:val="24"/>
                <w:lang w:val="lv-LV"/>
              </w:rPr>
              <w:t xml:space="preserve">alstij zāļu kontroles iespējas nav mazinātas - valsts šo procesu uzraudzīs. </w:t>
            </w:r>
            <w:r w:rsidRPr="00161C60">
              <w:rPr>
                <w:rFonts w:ascii="Times New Roman" w:hAnsi="Times New Roman"/>
                <w:sz w:val="24"/>
                <w:szCs w:val="24"/>
                <w:lang w:val="lv-LV"/>
              </w:rPr>
              <w:t xml:space="preserve">Citās Eiropas Savienības dalībvalstīs, piemēram, Somijā paralēli importētās zāles var atšķirties no reģistrētajām zālēm arī ar iepakojuma veidu, </w:t>
            </w:r>
            <w:r w:rsidRPr="00161C60">
              <w:rPr>
                <w:rFonts w:ascii="Times New Roman" w:hAnsi="Times New Roman"/>
                <w:i/>
                <w:sz w:val="24"/>
                <w:szCs w:val="24"/>
                <w:lang w:val="lv-LV"/>
              </w:rPr>
              <w:t>piemēram</w:t>
            </w:r>
            <w:r w:rsidRPr="00161C60">
              <w:rPr>
                <w:rFonts w:ascii="Times New Roman" w:hAnsi="Times New Roman"/>
                <w:sz w:val="24"/>
                <w:szCs w:val="24"/>
                <w:lang w:val="lv-LV"/>
              </w:rPr>
              <w:t>, pieļaujot atšķirības zāļu iepakojuma metodē: reģistrētas zāles tabletēs iepakotas pudelēs (</w:t>
            </w:r>
            <w:r w:rsidRPr="00161C60">
              <w:rPr>
                <w:rFonts w:ascii="Times New Roman" w:hAnsi="Times New Roman"/>
                <w:i/>
                <w:sz w:val="24"/>
                <w:szCs w:val="24"/>
                <w:lang w:val="lv-LV"/>
              </w:rPr>
              <w:t>ampula</w:t>
            </w:r>
            <w:r w:rsidRPr="00161C60">
              <w:rPr>
                <w:rFonts w:ascii="Times New Roman" w:hAnsi="Times New Roman"/>
                <w:sz w:val="24"/>
                <w:szCs w:val="24"/>
                <w:lang w:val="lv-LV"/>
              </w:rPr>
              <w:t xml:space="preserve">), bet paralēli importē zāles tabletēs </w:t>
            </w:r>
            <w:proofErr w:type="spellStart"/>
            <w:r w:rsidRPr="00161C60">
              <w:rPr>
                <w:rFonts w:ascii="Times New Roman" w:hAnsi="Times New Roman"/>
                <w:sz w:val="24"/>
                <w:szCs w:val="24"/>
                <w:lang w:val="lv-LV"/>
              </w:rPr>
              <w:t>blisteru</w:t>
            </w:r>
            <w:proofErr w:type="spellEnd"/>
            <w:r w:rsidRPr="00161C60">
              <w:rPr>
                <w:rFonts w:ascii="Times New Roman" w:hAnsi="Times New Roman"/>
                <w:sz w:val="24"/>
                <w:szCs w:val="24"/>
                <w:lang w:val="lv-LV"/>
              </w:rPr>
              <w:t xml:space="preserve"> iepakojumā. Tas palielina zāļu pieejamību, runāt par pacientu risku nav pamata, jo paralēlā importa ceļā ieved zāles, kuras ir reģistrētas Eiropas Savienībā, jo Zāļu valsts aģentūra izsniedz par paralēli importētājām zālēm atļauju tās izplatīt un pieprasa informāciju zāļu piegādātājvalsts kompetentās iestādes, kur ietver arī informāciju par šo zāļu uzglabāšanu.</w:t>
            </w:r>
          </w:p>
          <w:p w:rsidR="00716B17" w:rsidRPr="00161C60" w:rsidRDefault="00716B17" w:rsidP="00716B17">
            <w:pPr>
              <w:pStyle w:val="CommentText"/>
              <w:jc w:val="both"/>
              <w:rPr>
                <w:sz w:val="24"/>
                <w:szCs w:val="24"/>
              </w:rPr>
            </w:pPr>
            <w:r w:rsidRPr="00161C60">
              <w:rPr>
                <w:sz w:val="24"/>
                <w:szCs w:val="24"/>
              </w:rPr>
              <w:t xml:space="preserve">Zāļu drošums un izsekojamība šai sakarā nemazinās,  farmakovigilances riska nav, jo pašreiz regulējums </w:t>
            </w:r>
            <w:r w:rsidRPr="00161C60">
              <w:rPr>
                <w:sz w:val="24"/>
                <w:szCs w:val="24"/>
                <w:shd w:val="clear" w:color="auto" w:fill="FFFFFF"/>
              </w:rPr>
              <w:t xml:space="preserve">Ministru kabineta 2013.gada 22.janvāra noteikumos Nr.47 ”Farmakovigilances kārtība” (8.punkts) </w:t>
            </w:r>
            <w:r w:rsidRPr="00161C60">
              <w:rPr>
                <w:sz w:val="24"/>
                <w:szCs w:val="24"/>
              </w:rPr>
              <w:t xml:space="preserve">jau paredz zāļu blakusparādību uzraudzībā </w:t>
            </w:r>
            <w:r w:rsidRPr="00161C60">
              <w:rPr>
                <w:sz w:val="24"/>
                <w:szCs w:val="24"/>
                <w:shd w:val="clear" w:color="auto" w:fill="FFFFFF"/>
              </w:rPr>
              <w:t xml:space="preserve">ārstniecības personas un farmaceita, kā arī paralēlā importētāja pienākumu ziņot Aģentūrai arī par zāļu blakusparādībām, kas novērotas lietojot šīs zāles, līdz ar to zāļu drošums tiek uzraudzīts. Paralēli importētās zāles </w:t>
            </w:r>
            <w:r w:rsidRPr="00161C60">
              <w:rPr>
                <w:sz w:val="24"/>
                <w:szCs w:val="24"/>
              </w:rPr>
              <w:t xml:space="preserve"> uzrauga kontrolējošas institūcijas - Inspekcija un Aģentūra.</w:t>
            </w:r>
          </w:p>
          <w:p w:rsidR="00716B17" w:rsidRPr="00161C60" w:rsidRDefault="00716B17" w:rsidP="00716B17">
            <w:pPr>
              <w:jc w:val="both"/>
            </w:pPr>
            <w:r w:rsidRPr="00161C60">
              <w:t>Nav pamata arī apgalvojumam par viltojumu risku, jo zāles piegādā licencēti zāļu vairumtirgotāji, Aģentūra izsniedz paralēli importētām zālēm izplatīšanas atļauju, tajā skaitā sazinās ar kompetento iestādi valstī, kurā šīs zāles ir reģistrētas un kompetentās iestādes ir tiesīgas ņemt veikt zāļu testēšanu.</w:t>
            </w:r>
          </w:p>
          <w:p w:rsidR="00716B17" w:rsidRPr="00161C60" w:rsidRDefault="00716B17" w:rsidP="00716B17">
            <w:pPr>
              <w:jc w:val="both"/>
            </w:pPr>
          </w:p>
          <w:p w:rsidR="00B14BE1" w:rsidRPr="00161C60" w:rsidRDefault="00716B17" w:rsidP="00B14BE1">
            <w:pPr>
              <w:autoSpaceDE w:val="0"/>
              <w:autoSpaceDN w:val="0"/>
              <w:adjustRightInd w:val="0"/>
              <w:jc w:val="both"/>
              <w:rPr>
                <w:rFonts w:eastAsia="Calibri"/>
                <w:lang w:eastAsia="en-US"/>
              </w:rPr>
            </w:pPr>
            <w:r w:rsidRPr="00161C60">
              <w:t xml:space="preserve">Atšķirības palīgvielās starp paralēli importētajām zālēm un attiecīgajām reģistrētajām zālēm nepalielina </w:t>
            </w:r>
            <w:r w:rsidRPr="00161C60">
              <w:rPr>
                <w:rStyle w:val="Strong"/>
              </w:rPr>
              <w:t xml:space="preserve">palielina viltojumu, drošības un farmakovigilances risku, šādas </w:t>
            </w:r>
            <w:r w:rsidRPr="00161C60">
              <w:t xml:space="preserve">atšķirības pieļauj Eiropas Komisijas paziņojums par paralēlo importu un EK Tiesas nolēmums C-201/94 </w:t>
            </w:r>
            <w:proofErr w:type="spellStart"/>
            <w:r w:rsidRPr="00161C60">
              <w:rPr>
                <w:i/>
              </w:rPr>
              <w:t>Smith</w:t>
            </w:r>
            <w:proofErr w:type="spellEnd"/>
            <w:r w:rsidRPr="00161C60">
              <w:rPr>
                <w:i/>
              </w:rPr>
              <w:t xml:space="preserve"> &amp; </w:t>
            </w:r>
            <w:proofErr w:type="spellStart"/>
            <w:r w:rsidRPr="00161C60">
              <w:rPr>
                <w:i/>
              </w:rPr>
              <w:t>Nephew</w:t>
            </w:r>
            <w:proofErr w:type="spellEnd"/>
            <w:r w:rsidRPr="00161C60">
              <w:rPr>
                <w:i/>
              </w:rPr>
              <w:t xml:space="preserve"> </w:t>
            </w:r>
            <w:proofErr w:type="spellStart"/>
            <w:r w:rsidRPr="00161C60">
              <w:rPr>
                <w:i/>
              </w:rPr>
              <w:t>and</w:t>
            </w:r>
            <w:proofErr w:type="spellEnd"/>
            <w:r w:rsidRPr="00161C60">
              <w:rPr>
                <w:i/>
              </w:rPr>
              <w:t xml:space="preserve"> </w:t>
            </w:r>
            <w:proofErr w:type="spellStart"/>
            <w:r w:rsidRPr="00161C60">
              <w:rPr>
                <w:i/>
              </w:rPr>
              <w:t>Primecrown</w:t>
            </w:r>
            <w:proofErr w:type="spellEnd"/>
            <w:r w:rsidRPr="00161C60">
              <w:rPr>
                <w:i/>
              </w:rPr>
              <w:t xml:space="preserve"> (1996) ECR I-5819.</w:t>
            </w:r>
            <w:r w:rsidRPr="00161C60">
              <w:t xml:space="preserve"> Skatīt tīmekļa vietnē -</w:t>
            </w:r>
            <w:r w:rsidRPr="00161C60">
              <w:rPr>
                <w:i/>
              </w:rPr>
              <w:t xml:space="preserve"> </w:t>
            </w:r>
            <w:hyperlink r:id="rId29" w:history="1">
              <w:r w:rsidRPr="00161C60">
                <w:rPr>
                  <w:rStyle w:val="Hyperlink"/>
                  <w:i/>
                  <w:color w:val="auto"/>
                </w:rPr>
                <w:t>http://ec.europa.eu/health/files/eudralex/vol1/com_2003_839/com_2003_839_en.pdf</w:t>
              </w:r>
            </w:hyperlink>
            <w:r w:rsidRPr="00161C60">
              <w:rPr>
                <w:i/>
              </w:rPr>
              <w:t>).</w:t>
            </w:r>
          </w:p>
        </w:tc>
      </w:tr>
      <w:tr w:rsidR="00E56B62" w:rsidRPr="00161C60" w:rsidTr="00097D6B">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970901" w:rsidRPr="00161C60" w:rsidRDefault="00970901" w:rsidP="00D07F03">
            <w:r w:rsidRPr="00161C60">
              <w:lastRenderedPageBreak/>
              <w:t>4.</w:t>
            </w:r>
          </w:p>
        </w:tc>
        <w:tc>
          <w:tcPr>
            <w:tcW w:w="2410" w:type="dxa"/>
            <w:tcBorders>
              <w:top w:val="outset" w:sz="6" w:space="0" w:color="414142"/>
              <w:left w:val="outset" w:sz="6" w:space="0" w:color="414142"/>
              <w:bottom w:val="outset" w:sz="6" w:space="0" w:color="414142"/>
              <w:right w:val="outset" w:sz="6" w:space="0" w:color="414142"/>
            </w:tcBorders>
            <w:hideMark/>
          </w:tcPr>
          <w:p w:rsidR="00970901" w:rsidRPr="00161C60" w:rsidRDefault="00970901" w:rsidP="00D07F03">
            <w:r w:rsidRPr="00161C60">
              <w:t>Cita informācija</w:t>
            </w:r>
          </w:p>
        </w:tc>
        <w:tc>
          <w:tcPr>
            <w:tcW w:w="6407" w:type="dxa"/>
            <w:tcBorders>
              <w:top w:val="outset" w:sz="6" w:space="0" w:color="414142"/>
              <w:left w:val="outset" w:sz="6" w:space="0" w:color="414142"/>
              <w:bottom w:val="outset" w:sz="6" w:space="0" w:color="414142"/>
              <w:right w:val="outset" w:sz="6" w:space="0" w:color="414142"/>
            </w:tcBorders>
            <w:hideMark/>
          </w:tcPr>
          <w:p w:rsidR="00B14BE1" w:rsidRPr="00161C60" w:rsidRDefault="00B14BE1" w:rsidP="00B14BE1">
            <w:pPr>
              <w:autoSpaceDE w:val="0"/>
              <w:autoSpaceDN w:val="0"/>
              <w:adjustRightInd w:val="0"/>
              <w:jc w:val="both"/>
              <w:rPr>
                <w:i/>
              </w:rPr>
            </w:pPr>
            <w:r w:rsidRPr="00161C60">
              <w:rPr>
                <w:i/>
              </w:rPr>
              <w:t xml:space="preserve">Informācija par dalībvalstu praksi, lai aptieka ievestu </w:t>
            </w:r>
            <w:r w:rsidRPr="00161C60">
              <w:rPr>
                <w:i/>
              </w:rPr>
              <w:lastRenderedPageBreak/>
              <w:t>nereģistrētas zāles</w:t>
            </w:r>
          </w:p>
          <w:p w:rsidR="00B14BE1" w:rsidRPr="00161C60" w:rsidRDefault="00B14BE1" w:rsidP="00B14BE1">
            <w:pPr>
              <w:pStyle w:val="naisf"/>
              <w:ind w:right="184"/>
              <w:jc w:val="both"/>
              <w:rPr>
                <w:i/>
              </w:rPr>
            </w:pPr>
            <w:r w:rsidRPr="00161C60">
              <w:rPr>
                <w:bCs/>
              </w:rPr>
              <w:t xml:space="preserve">Veselības ministrija ir saņēmusi ar VM specializētā atašeja Briselē starpniecību atbildes no ES dalībvalstīm </w:t>
            </w:r>
            <w:r w:rsidRPr="00161C60">
              <w:rPr>
                <w:bCs/>
                <w:u w:val="single"/>
              </w:rPr>
              <w:t xml:space="preserve">uz jautājumu </w:t>
            </w:r>
            <w:r w:rsidRPr="00161C60">
              <w:rPr>
                <w:b/>
                <w:bCs/>
              </w:rPr>
              <w:t>vai tiesību normas ES dalībvalstī atļauj aptiekai</w:t>
            </w:r>
            <w:r w:rsidRPr="00161C60">
              <w:rPr>
                <w:bCs/>
              </w:rPr>
              <w:t xml:space="preserve"> iegādāties citā dalībvalstī zāles (</w:t>
            </w:r>
            <w:proofErr w:type="spellStart"/>
            <w:r w:rsidRPr="00161C60">
              <w:rPr>
                <w:bCs/>
                <w:i/>
              </w:rPr>
              <w:t>medicinal</w:t>
            </w:r>
            <w:proofErr w:type="spellEnd"/>
            <w:r w:rsidRPr="00161C60">
              <w:rPr>
                <w:bCs/>
                <w:i/>
              </w:rPr>
              <w:t xml:space="preserve"> </w:t>
            </w:r>
            <w:proofErr w:type="spellStart"/>
            <w:r w:rsidRPr="00161C60">
              <w:rPr>
                <w:bCs/>
                <w:i/>
              </w:rPr>
              <w:t>products</w:t>
            </w:r>
            <w:proofErr w:type="spellEnd"/>
            <w:r w:rsidRPr="00161C60">
              <w:rPr>
                <w:bCs/>
              </w:rPr>
              <w:t xml:space="preserve">), kas minētas Direktīvas 2001/83* 5.pantā, </w:t>
            </w:r>
            <w:r w:rsidRPr="00161C60">
              <w:rPr>
                <w:bCs/>
                <w:u w:val="single"/>
              </w:rPr>
              <w:t>bez speciālas attiecīgās valsts kompetentās iestādes izdotas atļaujas/licences saņemšanas</w:t>
            </w:r>
            <w:r w:rsidRPr="00161C60">
              <w:rPr>
                <w:bCs/>
              </w:rPr>
              <w:t xml:space="preserve">, lai </w:t>
            </w:r>
            <w:proofErr w:type="spellStart"/>
            <w:r w:rsidRPr="00161C60">
              <w:t>īstenotuīpašas</w:t>
            </w:r>
            <w:proofErr w:type="spellEnd"/>
            <w:r w:rsidRPr="00161C60">
              <w:t xml:space="preserve"> vajadzības, kuras sniedz saistībā ar </w:t>
            </w:r>
            <w:proofErr w:type="spellStart"/>
            <w:r w:rsidRPr="00161C60">
              <w:rPr>
                <w:i/>
                <w:iCs/>
              </w:rPr>
              <w:t>bona</w:t>
            </w:r>
            <w:proofErr w:type="spellEnd"/>
            <w:r w:rsidRPr="00161C60">
              <w:rPr>
                <w:i/>
                <w:iCs/>
              </w:rPr>
              <w:t xml:space="preserve"> </w:t>
            </w:r>
            <w:proofErr w:type="spellStart"/>
            <w:r w:rsidRPr="00161C60">
              <w:rPr>
                <w:i/>
                <w:iCs/>
              </w:rPr>
              <w:t>fide</w:t>
            </w:r>
            <w:proofErr w:type="spellEnd"/>
            <w:r w:rsidRPr="00161C60">
              <w:rPr>
                <w:i/>
                <w:iCs/>
              </w:rPr>
              <w:t xml:space="preserve"> </w:t>
            </w:r>
            <w:r w:rsidRPr="00161C60">
              <w:t xml:space="preserve">pasūtījumu, kas ir formulēts pēc attiecīgajā valstī pilnvarota veselības aprūpes speciālista norādījuma (domāta persona, kas nozīmē zāles pacientam) un ir paredzēts individuālu pacientu lietošanai, veselības aprūpes speciālistam uzņemoties tiešu personisku atbildību, </w:t>
            </w:r>
            <w:r w:rsidRPr="00161C60">
              <w:rPr>
                <w:u w:val="single"/>
              </w:rPr>
              <w:t>īsi raksturojot nereģistrētu zāļu saņemšanas kārtību</w:t>
            </w:r>
            <w:r w:rsidRPr="00161C60">
              <w:t xml:space="preserve">. </w:t>
            </w:r>
            <w:proofErr w:type="spellStart"/>
            <w:r w:rsidRPr="00161C60">
              <w:rPr>
                <w:i/>
              </w:rPr>
              <w:t>P.s</w:t>
            </w:r>
            <w:proofErr w:type="spellEnd"/>
            <w:r w:rsidRPr="00161C60">
              <w:rPr>
                <w:i/>
              </w:rPr>
              <w:t>. Uzdotais jautājums neskar to nereģistrēto autorizāciju, par kurām runā Direktīvas 2001/83 126a pants (kad ir atļauta ES reģistrētu, bet konkrētajā valstī nereģistrētu zāļu tirdzniecība, izsniedzot tām tirdzniecības atļauju - </w:t>
            </w:r>
            <w:proofErr w:type="spellStart"/>
            <w:r w:rsidRPr="00161C60">
              <w:rPr>
                <w:i/>
              </w:rPr>
              <w:t>marketing</w:t>
            </w:r>
            <w:proofErr w:type="spellEnd"/>
            <w:r w:rsidRPr="00161C60">
              <w:rPr>
                <w:i/>
              </w:rPr>
              <w:t xml:space="preserve"> </w:t>
            </w:r>
            <w:proofErr w:type="spellStart"/>
            <w:r w:rsidRPr="00161C60">
              <w:rPr>
                <w:i/>
              </w:rPr>
              <w:t>authorization</w:t>
            </w:r>
            <w:proofErr w:type="spellEnd"/>
            <w:r w:rsidRPr="00161C60">
              <w:rPr>
                <w:i/>
              </w:rPr>
              <w:t>).</w:t>
            </w:r>
          </w:p>
          <w:p w:rsidR="00B14BE1" w:rsidRPr="00161C60" w:rsidRDefault="00B14BE1" w:rsidP="00B14BE1">
            <w:pPr>
              <w:autoSpaceDE w:val="0"/>
              <w:autoSpaceDN w:val="0"/>
              <w:adjustRightInd w:val="0"/>
              <w:jc w:val="both"/>
            </w:pPr>
            <w:r w:rsidRPr="00161C60">
              <w:t>Latvija atbildes ir saņēmusi no 8 dalībvalstīm: Vācijas (DE), Beļģijas (BE), Igaunijas (EE), Ungārijas (HU), Lietuvas (LT), Nīderlandes (NL), Rumānijas (RO), Apvienotās Karalistes (UK).</w:t>
            </w:r>
          </w:p>
          <w:p w:rsidR="00B14BE1" w:rsidRPr="00161C60" w:rsidRDefault="00B14BE1" w:rsidP="00B14BE1">
            <w:pPr>
              <w:autoSpaceDE w:val="0"/>
              <w:autoSpaceDN w:val="0"/>
              <w:adjustRightInd w:val="0"/>
              <w:jc w:val="both"/>
            </w:pPr>
          </w:p>
          <w:p w:rsidR="00B14BE1" w:rsidRPr="00161C60" w:rsidRDefault="00B14BE1" w:rsidP="00B14BE1">
            <w:pPr>
              <w:autoSpaceDE w:val="0"/>
              <w:autoSpaceDN w:val="0"/>
              <w:adjustRightInd w:val="0"/>
              <w:jc w:val="both"/>
            </w:pPr>
            <w:r w:rsidRPr="00161C60">
              <w:t>No iesūtītām atbildēm redzams, ka dažādās valstīs ir dažādas regulācijas:</w:t>
            </w:r>
          </w:p>
          <w:p w:rsidR="00B14BE1" w:rsidRPr="00161C60" w:rsidRDefault="00B14BE1" w:rsidP="00B14BE1">
            <w:pPr>
              <w:autoSpaceDE w:val="0"/>
              <w:autoSpaceDN w:val="0"/>
              <w:adjustRightInd w:val="0"/>
              <w:jc w:val="both"/>
            </w:pPr>
            <w:r w:rsidRPr="00161C60">
              <w:t>a) </w:t>
            </w:r>
            <w:r w:rsidRPr="00161C60">
              <w:rPr>
                <w:b/>
              </w:rPr>
              <w:t>Igaunijā, Nīderlandē</w:t>
            </w:r>
            <w:r w:rsidRPr="00161C60">
              <w:t xml:space="preserve"> nereģistrētu iegāde ir atļauta licencētam zāļu vairumtirgotājiem </w:t>
            </w:r>
            <w:r w:rsidRPr="00161C60">
              <w:rPr>
                <w:u w:val="single"/>
              </w:rPr>
              <w:t>uz atļaujas pamata</w:t>
            </w:r>
            <w:r w:rsidRPr="00161C60">
              <w:t> - EE, NL.</w:t>
            </w:r>
          </w:p>
          <w:p w:rsidR="00B14BE1" w:rsidRPr="00161C60" w:rsidRDefault="00B14BE1" w:rsidP="00B14BE1">
            <w:pPr>
              <w:autoSpaceDE w:val="0"/>
              <w:autoSpaceDN w:val="0"/>
              <w:adjustRightInd w:val="0"/>
              <w:jc w:val="both"/>
            </w:pPr>
            <w:r w:rsidRPr="00161C60">
              <w:t>b) </w:t>
            </w:r>
            <w:r w:rsidRPr="00161C60">
              <w:rPr>
                <w:b/>
              </w:rPr>
              <w:t xml:space="preserve">Vācijā, Beļģijā, Ungārijā un Lietuvā </w:t>
            </w:r>
            <w:r w:rsidRPr="00161C60">
              <w:rPr>
                <w:rFonts w:ascii="TimesNewRoman" w:hAnsi="TimesNewRoman" w:cs="TimesNewRoman"/>
                <w:b/>
              </w:rPr>
              <w:t xml:space="preserve">aptiekai atļauts iegādāties </w:t>
            </w:r>
            <w:r w:rsidRPr="00161C60">
              <w:rPr>
                <w:rFonts w:ascii="TimesNewRoman" w:hAnsi="TimesNewRoman" w:cs="TimesNewRoman" w:hint="eastAsia"/>
                <w:b/>
              </w:rPr>
              <w:t>nereģistrētas</w:t>
            </w:r>
            <w:r w:rsidRPr="00161C60">
              <w:rPr>
                <w:rFonts w:ascii="TimesNewRoman" w:hAnsi="TimesNewRoman" w:cs="TimesNewRoman"/>
                <w:b/>
              </w:rPr>
              <w:t xml:space="preserve"> zāles citās dalībvalstīs bez īpašas atļaujas</w:t>
            </w:r>
            <w:r w:rsidRPr="00161C60">
              <w:t xml:space="preserve">, </w:t>
            </w:r>
            <w:r w:rsidRPr="00161C60">
              <w:rPr>
                <w:i/>
              </w:rPr>
              <w:t>piemēram</w:t>
            </w:r>
            <w:r w:rsidRPr="00161C60">
              <w:t xml:space="preserve">, aptiekām, kuras iegādājas zāles citās valstīs </w:t>
            </w:r>
            <w:r w:rsidRPr="00161C60">
              <w:rPr>
                <w:u w:val="single"/>
              </w:rPr>
              <w:t>nav ieviesta ”atļaujas” sistēma</w:t>
            </w:r>
            <w:r w:rsidRPr="00161C60">
              <w:t>, bet tās vietā aptiekai (arī slimnīcām) ir atļauts uz savas licence pamata un ir paziņošanas (notifikācijas) sistēma.</w:t>
            </w:r>
          </w:p>
          <w:p w:rsidR="00B14BE1" w:rsidRPr="00161C60" w:rsidRDefault="00B14BE1" w:rsidP="00B14BE1">
            <w:pPr>
              <w:autoSpaceDE w:val="0"/>
              <w:autoSpaceDN w:val="0"/>
              <w:adjustRightInd w:val="0"/>
              <w:jc w:val="both"/>
            </w:pPr>
          </w:p>
          <w:p w:rsidR="00B14BE1" w:rsidRPr="00161C60" w:rsidRDefault="00B14BE1" w:rsidP="00B14BE1">
            <w:pPr>
              <w:autoSpaceDE w:val="0"/>
              <w:autoSpaceDN w:val="0"/>
              <w:adjustRightInd w:val="0"/>
              <w:jc w:val="both"/>
              <w:rPr>
                <w:rFonts w:ascii="TimesNewRoman" w:hAnsi="TimesNewRoman" w:cs="TimesNewRoman"/>
              </w:rPr>
            </w:pPr>
            <w:r w:rsidRPr="00161C60">
              <w:rPr>
                <w:rFonts w:ascii="TimesNewRoman" w:hAnsi="TimesNewRoman" w:cs="TimesNewRoman"/>
                <w:u w:val="single"/>
              </w:rPr>
              <w:t>Vācijā</w:t>
            </w:r>
            <w:r w:rsidRPr="00161C60">
              <w:rPr>
                <w:rFonts w:ascii="TimesNewRoman" w:hAnsi="TimesNewRoman" w:cs="TimesNewRoman"/>
              </w:rPr>
              <w:t xml:space="preserve"> - aptiekai atļauts iegādāties </w:t>
            </w:r>
            <w:r w:rsidRPr="00161C60">
              <w:rPr>
                <w:rFonts w:ascii="TimesNewRoman" w:hAnsi="TimesNewRoman" w:cs="TimesNewRoman" w:hint="eastAsia"/>
              </w:rPr>
              <w:t>nereģistrētas</w:t>
            </w:r>
            <w:r w:rsidRPr="00161C60">
              <w:rPr>
                <w:rFonts w:ascii="TimesNewRoman" w:hAnsi="TimesNewRoman" w:cs="TimesNewRoman"/>
              </w:rPr>
              <w:t xml:space="preserve"> zāles citās dalībvalstīs bez īpašas atļaujas. N</w:t>
            </w:r>
            <w:r w:rsidRPr="00161C60">
              <w:rPr>
                <w:rFonts w:ascii="TimesNewRoman" w:hAnsi="TimesNewRoman" w:cs="TimesNewRoman" w:hint="eastAsia"/>
              </w:rPr>
              <w:t>ereģistrētas</w:t>
            </w:r>
            <w:r w:rsidRPr="00161C60">
              <w:rPr>
                <w:rFonts w:ascii="TimesNewRoman" w:hAnsi="TimesNewRoman" w:cs="TimesNewRoman"/>
              </w:rPr>
              <w:t xml:space="preserve"> zāles pasūta aptieka, pamatojoties uz individuāla personas pieprasījumu. Aptieka n</w:t>
            </w:r>
            <w:r w:rsidRPr="00161C60">
              <w:rPr>
                <w:rFonts w:ascii="TimesNewRoman" w:hAnsi="TimesNewRoman" w:cs="TimesNewRoman" w:hint="eastAsia"/>
              </w:rPr>
              <w:t>ereģistrētas</w:t>
            </w:r>
            <w:r w:rsidRPr="00161C60">
              <w:rPr>
                <w:rFonts w:ascii="TimesNewRoman" w:hAnsi="TimesNewRoman" w:cs="TimesNewRoman"/>
              </w:rPr>
              <w:t xml:space="preserve"> zāles izsniedz uz savas aptiekas darbības licences pamata. Valstī no kuras šīs zāles ieved, tām ir jābūt atļautām tirgū.</w:t>
            </w:r>
          </w:p>
          <w:p w:rsidR="00B14BE1" w:rsidRPr="00161C60" w:rsidRDefault="00B14BE1" w:rsidP="00B14BE1">
            <w:pPr>
              <w:autoSpaceDE w:val="0"/>
              <w:autoSpaceDN w:val="0"/>
              <w:adjustRightInd w:val="0"/>
              <w:jc w:val="both"/>
              <w:rPr>
                <w:rFonts w:ascii="TimesNewRoman" w:hAnsi="TimesNewRoman" w:cs="TimesNewRoman"/>
              </w:rPr>
            </w:pPr>
            <w:r w:rsidRPr="00161C60">
              <w:rPr>
                <w:rFonts w:ascii="TimesNewRoman" w:hAnsi="TimesNewRoman" w:cs="TimesNewRoman"/>
                <w:u w:val="single"/>
              </w:rPr>
              <w:t>Beļģijā</w:t>
            </w:r>
            <w:r w:rsidRPr="00161C60">
              <w:rPr>
                <w:rFonts w:ascii="TimesNewRoman" w:hAnsi="TimesNewRoman" w:cs="TimesNewRoman"/>
              </w:rPr>
              <w:t xml:space="preserve"> - aptiekai atļauts iegādāties </w:t>
            </w:r>
            <w:r w:rsidRPr="00161C60">
              <w:rPr>
                <w:rFonts w:ascii="TimesNewRoman" w:hAnsi="TimesNewRoman" w:cs="TimesNewRoman" w:hint="eastAsia"/>
              </w:rPr>
              <w:t>nereģistrētas</w:t>
            </w:r>
            <w:r w:rsidRPr="00161C60">
              <w:rPr>
                <w:rFonts w:ascii="TimesNewRoman" w:hAnsi="TimesNewRoman" w:cs="TimesNewRoman"/>
              </w:rPr>
              <w:t xml:space="preserve"> zāles citās dalībvalstīs bez īpašas atļaujas - farmaceits var importēt ārstēšanai </w:t>
            </w:r>
            <w:r w:rsidRPr="00161C60">
              <w:rPr>
                <w:rFonts w:ascii="TimesNewRoman" w:hAnsi="TimesNewRoman" w:cs="TimesNewRoman" w:hint="eastAsia"/>
              </w:rPr>
              <w:t>vajadzīgo</w:t>
            </w:r>
            <w:r w:rsidRPr="00161C60">
              <w:rPr>
                <w:rFonts w:ascii="TimesNewRoman" w:hAnsi="TimesNewRoman" w:cs="TimesNewRoman"/>
              </w:rPr>
              <w:t xml:space="preserve"> nereģistrēto zāļu daudzumu, priekš slimnīcas, tas attiecas uz pacientu grupu. N</w:t>
            </w:r>
            <w:r w:rsidRPr="00161C60">
              <w:rPr>
                <w:rFonts w:ascii="TimesNewRoman" w:hAnsi="TimesNewRoman" w:cs="TimesNewRoman" w:hint="eastAsia"/>
              </w:rPr>
              <w:t>ereģistrētas</w:t>
            </w:r>
            <w:r w:rsidRPr="00161C60">
              <w:rPr>
                <w:rFonts w:ascii="TimesNewRoman" w:hAnsi="TimesNewRoman" w:cs="TimesNewRoman"/>
              </w:rPr>
              <w:t xml:space="preserve"> zāles aptieka pasūta pēc ārsta receptes. Ārsts deklarē, ka īpašās zāles </w:t>
            </w:r>
            <w:r w:rsidRPr="00161C60">
              <w:rPr>
                <w:rFonts w:ascii="TimesNewRoman" w:hAnsi="TimesNewRoman" w:cs="TimesNewRoman"/>
                <w:i/>
              </w:rPr>
              <w:t>(</w:t>
            </w:r>
            <w:proofErr w:type="spellStart"/>
            <w:r w:rsidRPr="00161C60">
              <w:rPr>
                <w:rFonts w:ascii="TimesNewRoman" w:hAnsi="TimesNewRoman" w:cs="TimesNewRoman"/>
                <w:i/>
              </w:rPr>
              <w:t>particular</w:t>
            </w:r>
            <w:proofErr w:type="spellEnd"/>
            <w:r w:rsidRPr="00161C60">
              <w:rPr>
                <w:rFonts w:ascii="TimesNewRoman" w:hAnsi="TimesNewRoman" w:cs="TimesNewRoman"/>
                <w:i/>
              </w:rPr>
              <w:t xml:space="preserve"> </w:t>
            </w:r>
            <w:proofErr w:type="spellStart"/>
            <w:r w:rsidRPr="00161C60">
              <w:rPr>
                <w:rFonts w:ascii="TimesNewRoman" w:hAnsi="TimesNewRoman" w:cs="TimesNewRoman"/>
                <w:i/>
              </w:rPr>
              <w:t>medicine</w:t>
            </w:r>
            <w:proofErr w:type="spellEnd"/>
            <w:r w:rsidRPr="00161C60">
              <w:rPr>
                <w:rFonts w:ascii="TimesNewRoman" w:hAnsi="TimesNewRoman" w:cs="TimesNewRoman"/>
                <w:i/>
              </w:rPr>
              <w:t>)</w:t>
            </w:r>
            <w:r w:rsidRPr="00161C60">
              <w:rPr>
                <w:rFonts w:ascii="TimesNewRoman" w:hAnsi="TimesNewRoman" w:cs="TimesNewRoman"/>
              </w:rPr>
              <w:t xml:space="preserve"> ir obligātas un nav cita ceļa, lai ārstētu </w:t>
            </w:r>
            <w:r w:rsidRPr="00161C60">
              <w:rPr>
                <w:rFonts w:ascii="TimesNewRoman" w:hAnsi="TimesNewRoman" w:cs="TimesNewRoman"/>
              </w:rPr>
              <w:lastRenderedPageBreak/>
              <w:t>pacientu. Bet vairumtirgotāju iesaiste nav atļauta, jo šīs ir nereģistrētas zāles.</w:t>
            </w:r>
          </w:p>
          <w:p w:rsidR="00B14BE1" w:rsidRPr="00161C60" w:rsidRDefault="00B14BE1" w:rsidP="00B14BE1">
            <w:pPr>
              <w:autoSpaceDE w:val="0"/>
              <w:autoSpaceDN w:val="0"/>
              <w:adjustRightInd w:val="0"/>
              <w:jc w:val="both"/>
            </w:pPr>
            <w:r w:rsidRPr="00161C60">
              <w:rPr>
                <w:rFonts w:ascii="TimesNewRoman" w:hAnsi="TimesNewRoman" w:cs="TimesNewRoman"/>
                <w:u w:val="single"/>
              </w:rPr>
              <w:t>Ungārijā</w:t>
            </w:r>
            <w:r w:rsidRPr="00161C60">
              <w:rPr>
                <w:rFonts w:ascii="TimesNewRoman" w:hAnsi="TimesNewRoman" w:cs="TimesNewRoman"/>
              </w:rPr>
              <w:t xml:space="preserve"> - aptiekai atļauts iegādāties </w:t>
            </w:r>
            <w:r w:rsidRPr="00161C60">
              <w:rPr>
                <w:rFonts w:ascii="TimesNewRoman" w:hAnsi="TimesNewRoman" w:cs="TimesNewRoman" w:hint="eastAsia"/>
              </w:rPr>
              <w:t>nereģistrētas</w:t>
            </w:r>
            <w:r w:rsidRPr="00161C60">
              <w:rPr>
                <w:rFonts w:ascii="TimesNewRoman" w:hAnsi="TimesNewRoman" w:cs="TimesNewRoman"/>
              </w:rPr>
              <w:t xml:space="preserve"> zāles citās dalībvalstīs bez īpašas atļaujas. Atļautas ir jebkuras zāles, kuras ir autorizēts (reģistrētas) citās EEZ valstīs. Tie skaitā izņēmuma gadījumi, </w:t>
            </w:r>
            <w:r w:rsidRPr="00161C60">
              <w:t>ja tie ir pamatoti ar pacienta aprūpes interesēm un speciāliem apsvērumiem. Lietot atļauts, ja par iesniedz kompetentai institūcijai notifikāciju.</w:t>
            </w:r>
          </w:p>
          <w:p w:rsidR="00B14BE1" w:rsidRPr="00161C60" w:rsidRDefault="00B14BE1" w:rsidP="00B14BE1">
            <w:pPr>
              <w:autoSpaceDE w:val="0"/>
              <w:autoSpaceDN w:val="0"/>
              <w:adjustRightInd w:val="0"/>
              <w:jc w:val="both"/>
            </w:pPr>
            <w:r w:rsidRPr="00161C60">
              <w:rPr>
                <w:u w:val="single"/>
              </w:rPr>
              <w:t>Lietuvā</w:t>
            </w:r>
            <w:r w:rsidRPr="00161C60">
              <w:t> - aptiekai atļauts iegādāties nereģistrētas zāles citās dalībvalstīs bez īpašas atļaujas. Lietuvā tās sauc par ir ”</w:t>
            </w:r>
            <w:proofErr w:type="spellStart"/>
            <w:r w:rsidRPr="00161C60">
              <w:rPr>
                <w:i/>
              </w:rPr>
              <w:t>named</w:t>
            </w:r>
            <w:proofErr w:type="spellEnd"/>
            <w:r w:rsidRPr="00161C60">
              <w:rPr>
                <w:i/>
              </w:rPr>
              <w:t xml:space="preserve"> </w:t>
            </w:r>
            <w:proofErr w:type="spellStart"/>
            <w:r w:rsidRPr="00161C60">
              <w:rPr>
                <w:i/>
              </w:rPr>
              <w:t>medicines</w:t>
            </w:r>
            <w:proofErr w:type="spellEnd"/>
            <w:r w:rsidRPr="00161C60">
              <w:t>”.  Tas nozīmē, ka zāles var būt Lietuvā nereģistrētas vai arī nav tirgū. Atļauja nav vajadzīga. Praksē ar šo nodarbojas dažas aptiekas dažādās pilsētās. Aptiekai nav par to jāziņo kompetentajai iestādei.</w:t>
            </w:r>
          </w:p>
          <w:p w:rsidR="00B14BE1" w:rsidRPr="00161C60" w:rsidRDefault="00B14BE1" w:rsidP="00B14BE1">
            <w:pPr>
              <w:pStyle w:val="NoSpacing"/>
              <w:jc w:val="both"/>
              <w:rPr>
                <w:rFonts w:ascii="Times New Roman" w:hAnsi="Times New Roman"/>
                <w:strike/>
                <w:sz w:val="24"/>
                <w:szCs w:val="24"/>
                <w:lang w:val="lv-LV"/>
              </w:rPr>
            </w:pPr>
            <w:r w:rsidRPr="00161C60">
              <w:rPr>
                <w:rFonts w:ascii="Times New Roman" w:hAnsi="Times New Roman"/>
                <w:sz w:val="24"/>
                <w:szCs w:val="24"/>
                <w:lang w:val="lv-LV"/>
              </w:rPr>
              <w:t>Savukārt Igaunijā, Nīderlandē un Rumānijā aptiekai atļauts iegādāties nereģistrētas zāles citās dalībvalstīs bez īpašas atļaujas - nepieciešama zāļu vairumtirdzniecības licence. Apvienotajā Karalistē arī noteikts izņēmuma ierobežojums: pieprasījums var būt no ārsta, zobārsta vai cita izrakstītāja (</w:t>
            </w:r>
            <w:proofErr w:type="spellStart"/>
            <w:r w:rsidRPr="00161C60">
              <w:rPr>
                <w:rFonts w:ascii="Times New Roman" w:hAnsi="Times New Roman"/>
                <w:i/>
                <w:sz w:val="24"/>
                <w:szCs w:val="24"/>
                <w:lang w:val="lv-LV"/>
              </w:rPr>
              <w:t>supplementary</w:t>
            </w:r>
            <w:proofErr w:type="spellEnd"/>
            <w:r w:rsidRPr="00161C60">
              <w:rPr>
                <w:rFonts w:ascii="Times New Roman" w:hAnsi="Times New Roman"/>
                <w:i/>
                <w:sz w:val="24"/>
                <w:szCs w:val="24"/>
                <w:lang w:val="lv-LV"/>
              </w:rPr>
              <w:t xml:space="preserve"> </w:t>
            </w:r>
            <w:proofErr w:type="spellStart"/>
            <w:r w:rsidRPr="00161C60">
              <w:rPr>
                <w:rFonts w:ascii="Times New Roman" w:hAnsi="Times New Roman"/>
                <w:i/>
                <w:sz w:val="24"/>
                <w:szCs w:val="24"/>
                <w:lang w:val="lv-LV"/>
              </w:rPr>
              <w:t>prescriber</w:t>
            </w:r>
            <w:proofErr w:type="spellEnd"/>
            <w:r w:rsidRPr="00161C60">
              <w:rPr>
                <w:rFonts w:ascii="Times New Roman" w:hAnsi="Times New Roman"/>
                <w:sz w:val="24"/>
                <w:szCs w:val="24"/>
                <w:lang w:val="lv-LV"/>
              </w:rPr>
              <w:t>) uzņemoties personisku atbildību, lai individuālam pacientam zāles atbilstu viņa klīniskai vajadzībai (nereģistrētās zāles izraksta, ja nav pieejams autorizētas (reģistrētas) zāles vai, ja reģistrētās zāles nav piemērotas klīnisku iemeslu dēļ (</w:t>
            </w:r>
            <w:r w:rsidRPr="00161C60">
              <w:rPr>
                <w:rFonts w:ascii="Times New Roman" w:hAnsi="Times New Roman"/>
                <w:i/>
                <w:sz w:val="24"/>
                <w:szCs w:val="24"/>
                <w:lang w:val="lv-LV"/>
              </w:rPr>
              <w:t xml:space="preserve">no </w:t>
            </w:r>
            <w:proofErr w:type="spellStart"/>
            <w:r w:rsidRPr="00161C60">
              <w:rPr>
                <w:rFonts w:ascii="Times New Roman" w:hAnsi="Times New Roman"/>
                <w:i/>
                <w:sz w:val="24"/>
                <w:szCs w:val="24"/>
                <w:lang w:val="lv-LV"/>
              </w:rPr>
              <w:t>suitable</w:t>
            </w:r>
            <w:proofErr w:type="spellEnd"/>
            <w:r w:rsidRPr="00161C60">
              <w:rPr>
                <w:rFonts w:ascii="Times New Roman" w:hAnsi="Times New Roman"/>
                <w:i/>
                <w:sz w:val="24"/>
                <w:szCs w:val="24"/>
                <w:lang w:val="lv-LV"/>
              </w:rPr>
              <w:t xml:space="preserve"> </w:t>
            </w:r>
            <w:proofErr w:type="spellStart"/>
            <w:r w:rsidRPr="00161C60">
              <w:rPr>
                <w:rFonts w:ascii="Times New Roman" w:hAnsi="Times New Roman"/>
                <w:i/>
                <w:sz w:val="24"/>
                <w:szCs w:val="24"/>
                <w:lang w:val="lv-LV"/>
              </w:rPr>
              <w:t>for</w:t>
            </w:r>
            <w:proofErr w:type="spellEnd"/>
            <w:r w:rsidRPr="00161C60">
              <w:rPr>
                <w:rFonts w:ascii="Times New Roman" w:hAnsi="Times New Roman"/>
                <w:i/>
                <w:sz w:val="24"/>
                <w:szCs w:val="24"/>
                <w:lang w:val="lv-LV"/>
              </w:rPr>
              <w:t xml:space="preserve"> </w:t>
            </w:r>
            <w:proofErr w:type="spellStart"/>
            <w:r w:rsidRPr="00161C60">
              <w:rPr>
                <w:rFonts w:ascii="Times New Roman" w:hAnsi="Times New Roman"/>
                <w:i/>
                <w:sz w:val="24"/>
                <w:szCs w:val="24"/>
                <w:lang w:val="lv-LV"/>
              </w:rPr>
              <w:t>clinical</w:t>
            </w:r>
            <w:proofErr w:type="spellEnd"/>
            <w:r w:rsidRPr="00161C60">
              <w:rPr>
                <w:rFonts w:ascii="Times New Roman" w:hAnsi="Times New Roman"/>
                <w:i/>
                <w:sz w:val="24"/>
                <w:szCs w:val="24"/>
                <w:lang w:val="lv-LV"/>
              </w:rPr>
              <w:t xml:space="preserve"> </w:t>
            </w:r>
            <w:proofErr w:type="spellStart"/>
            <w:r w:rsidRPr="00161C60">
              <w:rPr>
                <w:rFonts w:ascii="Times New Roman" w:hAnsi="Times New Roman"/>
                <w:i/>
                <w:sz w:val="24"/>
                <w:szCs w:val="24"/>
                <w:lang w:val="lv-LV"/>
              </w:rPr>
              <w:t>reasons</w:t>
            </w:r>
            <w:proofErr w:type="spellEnd"/>
            <w:r w:rsidRPr="00161C60">
              <w:rPr>
                <w:rFonts w:ascii="Times New Roman" w:hAnsi="Times New Roman"/>
                <w:sz w:val="24"/>
                <w:szCs w:val="24"/>
                <w:lang w:val="lv-LV"/>
              </w:rPr>
              <w:t>). Vajadzīga: zāļu vairumtirgotāja licence (ja zāles iegādā EEZ valstī), ražotāja licence, kas atļauj importu (</w:t>
            </w:r>
            <w:proofErr w:type="spellStart"/>
            <w:r w:rsidRPr="00161C60">
              <w:rPr>
                <w:rFonts w:ascii="Times New Roman" w:hAnsi="Times New Roman"/>
                <w:i/>
                <w:sz w:val="24"/>
                <w:szCs w:val="24"/>
                <w:lang w:val="lv-LV"/>
              </w:rPr>
              <w:t>Manufacture</w:t>
            </w:r>
            <w:proofErr w:type="spellEnd"/>
            <w:r w:rsidRPr="00161C60">
              <w:rPr>
                <w:rFonts w:ascii="Times New Roman" w:hAnsi="Times New Roman"/>
                <w:i/>
                <w:sz w:val="24"/>
                <w:szCs w:val="24"/>
                <w:lang w:val="lv-LV"/>
              </w:rPr>
              <w:t xml:space="preserve"> Licence </w:t>
            </w:r>
            <w:proofErr w:type="spellStart"/>
            <w:r w:rsidRPr="00161C60">
              <w:rPr>
                <w:rFonts w:ascii="Times New Roman" w:hAnsi="Times New Roman"/>
                <w:i/>
                <w:sz w:val="24"/>
                <w:szCs w:val="24"/>
                <w:lang w:val="lv-LV"/>
              </w:rPr>
              <w:t>that</w:t>
            </w:r>
            <w:proofErr w:type="spellEnd"/>
            <w:r w:rsidRPr="00161C60">
              <w:rPr>
                <w:rFonts w:ascii="Times New Roman" w:hAnsi="Times New Roman"/>
                <w:i/>
                <w:sz w:val="24"/>
                <w:szCs w:val="24"/>
                <w:lang w:val="lv-LV"/>
              </w:rPr>
              <w:t xml:space="preserve"> </w:t>
            </w:r>
            <w:proofErr w:type="spellStart"/>
            <w:r w:rsidRPr="00161C60">
              <w:rPr>
                <w:rFonts w:ascii="Times New Roman" w:hAnsi="Times New Roman"/>
                <w:i/>
                <w:sz w:val="24"/>
                <w:szCs w:val="24"/>
                <w:lang w:val="lv-LV"/>
              </w:rPr>
              <w:t>authorizes</w:t>
            </w:r>
            <w:proofErr w:type="spellEnd"/>
            <w:r w:rsidRPr="00161C60">
              <w:rPr>
                <w:rFonts w:ascii="Times New Roman" w:hAnsi="Times New Roman"/>
                <w:i/>
                <w:sz w:val="24"/>
                <w:szCs w:val="24"/>
                <w:lang w:val="lv-LV"/>
              </w:rPr>
              <w:t xml:space="preserve"> </w:t>
            </w:r>
            <w:proofErr w:type="spellStart"/>
            <w:r w:rsidRPr="00161C60">
              <w:rPr>
                <w:rFonts w:ascii="Times New Roman" w:hAnsi="Times New Roman"/>
                <w:i/>
                <w:sz w:val="24"/>
                <w:szCs w:val="24"/>
                <w:lang w:val="lv-LV"/>
              </w:rPr>
              <w:t>import</w:t>
            </w:r>
            <w:proofErr w:type="spellEnd"/>
            <w:r w:rsidRPr="00161C60">
              <w:rPr>
                <w:rFonts w:ascii="Times New Roman" w:hAnsi="Times New Roman"/>
                <w:i/>
                <w:sz w:val="24"/>
                <w:szCs w:val="24"/>
                <w:lang w:val="lv-LV"/>
              </w:rPr>
              <w:t>) (</w:t>
            </w:r>
            <w:r w:rsidRPr="00161C60">
              <w:rPr>
                <w:rFonts w:ascii="Times New Roman" w:hAnsi="Times New Roman"/>
                <w:sz w:val="24"/>
                <w:szCs w:val="24"/>
                <w:lang w:val="lv-LV"/>
              </w:rPr>
              <w:t>ja zāles importē no valsts, kas nav EEZ valsts - trešā valsts). Pirmais importētājs vai izplatītājs (ja ieved no EEZ valsts) sniedz Aģentūrai notifikāciju 28 dienas pirms darbības veikšanas. Ir noteikts maksimāli atļautais daudzums, ko var importēt uz notifikācijas pamata (25 devas vai 25 ārstēšanas kursi, nepārsniedzot 3 mēnešu ilgumu).</w:t>
            </w:r>
          </w:p>
        </w:tc>
      </w:tr>
    </w:tbl>
    <w:p w:rsidR="00D07F03" w:rsidRPr="00161C60"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266"/>
        <w:gridCol w:w="6408"/>
      </w:tblGrid>
      <w:tr w:rsidR="00D07F03" w:rsidRPr="00161C60"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161C60" w:rsidRDefault="00D07F03" w:rsidP="00D07F03">
            <w:pPr>
              <w:spacing w:before="100" w:beforeAutospacing="1" w:after="100" w:afterAutospacing="1" w:line="360" w:lineRule="auto"/>
              <w:ind w:firstLine="300"/>
              <w:jc w:val="center"/>
              <w:rPr>
                <w:bCs/>
              </w:rPr>
            </w:pPr>
            <w:r w:rsidRPr="00161C60">
              <w:rPr>
                <w:bCs/>
              </w:rPr>
              <w:t>VII. Tiesību akta projekta izpildes nodrošināšana un tās ietekme uz institūcijām</w:t>
            </w:r>
          </w:p>
        </w:tc>
      </w:tr>
      <w:tr w:rsidR="00D07F03" w:rsidRPr="00161C60" w:rsidTr="00161C60">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D07F03">
            <w:r w:rsidRPr="00161C60">
              <w:t>1.</w:t>
            </w:r>
          </w:p>
        </w:tc>
        <w:tc>
          <w:tcPr>
            <w:tcW w:w="1241"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D07F03">
            <w:r w:rsidRPr="00161C60">
              <w:t>Projekta izpildē iesaistītās institūcijas</w:t>
            </w:r>
          </w:p>
        </w:tc>
        <w:tc>
          <w:tcPr>
            <w:tcW w:w="3508" w:type="pct"/>
            <w:tcBorders>
              <w:top w:val="outset" w:sz="6" w:space="0" w:color="414142"/>
              <w:left w:val="outset" w:sz="6" w:space="0" w:color="414142"/>
              <w:bottom w:val="outset" w:sz="6" w:space="0" w:color="414142"/>
              <w:right w:val="outset" w:sz="6" w:space="0" w:color="414142"/>
            </w:tcBorders>
            <w:hideMark/>
          </w:tcPr>
          <w:p w:rsidR="00D07F03" w:rsidRPr="00161C60" w:rsidRDefault="00D27DEF" w:rsidP="00397F89">
            <w:pPr>
              <w:spacing w:before="75" w:after="75"/>
            </w:pPr>
            <w:r w:rsidRPr="00161C60">
              <w:t>A</w:t>
            </w:r>
            <w:r w:rsidR="005F2F5D" w:rsidRPr="00161C60">
              <w:t>ģentūra</w:t>
            </w:r>
            <w:r w:rsidR="00281C75" w:rsidRPr="00161C60">
              <w:t>,</w:t>
            </w:r>
            <w:r w:rsidR="00AC7827" w:rsidRPr="00161C60">
              <w:t xml:space="preserve"> </w:t>
            </w:r>
            <w:r w:rsidR="00A329C1" w:rsidRPr="00161C60">
              <w:t>Ins</w:t>
            </w:r>
            <w:r w:rsidR="00795BD0" w:rsidRPr="00161C60">
              <w:t>pekcija</w:t>
            </w:r>
            <w:r w:rsidR="00397F89" w:rsidRPr="00161C60">
              <w:t>,</w:t>
            </w:r>
            <w:r w:rsidR="00281C75" w:rsidRPr="00161C60">
              <w:t xml:space="preserve"> Dienests</w:t>
            </w:r>
            <w:r w:rsidR="00666EF9" w:rsidRPr="00161C60">
              <w:t>, muita</w:t>
            </w:r>
            <w:r w:rsidR="00397F89" w:rsidRPr="00161C60">
              <w:t>, Valsts policija</w:t>
            </w:r>
          </w:p>
        </w:tc>
      </w:tr>
      <w:tr w:rsidR="00D07F03" w:rsidRPr="00161C60" w:rsidTr="00161C60">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D07F03">
            <w:r w:rsidRPr="00161C60">
              <w:t>2.</w:t>
            </w:r>
          </w:p>
        </w:tc>
        <w:tc>
          <w:tcPr>
            <w:tcW w:w="1241"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970901">
            <w:r w:rsidRPr="00161C60">
              <w:t xml:space="preserve">Projekta izpildes ietekme uz pārvaldes funkcijām un institucionālo struktūru. </w:t>
            </w:r>
          </w:p>
          <w:p w:rsidR="00D07F03" w:rsidRPr="00161C60" w:rsidRDefault="00D07F03" w:rsidP="00970901">
            <w:r w:rsidRPr="00161C60">
              <w:t xml:space="preserve">Jaunu institūciju izveide, esošu institūciju likvidācija vai reorganizācija, to </w:t>
            </w:r>
            <w:r w:rsidRPr="00161C60">
              <w:lastRenderedPageBreak/>
              <w:t>ietekme uz institūcijas cilvēkresursiem</w:t>
            </w:r>
          </w:p>
        </w:tc>
        <w:tc>
          <w:tcPr>
            <w:tcW w:w="3508" w:type="pct"/>
            <w:tcBorders>
              <w:top w:val="outset" w:sz="6" w:space="0" w:color="414142"/>
              <w:left w:val="outset" w:sz="6" w:space="0" w:color="414142"/>
              <w:bottom w:val="outset" w:sz="6" w:space="0" w:color="414142"/>
              <w:right w:val="outset" w:sz="6" w:space="0" w:color="414142"/>
            </w:tcBorders>
            <w:hideMark/>
          </w:tcPr>
          <w:p w:rsidR="00F93109" w:rsidRPr="00161C60" w:rsidRDefault="00F93109" w:rsidP="00F93109">
            <w:pPr>
              <w:jc w:val="both"/>
            </w:pPr>
            <w:r w:rsidRPr="00161C60">
              <w:lastRenderedPageBreak/>
              <w:t>Projekts šo jomu neskar.</w:t>
            </w:r>
          </w:p>
          <w:p w:rsidR="00322693" w:rsidRPr="00161C60" w:rsidRDefault="00F93109" w:rsidP="00F93109">
            <w:pPr>
              <w:jc w:val="both"/>
            </w:pPr>
            <w:r w:rsidRPr="00161C60">
              <w:rPr>
                <w:bCs/>
              </w:rPr>
              <w:t>Noteikumu projekts tiks īstenots esošu institūciju un cilvēkresursu ietvaros.</w:t>
            </w:r>
          </w:p>
        </w:tc>
      </w:tr>
      <w:tr w:rsidR="00D07F03" w:rsidRPr="00161C60" w:rsidTr="00161C60">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D07F03">
            <w:r w:rsidRPr="00161C60">
              <w:lastRenderedPageBreak/>
              <w:t>3.</w:t>
            </w:r>
          </w:p>
        </w:tc>
        <w:tc>
          <w:tcPr>
            <w:tcW w:w="1241"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D07F03">
            <w:r w:rsidRPr="00161C60">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rsidR="00D07F03" w:rsidRPr="00161C60" w:rsidRDefault="00D07F03" w:rsidP="00970901">
            <w:pPr>
              <w:spacing w:before="100" w:beforeAutospacing="1" w:after="100" w:afterAutospacing="1" w:line="360" w:lineRule="auto"/>
            </w:pPr>
            <w:r w:rsidRPr="00161C60">
              <w:t>Nav</w:t>
            </w:r>
          </w:p>
        </w:tc>
      </w:tr>
    </w:tbl>
    <w:p w:rsidR="00E748AA" w:rsidRPr="00161C60" w:rsidRDefault="00E748AA" w:rsidP="00E748AA">
      <w:pPr>
        <w:pStyle w:val="ListParagraph"/>
        <w:tabs>
          <w:tab w:val="left" w:pos="6804"/>
        </w:tabs>
        <w:ind w:left="0"/>
        <w:jc w:val="both"/>
        <w:rPr>
          <w:rFonts w:ascii="Times New Roman" w:hAnsi="Times New Roman"/>
          <w:bCs/>
          <w:sz w:val="24"/>
          <w:szCs w:val="24"/>
          <w:lang w:val="lv-LV"/>
        </w:rPr>
      </w:pPr>
    </w:p>
    <w:p w:rsidR="004B3521" w:rsidRPr="00161C60" w:rsidRDefault="004B3521" w:rsidP="004B3521">
      <w:pPr>
        <w:pStyle w:val="ListParagraph"/>
        <w:tabs>
          <w:tab w:val="left" w:pos="6804"/>
        </w:tabs>
        <w:ind w:left="0"/>
        <w:jc w:val="both"/>
        <w:rPr>
          <w:rFonts w:ascii="Times New Roman" w:hAnsi="Times New Roman"/>
          <w:bCs/>
          <w:i/>
          <w:sz w:val="28"/>
          <w:szCs w:val="28"/>
          <w:lang w:val="lv-LV"/>
        </w:rPr>
      </w:pPr>
      <w:r w:rsidRPr="00161C60">
        <w:rPr>
          <w:rFonts w:ascii="Times New Roman" w:hAnsi="Times New Roman"/>
          <w:bCs/>
          <w:i/>
          <w:sz w:val="28"/>
          <w:szCs w:val="28"/>
          <w:lang w:val="lv-LV"/>
        </w:rPr>
        <w:t>Anotācijas III. sadaļa </w:t>
      </w:r>
      <w:r w:rsidRPr="00161C60">
        <w:rPr>
          <w:rFonts w:ascii="MS Gothic" w:eastAsia="MS Gothic" w:hAnsi="MS Gothic" w:cs="MS Gothic" w:hint="eastAsia"/>
          <w:bCs/>
          <w:i/>
          <w:sz w:val="28"/>
          <w:szCs w:val="28"/>
          <w:lang w:val="lv-LV"/>
        </w:rPr>
        <w:t>－</w:t>
      </w:r>
      <w:r w:rsidRPr="00161C60">
        <w:rPr>
          <w:rFonts w:ascii="Times New Roman" w:hAnsi="Times New Roman"/>
          <w:bCs/>
          <w:i/>
          <w:sz w:val="28"/>
          <w:szCs w:val="28"/>
          <w:lang w:val="lv-LV"/>
        </w:rPr>
        <w:t> projekts šo jomu neskar.</w:t>
      </w:r>
    </w:p>
    <w:p w:rsidR="00E748AA" w:rsidRPr="00161C60" w:rsidRDefault="00E748AA" w:rsidP="00E748AA">
      <w:pPr>
        <w:pStyle w:val="ListParagraph"/>
        <w:tabs>
          <w:tab w:val="left" w:pos="6804"/>
        </w:tabs>
        <w:ind w:left="0"/>
        <w:jc w:val="both"/>
        <w:rPr>
          <w:rFonts w:ascii="Times New Roman" w:hAnsi="Times New Roman"/>
          <w:bCs/>
          <w:sz w:val="24"/>
          <w:szCs w:val="24"/>
          <w:lang w:val="lv-LV"/>
        </w:rPr>
      </w:pPr>
    </w:p>
    <w:p w:rsidR="00412F3F" w:rsidRPr="00161C60" w:rsidRDefault="00412F3F" w:rsidP="00E748AA">
      <w:pPr>
        <w:pStyle w:val="ListParagraph"/>
        <w:tabs>
          <w:tab w:val="left" w:pos="6804"/>
        </w:tabs>
        <w:ind w:left="0"/>
        <w:jc w:val="both"/>
        <w:rPr>
          <w:rFonts w:ascii="Times New Roman" w:hAnsi="Times New Roman"/>
          <w:bCs/>
          <w:sz w:val="24"/>
          <w:szCs w:val="24"/>
          <w:lang w:val="lv-LV"/>
        </w:rPr>
      </w:pPr>
    </w:p>
    <w:p w:rsidR="000E4071" w:rsidRPr="00161C60" w:rsidRDefault="000E4071" w:rsidP="000E4071">
      <w:pPr>
        <w:jc w:val="both"/>
        <w:rPr>
          <w:sz w:val="28"/>
          <w:szCs w:val="28"/>
          <w:lang w:bidi="lo-LA"/>
        </w:rPr>
      </w:pPr>
      <w:r w:rsidRPr="00161C60">
        <w:rPr>
          <w:rFonts w:eastAsia="Calibri"/>
          <w:sz w:val="28"/>
          <w:szCs w:val="28"/>
          <w:lang w:bidi="lo-LA"/>
        </w:rPr>
        <w:t>Veselības ministrs</w:t>
      </w:r>
      <w:r w:rsidRPr="00161C60">
        <w:rPr>
          <w:sz w:val="28"/>
          <w:szCs w:val="28"/>
          <w:lang w:bidi="lo-LA"/>
        </w:rPr>
        <w:tab/>
      </w:r>
      <w:r w:rsidRPr="00161C60">
        <w:rPr>
          <w:sz w:val="28"/>
          <w:szCs w:val="28"/>
          <w:lang w:bidi="lo-LA"/>
        </w:rPr>
        <w:tab/>
      </w:r>
      <w:r w:rsidRPr="00161C60">
        <w:rPr>
          <w:sz w:val="28"/>
          <w:szCs w:val="28"/>
          <w:lang w:bidi="lo-LA"/>
        </w:rPr>
        <w:tab/>
      </w:r>
      <w:r w:rsidRPr="00161C60">
        <w:rPr>
          <w:sz w:val="28"/>
          <w:szCs w:val="28"/>
          <w:lang w:bidi="lo-LA"/>
        </w:rPr>
        <w:tab/>
      </w:r>
      <w:r w:rsidRPr="00161C60">
        <w:rPr>
          <w:sz w:val="28"/>
          <w:szCs w:val="28"/>
          <w:lang w:bidi="lo-LA"/>
        </w:rPr>
        <w:tab/>
      </w:r>
      <w:r w:rsidRPr="00161C60">
        <w:rPr>
          <w:sz w:val="28"/>
          <w:szCs w:val="28"/>
          <w:lang w:bidi="lo-LA"/>
        </w:rPr>
        <w:tab/>
      </w:r>
      <w:r w:rsidRPr="00161C60">
        <w:rPr>
          <w:sz w:val="28"/>
          <w:szCs w:val="28"/>
          <w:lang w:bidi="lo-LA"/>
        </w:rPr>
        <w:tab/>
      </w:r>
      <w:r w:rsidRPr="00161C60">
        <w:rPr>
          <w:sz w:val="28"/>
          <w:szCs w:val="28"/>
          <w:lang w:bidi="lo-LA"/>
        </w:rPr>
        <w:tab/>
        <w:t xml:space="preserve">        G.Belēvičs</w:t>
      </w:r>
    </w:p>
    <w:p w:rsidR="000E4071" w:rsidRPr="00161C60" w:rsidRDefault="000E4071" w:rsidP="000E4071">
      <w:pPr>
        <w:rPr>
          <w:sz w:val="22"/>
          <w:szCs w:val="22"/>
        </w:rPr>
      </w:pPr>
    </w:p>
    <w:p w:rsidR="000E4071" w:rsidRPr="00161C60" w:rsidRDefault="000E4071" w:rsidP="000E4071">
      <w:pPr>
        <w:rPr>
          <w:sz w:val="22"/>
          <w:szCs w:val="22"/>
        </w:rPr>
      </w:pPr>
    </w:p>
    <w:p w:rsidR="00316962" w:rsidRPr="00161C60" w:rsidRDefault="00316962" w:rsidP="000E4071">
      <w:pPr>
        <w:tabs>
          <w:tab w:val="right" w:pos="9072"/>
        </w:tabs>
        <w:rPr>
          <w:sz w:val="28"/>
          <w:szCs w:val="28"/>
        </w:rPr>
      </w:pPr>
    </w:p>
    <w:p w:rsidR="000E4071" w:rsidRPr="00161C60" w:rsidRDefault="000E4071" w:rsidP="000E4071">
      <w:pPr>
        <w:tabs>
          <w:tab w:val="right" w:pos="9072"/>
        </w:tabs>
        <w:rPr>
          <w:sz w:val="28"/>
          <w:szCs w:val="28"/>
        </w:rPr>
      </w:pPr>
      <w:r w:rsidRPr="00161C60">
        <w:rPr>
          <w:sz w:val="28"/>
          <w:szCs w:val="28"/>
        </w:rPr>
        <w:t>Vīza: Valsts sekretāre</w:t>
      </w:r>
      <w:r w:rsidRPr="00161C60">
        <w:rPr>
          <w:sz w:val="28"/>
          <w:szCs w:val="28"/>
        </w:rPr>
        <w:tab/>
        <w:t>S.Zvidriņa</w:t>
      </w:r>
    </w:p>
    <w:p w:rsidR="000E4071" w:rsidRPr="00161C60" w:rsidRDefault="000E4071"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316962" w:rsidRPr="00161C60" w:rsidRDefault="00316962"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161C60" w:rsidRDefault="00161C60" w:rsidP="00345402">
      <w:pPr>
        <w:jc w:val="both"/>
        <w:rPr>
          <w:sz w:val="22"/>
          <w:szCs w:val="22"/>
        </w:rPr>
      </w:pPr>
    </w:p>
    <w:p w:rsidR="00CA703B" w:rsidRPr="00161C60" w:rsidRDefault="00097D6B" w:rsidP="00345402">
      <w:pPr>
        <w:jc w:val="both"/>
        <w:rPr>
          <w:sz w:val="28"/>
          <w:szCs w:val="28"/>
        </w:rPr>
      </w:pPr>
      <w:r w:rsidRPr="00161C60">
        <w:rPr>
          <w:sz w:val="22"/>
          <w:szCs w:val="22"/>
        </w:rPr>
        <w:t>10</w:t>
      </w:r>
      <w:r w:rsidR="0052028D" w:rsidRPr="00161C60">
        <w:rPr>
          <w:sz w:val="22"/>
          <w:szCs w:val="22"/>
        </w:rPr>
        <w:t>.12.</w:t>
      </w:r>
      <w:r w:rsidR="00EA6562" w:rsidRPr="00161C60">
        <w:rPr>
          <w:sz w:val="22"/>
          <w:szCs w:val="22"/>
        </w:rPr>
        <w:t xml:space="preserve">2015. </w:t>
      </w:r>
      <w:r w:rsidR="00D91F01" w:rsidRPr="00161C60">
        <w:rPr>
          <w:sz w:val="22"/>
          <w:szCs w:val="22"/>
        </w:rPr>
        <w:t>1</w:t>
      </w:r>
      <w:r w:rsidR="00A75DE2">
        <w:rPr>
          <w:sz w:val="22"/>
          <w:szCs w:val="22"/>
        </w:rPr>
        <w:t>5</w:t>
      </w:r>
      <w:r w:rsidR="00CA703B" w:rsidRPr="00161C60">
        <w:rPr>
          <w:sz w:val="22"/>
          <w:szCs w:val="22"/>
        </w:rPr>
        <w:t>:</w:t>
      </w:r>
      <w:bookmarkStart w:id="0" w:name="_GoBack"/>
      <w:bookmarkEnd w:id="0"/>
      <w:r w:rsidR="00816CCE">
        <w:rPr>
          <w:sz w:val="22"/>
          <w:szCs w:val="22"/>
        </w:rPr>
        <w:t>51</w:t>
      </w:r>
    </w:p>
    <w:p w:rsidR="00CA703B" w:rsidRPr="00161C60" w:rsidRDefault="00097D6B" w:rsidP="00CA703B">
      <w:pPr>
        <w:rPr>
          <w:sz w:val="22"/>
          <w:szCs w:val="22"/>
        </w:rPr>
      </w:pPr>
      <w:r w:rsidRPr="00161C60">
        <w:rPr>
          <w:sz w:val="22"/>
          <w:szCs w:val="22"/>
        </w:rPr>
        <w:t>12225</w:t>
      </w:r>
    </w:p>
    <w:p w:rsidR="00CA703B" w:rsidRPr="00161C60" w:rsidRDefault="00CA703B" w:rsidP="00CA703B">
      <w:pPr>
        <w:rPr>
          <w:sz w:val="22"/>
          <w:szCs w:val="22"/>
        </w:rPr>
      </w:pPr>
      <w:r w:rsidRPr="00161C60">
        <w:rPr>
          <w:sz w:val="22"/>
          <w:szCs w:val="22"/>
        </w:rPr>
        <w:t>I.Mača</w:t>
      </w:r>
    </w:p>
    <w:p w:rsidR="005678E1" w:rsidRPr="00161C60" w:rsidRDefault="00CA703B">
      <w:pPr>
        <w:rPr>
          <w:sz w:val="22"/>
          <w:szCs w:val="22"/>
        </w:rPr>
      </w:pPr>
      <w:r w:rsidRPr="00161C60">
        <w:rPr>
          <w:sz w:val="22"/>
          <w:szCs w:val="22"/>
        </w:rPr>
        <w:t>67876117, inguna.maca@vm.gov.lv</w:t>
      </w:r>
    </w:p>
    <w:sectPr w:rsidR="005678E1" w:rsidRPr="00161C60" w:rsidSect="007D0227">
      <w:headerReference w:type="even" r:id="rId30"/>
      <w:headerReference w:type="default" r:id="rId31"/>
      <w:footerReference w:type="default" r:id="rId32"/>
      <w:footerReference w:type="first" r:id="rId33"/>
      <w:pgSz w:w="11906" w:h="16838"/>
      <w:pgMar w:top="1418" w:right="1134" w:bottom="1134"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241" w:rsidRDefault="000D5241" w:rsidP="007B67C1">
      <w:r>
        <w:separator/>
      </w:r>
    </w:p>
  </w:endnote>
  <w:endnote w:type="continuationSeparator" w:id="0">
    <w:p w:rsidR="000D5241" w:rsidRDefault="000D5241"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02" w:rsidRDefault="00067E02" w:rsidP="00F518C8">
    <w:pPr>
      <w:jc w:val="both"/>
    </w:pPr>
  </w:p>
  <w:p w:rsidR="00067E02" w:rsidRDefault="00A1597A" w:rsidP="007D0227">
    <w:pPr>
      <w:jc w:val="both"/>
    </w:pPr>
    <w:r>
      <w:t>VManot_</w:t>
    </w:r>
    <w:r w:rsidR="00A75DE2">
      <w:t>10</w:t>
    </w:r>
    <w:r>
      <w:t>1215_vss</w:t>
    </w:r>
    <w:r w:rsidR="00067E02">
      <w:t>331</w:t>
    </w:r>
    <w:r w:rsidR="00067E02" w:rsidRPr="00A83910">
      <w:t>; Ministru kabineta noteikumu projekta ”</w:t>
    </w:r>
    <w:r w:rsidR="00067E02">
      <w:t>Grozījumi Ministru kabineta 2007</w:t>
    </w:r>
    <w:r w:rsidR="00067E02" w:rsidRPr="00A83910">
      <w:t xml:space="preserve">.gada </w:t>
    </w:r>
    <w:r w:rsidR="00067E02">
      <w:t>26</w:t>
    </w:r>
    <w:r w:rsidR="00067E02" w:rsidRPr="00A83910">
      <w:t>.</w:t>
    </w:r>
    <w:r w:rsidR="00067E02">
      <w:t>jūnija noteikumos Nr.416</w:t>
    </w:r>
    <w:r w:rsidR="00067E02" w:rsidRPr="00A83910">
      <w:t xml:space="preserve"> “</w:t>
    </w:r>
    <w:r w:rsidR="00067E02">
      <w:rPr>
        <w:bCs/>
      </w:rPr>
      <w:t xml:space="preserve">Zāļu izplatīšanas un kvalitātes kontroles </w:t>
    </w:r>
    <w:r w:rsidR="00067E02" w:rsidRPr="00A83910">
      <w:rPr>
        <w:bCs/>
      </w:rPr>
      <w:t>kārtība</w:t>
    </w:r>
    <w:r w:rsidR="00067E02">
      <w:t>””</w:t>
    </w:r>
    <w:r w:rsidR="00067E02" w:rsidRPr="00A83910">
      <w:t xml:space="preserve"> sākotnējās ietekmes novērtējuma ziņojums (anotācija)</w:t>
    </w:r>
  </w:p>
  <w:p w:rsidR="008C57CC" w:rsidRDefault="008C57CC" w:rsidP="007D0227">
    <w:pPr>
      <w:jc w:val="both"/>
    </w:pPr>
  </w:p>
  <w:p w:rsidR="008C57CC" w:rsidRDefault="008C57CC" w:rsidP="007D0227">
    <w:pPr>
      <w:jc w:val="both"/>
    </w:pPr>
  </w:p>
  <w:p w:rsidR="008C57CC" w:rsidRDefault="008C57CC" w:rsidP="007D0227">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02" w:rsidRDefault="00067E02" w:rsidP="00A83910">
    <w:pPr>
      <w:jc w:val="both"/>
    </w:pPr>
  </w:p>
  <w:p w:rsidR="00067E02" w:rsidRDefault="00A1597A" w:rsidP="007D0227">
    <w:pPr>
      <w:jc w:val="both"/>
    </w:pPr>
    <w:r>
      <w:t>VManot_101215_vss</w:t>
    </w:r>
    <w:r w:rsidR="00067E02">
      <w:t>331</w:t>
    </w:r>
    <w:r w:rsidR="00067E02" w:rsidRPr="00A83910">
      <w:t>; Ministru kabineta noteikumu projekta ”</w:t>
    </w:r>
    <w:r w:rsidR="00067E02">
      <w:t>Grozījumi Ministru kabineta 2007</w:t>
    </w:r>
    <w:r w:rsidR="00067E02" w:rsidRPr="00A83910">
      <w:t xml:space="preserve">.gada </w:t>
    </w:r>
    <w:r w:rsidR="00067E02">
      <w:t>26</w:t>
    </w:r>
    <w:r w:rsidR="00067E02" w:rsidRPr="00A83910">
      <w:t>.</w:t>
    </w:r>
    <w:r w:rsidR="00067E02">
      <w:t>jūnija noteikumos Nr.416</w:t>
    </w:r>
    <w:r w:rsidR="00067E02" w:rsidRPr="00A83910">
      <w:t xml:space="preserve"> “</w:t>
    </w:r>
    <w:r w:rsidR="00067E02">
      <w:rPr>
        <w:bCs/>
      </w:rPr>
      <w:t xml:space="preserve">Zāļu izplatīšanas un kvalitātes kontroles </w:t>
    </w:r>
    <w:r w:rsidR="00067E02" w:rsidRPr="00A83910">
      <w:rPr>
        <w:bCs/>
      </w:rPr>
      <w:t>kārtība</w:t>
    </w:r>
    <w:r w:rsidR="00067E02">
      <w:t>””</w:t>
    </w:r>
    <w:r w:rsidR="00067E02" w:rsidRPr="00A83910">
      <w:t xml:space="preserve"> sākotnējās ietekmes novērtējuma ziņojums (anotācija)</w:t>
    </w:r>
  </w:p>
  <w:p w:rsidR="008C57CC" w:rsidRDefault="008C57CC" w:rsidP="007D0227">
    <w:pPr>
      <w:jc w:val="both"/>
    </w:pPr>
  </w:p>
  <w:p w:rsidR="008C57CC" w:rsidRDefault="008C57CC" w:rsidP="007D0227">
    <w:pPr>
      <w:jc w:val="both"/>
    </w:pPr>
  </w:p>
  <w:p w:rsidR="008C57CC" w:rsidRPr="007D0227" w:rsidRDefault="008C57CC" w:rsidP="007D0227">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241" w:rsidRDefault="000D5241" w:rsidP="007B67C1">
      <w:r>
        <w:separator/>
      </w:r>
    </w:p>
  </w:footnote>
  <w:footnote w:type="continuationSeparator" w:id="0">
    <w:p w:rsidR="000D5241" w:rsidRDefault="000D5241" w:rsidP="007B67C1">
      <w:r>
        <w:continuationSeparator/>
      </w:r>
    </w:p>
  </w:footnote>
  <w:footnote w:id="1">
    <w:p w:rsidR="00067E02" w:rsidRDefault="00067E02" w:rsidP="009366EA">
      <w:pPr>
        <w:pStyle w:val="FootnoteText"/>
      </w:pPr>
      <w:r>
        <w:rPr>
          <w:rStyle w:val="FootnoteReference"/>
        </w:rPr>
        <w:footnoteRef/>
      </w:r>
      <w:r w:rsidRPr="00167D43">
        <w:t xml:space="preserve">COM/2003/839 </w:t>
      </w:r>
      <w:proofErr w:type="spellStart"/>
      <w:r w:rsidRPr="00167D43">
        <w:t>CommissionCommunicationonparallel</w:t>
      </w:r>
      <w:proofErr w:type="spellEnd"/>
      <w:r w:rsidRPr="00167D43">
        <w:t xml:space="preserve"> imports </w:t>
      </w:r>
      <w:proofErr w:type="spellStart"/>
      <w:r w:rsidRPr="00167D43">
        <w:t>ofproprietarymedicinalproductsforwhich</w:t>
      </w:r>
      <w:proofErr w:type="spellEnd"/>
      <w:r w:rsidRPr="00167D43">
        <w:t xml:space="preserve"> </w:t>
      </w:r>
      <w:proofErr w:type="spellStart"/>
      <w:r w:rsidRPr="00167D43">
        <w:t>marketing</w:t>
      </w:r>
      <w:proofErr w:type="spellEnd"/>
      <w:r w:rsidRPr="00167D43">
        <w:t xml:space="preserve"> </w:t>
      </w:r>
      <w:proofErr w:type="spellStart"/>
      <w:r w:rsidRPr="00167D43">
        <w:t>authorisationshavealreadybeengranted</w:t>
      </w:r>
      <w:proofErr w:type="spellEnd"/>
      <w:r w:rsidRPr="00167D43">
        <w:t>. [</w:t>
      </w:r>
      <w:proofErr w:type="spellStart"/>
      <w:r w:rsidRPr="00167D43">
        <w:t>Updateofthe</w:t>
      </w:r>
      <w:proofErr w:type="spellEnd"/>
      <w:r w:rsidRPr="00167D43">
        <w:t xml:space="preserve"> 1982 </w:t>
      </w:r>
      <w:proofErr w:type="spellStart"/>
      <w:r w:rsidRPr="00167D43">
        <w:t>CommissionCommunication</w:t>
      </w:r>
      <w:proofErr w:type="spellEnd"/>
      <w:r w:rsidRPr="00167D43">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02" w:rsidRDefault="00694061" w:rsidP="00760913">
    <w:pPr>
      <w:pStyle w:val="Header"/>
      <w:framePr w:wrap="around" w:vAnchor="text" w:hAnchor="margin" w:xAlign="center" w:y="1"/>
      <w:rPr>
        <w:rStyle w:val="PageNumber"/>
      </w:rPr>
    </w:pPr>
    <w:r>
      <w:rPr>
        <w:rStyle w:val="PageNumber"/>
      </w:rPr>
      <w:fldChar w:fldCharType="begin"/>
    </w:r>
    <w:r w:rsidR="00067E02">
      <w:rPr>
        <w:rStyle w:val="PageNumber"/>
      </w:rPr>
      <w:instrText xml:space="preserve">PAGE  </w:instrText>
    </w:r>
    <w:r>
      <w:rPr>
        <w:rStyle w:val="PageNumber"/>
      </w:rPr>
      <w:fldChar w:fldCharType="separate"/>
    </w:r>
    <w:r w:rsidR="00067E02">
      <w:rPr>
        <w:rStyle w:val="PageNumber"/>
        <w:noProof/>
      </w:rPr>
      <w:t>9</w:t>
    </w:r>
    <w:r>
      <w:rPr>
        <w:rStyle w:val="PageNumber"/>
      </w:rPr>
      <w:fldChar w:fldCharType="end"/>
    </w:r>
  </w:p>
  <w:p w:rsidR="00067E02" w:rsidRDefault="00067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02" w:rsidRPr="00163BDD" w:rsidRDefault="00694061" w:rsidP="00316962">
    <w:pPr>
      <w:pStyle w:val="Header"/>
      <w:framePr w:wrap="around" w:vAnchor="text" w:hAnchor="page" w:x="6571" w:y="9"/>
      <w:rPr>
        <w:rStyle w:val="PageNumber"/>
      </w:rPr>
    </w:pPr>
    <w:r w:rsidRPr="00163BDD">
      <w:rPr>
        <w:rStyle w:val="PageNumber"/>
      </w:rPr>
      <w:fldChar w:fldCharType="begin"/>
    </w:r>
    <w:r w:rsidR="00067E02" w:rsidRPr="00163BDD">
      <w:rPr>
        <w:rStyle w:val="PageNumber"/>
      </w:rPr>
      <w:instrText xml:space="preserve">PAGE  </w:instrText>
    </w:r>
    <w:r w:rsidRPr="00163BDD">
      <w:rPr>
        <w:rStyle w:val="PageNumber"/>
      </w:rPr>
      <w:fldChar w:fldCharType="separate"/>
    </w:r>
    <w:r w:rsidR="00816CCE">
      <w:rPr>
        <w:rStyle w:val="PageNumber"/>
        <w:noProof/>
      </w:rPr>
      <w:t>41</w:t>
    </w:r>
    <w:r w:rsidRPr="00163BDD">
      <w:rPr>
        <w:rStyle w:val="PageNumber"/>
      </w:rPr>
      <w:fldChar w:fldCharType="end"/>
    </w:r>
  </w:p>
  <w:p w:rsidR="00067E02" w:rsidRDefault="00067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0C88"/>
    <w:multiLevelType w:val="hybridMultilevel"/>
    <w:tmpl w:val="315E5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330D6"/>
    <w:multiLevelType w:val="multilevel"/>
    <w:tmpl w:val="C55A9B3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5E6DAB"/>
    <w:multiLevelType w:val="multilevel"/>
    <w:tmpl w:val="4A563806"/>
    <w:lvl w:ilvl="0">
      <w:start w:val="1"/>
      <w:numFmt w:val="decimal"/>
      <w:lvlText w:val="%1."/>
      <w:lvlJc w:val="left"/>
      <w:pPr>
        <w:ind w:left="720" w:hanging="360"/>
      </w:pPr>
      <w:rPr>
        <w:rFonts w:eastAsia="Times New Roman"/>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44A4062F"/>
    <w:multiLevelType w:val="hybridMultilevel"/>
    <w:tmpl w:val="8A5C8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6606E"/>
    <w:multiLevelType w:val="hybridMultilevel"/>
    <w:tmpl w:val="31A87630"/>
    <w:lvl w:ilvl="0" w:tplc="38A6C1AA">
      <w:start w:val="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13E07B3"/>
    <w:multiLevelType w:val="hybridMultilevel"/>
    <w:tmpl w:val="3D8A2DC6"/>
    <w:lvl w:ilvl="0" w:tplc="01242D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7">
    <w:nsid w:val="5F811794"/>
    <w:multiLevelType w:val="hybridMultilevel"/>
    <w:tmpl w:val="B3287F48"/>
    <w:lvl w:ilvl="0" w:tplc="3A46E5C0">
      <w:start w:val="1"/>
      <w:numFmt w:val="lowerLetter"/>
      <w:lvlText w:val="%1)"/>
      <w:lvlJc w:val="left"/>
      <w:pPr>
        <w:ind w:left="1991" w:hanging="114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nsid w:val="732F11EF"/>
    <w:multiLevelType w:val="hybridMultilevel"/>
    <w:tmpl w:val="46DE0D2E"/>
    <w:lvl w:ilvl="0" w:tplc="7D0A7BD0">
      <w:start w:val="1"/>
      <w:numFmt w:val="decimal"/>
      <w:lvlText w:val="(%1)"/>
      <w:lvlJc w:val="left"/>
      <w:pPr>
        <w:ind w:left="942"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 w:numId="10">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F0273"/>
    <w:rsid w:val="000002BA"/>
    <w:rsid w:val="000004EE"/>
    <w:rsid w:val="000007C4"/>
    <w:rsid w:val="00001209"/>
    <w:rsid w:val="00002638"/>
    <w:rsid w:val="00003F2A"/>
    <w:rsid w:val="00004B3B"/>
    <w:rsid w:val="00004F76"/>
    <w:rsid w:val="00004F97"/>
    <w:rsid w:val="0000504C"/>
    <w:rsid w:val="000051BC"/>
    <w:rsid w:val="00005873"/>
    <w:rsid w:val="0000621B"/>
    <w:rsid w:val="00006783"/>
    <w:rsid w:val="0000691D"/>
    <w:rsid w:val="0000712D"/>
    <w:rsid w:val="000072C6"/>
    <w:rsid w:val="0000760D"/>
    <w:rsid w:val="0000789C"/>
    <w:rsid w:val="00007B88"/>
    <w:rsid w:val="00010061"/>
    <w:rsid w:val="00010768"/>
    <w:rsid w:val="0001111D"/>
    <w:rsid w:val="0001139A"/>
    <w:rsid w:val="000114EA"/>
    <w:rsid w:val="000117E8"/>
    <w:rsid w:val="00011BB7"/>
    <w:rsid w:val="00012364"/>
    <w:rsid w:val="000124AD"/>
    <w:rsid w:val="00012723"/>
    <w:rsid w:val="00012742"/>
    <w:rsid w:val="00012B18"/>
    <w:rsid w:val="000132F8"/>
    <w:rsid w:val="00013AF5"/>
    <w:rsid w:val="000144F6"/>
    <w:rsid w:val="00014691"/>
    <w:rsid w:val="000206E0"/>
    <w:rsid w:val="000209EC"/>
    <w:rsid w:val="00021AEC"/>
    <w:rsid w:val="0002283C"/>
    <w:rsid w:val="00022AD5"/>
    <w:rsid w:val="00022F81"/>
    <w:rsid w:val="00023888"/>
    <w:rsid w:val="00023ED6"/>
    <w:rsid w:val="00024076"/>
    <w:rsid w:val="000248AA"/>
    <w:rsid w:val="00024CFD"/>
    <w:rsid w:val="0002520B"/>
    <w:rsid w:val="00026089"/>
    <w:rsid w:val="000269B9"/>
    <w:rsid w:val="00026E4B"/>
    <w:rsid w:val="000311B5"/>
    <w:rsid w:val="00032933"/>
    <w:rsid w:val="00032C41"/>
    <w:rsid w:val="00033108"/>
    <w:rsid w:val="0003389E"/>
    <w:rsid w:val="000338F7"/>
    <w:rsid w:val="000342FF"/>
    <w:rsid w:val="0003500A"/>
    <w:rsid w:val="000353E8"/>
    <w:rsid w:val="000355B5"/>
    <w:rsid w:val="00035B11"/>
    <w:rsid w:val="000366AC"/>
    <w:rsid w:val="000367B1"/>
    <w:rsid w:val="00036AEE"/>
    <w:rsid w:val="00037775"/>
    <w:rsid w:val="00037998"/>
    <w:rsid w:val="000403ED"/>
    <w:rsid w:val="0004096A"/>
    <w:rsid w:val="000410E3"/>
    <w:rsid w:val="00041115"/>
    <w:rsid w:val="00041159"/>
    <w:rsid w:val="000413D2"/>
    <w:rsid w:val="00041595"/>
    <w:rsid w:val="00041D74"/>
    <w:rsid w:val="00042078"/>
    <w:rsid w:val="00042158"/>
    <w:rsid w:val="0004254E"/>
    <w:rsid w:val="00042EB6"/>
    <w:rsid w:val="00043AC1"/>
    <w:rsid w:val="00043AC8"/>
    <w:rsid w:val="00043B33"/>
    <w:rsid w:val="00044469"/>
    <w:rsid w:val="0004595C"/>
    <w:rsid w:val="00045F78"/>
    <w:rsid w:val="000462A0"/>
    <w:rsid w:val="00046BDC"/>
    <w:rsid w:val="00046D6D"/>
    <w:rsid w:val="0004707F"/>
    <w:rsid w:val="000473D2"/>
    <w:rsid w:val="00047562"/>
    <w:rsid w:val="00050012"/>
    <w:rsid w:val="00050BB2"/>
    <w:rsid w:val="00051096"/>
    <w:rsid w:val="00051F08"/>
    <w:rsid w:val="0005232D"/>
    <w:rsid w:val="00052A63"/>
    <w:rsid w:val="00054045"/>
    <w:rsid w:val="00055394"/>
    <w:rsid w:val="00055C75"/>
    <w:rsid w:val="000566F9"/>
    <w:rsid w:val="00057141"/>
    <w:rsid w:val="0005759D"/>
    <w:rsid w:val="000601ED"/>
    <w:rsid w:val="0006042F"/>
    <w:rsid w:val="000607AF"/>
    <w:rsid w:val="00061FD7"/>
    <w:rsid w:val="00061FEC"/>
    <w:rsid w:val="00062341"/>
    <w:rsid w:val="000631BD"/>
    <w:rsid w:val="000631DC"/>
    <w:rsid w:val="00063EAA"/>
    <w:rsid w:val="00064110"/>
    <w:rsid w:val="00064869"/>
    <w:rsid w:val="000652CB"/>
    <w:rsid w:val="00066768"/>
    <w:rsid w:val="000668D2"/>
    <w:rsid w:val="000669CE"/>
    <w:rsid w:val="00066DF3"/>
    <w:rsid w:val="00067245"/>
    <w:rsid w:val="00067B89"/>
    <w:rsid w:val="00067C40"/>
    <w:rsid w:val="00067E02"/>
    <w:rsid w:val="0007011D"/>
    <w:rsid w:val="00070185"/>
    <w:rsid w:val="0007022F"/>
    <w:rsid w:val="000707D9"/>
    <w:rsid w:val="00070E2B"/>
    <w:rsid w:val="000710A8"/>
    <w:rsid w:val="00071424"/>
    <w:rsid w:val="000717EB"/>
    <w:rsid w:val="00072026"/>
    <w:rsid w:val="00072D03"/>
    <w:rsid w:val="00075212"/>
    <w:rsid w:val="000754EB"/>
    <w:rsid w:val="00076759"/>
    <w:rsid w:val="00076FA8"/>
    <w:rsid w:val="0007751C"/>
    <w:rsid w:val="000777C9"/>
    <w:rsid w:val="00077BAA"/>
    <w:rsid w:val="00077CF2"/>
    <w:rsid w:val="00077E15"/>
    <w:rsid w:val="00077E57"/>
    <w:rsid w:val="000809F4"/>
    <w:rsid w:val="00080D36"/>
    <w:rsid w:val="00081789"/>
    <w:rsid w:val="00082B15"/>
    <w:rsid w:val="000834FE"/>
    <w:rsid w:val="000835FD"/>
    <w:rsid w:val="00084AF7"/>
    <w:rsid w:val="00084B44"/>
    <w:rsid w:val="00084F42"/>
    <w:rsid w:val="0008549E"/>
    <w:rsid w:val="00085687"/>
    <w:rsid w:val="00085B48"/>
    <w:rsid w:val="0008604D"/>
    <w:rsid w:val="000860A8"/>
    <w:rsid w:val="00086C91"/>
    <w:rsid w:val="00086F5F"/>
    <w:rsid w:val="00087299"/>
    <w:rsid w:val="000872B0"/>
    <w:rsid w:val="000873FE"/>
    <w:rsid w:val="0008770F"/>
    <w:rsid w:val="00087BC9"/>
    <w:rsid w:val="00087BD4"/>
    <w:rsid w:val="0009018F"/>
    <w:rsid w:val="000904C1"/>
    <w:rsid w:val="00090756"/>
    <w:rsid w:val="00091B71"/>
    <w:rsid w:val="00091BCE"/>
    <w:rsid w:val="00091D8B"/>
    <w:rsid w:val="0009208D"/>
    <w:rsid w:val="000928C3"/>
    <w:rsid w:val="00092CF1"/>
    <w:rsid w:val="00092EDE"/>
    <w:rsid w:val="00093879"/>
    <w:rsid w:val="00093B29"/>
    <w:rsid w:val="00093D99"/>
    <w:rsid w:val="00094698"/>
    <w:rsid w:val="00094950"/>
    <w:rsid w:val="00094BFC"/>
    <w:rsid w:val="00095176"/>
    <w:rsid w:val="0009519F"/>
    <w:rsid w:val="0009561B"/>
    <w:rsid w:val="00095963"/>
    <w:rsid w:val="00095ACB"/>
    <w:rsid w:val="00095DF5"/>
    <w:rsid w:val="00095F1F"/>
    <w:rsid w:val="00097D6B"/>
    <w:rsid w:val="000A053B"/>
    <w:rsid w:val="000A0C0C"/>
    <w:rsid w:val="000A0C4F"/>
    <w:rsid w:val="000A0F80"/>
    <w:rsid w:val="000A106D"/>
    <w:rsid w:val="000A11F9"/>
    <w:rsid w:val="000A1474"/>
    <w:rsid w:val="000A1AA1"/>
    <w:rsid w:val="000A25ED"/>
    <w:rsid w:val="000A28AB"/>
    <w:rsid w:val="000A2B97"/>
    <w:rsid w:val="000A2C99"/>
    <w:rsid w:val="000A3066"/>
    <w:rsid w:val="000A35DC"/>
    <w:rsid w:val="000A43C4"/>
    <w:rsid w:val="000A451E"/>
    <w:rsid w:val="000A4842"/>
    <w:rsid w:val="000A4FE3"/>
    <w:rsid w:val="000A5147"/>
    <w:rsid w:val="000A5AB8"/>
    <w:rsid w:val="000A679B"/>
    <w:rsid w:val="000A71A7"/>
    <w:rsid w:val="000A7481"/>
    <w:rsid w:val="000A7DBA"/>
    <w:rsid w:val="000B0691"/>
    <w:rsid w:val="000B102A"/>
    <w:rsid w:val="000B2408"/>
    <w:rsid w:val="000B2B3C"/>
    <w:rsid w:val="000B362D"/>
    <w:rsid w:val="000B4376"/>
    <w:rsid w:val="000B4981"/>
    <w:rsid w:val="000B5624"/>
    <w:rsid w:val="000B5A27"/>
    <w:rsid w:val="000B5AEC"/>
    <w:rsid w:val="000B5B7F"/>
    <w:rsid w:val="000B650A"/>
    <w:rsid w:val="000B6787"/>
    <w:rsid w:val="000B6CF2"/>
    <w:rsid w:val="000B7468"/>
    <w:rsid w:val="000B7B20"/>
    <w:rsid w:val="000C040F"/>
    <w:rsid w:val="000C04CA"/>
    <w:rsid w:val="000C10AD"/>
    <w:rsid w:val="000C1E58"/>
    <w:rsid w:val="000C2744"/>
    <w:rsid w:val="000C2968"/>
    <w:rsid w:val="000C2E5D"/>
    <w:rsid w:val="000C39B8"/>
    <w:rsid w:val="000C40B2"/>
    <w:rsid w:val="000C45C1"/>
    <w:rsid w:val="000C4A1F"/>
    <w:rsid w:val="000C4D62"/>
    <w:rsid w:val="000C55CB"/>
    <w:rsid w:val="000C6543"/>
    <w:rsid w:val="000C657E"/>
    <w:rsid w:val="000C68CC"/>
    <w:rsid w:val="000C6DA2"/>
    <w:rsid w:val="000C74C6"/>
    <w:rsid w:val="000C7721"/>
    <w:rsid w:val="000C7A20"/>
    <w:rsid w:val="000D0294"/>
    <w:rsid w:val="000D0C71"/>
    <w:rsid w:val="000D0E28"/>
    <w:rsid w:val="000D18AD"/>
    <w:rsid w:val="000D1EB8"/>
    <w:rsid w:val="000D2471"/>
    <w:rsid w:val="000D29D1"/>
    <w:rsid w:val="000D2DCE"/>
    <w:rsid w:val="000D3CEB"/>
    <w:rsid w:val="000D3D17"/>
    <w:rsid w:val="000D4846"/>
    <w:rsid w:val="000D5241"/>
    <w:rsid w:val="000D5635"/>
    <w:rsid w:val="000D6177"/>
    <w:rsid w:val="000D6536"/>
    <w:rsid w:val="000D7080"/>
    <w:rsid w:val="000D745B"/>
    <w:rsid w:val="000D7603"/>
    <w:rsid w:val="000D7C15"/>
    <w:rsid w:val="000E050C"/>
    <w:rsid w:val="000E2076"/>
    <w:rsid w:val="000E274B"/>
    <w:rsid w:val="000E2ADB"/>
    <w:rsid w:val="000E2E36"/>
    <w:rsid w:val="000E2E4E"/>
    <w:rsid w:val="000E3B98"/>
    <w:rsid w:val="000E4071"/>
    <w:rsid w:val="000E4D70"/>
    <w:rsid w:val="000E5EAB"/>
    <w:rsid w:val="000E72AB"/>
    <w:rsid w:val="000E735F"/>
    <w:rsid w:val="000E78EB"/>
    <w:rsid w:val="000E7C0B"/>
    <w:rsid w:val="000E7F1F"/>
    <w:rsid w:val="000F0DC1"/>
    <w:rsid w:val="000F1141"/>
    <w:rsid w:val="000F130D"/>
    <w:rsid w:val="000F1562"/>
    <w:rsid w:val="000F18CC"/>
    <w:rsid w:val="000F3256"/>
    <w:rsid w:val="000F3331"/>
    <w:rsid w:val="000F52F7"/>
    <w:rsid w:val="000F59D1"/>
    <w:rsid w:val="000F5CC4"/>
    <w:rsid w:val="000F68CC"/>
    <w:rsid w:val="000F6DC8"/>
    <w:rsid w:val="000F71F3"/>
    <w:rsid w:val="000F72C3"/>
    <w:rsid w:val="000F7773"/>
    <w:rsid w:val="001003A5"/>
    <w:rsid w:val="00100924"/>
    <w:rsid w:val="00100FE0"/>
    <w:rsid w:val="001011B2"/>
    <w:rsid w:val="00101360"/>
    <w:rsid w:val="00101877"/>
    <w:rsid w:val="00101A52"/>
    <w:rsid w:val="001020D6"/>
    <w:rsid w:val="001028F0"/>
    <w:rsid w:val="00102B2E"/>
    <w:rsid w:val="00102B52"/>
    <w:rsid w:val="00103015"/>
    <w:rsid w:val="00103168"/>
    <w:rsid w:val="0010318E"/>
    <w:rsid w:val="00103D93"/>
    <w:rsid w:val="00103E5C"/>
    <w:rsid w:val="0010503A"/>
    <w:rsid w:val="00107156"/>
    <w:rsid w:val="00107500"/>
    <w:rsid w:val="00107ED0"/>
    <w:rsid w:val="001104FB"/>
    <w:rsid w:val="00110BD2"/>
    <w:rsid w:val="00111E15"/>
    <w:rsid w:val="001125F3"/>
    <w:rsid w:val="00112DB0"/>
    <w:rsid w:val="001131FE"/>
    <w:rsid w:val="00113C78"/>
    <w:rsid w:val="00113EC9"/>
    <w:rsid w:val="0011404B"/>
    <w:rsid w:val="00114680"/>
    <w:rsid w:val="00114938"/>
    <w:rsid w:val="00114EF7"/>
    <w:rsid w:val="00114FDE"/>
    <w:rsid w:val="001151D9"/>
    <w:rsid w:val="00115ACA"/>
    <w:rsid w:val="00115BE9"/>
    <w:rsid w:val="00115C0B"/>
    <w:rsid w:val="0011625A"/>
    <w:rsid w:val="001163DB"/>
    <w:rsid w:val="001165A1"/>
    <w:rsid w:val="0011684E"/>
    <w:rsid w:val="00116E98"/>
    <w:rsid w:val="00116FD9"/>
    <w:rsid w:val="0011753E"/>
    <w:rsid w:val="00117DFF"/>
    <w:rsid w:val="0012008F"/>
    <w:rsid w:val="0012135D"/>
    <w:rsid w:val="0012188F"/>
    <w:rsid w:val="001219F2"/>
    <w:rsid w:val="00121B27"/>
    <w:rsid w:val="0012222A"/>
    <w:rsid w:val="00122750"/>
    <w:rsid w:val="00122ECD"/>
    <w:rsid w:val="00123851"/>
    <w:rsid w:val="00123AE0"/>
    <w:rsid w:val="0012444B"/>
    <w:rsid w:val="00125006"/>
    <w:rsid w:val="001251B9"/>
    <w:rsid w:val="00125962"/>
    <w:rsid w:val="00125B14"/>
    <w:rsid w:val="001267C7"/>
    <w:rsid w:val="00126EAB"/>
    <w:rsid w:val="001272FA"/>
    <w:rsid w:val="0012762C"/>
    <w:rsid w:val="00130F5E"/>
    <w:rsid w:val="00131C1E"/>
    <w:rsid w:val="0013346E"/>
    <w:rsid w:val="0013380C"/>
    <w:rsid w:val="00133D6C"/>
    <w:rsid w:val="0013412D"/>
    <w:rsid w:val="00134821"/>
    <w:rsid w:val="00134901"/>
    <w:rsid w:val="00134DF1"/>
    <w:rsid w:val="001357DE"/>
    <w:rsid w:val="00135E4D"/>
    <w:rsid w:val="0013647C"/>
    <w:rsid w:val="00137C1B"/>
    <w:rsid w:val="00140B1D"/>
    <w:rsid w:val="00140DE5"/>
    <w:rsid w:val="00141593"/>
    <w:rsid w:val="00141A8F"/>
    <w:rsid w:val="00142A6A"/>
    <w:rsid w:val="00142BA0"/>
    <w:rsid w:val="00142FFD"/>
    <w:rsid w:val="0014463A"/>
    <w:rsid w:val="00144A61"/>
    <w:rsid w:val="00145EF8"/>
    <w:rsid w:val="0014647D"/>
    <w:rsid w:val="00147975"/>
    <w:rsid w:val="001501B1"/>
    <w:rsid w:val="00150856"/>
    <w:rsid w:val="001509DF"/>
    <w:rsid w:val="00150AED"/>
    <w:rsid w:val="001514C5"/>
    <w:rsid w:val="0015172E"/>
    <w:rsid w:val="00152114"/>
    <w:rsid w:val="00152354"/>
    <w:rsid w:val="001528ED"/>
    <w:rsid w:val="00153307"/>
    <w:rsid w:val="0015343D"/>
    <w:rsid w:val="001539D7"/>
    <w:rsid w:val="0015405A"/>
    <w:rsid w:val="00155371"/>
    <w:rsid w:val="001558EC"/>
    <w:rsid w:val="001558F4"/>
    <w:rsid w:val="00155B98"/>
    <w:rsid w:val="00155BFA"/>
    <w:rsid w:val="00155C8A"/>
    <w:rsid w:val="0015680E"/>
    <w:rsid w:val="00157482"/>
    <w:rsid w:val="001576DA"/>
    <w:rsid w:val="001576FB"/>
    <w:rsid w:val="00157E0D"/>
    <w:rsid w:val="00160ABA"/>
    <w:rsid w:val="001611AA"/>
    <w:rsid w:val="00161C60"/>
    <w:rsid w:val="00162708"/>
    <w:rsid w:val="00162DFC"/>
    <w:rsid w:val="001631A3"/>
    <w:rsid w:val="001631D5"/>
    <w:rsid w:val="0016377D"/>
    <w:rsid w:val="00163A7A"/>
    <w:rsid w:val="00163BDD"/>
    <w:rsid w:val="00164B0B"/>
    <w:rsid w:val="00165B8D"/>
    <w:rsid w:val="001668E7"/>
    <w:rsid w:val="00167652"/>
    <w:rsid w:val="00167EC6"/>
    <w:rsid w:val="0017032D"/>
    <w:rsid w:val="001723A2"/>
    <w:rsid w:val="00173046"/>
    <w:rsid w:val="001734C9"/>
    <w:rsid w:val="00174B38"/>
    <w:rsid w:val="00175420"/>
    <w:rsid w:val="0017571F"/>
    <w:rsid w:val="0017585D"/>
    <w:rsid w:val="00175EDF"/>
    <w:rsid w:val="001769BC"/>
    <w:rsid w:val="00176C5D"/>
    <w:rsid w:val="001779A9"/>
    <w:rsid w:val="00177A9B"/>
    <w:rsid w:val="00177D40"/>
    <w:rsid w:val="001808F0"/>
    <w:rsid w:val="00181F0C"/>
    <w:rsid w:val="00183198"/>
    <w:rsid w:val="001836FA"/>
    <w:rsid w:val="0018383E"/>
    <w:rsid w:val="00183884"/>
    <w:rsid w:val="00183C27"/>
    <w:rsid w:val="001840EF"/>
    <w:rsid w:val="00184BA5"/>
    <w:rsid w:val="00185E7D"/>
    <w:rsid w:val="001862AF"/>
    <w:rsid w:val="00186A2A"/>
    <w:rsid w:val="00186B5E"/>
    <w:rsid w:val="00187698"/>
    <w:rsid w:val="0019022A"/>
    <w:rsid w:val="00190ADC"/>
    <w:rsid w:val="00191F11"/>
    <w:rsid w:val="00192823"/>
    <w:rsid w:val="00192D00"/>
    <w:rsid w:val="001931B1"/>
    <w:rsid w:val="001932D2"/>
    <w:rsid w:val="00193629"/>
    <w:rsid w:val="00193A7B"/>
    <w:rsid w:val="00193AC9"/>
    <w:rsid w:val="0019421B"/>
    <w:rsid w:val="00194B67"/>
    <w:rsid w:val="00194F08"/>
    <w:rsid w:val="001959FA"/>
    <w:rsid w:val="00196C5C"/>
    <w:rsid w:val="0019782E"/>
    <w:rsid w:val="0019796D"/>
    <w:rsid w:val="001A018E"/>
    <w:rsid w:val="001A0442"/>
    <w:rsid w:val="001A0C6A"/>
    <w:rsid w:val="001A0F02"/>
    <w:rsid w:val="001A1813"/>
    <w:rsid w:val="001A257C"/>
    <w:rsid w:val="001A2D5F"/>
    <w:rsid w:val="001A3893"/>
    <w:rsid w:val="001A4763"/>
    <w:rsid w:val="001A4E54"/>
    <w:rsid w:val="001A4FD4"/>
    <w:rsid w:val="001A5193"/>
    <w:rsid w:val="001A59A5"/>
    <w:rsid w:val="001A5AE0"/>
    <w:rsid w:val="001A5C6E"/>
    <w:rsid w:val="001A5D1D"/>
    <w:rsid w:val="001A703A"/>
    <w:rsid w:val="001A76D9"/>
    <w:rsid w:val="001A7885"/>
    <w:rsid w:val="001A78FF"/>
    <w:rsid w:val="001B2487"/>
    <w:rsid w:val="001B299C"/>
    <w:rsid w:val="001B2BAF"/>
    <w:rsid w:val="001B2BFA"/>
    <w:rsid w:val="001B2D95"/>
    <w:rsid w:val="001B35C6"/>
    <w:rsid w:val="001B36A2"/>
    <w:rsid w:val="001B41EB"/>
    <w:rsid w:val="001B57B6"/>
    <w:rsid w:val="001B5C07"/>
    <w:rsid w:val="001B6633"/>
    <w:rsid w:val="001B6CA8"/>
    <w:rsid w:val="001B71F5"/>
    <w:rsid w:val="001B7B55"/>
    <w:rsid w:val="001B7DF3"/>
    <w:rsid w:val="001B7E91"/>
    <w:rsid w:val="001C04D2"/>
    <w:rsid w:val="001C19F8"/>
    <w:rsid w:val="001C1FFA"/>
    <w:rsid w:val="001C28E1"/>
    <w:rsid w:val="001C303E"/>
    <w:rsid w:val="001C34E1"/>
    <w:rsid w:val="001C34F5"/>
    <w:rsid w:val="001C4897"/>
    <w:rsid w:val="001C566C"/>
    <w:rsid w:val="001C5D64"/>
    <w:rsid w:val="001C6161"/>
    <w:rsid w:val="001C762F"/>
    <w:rsid w:val="001C7A5E"/>
    <w:rsid w:val="001C7E98"/>
    <w:rsid w:val="001D0406"/>
    <w:rsid w:val="001D0CDC"/>
    <w:rsid w:val="001D1237"/>
    <w:rsid w:val="001D12AF"/>
    <w:rsid w:val="001D134F"/>
    <w:rsid w:val="001D13C3"/>
    <w:rsid w:val="001D155D"/>
    <w:rsid w:val="001D25A4"/>
    <w:rsid w:val="001D3127"/>
    <w:rsid w:val="001D342C"/>
    <w:rsid w:val="001D36C3"/>
    <w:rsid w:val="001D3E25"/>
    <w:rsid w:val="001D41E7"/>
    <w:rsid w:val="001D434A"/>
    <w:rsid w:val="001D4F58"/>
    <w:rsid w:val="001D5B2A"/>
    <w:rsid w:val="001D61CE"/>
    <w:rsid w:val="001D6ED7"/>
    <w:rsid w:val="001D7465"/>
    <w:rsid w:val="001D7524"/>
    <w:rsid w:val="001D756E"/>
    <w:rsid w:val="001E0199"/>
    <w:rsid w:val="001E0EC8"/>
    <w:rsid w:val="001E1674"/>
    <w:rsid w:val="001E18D4"/>
    <w:rsid w:val="001E21E5"/>
    <w:rsid w:val="001E3129"/>
    <w:rsid w:val="001E40AB"/>
    <w:rsid w:val="001E489F"/>
    <w:rsid w:val="001E4E49"/>
    <w:rsid w:val="001E5248"/>
    <w:rsid w:val="001E655A"/>
    <w:rsid w:val="001E6638"/>
    <w:rsid w:val="001E6706"/>
    <w:rsid w:val="001E6A4F"/>
    <w:rsid w:val="001E6B88"/>
    <w:rsid w:val="001E75C6"/>
    <w:rsid w:val="001E7FC0"/>
    <w:rsid w:val="001F01A8"/>
    <w:rsid w:val="001F103F"/>
    <w:rsid w:val="001F2E17"/>
    <w:rsid w:val="001F3776"/>
    <w:rsid w:val="001F401E"/>
    <w:rsid w:val="001F4AE1"/>
    <w:rsid w:val="001F50AA"/>
    <w:rsid w:val="001F5DFF"/>
    <w:rsid w:val="001F5FDF"/>
    <w:rsid w:val="001F6131"/>
    <w:rsid w:val="001F65E6"/>
    <w:rsid w:val="001F6FAC"/>
    <w:rsid w:val="001F76D9"/>
    <w:rsid w:val="001F7790"/>
    <w:rsid w:val="00200262"/>
    <w:rsid w:val="00201714"/>
    <w:rsid w:val="002020CE"/>
    <w:rsid w:val="00203317"/>
    <w:rsid w:val="002049C8"/>
    <w:rsid w:val="00204AF4"/>
    <w:rsid w:val="00205B62"/>
    <w:rsid w:val="00205CB3"/>
    <w:rsid w:val="002061D9"/>
    <w:rsid w:val="002069BF"/>
    <w:rsid w:val="00206C6E"/>
    <w:rsid w:val="00210187"/>
    <w:rsid w:val="00210FF3"/>
    <w:rsid w:val="00211CBB"/>
    <w:rsid w:val="002122DC"/>
    <w:rsid w:val="00212300"/>
    <w:rsid w:val="00212366"/>
    <w:rsid w:val="00212925"/>
    <w:rsid w:val="00212A12"/>
    <w:rsid w:val="00212E92"/>
    <w:rsid w:val="002137F3"/>
    <w:rsid w:val="00214265"/>
    <w:rsid w:val="00214385"/>
    <w:rsid w:val="002147CD"/>
    <w:rsid w:val="00214C47"/>
    <w:rsid w:val="00214EFD"/>
    <w:rsid w:val="00215E44"/>
    <w:rsid w:val="00216F05"/>
    <w:rsid w:val="00217D1D"/>
    <w:rsid w:val="00220400"/>
    <w:rsid w:val="0022060E"/>
    <w:rsid w:val="002209E2"/>
    <w:rsid w:val="0022156B"/>
    <w:rsid w:val="00221FE0"/>
    <w:rsid w:val="002229A6"/>
    <w:rsid w:val="002229E1"/>
    <w:rsid w:val="0022358A"/>
    <w:rsid w:val="002237FC"/>
    <w:rsid w:val="0022452F"/>
    <w:rsid w:val="00224B96"/>
    <w:rsid w:val="00225B56"/>
    <w:rsid w:val="00226A3E"/>
    <w:rsid w:val="00226DCE"/>
    <w:rsid w:val="002271C1"/>
    <w:rsid w:val="002272EC"/>
    <w:rsid w:val="0022783E"/>
    <w:rsid w:val="00227D55"/>
    <w:rsid w:val="002303E4"/>
    <w:rsid w:val="00230CD3"/>
    <w:rsid w:val="00231708"/>
    <w:rsid w:val="00232100"/>
    <w:rsid w:val="002322CD"/>
    <w:rsid w:val="00232929"/>
    <w:rsid w:val="002334BA"/>
    <w:rsid w:val="00233748"/>
    <w:rsid w:val="00233970"/>
    <w:rsid w:val="00233B0A"/>
    <w:rsid w:val="00234EC9"/>
    <w:rsid w:val="0023629E"/>
    <w:rsid w:val="002362DC"/>
    <w:rsid w:val="00236319"/>
    <w:rsid w:val="00236622"/>
    <w:rsid w:val="0023773D"/>
    <w:rsid w:val="00237AE7"/>
    <w:rsid w:val="00240326"/>
    <w:rsid w:val="002407E9"/>
    <w:rsid w:val="00240BCF"/>
    <w:rsid w:val="00241035"/>
    <w:rsid w:val="002416AA"/>
    <w:rsid w:val="002419E7"/>
    <w:rsid w:val="00242179"/>
    <w:rsid w:val="002421AB"/>
    <w:rsid w:val="002428C6"/>
    <w:rsid w:val="00242A13"/>
    <w:rsid w:val="00242B51"/>
    <w:rsid w:val="0024353C"/>
    <w:rsid w:val="00243D3D"/>
    <w:rsid w:val="00243E34"/>
    <w:rsid w:val="002445AB"/>
    <w:rsid w:val="0024476E"/>
    <w:rsid w:val="00245B93"/>
    <w:rsid w:val="00245EAB"/>
    <w:rsid w:val="0024724E"/>
    <w:rsid w:val="00247A23"/>
    <w:rsid w:val="00247C0A"/>
    <w:rsid w:val="00247C30"/>
    <w:rsid w:val="002501CD"/>
    <w:rsid w:val="00251130"/>
    <w:rsid w:val="00251159"/>
    <w:rsid w:val="002519F6"/>
    <w:rsid w:val="00251DCE"/>
    <w:rsid w:val="0025215D"/>
    <w:rsid w:val="00253201"/>
    <w:rsid w:val="00253838"/>
    <w:rsid w:val="002539DE"/>
    <w:rsid w:val="00254F21"/>
    <w:rsid w:val="00255283"/>
    <w:rsid w:val="00255D4C"/>
    <w:rsid w:val="00256282"/>
    <w:rsid w:val="0025706F"/>
    <w:rsid w:val="002573FE"/>
    <w:rsid w:val="002604D2"/>
    <w:rsid w:val="002605DA"/>
    <w:rsid w:val="00261781"/>
    <w:rsid w:val="00261867"/>
    <w:rsid w:val="00262196"/>
    <w:rsid w:val="00262853"/>
    <w:rsid w:val="002637B0"/>
    <w:rsid w:val="00263B01"/>
    <w:rsid w:val="00266071"/>
    <w:rsid w:val="002665A4"/>
    <w:rsid w:val="00266B93"/>
    <w:rsid w:val="00266BC7"/>
    <w:rsid w:val="0026789A"/>
    <w:rsid w:val="00267A07"/>
    <w:rsid w:val="002707A0"/>
    <w:rsid w:val="00270D41"/>
    <w:rsid w:val="00270D4D"/>
    <w:rsid w:val="00270D95"/>
    <w:rsid w:val="0027175D"/>
    <w:rsid w:val="0027217C"/>
    <w:rsid w:val="00272557"/>
    <w:rsid w:val="00273B29"/>
    <w:rsid w:val="00274E58"/>
    <w:rsid w:val="00275038"/>
    <w:rsid w:val="00275625"/>
    <w:rsid w:val="00275840"/>
    <w:rsid w:val="002769D0"/>
    <w:rsid w:val="00276B3B"/>
    <w:rsid w:val="00276BA9"/>
    <w:rsid w:val="00276CC8"/>
    <w:rsid w:val="00276F54"/>
    <w:rsid w:val="0027711B"/>
    <w:rsid w:val="002779A1"/>
    <w:rsid w:val="00277F43"/>
    <w:rsid w:val="00280235"/>
    <w:rsid w:val="002804DA"/>
    <w:rsid w:val="002806E1"/>
    <w:rsid w:val="002809F8"/>
    <w:rsid w:val="00280EF6"/>
    <w:rsid w:val="00281215"/>
    <w:rsid w:val="002816AD"/>
    <w:rsid w:val="00281C75"/>
    <w:rsid w:val="00281D6A"/>
    <w:rsid w:val="00282077"/>
    <w:rsid w:val="002827A3"/>
    <w:rsid w:val="00282C54"/>
    <w:rsid w:val="00282F0B"/>
    <w:rsid w:val="002837C2"/>
    <w:rsid w:val="00285BCC"/>
    <w:rsid w:val="00285D18"/>
    <w:rsid w:val="00285DC6"/>
    <w:rsid w:val="00285FB8"/>
    <w:rsid w:val="0028690C"/>
    <w:rsid w:val="00286E8A"/>
    <w:rsid w:val="00286F81"/>
    <w:rsid w:val="00286F8B"/>
    <w:rsid w:val="00287059"/>
    <w:rsid w:val="002904C5"/>
    <w:rsid w:val="0029066C"/>
    <w:rsid w:val="00290989"/>
    <w:rsid w:val="00290C9A"/>
    <w:rsid w:val="0029125F"/>
    <w:rsid w:val="0029169C"/>
    <w:rsid w:val="00291F0F"/>
    <w:rsid w:val="002920AA"/>
    <w:rsid w:val="00292299"/>
    <w:rsid w:val="00292916"/>
    <w:rsid w:val="00292BE4"/>
    <w:rsid w:val="00292DA3"/>
    <w:rsid w:val="00293744"/>
    <w:rsid w:val="00294F97"/>
    <w:rsid w:val="0029558D"/>
    <w:rsid w:val="002957A5"/>
    <w:rsid w:val="00295DB1"/>
    <w:rsid w:val="002961B3"/>
    <w:rsid w:val="002972CD"/>
    <w:rsid w:val="002976B0"/>
    <w:rsid w:val="00297D69"/>
    <w:rsid w:val="002A007B"/>
    <w:rsid w:val="002A11A2"/>
    <w:rsid w:val="002A1A65"/>
    <w:rsid w:val="002A2AE7"/>
    <w:rsid w:val="002A3738"/>
    <w:rsid w:val="002A3A86"/>
    <w:rsid w:val="002A4390"/>
    <w:rsid w:val="002A46FF"/>
    <w:rsid w:val="002A50E5"/>
    <w:rsid w:val="002A51AC"/>
    <w:rsid w:val="002A56E2"/>
    <w:rsid w:val="002A5927"/>
    <w:rsid w:val="002A5A02"/>
    <w:rsid w:val="002A70AC"/>
    <w:rsid w:val="002A75A6"/>
    <w:rsid w:val="002B0335"/>
    <w:rsid w:val="002B044B"/>
    <w:rsid w:val="002B05E3"/>
    <w:rsid w:val="002B0669"/>
    <w:rsid w:val="002B0BB2"/>
    <w:rsid w:val="002B12DA"/>
    <w:rsid w:val="002B1545"/>
    <w:rsid w:val="002B191E"/>
    <w:rsid w:val="002B2019"/>
    <w:rsid w:val="002B21E2"/>
    <w:rsid w:val="002B2346"/>
    <w:rsid w:val="002B34F5"/>
    <w:rsid w:val="002B4158"/>
    <w:rsid w:val="002B423E"/>
    <w:rsid w:val="002B4312"/>
    <w:rsid w:val="002B5015"/>
    <w:rsid w:val="002B636A"/>
    <w:rsid w:val="002B6C85"/>
    <w:rsid w:val="002B6DCD"/>
    <w:rsid w:val="002B7233"/>
    <w:rsid w:val="002B7786"/>
    <w:rsid w:val="002C045F"/>
    <w:rsid w:val="002C0B5A"/>
    <w:rsid w:val="002C0D3E"/>
    <w:rsid w:val="002C1093"/>
    <w:rsid w:val="002C13E1"/>
    <w:rsid w:val="002C1586"/>
    <w:rsid w:val="002C16B5"/>
    <w:rsid w:val="002C1A82"/>
    <w:rsid w:val="002C313E"/>
    <w:rsid w:val="002C38EA"/>
    <w:rsid w:val="002C3CCA"/>
    <w:rsid w:val="002C461E"/>
    <w:rsid w:val="002C4D83"/>
    <w:rsid w:val="002C7011"/>
    <w:rsid w:val="002C703B"/>
    <w:rsid w:val="002D040D"/>
    <w:rsid w:val="002D064B"/>
    <w:rsid w:val="002D0836"/>
    <w:rsid w:val="002D08A6"/>
    <w:rsid w:val="002D0E5D"/>
    <w:rsid w:val="002D207C"/>
    <w:rsid w:val="002D2633"/>
    <w:rsid w:val="002D268C"/>
    <w:rsid w:val="002D2BB5"/>
    <w:rsid w:val="002D341C"/>
    <w:rsid w:val="002D457B"/>
    <w:rsid w:val="002D485C"/>
    <w:rsid w:val="002D4A6E"/>
    <w:rsid w:val="002D5069"/>
    <w:rsid w:val="002D5607"/>
    <w:rsid w:val="002D5BC3"/>
    <w:rsid w:val="002D63F9"/>
    <w:rsid w:val="002D7177"/>
    <w:rsid w:val="002D719B"/>
    <w:rsid w:val="002D74DF"/>
    <w:rsid w:val="002D79A4"/>
    <w:rsid w:val="002D7BFE"/>
    <w:rsid w:val="002D7D37"/>
    <w:rsid w:val="002D7D81"/>
    <w:rsid w:val="002E0041"/>
    <w:rsid w:val="002E027C"/>
    <w:rsid w:val="002E166A"/>
    <w:rsid w:val="002E27CA"/>
    <w:rsid w:val="002E2CF6"/>
    <w:rsid w:val="002E3744"/>
    <w:rsid w:val="002E477E"/>
    <w:rsid w:val="002E532D"/>
    <w:rsid w:val="002E58AC"/>
    <w:rsid w:val="002E58B9"/>
    <w:rsid w:val="002E5A48"/>
    <w:rsid w:val="002E5FA5"/>
    <w:rsid w:val="002E6075"/>
    <w:rsid w:val="002E693B"/>
    <w:rsid w:val="002E6C2A"/>
    <w:rsid w:val="002E7164"/>
    <w:rsid w:val="002E7799"/>
    <w:rsid w:val="002E7E48"/>
    <w:rsid w:val="002F0A75"/>
    <w:rsid w:val="002F0B65"/>
    <w:rsid w:val="002F16AE"/>
    <w:rsid w:val="002F24DF"/>
    <w:rsid w:val="002F2CDB"/>
    <w:rsid w:val="002F466F"/>
    <w:rsid w:val="002F4B17"/>
    <w:rsid w:val="002F581E"/>
    <w:rsid w:val="002F591B"/>
    <w:rsid w:val="002F5A4D"/>
    <w:rsid w:val="002F5ED8"/>
    <w:rsid w:val="002F64E3"/>
    <w:rsid w:val="002F65C6"/>
    <w:rsid w:val="002F67E8"/>
    <w:rsid w:val="002F6A5B"/>
    <w:rsid w:val="0030029B"/>
    <w:rsid w:val="003004EE"/>
    <w:rsid w:val="00300A7C"/>
    <w:rsid w:val="00301C22"/>
    <w:rsid w:val="0030232D"/>
    <w:rsid w:val="0030287C"/>
    <w:rsid w:val="00302B79"/>
    <w:rsid w:val="00303436"/>
    <w:rsid w:val="00303BED"/>
    <w:rsid w:val="00304AB4"/>
    <w:rsid w:val="00305661"/>
    <w:rsid w:val="00306650"/>
    <w:rsid w:val="00306851"/>
    <w:rsid w:val="00307343"/>
    <w:rsid w:val="00307B6D"/>
    <w:rsid w:val="00307C49"/>
    <w:rsid w:val="003109BF"/>
    <w:rsid w:val="00310D23"/>
    <w:rsid w:val="00310EDF"/>
    <w:rsid w:val="0031116B"/>
    <w:rsid w:val="00311303"/>
    <w:rsid w:val="00312035"/>
    <w:rsid w:val="00312327"/>
    <w:rsid w:val="003123E4"/>
    <w:rsid w:val="003131B3"/>
    <w:rsid w:val="00313529"/>
    <w:rsid w:val="00313BFF"/>
    <w:rsid w:val="00313C74"/>
    <w:rsid w:val="00313E03"/>
    <w:rsid w:val="00314DEC"/>
    <w:rsid w:val="00314F0F"/>
    <w:rsid w:val="00315083"/>
    <w:rsid w:val="00315FCB"/>
    <w:rsid w:val="0031657E"/>
    <w:rsid w:val="00316962"/>
    <w:rsid w:val="00316A2F"/>
    <w:rsid w:val="00316BFA"/>
    <w:rsid w:val="00317513"/>
    <w:rsid w:val="00320335"/>
    <w:rsid w:val="0032154F"/>
    <w:rsid w:val="00322021"/>
    <w:rsid w:val="00322693"/>
    <w:rsid w:val="0032289F"/>
    <w:rsid w:val="00322A9E"/>
    <w:rsid w:val="00323B11"/>
    <w:rsid w:val="00323B27"/>
    <w:rsid w:val="00323C93"/>
    <w:rsid w:val="00323DCF"/>
    <w:rsid w:val="00323EE8"/>
    <w:rsid w:val="00324368"/>
    <w:rsid w:val="0032452F"/>
    <w:rsid w:val="00325331"/>
    <w:rsid w:val="003259B4"/>
    <w:rsid w:val="00325B62"/>
    <w:rsid w:val="00327981"/>
    <w:rsid w:val="003302F6"/>
    <w:rsid w:val="00330552"/>
    <w:rsid w:val="00331525"/>
    <w:rsid w:val="00332609"/>
    <w:rsid w:val="00332953"/>
    <w:rsid w:val="003330CF"/>
    <w:rsid w:val="0033367D"/>
    <w:rsid w:val="00333743"/>
    <w:rsid w:val="00334701"/>
    <w:rsid w:val="00334B93"/>
    <w:rsid w:val="00334EF9"/>
    <w:rsid w:val="00335060"/>
    <w:rsid w:val="00335C90"/>
    <w:rsid w:val="003365F3"/>
    <w:rsid w:val="00337521"/>
    <w:rsid w:val="00337D20"/>
    <w:rsid w:val="003400F3"/>
    <w:rsid w:val="0034074A"/>
    <w:rsid w:val="00340DB1"/>
    <w:rsid w:val="00340DE8"/>
    <w:rsid w:val="00341211"/>
    <w:rsid w:val="00341F55"/>
    <w:rsid w:val="00342218"/>
    <w:rsid w:val="00342EA3"/>
    <w:rsid w:val="0034313E"/>
    <w:rsid w:val="003431E0"/>
    <w:rsid w:val="00343501"/>
    <w:rsid w:val="00343735"/>
    <w:rsid w:val="0034395E"/>
    <w:rsid w:val="003453F0"/>
    <w:rsid w:val="00345402"/>
    <w:rsid w:val="003463BF"/>
    <w:rsid w:val="003463EE"/>
    <w:rsid w:val="00346796"/>
    <w:rsid w:val="003467D0"/>
    <w:rsid w:val="00346BBD"/>
    <w:rsid w:val="00346C65"/>
    <w:rsid w:val="00347243"/>
    <w:rsid w:val="003501B2"/>
    <w:rsid w:val="0035025F"/>
    <w:rsid w:val="00350D54"/>
    <w:rsid w:val="00351D56"/>
    <w:rsid w:val="003532A4"/>
    <w:rsid w:val="00353B48"/>
    <w:rsid w:val="00353CE6"/>
    <w:rsid w:val="00353F43"/>
    <w:rsid w:val="003555CF"/>
    <w:rsid w:val="003557E9"/>
    <w:rsid w:val="00355D44"/>
    <w:rsid w:val="00356A3F"/>
    <w:rsid w:val="00356BEC"/>
    <w:rsid w:val="0035771F"/>
    <w:rsid w:val="0035794F"/>
    <w:rsid w:val="00357E99"/>
    <w:rsid w:val="00360679"/>
    <w:rsid w:val="00360ED5"/>
    <w:rsid w:val="00361210"/>
    <w:rsid w:val="003612CE"/>
    <w:rsid w:val="003618D4"/>
    <w:rsid w:val="00361BBE"/>
    <w:rsid w:val="003626C7"/>
    <w:rsid w:val="00362DEC"/>
    <w:rsid w:val="00363261"/>
    <w:rsid w:val="00364408"/>
    <w:rsid w:val="00364E29"/>
    <w:rsid w:val="003669B6"/>
    <w:rsid w:val="00366B0E"/>
    <w:rsid w:val="0036701A"/>
    <w:rsid w:val="003671B4"/>
    <w:rsid w:val="00367283"/>
    <w:rsid w:val="00367A7C"/>
    <w:rsid w:val="003704E2"/>
    <w:rsid w:val="00370820"/>
    <w:rsid w:val="00370F2F"/>
    <w:rsid w:val="003712AE"/>
    <w:rsid w:val="00371998"/>
    <w:rsid w:val="00371A0C"/>
    <w:rsid w:val="00372119"/>
    <w:rsid w:val="0037250F"/>
    <w:rsid w:val="003731FE"/>
    <w:rsid w:val="003743CF"/>
    <w:rsid w:val="0037444E"/>
    <w:rsid w:val="00374604"/>
    <w:rsid w:val="00375E43"/>
    <w:rsid w:val="00375E5D"/>
    <w:rsid w:val="00376648"/>
    <w:rsid w:val="00377213"/>
    <w:rsid w:val="0037738C"/>
    <w:rsid w:val="00377DFD"/>
    <w:rsid w:val="00377EDA"/>
    <w:rsid w:val="00380016"/>
    <w:rsid w:val="0038028F"/>
    <w:rsid w:val="0038130D"/>
    <w:rsid w:val="00381414"/>
    <w:rsid w:val="00381921"/>
    <w:rsid w:val="00381991"/>
    <w:rsid w:val="00382442"/>
    <w:rsid w:val="003834A6"/>
    <w:rsid w:val="00383B83"/>
    <w:rsid w:val="00383B92"/>
    <w:rsid w:val="0038435B"/>
    <w:rsid w:val="00384DB4"/>
    <w:rsid w:val="00384E51"/>
    <w:rsid w:val="0038565A"/>
    <w:rsid w:val="0038579F"/>
    <w:rsid w:val="00385A58"/>
    <w:rsid w:val="00387AE5"/>
    <w:rsid w:val="00387F91"/>
    <w:rsid w:val="00387FC1"/>
    <w:rsid w:val="003901A6"/>
    <w:rsid w:val="00390B03"/>
    <w:rsid w:val="00391870"/>
    <w:rsid w:val="00392115"/>
    <w:rsid w:val="00392177"/>
    <w:rsid w:val="003927C0"/>
    <w:rsid w:val="00392C91"/>
    <w:rsid w:val="00392CAA"/>
    <w:rsid w:val="003938E6"/>
    <w:rsid w:val="00393E55"/>
    <w:rsid w:val="00393FA0"/>
    <w:rsid w:val="00394076"/>
    <w:rsid w:val="00394D16"/>
    <w:rsid w:val="00394FEF"/>
    <w:rsid w:val="00395A51"/>
    <w:rsid w:val="003961F0"/>
    <w:rsid w:val="003963B1"/>
    <w:rsid w:val="0039686F"/>
    <w:rsid w:val="003974D7"/>
    <w:rsid w:val="00397F89"/>
    <w:rsid w:val="003A0A1E"/>
    <w:rsid w:val="003A0C55"/>
    <w:rsid w:val="003A0E43"/>
    <w:rsid w:val="003A1554"/>
    <w:rsid w:val="003A1C4D"/>
    <w:rsid w:val="003A1D88"/>
    <w:rsid w:val="003A1F14"/>
    <w:rsid w:val="003A3165"/>
    <w:rsid w:val="003A407A"/>
    <w:rsid w:val="003A4E48"/>
    <w:rsid w:val="003A5350"/>
    <w:rsid w:val="003A5FBD"/>
    <w:rsid w:val="003A65BA"/>
    <w:rsid w:val="003B0D30"/>
    <w:rsid w:val="003B15FF"/>
    <w:rsid w:val="003B2ED7"/>
    <w:rsid w:val="003B32DA"/>
    <w:rsid w:val="003B34D9"/>
    <w:rsid w:val="003B3F75"/>
    <w:rsid w:val="003B46E6"/>
    <w:rsid w:val="003B4CA0"/>
    <w:rsid w:val="003B4DD1"/>
    <w:rsid w:val="003B520A"/>
    <w:rsid w:val="003B52B4"/>
    <w:rsid w:val="003B52FB"/>
    <w:rsid w:val="003B585C"/>
    <w:rsid w:val="003B62B2"/>
    <w:rsid w:val="003B644D"/>
    <w:rsid w:val="003B67C0"/>
    <w:rsid w:val="003B70A4"/>
    <w:rsid w:val="003B7281"/>
    <w:rsid w:val="003B75FA"/>
    <w:rsid w:val="003B7FCB"/>
    <w:rsid w:val="003C00C9"/>
    <w:rsid w:val="003C0376"/>
    <w:rsid w:val="003C0A4A"/>
    <w:rsid w:val="003C0F0C"/>
    <w:rsid w:val="003C1367"/>
    <w:rsid w:val="003C13CA"/>
    <w:rsid w:val="003C1829"/>
    <w:rsid w:val="003C1AD0"/>
    <w:rsid w:val="003C1C56"/>
    <w:rsid w:val="003C253F"/>
    <w:rsid w:val="003C2897"/>
    <w:rsid w:val="003C387C"/>
    <w:rsid w:val="003C388E"/>
    <w:rsid w:val="003C3B32"/>
    <w:rsid w:val="003C46CE"/>
    <w:rsid w:val="003C4819"/>
    <w:rsid w:val="003C4AE4"/>
    <w:rsid w:val="003C4BAC"/>
    <w:rsid w:val="003C4C34"/>
    <w:rsid w:val="003C5947"/>
    <w:rsid w:val="003C6077"/>
    <w:rsid w:val="003C66D6"/>
    <w:rsid w:val="003C6FD9"/>
    <w:rsid w:val="003D1474"/>
    <w:rsid w:val="003D3A5C"/>
    <w:rsid w:val="003D3B59"/>
    <w:rsid w:val="003D3C4C"/>
    <w:rsid w:val="003D45ED"/>
    <w:rsid w:val="003D466C"/>
    <w:rsid w:val="003D4C37"/>
    <w:rsid w:val="003D4F13"/>
    <w:rsid w:val="003D5301"/>
    <w:rsid w:val="003D5338"/>
    <w:rsid w:val="003D537D"/>
    <w:rsid w:val="003D5499"/>
    <w:rsid w:val="003D5654"/>
    <w:rsid w:val="003D56E4"/>
    <w:rsid w:val="003D5AF2"/>
    <w:rsid w:val="003D6898"/>
    <w:rsid w:val="003D6DE7"/>
    <w:rsid w:val="003D72F3"/>
    <w:rsid w:val="003D7384"/>
    <w:rsid w:val="003E2606"/>
    <w:rsid w:val="003E339B"/>
    <w:rsid w:val="003E3D0F"/>
    <w:rsid w:val="003E3E57"/>
    <w:rsid w:val="003E4470"/>
    <w:rsid w:val="003E4601"/>
    <w:rsid w:val="003E4A0C"/>
    <w:rsid w:val="003E4E97"/>
    <w:rsid w:val="003E5694"/>
    <w:rsid w:val="003E57DC"/>
    <w:rsid w:val="003E5ED0"/>
    <w:rsid w:val="003E701F"/>
    <w:rsid w:val="003E7046"/>
    <w:rsid w:val="003E7E1D"/>
    <w:rsid w:val="003E7FED"/>
    <w:rsid w:val="003F014A"/>
    <w:rsid w:val="003F05F6"/>
    <w:rsid w:val="003F0BBE"/>
    <w:rsid w:val="003F2501"/>
    <w:rsid w:val="003F32F8"/>
    <w:rsid w:val="003F3982"/>
    <w:rsid w:val="003F5319"/>
    <w:rsid w:val="003F7AFB"/>
    <w:rsid w:val="00400227"/>
    <w:rsid w:val="00400F22"/>
    <w:rsid w:val="00400F4E"/>
    <w:rsid w:val="00400FAE"/>
    <w:rsid w:val="00401E9A"/>
    <w:rsid w:val="004023B3"/>
    <w:rsid w:val="00402AF9"/>
    <w:rsid w:val="004046DA"/>
    <w:rsid w:val="004048F0"/>
    <w:rsid w:val="0040689A"/>
    <w:rsid w:val="00406E31"/>
    <w:rsid w:val="004076E1"/>
    <w:rsid w:val="00410437"/>
    <w:rsid w:val="00411436"/>
    <w:rsid w:val="00411FD8"/>
    <w:rsid w:val="0041204A"/>
    <w:rsid w:val="0041214B"/>
    <w:rsid w:val="00412F3F"/>
    <w:rsid w:val="00413910"/>
    <w:rsid w:val="00413A4A"/>
    <w:rsid w:val="00414240"/>
    <w:rsid w:val="004143E9"/>
    <w:rsid w:val="0041453E"/>
    <w:rsid w:val="004145DA"/>
    <w:rsid w:val="00414FAA"/>
    <w:rsid w:val="004153C4"/>
    <w:rsid w:val="004155B8"/>
    <w:rsid w:val="00415892"/>
    <w:rsid w:val="0041735C"/>
    <w:rsid w:val="0041783B"/>
    <w:rsid w:val="004202E4"/>
    <w:rsid w:val="00421597"/>
    <w:rsid w:val="00421689"/>
    <w:rsid w:val="0042174E"/>
    <w:rsid w:val="00421BA4"/>
    <w:rsid w:val="00421DF0"/>
    <w:rsid w:val="00421FF0"/>
    <w:rsid w:val="00422354"/>
    <w:rsid w:val="00422A10"/>
    <w:rsid w:val="004232AC"/>
    <w:rsid w:val="004243B8"/>
    <w:rsid w:val="004244B2"/>
    <w:rsid w:val="00424636"/>
    <w:rsid w:val="0042482C"/>
    <w:rsid w:val="0042553E"/>
    <w:rsid w:val="004264DE"/>
    <w:rsid w:val="004269FC"/>
    <w:rsid w:val="004272B9"/>
    <w:rsid w:val="00427B21"/>
    <w:rsid w:val="0043000D"/>
    <w:rsid w:val="004300A7"/>
    <w:rsid w:val="00431173"/>
    <w:rsid w:val="004312AC"/>
    <w:rsid w:val="004316BF"/>
    <w:rsid w:val="00431704"/>
    <w:rsid w:val="00431A87"/>
    <w:rsid w:val="00432085"/>
    <w:rsid w:val="0043306D"/>
    <w:rsid w:val="0043336B"/>
    <w:rsid w:val="00433646"/>
    <w:rsid w:val="00433E03"/>
    <w:rsid w:val="00433EBB"/>
    <w:rsid w:val="0043495D"/>
    <w:rsid w:val="00434D13"/>
    <w:rsid w:val="00434E15"/>
    <w:rsid w:val="00435766"/>
    <w:rsid w:val="00435A89"/>
    <w:rsid w:val="00436B00"/>
    <w:rsid w:val="00437D0C"/>
    <w:rsid w:val="004401E6"/>
    <w:rsid w:val="00441C3B"/>
    <w:rsid w:val="00442173"/>
    <w:rsid w:val="004445F3"/>
    <w:rsid w:val="00444A17"/>
    <w:rsid w:val="00445F70"/>
    <w:rsid w:val="004469DA"/>
    <w:rsid w:val="0044700A"/>
    <w:rsid w:val="00450322"/>
    <w:rsid w:val="004509CC"/>
    <w:rsid w:val="00450E03"/>
    <w:rsid w:val="004518A6"/>
    <w:rsid w:val="004527AD"/>
    <w:rsid w:val="0045287A"/>
    <w:rsid w:val="00452AA4"/>
    <w:rsid w:val="00453590"/>
    <w:rsid w:val="00454623"/>
    <w:rsid w:val="00454942"/>
    <w:rsid w:val="004558EB"/>
    <w:rsid w:val="00455EA1"/>
    <w:rsid w:val="0045774C"/>
    <w:rsid w:val="004610CF"/>
    <w:rsid w:val="00461549"/>
    <w:rsid w:val="0046167F"/>
    <w:rsid w:val="0046227A"/>
    <w:rsid w:val="00462714"/>
    <w:rsid w:val="00462B5C"/>
    <w:rsid w:val="00462F65"/>
    <w:rsid w:val="00463EDC"/>
    <w:rsid w:val="0046415E"/>
    <w:rsid w:val="004644A7"/>
    <w:rsid w:val="0046472E"/>
    <w:rsid w:val="00464D29"/>
    <w:rsid w:val="004652BE"/>
    <w:rsid w:val="00465B83"/>
    <w:rsid w:val="004664B2"/>
    <w:rsid w:val="00466762"/>
    <w:rsid w:val="00466FC0"/>
    <w:rsid w:val="00467076"/>
    <w:rsid w:val="004672B7"/>
    <w:rsid w:val="0046754F"/>
    <w:rsid w:val="004676C4"/>
    <w:rsid w:val="0046789A"/>
    <w:rsid w:val="00467BB2"/>
    <w:rsid w:val="00467EA5"/>
    <w:rsid w:val="00467EC9"/>
    <w:rsid w:val="00470810"/>
    <w:rsid w:val="004709C4"/>
    <w:rsid w:val="0047105A"/>
    <w:rsid w:val="004711B3"/>
    <w:rsid w:val="004714BA"/>
    <w:rsid w:val="00471760"/>
    <w:rsid w:val="00471983"/>
    <w:rsid w:val="00471C9D"/>
    <w:rsid w:val="00471D42"/>
    <w:rsid w:val="004720F9"/>
    <w:rsid w:val="00473BB3"/>
    <w:rsid w:val="0047413A"/>
    <w:rsid w:val="00474DAD"/>
    <w:rsid w:val="00474E2D"/>
    <w:rsid w:val="004757F0"/>
    <w:rsid w:val="004763EE"/>
    <w:rsid w:val="00476CC2"/>
    <w:rsid w:val="00476DA2"/>
    <w:rsid w:val="00477071"/>
    <w:rsid w:val="004771AC"/>
    <w:rsid w:val="00477E6B"/>
    <w:rsid w:val="004803F3"/>
    <w:rsid w:val="00480994"/>
    <w:rsid w:val="00480B9C"/>
    <w:rsid w:val="00481BDE"/>
    <w:rsid w:val="00481FC7"/>
    <w:rsid w:val="00482029"/>
    <w:rsid w:val="00482472"/>
    <w:rsid w:val="004832EB"/>
    <w:rsid w:val="004838FB"/>
    <w:rsid w:val="00483FA1"/>
    <w:rsid w:val="00484300"/>
    <w:rsid w:val="00484396"/>
    <w:rsid w:val="0048441A"/>
    <w:rsid w:val="004847F3"/>
    <w:rsid w:val="00484916"/>
    <w:rsid w:val="00484C17"/>
    <w:rsid w:val="0048564C"/>
    <w:rsid w:val="004857EC"/>
    <w:rsid w:val="00485EAD"/>
    <w:rsid w:val="00486AEC"/>
    <w:rsid w:val="0048790B"/>
    <w:rsid w:val="0049034D"/>
    <w:rsid w:val="004917AE"/>
    <w:rsid w:val="0049186E"/>
    <w:rsid w:val="004918B3"/>
    <w:rsid w:val="00491962"/>
    <w:rsid w:val="00492207"/>
    <w:rsid w:val="0049246F"/>
    <w:rsid w:val="0049294E"/>
    <w:rsid w:val="00494527"/>
    <w:rsid w:val="004947B7"/>
    <w:rsid w:val="00494BF2"/>
    <w:rsid w:val="00494C17"/>
    <w:rsid w:val="004955BB"/>
    <w:rsid w:val="00495AC4"/>
    <w:rsid w:val="004961E4"/>
    <w:rsid w:val="004974C1"/>
    <w:rsid w:val="00497D4C"/>
    <w:rsid w:val="004A0A49"/>
    <w:rsid w:val="004A1343"/>
    <w:rsid w:val="004A1A88"/>
    <w:rsid w:val="004A2416"/>
    <w:rsid w:val="004A24C6"/>
    <w:rsid w:val="004A2527"/>
    <w:rsid w:val="004A3E0F"/>
    <w:rsid w:val="004A3E54"/>
    <w:rsid w:val="004A41F7"/>
    <w:rsid w:val="004A423C"/>
    <w:rsid w:val="004A452F"/>
    <w:rsid w:val="004A5022"/>
    <w:rsid w:val="004A5C27"/>
    <w:rsid w:val="004A664A"/>
    <w:rsid w:val="004A6B4B"/>
    <w:rsid w:val="004A7AE9"/>
    <w:rsid w:val="004B0384"/>
    <w:rsid w:val="004B0488"/>
    <w:rsid w:val="004B0AD6"/>
    <w:rsid w:val="004B0CEF"/>
    <w:rsid w:val="004B0D23"/>
    <w:rsid w:val="004B151D"/>
    <w:rsid w:val="004B2216"/>
    <w:rsid w:val="004B271C"/>
    <w:rsid w:val="004B2946"/>
    <w:rsid w:val="004B3521"/>
    <w:rsid w:val="004B38C0"/>
    <w:rsid w:val="004B3EE1"/>
    <w:rsid w:val="004B40A2"/>
    <w:rsid w:val="004B4296"/>
    <w:rsid w:val="004B4415"/>
    <w:rsid w:val="004B495E"/>
    <w:rsid w:val="004B4AA0"/>
    <w:rsid w:val="004B4C36"/>
    <w:rsid w:val="004B51B4"/>
    <w:rsid w:val="004B53B1"/>
    <w:rsid w:val="004B6347"/>
    <w:rsid w:val="004B647B"/>
    <w:rsid w:val="004B6F22"/>
    <w:rsid w:val="004B7463"/>
    <w:rsid w:val="004B7558"/>
    <w:rsid w:val="004C015A"/>
    <w:rsid w:val="004C0B42"/>
    <w:rsid w:val="004C100D"/>
    <w:rsid w:val="004C193F"/>
    <w:rsid w:val="004C1C16"/>
    <w:rsid w:val="004C1EA7"/>
    <w:rsid w:val="004C1F10"/>
    <w:rsid w:val="004C29AC"/>
    <w:rsid w:val="004C3469"/>
    <w:rsid w:val="004C5933"/>
    <w:rsid w:val="004C6055"/>
    <w:rsid w:val="004C6142"/>
    <w:rsid w:val="004C6EAB"/>
    <w:rsid w:val="004C7AED"/>
    <w:rsid w:val="004D075B"/>
    <w:rsid w:val="004D0BB0"/>
    <w:rsid w:val="004D29FB"/>
    <w:rsid w:val="004D2EEE"/>
    <w:rsid w:val="004D3002"/>
    <w:rsid w:val="004D355A"/>
    <w:rsid w:val="004D3794"/>
    <w:rsid w:val="004D38FA"/>
    <w:rsid w:val="004D3A1D"/>
    <w:rsid w:val="004D408C"/>
    <w:rsid w:val="004D41EB"/>
    <w:rsid w:val="004D476B"/>
    <w:rsid w:val="004D4BBE"/>
    <w:rsid w:val="004D57FD"/>
    <w:rsid w:val="004D5914"/>
    <w:rsid w:val="004D5F3C"/>
    <w:rsid w:val="004D6145"/>
    <w:rsid w:val="004D631B"/>
    <w:rsid w:val="004D66E9"/>
    <w:rsid w:val="004D6742"/>
    <w:rsid w:val="004D6C1F"/>
    <w:rsid w:val="004D6E83"/>
    <w:rsid w:val="004D7070"/>
    <w:rsid w:val="004D77E5"/>
    <w:rsid w:val="004D7BE4"/>
    <w:rsid w:val="004E081C"/>
    <w:rsid w:val="004E0A5B"/>
    <w:rsid w:val="004E12AA"/>
    <w:rsid w:val="004E2311"/>
    <w:rsid w:val="004E237B"/>
    <w:rsid w:val="004E247E"/>
    <w:rsid w:val="004E2850"/>
    <w:rsid w:val="004E375C"/>
    <w:rsid w:val="004E39D6"/>
    <w:rsid w:val="004E55CE"/>
    <w:rsid w:val="004E5C22"/>
    <w:rsid w:val="004E667E"/>
    <w:rsid w:val="004E6C00"/>
    <w:rsid w:val="004E6F6E"/>
    <w:rsid w:val="004F01D3"/>
    <w:rsid w:val="004F0631"/>
    <w:rsid w:val="004F12ED"/>
    <w:rsid w:val="004F15D7"/>
    <w:rsid w:val="004F251F"/>
    <w:rsid w:val="004F320A"/>
    <w:rsid w:val="004F32FD"/>
    <w:rsid w:val="004F333E"/>
    <w:rsid w:val="004F45B5"/>
    <w:rsid w:val="004F4CC1"/>
    <w:rsid w:val="004F5704"/>
    <w:rsid w:val="004F5AA7"/>
    <w:rsid w:val="004F606A"/>
    <w:rsid w:val="004F6E14"/>
    <w:rsid w:val="004F71A1"/>
    <w:rsid w:val="004F79D4"/>
    <w:rsid w:val="005000A4"/>
    <w:rsid w:val="00500440"/>
    <w:rsid w:val="00500E6D"/>
    <w:rsid w:val="00501A8F"/>
    <w:rsid w:val="00502305"/>
    <w:rsid w:val="00502465"/>
    <w:rsid w:val="005025D4"/>
    <w:rsid w:val="005030D2"/>
    <w:rsid w:val="005037CF"/>
    <w:rsid w:val="00503C55"/>
    <w:rsid w:val="005054A3"/>
    <w:rsid w:val="00505D0E"/>
    <w:rsid w:val="00505D8A"/>
    <w:rsid w:val="005064D9"/>
    <w:rsid w:val="0050650A"/>
    <w:rsid w:val="00506E95"/>
    <w:rsid w:val="0050706D"/>
    <w:rsid w:val="00507147"/>
    <w:rsid w:val="0050772D"/>
    <w:rsid w:val="00507AFF"/>
    <w:rsid w:val="00507D43"/>
    <w:rsid w:val="00510686"/>
    <w:rsid w:val="005107C0"/>
    <w:rsid w:val="00510F85"/>
    <w:rsid w:val="005118BF"/>
    <w:rsid w:val="00512C19"/>
    <w:rsid w:val="00513BD5"/>
    <w:rsid w:val="00513C0A"/>
    <w:rsid w:val="0051477C"/>
    <w:rsid w:val="00514840"/>
    <w:rsid w:val="0051544B"/>
    <w:rsid w:val="0051582B"/>
    <w:rsid w:val="00515D33"/>
    <w:rsid w:val="005160DF"/>
    <w:rsid w:val="00516279"/>
    <w:rsid w:val="00516482"/>
    <w:rsid w:val="0051653F"/>
    <w:rsid w:val="0051661A"/>
    <w:rsid w:val="00516625"/>
    <w:rsid w:val="00517156"/>
    <w:rsid w:val="00517864"/>
    <w:rsid w:val="00517C01"/>
    <w:rsid w:val="00517E27"/>
    <w:rsid w:val="00517EF0"/>
    <w:rsid w:val="0052022E"/>
    <w:rsid w:val="0052028D"/>
    <w:rsid w:val="0052079D"/>
    <w:rsid w:val="005208FA"/>
    <w:rsid w:val="00521483"/>
    <w:rsid w:val="005214D7"/>
    <w:rsid w:val="00522345"/>
    <w:rsid w:val="0052333B"/>
    <w:rsid w:val="005234D3"/>
    <w:rsid w:val="005234F2"/>
    <w:rsid w:val="00523AAE"/>
    <w:rsid w:val="00524154"/>
    <w:rsid w:val="00524EEC"/>
    <w:rsid w:val="00526646"/>
    <w:rsid w:val="0052690D"/>
    <w:rsid w:val="00527784"/>
    <w:rsid w:val="00527CF3"/>
    <w:rsid w:val="005312B0"/>
    <w:rsid w:val="00531A99"/>
    <w:rsid w:val="00531D17"/>
    <w:rsid w:val="00532630"/>
    <w:rsid w:val="00532745"/>
    <w:rsid w:val="00533882"/>
    <w:rsid w:val="00533896"/>
    <w:rsid w:val="00534421"/>
    <w:rsid w:val="0053537E"/>
    <w:rsid w:val="00535585"/>
    <w:rsid w:val="00536AF7"/>
    <w:rsid w:val="00536E7C"/>
    <w:rsid w:val="00540A1E"/>
    <w:rsid w:val="00540F93"/>
    <w:rsid w:val="005411E8"/>
    <w:rsid w:val="005411FE"/>
    <w:rsid w:val="005417B2"/>
    <w:rsid w:val="00542541"/>
    <w:rsid w:val="00542B92"/>
    <w:rsid w:val="00543077"/>
    <w:rsid w:val="0054370D"/>
    <w:rsid w:val="00543F97"/>
    <w:rsid w:val="00544156"/>
    <w:rsid w:val="00544474"/>
    <w:rsid w:val="00544D40"/>
    <w:rsid w:val="005457B8"/>
    <w:rsid w:val="00546595"/>
    <w:rsid w:val="005472DF"/>
    <w:rsid w:val="005476F5"/>
    <w:rsid w:val="0054778D"/>
    <w:rsid w:val="005478F3"/>
    <w:rsid w:val="0054797F"/>
    <w:rsid w:val="00547D75"/>
    <w:rsid w:val="00550EC2"/>
    <w:rsid w:val="0055174A"/>
    <w:rsid w:val="00551B7C"/>
    <w:rsid w:val="00551BB2"/>
    <w:rsid w:val="005525D0"/>
    <w:rsid w:val="00552919"/>
    <w:rsid w:val="00552DF1"/>
    <w:rsid w:val="00553463"/>
    <w:rsid w:val="00553ADD"/>
    <w:rsid w:val="00555543"/>
    <w:rsid w:val="005562C2"/>
    <w:rsid w:val="00556B8E"/>
    <w:rsid w:val="00557D2F"/>
    <w:rsid w:val="005606DA"/>
    <w:rsid w:val="005606DE"/>
    <w:rsid w:val="00560795"/>
    <w:rsid w:val="0056131D"/>
    <w:rsid w:val="00561C1C"/>
    <w:rsid w:val="00561E73"/>
    <w:rsid w:val="005641A7"/>
    <w:rsid w:val="00564818"/>
    <w:rsid w:val="005648BD"/>
    <w:rsid w:val="00564BA7"/>
    <w:rsid w:val="00564D6D"/>
    <w:rsid w:val="00564D85"/>
    <w:rsid w:val="00565EC5"/>
    <w:rsid w:val="00565F39"/>
    <w:rsid w:val="00565F7F"/>
    <w:rsid w:val="00566699"/>
    <w:rsid w:val="00566A41"/>
    <w:rsid w:val="005678E1"/>
    <w:rsid w:val="00567981"/>
    <w:rsid w:val="00567CA7"/>
    <w:rsid w:val="00570127"/>
    <w:rsid w:val="00570A3C"/>
    <w:rsid w:val="00571316"/>
    <w:rsid w:val="0057144E"/>
    <w:rsid w:val="005723E4"/>
    <w:rsid w:val="00572A6A"/>
    <w:rsid w:val="00572A86"/>
    <w:rsid w:val="00572E7E"/>
    <w:rsid w:val="00573B92"/>
    <w:rsid w:val="005740C4"/>
    <w:rsid w:val="005749EA"/>
    <w:rsid w:val="00574AC7"/>
    <w:rsid w:val="00574EAC"/>
    <w:rsid w:val="00575688"/>
    <w:rsid w:val="00575B3B"/>
    <w:rsid w:val="00575DE4"/>
    <w:rsid w:val="005762C3"/>
    <w:rsid w:val="00580957"/>
    <w:rsid w:val="00581178"/>
    <w:rsid w:val="005812D4"/>
    <w:rsid w:val="00582414"/>
    <w:rsid w:val="005833E6"/>
    <w:rsid w:val="005835E2"/>
    <w:rsid w:val="00583E1B"/>
    <w:rsid w:val="00584E3D"/>
    <w:rsid w:val="005863DE"/>
    <w:rsid w:val="005865EB"/>
    <w:rsid w:val="00586D85"/>
    <w:rsid w:val="00586DE5"/>
    <w:rsid w:val="00587273"/>
    <w:rsid w:val="00587402"/>
    <w:rsid w:val="00587A6E"/>
    <w:rsid w:val="0059066A"/>
    <w:rsid w:val="0059079D"/>
    <w:rsid w:val="005907D9"/>
    <w:rsid w:val="005907FF"/>
    <w:rsid w:val="00592853"/>
    <w:rsid w:val="0059341E"/>
    <w:rsid w:val="00593F6A"/>
    <w:rsid w:val="005947D5"/>
    <w:rsid w:val="00594F79"/>
    <w:rsid w:val="005965E9"/>
    <w:rsid w:val="005967C3"/>
    <w:rsid w:val="0059708E"/>
    <w:rsid w:val="005975C5"/>
    <w:rsid w:val="00597964"/>
    <w:rsid w:val="00597FC5"/>
    <w:rsid w:val="005A01F6"/>
    <w:rsid w:val="005A0560"/>
    <w:rsid w:val="005A08D3"/>
    <w:rsid w:val="005A0F0D"/>
    <w:rsid w:val="005A15C5"/>
    <w:rsid w:val="005A15D3"/>
    <w:rsid w:val="005A22B2"/>
    <w:rsid w:val="005A2372"/>
    <w:rsid w:val="005A30A4"/>
    <w:rsid w:val="005A3126"/>
    <w:rsid w:val="005A3316"/>
    <w:rsid w:val="005A3995"/>
    <w:rsid w:val="005A48C6"/>
    <w:rsid w:val="005A4998"/>
    <w:rsid w:val="005A504A"/>
    <w:rsid w:val="005A505C"/>
    <w:rsid w:val="005A5B39"/>
    <w:rsid w:val="005A5EDC"/>
    <w:rsid w:val="005A6741"/>
    <w:rsid w:val="005A7F02"/>
    <w:rsid w:val="005B06A2"/>
    <w:rsid w:val="005B1161"/>
    <w:rsid w:val="005B141A"/>
    <w:rsid w:val="005B1A7F"/>
    <w:rsid w:val="005B1D65"/>
    <w:rsid w:val="005B1F55"/>
    <w:rsid w:val="005B3FAF"/>
    <w:rsid w:val="005B408A"/>
    <w:rsid w:val="005B494B"/>
    <w:rsid w:val="005B5F2D"/>
    <w:rsid w:val="005B5F80"/>
    <w:rsid w:val="005B6908"/>
    <w:rsid w:val="005B69B7"/>
    <w:rsid w:val="005B6BEF"/>
    <w:rsid w:val="005B7256"/>
    <w:rsid w:val="005B74FC"/>
    <w:rsid w:val="005B773B"/>
    <w:rsid w:val="005B78C0"/>
    <w:rsid w:val="005B7CCE"/>
    <w:rsid w:val="005C0C06"/>
    <w:rsid w:val="005C1478"/>
    <w:rsid w:val="005C14A2"/>
    <w:rsid w:val="005C15AA"/>
    <w:rsid w:val="005C19FA"/>
    <w:rsid w:val="005C4FA8"/>
    <w:rsid w:val="005C4FBB"/>
    <w:rsid w:val="005C5087"/>
    <w:rsid w:val="005C55CF"/>
    <w:rsid w:val="005C58C5"/>
    <w:rsid w:val="005C5987"/>
    <w:rsid w:val="005C6048"/>
    <w:rsid w:val="005C6858"/>
    <w:rsid w:val="005C6E43"/>
    <w:rsid w:val="005C701A"/>
    <w:rsid w:val="005C78B0"/>
    <w:rsid w:val="005C7BD1"/>
    <w:rsid w:val="005C7C52"/>
    <w:rsid w:val="005D0C0A"/>
    <w:rsid w:val="005D0FB1"/>
    <w:rsid w:val="005D101A"/>
    <w:rsid w:val="005D191A"/>
    <w:rsid w:val="005D1B6C"/>
    <w:rsid w:val="005D259A"/>
    <w:rsid w:val="005D27F6"/>
    <w:rsid w:val="005D43AA"/>
    <w:rsid w:val="005D448A"/>
    <w:rsid w:val="005D4512"/>
    <w:rsid w:val="005D4DF8"/>
    <w:rsid w:val="005D5AFD"/>
    <w:rsid w:val="005D6508"/>
    <w:rsid w:val="005D6A66"/>
    <w:rsid w:val="005D6D80"/>
    <w:rsid w:val="005D6DF4"/>
    <w:rsid w:val="005D7176"/>
    <w:rsid w:val="005D747E"/>
    <w:rsid w:val="005E06F0"/>
    <w:rsid w:val="005E0ED6"/>
    <w:rsid w:val="005E124E"/>
    <w:rsid w:val="005E127D"/>
    <w:rsid w:val="005E1390"/>
    <w:rsid w:val="005E2022"/>
    <w:rsid w:val="005E20E0"/>
    <w:rsid w:val="005E20EC"/>
    <w:rsid w:val="005E21C8"/>
    <w:rsid w:val="005E23ED"/>
    <w:rsid w:val="005E3DD0"/>
    <w:rsid w:val="005E47DA"/>
    <w:rsid w:val="005E49C8"/>
    <w:rsid w:val="005E4BDC"/>
    <w:rsid w:val="005E4D6A"/>
    <w:rsid w:val="005E5001"/>
    <w:rsid w:val="005E5FB9"/>
    <w:rsid w:val="005E6C3C"/>
    <w:rsid w:val="005E6E40"/>
    <w:rsid w:val="005E7851"/>
    <w:rsid w:val="005F0172"/>
    <w:rsid w:val="005F01FA"/>
    <w:rsid w:val="005F09DE"/>
    <w:rsid w:val="005F18AE"/>
    <w:rsid w:val="005F1A0E"/>
    <w:rsid w:val="005F1C8A"/>
    <w:rsid w:val="005F1D65"/>
    <w:rsid w:val="005F1F39"/>
    <w:rsid w:val="005F2F5D"/>
    <w:rsid w:val="005F33E2"/>
    <w:rsid w:val="005F39B8"/>
    <w:rsid w:val="005F3D77"/>
    <w:rsid w:val="005F48A6"/>
    <w:rsid w:val="005F589F"/>
    <w:rsid w:val="005F5AB2"/>
    <w:rsid w:val="005F5CDF"/>
    <w:rsid w:val="005F60F8"/>
    <w:rsid w:val="005F71B0"/>
    <w:rsid w:val="0060086D"/>
    <w:rsid w:val="00600D8D"/>
    <w:rsid w:val="00601BC8"/>
    <w:rsid w:val="006025BA"/>
    <w:rsid w:val="00602834"/>
    <w:rsid w:val="00602F1A"/>
    <w:rsid w:val="006035BF"/>
    <w:rsid w:val="0060366B"/>
    <w:rsid w:val="00603826"/>
    <w:rsid w:val="00603978"/>
    <w:rsid w:val="0060449D"/>
    <w:rsid w:val="00604A5A"/>
    <w:rsid w:val="00605196"/>
    <w:rsid w:val="00605266"/>
    <w:rsid w:val="0060538A"/>
    <w:rsid w:val="00606903"/>
    <w:rsid w:val="00606A4B"/>
    <w:rsid w:val="00607127"/>
    <w:rsid w:val="00607919"/>
    <w:rsid w:val="006102FF"/>
    <w:rsid w:val="00610DB8"/>
    <w:rsid w:val="006111EA"/>
    <w:rsid w:val="00611497"/>
    <w:rsid w:val="006122BB"/>
    <w:rsid w:val="0061232A"/>
    <w:rsid w:val="00612747"/>
    <w:rsid w:val="00612F5F"/>
    <w:rsid w:val="00613303"/>
    <w:rsid w:val="00613B45"/>
    <w:rsid w:val="00613C50"/>
    <w:rsid w:val="00613D8C"/>
    <w:rsid w:val="0061476B"/>
    <w:rsid w:val="00614B48"/>
    <w:rsid w:val="00614F56"/>
    <w:rsid w:val="0061562E"/>
    <w:rsid w:val="006156EB"/>
    <w:rsid w:val="00616066"/>
    <w:rsid w:val="006160CE"/>
    <w:rsid w:val="00616FB4"/>
    <w:rsid w:val="006171D6"/>
    <w:rsid w:val="00617CA0"/>
    <w:rsid w:val="00621CD9"/>
    <w:rsid w:val="00621FB3"/>
    <w:rsid w:val="006222E5"/>
    <w:rsid w:val="0062260C"/>
    <w:rsid w:val="00622F5F"/>
    <w:rsid w:val="006234DC"/>
    <w:rsid w:val="00623E0F"/>
    <w:rsid w:val="00624065"/>
    <w:rsid w:val="006244A6"/>
    <w:rsid w:val="00624E50"/>
    <w:rsid w:val="00625891"/>
    <w:rsid w:val="00625EC7"/>
    <w:rsid w:val="0062601F"/>
    <w:rsid w:val="006262E8"/>
    <w:rsid w:val="00626B05"/>
    <w:rsid w:val="006275E1"/>
    <w:rsid w:val="00627671"/>
    <w:rsid w:val="00627BDD"/>
    <w:rsid w:val="00630430"/>
    <w:rsid w:val="00631679"/>
    <w:rsid w:val="00631C8D"/>
    <w:rsid w:val="006334C8"/>
    <w:rsid w:val="0063464B"/>
    <w:rsid w:val="00634F78"/>
    <w:rsid w:val="00634F7F"/>
    <w:rsid w:val="00635293"/>
    <w:rsid w:val="00635D16"/>
    <w:rsid w:val="006365F1"/>
    <w:rsid w:val="0063682E"/>
    <w:rsid w:val="00637031"/>
    <w:rsid w:val="006379A7"/>
    <w:rsid w:val="00640E89"/>
    <w:rsid w:val="006412A7"/>
    <w:rsid w:val="0064153A"/>
    <w:rsid w:val="00641C66"/>
    <w:rsid w:val="00641DA4"/>
    <w:rsid w:val="006426B0"/>
    <w:rsid w:val="006427D9"/>
    <w:rsid w:val="006427E4"/>
    <w:rsid w:val="0064283B"/>
    <w:rsid w:val="00642847"/>
    <w:rsid w:val="00643CEE"/>
    <w:rsid w:val="00644122"/>
    <w:rsid w:val="006442AA"/>
    <w:rsid w:val="0064485B"/>
    <w:rsid w:val="00644FB9"/>
    <w:rsid w:val="006454A3"/>
    <w:rsid w:val="006454FB"/>
    <w:rsid w:val="0064778B"/>
    <w:rsid w:val="00647BBF"/>
    <w:rsid w:val="00647F6C"/>
    <w:rsid w:val="00650072"/>
    <w:rsid w:val="00650907"/>
    <w:rsid w:val="00650BB3"/>
    <w:rsid w:val="00651291"/>
    <w:rsid w:val="0065131B"/>
    <w:rsid w:val="00653403"/>
    <w:rsid w:val="0065439C"/>
    <w:rsid w:val="0065450B"/>
    <w:rsid w:val="00654B9A"/>
    <w:rsid w:val="00655463"/>
    <w:rsid w:val="0065556A"/>
    <w:rsid w:val="0065593D"/>
    <w:rsid w:val="00655C7B"/>
    <w:rsid w:val="00655DB0"/>
    <w:rsid w:val="0065605D"/>
    <w:rsid w:val="00656247"/>
    <w:rsid w:val="006565D0"/>
    <w:rsid w:val="00656C8E"/>
    <w:rsid w:val="00656FB6"/>
    <w:rsid w:val="00657E67"/>
    <w:rsid w:val="0066020E"/>
    <w:rsid w:val="00660834"/>
    <w:rsid w:val="00660E52"/>
    <w:rsid w:val="00660EA0"/>
    <w:rsid w:val="00661CFB"/>
    <w:rsid w:val="00662484"/>
    <w:rsid w:val="0066370C"/>
    <w:rsid w:val="006638D1"/>
    <w:rsid w:val="00663D93"/>
    <w:rsid w:val="00663F61"/>
    <w:rsid w:val="00664102"/>
    <w:rsid w:val="00664F2A"/>
    <w:rsid w:val="00665CF7"/>
    <w:rsid w:val="00666355"/>
    <w:rsid w:val="00666D79"/>
    <w:rsid w:val="00666EF9"/>
    <w:rsid w:val="00667121"/>
    <w:rsid w:val="006673A8"/>
    <w:rsid w:val="00670ABC"/>
    <w:rsid w:val="00670BD9"/>
    <w:rsid w:val="00670BE1"/>
    <w:rsid w:val="00670D58"/>
    <w:rsid w:val="00670F98"/>
    <w:rsid w:val="00671362"/>
    <w:rsid w:val="00671365"/>
    <w:rsid w:val="0067141D"/>
    <w:rsid w:val="00671DA7"/>
    <w:rsid w:val="0067234E"/>
    <w:rsid w:val="0067248E"/>
    <w:rsid w:val="00672D72"/>
    <w:rsid w:val="00673D4C"/>
    <w:rsid w:val="00673E7E"/>
    <w:rsid w:val="006742A3"/>
    <w:rsid w:val="0067531F"/>
    <w:rsid w:val="00675AE4"/>
    <w:rsid w:val="00677D84"/>
    <w:rsid w:val="0068099B"/>
    <w:rsid w:val="00680E45"/>
    <w:rsid w:val="006819F2"/>
    <w:rsid w:val="006820CD"/>
    <w:rsid w:val="00682321"/>
    <w:rsid w:val="00682714"/>
    <w:rsid w:val="006831A7"/>
    <w:rsid w:val="006832D0"/>
    <w:rsid w:val="0068380F"/>
    <w:rsid w:val="00683A2F"/>
    <w:rsid w:val="00683A83"/>
    <w:rsid w:val="00683FC6"/>
    <w:rsid w:val="006844D1"/>
    <w:rsid w:val="0068469F"/>
    <w:rsid w:val="006850AD"/>
    <w:rsid w:val="0068558F"/>
    <w:rsid w:val="00686276"/>
    <w:rsid w:val="006862F5"/>
    <w:rsid w:val="00686837"/>
    <w:rsid w:val="00686CAA"/>
    <w:rsid w:val="00687278"/>
    <w:rsid w:val="00687600"/>
    <w:rsid w:val="00687B05"/>
    <w:rsid w:val="00687B67"/>
    <w:rsid w:val="00687BFC"/>
    <w:rsid w:val="00687C9E"/>
    <w:rsid w:val="00687FC8"/>
    <w:rsid w:val="00690492"/>
    <w:rsid w:val="006909F7"/>
    <w:rsid w:val="00690F1A"/>
    <w:rsid w:val="006926E8"/>
    <w:rsid w:val="00692808"/>
    <w:rsid w:val="00693633"/>
    <w:rsid w:val="00694061"/>
    <w:rsid w:val="0069415F"/>
    <w:rsid w:val="0069447E"/>
    <w:rsid w:val="00694636"/>
    <w:rsid w:val="00694D02"/>
    <w:rsid w:val="006950B9"/>
    <w:rsid w:val="006953F8"/>
    <w:rsid w:val="00696137"/>
    <w:rsid w:val="0069616D"/>
    <w:rsid w:val="00696265"/>
    <w:rsid w:val="00696917"/>
    <w:rsid w:val="00696C97"/>
    <w:rsid w:val="00697587"/>
    <w:rsid w:val="00697E0D"/>
    <w:rsid w:val="006A0610"/>
    <w:rsid w:val="006A09A6"/>
    <w:rsid w:val="006A0A29"/>
    <w:rsid w:val="006A0E29"/>
    <w:rsid w:val="006A1487"/>
    <w:rsid w:val="006A14EF"/>
    <w:rsid w:val="006A1522"/>
    <w:rsid w:val="006A20AE"/>
    <w:rsid w:val="006A3843"/>
    <w:rsid w:val="006A3F2E"/>
    <w:rsid w:val="006A4F4E"/>
    <w:rsid w:val="006A5498"/>
    <w:rsid w:val="006A5962"/>
    <w:rsid w:val="006A617D"/>
    <w:rsid w:val="006A6281"/>
    <w:rsid w:val="006A63CF"/>
    <w:rsid w:val="006A64A2"/>
    <w:rsid w:val="006A68B9"/>
    <w:rsid w:val="006A7994"/>
    <w:rsid w:val="006A7C97"/>
    <w:rsid w:val="006A7ECC"/>
    <w:rsid w:val="006A7EDD"/>
    <w:rsid w:val="006B01E0"/>
    <w:rsid w:val="006B08E1"/>
    <w:rsid w:val="006B16DB"/>
    <w:rsid w:val="006B1B19"/>
    <w:rsid w:val="006B2891"/>
    <w:rsid w:val="006B3000"/>
    <w:rsid w:val="006B383D"/>
    <w:rsid w:val="006B4827"/>
    <w:rsid w:val="006B4850"/>
    <w:rsid w:val="006B5642"/>
    <w:rsid w:val="006B62BF"/>
    <w:rsid w:val="006B6343"/>
    <w:rsid w:val="006B646E"/>
    <w:rsid w:val="006B7AE8"/>
    <w:rsid w:val="006C04D0"/>
    <w:rsid w:val="006C0557"/>
    <w:rsid w:val="006C0EDE"/>
    <w:rsid w:val="006C149D"/>
    <w:rsid w:val="006C161C"/>
    <w:rsid w:val="006C1B00"/>
    <w:rsid w:val="006C2264"/>
    <w:rsid w:val="006C2569"/>
    <w:rsid w:val="006C264B"/>
    <w:rsid w:val="006C2971"/>
    <w:rsid w:val="006C30AE"/>
    <w:rsid w:val="006C3318"/>
    <w:rsid w:val="006C339C"/>
    <w:rsid w:val="006C3734"/>
    <w:rsid w:val="006C5372"/>
    <w:rsid w:val="006C57BA"/>
    <w:rsid w:val="006C66F0"/>
    <w:rsid w:val="006C705B"/>
    <w:rsid w:val="006C708C"/>
    <w:rsid w:val="006C71F5"/>
    <w:rsid w:val="006C736B"/>
    <w:rsid w:val="006C7591"/>
    <w:rsid w:val="006D03DD"/>
    <w:rsid w:val="006D075D"/>
    <w:rsid w:val="006D0DF2"/>
    <w:rsid w:val="006D185A"/>
    <w:rsid w:val="006D1B4C"/>
    <w:rsid w:val="006D260E"/>
    <w:rsid w:val="006D2C2F"/>
    <w:rsid w:val="006D3802"/>
    <w:rsid w:val="006D3AD4"/>
    <w:rsid w:val="006D4027"/>
    <w:rsid w:val="006D4435"/>
    <w:rsid w:val="006D4DDC"/>
    <w:rsid w:val="006D5363"/>
    <w:rsid w:val="006D5544"/>
    <w:rsid w:val="006D6035"/>
    <w:rsid w:val="006D69FB"/>
    <w:rsid w:val="006D6D9E"/>
    <w:rsid w:val="006D71A9"/>
    <w:rsid w:val="006D71BA"/>
    <w:rsid w:val="006D7B01"/>
    <w:rsid w:val="006D7F89"/>
    <w:rsid w:val="006E00C9"/>
    <w:rsid w:val="006E029B"/>
    <w:rsid w:val="006E055A"/>
    <w:rsid w:val="006E089E"/>
    <w:rsid w:val="006E1AF3"/>
    <w:rsid w:val="006E35A8"/>
    <w:rsid w:val="006E4288"/>
    <w:rsid w:val="006E4637"/>
    <w:rsid w:val="006E469C"/>
    <w:rsid w:val="006E4EDD"/>
    <w:rsid w:val="006E501F"/>
    <w:rsid w:val="006E5143"/>
    <w:rsid w:val="006E55EC"/>
    <w:rsid w:val="006E5AB7"/>
    <w:rsid w:val="006E5D89"/>
    <w:rsid w:val="006E60FE"/>
    <w:rsid w:val="006E6898"/>
    <w:rsid w:val="006E68A5"/>
    <w:rsid w:val="006E6917"/>
    <w:rsid w:val="006E71B4"/>
    <w:rsid w:val="006F013D"/>
    <w:rsid w:val="006F0836"/>
    <w:rsid w:val="006F0BB6"/>
    <w:rsid w:val="006F0C03"/>
    <w:rsid w:val="006F1EFA"/>
    <w:rsid w:val="006F1FBF"/>
    <w:rsid w:val="006F23DC"/>
    <w:rsid w:val="006F2C38"/>
    <w:rsid w:val="006F2ED9"/>
    <w:rsid w:val="006F351A"/>
    <w:rsid w:val="006F428F"/>
    <w:rsid w:val="006F4B62"/>
    <w:rsid w:val="006F4BAA"/>
    <w:rsid w:val="006F5384"/>
    <w:rsid w:val="006F5489"/>
    <w:rsid w:val="006F54E5"/>
    <w:rsid w:val="006F554E"/>
    <w:rsid w:val="006F5655"/>
    <w:rsid w:val="006F56FF"/>
    <w:rsid w:val="006F5763"/>
    <w:rsid w:val="006F649A"/>
    <w:rsid w:val="006F6B33"/>
    <w:rsid w:val="006F6C05"/>
    <w:rsid w:val="006F6F69"/>
    <w:rsid w:val="006F72BF"/>
    <w:rsid w:val="006F78EE"/>
    <w:rsid w:val="006F7CAE"/>
    <w:rsid w:val="00700E6D"/>
    <w:rsid w:val="007012D2"/>
    <w:rsid w:val="007017E0"/>
    <w:rsid w:val="00702320"/>
    <w:rsid w:val="00702D86"/>
    <w:rsid w:val="00703604"/>
    <w:rsid w:val="007036F0"/>
    <w:rsid w:val="00703B57"/>
    <w:rsid w:val="00703BB5"/>
    <w:rsid w:val="007040E3"/>
    <w:rsid w:val="00704307"/>
    <w:rsid w:val="00704CB6"/>
    <w:rsid w:val="00705427"/>
    <w:rsid w:val="007065BA"/>
    <w:rsid w:val="007070E5"/>
    <w:rsid w:val="00707179"/>
    <w:rsid w:val="0070721A"/>
    <w:rsid w:val="0070752E"/>
    <w:rsid w:val="007075DF"/>
    <w:rsid w:val="0070777D"/>
    <w:rsid w:val="007112FC"/>
    <w:rsid w:val="00711A7E"/>
    <w:rsid w:val="00712B1D"/>
    <w:rsid w:val="00713A20"/>
    <w:rsid w:val="0071400F"/>
    <w:rsid w:val="00714190"/>
    <w:rsid w:val="007147FD"/>
    <w:rsid w:val="007151F0"/>
    <w:rsid w:val="00716942"/>
    <w:rsid w:val="00716AC7"/>
    <w:rsid w:val="00716AFE"/>
    <w:rsid w:val="00716B17"/>
    <w:rsid w:val="00716F9E"/>
    <w:rsid w:val="007178F6"/>
    <w:rsid w:val="00717B6B"/>
    <w:rsid w:val="00720738"/>
    <w:rsid w:val="007208FA"/>
    <w:rsid w:val="00721696"/>
    <w:rsid w:val="007221CD"/>
    <w:rsid w:val="00722269"/>
    <w:rsid w:val="00722E22"/>
    <w:rsid w:val="00723943"/>
    <w:rsid w:val="00724113"/>
    <w:rsid w:val="0072418F"/>
    <w:rsid w:val="007246F1"/>
    <w:rsid w:val="00725315"/>
    <w:rsid w:val="00725544"/>
    <w:rsid w:val="00725824"/>
    <w:rsid w:val="00725A0F"/>
    <w:rsid w:val="00725AA7"/>
    <w:rsid w:val="00726180"/>
    <w:rsid w:val="007262B4"/>
    <w:rsid w:val="007267CE"/>
    <w:rsid w:val="007269BC"/>
    <w:rsid w:val="00726BFC"/>
    <w:rsid w:val="00726D2B"/>
    <w:rsid w:val="00726F18"/>
    <w:rsid w:val="00727A06"/>
    <w:rsid w:val="00727ACB"/>
    <w:rsid w:val="00727CFB"/>
    <w:rsid w:val="007313E8"/>
    <w:rsid w:val="00731D3D"/>
    <w:rsid w:val="00732326"/>
    <w:rsid w:val="007327C9"/>
    <w:rsid w:val="00733E01"/>
    <w:rsid w:val="00734D2F"/>
    <w:rsid w:val="00735000"/>
    <w:rsid w:val="00735013"/>
    <w:rsid w:val="007363DB"/>
    <w:rsid w:val="00740175"/>
    <w:rsid w:val="0074093F"/>
    <w:rsid w:val="00740F51"/>
    <w:rsid w:val="00741870"/>
    <w:rsid w:val="007427A3"/>
    <w:rsid w:val="00742F03"/>
    <w:rsid w:val="00744BB1"/>
    <w:rsid w:val="00744E00"/>
    <w:rsid w:val="00744E15"/>
    <w:rsid w:val="00744F86"/>
    <w:rsid w:val="00745046"/>
    <w:rsid w:val="00745163"/>
    <w:rsid w:val="00745828"/>
    <w:rsid w:val="00745B67"/>
    <w:rsid w:val="00745B83"/>
    <w:rsid w:val="00746A6F"/>
    <w:rsid w:val="00746C22"/>
    <w:rsid w:val="00746C7C"/>
    <w:rsid w:val="00746E41"/>
    <w:rsid w:val="00746E94"/>
    <w:rsid w:val="007476AB"/>
    <w:rsid w:val="00747AB7"/>
    <w:rsid w:val="00747F67"/>
    <w:rsid w:val="007507DF"/>
    <w:rsid w:val="00750A4D"/>
    <w:rsid w:val="00750BD7"/>
    <w:rsid w:val="00751873"/>
    <w:rsid w:val="0075227D"/>
    <w:rsid w:val="007526F4"/>
    <w:rsid w:val="00752751"/>
    <w:rsid w:val="00753A7D"/>
    <w:rsid w:val="00754BF6"/>
    <w:rsid w:val="0075515A"/>
    <w:rsid w:val="007558D2"/>
    <w:rsid w:val="0075633D"/>
    <w:rsid w:val="00756708"/>
    <w:rsid w:val="00756FF1"/>
    <w:rsid w:val="00757177"/>
    <w:rsid w:val="00760913"/>
    <w:rsid w:val="00760C95"/>
    <w:rsid w:val="00761C8C"/>
    <w:rsid w:val="00762264"/>
    <w:rsid w:val="0076363E"/>
    <w:rsid w:val="007649FC"/>
    <w:rsid w:val="00764E3F"/>
    <w:rsid w:val="0076567F"/>
    <w:rsid w:val="00765DAB"/>
    <w:rsid w:val="007662C5"/>
    <w:rsid w:val="00766EC0"/>
    <w:rsid w:val="0076702B"/>
    <w:rsid w:val="007672BA"/>
    <w:rsid w:val="007701C9"/>
    <w:rsid w:val="0077103E"/>
    <w:rsid w:val="007713EB"/>
    <w:rsid w:val="00771471"/>
    <w:rsid w:val="007715C6"/>
    <w:rsid w:val="007752A0"/>
    <w:rsid w:val="007752D0"/>
    <w:rsid w:val="007760BE"/>
    <w:rsid w:val="00776765"/>
    <w:rsid w:val="00777432"/>
    <w:rsid w:val="00781E18"/>
    <w:rsid w:val="007826AC"/>
    <w:rsid w:val="0078278B"/>
    <w:rsid w:val="00782B96"/>
    <w:rsid w:val="00782D74"/>
    <w:rsid w:val="00783060"/>
    <w:rsid w:val="007832DC"/>
    <w:rsid w:val="00783462"/>
    <w:rsid w:val="007835C8"/>
    <w:rsid w:val="00783FC8"/>
    <w:rsid w:val="007842DF"/>
    <w:rsid w:val="00784890"/>
    <w:rsid w:val="00784A5C"/>
    <w:rsid w:val="00784F6F"/>
    <w:rsid w:val="00785FBD"/>
    <w:rsid w:val="0078606E"/>
    <w:rsid w:val="0078726E"/>
    <w:rsid w:val="00790C55"/>
    <w:rsid w:val="0079175D"/>
    <w:rsid w:val="007918C7"/>
    <w:rsid w:val="00791D2D"/>
    <w:rsid w:val="00792692"/>
    <w:rsid w:val="00792BCA"/>
    <w:rsid w:val="00792CCD"/>
    <w:rsid w:val="00793E92"/>
    <w:rsid w:val="0079401F"/>
    <w:rsid w:val="007943D7"/>
    <w:rsid w:val="007945E2"/>
    <w:rsid w:val="00794871"/>
    <w:rsid w:val="0079492C"/>
    <w:rsid w:val="007952D1"/>
    <w:rsid w:val="007959CA"/>
    <w:rsid w:val="00795BD0"/>
    <w:rsid w:val="00796581"/>
    <w:rsid w:val="007966FA"/>
    <w:rsid w:val="00797174"/>
    <w:rsid w:val="00797388"/>
    <w:rsid w:val="00797BF6"/>
    <w:rsid w:val="007A1666"/>
    <w:rsid w:val="007A19A6"/>
    <w:rsid w:val="007A1E01"/>
    <w:rsid w:val="007A1EAA"/>
    <w:rsid w:val="007A296C"/>
    <w:rsid w:val="007A4D15"/>
    <w:rsid w:val="007A51C7"/>
    <w:rsid w:val="007A53FD"/>
    <w:rsid w:val="007A5D87"/>
    <w:rsid w:val="007A6E97"/>
    <w:rsid w:val="007A73A7"/>
    <w:rsid w:val="007A7EEE"/>
    <w:rsid w:val="007B0030"/>
    <w:rsid w:val="007B03DF"/>
    <w:rsid w:val="007B048C"/>
    <w:rsid w:val="007B04DD"/>
    <w:rsid w:val="007B050E"/>
    <w:rsid w:val="007B05CF"/>
    <w:rsid w:val="007B0656"/>
    <w:rsid w:val="007B0660"/>
    <w:rsid w:val="007B0F38"/>
    <w:rsid w:val="007B1D0F"/>
    <w:rsid w:val="007B2829"/>
    <w:rsid w:val="007B2F56"/>
    <w:rsid w:val="007B313A"/>
    <w:rsid w:val="007B3959"/>
    <w:rsid w:val="007B4A00"/>
    <w:rsid w:val="007B4D7E"/>
    <w:rsid w:val="007B4D9A"/>
    <w:rsid w:val="007B4E47"/>
    <w:rsid w:val="007B51C5"/>
    <w:rsid w:val="007B656F"/>
    <w:rsid w:val="007B67C1"/>
    <w:rsid w:val="007B74FB"/>
    <w:rsid w:val="007B785A"/>
    <w:rsid w:val="007B78ED"/>
    <w:rsid w:val="007B7EDD"/>
    <w:rsid w:val="007C037F"/>
    <w:rsid w:val="007C1CEE"/>
    <w:rsid w:val="007C1FB3"/>
    <w:rsid w:val="007C26EB"/>
    <w:rsid w:val="007C2A6A"/>
    <w:rsid w:val="007C2D2B"/>
    <w:rsid w:val="007C2DF6"/>
    <w:rsid w:val="007C2DF7"/>
    <w:rsid w:val="007C3CF4"/>
    <w:rsid w:val="007C3F93"/>
    <w:rsid w:val="007C4458"/>
    <w:rsid w:val="007C48FE"/>
    <w:rsid w:val="007C540D"/>
    <w:rsid w:val="007C5CC2"/>
    <w:rsid w:val="007C632F"/>
    <w:rsid w:val="007C670B"/>
    <w:rsid w:val="007C685F"/>
    <w:rsid w:val="007C7A7D"/>
    <w:rsid w:val="007C7AAE"/>
    <w:rsid w:val="007D0227"/>
    <w:rsid w:val="007D1A6B"/>
    <w:rsid w:val="007D21DA"/>
    <w:rsid w:val="007D2A70"/>
    <w:rsid w:val="007D2DD0"/>
    <w:rsid w:val="007D3161"/>
    <w:rsid w:val="007D3185"/>
    <w:rsid w:val="007D3630"/>
    <w:rsid w:val="007D3B57"/>
    <w:rsid w:val="007D41F0"/>
    <w:rsid w:val="007D45AC"/>
    <w:rsid w:val="007D4CF1"/>
    <w:rsid w:val="007D4E4B"/>
    <w:rsid w:val="007D5C06"/>
    <w:rsid w:val="007D60A4"/>
    <w:rsid w:val="007D64AF"/>
    <w:rsid w:val="007D6717"/>
    <w:rsid w:val="007D67C8"/>
    <w:rsid w:val="007D68FD"/>
    <w:rsid w:val="007D6BC9"/>
    <w:rsid w:val="007D7197"/>
    <w:rsid w:val="007D76D6"/>
    <w:rsid w:val="007D7798"/>
    <w:rsid w:val="007D7DD7"/>
    <w:rsid w:val="007E0AFB"/>
    <w:rsid w:val="007E0EFC"/>
    <w:rsid w:val="007E0F5E"/>
    <w:rsid w:val="007E15ED"/>
    <w:rsid w:val="007E2138"/>
    <w:rsid w:val="007E2E16"/>
    <w:rsid w:val="007E3612"/>
    <w:rsid w:val="007E36BD"/>
    <w:rsid w:val="007E3B15"/>
    <w:rsid w:val="007E4052"/>
    <w:rsid w:val="007E44E4"/>
    <w:rsid w:val="007E47EA"/>
    <w:rsid w:val="007E4DA9"/>
    <w:rsid w:val="007E55CF"/>
    <w:rsid w:val="007E573D"/>
    <w:rsid w:val="007E58BF"/>
    <w:rsid w:val="007E6214"/>
    <w:rsid w:val="007E65CC"/>
    <w:rsid w:val="007E6B76"/>
    <w:rsid w:val="007E6DC3"/>
    <w:rsid w:val="007E73A7"/>
    <w:rsid w:val="007E7EF0"/>
    <w:rsid w:val="007F054D"/>
    <w:rsid w:val="007F073F"/>
    <w:rsid w:val="007F07BF"/>
    <w:rsid w:val="007F0B3A"/>
    <w:rsid w:val="007F1487"/>
    <w:rsid w:val="007F14F8"/>
    <w:rsid w:val="007F1D66"/>
    <w:rsid w:val="007F2BBD"/>
    <w:rsid w:val="007F3101"/>
    <w:rsid w:val="007F329F"/>
    <w:rsid w:val="007F34EC"/>
    <w:rsid w:val="007F3C6E"/>
    <w:rsid w:val="007F4B60"/>
    <w:rsid w:val="007F5428"/>
    <w:rsid w:val="007F54F2"/>
    <w:rsid w:val="007F647F"/>
    <w:rsid w:val="007F65A5"/>
    <w:rsid w:val="007F7E2C"/>
    <w:rsid w:val="00800171"/>
    <w:rsid w:val="00800726"/>
    <w:rsid w:val="00800D0B"/>
    <w:rsid w:val="00800DBF"/>
    <w:rsid w:val="00800E48"/>
    <w:rsid w:val="008014EA"/>
    <w:rsid w:val="00801689"/>
    <w:rsid w:val="008016F5"/>
    <w:rsid w:val="008025B4"/>
    <w:rsid w:val="00802683"/>
    <w:rsid w:val="00803248"/>
    <w:rsid w:val="00803F3E"/>
    <w:rsid w:val="00803FAF"/>
    <w:rsid w:val="0080401A"/>
    <w:rsid w:val="00804B3B"/>
    <w:rsid w:val="0080589F"/>
    <w:rsid w:val="008066FB"/>
    <w:rsid w:val="0080683C"/>
    <w:rsid w:val="00806CF1"/>
    <w:rsid w:val="008074A9"/>
    <w:rsid w:val="0081133E"/>
    <w:rsid w:val="00811E2B"/>
    <w:rsid w:val="00812E0F"/>
    <w:rsid w:val="00813221"/>
    <w:rsid w:val="008134B8"/>
    <w:rsid w:val="008147E3"/>
    <w:rsid w:val="00814821"/>
    <w:rsid w:val="008148E9"/>
    <w:rsid w:val="00814AE8"/>
    <w:rsid w:val="00814CDB"/>
    <w:rsid w:val="00814EA3"/>
    <w:rsid w:val="0081668C"/>
    <w:rsid w:val="008167B4"/>
    <w:rsid w:val="00816857"/>
    <w:rsid w:val="008168FB"/>
    <w:rsid w:val="00816B69"/>
    <w:rsid w:val="00816CCE"/>
    <w:rsid w:val="008171A7"/>
    <w:rsid w:val="0081723F"/>
    <w:rsid w:val="0081755E"/>
    <w:rsid w:val="00817582"/>
    <w:rsid w:val="0082042C"/>
    <w:rsid w:val="008222BF"/>
    <w:rsid w:val="00822948"/>
    <w:rsid w:val="00822A84"/>
    <w:rsid w:val="00822F0A"/>
    <w:rsid w:val="00823035"/>
    <w:rsid w:val="008236DB"/>
    <w:rsid w:val="00823B5D"/>
    <w:rsid w:val="00823BFA"/>
    <w:rsid w:val="00823DBC"/>
    <w:rsid w:val="00824498"/>
    <w:rsid w:val="00825170"/>
    <w:rsid w:val="00825792"/>
    <w:rsid w:val="00825BDA"/>
    <w:rsid w:val="00825C38"/>
    <w:rsid w:val="00825D94"/>
    <w:rsid w:val="00826C3E"/>
    <w:rsid w:val="0083011A"/>
    <w:rsid w:val="00830F0C"/>
    <w:rsid w:val="00831921"/>
    <w:rsid w:val="00831B72"/>
    <w:rsid w:val="008325BC"/>
    <w:rsid w:val="008332F0"/>
    <w:rsid w:val="0083332A"/>
    <w:rsid w:val="00834084"/>
    <w:rsid w:val="00834638"/>
    <w:rsid w:val="0083465C"/>
    <w:rsid w:val="008349E4"/>
    <w:rsid w:val="00834C24"/>
    <w:rsid w:val="00834F42"/>
    <w:rsid w:val="00836F16"/>
    <w:rsid w:val="00837820"/>
    <w:rsid w:val="00837FCD"/>
    <w:rsid w:val="00840006"/>
    <w:rsid w:val="00841886"/>
    <w:rsid w:val="008418EE"/>
    <w:rsid w:val="00841C83"/>
    <w:rsid w:val="0084292B"/>
    <w:rsid w:val="00842C0C"/>
    <w:rsid w:val="00844129"/>
    <w:rsid w:val="0084433C"/>
    <w:rsid w:val="00844B37"/>
    <w:rsid w:val="00845135"/>
    <w:rsid w:val="00845CF6"/>
    <w:rsid w:val="00845D94"/>
    <w:rsid w:val="00845E02"/>
    <w:rsid w:val="00845EB2"/>
    <w:rsid w:val="00845F79"/>
    <w:rsid w:val="008465D4"/>
    <w:rsid w:val="00846D41"/>
    <w:rsid w:val="00847B24"/>
    <w:rsid w:val="008502A1"/>
    <w:rsid w:val="008508F1"/>
    <w:rsid w:val="00851004"/>
    <w:rsid w:val="00851071"/>
    <w:rsid w:val="00851252"/>
    <w:rsid w:val="00851875"/>
    <w:rsid w:val="00851B44"/>
    <w:rsid w:val="00852083"/>
    <w:rsid w:val="00852F1F"/>
    <w:rsid w:val="00852F5C"/>
    <w:rsid w:val="00854227"/>
    <w:rsid w:val="00854563"/>
    <w:rsid w:val="00854887"/>
    <w:rsid w:val="0085542E"/>
    <w:rsid w:val="00855DF6"/>
    <w:rsid w:val="00855F57"/>
    <w:rsid w:val="0085785B"/>
    <w:rsid w:val="008579BE"/>
    <w:rsid w:val="00857C3A"/>
    <w:rsid w:val="00857C61"/>
    <w:rsid w:val="00857E0E"/>
    <w:rsid w:val="00860797"/>
    <w:rsid w:val="0086091C"/>
    <w:rsid w:val="00860EA6"/>
    <w:rsid w:val="00862219"/>
    <w:rsid w:val="00862AD6"/>
    <w:rsid w:val="00863148"/>
    <w:rsid w:val="008642BF"/>
    <w:rsid w:val="00865DB5"/>
    <w:rsid w:val="0086639E"/>
    <w:rsid w:val="00866B81"/>
    <w:rsid w:val="00866C24"/>
    <w:rsid w:val="00867040"/>
    <w:rsid w:val="008670BD"/>
    <w:rsid w:val="0086733A"/>
    <w:rsid w:val="0086789E"/>
    <w:rsid w:val="00867CA8"/>
    <w:rsid w:val="008704F2"/>
    <w:rsid w:val="00870D7F"/>
    <w:rsid w:val="00871911"/>
    <w:rsid w:val="008723A1"/>
    <w:rsid w:val="008723A7"/>
    <w:rsid w:val="008728A9"/>
    <w:rsid w:val="00872B31"/>
    <w:rsid w:val="00872C56"/>
    <w:rsid w:val="00872FA0"/>
    <w:rsid w:val="00873616"/>
    <w:rsid w:val="00873E64"/>
    <w:rsid w:val="008749F8"/>
    <w:rsid w:val="00874C9B"/>
    <w:rsid w:val="0087539B"/>
    <w:rsid w:val="008755DD"/>
    <w:rsid w:val="008756B9"/>
    <w:rsid w:val="00875ACD"/>
    <w:rsid w:val="0087601D"/>
    <w:rsid w:val="008761A1"/>
    <w:rsid w:val="00877031"/>
    <w:rsid w:val="00877CA9"/>
    <w:rsid w:val="00877FD7"/>
    <w:rsid w:val="00880C2E"/>
    <w:rsid w:val="00880DF2"/>
    <w:rsid w:val="00881265"/>
    <w:rsid w:val="00881552"/>
    <w:rsid w:val="00882CFD"/>
    <w:rsid w:val="008831BA"/>
    <w:rsid w:val="00883B9C"/>
    <w:rsid w:val="008848BC"/>
    <w:rsid w:val="00885969"/>
    <w:rsid w:val="00885CA3"/>
    <w:rsid w:val="00886320"/>
    <w:rsid w:val="00886423"/>
    <w:rsid w:val="0088650F"/>
    <w:rsid w:val="0088675E"/>
    <w:rsid w:val="00886903"/>
    <w:rsid w:val="00886B63"/>
    <w:rsid w:val="00886F42"/>
    <w:rsid w:val="00887DD0"/>
    <w:rsid w:val="00887EAD"/>
    <w:rsid w:val="008902D0"/>
    <w:rsid w:val="008902F4"/>
    <w:rsid w:val="008907B8"/>
    <w:rsid w:val="00891116"/>
    <w:rsid w:val="008934AE"/>
    <w:rsid w:val="00893CDF"/>
    <w:rsid w:val="00893F4B"/>
    <w:rsid w:val="008950F4"/>
    <w:rsid w:val="008955D5"/>
    <w:rsid w:val="00895E26"/>
    <w:rsid w:val="00895FDB"/>
    <w:rsid w:val="0089679C"/>
    <w:rsid w:val="00897715"/>
    <w:rsid w:val="00897C07"/>
    <w:rsid w:val="008A02E4"/>
    <w:rsid w:val="008A02EB"/>
    <w:rsid w:val="008A062E"/>
    <w:rsid w:val="008A0951"/>
    <w:rsid w:val="008A14DE"/>
    <w:rsid w:val="008A1789"/>
    <w:rsid w:val="008A1A83"/>
    <w:rsid w:val="008A329D"/>
    <w:rsid w:val="008A355B"/>
    <w:rsid w:val="008A402F"/>
    <w:rsid w:val="008A4050"/>
    <w:rsid w:val="008A4078"/>
    <w:rsid w:val="008A4F5A"/>
    <w:rsid w:val="008A510B"/>
    <w:rsid w:val="008A57B3"/>
    <w:rsid w:val="008A5DA2"/>
    <w:rsid w:val="008A650F"/>
    <w:rsid w:val="008A656B"/>
    <w:rsid w:val="008A7687"/>
    <w:rsid w:val="008B058E"/>
    <w:rsid w:val="008B0AA4"/>
    <w:rsid w:val="008B0CBA"/>
    <w:rsid w:val="008B1222"/>
    <w:rsid w:val="008B1C50"/>
    <w:rsid w:val="008B2367"/>
    <w:rsid w:val="008B28E5"/>
    <w:rsid w:val="008B2CE7"/>
    <w:rsid w:val="008B3506"/>
    <w:rsid w:val="008B3BCB"/>
    <w:rsid w:val="008B3E2E"/>
    <w:rsid w:val="008B3F0C"/>
    <w:rsid w:val="008B4640"/>
    <w:rsid w:val="008B4B36"/>
    <w:rsid w:val="008B4CAA"/>
    <w:rsid w:val="008B5033"/>
    <w:rsid w:val="008B551A"/>
    <w:rsid w:val="008B6A34"/>
    <w:rsid w:val="008B7FC5"/>
    <w:rsid w:val="008C00E9"/>
    <w:rsid w:val="008C0548"/>
    <w:rsid w:val="008C0C29"/>
    <w:rsid w:val="008C0D28"/>
    <w:rsid w:val="008C1060"/>
    <w:rsid w:val="008C12A1"/>
    <w:rsid w:val="008C1493"/>
    <w:rsid w:val="008C17F8"/>
    <w:rsid w:val="008C1969"/>
    <w:rsid w:val="008C1B03"/>
    <w:rsid w:val="008C217A"/>
    <w:rsid w:val="008C452C"/>
    <w:rsid w:val="008C461F"/>
    <w:rsid w:val="008C46CA"/>
    <w:rsid w:val="008C57CC"/>
    <w:rsid w:val="008C60A4"/>
    <w:rsid w:val="008C61B7"/>
    <w:rsid w:val="008C6660"/>
    <w:rsid w:val="008C6AC6"/>
    <w:rsid w:val="008C6C0B"/>
    <w:rsid w:val="008C6CE6"/>
    <w:rsid w:val="008C738C"/>
    <w:rsid w:val="008C7839"/>
    <w:rsid w:val="008D0380"/>
    <w:rsid w:val="008D0527"/>
    <w:rsid w:val="008D0B1B"/>
    <w:rsid w:val="008D10D3"/>
    <w:rsid w:val="008D22AF"/>
    <w:rsid w:val="008D28DA"/>
    <w:rsid w:val="008D3412"/>
    <w:rsid w:val="008D3DF9"/>
    <w:rsid w:val="008D3EB8"/>
    <w:rsid w:val="008D5B92"/>
    <w:rsid w:val="008D6235"/>
    <w:rsid w:val="008D79A1"/>
    <w:rsid w:val="008E1265"/>
    <w:rsid w:val="008E1448"/>
    <w:rsid w:val="008E1C53"/>
    <w:rsid w:val="008E1CDE"/>
    <w:rsid w:val="008E358D"/>
    <w:rsid w:val="008E39CB"/>
    <w:rsid w:val="008E3E69"/>
    <w:rsid w:val="008E426C"/>
    <w:rsid w:val="008E4946"/>
    <w:rsid w:val="008E56BE"/>
    <w:rsid w:val="008E6099"/>
    <w:rsid w:val="008E61AD"/>
    <w:rsid w:val="008E62EB"/>
    <w:rsid w:val="008E64C4"/>
    <w:rsid w:val="008E6C0A"/>
    <w:rsid w:val="008E727D"/>
    <w:rsid w:val="008E7F71"/>
    <w:rsid w:val="008F09B2"/>
    <w:rsid w:val="008F0E2E"/>
    <w:rsid w:val="008F0EEF"/>
    <w:rsid w:val="008F15FF"/>
    <w:rsid w:val="008F2306"/>
    <w:rsid w:val="008F2429"/>
    <w:rsid w:val="008F2B72"/>
    <w:rsid w:val="008F2D9B"/>
    <w:rsid w:val="008F350F"/>
    <w:rsid w:val="008F3992"/>
    <w:rsid w:val="008F39F3"/>
    <w:rsid w:val="008F3CF3"/>
    <w:rsid w:val="008F41E3"/>
    <w:rsid w:val="008F4DAA"/>
    <w:rsid w:val="008F504A"/>
    <w:rsid w:val="008F5A0F"/>
    <w:rsid w:val="00900591"/>
    <w:rsid w:val="009005ED"/>
    <w:rsid w:val="00900BE6"/>
    <w:rsid w:val="00901641"/>
    <w:rsid w:val="00901851"/>
    <w:rsid w:val="009018B5"/>
    <w:rsid w:val="009019AD"/>
    <w:rsid w:val="00901D76"/>
    <w:rsid w:val="00902052"/>
    <w:rsid w:val="00902EDA"/>
    <w:rsid w:val="00902FB2"/>
    <w:rsid w:val="00903C98"/>
    <w:rsid w:val="009044DC"/>
    <w:rsid w:val="009050C5"/>
    <w:rsid w:val="009057F4"/>
    <w:rsid w:val="00905CD6"/>
    <w:rsid w:val="00906B34"/>
    <w:rsid w:val="00906F98"/>
    <w:rsid w:val="0090727C"/>
    <w:rsid w:val="009076B3"/>
    <w:rsid w:val="00907CD1"/>
    <w:rsid w:val="00907FE7"/>
    <w:rsid w:val="009109DA"/>
    <w:rsid w:val="00910D41"/>
    <w:rsid w:val="00912A43"/>
    <w:rsid w:val="00912B0A"/>
    <w:rsid w:val="00912BEC"/>
    <w:rsid w:val="00913113"/>
    <w:rsid w:val="00913932"/>
    <w:rsid w:val="009143D1"/>
    <w:rsid w:val="00914C48"/>
    <w:rsid w:val="00915258"/>
    <w:rsid w:val="00915AEC"/>
    <w:rsid w:val="00915B74"/>
    <w:rsid w:val="009168E9"/>
    <w:rsid w:val="0091691C"/>
    <w:rsid w:val="009204C2"/>
    <w:rsid w:val="00920AD4"/>
    <w:rsid w:val="00920CE5"/>
    <w:rsid w:val="00920F7C"/>
    <w:rsid w:val="0092189E"/>
    <w:rsid w:val="00922132"/>
    <w:rsid w:val="0092248B"/>
    <w:rsid w:val="0092278D"/>
    <w:rsid w:val="0092284C"/>
    <w:rsid w:val="00922C98"/>
    <w:rsid w:val="0092352A"/>
    <w:rsid w:val="0092363C"/>
    <w:rsid w:val="00923E3C"/>
    <w:rsid w:val="00923FC3"/>
    <w:rsid w:val="00924B79"/>
    <w:rsid w:val="00925533"/>
    <w:rsid w:val="00925746"/>
    <w:rsid w:val="00925B7F"/>
    <w:rsid w:val="00926799"/>
    <w:rsid w:val="009279BD"/>
    <w:rsid w:val="00930338"/>
    <w:rsid w:val="0093184A"/>
    <w:rsid w:val="00931DA0"/>
    <w:rsid w:val="009339E0"/>
    <w:rsid w:val="00934129"/>
    <w:rsid w:val="009345DE"/>
    <w:rsid w:val="00934606"/>
    <w:rsid w:val="00935096"/>
    <w:rsid w:val="0093558C"/>
    <w:rsid w:val="00935E12"/>
    <w:rsid w:val="0093605F"/>
    <w:rsid w:val="00936099"/>
    <w:rsid w:val="0093635E"/>
    <w:rsid w:val="00936566"/>
    <w:rsid w:val="009366EA"/>
    <w:rsid w:val="0094093A"/>
    <w:rsid w:val="00940DBE"/>
    <w:rsid w:val="00941359"/>
    <w:rsid w:val="009413FC"/>
    <w:rsid w:val="0094146A"/>
    <w:rsid w:val="009415E1"/>
    <w:rsid w:val="0094190B"/>
    <w:rsid w:val="00941A69"/>
    <w:rsid w:val="00941C6C"/>
    <w:rsid w:val="00942354"/>
    <w:rsid w:val="009424DD"/>
    <w:rsid w:val="00942E53"/>
    <w:rsid w:val="00942FE5"/>
    <w:rsid w:val="00943061"/>
    <w:rsid w:val="00943145"/>
    <w:rsid w:val="009432D1"/>
    <w:rsid w:val="009434D6"/>
    <w:rsid w:val="00943B49"/>
    <w:rsid w:val="00943DBC"/>
    <w:rsid w:val="00943DD6"/>
    <w:rsid w:val="00943E06"/>
    <w:rsid w:val="00944094"/>
    <w:rsid w:val="009443BA"/>
    <w:rsid w:val="009445CC"/>
    <w:rsid w:val="00944713"/>
    <w:rsid w:val="00945363"/>
    <w:rsid w:val="00945A43"/>
    <w:rsid w:val="0094710F"/>
    <w:rsid w:val="00951716"/>
    <w:rsid w:val="00951D91"/>
    <w:rsid w:val="00951EB5"/>
    <w:rsid w:val="0095202E"/>
    <w:rsid w:val="00952305"/>
    <w:rsid w:val="0095232A"/>
    <w:rsid w:val="00952B35"/>
    <w:rsid w:val="00952FDE"/>
    <w:rsid w:val="00953851"/>
    <w:rsid w:val="00953871"/>
    <w:rsid w:val="00954036"/>
    <w:rsid w:val="00954044"/>
    <w:rsid w:val="00954EC7"/>
    <w:rsid w:val="00956034"/>
    <w:rsid w:val="009566D5"/>
    <w:rsid w:val="0095727A"/>
    <w:rsid w:val="009616BC"/>
    <w:rsid w:val="009624F5"/>
    <w:rsid w:val="009628F8"/>
    <w:rsid w:val="00962D05"/>
    <w:rsid w:val="00962D6D"/>
    <w:rsid w:val="0096309B"/>
    <w:rsid w:val="00963153"/>
    <w:rsid w:val="0096340A"/>
    <w:rsid w:val="009637CC"/>
    <w:rsid w:val="00963EC7"/>
    <w:rsid w:val="00963F94"/>
    <w:rsid w:val="0096404E"/>
    <w:rsid w:val="00964C57"/>
    <w:rsid w:val="00965347"/>
    <w:rsid w:val="00965FE0"/>
    <w:rsid w:val="009676D0"/>
    <w:rsid w:val="009679BC"/>
    <w:rsid w:val="00967AA7"/>
    <w:rsid w:val="009701FA"/>
    <w:rsid w:val="0097028D"/>
    <w:rsid w:val="00970901"/>
    <w:rsid w:val="00970A29"/>
    <w:rsid w:val="00970E30"/>
    <w:rsid w:val="009715FD"/>
    <w:rsid w:val="00971CCB"/>
    <w:rsid w:val="00972379"/>
    <w:rsid w:val="00972C52"/>
    <w:rsid w:val="0097431F"/>
    <w:rsid w:val="00974976"/>
    <w:rsid w:val="00974A64"/>
    <w:rsid w:val="009760E6"/>
    <w:rsid w:val="009779C0"/>
    <w:rsid w:val="00977BFD"/>
    <w:rsid w:val="00980139"/>
    <w:rsid w:val="009819EC"/>
    <w:rsid w:val="00982BE4"/>
    <w:rsid w:val="00982CCA"/>
    <w:rsid w:val="0098368B"/>
    <w:rsid w:val="009838C3"/>
    <w:rsid w:val="00983BD6"/>
    <w:rsid w:val="00983E46"/>
    <w:rsid w:val="00984149"/>
    <w:rsid w:val="00984200"/>
    <w:rsid w:val="00984BAC"/>
    <w:rsid w:val="00985083"/>
    <w:rsid w:val="00985401"/>
    <w:rsid w:val="009858EF"/>
    <w:rsid w:val="00985D13"/>
    <w:rsid w:val="00986553"/>
    <w:rsid w:val="00986BC0"/>
    <w:rsid w:val="00986CBC"/>
    <w:rsid w:val="00987230"/>
    <w:rsid w:val="00987769"/>
    <w:rsid w:val="0098782D"/>
    <w:rsid w:val="009879A7"/>
    <w:rsid w:val="00987F60"/>
    <w:rsid w:val="00987FAB"/>
    <w:rsid w:val="00990B4A"/>
    <w:rsid w:val="00990F18"/>
    <w:rsid w:val="009918CF"/>
    <w:rsid w:val="00991976"/>
    <w:rsid w:val="009919AD"/>
    <w:rsid w:val="00991CC4"/>
    <w:rsid w:val="0099224B"/>
    <w:rsid w:val="009925FD"/>
    <w:rsid w:val="00992A49"/>
    <w:rsid w:val="00992B37"/>
    <w:rsid w:val="00992E3D"/>
    <w:rsid w:val="00993A6B"/>
    <w:rsid w:val="00993E3A"/>
    <w:rsid w:val="00994876"/>
    <w:rsid w:val="00994C03"/>
    <w:rsid w:val="00995EC1"/>
    <w:rsid w:val="00995F53"/>
    <w:rsid w:val="00996509"/>
    <w:rsid w:val="00996DA5"/>
    <w:rsid w:val="00996F8B"/>
    <w:rsid w:val="00997073"/>
    <w:rsid w:val="009979F6"/>
    <w:rsid w:val="009A02F2"/>
    <w:rsid w:val="009A056D"/>
    <w:rsid w:val="009A09FF"/>
    <w:rsid w:val="009A0AE9"/>
    <w:rsid w:val="009A1187"/>
    <w:rsid w:val="009A16EB"/>
    <w:rsid w:val="009A1772"/>
    <w:rsid w:val="009A1E2D"/>
    <w:rsid w:val="009A1FE7"/>
    <w:rsid w:val="009A1FEB"/>
    <w:rsid w:val="009A2189"/>
    <w:rsid w:val="009A2B9A"/>
    <w:rsid w:val="009A2CB3"/>
    <w:rsid w:val="009A3170"/>
    <w:rsid w:val="009A31F1"/>
    <w:rsid w:val="009A3B84"/>
    <w:rsid w:val="009A42DE"/>
    <w:rsid w:val="009A4452"/>
    <w:rsid w:val="009A4723"/>
    <w:rsid w:val="009A49B0"/>
    <w:rsid w:val="009A4F9B"/>
    <w:rsid w:val="009A5CA9"/>
    <w:rsid w:val="009A6A53"/>
    <w:rsid w:val="009A6BDD"/>
    <w:rsid w:val="009A6EC8"/>
    <w:rsid w:val="009A7355"/>
    <w:rsid w:val="009A73B9"/>
    <w:rsid w:val="009A77E2"/>
    <w:rsid w:val="009A7B2A"/>
    <w:rsid w:val="009B116A"/>
    <w:rsid w:val="009B2D3B"/>
    <w:rsid w:val="009B331B"/>
    <w:rsid w:val="009B37E4"/>
    <w:rsid w:val="009B382E"/>
    <w:rsid w:val="009B4069"/>
    <w:rsid w:val="009B42A9"/>
    <w:rsid w:val="009B504C"/>
    <w:rsid w:val="009B5259"/>
    <w:rsid w:val="009B6262"/>
    <w:rsid w:val="009B69BE"/>
    <w:rsid w:val="009B6EA9"/>
    <w:rsid w:val="009B7410"/>
    <w:rsid w:val="009C066D"/>
    <w:rsid w:val="009C0788"/>
    <w:rsid w:val="009C08FA"/>
    <w:rsid w:val="009C0EC9"/>
    <w:rsid w:val="009C0F64"/>
    <w:rsid w:val="009C1589"/>
    <w:rsid w:val="009C2705"/>
    <w:rsid w:val="009C3044"/>
    <w:rsid w:val="009C317C"/>
    <w:rsid w:val="009C521B"/>
    <w:rsid w:val="009C5C3B"/>
    <w:rsid w:val="009C649C"/>
    <w:rsid w:val="009C6EE6"/>
    <w:rsid w:val="009C75CA"/>
    <w:rsid w:val="009C772C"/>
    <w:rsid w:val="009C7C9A"/>
    <w:rsid w:val="009C7DAC"/>
    <w:rsid w:val="009D0E2C"/>
    <w:rsid w:val="009D2152"/>
    <w:rsid w:val="009D254E"/>
    <w:rsid w:val="009D32D7"/>
    <w:rsid w:val="009D3419"/>
    <w:rsid w:val="009D3BE2"/>
    <w:rsid w:val="009D3E66"/>
    <w:rsid w:val="009D4AE6"/>
    <w:rsid w:val="009D567F"/>
    <w:rsid w:val="009D581B"/>
    <w:rsid w:val="009D6B2D"/>
    <w:rsid w:val="009D707D"/>
    <w:rsid w:val="009D7301"/>
    <w:rsid w:val="009D77F6"/>
    <w:rsid w:val="009D78F1"/>
    <w:rsid w:val="009D7AB8"/>
    <w:rsid w:val="009D7FEA"/>
    <w:rsid w:val="009E25F6"/>
    <w:rsid w:val="009E27BB"/>
    <w:rsid w:val="009E2B80"/>
    <w:rsid w:val="009E2EAA"/>
    <w:rsid w:val="009E3071"/>
    <w:rsid w:val="009E4047"/>
    <w:rsid w:val="009E41CA"/>
    <w:rsid w:val="009E4386"/>
    <w:rsid w:val="009E4472"/>
    <w:rsid w:val="009E566D"/>
    <w:rsid w:val="009E5BF7"/>
    <w:rsid w:val="009E66E2"/>
    <w:rsid w:val="009E684E"/>
    <w:rsid w:val="009E6A38"/>
    <w:rsid w:val="009E6BC4"/>
    <w:rsid w:val="009E6E9E"/>
    <w:rsid w:val="009E6FC2"/>
    <w:rsid w:val="009F0273"/>
    <w:rsid w:val="009F0422"/>
    <w:rsid w:val="009F0B81"/>
    <w:rsid w:val="009F0DA7"/>
    <w:rsid w:val="009F2958"/>
    <w:rsid w:val="009F34C8"/>
    <w:rsid w:val="009F3549"/>
    <w:rsid w:val="009F3C4C"/>
    <w:rsid w:val="009F3CA9"/>
    <w:rsid w:val="009F3CFD"/>
    <w:rsid w:val="009F3F04"/>
    <w:rsid w:val="009F47F9"/>
    <w:rsid w:val="009F5817"/>
    <w:rsid w:val="009F619E"/>
    <w:rsid w:val="009F6241"/>
    <w:rsid w:val="009F62C6"/>
    <w:rsid w:val="009F6C56"/>
    <w:rsid w:val="00A01004"/>
    <w:rsid w:val="00A010BA"/>
    <w:rsid w:val="00A018B9"/>
    <w:rsid w:val="00A0253D"/>
    <w:rsid w:val="00A02BE8"/>
    <w:rsid w:val="00A037FC"/>
    <w:rsid w:val="00A04566"/>
    <w:rsid w:val="00A04B9A"/>
    <w:rsid w:val="00A04D95"/>
    <w:rsid w:val="00A05A37"/>
    <w:rsid w:val="00A062A3"/>
    <w:rsid w:val="00A06E3C"/>
    <w:rsid w:val="00A07329"/>
    <w:rsid w:val="00A076D3"/>
    <w:rsid w:val="00A07B25"/>
    <w:rsid w:val="00A1062A"/>
    <w:rsid w:val="00A118F0"/>
    <w:rsid w:val="00A129AB"/>
    <w:rsid w:val="00A137F0"/>
    <w:rsid w:val="00A1432D"/>
    <w:rsid w:val="00A148D8"/>
    <w:rsid w:val="00A15235"/>
    <w:rsid w:val="00A155CE"/>
    <w:rsid w:val="00A1597A"/>
    <w:rsid w:val="00A16AFA"/>
    <w:rsid w:val="00A16DEE"/>
    <w:rsid w:val="00A17627"/>
    <w:rsid w:val="00A2054D"/>
    <w:rsid w:val="00A20670"/>
    <w:rsid w:val="00A20743"/>
    <w:rsid w:val="00A21169"/>
    <w:rsid w:val="00A21173"/>
    <w:rsid w:val="00A21644"/>
    <w:rsid w:val="00A221CA"/>
    <w:rsid w:val="00A2229A"/>
    <w:rsid w:val="00A22607"/>
    <w:rsid w:val="00A22B3F"/>
    <w:rsid w:val="00A22E60"/>
    <w:rsid w:val="00A233BD"/>
    <w:rsid w:val="00A23DA1"/>
    <w:rsid w:val="00A248DA"/>
    <w:rsid w:val="00A2508D"/>
    <w:rsid w:val="00A25489"/>
    <w:rsid w:val="00A25809"/>
    <w:rsid w:val="00A25E7D"/>
    <w:rsid w:val="00A26498"/>
    <w:rsid w:val="00A30560"/>
    <w:rsid w:val="00A308A2"/>
    <w:rsid w:val="00A3099D"/>
    <w:rsid w:val="00A30E2B"/>
    <w:rsid w:val="00A31526"/>
    <w:rsid w:val="00A317BA"/>
    <w:rsid w:val="00A31B7C"/>
    <w:rsid w:val="00A32806"/>
    <w:rsid w:val="00A329C1"/>
    <w:rsid w:val="00A339BC"/>
    <w:rsid w:val="00A33A63"/>
    <w:rsid w:val="00A33B4C"/>
    <w:rsid w:val="00A340F3"/>
    <w:rsid w:val="00A345BB"/>
    <w:rsid w:val="00A347A5"/>
    <w:rsid w:val="00A34DFF"/>
    <w:rsid w:val="00A37556"/>
    <w:rsid w:val="00A37931"/>
    <w:rsid w:val="00A37AB0"/>
    <w:rsid w:val="00A37B3E"/>
    <w:rsid w:val="00A37CC1"/>
    <w:rsid w:val="00A40148"/>
    <w:rsid w:val="00A40194"/>
    <w:rsid w:val="00A4162D"/>
    <w:rsid w:val="00A41DE8"/>
    <w:rsid w:val="00A437A8"/>
    <w:rsid w:val="00A43963"/>
    <w:rsid w:val="00A439E9"/>
    <w:rsid w:val="00A43BE2"/>
    <w:rsid w:val="00A43F24"/>
    <w:rsid w:val="00A4463A"/>
    <w:rsid w:val="00A44B3C"/>
    <w:rsid w:val="00A45078"/>
    <w:rsid w:val="00A45F89"/>
    <w:rsid w:val="00A460B2"/>
    <w:rsid w:val="00A46324"/>
    <w:rsid w:val="00A46BD7"/>
    <w:rsid w:val="00A46D75"/>
    <w:rsid w:val="00A47064"/>
    <w:rsid w:val="00A47C29"/>
    <w:rsid w:val="00A47F25"/>
    <w:rsid w:val="00A507EE"/>
    <w:rsid w:val="00A511A8"/>
    <w:rsid w:val="00A518C9"/>
    <w:rsid w:val="00A51D06"/>
    <w:rsid w:val="00A51F1F"/>
    <w:rsid w:val="00A53A71"/>
    <w:rsid w:val="00A540B2"/>
    <w:rsid w:val="00A56F10"/>
    <w:rsid w:val="00A57581"/>
    <w:rsid w:val="00A57BCE"/>
    <w:rsid w:val="00A57D9D"/>
    <w:rsid w:val="00A60142"/>
    <w:rsid w:val="00A6036D"/>
    <w:rsid w:val="00A60AEA"/>
    <w:rsid w:val="00A60ECE"/>
    <w:rsid w:val="00A6151E"/>
    <w:rsid w:val="00A62B20"/>
    <w:rsid w:val="00A63056"/>
    <w:rsid w:val="00A64216"/>
    <w:rsid w:val="00A648B1"/>
    <w:rsid w:val="00A64D3C"/>
    <w:rsid w:val="00A653EC"/>
    <w:rsid w:val="00A65715"/>
    <w:rsid w:val="00A66038"/>
    <w:rsid w:val="00A660A9"/>
    <w:rsid w:val="00A6625D"/>
    <w:rsid w:val="00A663B2"/>
    <w:rsid w:val="00A663C6"/>
    <w:rsid w:val="00A66FDD"/>
    <w:rsid w:val="00A67BEE"/>
    <w:rsid w:val="00A67C4D"/>
    <w:rsid w:val="00A67F72"/>
    <w:rsid w:val="00A70086"/>
    <w:rsid w:val="00A70CE9"/>
    <w:rsid w:val="00A715CF"/>
    <w:rsid w:val="00A7178F"/>
    <w:rsid w:val="00A72933"/>
    <w:rsid w:val="00A729D0"/>
    <w:rsid w:val="00A72A0A"/>
    <w:rsid w:val="00A734CC"/>
    <w:rsid w:val="00A745DE"/>
    <w:rsid w:val="00A7462F"/>
    <w:rsid w:val="00A74EE8"/>
    <w:rsid w:val="00A750DF"/>
    <w:rsid w:val="00A75266"/>
    <w:rsid w:val="00A75420"/>
    <w:rsid w:val="00A75A2C"/>
    <w:rsid w:val="00A75DE2"/>
    <w:rsid w:val="00A7603D"/>
    <w:rsid w:val="00A76CA9"/>
    <w:rsid w:val="00A77893"/>
    <w:rsid w:val="00A77A58"/>
    <w:rsid w:val="00A77C2C"/>
    <w:rsid w:val="00A8008B"/>
    <w:rsid w:val="00A8013F"/>
    <w:rsid w:val="00A81B88"/>
    <w:rsid w:val="00A81D0A"/>
    <w:rsid w:val="00A82AAF"/>
    <w:rsid w:val="00A83910"/>
    <w:rsid w:val="00A83D34"/>
    <w:rsid w:val="00A83FE8"/>
    <w:rsid w:val="00A841F0"/>
    <w:rsid w:val="00A84585"/>
    <w:rsid w:val="00A84A9C"/>
    <w:rsid w:val="00A84AD8"/>
    <w:rsid w:val="00A84BB8"/>
    <w:rsid w:val="00A84EF2"/>
    <w:rsid w:val="00A856B7"/>
    <w:rsid w:val="00A856F7"/>
    <w:rsid w:val="00A8590C"/>
    <w:rsid w:val="00A85EC6"/>
    <w:rsid w:val="00A85FF2"/>
    <w:rsid w:val="00A86373"/>
    <w:rsid w:val="00A86AE5"/>
    <w:rsid w:val="00A86FE4"/>
    <w:rsid w:val="00A87B01"/>
    <w:rsid w:val="00A87B6C"/>
    <w:rsid w:val="00A87CB5"/>
    <w:rsid w:val="00A87E5D"/>
    <w:rsid w:val="00A90D63"/>
    <w:rsid w:val="00A90F93"/>
    <w:rsid w:val="00A914E1"/>
    <w:rsid w:val="00A91DCA"/>
    <w:rsid w:val="00A92156"/>
    <w:rsid w:val="00A92537"/>
    <w:rsid w:val="00A930ED"/>
    <w:rsid w:val="00A93358"/>
    <w:rsid w:val="00A94240"/>
    <w:rsid w:val="00A942C3"/>
    <w:rsid w:val="00A9482C"/>
    <w:rsid w:val="00A9493D"/>
    <w:rsid w:val="00A94B06"/>
    <w:rsid w:val="00A94D36"/>
    <w:rsid w:val="00A95006"/>
    <w:rsid w:val="00A95186"/>
    <w:rsid w:val="00A9591B"/>
    <w:rsid w:val="00A95B35"/>
    <w:rsid w:val="00A95D33"/>
    <w:rsid w:val="00A965E0"/>
    <w:rsid w:val="00A96749"/>
    <w:rsid w:val="00A968B0"/>
    <w:rsid w:val="00A97196"/>
    <w:rsid w:val="00A97451"/>
    <w:rsid w:val="00A97735"/>
    <w:rsid w:val="00AA0437"/>
    <w:rsid w:val="00AA057F"/>
    <w:rsid w:val="00AA15B2"/>
    <w:rsid w:val="00AA15DD"/>
    <w:rsid w:val="00AA1DA0"/>
    <w:rsid w:val="00AA2218"/>
    <w:rsid w:val="00AA2F6D"/>
    <w:rsid w:val="00AA4079"/>
    <w:rsid w:val="00AA4CE4"/>
    <w:rsid w:val="00AA50D0"/>
    <w:rsid w:val="00AA5D7E"/>
    <w:rsid w:val="00AA61D9"/>
    <w:rsid w:val="00AA6C97"/>
    <w:rsid w:val="00AA70BB"/>
    <w:rsid w:val="00AA71ED"/>
    <w:rsid w:val="00AA7630"/>
    <w:rsid w:val="00AB009D"/>
    <w:rsid w:val="00AB0E1A"/>
    <w:rsid w:val="00AB11F9"/>
    <w:rsid w:val="00AB13D0"/>
    <w:rsid w:val="00AB1AD5"/>
    <w:rsid w:val="00AB2576"/>
    <w:rsid w:val="00AB25F1"/>
    <w:rsid w:val="00AB2B1C"/>
    <w:rsid w:val="00AB2EA2"/>
    <w:rsid w:val="00AB30EE"/>
    <w:rsid w:val="00AB32AB"/>
    <w:rsid w:val="00AB3E11"/>
    <w:rsid w:val="00AB3F9E"/>
    <w:rsid w:val="00AB4182"/>
    <w:rsid w:val="00AB4D20"/>
    <w:rsid w:val="00AB5030"/>
    <w:rsid w:val="00AB5392"/>
    <w:rsid w:val="00AB5B91"/>
    <w:rsid w:val="00AB5BD3"/>
    <w:rsid w:val="00AB60D8"/>
    <w:rsid w:val="00AB61B8"/>
    <w:rsid w:val="00AB620F"/>
    <w:rsid w:val="00AB684A"/>
    <w:rsid w:val="00AB69D1"/>
    <w:rsid w:val="00AB6A7E"/>
    <w:rsid w:val="00AB6D58"/>
    <w:rsid w:val="00AB7D2D"/>
    <w:rsid w:val="00AC016E"/>
    <w:rsid w:val="00AC0ED2"/>
    <w:rsid w:val="00AC11D8"/>
    <w:rsid w:val="00AC1247"/>
    <w:rsid w:val="00AC14FA"/>
    <w:rsid w:val="00AC1AB1"/>
    <w:rsid w:val="00AC1D48"/>
    <w:rsid w:val="00AC270A"/>
    <w:rsid w:val="00AC2D74"/>
    <w:rsid w:val="00AC4E77"/>
    <w:rsid w:val="00AC51CE"/>
    <w:rsid w:val="00AC66B5"/>
    <w:rsid w:val="00AC6A06"/>
    <w:rsid w:val="00AC70E1"/>
    <w:rsid w:val="00AC7767"/>
    <w:rsid w:val="00AC7827"/>
    <w:rsid w:val="00AD03A5"/>
    <w:rsid w:val="00AD08FB"/>
    <w:rsid w:val="00AD0CA9"/>
    <w:rsid w:val="00AD1054"/>
    <w:rsid w:val="00AD1A8A"/>
    <w:rsid w:val="00AD1E65"/>
    <w:rsid w:val="00AD1F4E"/>
    <w:rsid w:val="00AD24B4"/>
    <w:rsid w:val="00AD29AF"/>
    <w:rsid w:val="00AD45FA"/>
    <w:rsid w:val="00AD50F4"/>
    <w:rsid w:val="00AD5758"/>
    <w:rsid w:val="00AD5A90"/>
    <w:rsid w:val="00AD6174"/>
    <w:rsid w:val="00AD65A6"/>
    <w:rsid w:val="00AD6E24"/>
    <w:rsid w:val="00AD7415"/>
    <w:rsid w:val="00AD74F9"/>
    <w:rsid w:val="00AD7C20"/>
    <w:rsid w:val="00AD7C72"/>
    <w:rsid w:val="00AE031B"/>
    <w:rsid w:val="00AE0677"/>
    <w:rsid w:val="00AE0A98"/>
    <w:rsid w:val="00AE1C98"/>
    <w:rsid w:val="00AE2F6E"/>
    <w:rsid w:val="00AE3339"/>
    <w:rsid w:val="00AE3B95"/>
    <w:rsid w:val="00AE40A4"/>
    <w:rsid w:val="00AE41BA"/>
    <w:rsid w:val="00AE4D0C"/>
    <w:rsid w:val="00AE555B"/>
    <w:rsid w:val="00AE58E6"/>
    <w:rsid w:val="00AE5A46"/>
    <w:rsid w:val="00AE5A71"/>
    <w:rsid w:val="00AE6872"/>
    <w:rsid w:val="00AE6D74"/>
    <w:rsid w:val="00AE6E02"/>
    <w:rsid w:val="00AE7DC3"/>
    <w:rsid w:val="00AF0201"/>
    <w:rsid w:val="00AF032E"/>
    <w:rsid w:val="00AF0937"/>
    <w:rsid w:val="00AF0DDE"/>
    <w:rsid w:val="00AF1151"/>
    <w:rsid w:val="00AF1673"/>
    <w:rsid w:val="00AF2234"/>
    <w:rsid w:val="00AF39C6"/>
    <w:rsid w:val="00AF3B21"/>
    <w:rsid w:val="00AF489E"/>
    <w:rsid w:val="00AF4DBA"/>
    <w:rsid w:val="00AF4F74"/>
    <w:rsid w:val="00AF5882"/>
    <w:rsid w:val="00AF5A2B"/>
    <w:rsid w:val="00AF5D33"/>
    <w:rsid w:val="00AF6AE1"/>
    <w:rsid w:val="00B002CD"/>
    <w:rsid w:val="00B0031A"/>
    <w:rsid w:val="00B0176F"/>
    <w:rsid w:val="00B01B6C"/>
    <w:rsid w:val="00B01F45"/>
    <w:rsid w:val="00B022BE"/>
    <w:rsid w:val="00B0273C"/>
    <w:rsid w:val="00B03CD5"/>
    <w:rsid w:val="00B04B93"/>
    <w:rsid w:val="00B05211"/>
    <w:rsid w:val="00B056DF"/>
    <w:rsid w:val="00B05767"/>
    <w:rsid w:val="00B05A9D"/>
    <w:rsid w:val="00B05BE1"/>
    <w:rsid w:val="00B06127"/>
    <w:rsid w:val="00B06DEE"/>
    <w:rsid w:val="00B070ED"/>
    <w:rsid w:val="00B07A7B"/>
    <w:rsid w:val="00B07AA5"/>
    <w:rsid w:val="00B07CD7"/>
    <w:rsid w:val="00B10855"/>
    <w:rsid w:val="00B10DF1"/>
    <w:rsid w:val="00B1127A"/>
    <w:rsid w:val="00B119BB"/>
    <w:rsid w:val="00B11B70"/>
    <w:rsid w:val="00B12465"/>
    <w:rsid w:val="00B12AA2"/>
    <w:rsid w:val="00B14BE1"/>
    <w:rsid w:val="00B1515A"/>
    <w:rsid w:val="00B16076"/>
    <w:rsid w:val="00B162EA"/>
    <w:rsid w:val="00B17542"/>
    <w:rsid w:val="00B20B80"/>
    <w:rsid w:val="00B210FA"/>
    <w:rsid w:val="00B21224"/>
    <w:rsid w:val="00B223B3"/>
    <w:rsid w:val="00B228FE"/>
    <w:rsid w:val="00B22B7E"/>
    <w:rsid w:val="00B22D52"/>
    <w:rsid w:val="00B234A1"/>
    <w:rsid w:val="00B260B0"/>
    <w:rsid w:val="00B26155"/>
    <w:rsid w:val="00B26190"/>
    <w:rsid w:val="00B26762"/>
    <w:rsid w:val="00B26B37"/>
    <w:rsid w:val="00B2776F"/>
    <w:rsid w:val="00B27E53"/>
    <w:rsid w:val="00B302A9"/>
    <w:rsid w:val="00B30B6B"/>
    <w:rsid w:val="00B325F2"/>
    <w:rsid w:val="00B32CD6"/>
    <w:rsid w:val="00B339A4"/>
    <w:rsid w:val="00B3447A"/>
    <w:rsid w:val="00B35D0F"/>
    <w:rsid w:val="00B35E35"/>
    <w:rsid w:val="00B3634B"/>
    <w:rsid w:val="00B37362"/>
    <w:rsid w:val="00B37467"/>
    <w:rsid w:val="00B376F9"/>
    <w:rsid w:val="00B37BB1"/>
    <w:rsid w:val="00B37DFA"/>
    <w:rsid w:val="00B40A6B"/>
    <w:rsid w:val="00B413B6"/>
    <w:rsid w:val="00B42AAB"/>
    <w:rsid w:val="00B42C51"/>
    <w:rsid w:val="00B42FCB"/>
    <w:rsid w:val="00B43072"/>
    <w:rsid w:val="00B432CF"/>
    <w:rsid w:val="00B43524"/>
    <w:rsid w:val="00B439CE"/>
    <w:rsid w:val="00B43B00"/>
    <w:rsid w:val="00B44BF0"/>
    <w:rsid w:val="00B44C95"/>
    <w:rsid w:val="00B454B4"/>
    <w:rsid w:val="00B46780"/>
    <w:rsid w:val="00B46951"/>
    <w:rsid w:val="00B46A37"/>
    <w:rsid w:val="00B4749D"/>
    <w:rsid w:val="00B504D0"/>
    <w:rsid w:val="00B5074E"/>
    <w:rsid w:val="00B50766"/>
    <w:rsid w:val="00B50C94"/>
    <w:rsid w:val="00B51A48"/>
    <w:rsid w:val="00B528AA"/>
    <w:rsid w:val="00B52941"/>
    <w:rsid w:val="00B52B66"/>
    <w:rsid w:val="00B53A5C"/>
    <w:rsid w:val="00B53CFA"/>
    <w:rsid w:val="00B53DEF"/>
    <w:rsid w:val="00B542F3"/>
    <w:rsid w:val="00B5586A"/>
    <w:rsid w:val="00B56C58"/>
    <w:rsid w:val="00B56CB9"/>
    <w:rsid w:val="00B57282"/>
    <w:rsid w:val="00B57A4A"/>
    <w:rsid w:val="00B57E5B"/>
    <w:rsid w:val="00B60085"/>
    <w:rsid w:val="00B601D1"/>
    <w:rsid w:val="00B6097D"/>
    <w:rsid w:val="00B60A82"/>
    <w:rsid w:val="00B611CD"/>
    <w:rsid w:val="00B61803"/>
    <w:rsid w:val="00B6186D"/>
    <w:rsid w:val="00B61DA1"/>
    <w:rsid w:val="00B62324"/>
    <w:rsid w:val="00B625D3"/>
    <w:rsid w:val="00B62C55"/>
    <w:rsid w:val="00B62E55"/>
    <w:rsid w:val="00B634C1"/>
    <w:rsid w:val="00B63621"/>
    <w:rsid w:val="00B6375F"/>
    <w:rsid w:val="00B63A94"/>
    <w:rsid w:val="00B63DBA"/>
    <w:rsid w:val="00B64626"/>
    <w:rsid w:val="00B646BF"/>
    <w:rsid w:val="00B64785"/>
    <w:rsid w:val="00B652AC"/>
    <w:rsid w:val="00B658DF"/>
    <w:rsid w:val="00B65AD2"/>
    <w:rsid w:val="00B660CE"/>
    <w:rsid w:val="00B66467"/>
    <w:rsid w:val="00B66E02"/>
    <w:rsid w:val="00B674C2"/>
    <w:rsid w:val="00B67692"/>
    <w:rsid w:val="00B70043"/>
    <w:rsid w:val="00B70B22"/>
    <w:rsid w:val="00B70E58"/>
    <w:rsid w:val="00B7148A"/>
    <w:rsid w:val="00B719AD"/>
    <w:rsid w:val="00B71A23"/>
    <w:rsid w:val="00B722FA"/>
    <w:rsid w:val="00B7235C"/>
    <w:rsid w:val="00B72631"/>
    <w:rsid w:val="00B728FD"/>
    <w:rsid w:val="00B72D48"/>
    <w:rsid w:val="00B73370"/>
    <w:rsid w:val="00B7380C"/>
    <w:rsid w:val="00B74D17"/>
    <w:rsid w:val="00B76383"/>
    <w:rsid w:val="00B76EA8"/>
    <w:rsid w:val="00B77CD4"/>
    <w:rsid w:val="00B80846"/>
    <w:rsid w:val="00B819C2"/>
    <w:rsid w:val="00B81B1A"/>
    <w:rsid w:val="00B81BA6"/>
    <w:rsid w:val="00B8270D"/>
    <w:rsid w:val="00B82726"/>
    <w:rsid w:val="00B8286B"/>
    <w:rsid w:val="00B82F27"/>
    <w:rsid w:val="00B835FF"/>
    <w:rsid w:val="00B836F0"/>
    <w:rsid w:val="00B83E6B"/>
    <w:rsid w:val="00B84334"/>
    <w:rsid w:val="00B84349"/>
    <w:rsid w:val="00B84A6D"/>
    <w:rsid w:val="00B84B29"/>
    <w:rsid w:val="00B84D4C"/>
    <w:rsid w:val="00B8586A"/>
    <w:rsid w:val="00B85EC5"/>
    <w:rsid w:val="00B86052"/>
    <w:rsid w:val="00B8651A"/>
    <w:rsid w:val="00B866E5"/>
    <w:rsid w:val="00B86BB6"/>
    <w:rsid w:val="00B870D6"/>
    <w:rsid w:val="00B87C77"/>
    <w:rsid w:val="00B9154F"/>
    <w:rsid w:val="00B917CF"/>
    <w:rsid w:val="00B9218C"/>
    <w:rsid w:val="00B9310B"/>
    <w:rsid w:val="00B93936"/>
    <w:rsid w:val="00B94438"/>
    <w:rsid w:val="00B94472"/>
    <w:rsid w:val="00B94DBE"/>
    <w:rsid w:val="00B94F57"/>
    <w:rsid w:val="00B95817"/>
    <w:rsid w:val="00B95AC9"/>
    <w:rsid w:val="00B961D3"/>
    <w:rsid w:val="00B96276"/>
    <w:rsid w:val="00B9661F"/>
    <w:rsid w:val="00B96A32"/>
    <w:rsid w:val="00B96CFC"/>
    <w:rsid w:val="00B96DA9"/>
    <w:rsid w:val="00B96E6B"/>
    <w:rsid w:val="00B96EF6"/>
    <w:rsid w:val="00B97EC8"/>
    <w:rsid w:val="00BA028F"/>
    <w:rsid w:val="00BA09A7"/>
    <w:rsid w:val="00BA0D60"/>
    <w:rsid w:val="00BA17E0"/>
    <w:rsid w:val="00BA21EB"/>
    <w:rsid w:val="00BA2B21"/>
    <w:rsid w:val="00BA3FBA"/>
    <w:rsid w:val="00BA47A6"/>
    <w:rsid w:val="00BA49CD"/>
    <w:rsid w:val="00BA4A51"/>
    <w:rsid w:val="00BA4AAC"/>
    <w:rsid w:val="00BA502A"/>
    <w:rsid w:val="00BA525A"/>
    <w:rsid w:val="00BA554E"/>
    <w:rsid w:val="00BA5571"/>
    <w:rsid w:val="00BA6122"/>
    <w:rsid w:val="00BA68B6"/>
    <w:rsid w:val="00BA7763"/>
    <w:rsid w:val="00BA79C6"/>
    <w:rsid w:val="00BA7DB7"/>
    <w:rsid w:val="00BB00C2"/>
    <w:rsid w:val="00BB0973"/>
    <w:rsid w:val="00BB109B"/>
    <w:rsid w:val="00BB1487"/>
    <w:rsid w:val="00BB202C"/>
    <w:rsid w:val="00BB2BBA"/>
    <w:rsid w:val="00BB32B5"/>
    <w:rsid w:val="00BB3388"/>
    <w:rsid w:val="00BB3523"/>
    <w:rsid w:val="00BB35D2"/>
    <w:rsid w:val="00BB38F6"/>
    <w:rsid w:val="00BB3D89"/>
    <w:rsid w:val="00BB42EA"/>
    <w:rsid w:val="00BB45CB"/>
    <w:rsid w:val="00BB4EC6"/>
    <w:rsid w:val="00BB5D46"/>
    <w:rsid w:val="00BB5E6C"/>
    <w:rsid w:val="00BB6092"/>
    <w:rsid w:val="00BB6364"/>
    <w:rsid w:val="00BB6C7D"/>
    <w:rsid w:val="00BB6FE4"/>
    <w:rsid w:val="00BB6FFD"/>
    <w:rsid w:val="00BB7640"/>
    <w:rsid w:val="00BC07DA"/>
    <w:rsid w:val="00BC0A0E"/>
    <w:rsid w:val="00BC11B9"/>
    <w:rsid w:val="00BC12A1"/>
    <w:rsid w:val="00BC2539"/>
    <w:rsid w:val="00BC2766"/>
    <w:rsid w:val="00BC3701"/>
    <w:rsid w:val="00BC3A29"/>
    <w:rsid w:val="00BC4601"/>
    <w:rsid w:val="00BC513A"/>
    <w:rsid w:val="00BC5610"/>
    <w:rsid w:val="00BC598D"/>
    <w:rsid w:val="00BC70AE"/>
    <w:rsid w:val="00BC7108"/>
    <w:rsid w:val="00BC7BC1"/>
    <w:rsid w:val="00BD01A1"/>
    <w:rsid w:val="00BD08AD"/>
    <w:rsid w:val="00BD1027"/>
    <w:rsid w:val="00BD175D"/>
    <w:rsid w:val="00BD263E"/>
    <w:rsid w:val="00BD2EA1"/>
    <w:rsid w:val="00BD400D"/>
    <w:rsid w:val="00BD46C7"/>
    <w:rsid w:val="00BD4D2B"/>
    <w:rsid w:val="00BD5575"/>
    <w:rsid w:val="00BD5912"/>
    <w:rsid w:val="00BD5AD5"/>
    <w:rsid w:val="00BD6076"/>
    <w:rsid w:val="00BD706F"/>
    <w:rsid w:val="00BD7E27"/>
    <w:rsid w:val="00BD7E6D"/>
    <w:rsid w:val="00BE16E6"/>
    <w:rsid w:val="00BE1D07"/>
    <w:rsid w:val="00BE1E36"/>
    <w:rsid w:val="00BE208B"/>
    <w:rsid w:val="00BE25A3"/>
    <w:rsid w:val="00BE37F5"/>
    <w:rsid w:val="00BE4D79"/>
    <w:rsid w:val="00BE5943"/>
    <w:rsid w:val="00BE60B7"/>
    <w:rsid w:val="00BE6179"/>
    <w:rsid w:val="00BE65C4"/>
    <w:rsid w:val="00BE6B77"/>
    <w:rsid w:val="00BE7731"/>
    <w:rsid w:val="00BE7AB2"/>
    <w:rsid w:val="00BF0E9E"/>
    <w:rsid w:val="00BF1AEE"/>
    <w:rsid w:val="00BF1BD2"/>
    <w:rsid w:val="00BF1CDA"/>
    <w:rsid w:val="00BF1ED3"/>
    <w:rsid w:val="00BF2325"/>
    <w:rsid w:val="00BF242D"/>
    <w:rsid w:val="00BF2AC2"/>
    <w:rsid w:val="00BF31DD"/>
    <w:rsid w:val="00BF338B"/>
    <w:rsid w:val="00BF3C78"/>
    <w:rsid w:val="00BF3F5E"/>
    <w:rsid w:val="00BF5B50"/>
    <w:rsid w:val="00BF6CF6"/>
    <w:rsid w:val="00C00109"/>
    <w:rsid w:val="00C00332"/>
    <w:rsid w:val="00C0052D"/>
    <w:rsid w:val="00C00719"/>
    <w:rsid w:val="00C012CD"/>
    <w:rsid w:val="00C01C19"/>
    <w:rsid w:val="00C01D55"/>
    <w:rsid w:val="00C027A2"/>
    <w:rsid w:val="00C0289D"/>
    <w:rsid w:val="00C02F82"/>
    <w:rsid w:val="00C0316B"/>
    <w:rsid w:val="00C03965"/>
    <w:rsid w:val="00C04783"/>
    <w:rsid w:val="00C04BD6"/>
    <w:rsid w:val="00C063A7"/>
    <w:rsid w:val="00C0643A"/>
    <w:rsid w:val="00C068B2"/>
    <w:rsid w:val="00C06DA0"/>
    <w:rsid w:val="00C07763"/>
    <w:rsid w:val="00C07D53"/>
    <w:rsid w:val="00C07FD2"/>
    <w:rsid w:val="00C100BC"/>
    <w:rsid w:val="00C10394"/>
    <w:rsid w:val="00C1111C"/>
    <w:rsid w:val="00C11881"/>
    <w:rsid w:val="00C11CDF"/>
    <w:rsid w:val="00C11FC6"/>
    <w:rsid w:val="00C12298"/>
    <w:rsid w:val="00C123AE"/>
    <w:rsid w:val="00C12AD1"/>
    <w:rsid w:val="00C13227"/>
    <w:rsid w:val="00C132F8"/>
    <w:rsid w:val="00C13C33"/>
    <w:rsid w:val="00C13C41"/>
    <w:rsid w:val="00C14F51"/>
    <w:rsid w:val="00C15D25"/>
    <w:rsid w:val="00C162DB"/>
    <w:rsid w:val="00C16D6E"/>
    <w:rsid w:val="00C17DCF"/>
    <w:rsid w:val="00C218E0"/>
    <w:rsid w:val="00C21FD5"/>
    <w:rsid w:val="00C22098"/>
    <w:rsid w:val="00C223AB"/>
    <w:rsid w:val="00C22484"/>
    <w:rsid w:val="00C23920"/>
    <w:rsid w:val="00C24E16"/>
    <w:rsid w:val="00C25B67"/>
    <w:rsid w:val="00C260B4"/>
    <w:rsid w:val="00C262DA"/>
    <w:rsid w:val="00C26FE0"/>
    <w:rsid w:val="00C2749E"/>
    <w:rsid w:val="00C2793B"/>
    <w:rsid w:val="00C27E08"/>
    <w:rsid w:val="00C27F69"/>
    <w:rsid w:val="00C309B9"/>
    <w:rsid w:val="00C30C3C"/>
    <w:rsid w:val="00C313EF"/>
    <w:rsid w:val="00C325E0"/>
    <w:rsid w:val="00C326CB"/>
    <w:rsid w:val="00C32887"/>
    <w:rsid w:val="00C32948"/>
    <w:rsid w:val="00C32F6A"/>
    <w:rsid w:val="00C33F27"/>
    <w:rsid w:val="00C33F6E"/>
    <w:rsid w:val="00C3406D"/>
    <w:rsid w:val="00C34C58"/>
    <w:rsid w:val="00C35C49"/>
    <w:rsid w:val="00C362C3"/>
    <w:rsid w:val="00C36D62"/>
    <w:rsid w:val="00C37895"/>
    <w:rsid w:val="00C40171"/>
    <w:rsid w:val="00C41476"/>
    <w:rsid w:val="00C4192A"/>
    <w:rsid w:val="00C41AB1"/>
    <w:rsid w:val="00C41D6E"/>
    <w:rsid w:val="00C427A0"/>
    <w:rsid w:val="00C42BB8"/>
    <w:rsid w:val="00C42C0E"/>
    <w:rsid w:val="00C4405A"/>
    <w:rsid w:val="00C441E4"/>
    <w:rsid w:val="00C44AD5"/>
    <w:rsid w:val="00C44DBA"/>
    <w:rsid w:val="00C451FA"/>
    <w:rsid w:val="00C46AB0"/>
    <w:rsid w:val="00C46D98"/>
    <w:rsid w:val="00C47469"/>
    <w:rsid w:val="00C475B8"/>
    <w:rsid w:val="00C47706"/>
    <w:rsid w:val="00C4785C"/>
    <w:rsid w:val="00C47A34"/>
    <w:rsid w:val="00C47AD7"/>
    <w:rsid w:val="00C47BEE"/>
    <w:rsid w:val="00C47CAA"/>
    <w:rsid w:val="00C47DF9"/>
    <w:rsid w:val="00C47F05"/>
    <w:rsid w:val="00C5073C"/>
    <w:rsid w:val="00C5074C"/>
    <w:rsid w:val="00C5100B"/>
    <w:rsid w:val="00C5177F"/>
    <w:rsid w:val="00C51917"/>
    <w:rsid w:val="00C5253F"/>
    <w:rsid w:val="00C528DA"/>
    <w:rsid w:val="00C529B2"/>
    <w:rsid w:val="00C52BA3"/>
    <w:rsid w:val="00C52C33"/>
    <w:rsid w:val="00C52E96"/>
    <w:rsid w:val="00C5329B"/>
    <w:rsid w:val="00C53419"/>
    <w:rsid w:val="00C53721"/>
    <w:rsid w:val="00C53D73"/>
    <w:rsid w:val="00C54858"/>
    <w:rsid w:val="00C550E7"/>
    <w:rsid w:val="00C55A21"/>
    <w:rsid w:val="00C55CB3"/>
    <w:rsid w:val="00C55EB7"/>
    <w:rsid w:val="00C56629"/>
    <w:rsid w:val="00C56D2E"/>
    <w:rsid w:val="00C56D9E"/>
    <w:rsid w:val="00C56E24"/>
    <w:rsid w:val="00C57DCD"/>
    <w:rsid w:val="00C601F4"/>
    <w:rsid w:val="00C60419"/>
    <w:rsid w:val="00C6156F"/>
    <w:rsid w:val="00C61C9F"/>
    <w:rsid w:val="00C62315"/>
    <w:rsid w:val="00C6233D"/>
    <w:rsid w:val="00C63279"/>
    <w:rsid w:val="00C643E6"/>
    <w:rsid w:val="00C64BC8"/>
    <w:rsid w:val="00C659E5"/>
    <w:rsid w:val="00C6696F"/>
    <w:rsid w:val="00C66FBF"/>
    <w:rsid w:val="00C704E7"/>
    <w:rsid w:val="00C705AD"/>
    <w:rsid w:val="00C72124"/>
    <w:rsid w:val="00C72A5E"/>
    <w:rsid w:val="00C7397A"/>
    <w:rsid w:val="00C73CD1"/>
    <w:rsid w:val="00C73EEA"/>
    <w:rsid w:val="00C7423F"/>
    <w:rsid w:val="00C748EC"/>
    <w:rsid w:val="00C74DB1"/>
    <w:rsid w:val="00C74DE9"/>
    <w:rsid w:val="00C74EEB"/>
    <w:rsid w:val="00C7545C"/>
    <w:rsid w:val="00C75622"/>
    <w:rsid w:val="00C7572E"/>
    <w:rsid w:val="00C75F2C"/>
    <w:rsid w:val="00C76206"/>
    <w:rsid w:val="00C76818"/>
    <w:rsid w:val="00C768CA"/>
    <w:rsid w:val="00C76A63"/>
    <w:rsid w:val="00C76FC7"/>
    <w:rsid w:val="00C76FDE"/>
    <w:rsid w:val="00C77460"/>
    <w:rsid w:val="00C7767C"/>
    <w:rsid w:val="00C77A32"/>
    <w:rsid w:val="00C80088"/>
    <w:rsid w:val="00C80DEF"/>
    <w:rsid w:val="00C81C4A"/>
    <w:rsid w:val="00C826D0"/>
    <w:rsid w:val="00C83740"/>
    <w:rsid w:val="00C839F2"/>
    <w:rsid w:val="00C85189"/>
    <w:rsid w:val="00C856B2"/>
    <w:rsid w:val="00C85813"/>
    <w:rsid w:val="00C858DA"/>
    <w:rsid w:val="00C85F3B"/>
    <w:rsid w:val="00C87143"/>
    <w:rsid w:val="00C873E7"/>
    <w:rsid w:val="00C875D5"/>
    <w:rsid w:val="00C902B7"/>
    <w:rsid w:val="00C90959"/>
    <w:rsid w:val="00C90965"/>
    <w:rsid w:val="00C9105C"/>
    <w:rsid w:val="00C911F3"/>
    <w:rsid w:val="00C915BD"/>
    <w:rsid w:val="00C927C3"/>
    <w:rsid w:val="00C92B37"/>
    <w:rsid w:val="00C92F7C"/>
    <w:rsid w:val="00C93F54"/>
    <w:rsid w:val="00C9418A"/>
    <w:rsid w:val="00C941B1"/>
    <w:rsid w:val="00C95D0C"/>
    <w:rsid w:val="00C964E9"/>
    <w:rsid w:val="00C96A6A"/>
    <w:rsid w:val="00C96B47"/>
    <w:rsid w:val="00CA0A61"/>
    <w:rsid w:val="00CA0CF3"/>
    <w:rsid w:val="00CA121D"/>
    <w:rsid w:val="00CA13B1"/>
    <w:rsid w:val="00CA1577"/>
    <w:rsid w:val="00CA17BA"/>
    <w:rsid w:val="00CA1A92"/>
    <w:rsid w:val="00CA1B16"/>
    <w:rsid w:val="00CA1CC4"/>
    <w:rsid w:val="00CA22A2"/>
    <w:rsid w:val="00CA22FB"/>
    <w:rsid w:val="00CA272E"/>
    <w:rsid w:val="00CA31BD"/>
    <w:rsid w:val="00CA31DE"/>
    <w:rsid w:val="00CA36FD"/>
    <w:rsid w:val="00CA3CD6"/>
    <w:rsid w:val="00CA4563"/>
    <w:rsid w:val="00CA4C66"/>
    <w:rsid w:val="00CA4E0A"/>
    <w:rsid w:val="00CA558B"/>
    <w:rsid w:val="00CA55AA"/>
    <w:rsid w:val="00CA58E3"/>
    <w:rsid w:val="00CA5AFE"/>
    <w:rsid w:val="00CA69C8"/>
    <w:rsid w:val="00CA703B"/>
    <w:rsid w:val="00CA7B42"/>
    <w:rsid w:val="00CA7BC3"/>
    <w:rsid w:val="00CA7DF9"/>
    <w:rsid w:val="00CB0071"/>
    <w:rsid w:val="00CB1203"/>
    <w:rsid w:val="00CB1360"/>
    <w:rsid w:val="00CB1FD0"/>
    <w:rsid w:val="00CB2B5A"/>
    <w:rsid w:val="00CB36D7"/>
    <w:rsid w:val="00CB57DD"/>
    <w:rsid w:val="00CB594B"/>
    <w:rsid w:val="00CB5DF1"/>
    <w:rsid w:val="00CB66CD"/>
    <w:rsid w:val="00CB6FAF"/>
    <w:rsid w:val="00CB748A"/>
    <w:rsid w:val="00CB74A5"/>
    <w:rsid w:val="00CB75F3"/>
    <w:rsid w:val="00CC024B"/>
    <w:rsid w:val="00CC0B00"/>
    <w:rsid w:val="00CC12F2"/>
    <w:rsid w:val="00CC1698"/>
    <w:rsid w:val="00CC2073"/>
    <w:rsid w:val="00CC367D"/>
    <w:rsid w:val="00CC49E0"/>
    <w:rsid w:val="00CC4D49"/>
    <w:rsid w:val="00CC57F6"/>
    <w:rsid w:val="00CC634F"/>
    <w:rsid w:val="00CC6434"/>
    <w:rsid w:val="00CC6565"/>
    <w:rsid w:val="00CC6749"/>
    <w:rsid w:val="00CC6903"/>
    <w:rsid w:val="00CC6BB9"/>
    <w:rsid w:val="00CC6CF3"/>
    <w:rsid w:val="00CC6E9E"/>
    <w:rsid w:val="00CC747D"/>
    <w:rsid w:val="00CC74A6"/>
    <w:rsid w:val="00CD09FF"/>
    <w:rsid w:val="00CD2096"/>
    <w:rsid w:val="00CD2382"/>
    <w:rsid w:val="00CD26E6"/>
    <w:rsid w:val="00CD27A3"/>
    <w:rsid w:val="00CD28BF"/>
    <w:rsid w:val="00CD2D88"/>
    <w:rsid w:val="00CD32FB"/>
    <w:rsid w:val="00CD3519"/>
    <w:rsid w:val="00CD3DE7"/>
    <w:rsid w:val="00CD3F06"/>
    <w:rsid w:val="00CD4727"/>
    <w:rsid w:val="00CD4BC5"/>
    <w:rsid w:val="00CD5303"/>
    <w:rsid w:val="00CD569E"/>
    <w:rsid w:val="00CD6F12"/>
    <w:rsid w:val="00CE0376"/>
    <w:rsid w:val="00CE058B"/>
    <w:rsid w:val="00CE1A4C"/>
    <w:rsid w:val="00CE1D4E"/>
    <w:rsid w:val="00CE1E6E"/>
    <w:rsid w:val="00CE22D5"/>
    <w:rsid w:val="00CE25CA"/>
    <w:rsid w:val="00CE27EA"/>
    <w:rsid w:val="00CE3D28"/>
    <w:rsid w:val="00CE3D2C"/>
    <w:rsid w:val="00CE5546"/>
    <w:rsid w:val="00CE5BAC"/>
    <w:rsid w:val="00CE5EC4"/>
    <w:rsid w:val="00CE6406"/>
    <w:rsid w:val="00CE664F"/>
    <w:rsid w:val="00CE6DC2"/>
    <w:rsid w:val="00CE73E6"/>
    <w:rsid w:val="00CE76B2"/>
    <w:rsid w:val="00CF0279"/>
    <w:rsid w:val="00CF04E7"/>
    <w:rsid w:val="00CF0671"/>
    <w:rsid w:val="00CF0E7A"/>
    <w:rsid w:val="00CF0EF3"/>
    <w:rsid w:val="00CF126B"/>
    <w:rsid w:val="00CF1B43"/>
    <w:rsid w:val="00CF22D3"/>
    <w:rsid w:val="00CF2325"/>
    <w:rsid w:val="00CF2986"/>
    <w:rsid w:val="00CF2994"/>
    <w:rsid w:val="00CF2EE6"/>
    <w:rsid w:val="00CF2F41"/>
    <w:rsid w:val="00CF317E"/>
    <w:rsid w:val="00CF333C"/>
    <w:rsid w:val="00CF43FD"/>
    <w:rsid w:val="00CF4A2D"/>
    <w:rsid w:val="00CF4B0F"/>
    <w:rsid w:val="00CF4F67"/>
    <w:rsid w:val="00CF56D5"/>
    <w:rsid w:val="00CF591B"/>
    <w:rsid w:val="00CF793E"/>
    <w:rsid w:val="00D005C1"/>
    <w:rsid w:val="00D0102D"/>
    <w:rsid w:val="00D015B4"/>
    <w:rsid w:val="00D01ABA"/>
    <w:rsid w:val="00D02514"/>
    <w:rsid w:val="00D02A7B"/>
    <w:rsid w:val="00D03667"/>
    <w:rsid w:val="00D04980"/>
    <w:rsid w:val="00D04D8E"/>
    <w:rsid w:val="00D04E87"/>
    <w:rsid w:val="00D05800"/>
    <w:rsid w:val="00D06361"/>
    <w:rsid w:val="00D0651A"/>
    <w:rsid w:val="00D06F7A"/>
    <w:rsid w:val="00D07576"/>
    <w:rsid w:val="00D077B5"/>
    <w:rsid w:val="00D07F03"/>
    <w:rsid w:val="00D10BE7"/>
    <w:rsid w:val="00D10EE7"/>
    <w:rsid w:val="00D119BC"/>
    <w:rsid w:val="00D11A1F"/>
    <w:rsid w:val="00D11E56"/>
    <w:rsid w:val="00D1243F"/>
    <w:rsid w:val="00D129D9"/>
    <w:rsid w:val="00D130F6"/>
    <w:rsid w:val="00D13A68"/>
    <w:rsid w:val="00D13CDC"/>
    <w:rsid w:val="00D1595E"/>
    <w:rsid w:val="00D16A1B"/>
    <w:rsid w:val="00D16EA3"/>
    <w:rsid w:val="00D16FEB"/>
    <w:rsid w:val="00D2007F"/>
    <w:rsid w:val="00D21032"/>
    <w:rsid w:val="00D212E4"/>
    <w:rsid w:val="00D214BB"/>
    <w:rsid w:val="00D21E39"/>
    <w:rsid w:val="00D22175"/>
    <w:rsid w:val="00D22F78"/>
    <w:rsid w:val="00D23091"/>
    <w:rsid w:val="00D24393"/>
    <w:rsid w:val="00D243A6"/>
    <w:rsid w:val="00D246ED"/>
    <w:rsid w:val="00D24AEC"/>
    <w:rsid w:val="00D24FDE"/>
    <w:rsid w:val="00D26889"/>
    <w:rsid w:val="00D26D63"/>
    <w:rsid w:val="00D278AC"/>
    <w:rsid w:val="00D27A2A"/>
    <w:rsid w:val="00D27D45"/>
    <w:rsid w:val="00D27DEF"/>
    <w:rsid w:val="00D27E42"/>
    <w:rsid w:val="00D30784"/>
    <w:rsid w:val="00D3189C"/>
    <w:rsid w:val="00D3238C"/>
    <w:rsid w:val="00D329E0"/>
    <w:rsid w:val="00D330AD"/>
    <w:rsid w:val="00D33C6C"/>
    <w:rsid w:val="00D34310"/>
    <w:rsid w:val="00D34D20"/>
    <w:rsid w:val="00D35001"/>
    <w:rsid w:val="00D375ED"/>
    <w:rsid w:val="00D37B07"/>
    <w:rsid w:val="00D40FD5"/>
    <w:rsid w:val="00D41BB4"/>
    <w:rsid w:val="00D42BA9"/>
    <w:rsid w:val="00D433DC"/>
    <w:rsid w:val="00D43ED1"/>
    <w:rsid w:val="00D43FFB"/>
    <w:rsid w:val="00D44D07"/>
    <w:rsid w:val="00D4561A"/>
    <w:rsid w:val="00D45AC8"/>
    <w:rsid w:val="00D46DB8"/>
    <w:rsid w:val="00D47580"/>
    <w:rsid w:val="00D47626"/>
    <w:rsid w:val="00D477B3"/>
    <w:rsid w:val="00D4797B"/>
    <w:rsid w:val="00D51D13"/>
    <w:rsid w:val="00D53C6A"/>
    <w:rsid w:val="00D53E1F"/>
    <w:rsid w:val="00D53EF3"/>
    <w:rsid w:val="00D545B4"/>
    <w:rsid w:val="00D55D1F"/>
    <w:rsid w:val="00D56137"/>
    <w:rsid w:val="00D56181"/>
    <w:rsid w:val="00D567AB"/>
    <w:rsid w:val="00D56F24"/>
    <w:rsid w:val="00D57961"/>
    <w:rsid w:val="00D60744"/>
    <w:rsid w:val="00D60964"/>
    <w:rsid w:val="00D60FAC"/>
    <w:rsid w:val="00D612D5"/>
    <w:rsid w:val="00D613BB"/>
    <w:rsid w:val="00D61E34"/>
    <w:rsid w:val="00D62380"/>
    <w:rsid w:val="00D62569"/>
    <w:rsid w:val="00D62A78"/>
    <w:rsid w:val="00D62BE7"/>
    <w:rsid w:val="00D62C1D"/>
    <w:rsid w:val="00D62E84"/>
    <w:rsid w:val="00D637E2"/>
    <w:rsid w:val="00D6389F"/>
    <w:rsid w:val="00D63D1F"/>
    <w:rsid w:val="00D645D9"/>
    <w:rsid w:val="00D64D77"/>
    <w:rsid w:val="00D652A6"/>
    <w:rsid w:val="00D654F3"/>
    <w:rsid w:val="00D65841"/>
    <w:rsid w:val="00D65FFE"/>
    <w:rsid w:val="00D66065"/>
    <w:rsid w:val="00D66FB0"/>
    <w:rsid w:val="00D67564"/>
    <w:rsid w:val="00D700A7"/>
    <w:rsid w:val="00D707EC"/>
    <w:rsid w:val="00D71124"/>
    <w:rsid w:val="00D71323"/>
    <w:rsid w:val="00D71564"/>
    <w:rsid w:val="00D71846"/>
    <w:rsid w:val="00D719E9"/>
    <w:rsid w:val="00D71F04"/>
    <w:rsid w:val="00D71FD2"/>
    <w:rsid w:val="00D72706"/>
    <w:rsid w:val="00D7271E"/>
    <w:rsid w:val="00D72DF2"/>
    <w:rsid w:val="00D731B4"/>
    <w:rsid w:val="00D73CB7"/>
    <w:rsid w:val="00D745CB"/>
    <w:rsid w:val="00D74653"/>
    <w:rsid w:val="00D74BEB"/>
    <w:rsid w:val="00D7560D"/>
    <w:rsid w:val="00D76220"/>
    <w:rsid w:val="00D7655D"/>
    <w:rsid w:val="00D77815"/>
    <w:rsid w:val="00D80765"/>
    <w:rsid w:val="00D8092B"/>
    <w:rsid w:val="00D81132"/>
    <w:rsid w:val="00D81661"/>
    <w:rsid w:val="00D81EFA"/>
    <w:rsid w:val="00D820A9"/>
    <w:rsid w:val="00D825FB"/>
    <w:rsid w:val="00D83103"/>
    <w:rsid w:val="00D83A12"/>
    <w:rsid w:val="00D83B70"/>
    <w:rsid w:val="00D84037"/>
    <w:rsid w:val="00D84452"/>
    <w:rsid w:val="00D847A2"/>
    <w:rsid w:val="00D85648"/>
    <w:rsid w:val="00D86CC0"/>
    <w:rsid w:val="00D86DCF"/>
    <w:rsid w:val="00D87067"/>
    <w:rsid w:val="00D90231"/>
    <w:rsid w:val="00D90727"/>
    <w:rsid w:val="00D909DE"/>
    <w:rsid w:val="00D91F01"/>
    <w:rsid w:val="00D927D1"/>
    <w:rsid w:val="00D930A9"/>
    <w:rsid w:val="00D95083"/>
    <w:rsid w:val="00D95E78"/>
    <w:rsid w:val="00D95F76"/>
    <w:rsid w:val="00D962F8"/>
    <w:rsid w:val="00D96544"/>
    <w:rsid w:val="00D96785"/>
    <w:rsid w:val="00D96961"/>
    <w:rsid w:val="00D96BB3"/>
    <w:rsid w:val="00D96C4F"/>
    <w:rsid w:val="00D976AB"/>
    <w:rsid w:val="00D97BDA"/>
    <w:rsid w:val="00DA0342"/>
    <w:rsid w:val="00DA0875"/>
    <w:rsid w:val="00DA0C9B"/>
    <w:rsid w:val="00DA0CA5"/>
    <w:rsid w:val="00DA1DEF"/>
    <w:rsid w:val="00DA26E1"/>
    <w:rsid w:val="00DA32CD"/>
    <w:rsid w:val="00DA5422"/>
    <w:rsid w:val="00DA5639"/>
    <w:rsid w:val="00DA5D5A"/>
    <w:rsid w:val="00DA6194"/>
    <w:rsid w:val="00DA7120"/>
    <w:rsid w:val="00DA72AA"/>
    <w:rsid w:val="00DB0062"/>
    <w:rsid w:val="00DB0944"/>
    <w:rsid w:val="00DB0BDF"/>
    <w:rsid w:val="00DB1352"/>
    <w:rsid w:val="00DB162C"/>
    <w:rsid w:val="00DB2456"/>
    <w:rsid w:val="00DB3025"/>
    <w:rsid w:val="00DB3464"/>
    <w:rsid w:val="00DB3838"/>
    <w:rsid w:val="00DB3901"/>
    <w:rsid w:val="00DB405C"/>
    <w:rsid w:val="00DB5BE8"/>
    <w:rsid w:val="00DB5CF8"/>
    <w:rsid w:val="00DB7015"/>
    <w:rsid w:val="00DC0D62"/>
    <w:rsid w:val="00DC0F18"/>
    <w:rsid w:val="00DC1203"/>
    <w:rsid w:val="00DC1F46"/>
    <w:rsid w:val="00DC25BC"/>
    <w:rsid w:val="00DC2A26"/>
    <w:rsid w:val="00DC35F2"/>
    <w:rsid w:val="00DC3A01"/>
    <w:rsid w:val="00DC4EA5"/>
    <w:rsid w:val="00DC4EB3"/>
    <w:rsid w:val="00DC5AC4"/>
    <w:rsid w:val="00DC5F67"/>
    <w:rsid w:val="00DC6120"/>
    <w:rsid w:val="00DC686F"/>
    <w:rsid w:val="00DC7504"/>
    <w:rsid w:val="00DC7B23"/>
    <w:rsid w:val="00DD0037"/>
    <w:rsid w:val="00DD06BE"/>
    <w:rsid w:val="00DD0F63"/>
    <w:rsid w:val="00DD122A"/>
    <w:rsid w:val="00DD20A0"/>
    <w:rsid w:val="00DD262F"/>
    <w:rsid w:val="00DD27DA"/>
    <w:rsid w:val="00DD2972"/>
    <w:rsid w:val="00DD2ACF"/>
    <w:rsid w:val="00DD2DB9"/>
    <w:rsid w:val="00DD3567"/>
    <w:rsid w:val="00DD3990"/>
    <w:rsid w:val="00DD3F03"/>
    <w:rsid w:val="00DD4341"/>
    <w:rsid w:val="00DD4C16"/>
    <w:rsid w:val="00DD4CCA"/>
    <w:rsid w:val="00DD6158"/>
    <w:rsid w:val="00DD713B"/>
    <w:rsid w:val="00DD7F04"/>
    <w:rsid w:val="00DE0188"/>
    <w:rsid w:val="00DE079A"/>
    <w:rsid w:val="00DE0D48"/>
    <w:rsid w:val="00DE1232"/>
    <w:rsid w:val="00DE1DE6"/>
    <w:rsid w:val="00DE2130"/>
    <w:rsid w:val="00DE2554"/>
    <w:rsid w:val="00DE265C"/>
    <w:rsid w:val="00DE2DD5"/>
    <w:rsid w:val="00DE3AD2"/>
    <w:rsid w:val="00DE548A"/>
    <w:rsid w:val="00DE552D"/>
    <w:rsid w:val="00DE5639"/>
    <w:rsid w:val="00DE5A37"/>
    <w:rsid w:val="00DE5ADE"/>
    <w:rsid w:val="00DE5DD7"/>
    <w:rsid w:val="00DE5FF6"/>
    <w:rsid w:val="00DE63D9"/>
    <w:rsid w:val="00DE6791"/>
    <w:rsid w:val="00DE6AFC"/>
    <w:rsid w:val="00DE712B"/>
    <w:rsid w:val="00DE7488"/>
    <w:rsid w:val="00DE7976"/>
    <w:rsid w:val="00DE7A23"/>
    <w:rsid w:val="00DE7C27"/>
    <w:rsid w:val="00DF0B36"/>
    <w:rsid w:val="00DF3B46"/>
    <w:rsid w:val="00DF5308"/>
    <w:rsid w:val="00DF5366"/>
    <w:rsid w:val="00DF573E"/>
    <w:rsid w:val="00DF63D6"/>
    <w:rsid w:val="00DF66A0"/>
    <w:rsid w:val="00DF7B23"/>
    <w:rsid w:val="00DF7C8A"/>
    <w:rsid w:val="00E006E9"/>
    <w:rsid w:val="00E009BC"/>
    <w:rsid w:val="00E01480"/>
    <w:rsid w:val="00E022D8"/>
    <w:rsid w:val="00E02F56"/>
    <w:rsid w:val="00E03130"/>
    <w:rsid w:val="00E034D3"/>
    <w:rsid w:val="00E03948"/>
    <w:rsid w:val="00E0417F"/>
    <w:rsid w:val="00E04EC0"/>
    <w:rsid w:val="00E05688"/>
    <w:rsid w:val="00E058ED"/>
    <w:rsid w:val="00E05AEE"/>
    <w:rsid w:val="00E0686C"/>
    <w:rsid w:val="00E069E8"/>
    <w:rsid w:val="00E07029"/>
    <w:rsid w:val="00E074A4"/>
    <w:rsid w:val="00E075DA"/>
    <w:rsid w:val="00E075DE"/>
    <w:rsid w:val="00E07B5C"/>
    <w:rsid w:val="00E10A03"/>
    <w:rsid w:val="00E10B3F"/>
    <w:rsid w:val="00E10C67"/>
    <w:rsid w:val="00E10DFD"/>
    <w:rsid w:val="00E1132D"/>
    <w:rsid w:val="00E116D7"/>
    <w:rsid w:val="00E11DFE"/>
    <w:rsid w:val="00E1220A"/>
    <w:rsid w:val="00E126C1"/>
    <w:rsid w:val="00E127B7"/>
    <w:rsid w:val="00E1299E"/>
    <w:rsid w:val="00E12B97"/>
    <w:rsid w:val="00E12E74"/>
    <w:rsid w:val="00E13222"/>
    <w:rsid w:val="00E1426D"/>
    <w:rsid w:val="00E142C9"/>
    <w:rsid w:val="00E143D6"/>
    <w:rsid w:val="00E14433"/>
    <w:rsid w:val="00E148C3"/>
    <w:rsid w:val="00E14AD2"/>
    <w:rsid w:val="00E154C6"/>
    <w:rsid w:val="00E175EF"/>
    <w:rsid w:val="00E179F2"/>
    <w:rsid w:val="00E17EC4"/>
    <w:rsid w:val="00E20257"/>
    <w:rsid w:val="00E209BB"/>
    <w:rsid w:val="00E2122F"/>
    <w:rsid w:val="00E21A78"/>
    <w:rsid w:val="00E22BE7"/>
    <w:rsid w:val="00E22C68"/>
    <w:rsid w:val="00E23A9C"/>
    <w:rsid w:val="00E23C80"/>
    <w:rsid w:val="00E24038"/>
    <w:rsid w:val="00E25F74"/>
    <w:rsid w:val="00E260D7"/>
    <w:rsid w:val="00E26E66"/>
    <w:rsid w:val="00E27A5C"/>
    <w:rsid w:val="00E3005C"/>
    <w:rsid w:val="00E30715"/>
    <w:rsid w:val="00E309FE"/>
    <w:rsid w:val="00E30CC0"/>
    <w:rsid w:val="00E30E18"/>
    <w:rsid w:val="00E31D80"/>
    <w:rsid w:val="00E324BA"/>
    <w:rsid w:val="00E32867"/>
    <w:rsid w:val="00E33722"/>
    <w:rsid w:val="00E3398C"/>
    <w:rsid w:val="00E34889"/>
    <w:rsid w:val="00E3555B"/>
    <w:rsid w:val="00E3643C"/>
    <w:rsid w:val="00E3673A"/>
    <w:rsid w:val="00E370A0"/>
    <w:rsid w:val="00E37113"/>
    <w:rsid w:val="00E37873"/>
    <w:rsid w:val="00E37B15"/>
    <w:rsid w:val="00E40708"/>
    <w:rsid w:val="00E414B0"/>
    <w:rsid w:val="00E41ABF"/>
    <w:rsid w:val="00E42616"/>
    <w:rsid w:val="00E42963"/>
    <w:rsid w:val="00E42ACD"/>
    <w:rsid w:val="00E42E6B"/>
    <w:rsid w:val="00E43494"/>
    <w:rsid w:val="00E44028"/>
    <w:rsid w:val="00E44748"/>
    <w:rsid w:val="00E44A9F"/>
    <w:rsid w:val="00E44BA3"/>
    <w:rsid w:val="00E44ED9"/>
    <w:rsid w:val="00E45760"/>
    <w:rsid w:val="00E45F37"/>
    <w:rsid w:val="00E46075"/>
    <w:rsid w:val="00E46727"/>
    <w:rsid w:val="00E46873"/>
    <w:rsid w:val="00E47DBA"/>
    <w:rsid w:val="00E47F64"/>
    <w:rsid w:val="00E50304"/>
    <w:rsid w:val="00E503E3"/>
    <w:rsid w:val="00E50C75"/>
    <w:rsid w:val="00E50F7E"/>
    <w:rsid w:val="00E51531"/>
    <w:rsid w:val="00E5173C"/>
    <w:rsid w:val="00E5257C"/>
    <w:rsid w:val="00E528DE"/>
    <w:rsid w:val="00E52961"/>
    <w:rsid w:val="00E52AB9"/>
    <w:rsid w:val="00E52CD3"/>
    <w:rsid w:val="00E5381F"/>
    <w:rsid w:val="00E53BE9"/>
    <w:rsid w:val="00E56874"/>
    <w:rsid w:val="00E56B62"/>
    <w:rsid w:val="00E572EB"/>
    <w:rsid w:val="00E57EB5"/>
    <w:rsid w:val="00E6011B"/>
    <w:rsid w:val="00E6028A"/>
    <w:rsid w:val="00E60D31"/>
    <w:rsid w:val="00E6129C"/>
    <w:rsid w:val="00E618C1"/>
    <w:rsid w:val="00E622D9"/>
    <w:rsid w:val="00E6230D"/>
    <w:rsid w:val="00E62926"/>
    <w:rsid w:val="00E636A4"/>
    <w:rsid w:val="00E63D3B"/>
    <w:rsid w:val="00E6471F"/>
    <w:rsid w:val="00E65340"/>
    <w:rsid w:val="00E65810"/>
    <w:rsid w:val="00E658A4"/>
    <w:rsid w:val="00E65A69"/>
    <w:rsid w:val="00E65B78"/>
    <w:rsid w:val="00E65E70"/>
    <w:rsid w:val="00E660E6"/>
    <w:rsid w:val="00E663F0"/>
    <w:rsid w:val="00E665BE"/>
    <w:rsid w:val="00E66779"/>
    <w:rsid w:val="00E70A6C"/>
    <w:rsid w:val="00E70E5F"/>
    <w:rsid w:val="00E7286F"/>
    <w:rsid w:val="00E73105"/>
    <w:rsid w:val="00E735EC"/>
    <w:rsid w:val="00E746C7"/>
    <w:rsid w:val="00E748AA"/>
    <w:rsid w:val="00E75193"/>
    <w:rsid w:val="00E75718"/>
    <w:rsid w:val="00E75DFD"/>
    <w:rsid w:val="00E76B52"/>
    <w:rsid w:val="00E80973"/>
    <w:rsid w:val="00E80CDC"/>
    <w:rsid w:val="00E8243F"/>
    <w:rsid w:val="00E828C5"/>
    <w:rsid w:val="00E8385C"/>
    <w:rsid w:val="00E83D80"/>
    <w:rsid w:val="00E8408C"/>
    <w:rsid w:val="00E843ED"/>
    <w:rsid w:val="00E84E8C"/>
    <w:rsid w:val="00E85181"/>
    <w:rsid w:val="00E85777"/>
    <w:rsid w:val="00E871F7"/>
    <w:rsid w:val="00E87255"/>
    <w:rsid w:val="00E875E3"/>
    <w:rsid w:val="00E8791F"/>
    <w:rsid w:val="00E87A97"/>
    <w:rsid w:val="00E87D4D"/>
    <w:rsid w:val="00E92C70"/>
    <w:rsid w:val="00E9337F"/>
    <w:rsid w:val="00E9362C"/>
    <w:rsid w:val="00E93644"/>
    <w:rsid w:val="00E951D6"/>
    <w:rsid w:val="00E9540E"/>
    <w:rsid w:val="00E955E0"/>
    <w:rsid w:val="00E9568D"/>
    <w:rsid w:val="00E96290"/>
    <w:rsid w:val="00E963F0"/>
    <w:rsid w:val="00E9742B"/>
    <w:rsid w:val="00EA0348"/>
    <w:rsid w:val="00EA07E7"/>
    <w:rsid w:val="00EA1D96"/>
    <w:rsid w:val="00EA23A9"/>
    <w:rsid w:val="00EA2968"/>
    <w:rsid w:val="00EA3010"/>
    <w:rsid w:val="00EA309D"/>
    <w:rsid w:val="00EA4559"/>
    <w:rsid w:val="00EA45C2"/>
    <w:rsid w:val="00EA4750"/>
    <w:rsid w:val="00EA4A1A"/>
    <w:rsid w:val="00EA5115"/>
    <w:rsid w:val="00EA5207"/>
    <w:rsid w:val="00EA5D32"/>
    <w:rsid w:val="00EA5FAF"/>
    <w:rsid w:val="00EA6294"/>
    <w:rsid w:val="00EA62D1"/>
    <w:rsid w:val="00EA6562"/>
    <w:rsid w:val="00EA6E20"/>
    <w:rsid w:val="00EA73F0"/>
    <w:rsid w:val="00EA7D60"/>
    <w:rsid w:val="00EB07B0"/>
    <w:rsid w:val="00EB0E62"/>
    <w:rsid w:val="00EB2125"/>
    <w:rsid w:val="00EB288E"/>
    <w:rsid w:val="00EB3E0B"/>
    <w:rsid w:val="00EB4B7A"/>
    <w:rsid w:val="00EB52D9"/>
    <w:rsid w:val="00EB5AFE"/>
    <w:rsid w:val="00EB5B02"/>
    <w:rsid w:val="00EB657E"/>
    <w:rsid w:val="00EB65FB"/>
    <w:rsid w:val="00EC0056"/>
    <w:rsid w:val="00EC0721"/>
    <w:rsid w:val="00EC0CEE"/>
    <w:rsid w:val="00EC1F24"/>
    <w:rsid w:val="00EC2D81"/>
    <w:rsid w:val="00EC2EC7"/>
    <w:rsid w:val="00EC33DE"/>
    <w:rsid w:val="00EC3C5E"/>
    <w:rsid w:val="00EC3CBF"/>
    <w:rsid w:val="00EC3EB4"/>
    <w:rsid w:val="00EC4E35"/>
    <w:rsid w:val="00EC51F8"/>
    <w:rsid w:val="00EC6152"/>
    <w:rsid w:val="00EC66FC"/>
    <w:rsid w:val="00EC792E"/>
    <w:rsid w:val="00EC7D80"/>
    <w:rsid w:val="00ED0AD1"/>
    <w:rsid w:val="00ED10BC"/>
    <w:rsid w:val="00ED1412"/>
    <w:rsid w:val="00ED17BE"/>
    <w:rsid w:val="00ED22F7"/>
    <w:rsid w:val="00ED39AA"/>
    <w:rsid w:val="00ED43AD"/>
    <w:rsid w:val="00ED43FE"/>
    <w:rsid w:val="00ED5B02"/>
    <w:rsid w:val="00ED65BF"/>
    <w:rsid w:val="00ED6721"/>
    <w:rsid w:val="00ED6884"/>
    <w:rsid w:val="00ED6A63"/>
    <w:rsid w:val="00ED6D78"/>
    <w:rsid w:val="00ED79DC"/>
    <w:rsid w:val="00EE1227"/>
    <w:rsid w:val="00EE19DB"/>
    <w:rsid w:val="00EE19DF"/>
    <w:rsid w:val="00EE1F78"/>
    <w:rsid w:val="00EE2008"/>
    <w:rsid w:val="00EE2013"/>
    <w:rsid w:val="00EE20DC"/>
    <w:rsid w:val="00EE25B9"/>
    <w:rsid w:val="00EE2CA0"/>
    <w:rsid w:val="00EE32EE"/>
    <w:rsid w:val="00EE3FB2"/>
    <w:rsid w:val="00EE4036"/>
    <w:rsid w:val="00EE42F9"/>
    <w:rsid w:val="00EE43C4"/>
    <w:rsid w:val="00EE49F9"/>
    <w:rsid w:val="00EE4C2E"/>
    <w:rsid w:val="00EE4F10"/>
    <w:rsid w:val="00EE5387"/>
    <w:rsid w:val="00EE5856"/>
    <w:rsid w:val="00EE5F46"/>
    <w:rsid w:val="00EE616A"/>
    <w:rsid w:val="00EE620B"/>
    <w:rsid w:val="00EE65FC"/>
    <w:rsid w:val="00EE6BB9"/>
    <w:rsid w:val="00EE6F22"/>
    <w:rsid w:val="00EE78E9"/>
    <w:rsid w:val="00EE7BB0"/>
    <w:rsid w:val="00EE7DB0"/>
    <w:rsid w:val="00EF1255"/>
    <w:rsid w:val="00EF1A3A"/>
    <w:rsid w:val="00EF1DDA"/>
    <w:rsid w:val="00EF2BB0"/>
    <w:rsid w:val="00EF323B"/>
    <w:rsid w:val="00EF3CF0"/>
    <w:rsid w:val="00EF424B"/>
    <w:rsid w:val="00EF4772"/>
    <w:rsid w:val="00EF6894"/>
    <w:rsid w:val="00EF6B70"/>
    <w:rsid w:val="00EF6E69"/>
    <w:rsid w:val="00F0089E"/>
    <w:rsid w:val="00F00A67"/>
    <w:rsid w:val="00F00D01"/>
    <w:rsid w:val="00F01A96"/>
    <w:rsid w:val="00F02910"/>
    <w:rsid w:val="00F0339E"/>
    <w:rsid w:val="00F0371B"/>
    <w:rsid w:val="00F04734"/>
    <w:rsid w:val="00F04995"/>
    <w:rsid w:val="00F04AE3"/>
    <w:rsid w:val="00F04B46"/>
    <w:rsid w:val="00F0618A"/>
    <w:rsid w:val="00F064E1"/>
    <w:rsid w:val="00F06A78"/>
    <w:rsid w:val="00F06AEF"/>
    <w:rsid w:val="00F07309"/>
    <w:rsid w:val="00F073B1"/>
    <w:rsid w:val="00F07754"/>
    <w:rsid w:val="00F07D7A"/>
    <w:rsid w:val="00F10B4A"/>
    <w:rsid w:val="00F113AF"/>
    <w:rsid w:val="00F128E6"/>
    <w:rsid w:val="00F1290E"/>
    <w:rsid w:val="00F129B7"/>
    <w:rsid w:val="00F12C3A"/>
    <w:rsid w:val="00F12D69"/>
    <w:rsid w:val="00F12DE6"/>
    <w:rsid w:val="00F12F4A"/>
    <w:rsid w:val="00F13439"/>
    <w:rsid w:val="00F1369F"/>
    <w:rsid w:val="00F13857"/>
    <w:rsid w:val="00F13B74"/>
    <w:rsid w:val="00F13DF6"/>
    <w:rsid w:val="00F1426F"/>
    <w:rsid w:val="00F14ED3"/>
    <w:rsid w:val="00F15A50"/>
    <w:rsid w:val="00F15A55"/>
    <w:rsid w:val="00F16791"/>
    <w:rsid w:val="00F179E9"/>
    <w:rsid w:val="00F17E1B"/>
    <w:rsid w:val="00F2033F"/>
    <w:rsid w:val="00F2074F"/>
    <w:rsid w:val="00F20E78"/>
    <w:rsid w:val="00F21DE4"/>
    <w:rsid w:val="00F23182"/>
    <w:rsid w:val="00F23187"/>
    <w:rsid w:val="00F23351"/>
    <w:rsid w:val="00F23595"/>
    <w:rsid w:val="00F23A92"/>
    <w:rsid w:val="00F23C79"/>
    <w:rsid w:val="00F23DB8"/>
    <w:rsid w:val="00F23F71"/>
    <w:rsid w:val="00F24298"/>
    <w:rsid w:val="00F24DE4"/>
    <w:rsid w:val="00F262EC"/>
    <w:rsid w:val="00F269B5"/>
    <w:rsid w:val="00F27F89"/>
    <w:rsid w:val="00F30DF8"/>
    <w:rsid w:val="00F31AD5"/>
    <w:rsid w:val="00F32BBD"/>
    <w:rsid w:val="00F32C39"/>
    <w:rsid w:val="00F33900"/>
    <w:rsid w:val="00F3464D"/>
    <w:rsid w:val="00F34B6D"/>
    <w:rsid w:val="00F34CDD"/>
    <w:rsid w:val="00F350B1"/>
    <w:rsid w:val="00F3590E"/>
    <w:rsid w:val="00F35EC5"/>
    <w:rsid w:val="00F36442"/>
    <w:rsid w:val="00F36580"/>
    <w:rsid w:val="00F36794"/>
    <w:rsid w:val="00F3769A"/>
    <w:rsid w:val="00F37DE2"/>
    <w:rsid w:val="00F406BD"/>
    <w:rsid w:val="00F4132D"/>
    <w:rsid w:val="00F41C72"/>
    <w:rsid w:val="00F422F7"/>
    <w:rsid w:val="00F42A39"/>
    <w:rsid w:val="00F4376A"/>
    <w:rsid w:val="00F437DE"/>
    <w:rsid w:val="00F441F7"/>
    <w:rsid w:val="00F456F8"/>
    <w:rsid w:val="00F4646E"/>
    <w:rsid w:val="00F46475"/>
    <w:rsid w:val="00F469C1"/>
    <w:rsid w:val="00F4712B"/>
    <w:rsid w:val="00F47F27"/>
    <w:rsid w:val="00F5053B"/>
    <w:rsid w:val="00F507E3"/>
    <w:rsid w:val="00F50FA0"/>
    <w:rsid w:val="00F50FBF"/>
    <w:rsid w:val="00F511F0"/>
    <w:rsid w:val="00F51752"/>
    <w:rsid w:val="00F518C8"/>
    <w:rsid w:val="00F5214B"/>
    <w:rsid w:val="00F521CC"/>
    <w:rsid w:val="00F522EA"/>
    <w:rsid w:val="00F5290C"/>
    <w:rsid w:val="00F52AAF"/>
    <w:rsid w:val="00F53603"/>
    <w:rsid w:val="00F53A69"/>
    <w:rsid w:val="00F5456F"/>
    <w:rsid w:val="00F54F1E"/>
    <w:rsid w:val="00F55026"/>
    <w:rsid w:val="00F55892"/>
    <w:rsid w:val="00F55C0A"/>
    <w:rsid w:val="00F56514"/>
    <w:rsid w:val="00F56A12"/>
    <w:rsid w:val="00F56C04"/>
    <w:rsid w:val="00F57434"/>
    <w:rsid w:val="00F575D3"/>
    <w:rsid w:val="00F60DF9"/>
    <w:rsid w:val="00F611AE"/>
    <w:rsid w:val="00F611B4"/>
    <w:rsid w:val="00F6126A"/>
    <w:rsid w:val="00F61A1C"/>
    <w:rsid w:val="00F61D1B"/>
    <w:rsid w:val="00F621BF"/>
    <w:rsid w:val="00F622C3"/>
    <w:rsid w:val="00F62BDD"/>
    <w:rsid w:val="00F6349A"/>
    <w:rsid w:val="00F64F3A"/>
    <w:rsid w:val="00F6572C"/>
    <w:rsid w:val="00F65C47"/>
    <w:rsid w:val="00F66953"/>
    <w:rsid w:val="00F66E0C"/>
    <w:rsid w:val="00F671BA"/>
    <w:rsid w:val="00F671C9"/>
    <w:rsid w:val="00F7065F"/>
    <w:rsid w:val="00F70D39"/>
    <w:rsid w:val="00F70E1C"/>
    <w:rsid w:val="00F70E78"/>
    <w:rsid w:val="00F71246"/>
    <w:rsid w:val="00F716AF"/>
    <w:rsid w:val="00F72641"/>
    <w:rsid w:val="00F7308B"/>
    <w:rsid w:val="00F7312C"/>
    <w:rsid w:val="00F73757"/>
    <w:rsid w:val="00F73C7C"/>
    <w:rsid w:val="00F73CB4"/>
    <w:rsid w:val="00F742CD"/>
    <w:rsid w:val="00F744D2"/>
    <w:rsid w:val="00F74585"/>
    <w:rsid w:val="00F745F4"/>
    <w:rsid w:val="00F74FE3"/>
    <w:rsid w:val="00F7587E"/>
    <w:rsid w:val="00F758D4"/>
    <w:rsid w:val="00F75FD8"/>
    <w:rsid w:val="00F7610B"/>
    <w:rsid w:val="00F7625E"/>
    <w:rsid w:val="00F76DBB"/>
    <w:rsid w:val="00F77746"/>
    <w:rsid w:val="00F80381"/>
    <w:rsid w:val="00F805E9"/>
    <w:rsid w:val="00F80DAF"/>
    <w:rsid w:val="00F814B9"/>
    <w:rsid w:val="00F831E2"/>
    <w:rsid w:val="00F831F1"/>
    <w:rsid w:val="00F83BFC"/>
    <w:rsid w:val="00F847B9"/>
    <w:rsid w:val="00F85BC2"/>
    <w:rsid w:val="00F85FD4"/>
    <w:rsid w:val="00F86A87"/>
    <w:rsid w:val="00F86DFC"/>
    <w:rsid w:val="00F8732F"/>
    <w:rsid w:val="00F878AF"/>
    <w:rsid w:val="00F90078"/>
    <w:rsid w:val="00F90264"/>
    <w:rsid w:val="00F90567"/>
    <w:rsid w:val="00F90AA5"/>
    <w:rsid w:val="00F90B42"/>
    <w:rsid w:val="00F91193"/>
    <w:rsid w:val="00F91310"/>
    <w:rsid w:val="00F91783"/>
    <w:rsid w:val="00F91850"/>
    <w:rsid w:val="00F9190E"/>
    <w:rsid w:val="00F91F11"/>
    <w:rsid w:val="00F91F2D"/>
    <w:rsid w:val="00F921AF"/>
    <w:rsid w:val="00F925B6"/>
    <w:rsid w:val="00F92640"/>
    <w:rsid w:val="00F92667"/>
    <w:rsid w:val="00F926C4"/>
    <w:rsid w:val="00F93109"/>
    <w:rsid w:val="00F93369"/>
    <w:rsid w:val="00F93B59"/>
    <w:rsid w:val="00F958E9"/>
    <w:rsid w:val="00F95B11"/>
    <w:rsid w:val="00F96C6B"/>
    <w:rsid w:val="00F97507"/>
    <w:rsid w:val="00F9799E"/>
    <w:rsid w:val="00F97AAC"/>
    <w:rsid w:val="00FA0429"/>
    <w:rsid w:val="00FA0874"/>
    <w:rsid w:val="00FA13A3"/>
    <w:rsid w:val="00FA175F"/>
    <w:rsid w:val="00FA180E"/>
    <w:rsid w:val="00FA27C0"/>
    <w:rsid w:val="00FA2E58"/>
    <w:rsid w:val="00FA2EED"/>
    <w:rsid w:val="00FA3947"/>
    <w:rsid w:val="00FA421D"/>
    <w:rsid w:val="00FA4F28"/>
    <w:rsid w:val="00FA6713"/>
    <w:rsid w:val="00FA6CD8"/>
    <w:rsid w:val="00FA74B1"/>
    <w:rsid w:val="00FA7C70"/>
    <w:rsid w:val="00FA7DA0"/>
    <w:rsid w:val="00FB0114"/>
    <w:rsid w:val="00FB0528"/>
    <w:rsid w:val="00FB07B6"/>
    <w:rsid w:val="00FB0E64"/>
    <w:rsid w:val="00FB13AC"/>
    <w:rsid w:val="00FB18A6"/>
    <w:rsid w:val="00FB25FF"/>
    <w:rsid w:val="00FB324C"/>
    <w:rsid w:val="00FB3564"/>
    <w:rsid w:val="00FB38AD"/>
    <w:rsid w:val="00FB3CEC"/>
    <w:rsid w:val="00FB3FB1"/>
    <w:rsid w:val="00FB410D"/>
    <w:rsid w:val="00FB42C0"/>
    <w:rsid w:val="00FB57F5"/>
    <w:rsid w:val="00FB59DE"/>
    <w:rsid w:val="00FB5BDC"/>
    <w:rsid w:val="00FB6C80"/>
    <w:rsid w:val="00FB737B"/>
    <w:rsid w:val="00FB7B9F"/>
    <w:rsid w:val="00FC02DF"/>
    <w:rsid w:val="00FC17BF"/>
    <w:rsid w:val="00FC28D6"/>
    <w:rsid w:val="00FC28E1"/>
    <w:rsid w:val="00FC2C15"/>
    <w:rsid w:val="00FC2C9C"/>
    <w:rsid w:val="00FC2CBA"/>
    <w:rsid w:val="00FC347C"/>
    <w:rsid w:val="00FC3668"/>
    <w:rsid w:val="00FC36FF"/>
    <w:rsid w:val="00FC3776"/>
    <w:rsid w:val="00FC3831"/>
    <w:rsid w:val="00FC415C"/>
    <w:rsid w:val="00FC45C2"/>
    <w:rsid w:val="00FC4BDE"/>
    <w:rsid w:val="00FC561F"/>
    <w:rsid w:val="00FC63FD"/>
    <w:rsid w:val="00FC65F8"/>
    <w:rsid w:val="00FD00E0"/>
    <w:rsid w:val="00FD0482"/>
    <w:rsid w:val="00FD09C7"/>
    <w:rsid w:val="00FD0AF1"/>
    <w:rsid w:val="00FD1D69"/>
    <w:rsid w:val="00FD2437"/>
    <w:rsid w:val="00FD2461"/>
    <w:rsid w:val="00FD2871"/>
    <w:rsid w:val="00FD28BF"/>
    <w:rsid w:val="00FD2937"/>
    <w:rsid w:val="00FD3050"/>
    <w:rsid w:val="00FD3208"/>
    <w:rsid w:val="00FD3475"/>
    <w:rsid w:val="00FD34BA"/>
    <w:rsid w:val="00FD57B1"/>
    <w:rsid w:val="00FD5EAC"/>
    <w:rsid w:val="00FD64DE"/>
    <w:rsid w:val="00FD6558"/>
    <w:rsid w:val="00FD6739"/>
    <w:rsid w:val="00FD67AC"/>
    <w:rsid w:val="00FD7027"/>
    <w:rsid w:val="00FD73BF"/>
    <w:rsid w:val="00FD7CE6"/>
    <w:rsid w:val="00FD7CF6"/>
    <w:rsid w:val="00FE11C3"/>
    <w:rsid w:val="00FE1674"/>
    <w:rsid w:val="00FE17F9"/>
    <w:rsid w:val="00FE25AB"/>
    <w:rsid w:val="00FE2B6B"/>
    <w:rsid w:val="00FE2F4E"/>
    <w:rsid w:val="00FE41BF"/>
    <w:rsid w:val="00FE4802"/>
    <w:rsid w:val="00FE4B78"/>
    <w:rsid w:val="00FE5DB8"/>
    <w:rsid w:val="00FE6290"/>
    <w:rsid w:val="00FE671B"/>
    <w:rsid w:val="00FE68EF"/>
    <w:rsid w:val="00FE712D"/>
    <w:rsid w:val="00FE79AC"/>
    <w:rsid w:val="00FE7C3C"/>
    <w:rsid w:val="00FF2633"/>
    <w:rsid w:val="00FF3152"/>
    <w:rsid w:val="00FF35DC"/>
    <w:rsid w:val="00FF4757"/>
    <w:rsid w:val="00FF4A1E"/>
    <w:rsid w:val="00FF55C5"/>
    <w:rsid w:val="00FF5DCE"/>
    <w:rsid w:val="00FF6329"/>
    <w:rsid w:val="00FF6930"/>
    <w:rsid w:val="00FF79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508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uiPriority w:val="99"/>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390B03"/>
    <w:pPr>
      <w:spacing w:before="100" w:beforeAutospacing="1" w:after="100" w:afterAutospacing="1"/>
    </w:pPr>
    <w:rPr>
      <w:lang w:val="en-US" w:eastAsia="en-US"/>
    </w:rPr>
  </w:style>
  <w:style w:type="paragraph" w:customStyle="1" w:styleId="tvhtml">
    <w:name w:val="tv_html"/>
    <w:basedOn w:val="Normal"/>
    <w:rsid w:val="00C309B9"/>
    <w:pPr>
      <w:spacing w:before="100" w:beforeAutospacing="1" w:after="100" w:afterAutospacing="1"/>
    </w:pPr>
    <w:rPr>
      <w:lang w:val="en-US" w:eastAsia="en-US"/>
    </w:rPr>
  </w:style>
  <w:style w:type="paragraph" w:customStyle="1" w:styleId="Bezatstarpm1">
    <w:name w:val="Bez atstarpēm1"/>
    <w:uiPriority w:val="1"/>
    <w:qFormat/>
    <w:rsid w:val="0038565A"/>
    <w:rPr>
      <w:rFonts w:eastAsia="Times New Roman"/>
      <w:sz w:val="22"/>
      <w:szCs w:val="22"/>
    </w:rPr>
  </w:style>
  <w:style w:type="paragraph" w:customStyle="1" w:styleId="CM4">
    <w:name w:val="CM4"/>
    <w:basedOn w:val="Normal"/>
    <w:next w:val="Normal"/>
    <w:uiPriority w:val="99"/>
    <w:rsid w:val="006F649A"/>
    <w:pPr>
      <w:autoSpaceDE w:val="0"/>
      <w:autoSpaceDN w:val="0"/>
      <w:adjustRightInd w:val="0"/>
    </w:pPr>
    <w:rPr>
      <w:rFonts w:ascii="EUAlbertina" w:hAnsi="EUAlbertina"/>
    </w:rPr>
  </w:style>
  <w:style w:type="paragraph" w:styleId="BodyText2">
    <w:name w:val="Body Text 2"/>
    <w:basedOn w:val="Normal"/>
    <w:link w:val="BodyText2Char"/>
    <w:uiPriority w:val="99"/>
    <w:rsid w:val="00B26190"/>
    <w:pPr>
      <w:spacing w:after="120" w:line="480" w:lineRule="auto"/>
    </w:pPr>
  </w:style>
  <w:style w:type="character" w:customStyle="1" w:styleId="BodyText2Char">
    <w:name w:val="Body Text 2 Char"/>
    <w:basedOn w:val="DefaultParagraphFont"/>
    <w:link w:val="BodyText2"/>
    <w:uiPriority w:val="99"/>
    <w:rsid w:val="00B26190"/>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5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55F57"/>
    <w:rPr>
      <w:rFonts w:ascii="Courier New" w:eastAsia="Times New Roman" w:hAnsi="Courier New" w:cs="Courier New"/>
      <w:lang w:val="en-US" w:eastAsia="en-US"/>
    </w:rPr>
  </w:style>
  <w:style w:type="character" w:customStyle="1" w:styleId="grame">
    <w:name w:val="grame"/>
    <w:basedOn w:val="DefaultParagraphFont"/>
    <w:rsid w:val="0067141D"/>
    <w:rPr>
      <w:rFonts w:cs="Times New Roman"/>
    </w:rPr>
  </w:style>
  <w:style w:type="character" w:customStyle="1" w:styleId="Heading4Char">
    <w:name w:val="Heading 4 Char"/>
    <w:basedOn w:val="DefaultParagraphFont"/>
    <w:link w:val="Heading4"/>
    <w:uiPriority w:val="9"/>
    <w:rsid w:val="008508F1"/>
    <w:rPr>
      <w:rFonts w:ascii="Cambria" w:eastAsia="Times New Roman" w:hAnsi="Cambria" w:cs="Times New Roman"/>
      <w:b/>
      <w:bCs/>
      <w:i/>
      <w:iCs/>
      <w:color w:val="4F81BD"/>
      <w:sz w:val="24"/>
      <w:szCs w:val="24"/>
    </w:rPr>
  </w:style>
  <w:style w:type="paragraph" w:customStyle="1" w:styleId="input">
    <w:name w:val="input"/>
    <w:basedOn w:val="Normal"/>
    <w:uiPriority w:val="99"/>
    <w:rsid w:val="00A86AE5"/>
    <w:pPr>
      <w:shd w:val="clear" w:color="auto" w:fill="F0F8F8"/>
      <w:spacing w:before="100" w:beforeAutospacing="1" w:after="100" w:afterAutospacing="1"/>
    </w:pPr>
    <w:rPr>
      <w:rFonts w:ascii="Arial" w:hAnsi="Arial" w:cs="Arial"/>
      <w:color w:val="333333"/>
    </w:rPr>
  </w:style>
  <w:style w:type="character" w:styleId="FootnoteReference">
    <w:name w:val="footnote reference"/>
    <w:uiPriority w:val="99"/>
    <w:unhideWhenUsed/>
    <w:rsid w:val="0050706D"/>
    <w:rPr>
      <w:vertAlign w:val="superscript"/>
    </w:rPr>
  </w:style>
  <w:style w:type="character" w:customStyle="1" w:styleId="NormalWebChar">
    <w:name w:val="Normal (Web) Char"/>
    <w:basedOn w:val="DefaultParagraphFont"/>
    <w:link w:val="NormalWeb"/>
    <w:locked/>
    <w:rsid w:val="000E4D70"/>
    <w:rPr>
      <w:rFonts w:ascii="Times New Roman" w:eastAsia="Times New Roman" w:hAnsi="Times New Roman"/>
      <w:sz w:val="24"/>
      <w:szCs w:val="24"/>
      <w:lang w:val="lv-LV" w:eastAsia="lv-LV"/>
    </w:rPr>
  </w:style>
  <w:style w:type="character" w:styleId="Strong">
    <w:name w:val="Strong"/>
    <w:basedOn w:val="DefaultParagraphFont"/>
    <w:qFormat/>
    <w:rsid w:val="00FC415C"/>
    <w:rPr>
      <w:b/>
      <w:bCs/>
    </w:rPr>
  </w:style>
  <w:style w:type="character" w:customStyle="1" w:styleId="NoSpacingChar">
    <w:name w:val="No Spacing Char"/>
    <w:link w:val="NoSpacing"/>
    <w:uiPriority w:val="1"/>
    <w:rsid w:val="004917AE"/>
    <w:rPr>
      <w:sz w:val="22"/>
      <w:szCs w:val="22"/>
    </w:rPr>
  </w:style>
  <w:style w:type="paragraph" w:customStyle="1" w:styleId="Heading1Agency">
    <w:name w:val="Heading 1 (Agency)"/>
    <w:basedOn w:val="Normal"/>
    <w:next w:val="Normal"/>
    <w:qFormat/>
    <w:rsid w:val="00A47F25"/>
    <w:pPr>
      <w:keepNext/>
      <w:numPr>
        <w:numId w:val="9"/>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Normal"/>
    <w:qFormat/>
    <w:rsid w:val="00A47F25"/>
    <w:pPr>
      <w:keepNext/>
      <w:numPr>
        <w:ilvl w:val="1"/>
        <w:numId w:val="9"/>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Normal"/>
    <w:qFormat/>
    <w:rsid w:val="00A47F25"/>
    <w:pPr>
      <w:keepNext/>
      <w:numPr>
        <w:ilvl w:val="2"/>
        <w:numId w:val="9"/>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Normal"/>
    <w:qFormat/>
    <w:rsid w:val="00A47F25"/>
    <w:pPr>
      <w:numPr>
        <w:ilvl w:val="3"/>
      </w:numPr>
      <w:outlineLvl w:val="3"/>
    </w:pPr>
    <w:rPr>
      <w:i/>
      <w:sz w:val="18"/>
      <w:szCs w:val="18"/>
    </w:rPr>
  </w:style>
  <w:style w:type="paragraph" w:customStyle="1" w:styleId="Heading5Agency">
    <w:name w:val="Heading 5 (Agency)"/>
    <w:basedOn w:val="Heading4Agency"/>
    <w:next w:val="Normal"/>
    <w:qFormat/>
    <w:rsid w:val="00A47F25"/>
    <w:pPr>
      <w:numPr>
        <w:ilvl w:val="4"/>
      </w:numPr>
      <w:outlineLvl w:val="4"/>
    </w:pPr>
    <w:rPr>
      <w:i w:val="0"/>
    </w:rPr>
  </w:style>
  <w:style w:type="paragraph" w:customStyle="1" w:styleId="Heading6Agency">
    <w:name w:val="Heading 6 (Agency)"/>
    <w:basedOn w:val="Heading5Agency"/>
    <w:next w:val="Normal"/>
    <w:rsid w:val="00A47F25"/>
    <w:pPr>
      <w:numPr>
        <w:ilvl w:val="5"/>
      </w:numPr>
      <w:outlineLvl w:val="5"/>
    </w:pPr>
  </w:style>
  <w:style w:type="paragraph" w:customStyle="1" w:styleId="Heading7Agency">
    <w:name w:val="Heading 7 (Agency)"/>
    <w:basedOn w:val="Heading6Agency"/>
    <w:next w:val="Normal"/>
    <w:rsid w:val="00A47F25"/>
    <w:pPr>
      <w:numPr>
        <w:ilvl w:val="6"/>
      </w:numPr>
      <w:ind w:left="0"/>
      <w:outlineLvl w:val="6"/>
    </w:pPr>
  </w:style>
  <w:style w:type="paragraph" w:customStyle="1" w:styleId="Heading8Agency">
    <w:name w:val="Heading 8 (Agency)"/>
    <w:basedOn w:val="Heading7Agency"/>
    <w:next w:val="Normal"/>
    <w:rsid w:val="00A47F25"/>
    <w:pPr>
      <w:numPr>
        <w:ilvl w:val="7"/>
      </w:numPr>
      <w:outlineLvl w:val="7"/>
    </w:pPr>
  </w:style>
  <w:style w:type="paragraph" w:customStyle="1" w:styleId="Heading9Agency">
    <w:name w:val="Heading 9 (Agency)"/>
    <w:basedOn w:val="Heading8Agency"/>
    <w:next w:val="Normal"/>
    <w:rsid w:val="00A47F25"/>
    <w:pPr>
      <w:numPr>
        <w:ilvl w:val="8"/>
      </w:numPr>
      <w:outlineLvl w:val="8"/>
    </w:pPr>
  </w:style>
  <w:style w:type="paragraph" w:customStyle="1" w:styleId="CM1">
    <w:name w:val="CM1"/>
    <w:basedOn w:val="Default"/>
    <w:next w:val="Default"/>
    <w:uiPriority w:val="99"/>
    <w:rsid w:val="007F073F"/>
    <w:rPr>
      <w:rFonts w:ascii="EUAlbertina" w:hAnsi="EUAlbertina" w:cs="Times New Roman"/>
      <w:color w:val="auto"/>
      <w:lang w:val="en-US" w:eastAsia="en-US"/>
    </w:rPr>
  </w:style>
  <w:style w:type="paragraph" w:customStyle="1" w:styleId="CM3">
    <w:name w:val="CM3"/>
    <w:basedOn w:val="Default"/>
    <w:next w:val="Default"/>
    <w:uiPriority w:val="99"/>
    <w:rsid w:val="007F073F"/>
    <w:rPr>
      <w:rFonts w:ascii="EUAlbertina" w:hAnsi="EUAlbertina" w:cs="Times New Roman"/>
      <w:color w:val="auto"/>
      <w:lang w:val="en-US" w:eastAsia="en-US"/>
    </w:rPr>
  </w:style>
  <w:style w:type="character" w:styleId="Emphasis">
    <w:name w:val="Emphasis"/>
    <w:basedOn w:val="DefaultParagraphFont"/>
    <w:uiPriority w:val="20"/>
    <w:qFormat/>
    <w:rsid w:val="007B313A"/>
    <w:rPr>
      <w:i/>
      <w:iC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4034">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665">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7230">
      <w:bodyDiv w:val="1"/>
      <w:marLeft w:val="0"/>
      <w:marRight w:val="0"/>
      <w:marTop w:val="0"/>
      <w:marBottom w:val="0"/>
      <w:divBdr>
        <w:top w:val="none" w:sz="0" w:space="0" w:color="auto"/>
        <w:left w:val="none" w:sz="0" w:space="0" w:color="auto"/>
        <w:bottom w:val="none" w:sz="0" w:space="0" w:color="auto"/>
        <w:right w:val="none" w:sz="0" w:space="0" w:color="auto"/>
      </w:divBdr>
    </w:div>
    <w:div w:id="287929122">
      <w:bodyDiv w:val="1"/>
      <w:marLeft w:val="0"/>
      <w:marRight w:val="0"/>
      <w:marTop w:val="0"/>
      <w:marBottom w:val="0"/>
      <w:divBdr>
        <w:top w:val="none" w:sz="0" w:space="0" w:color="auto"/>
        <w:left w:val="none" w:sz="0" w:space="0" w:color="auto"/>
        <w:bottom w:val="none" w:sz="0" w:space="0" w:color="auto"/>
        <w:right w:val="none" w:sz="0" w:space="0" w:color="auto"/>
      </w:divBdr>
    </w:div>
    <w:div w:id="312105065">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151">
      <w:bodyDiv w:val="1"/>
      <w:marLeft w:val="0"/>
      <w:marRight w:val="0"/>
      <w:marTop w:val="0"/>
      <w:marBottom w:val="0"/>
      <w:divBdr>
        <w:top w:val="none" w:sz="0" w:space="0" w:color="auto"/>
        <w:left w:val="none" w:sz="0" w:space="0" w:color="auto"/>
        <w:bottom w:val="none" w:sz="0" w:space="0" w:color="auto"/>
        <w:right w:val="none" w:sz="0" w:space="0" w:color="auto"/>
      </w:divBdr>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3286">
      <w:bodyDiv w:val="1"/>
      <w:marLeft w:val="0"/>
      <w:marRight w:val="0"/>
      <w:marTop w:val="0"/>
      <w:marBottom w:val="0"/>
      <w:divBdr>
        <w:top w:val="none" w:sz="0" w:space="0" w:color="auto"/>
        <w:left w:val="none" w:sz="0" w:space="0" w:color="auto"/>
        <w:bottom w:val="none" w:sz="0" w:space="0" w:color="auto"/>
        <w:right w:val="none" w:sz="0" w:space="0" w:color="auto"/>
      </w:divBdr>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3029638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964966453">
      <w:bodyDiv w:val="1"/>
      <w:marLeft w:val="0"/>
      <w:marRight w:val="0"/>
      <w:marTop w:val="0"/>
      <w:marBottom w:val="0"/>
      <w:divBdr>
        <w:top w:val="none" w:sz="0" w:space="0" w:color="auto"/>
        <w:left w:val="none" w:sz="0" w:space="0" w:color="auto"/>
        <w:bottom w:val="none" w:sz="0" w:space="0" w:color="auto"/>
        <w:right w:val="none" w:sz="0" w:space="0" w:color="auto"/>
      </w:divBdr>
    </w:div>
    <w:div w:id="966668720">
      <w:bodyDiv w:val="1"/>
      <w:marLeft w:val="0"/>
      <w:marRight w:val="0"/>
      <w:marTop w:val="0"/>
      <w:marBottom w:val="0"/>
      <w:divBdr>
        <w:top w:val="none" w:sz="0" w:space="0" w:color="auto"/>
        <w:left w:val="none" w:sz="0" w:space="0" w:color="auto"/>
        <w:bottom w:val="none" w:sz="0" w:space="0" w:color="auto"/>
        <w:right w:val="none" w:sz="0" w:space="0" w:color="auto"/>
      </w:divBdr>
    </w:div>
    <w:div w:id="970474784">
      <w:bodyDiv w:val="1"/>
      <w:marLeft w:val="0"/>
      <w:marRight w:val="0"/>
      <w:marTop w:val="0"/>
      <w:marBottom w:val="0"/>
      <w:divBdr>
        <w:top w:val="none" w:sz="0" w:space="0" w:color="auto"/>
        <w:left w:val="none" w:sz="0" w:space="0" w:color="auto"/>
        <w:bottom w:val="none" w:sz="0" w:space="0" w:color="auto"/>
        <w:right w:val="none" w:sz="0" w:space="0" w:color="auto"/>
      </w:divBdr>
    </w:div>
    <w:div w:id="1017269386">
      <w:bodyDiv w:val="1"/>
      <w:marLeft w:val="0"/>
      <w:marRight w:val="0"/>
      <w:marTop w:val="0"/>
      <w:marBottom w:val="0"/>
      <w:divBdr>
        <w:top w:val="none" w:sz="0" w:space="0" w:color="auto"/>
        <w:left w:val="none" w:sz="0" w:space="0" w:color="auto"/>
        <w:bottom w:val="none" w:sz="0" w:space="0" w:color="auto"/>
        <w:right w:val="none" w:sz="0" w:space="0" w:color="auto"/>
      </w:divBdr>
    </w:div>
    <w:div w:id="1287929933">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14743216">
      <w:bodyDiv w:val="1"/>
      <w:marLeft w:val="0"/>
      <w:marRight w:val="0"/>
      <w:marTop w:val="0"/>
      <w:marBottom w:val="0"/>
      <w:divBdr>
        <w:top w:val="none" w:sz="0" w:space="0" w:color="auto"/>
        <w:left w:val="none" w:sz="0" w:space="0" w:color="auto"/>
        <w:bottom w:val="none" w:sz="0" w:space="0" w:color="auto"/>
        <w:right w:val="none" w:sz="0" w:space="0" w:color="auto"/>
      </w:divBdr>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1818">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5836">
      <w:bodyDiv w:val="1"/>
      <w:marLeft w:val="0"/>
      <w:marRight w:val="0"/>
      <w:marTop w:val="0"/>
      <w:marBottom w:val="0"/>
      <w:divBdr>
        <w:top w:val="none" w:sz="0" w:space="0" w:color="auto"/>
        <w:left w:val="none" w:sz="0" w:space="0" w:color="auto"/>
        <w:bottom w:val="none" w:sz="0" w:space="0" w:color="auto"/>
        <w:right w:val="none" w:sz="0" w:space="0" w:color="auto"/>
      </w:divBdr>
    </w:div>
    <w:div w:id="2089692722">
      <w:bodyDiv w:val="1"/>
      <w:marLeft w:val="0"/>
      <w:marRight w:val="0"/>
      <w:marTop w:val="0"/>
      <w:marBottom w:val="0"/>
      <w:divBdr>
        <w:top w:val="none" w:sz="0" w:space="0" w:color="auto"/>
        <w:left w:val="none" w:sz="0" w:space="0" w:color="auto"/>
        <w:bottom w:val="none" w:sz="0" w:space="0" w:color="auto"/>
        <w:right w:val="none" w:sz="0" w:space="0" w:color="auto"/>
      </w:divBdr>
      <w:divsChild>
        <w:div w:id="354623090">
          <w:marLeft w:val="0"/>
          <w:marRight w:val="0"/>
          <w:marTop w:val="480"/>
          <w:marBottom w:val="240"/>
          <w:divBdr>
            <w:top w:val="none" w:sz="0" w:space="0" w:color="auto"/>
            <w:left w:val="none" w:sz="0" w:space="0" w:color="auto"/>
            <w:bottom w:val="none" w:sz="0" w:space="0" w:color="auto"/>
            <w:right w:val="none" w:sz="0" w:space="0" w:color="auto"/>
          </w:divBdr>
        </w:div>
        <w:div w:id="208787160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3127-farmacijas-likums" TargetMode="External"/><Relationship Id="rId13" Type="http://schemas.openxmlformats.org/officeDocument/2006/relationships/hyperlink" Target="http://ec.europa.eu/health/files/eudralex/vol1/com_2003_839/com_2003_839_en.pdf" TargetMode="External"/><Relationship Id="rId18" Type="http://schemas.openxmlformats.org/officeDocument/2006/relationships/hyperlink" Target="http://eur-lex.europa.eu/eli/dir/2001/83?locale=LV" TargetMode="External"/><Relationship Id="rId26" Type="http://schemas.openxmlformats.org/officeDocument/2006/relationships/hyperlink" Target="http://ec.europa.eu/health/human-use/eu-logo/index_en.htm" TargetMode="External"/><Relationship Id="rId3" Type="http://schemas.openxmlformats.org/officeDocument/2006/relationships/styles" Target="styles.xml"/><Relationship Id="rId21" Type="http://schemas.openxmlformats.org/officeDocument/2006/relationships/hyperlink" Target="http://www.ema.europa.eu/ema/index.jsp?curl=pages/regulation/document_listing/document_listing_000156.jsp&amp;mid=WC0b01ac0580%3e0296c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04/726?locale=LV" TargetMode="External"/><Relationship Id="rId17" Type="http://schemas.openxmlformats.org/officeDocument/2006/relationships/hyperlink" Target="http://www.who.int/medicines/areas/coordination/coordination_assessment/en/" TargetMode="External"/><Relationship Id="rId25" Type="http://schemas.openxmlformats.org/officeDocument/2006/relationships/hyperlink" Target="http://www.zva.gov.lv"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kumi.lv/doc.php?id=43127" TargetMode="External"/><Relationship Id="rId20" Type="http://schemas.openxmlformats.org/officeDocument/2006/relationships/hyperlink" Target="http://www.ema.europa.eu/ema/index.jsp?curl=pages/regulation/document_listing/document_listing_000156.jsp&amp;mid=WC0b01ac05800296cb" TargetMode="External"/><Relationship Id="rId29" Type="http://schemas.openxmlformats.org/officeDocument/2006/relationships/hyperlink" Target="http://ec.europa.eu/health/files/eudralex/vol1/com_2003_839/com_2003_839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human-use/eu-logo/index_en.htm" TargetMode="External"/><Relationship Id="rId24" Type="http://schemas.openxmlformats.org/officeDocument/2006/relationships/hyperlink" Target="http://www.zva.gov.l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kumi.lv/doc.php?id=43127" TargetMode="External"/><Relationship Id="rId23" Type="http://schemas.openxmlformats.org/officeDocument/2006/relationships/hyperlink" Target="http://www.zva.gov.lv" TargetMode="External"/><Relationship Id="rId28" Type="http://schemas.openxmlformats.org/officeDocument/2006/relationships/hyperlink" Target="http://www.vm.gov.lv/lv/aktualitates/sabiedribas_lidzdaliba/sabiedriska_apspriede/" TargetMode="External"/><Relationship Id="rId10" Type="http://schemas.openxmlformats.org/officeDocument/2006/relationships/hyperlink" Target="http://eur-lex.europa.eu/eli/dir/2001/83?locale=LV" TargetMode="External"/><Relationship Id="rId19" Type="http://schemas.openxmlformats.org/officeDocument/2006/relationships/hyperlink" Target="http://www.ema.europa.eu/ema/index.jsp?curl=pages/regulation/document_listing/document_listing_000156.jsp&amp;mid=WC0b01ac0580%3e0296cb"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r-lex.europa.eu/eli/dir/2011/62?locale=LV" TargetMode="External"/><Relationship Id="rId14" Type="http://schemas.openxmlformats.org/officeDocument/2006/relationships/hyperlink" Target="http://likumi.lv/doc.php?id=43127" TargetMode="External"/><Relationship Id="rId22" Type="http://schemas.openxmlformats.org/officeDocument/2006/relationships/hyperlink" Target="http://www.zva.gov.lv" TargetMode="External"/><Relationship Id="rId27" Type="http://schemas.openxmlformats.org/officeDocument/2006/relationships/hyperlink" Target="http://www.vm.gov.lv"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C7B6B-6516-4A68-9F40-8EC6ED20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15543</Words>
  <Characters>88600</Characters>
  <Application>Microsoft Office Word</Application>
  <DocSecurity>0</DocSecurity>
  <Lines>738</Lines>
  <Paragraphs>207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2007.gada 26.jūnija noteikumos Nr.416 „Zāļu izplatīšanas un kvalitātes kontroles kārtība’”" sākotnējās ietekmes novērtējuma ziņojums (anotācija)</vt:lpstr>
      <vt:lpstr>Ministru kabineta noteikumu projekta ” Grozījumi Ministru kabineta 2007.gada 26.jūnija noteikumos Nr.416 „Zāļu izplatīšanas un kvalitātes kontroles kārtība’”" sākotnējās ietekmes novērtējuma ziņojums (anotācija)</vt:lpstr>
    </vt:vector>
  </TitlesOfParts>
  <Company>Veselības ministrija</Company>
  <LinksUpToDate>false</LinksUpToDate>
  <CharactersWithSpaces>103936</CharactersWithSpaces>
  <SharedDoc>false</SharedDoc>
  <HLinks>
    <vt:vector size="90" baseType="variant">
      <vt:variant>
        <vt:i4>4391022</vt:i4>
      </vt:variant>
      <vt:variant>
        <vt:i4>42</vt:i4>
      </vt:variant>
      <vt:variant>
        <vt:i4>0</vt:i4>
      </vt:variant>
      <vt:variant>
        <vt:i4>5</vt:i4>
      </vt:variant>
      <vt:variant>
        <vt:lpwstr>mailto:inguna.maca@vm.gov.lv</vt:lpwstr>
      </vt:variant>
      <vt:variant>
        <vt:lpwstr/>
      </vt:variant>
      <vt:variant>
        <vt:i4>4456512</vt:i4>
      </vt:variant>
      <vt:variant>
        <vt:i4>39</vt:i4>
      </vt:variant>
      <vt:variant>
        <vt:i4>0</vt:i4>
      </vt:variant>
      <vt:variant>
        <vt:i4>5</vt:i4>
      </vt:variant>
      <vt:variant>
        <vt:lpwstr>http://www.vm.gov.lv/</vt:lpwstr>
      </vt:variant>
      <vt:variant>
        <vt:lpwstr/>
      </vt:variant>
      <vt:variant>
        <vt:i4>4784226</vt:i4>
      </vt:variant>
      <vt:variant>
        <vt:i4>36</vt:i4>
      </vt:variant>
      <vt:variant>
        <vt:i4>0</vt:i4>
      </vt:variant>
      <vt:variant>
        <vt:i4>5</vt:i4>
      </vt:variant>
      <vt:variant>
        <vt:lpwstr>http://ec.europa.eu/health/human-use/eu-logo/index_en.htm</vt:lpwstr>
      </vt:variant>
      <vt:variant>
        <vt:lpwstr/>
      </vt:variant>
      <vt:variant>
        <vt:i4>65578</vt:i4>
      </vt:variant>
      <vt:variant>
        <vt:i4>33</vt:i4>
      </vt:variant>
      <vt:variant>
        <vt:i4>0</vt:i4>
      </vt:variant>
      <vt:variant>
        <vt:i4>5</vt:i4>
      </vt:variant>
      <vt:variant>
        <vt:lpwstr>http://www.ema.europa.eu/ema/index.jsp?curl=pages/regulation/document_listing/document_listing_000156.jsp&amp;mid=WC0b01ac0580%3e0296cb</vt:lpwstr>
      </vt:variant>
      <vt:variant>
        <vt:lpwstr/>
      </vt:variant>
      <vt:variant>
        <vt:i4>7536679</vt:i4>
      </vt:variant>
      <vt:variant>
        <vt:i4>30</vt:i4>
      </vt:variant>
      <vt:variant>
        <vt:i4>0</vt:i4>
      </vt:variant>
      <vt:variant>
        <vt:i4>5</vt:i4>
      </vt:variant>
      <vt:variant>
        <vt:lpwstr>http://www.likumi.lv/doc.php?id=126348</vt:lpwstr>
      </vt:variant>
      <vt:variant>
        <vt:lpwstr/>
      </vt:variant>
      <vt:variant>
        <vt:i4>4063236</vt:i4>
      </vt:variant>
      <vt:variant>
        <vt:i4>27</vt:i4>
      </vt:variant>
      <vt:variant>
        <vt:i4>0</vt:i4>
      </vt:variant>
      <vt:variant>
        <vt:i4>5</vt:i4>
      </vt:variant>
      <vt:variant>
        <vt:lpwstr>http://www.ema.europa.eu/ema/index.jsp?curl=pages/regulation/document_listing/document_listing_000156.jsp&amp;mid=WC0b01ac05800296cb</vt:lpwstr>
      </vt:variant>
      <vt:variant>
        <vt:lpwstr/>
      </vt:variant>
      <vt:variant>
        <vt:i4>65578</vt:i4>
      </vt:variant>
      <vt:variant>
        <vt:i4>24</vt:i4>
      </vt:variant>
      <vt:variant>
        <vt:i4>0</vt:i4>
      </vt:variant>
      <vt:variant>
        <vt:i4>5</vt:i4>
      </vt:variant>
      <vt:variant>
        <vt:lpwstr>http://www.ema.europa.eu/ema/index.jsp?curl=pages/regulation/document_listing/document_listing_000156.jsp&amp;mid=WC0b01ac0580%3e0296cb</vt:lpwstr>
      </vt:variant>
      <vt:variant>
        <vt:lpwstr/>
      </vt:variant>
      <vt:variant>
        <vt:i4>3670063</vt:i4>
      </vt:variant>
      <vt:variant>
        <vt:i4>21</vt:i4>
      </vt:variant>
      <vt:variant>
        <vt:i4>0</vt:i4>
      </vt:variant>
      <vt:variant>
        <vt:i4>5</vt:i4>
      </vt:variant>
      <vt:variant>
        <vt:lpwstr>http://eur-lex.europa.eu/eli/dir/2001/83?locale=LV</vt:lpwstr>
      </vt:variant>
      <vt:variant>
        <vt:lpwstr/>
      </vt:variant>
      <vt:variant>
        <vt:i4>3670063</vt:i4>
      </vt:variant>
      <vt:variant>
        <vt:i4>18</vt:i4>
      </vt:variant>
      <vt:variant>
        <vt:i4>0</vt:i4>
      </vt:variant>
      <vt:variant>
        <vt:i4>5</vt:i4>
      </vt:variant>
      <vt:variant>
        <vt:lpwstr>http://eur-lex.europa.eu/eli/dir/2001/83?locale=LV</vt:lpwstr>
      </vt:variant>
      <vt:variant>
        <vt:lpwstr/>
      </vt:variant>
      <vt:variant>
        <vt:i4>3670063</vt:i4>
      </vt:variant>
      <vt:variant>
        <vt:i4>15</vt:i4>
      </vt:variant>
      <vt:variant>
        <vt:i4>0</vt:i4>
      </vt:variant>
      <vt:variant>
        <vt:i4>5</vt:i4>
      </vt:variant>
      <vt:variant>
        <vt:lpwstr>http://eur-lex.europa.eu/eli/dir/2001/83?locale=LV</vt:lpwstr>
      </vt:variant>
      <vt:variant>
        <vt:lpwstr/>
      </vt:variant>
      <vt:variant>
        <vt:i4>4063278</vt:i4>
      </vt:variant>
      <vt:variant>
        <vt:i4>12</vt:i4>
      </vt:variant>
      <vt:variant>
        <vt:i4>0</vt:i4>
      </vt:variant>
      <vt:variant>
        <vt:i4>5</vt:i4>
      </vt:variant>
      <vt:variant>
        <vt:lpwstr>http://eur-lex.europa.eu/eli/dir/2010/84?locale=LV</vt:lpwstr>
      </vt:variant>
      <vt:variant>
        <vt:lpwstr/>
      </vt:variant>
      <vt:variant>
        <vt:i4>2752633</vt:i4>
      </vt:variant>
      <vt:variant>
        <vt:i4>9</vt:i4>
      </vt:variant>
      <vt:variant>
        <vt:i4>0</vt:i4>
      </vt:variant>
      <vt:variant>
        <vt:i4>5</vt:i4>
      </vt:variant>
      <vt:variant>
        <vt:lpwstr>http://eur-lex.europa.eu/eli/reg/2004/726?locale=LV</vt:lpwstr>
      </vt:variant>
      <vt:variant>
        <vt:lpwstr/>
      </vt:variant>
      <vt:variant>
        <vt:i4>3670063</vt:i4>
      </vt:variant>
      <vt:variant>
        <vt:i4>6</vt:i4>
      </vt:variant>
      <vt:variant>
        <vt:i4>0</vt:i4>
      </vt:variant>
      <vt:variant>
        <vt:i4>5</vt:i4>
      </vt:variant>
      <vt:variant>
        <vt:lpwstr>http://eur-lex.europa.eu/eli/dir/2001/83?locale=LV</vt:lpwstr>
      </vt:variant>
      <vt:variant>
        <vt:lpwstr/>
      </vt:variant>
      <vt:variant>
        <vt:i4>3670049</vt:i4>
      </vt:variant>
      <vt:variant>
        <vt:i4>3</vt:i4>
      </vt:variant>
      <vt:variant>
        <vt:i4>0</vt:i4>
      </vt:variant>
      <vt:variant>
        <vt:i4>5</vt:i4>
      </vt:variant>
      <vt:variant>
        <vt:lpwstr>http://eur-lex.europa.eu/eli/dir/2011/62?locale=LV</vt:lpwstr>
      </vt:variant>
      <vt:variant>
        <vt:lpwstr/>
      </vt:variant>
      <vt:variant>
        <vt:i4>4784226</vt:i4>
      </vt:variant>
      <vt:variant>
        <vt:i4>0</vt:i4>
      </vt:variant>
      <vt:variant>
        <vt:i4>0</vt:i4>
      </vt:variant>
      <vt:variant>
        <vt:i4>5</vt:i4>
      </vt:variant>
      <vt:variant>
        <vt:lpwstr>http://ec.europa.eu/health/human-use/eu-logo/index_en.htm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2007.gada 26.jūnija noteikumos Nr.416 „Zāļu izplatīšanas un kvalitātes kontroles kārtība’”" sākotnējās ietekmes novērtējuma ziņojums (anotācija)</dc:title>
  <dc:subject>Anotācija</dc:subject>
  <dc:creator>Inguna Mača</dc:creator>
  <dc:description>inguna.maca@vm.gov.lv; tālr.: 67876117_x000d_
fakss: 67876071</dc:description>
  <cp:lastModifiedBy>imaca</cp:lastModifiedBy>
  <cp:revision>4</cp:revision>
  <cp:lastPrinted>2015-04-13T13:30:00Z</cp:lastPrinted>
  <dcterms:created xsi:type="dcterms:W3CDTF">2015-12-10T13:23:00Z</dcterms:created>
  <dcterms:modified xsi:type="dcterms:W3CDTF">2015-12-10T13:51:00Z</dcterms:modified>
</cp:coreProperties>
</file>