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47" w:rsidRDefault="00324E47" w:rsidP="005406DE">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3"/>
      <w:bookmarkStart w:id="4" w:name="OLE_LINK4"/>
      <w:bookmarkStart w:id="5" w:name="OLE_LINK6"/>
      <w:r w:rsidRPr="00C56B40">
        <w:rPr>
          <w:rFonts w:ascii="Times New Roman" w:hAnsi="Times New Roman" w:cs="Times New Roman"/>
          <w:b/>
          <w:sz w:val="28"/>
          <w:szCs w:val="28"/>
        </w:rPr>
        <w:t xml:space="preserve">Informatīvais ziņojums par </w:t>
      </w:r>
      <w:r>
        <w:rPr>
          <w:rFonts w:ascii="Times New Roman" w:hAnsi="Times New Roman" w:cs="Times New Roman"/>
          <w:b/>
          <w:sz w:val="28"/>
          <w:szCs w:val="28"/>
        </w:rPr>
        <w:t xml:space="preserve">Eiropas Savienības stratēģijas </w:t>
      </w:r>
      <w:r w:rsidRPr="00C56B40">
        <w:rPr>
          <w:rFonts w:ascii="Times New Roman" w:hAnsi="Times New Roman" w:cs="Times New Roman"/>
          <w:b/>
          <w:sz w:val="28"/>
          <w:szCs w:val="28"/>
        </w:rPr>
        <w:t>Baltijas jūras reģiona</w:t>
      </w:r>
      <w:r>
        <w:rPr>
          <w:rFonts w:ascii="Times New Roman" w:hAnsi="Times New Roman" w:cs="Times New Roman"/>
          <w:b/>
          <w:sz w:val="28"/>
          <w:szCs w:val="28"/>
        </w:rPr>
        <w:t>m</w:t>
      </w:r>
      <w:r w:rsidRPr="00C56B40">
        <w:rPr>
          <w:rFonts w:ascii="Times New Roman" w:hAnsi="Times New Roman" w:cs="Times New Roman"/>
          <w:b/>
          <w:sz w:val="28"/>
          <w:szCs w:val="28"/>
        </w:rPr>
        <w:t xml:space="preserve"> </w:t>
      </w:r>
      <w:r>
        <w:rPr>
          <w:rFonts w:ascii="Times New Roman" w:hAnsi="Times New Roman" w:cs="Times New Roman"/>
          <w:b/>
          <w:sz w:val="28"/>
          <w:szCs w:val="28"/>
        </w:rPr>
        <w:t>pro</w:t>
      </w:r>
      <w:r w:rsidR="00EF6A90">
        <w:rPr>
          <w:rFonts w:ascii="Times New Roman" w:hAnsi="Times New Roman" w:cs="Times New Roman"/>
          <w:b/>
          <w:sz w:val="28"/>
          <w:szCs w:val="28"/>
        </w:rPr>
        <w:t>jektu izstrādāšanas instrumenta</w:t>
      </w:r>
      <w:r w:rsidRPr="00C56B40">
        <w:rPr>
          <w:rFonts w:ascii="Times New Roman" w:hAnsi="Times New Roman" w:cs="Times New Roman"/>
          <w:b/>
          <w:sz w:val="28"/>
          <w:szCs w:val="28"/>
        </w:rPr>
        <w:t xml:space="preserve"> </w:t>
      </w:r>
      <w:r>
        <w:rPr>
          <w:rFonts w:ascii="Times New Roman" w:hAnsi="Times New Roman" w:cs="Times New Roman"/>
          <w:b/>
          <w:sz w:val="28"/>
          <w:szCs w:val="28"/>
        </w:rPr>
        <w:t xml:space="preserve">projektu </w:t>
      </w:r>
      <w:r w:rsidR="000D6868">
        <w:rPr>
          <w:rFonts w:ascii="Times New Roman" w:hAnsi="Times New Roman" w:cs="Times New Roman"/>
          <w:b/>
          <w:sz w:val="28"/>
          <w:szCs w:val="28"/>
          <w:lang w:val="en-GB"/>
        </w:rPr>
        <w:t>“</w:t>
      </w:r>
      <w:r w:rsidR="00CE544B">
        <w:rPr>
          <w:rFonts w:ascii="Times New Roman" w:hAnsi="Times New Roman" w:cs="Times New Roman"/>
          <w:b/>
          <w:sz w:val="28"/>
          <w:szCs w:val="28"/>
        </w:rPr>
        <w:t>Novēršama</w:t>
      </w:r>
      <w:r w:rsidR="00B160EE">
        <w:rPr>
          <w:rFonts w:ascii="Times New Roman" w:hAnsi="Times New Roman" w:cs="Times New Roman"/>
          <w:b/>
          <w:sz w:val="28"/>
          <w:szCs w:val="28"/>
        </w:rPr>
        <w:t>s</w:t>
      </w:r>
      <w:r>
        <w:rPr>
          <w:rFonts w:ascii="Times New Roman" w:hAnsi="Times New Roman" w:cs="Times New Roman"/>
          <w:b/>
          <w:sz w:val="28"/>
          <w:szCs w:val="28"/>
        </w:rPr>
        <w:t xml:space="preserve"> hospitalizācija</w:t>
      </w:r>
      <w:r w:rsidR="00B160EE">
        <w:rPr>
          <w:rFonts w:ascii="Times New Roman" w:hAnsi="Times New Roman" w:cs="Times New Roman"/>
          <w:b/>
          <w:sz w:val="28"/>
          <w:szCs w:val="28"/>
        </w:rPr>
        <w:t>s</w:t>
      </w:r>
      <w:r w:rsidRPr="00C56B40">
        <w:rPr>
          <w:rFonts w:ascii="Times New Roman" w:hAnsi="Times New Roman" w:cs="Times New Roman"/>
          <w:b/>
          <w:sz w:val="28"/>
          <w:szCs w:val="28"/>
        </w:rPr>
        <w:t xml:space="preserve"> Baltijas jūras reģionā</w:t>
      </w:r>
      <w:r>
        <w:rPr>
          <w:rFonts w:ascii="Times New Roman" w:hAnsi="Times New Roman" w:cs="Times New Roman"/>
          <w:b/>
          <w:sz w:val="28"/>
          <w:szCs w:val="28"/>
        </w:rPr>
        <w:t>: organizatoriskas un tehnoloģiskas inovācijas primārajā veselības aprūpē, lai paaugstinātu veselības aprūpes sistēmas izmaksu efektivitāti</w:t>
      </w:r>
      <w:r w:rsidRPr="00C56B40">
        <w:rPr>
          <w:rFonts w:ascii="Times New Roman" w:hAnsi="Times New Roman" w:cs="Times New Roman"/>
          <w:b/>
          <w:sz w:val="28"/>
          <w:szCs w:val="28"/>
        </w:rPr>
        <w:t xml:space="preserve"> (I</w:t>
      </w:r>
      <w:r>
        <w:rPr>
          <w:rFonts w:ascii="Times New Roman" w:hAnsi="Times New Roman" w:cs="Times New Roman"/>
          <w:b/>
          <w:sz w:val="28"/>
          <w:szCs w:val="28"/>
        </w:rPr>
        <w:t>nnoHealth</w:t>
      </w:r>
      <w:r w:rsidRPr="00C56B40">
        <w:rPr>
          <w:rFonts w:ascii="Times New Roman" w:hAnsi="Times New Roman" w:cs="Times New Roman"/>
          <w:b/>
          <w:sz w:val="28"/>
          <w:szCs w:val="28"/>
        </w:rPr>
        <w:t>)”</w:t>
      </w:r>
      <w:bookmarkEnd w:id="0"/>
      <w:bookmarkEnd w:id="1"/>
      <w:bookmarkEnd w:id="2"/>
      <w:bookmarkEnd w:id="5"/>
    </w:p>
    <w:p w:rsidR="00B42653" w:rsidRDefault="00B42653" w:rsidP="0075469D">
      <w:pPr>
        <w:spacing w:after="0" w:line="240" w:lineRule="auto"/>
        <w:rPr>
          <w:rFonts w:ascii="Times New Roman" w:hAnsi="Times New Roman" w:cs="Times New Roman"/>
          <w:b/>
          <w:sz w:val="28"/>
          <w:szCs w:val="28"/>
        </w:rPr>
      </w:pPr>
    </w:p>
    <w:bookmarkEnd w:id="3"/>
    <w:bookmarkEnd w:id="4"/>
    <w:p w:rsidR="00A87EE9" w:rsidRDefault="00324E47" w:rsidP="00A87E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Eiropas Savienības stratēģija </w:t>
      </w:r>
      <w:r w:rsidRPr="00C56B40">
        <w:rPr>
          <w:rFonts w:ascii="Times New Roman" w:hAnsi="Times New Roman" w:cs="Times New Roman"/>
          <w:sz w:val="28"/>
          <w:szCs w:val="28"/>
        </w:rPr>
        <w:t>Baltijas jūras reģiona</w:t>
      </w:r>
      <w:r>
        <w:rPr>
          <w:rFonts w:ascii="Times New Roman" w:hAnsi="Times New Roman" w:cs="Times New Roman"/>
          <w:sz w:val="28"/>
          <w:szCs w:val="28"/>
        </w:rPr>
        <w:t xml:space="preserve">m (turpmāk – </w:t>
      </w:r>
      <w:r w:rsidR="00F67DCA" w:rsidRPr="00F67DCA">
        <w:rPr>
          <w:rFonts w:ascii="Times New Roman" w:hAnsi="Times New Roman" w:cs="Times New Roman"/>
          <w:sz w:val="28"/>
          <w:szCs w:val="28"/>
        </w:rPr>
        <w:t>ESSBJR</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w:t>
      </w:r>
      <w:r w:rsidR="00F67DCA">
        <w:rPr>
          <w:rFonts w:ascii="Times New Roman" w:hAnsi="Times New Roman" w:cs="Times New Roman"/>
          <w:sz w:val="28"/>
          <w:szCs w:val="28"/>
        </w:rPr>
        <w:t xml:space="preserve"> ir pirmā Eiropas Savienības (turpmāk – ES)</w:t>
      </w:r>
      <w:r w:rsidRPr="00EC4CEC">
        <w:rPr>
          <w:rFonts w:ascii="Times New Roman" w:hAnsi="Times New Roman" w:cs="Times New Roman"/>
          <w:sz w:val="28"/>
          <w:szCs w:val="28"/>
        </w:rPr>
        <w:t xml:space="preserve"> iekšējā stratēģija Eiropas makroreģionam, kuras pamatā ir inovatīva un integrēta ilgtermiņa pieeja ES </w:t>
      </w:r>
      <w:r w:rsidRPr="00686157">
        <w:rPr>
          <w:rFonts w:ascii="Times New Roman" w:hAnsi="Times New Roman" w:cs="Times New Roman"/>
          <w:sz w:val="28"/>
          <w:szCs w:val="28"/>
        </w:rPr>
        <w:t xml:space="preserve">politiku īstenošanai Baltijas jūras reģionā. </w:t>
      </w:r>
      <w:r w:rsidR="00F67DCA">
        <w:rPr>
          <w:rFonts w:ascii="Times New Roman" w:hAnsi="Times New Roman" w:cs="Times New Roman"/>
          <w:sz w:val="28"/>
          <w:szCs w:val="28"/>
        </w:rPr>
        <w:t>ESSBJR</w:t>
      </w:r>
      <w:r w:rsidRPr="00686157">
        <w:rPr>
          <w:rFonts w:ascii="Times New Roman" w:hAnsi="Times New Roman" w:cs="Times New Roman"/>
          <w:sz w:val="28"/>
          <w:szCs w:val="28"/>
        </w:rPr>
        <w:t xml:space="preserve"> ir orientēta uz sadarbības stiprināšanu starp Baltijas</w:t>
      </w:r>
      <w:r w:rsidR="00F67DCA">
        <w:rPr>
          <w:rFonts w:ascii="Times New Roman" w:hAnsi="Times New Roman" w:cs="Times New Roman"/>
          <w:sz w:val="28"/>
          <w:szCs w:val="28"/>
        </w:rPr>
        <w:t xml:space="preserve"> jūras reģiona</w:t>
      </w:r>
      <w:r w:rsidRPr="00686157">
        <w:rPr>
          <w:rFonts w:ascii="Times New Roman" w:hAnsi="Times New Roman" w:cs="Times New Roman"/>
          <w:sz w:val="28"/>
          <w:szCs w:val="28"/>
        </w:rPr>
        <w:t xml:space="preserve"> valstīm.</w:t>
      </w:r>
      <w:r w:rsidR="00F67DCA">
        <w:t xml:space="preserve"> </w:t>
      </w:r>
      <w:r>
        <w:rPr>
          <w:rFonts w:ascii="Times New Roman" w:hAnsi="Times New Roman" w:cs="Times New Roman"/>
          <w:sz w:val="28"/>
          <w:szCs w:val="28"/>
        </w:rPr>
        <w:t>Ziemeļu Dimensijas Sabiedrības veselības un sociālās labklājības Partnerības Sekretariāts</w:t>
      </w:r>
      <w:r w:rsidR="00F67DCA">
        <w:rPr>
          <w:rFonts w:ascii="Times New Roman" w:hAnsi="Times New Roman" w:cs="Times New Roman"/>
          <w:sz w:val="28"/>
          <w:szCs w:val="28"/>
        </w:rPr>
        <w:t xml:space="preserve">, kas </w:t>
      </w:r>
      <w:r w:rsidR="00F67DCA" w:rsidRPr="00F67DCA">
        <w:rPr>
          <w:rFonts w:ascii="Times New Roman" w:hAnsi="Times New Roman" w:cs="Times New Roman"/>
          <w:sz w:val="28"/>
          <w:szCs w:val="28"/>
        </w:rPr>
        <w:t>koordinē sadarbību </w:t>
      </w:r>
      <w:r w:rsidR="00F67DCA">
        <w:rPr>
          <w:rFonts w:ascii="Times New Roman" w:hAnsi="Times New Roman" w:cs="Times New Roman"/>
          <w:sz w:val="28"/>
          <w:szCs w:val="28"/>
        </w:rPr>
        <w:t xml:space="preserve"> </w:t>
      </w:r>
      <w:hyperlink r:id="rId8" w:tgtFrame="_blank" w:history="1">
        <w:r w:rsidR="001A4179">
          <w:rPr>
            <w:rFonts w:ascii="Times New Roman" w:hAnsi="Times New Roman" w:cs="Times New Roman"/>
            <w:sz w:val="28"/>
            <w:szCs w:val="28"/>
          </w:rPr>
          <w:t>ESSBJR</w:t>
        </w:r>
      </w:hyperlink>
      <w:r w:rsidR="00F67DCA" w:rsidRPr="00F67DCA">
        <w:rPr>
          <w:rFonts w:ascii="Times New Roman" w:hAnsi="Times New Roman" w:cs="Times New Roman"/>
          <w:sz w:val="28"/>
          <w:szCs w:val="28"/>
        </w:rPr>
        <w:t> Rīcības plāna veselības prioritātes īstenošan</w:t>
      </w:r>
      <w:r w:rsidR="001A4179">
        <w:rPr>
          <w:rFonts w:ascii="Times New Roman" w:hAnsi="Times New Roman" w:cs="Times New Roman"/>
          <w:sz w:val="28"/>
          <w:szCs w:val="28"/>
        </w:rPr>
        <w:t>u</w:t>
      </w:r>
      <w:r w:rsidR="00F67DCA">
        <w:rPr>
          <w:rFonts w:ascii="Times New Roman" w:hAnsi="Times New Roman" w:cs="Times New Roman"/>
          <w:sz w:val="28"/>
          <w:szCs w:val="28"/>
        </w:rPr>
        <w:t>,</w:t>
      </w:r>
      <w:r>
        <w:rPr>
          <w:rFonts w:ascii="Times New Roman" w:hAnsi="Times New Roman" w:cs="Times New Roman"/>
          <w:sz w:val="28"/>
          <w:szCs w:val="28"/>
        </w:rPr>
        <w:t xml:space="preserve"> </w:t>
      </w:r>
      <w:r w:rsidR="00B42653">
        <w:rPr>
          <w:rFonts w:ascii="Times New Roman" w:hAnsi="Times New Roman" w:cs="Times New Roman"/>
          <w:sz w:val="28"/>
          <w:szCs w:val="28"/>
        </w:rPr>
        <w:t>ir atbalstījis</w:t>
      </w:r>
      <w:r>
        <w:rPr>
          <w:rFonts w:ascii="Times New Roman" w:hAnsi="Times New Roman" w:cs="Times New Roman"/>
          <w:sz w:val="28"/>
          <w:szCs w:val="28"/>
        </w:rPr>
        <w:t xml:space="preserve"> projekta “</w:t>
      </w:r>
      <w:r w:rsidR="00CE544B">
        <w:rPr>
          <w:rFonts w:ascii="Times New Roman" w:hAnsi="Times New Roman" w:cs="Times New Roman"/>
          <w:sz w:val="28"/>
          <w:szCs w:val="28"/>
        </w:rPr>
        <w:t>Novēršama</w:t>
      </w:r>
      <w:r w:rsidR="00B160EE">
        <w:rPr>
          <w:rFonts w:ascii="Times New Roman" w:hAnsi="Times New Roman" w:cs="Times New Roman"/>
          <w:sz w:val="28"/>
          <w:szCs w:val="28"/>
        </w:rPr>
        <w:t>s</w:t>
      </w:r>
      <w:r>
        <w:rPr>
          <w:rFonts w:ascii="Times New Roman" w:hAnsi="Times New Roman" w:cs="Times New Roman"/>
          <w:sz w:val="28"/>
          <w:szCs w:val="28"/>
        </w:rPr>
        <w:t xml:space="preserve"> hospitalizācija</w:t>
      </w:r>
      <w:r w:rsidR="00B160EE">
        <w:rPr>
          <w:rFonts w:ascii="Times New Roman" w:hAnsi="Times New Roman" w:cs="Times New Roman"/>
          <w:sz w:val="28"/>
          <w:szCs w:val="28"/>
        </w:rPr>
        <w:t>s</w:t>
      </w:r>
      <w:r>
        <w:rPr>
          <w:rFonts w:ascii="Times New Roman" w:hAnsi="Times New Roman" w:cs="Times New Roman"/>
          <w:sz w:val="28"/>
          <w:szCs w:val="28"/>
        </w:rPr>
        <w:t xml:space="preserve"> Baltijas jūras reģionā: organizatoriskas un tehnoloģiskas inovācijas primārajā veselības aprūpē, lai paaugstinātu veselības aprūpes sistēmas izmaksu efektivitāti (InnoHealth)” (turpmāk – </w:t>
      </w:r>
      <w:r w:rsidRPr="00566C77">
        <w:rPr>
          <w:rFonts w:ascii="Times New Roman" w:hAnsi="Times New Roman" w:cs="Times New Roman"/>
          <w:i/>
          <w:sz w:val="28"/>
          <w:szCs w:val="28"/>
        </w:rPr>
        <w:t>InnoHealth</w:t>
      </w:r>
      <w:r>
        <w:rPr>
          <w:rFonts w:ascii="Times New Roman" w:hAnsi="Times New Roman" w:cs="Times New Roman"/>
          <w:sz w:val="28"/>
          <w:szCs w:val="28"/>
        </w:rPr>
        <w:t>)</w:t>
      </w:r>
      <w:r w:rsidRPr="00C56B40">
        <w:rPr>
          <w:rFonts w:ascii="Times New Roman" w:hAnsi="Times New Roman" w:cs="Times New Roman"/>
          <w:sz w:val="28"/>
          <w:szCs w:val="28"/>
        </w:rPr>
        <w:t xml:space="preserve"> </w:t>
      </w:r>
      <w:r>
        <w:rPr>
          <w:rFonts w:ascii="Times New Roman" w:hAnsi="Times New Roman" w:cs="Times New Roman"/>
          <w:sz w:val="28"/>
          <w:szCs w:val="28"/>
        </w:rPr>
        <w:t xml:space="preserve">pieteikuma sagatavošanu iesniegšanai </w:t>
      </w:r>
      <w:r w:rsidR="001A4179">
        <w:rPr>
          <w:rFonts w:ascii="Times New Roman" w:hAnsi="Times New Roman" w:cs="Times New Roman"/>
          <w:sz w:val="28"/>
          <w:szCs w:val="28"/>
        </w:rPr>
        <w:t>ESSBJR</w:t>
      </w:r>
      <w:r>
        <w:rPr>
          <w:rFonts w:ascii="Times New Roman" w:hAnsi="Times New Roman" w:cs="Times New Roman"/>
          <w:sz w:val="28"/>
          <w:szCs w:val="28"/>
        </w:rPr>
        <w:t xml:space="preserve"> pr</w:t>
      </w:r>
      <w:r w:rsidR="0061276C">
        <w:rPr>
          <w:rFonts w:ascii="Times New Roman" w:hAnsi="Times New Roman" w:cs="Times New Roman"/>
          <w:sz w:val="28"/>
          <w:szCs w:val="28"/>
        </w:rPr>
        <w:t>ojektu izstrādāšanas instrumenta</w:t>
      </w:r>
      <w:r>
        <w:rPr>
          <w:rFonts w:ascii="Times New Roman" w:hAnsi="Times New Roman" w:cs="Times New Roman"/>
          <w:sz w:val="28"/>
          <w:szCs w:val="28"/>
        </w:rPr>
        <w:t xml:space="preserve"> (turpmāk – </w:t>
      </w:r>
      <w:r w:rsidR="005A12C1">
        <w:rPr>
          <w:rFonts w:ascii="Times New Roman" w:hAnsi="Times New Roman" w:cs="Times New Roman"/>
          <w:sz w:val="28"/>
          <w:szCs w:val="28"/>
        </w:rPr>
        <w:t>projektu izstrādāšanas instru</w:t>
      </w:r>
      <w:r w:rsidR="00F849D1">
        <w:rPr>
          <w:rFonts w:ascii="Times New Roman" w:hAnsi="Times New Roman" w:cs="Times New Roman"/>
          <w:sz w:val="28"/>
          <w:szCs w:val="28"/>
        </w:rPr>
        <w:t>ments</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r w:rsidRPr="00C56B40">
        <w:rPr>
          <w:rFonts w:ascii="Times New Roman" w:hAnsi="Times New Roman" w:cs="Times New Roman"/>
          <w:sz w:val="28"/>
          <w:szCs w:val="28"/>
        </w:rPr>
        <w:t xml:space="preserve"> </w:t>
      </w:r>
      <w:r w:rsidR="00871A40" w:rsidRPr="00871A40">
        <w:rPr>
          <w:rFonts w:ascii="Times New Roman" w:hAnsi="Times New Roman" w:cs="Times New Roman"/>
          <w:sz w:val="28"/>
          <w:szCs w:val="28"/>
        </w:rPr>
        <w:t xml:space="preserve">organizētajā projektu pieteikumu uzsaukumā </w:t>
      </w:r>
      <w:r w:rsidRPr="00871A40">
        <w:rPr>
          <w:rFonts w:ascii="Times New Roman" w:hAnsi="Times New Roman" w:cs="Times New Roman"/>
          <w:sz w:val="28"/>
          <w:szCs w:val="28"/>
        </w:rPr>
        <w:t xml:space="preserve">finansējuma saņemšanai galvenā projekta </w:t>
      </w:r>
      <w:r w:rsidR="00E7624C" w:rsidRPr="00566C77">
        <w:rPr>
          <w:rFonts w:ascii="Times New Roman" w:hAnsi="Times New Roman" w:cs="Times New Roman"/>
          <w:i/>
          <w:sz w:val="28"/>
          <w:szCs w:val="28"/>
        </w:rPr>
        <w:t>InnoHealth</w:t>
      </w:r>
      <w:r w:rsidR="00E7624C" w:rsidRPr="00871A40">
        <w:rPr>
          <w:rFonts w:ascii="Times New Roman" w:hAnsi="Times New Roman" w:cs="Times New Roman"/>
          <w:sz w:val="28"/>
          <w:szCs w:val="28"/>
        </w:rPr>
        <w:t xml:space="preserve"> </w:t>
      </w:r>
      <w:r w:rsidRPr="00871A40">
        <w:rPr>
          <w:rFonts w:ascii="Times New Roman" w:hAnsi="Times New Roman" w:cs="Times New Roman"/>
          <w:sz w:val="28"/>
          <w:szCs w:val="28"/>
        </w:rPr>
        <w:t xml:space="preserve">pieteikuma </w:t>
      </w:r>
      <w:r w:rsidR="001A4179" w:rsidRPr="00871A40">
        <w:rPr>
          <w:rFonts w:ascii="Times New Roman" w:hAnsi="Times New Roman" w:cs="Times New Roman"/>
          <w:sz w:val="28"/>
          <w:szCs w:val="28"/>
        </w:rPr>
        <w:t>sagatavošanai</w:t>
      </w:r>
      <w:r w:rsidRPr="00871A40">
        <w:rPr>
          <w:rFonts w:ascii="Times New Roman" w:hAnsi="Times New Roman" w:cs="Times New Roman"/>
          <w:sz w:val="28"/>
          <w:szCs w:val="28"/>
        </w:rPr>
        <w:t>.</w:t>
      </w:r>
      <w:r>
        <w:rPr>
          <w:rFonts w:ascii="Times New Roman" w:hAnsi="Times New Roman" w:cs="Times New Roman"/>
          <w:sz w:val="28"/>
          <w:szCs w:val="28"/>
        </w:rPr>
        <w:t xml:space="preserve"> </w:t>
      </w:r>
    </w:p>
    <w:p w:rsidR="002F36AE" w:rsidRDefault="00482165" w:rsidP="00D31DB7">
      <w:pPr>
        <w:spacing w:after="0" w:line="240" w:lineRule="auto"/>
        <w:ind w:firstLine="720"/>
        <w:jc w:val="both"/>
        <w:rPr>
          <w:rFonts w:ascii="Times New Roman" w:hAnsi="Times New Roman" w:cs="Times New Roman"/>
          <w:sz w:val="28"/>
          <w:szCs w:val="28"/>
        </w:rPr>
      </w:pPr>
      <w:r w:rsidRPr="00482165">
        <w:rPr>
          <w:rFonts w:ascii="Times New Roman" w:hAnsi="Times New Roman" w:cs="Times New Roman"/>
          <w:sz w:val="28"/>
          <w:szCs w:val="28"/>
        </w:rPr>
        <w:t>Projektu izstrādāšanas</w:t>
      </w:r>
      <w:r>
        <w:rPr>
          <w:rFonts w:ascii="Times New Roman" w:hAnsi="Times New Roman" w:cs="Times New Roman"/>
          <w:sz w:val="28"/>
          <w:szCs w:val="28"/>
        </w:rPr>
        <w:t xml:space="preserve"> instrumenta</w:t>
      </w:r>
      <w:r>
        <w:rPr>
          <w:rFonts w:ascii="Times New Roman" w:hAnsi="Times New Roman" w:cs="Times New Roman"/>
          <w:i/>
          <w:sz w:val="28"/>
          <w:szCs w:val="28"/>
        </w:rPr>
        <w:t xml:space="preserve"> </w:t>
      </w:r>
      <w:r w:rsidRPr="001316A5">
        <w:rPr>
          <w:rFonts w:ascii="Times New Roman" w:hAnsi="Times New Roman" w:cs="Times New Roman"/>
          <w:sz w:val="28"/>
          <w:szCs w:val="28"/>
        </w:rPr>
        <w:t>p</w:t>
      </w:r>
      <w:r w:rsidR="00A87EE9" w:rsidRPr="001316A5">
        <w:rPr>
          <w:rFonts w:ascii="Times New Roman" w:hAnsi="Times New Roman" w:cs="Times New Roman"/>
          <w:sz w:val="28"/>
          <w:szCs w:val="28"/>
        </w:rPr>
        <w:t xml:space="preserve">rojekta </w:t>
      </w:r>
      <w:r w:rsidR="00A87EE9" w:rsidRPr="00566C77">
        <w:rPr>
          <w:rFonts w:ascii="Times New Roman" w:hAnsi="Times New Roman" w:cs="Times New Roman"/>
          <w:i/>
          <w:sz w:val="28"/>
          <w:szCs w:val="28"/>
        </w:rPr>
        <w:t>InnoHealth</w:t>
      </w:r>
      <w:r w:rsidR="00A87EE9" w:rsidRPr="00C56B40">
        <w:rPr>
          <w:rFonts w:ascii="Times New Roman" w:hAnsi="Times New Roman" w:cs="Times New Roman"/>
          <w:sz w:val="28"/>
          <w:szCs w:val="28"/>
        </w:rPr>
        <w:t xml:space="preserve"> mērķis ir sagatavot projekta pieteikumu </w:t>
      </w:r>
      <w:r w:rsidR="00A87EE9">
        <w:rPr>
          <w:rFonts w:ascii="Times New Roman" w:hAnsi="Times New Roman" w:cs="Times New Roman"/>
          <w:sz w:val="28"/>
          <w:szCs w:val="28"/>
        </w:rPr>
        <w:t xml:space="preserve">galvenajam </w:t>
      </w:r>
      <w:r w:rsidR="00A87EE9" w:rsidRPr="001316A5">
        <w:rPr>
          <w:rFonts w:ascii="Times New Roman" w:hAnsi="Times New Roman" w:cs="Times New Roman"/>
          <w:sz w:val="28"/>
          <w:szCs w:val="28"/>
        </w:rPr>
        <w:t>projektam</w:t>
      </w:r>
      <w:r w:rsidRPr="001316A5">
        <w:rPr>
          <w:rFonts w:ascii="Times New Roman" w:hAnsi="Times New Roman" w:cs="Times New Roman"/>
          <w:sz w:val="28"/>
          <w:szCs w:val="28"/>
        </w:rPr>
        <w:t xml:space="preserve"> </w:t>
      </w:r>
      <w:r w:rsidRPr="00482165">
        <w:rPr>
          <w:rFonts w:ascii="Times New Roman" w:hAnsi="Times New Roman" w:cs="Times New Roman"/>
          <w:i/>
          <w:sz w:val="28"/>
          <w:szCs w:val="28"/>
        </w:rPr>
        <w:t>InnoHealth</w:t>
      </w:r>
      <w:r w:rsidR="00A87EE9" w:rsidRPr="00C56B40">
        <w:rPr>
          <w:rFonts w:ascii="Times New Roman" w:hAnsi="Times New Roman" w:cs="Times New Roman"/>
          <w:sz w:val="28"/>
          <w:szCs w:val="28"/>
        </w:rPr>
        <w:t xml:space="preserve">, kurš tiks iesniegts </w:t>
      </w:r>
      <w:r w:rsidR="00B81DA6">
        <w:rPr>
          <w:rFonts w:ascii="Times New Roman" w:hAnsi="Times New Roman" w:cs="Times New Roman"/>
          <w:sz w:val="28"/>
          <w:szCs w:val="28"/>
        </w:rPr>
        <w:t xml:space="preserve">ES </w:t>
      </w:r>
      <w:r w:rsidR="00A87EE9" w:rsidRPr="00C56B40">
        <w:rPr>
          <w:rFonts w:ascii="Times New Roman" w:hAnsi="Times New Roman" w:cs="Times New Roman"/>
          <w:sz w:val="28"/>
          <w:szCs w:val="28"/>
        </w:rPr>
        <w:t>līdzfinansēt</w:t>
      </w:r>
      <w:r w:rsidR="00A87EE9">
        <w:rPr>
          <w:rFonts w:ascii="Times New Roman" w:hAnsi="Times New Roman" w:cs="Times New Roman"/>
          <w:sz w:val="28"/>
          <w:szCs w:val="28"/>
        </w:rPr>
        <w:t>o</w:t>
      </w:r>
      <w:r w:rsidR="00A87EE9" w:rsidRPr="00C56B40">
        <w:rPr>
          <w:rFonts w:ascii="Times New Roman" w:hAnsi="Times New Roman" w:cs="Times New Roman"/>
          <w:sz w:val="28"/>
          <w:szCs w:val="28"/>
        </w:rPr>
        <w:t xml:space="preserve"> projektu uzsaukumā.</w:t>
      </w:r>
      <w:r w:rsidR="00442AF3">
        <w:rPr>
          <w:rFonts w:ascii="Times New Roman" w:hAnsi="Times New Roman" w:cs="Times New Roman"/>
          <w:sz w:val="28"/>
          <w:szCs w:val="28"/>
        </w:rPr>
        <w:t xml:space="preserve"> </w:t>
      </w:r>
      <w:r w:rsidR="00442AF3" w:rsidRPr="00482165">
        <w:rPr>
          <w:rFonts w:ascii="Times New Roman" w:hAnsi="Times New Roman" w:cs="Times New Roman"/>
          <w:sz w:val="28"/>
          <w:szCs w:val="28"/>
        </w:rPr>
        <w:t>Projektu izstrādāšanas</w:t>
      </w:r>
      <w:r w:rsidR="00442AF3">
        <w:rPr>
          <w:rFonts w:ascii="Times New Roman" w:hAnsi="Times New Roman" w:cs="Times New Roman"/>
          <w:sz w:val="28"/>
          <w:szCs w:val="28"/>
        </w:rPr>
        <w:t xml:space="preserve"> instrumenta</w:t>
      </w:r>
      <w:r w:rsidR="00442AF3">
        <w:rPr>
          <w:rFonts w:ascii="Times New Roman" w:hAnsi="Times New Roman" w:cs="Times New Roman"/>
          <w:i/>
          <w:sz w:val="28"/>
          <w:szCs w:val="28"/>
        </w:rPr>
        <w:t xml:space="preserve"> </w:t>
      </w:r>
      <w:r w:rsidR="00442AF3" w:rsidRPr="001316A5">
        <w:rPr>
          <w:rFonts w:ascii="Times New Roman" w:hAnsi="Times New Roman" w:cs="Times New Roman"/>
          <w:sz w:val="28"/>
          <w:szCs w:val="28"/>
        </w:rPr>
        <w:t>projekta</w:t>
      </w:r>
      <w:r w:rsidR="00442AF3">
        <w:rPr>
          <w:rFonts w:ascii="Times New Roman" w:hAnsi="Times New Roman" w:cs="Times New Roman"/>
          <w:sz w:val="28"/>
          <w:szCs w:val="28"/>
        </w:rPr>
        <w:t>m</w:t>
      </w:r>
      <w:r w:rsidR="00442AF3" w:rsidRPr="001316A5">
        <w:rPr>
          <w:rFonts w:ascii="Times New Roman" w:hAnsi="Times New Roman" w:cs="Times New Roman"/>
          <w:sz w:val="28"/>
          <w:szCs w:val="28"/>
        </w:rPr>
        <w:t xml:space="preserve"> </w:t>
      </w:r>
      <w:r w:rsidR="00442AF3" w:rsidRPr="00566C77">
        <w:rPr>
          <w:rFonts w:ascii="Times New Roman" w:hAnsi="Times New Roman" w:cs="Times New Roman"/>
          <w:i/>
          <w:sz w:val="28"/>
          <w:szCs w:val="28"/>
        </w:rPr>
        <w:t>InnoHealth</w:t>
      </w:r>
      <w:r w:rsidR="00442AF3">
        <w:rPr>
          <w:rFonts w:ascii="Times New Roman" w:hAnsi="Times New Roman" w:cs="Times New Roman"/>
          <w:sz w:val="28"/>
          <w:szCs w:val="28"/>
        </w:rPr>
        <w:t xml:space="preserve"> jānodrošina šādu aktivitāšu izpilde:</w:t>
      </w:r>
    </w:p>
    <w:p w:rsidR="00442AF3" w:rsidRDefault="00442AF3" w:rsidP="00442AF3">
      <w:pPr>
        <w:pStyle w:val="ListParagraph"/>
        <w:numPr>
          <w:ilvl w:val="0"/>
          <w:numId w:val="2"/>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Jāsniedz pašreizējās situācijas raksturojums attiecīgajā jomā, tajā skaitā, sniedzot informāciju par projektiem, kas tiek / </w:t>
      </w:r>
      <w:r w:rsidRPr="004E0DEA">
        <w:rPr>
          <w:rFonts w:ascii="Times New Roman" w:hAnsi="Times New Roman" w:cs="Times New Roman"/>
          <w:sz w:val="28"/>
          <w:szCs w:val="28"/>
        </w:rPr>
        <w:t>i</w:t>
      </w:r>
      <w:r w:rsidR="004E0DEA" w:rsidRPr="004E0DEA">
        <w:rPr>
          <w:rFonts w:ascii="Times New Roman" w:hAnsi="Times New Roman" w:cs="Times New Roman"/>
          <w:sz w:val="28"/>
          <w:szCs w:val="28"/>
        </w:rPr>
        <w:t>r</w:t>
      </w:r>
      <w:r>
        <w:rPr>
          <w:rFonts w:ascii="Times New Roman" w:hAnsi="Times New Roman" w:cs="Times New Roman"/>
          <w:sz w:val="28"/>
          <w:szCs w:val="28"/>
        </w:rPr>
        <w:t xml:space="preserve"> tikuši realizēti.</w:t>
      </w:r>
    </w:p>
    <w:p w:rsidR="00442AF3" w:rsidRDefault="00442AF3" w:rsidP="00442AF3">
      <w:pPr>
        <w:pStyle w:val="ListParagraph"/>
        <w:numPr>
          <w:ilvl w:val="0"/>
          <w:numId w:val="2"/>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Galvenā projekta </w:t>
      </w:r>
      <w:r w:rsidRPr="00B61D40">
        <w:rPr>
          <w:rFonts w:ascii="Times New Roman" w:hAnsi="Times New Roman" w:cs="Times New Roman"/>
          <w:i/>
          <w:sz w:val="28"/>
          <w:szCs w:val="28"/>
        </w:rPr>
        <w:t>InnoHealth</w:t>
      </w:r>
      <w:r>
        <w:rPr>
          <w:rFonts w:ascii="Times New Roman" w:hAnsi="Times New Roman" w:cs="Times New Roman"/>
          <w:sz w:val="28"/>
          <w:szCs w:val="28"/>
        </w:rPr>
        <w:t xml:space="preserve"> plāns, kas ietver:</w:t>
      </w:r>
    </w:p>
    <w:p w:rsidR="00442AF3" w:rsidRDefault="00442AF3" w:rsidP="00442AF3">
      <w:pPr>
        <w:pStyle w:val="ListParagraph"/>
        <w:numPr>
          <w:ilvl w:val="1"/>
          <w:numId w:val="2"/>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darba plānu, kurā uzskaitītas projekta aktivitātes un rezultāti;</w:t>
      </w:r>
    </w:p>
    <w:p w:rsidR="00442AF3" w:rsidRDefault="00442AF3" w:rsidP="00442AF3">
      <w:pPr>
        <w:pStyle w:val="ListParagraph"/>
        <w:numPr>
          <w:ilvl w:val="1"/>
          <w:numId w:val="2"/>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potenciālo projekta partnerību veidošana;</w:t>
      </w:r>
    </w:p>
    <w:p w:rsidR="00442AF3" w:rsidRDefault="00442AF3" w:rsidP="00442AF3">
      <w:pPr>
        <w:pStyle w:val="ListParagraph"/>
        <w:numPr>
          <w:ilvl w:val="1"/>
          <w:numId w:val="2"/>
        </w:numPr>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aptuvens budžeta plāns.</w:t>
      </w:r>
    </w:p>
    <w:p w:rsidR="00442AF3" w:rsidRDefault="00442AF3" w:rsidP="00442AF3">
      <w:pPr>
        <w:pStyle w:val="ListParagraph"/>
        <w:numPr>
          <w:ilvl w:val="0"/>
          <w:numId w:val="2"/>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Ziņojums par galvenā projekta</w:t>
      </w:r>
      <w:r w:rsidR="000D20E4">
        <w:rPr>
          <w:rFonts w:ascii="Times New Roman" w:hAnsi="Times New Roman" w:cs="Times New Roman"/>
          <w:sz w:val="28"/>
          <w:szCs w:val="28"/>
        </w:rPr>
        <w:t xml:space="preserve"> </w:t>
      </w:r>
      <w:r w:rsidR="000D20E4" w:rsidRPr="00566C77">
        <w:rPr>
          <w:rFonts w:ascii="Times New Roman" w:hAnsi="Times New Roman" w:cs="Times New Roman"/>
          <w:i/>
          <w:sz w:val="28"/>
          <w:szCs w:val="28"/>
        </w:rPr>
        <w:t>InnoHealth</w:t>
      </w:r>
      <w:r>
        <w:rPr>
          <w:rFonts w:ascii="Times New Roman" w:hAnsi="Times New Roman" w:cs="Times New Roman"/>
          <w:sz w:val="28"/>
          <w:szCs w:val="28"/>
        </w:rPr>
        <w:t xml:space="preserve"> finansējuma iespējām un ceļvedis, kurā norādīti soļi, kas tiks sperti pēc p</w:t>
      </w:r>
      <w:r w:rsidRPr="00482165">
        <w:rPr>
          <w:rFonts w:ascii="Times New Roman" w:hAnsi="Times New Roman" w:cs="Times New Roman"/>
          <w:sz w:val="28"/>
          <w:szCs w:val="28"/>
        </w:rPr>
        <w:t>rojektu izstrādāšanas</w:t>
      </w:r>
      <w:r>
        <w:rPr>
          <w:rFonts w:ascii="Times New Roman" w:hAnsi="Times New Roman" w:cs="Times New Roman"/>
          <w:sz w:val="28"/>
          <w:szCs w:val="28"/>
        </w:rPr>
        <w:t xml:space="preserve"> instrumenta</w:t>
      </w:r>
      <w:r>
        <w:rPr>
          <w:rFonts w:ascii="Times New Roman" w:hAnsi="Times New Roman" w:cs="Times New Roman"/>
          <w:i/>
          <w:sz w:val="28"/>
          <w:szCs w:val="28"/>
        </w:rPr>
        <w:t xml:space="preserve"> </w:t>
      </w:r>
      <w:r w:rsidRPr="001316A5">
        <w:rPr>
          <w:rFonts w:ascii="Times New Roman" w:hAnsi="Times New Roman" w:cs="Times New Roman"/>
          <w:sz w:val="28"/>
          <w:szCs w:val="28"/>
        </w:rPr>
        <w:t xml:space="preserve">projekta </w:t>
      </w:r>
      <w:r w:rsidRPr="00566C77">
        <w:rPr>
          <w:rFonts w:ascii="Times New Roman" w:hAnsi="Times New Roman" w:cs="Times New Roman"/>
          <w:i/>
          <w:sz w:val="28"/>
          <w:szCs w:val="28"/>
        </w:rPr>
        <w:t>InnoHealth</w:t>
      </w:r>
      <w:r>
        <w:rPr>
          <w:rFonts w:ascii="Times New Roman" w:hAnsi="Times New Roman" w:cs="Times New Roman"/>
          <w:sz w:val="28"/>
          <w:szCs w:val="28"/>
        </w:rPr>
        <w:t xml:space="preserve"> beigām.</w:t>
      </w:r>
    </w:p>
    <w:p w:rsidR="00442AF3" w:rsidRPr="00442AF3" w:rsidRDefault="00442AF3" w:rsidP="00442A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Gadījumā, ja galvenais </w:t>
      </w:r>
      <w:r w:rsidRPr="001316A5">
        <w:rPr>
          <w:rFonts w:ascii="Times New Roman" w:hAnsi="Times New Roman" w:cs="Times New Roman"/>
          <w:sz w:val="28"/>
          <w:szCs w:val="28"/>
        </w:rPr>
        <w:t>p</w:t>
      </w:r>
      <w:r>
        <w:rPr>
          <w:rFonts w:ascii="Times New Roman" w:hAnsi="Times New Roman" w:cs="Times New Roman"/>
          <w:sz w:val="28"/>
          <w:szCs w:val="28"/>
        </w:rPr>
        <w:t>rojekts</w:t>
      </w:r>
      <w:r w:rsidRPr="001316A5">
        <w:rPr>
          <w:rFonts w:ascii="Times New Roman" w:hAnsi="Times New Roman" w:cs="Times New Roman"/>
          <w:sz w:val="28"/>
          <w:szCs w:val="28"/>
        </w:rPr>
        <w:t xml:space="preserve"> </w:t>
      </w:r>
      <w:r w:rsidRPr="00566C77">
        <w:rPr>
          <w:rFonts w:ascii="Times New Roman" w:hAnsi="Times New Roman" w:cs="Times New Roman"/>
          <w:i/>
          <w:sz w:val="28"/>
          <w:szCs w:val="28"/>
        </w:rPr>
        <w:t>InnoHealth</w:t>
      </w:r>
      <w:r>
        <w:rPr>
          <w:rFonts w:ascii="Times New Roman" w:hAnsi="Times New Roman" w:cs="Times New Roman"/>
          <w:i/>
          <w:sz w:val="28"/>
          <w:szCs w:val="28"/>
        </w:rPr>
        <w:t xml:space="preserve"> </w:t>
      </w:r>
      <w:r w:rsidRPr="00442AF3">
        <w:rPr>
          <w:rFonts w:ascii="Times New Roman" w:hAnsi="Times New Roman" w:cs="Times New Roman"/>
          <w:sz w:val="28"/>
          <w:szCs w:val="28"/>
        </w:rPr>
        <w:t>ietvers investīciju detaļas, ta</w:t>
      </w:r>
      <w:r>
        <w:rPr>
          <w:rFonts w:ascii="Times New Roman" w:hAnsi="Times New Roman" w:cs="Times New Roman"/>
          <w:sz w:val="28"/>
          <w:szCs w:val="28"/>
        </w:rPr>
        <w:t>d p</w:t>
      </w:r>
      <w:r w:rsidRPr="00482165">
        <w:rPr>
          <w:rFonts w:ascii="Times New Roman" w:hAnsi="Times New Roman" w:cs="Times New Roman"/>
          <w:sz w:val="28"/>
          <w:szCs w:val="28"/>
        </w:rPr>
        <w:t>rojektu izstrādāšanas</w:t>
      </w:r>
      <w:r>
        <w:rPr>
          <w:rFonts w:ascii="Times New Roman" w:hAnsi="Times New Roman" w:cs="Times New Roman"/>
          <w:sz w:val="28"/>
          <w:szCs w:val="28"/>
        </w:rPr>
        <w:t xml:space="preserve"> instrumenta</w:t>
      </w:r>
      <w:r>
        <w:rPr>
          <w:rFonts w:ascii="Times New Roman" w:hAnsi="Times New Roman" w:cs="Times New Roman"/>
          <w:i/>
          <w:sz w:val="28"/>
          <w:szCs w:val="28"/>
        </w:rPr>
        <w:t xml:space="preserve"> </w:t>
      </w:r>
      <w:r w:rsidRPr="001316A5">
        <w:rPr>
          <w:rFonts w:ascii="Times New Roman" w:hAnsi="Times New Roman" w:cs="Times New Roman"/>
          <w:sz w:val="28"/>
          <w:szCs w:val="28"/>
        </w:rPr>
        <w:t>p</w:t>
      </w:r>
      <w:r>
        <w:rPr>
          <w:rFonts w:ascii="Times New Roman" w:hAnsi="Times New Roman" w:cs="Times New Roman"/>
          <w:sz w:val="28"/>
          <w:szCs w:val="28"/>
        </w:rPr>
        <w:t>rojekts</w:t>
      </w:r>
      <w:r w:rsidRPr="001316A5">
        <w:rPr>
          <w:rFonts w:ascii="Times New Roman" w:hAnsi="Times New Roman" w:cs="Times New Roman"/>
          <w:sz w:val="28"/>
          <w:szCs w:val="28"/>
        </w:rPr>
        <w:t xml:space="preserve"> </w:t>
      </w:r>
      <w:r w:rsidRPr="00566C77">
        <w:rPr>
          <w:rFonts w:ascii="Times New Roman" w:hAnsi="Times New Roman" w:cs="Times New Roman"/>
          <w:i/>
          <w:sz w:val="28"/>
          <w:szCs w:val="28"/>
        </w:rPr>
        <w:t>InnoHealth</w:t>
      </w:r>
      <w:r>
        <w:rPr>
          <w:rFonts w:ascii="Times New Roman" w:hAnsi="Times New Roman" w:cs="Times New Roman"/>
          <w:sz w:val="28"/>
          <w:szCs w:val="28"/>
        </w:rPr>
        <w:t xml:space="preserve"> var tikt izmantots, lai izstrādātu arī iepriekšēju </w:t>
      </w:r>
      <w:r w:rsidR="005653FF">
        <w:rPr>
          <w:rFonts w:ascii="Times New Roman" w:hAnsi="Times New Roman" w:cs="Times New Roman"/>
          <w:sz w:val="28"/>
          <w:szCs w:val="28"/>
        </w:rPr>
        <w:t xml:space="preserve">galvenā </w:t>
      </w:r>
      <w:r w:rsidR="005653FF" w:rsidRPr="001316A5">
        <w:rPr>
          <w:rFonts w:ascii="Times New Roman" w:hAnsi="Times New Roman" w:cs="Times New Roman"/>
          <w:sz w:val="28"/>
          <w:szCs w:val="28"/>
        </w:rPr>
        <w:t>p</w:t>
      </w:r>
      <w:r w:rsidR="005653FF">
        <w:rPr>
          <w:rFonts w:ascii="Times New Roman" w:hAnsi="Times New Roman" w:cs="Times New Roman"/>
          <w:sz w:val="28"/>
          <w:szCs w:val="28"/>
        </w:rPr>
        <w:t>rojekta</w:t>
      </w:r>
      <w:r w:rsidR="005653FF" w:rsidRPr="001316A5">
        <w:rPr>
          <w:rFonts w:ascii="Times New Roman" w:hAnsi="Times New Roman" w:cs="Times New Roman"/>
          <w:sz w:val="28"/>
          <w:szCs w:val="28"/>
        </w:rPr>
        <w:t xml:space="preserve"> </w:t>
      </w:r>
      <w:r w:rsidR="005653FF" w:rsidRPr="00566C77">
        <w:rPr>
          <w:rFonts w:ascii="Times New Roman" w:hAnsi="Times New Roman" w:cs="Times New Roman"/>
          <w:i/>
          <w:sz w:val="28"/>
          <w:szCs w:val="28"/>
        </w:rPr>
        <w:t>InnoHealth</w:t>
      </w:r>
      <w:r>
        <w:rPr>
          <w:rFonts w:ascii="Times New Roman" w:hAnsi="Times New Roman" w:cs="Times New Roman"/>
          <w:sz w:val="28"/>
          <w:szCs w:val="28"/>
        </w:rPr>
        <w:t xml:space="preserve"> ilgtspējas izpēti.</w:t>
      </w:r>
    </w:p>
    <w:p w:rsidR="000F4911" w:rsidRDefault="00262489" w:rsidP="00D31DB7">
      <w:pPr>
        <w:spacing w:after="0" w:line="240" w:lineRule="auto"/>
        <w:ind w:firstLine="720"/>
        <w:jc w:val="both"/>
        <w:rPr>
          <w:rFonts w:ascii="Times New Roman" w:hAnsi="Times New Roman" w:cs="Times New Roman"/>
          <w:sz w:val="28"/>
          <w:szCs w:val="28"/>
        </w:rPr>
      </w:pPr>
      <w:r w:rsidRPr="00482165">
        <w:rPr>
          <w:rFonts w:ascii="Times New Roman" w:hAnsi="Times New Roman" w:cs="Times New Roman"/>
          <w:sz w:val="28"/>
          <w:szCs w:val="28"/>
        </w:rPr>
        <w:lastRenderedPageBreak/>
        <w:t>Projektu izstrādāšanas</w:t>
      </w:r>
      <w:r>
        <w:rPr>
          <w:rFonts w:ascii="Times New Roman" w:hAnsi="Times New Roman" w:cs="Times New Roman"/>
          <w:sz w:val="28"/>
          <w:szCs w:val="28"/>
        </w:rPr>
        <w:t xml:space="preserve"> </w:t>
      </w:r>
      <w:r w:rsidRPr="001316A5">
        <w:rPr>
          <w:rFonts w:ascii="Times New Roman" w:hAnsi="Times New Roman" w:cs="Times New Roman"/>
          <w:sz w:val="28"/>
          <w:szCs w:val="28"/>
        </w:rPr>
        <w:t>instrumenta p</w:t>
      </w:r>
      <w:r w:rsidR="00324E47" w:rsidRPr="001316A5">
        <w:rPr>
          <w:rFonts w:ascii="Times New Roman" w:hAnsi="Times New Roman" w:cs="Times New Roman"/>
          <w:sz w:val="28"/>
          <w:szCs w:val="28"/>
        </w:rPr>
        <w:t xml:space="preserve">rojektā </w:t>
      </w:r>
      <w:r w:rsidR="00324E47" w:rsidRPr="00B61D40">
        <w:rPr>
          <w:rFonts w:ascii="Times New Roman" w:hAnsi="Times New Roman" w:cs="Times New Roman"/>
          <w:i/>
          <w:sz w:val="28"/>
          <w:szCs w:val="28"/>
        </w:rPr>
        <w:t>InnoHealth</w:t>
      </w:r>
      <w:r w:rsidR="00324E47">
        <w:rPr>
          <w:rFonts w:ascii="Times New Roman" w:hAnsi="Times New Roman" w:cs="Times New Roman"/>
          <w:sz w:val="28"/>
          <w:szCs w:val="28"/>
        </w:rPr>
        <w:t xml:space="preserve"> </w:t>
      </w:r>
      <w:r w:rsidR="00324E47" w:rsidRPr="00C56B40">
        <w:rPr>
          <w:rFonts w:ascii="Times New Roman" w:hAnsi="Times New Roman" w:cs="Times New Roman"/>
          <w:sz w:val="28"/>
          <w:szCs w:val="28"/>
        </w:rPr>
        <w:t xml:space="preserve">Nacionālais veselības dienests (turpmāk </w:t>
      </w:r>
      <w:r w:rsidR="00F816F7">
        <w:rPr>
          <w:rFonts w:ascii="Times New Roman" w:hAnsi="Times New Roman" w:cs="Times New Roman"/>
          <w:sz w:val="28"/>
          <w:szCs w:val="28"/>
        </w:rPr>
        <w:t>–</w:t>
      </w:r>
      <w:r w:rsidR="00324E47" w:rsidRPr="00C56B40">
        <w:rPr>
          <w:rFonts w:ascii="Times New Roman" w:hAnsi="Times New Roman" w:cs="Times New Roman"/>
          <w:sz w:val="28"/>
          <w:szCs w:val="28"/>
        </w:rPr>
        <w:t xml:space="preserve"> NVD) </w:t>
      </w:r>
      <w:r w:rsidR="00D31DB7">
        <w:rPr>
          <w:rFonts w:ascii="Times New Roman" w:hAnsi="Times New Roman" w:cs="Times New Roman"/>
          <w:sz w:val="28"/>
          <w:szCs w:val="28"/>
        </w:rPr>
        <w:t>plāno piedalīties</w:t>
      </w:r>
      <w:r w:rsidR="00324E47">
        <w:rPr>
          <w:rFonts w:ascii="Times New Roman" w:hAnsi="Times New Roman" w:cs="Times New Roman"/>
          <w:sz w:val="28"/>
          <w:szCs w:val="28"/>
        </w:rPr>
        <w:t xml:space="preserve"> v</w:t>
      </w:r>
      <w:r w:rsidR="00324E47" w:rsidRPr="00C56B40">
        <w:rPr>
          <w:rFonts w:ascii="Times New Roman" w:hAnsi="Times New Roman" w:cs="Times New Roman"/>
          <w:sz w:val="28"/>
          <w:szCs w:val="28"/>
        </w:rPr>
        <w:t>adoš</w:t>
      </w:r>
      <w:r w:rsidR="00324E47">
        <w:rPr>
          <w:rFonts w:ascii="Times New Roman" w:hAnsi="Times New Roman" w:cs="Times New Roman"/>
          <w:sz w:val="28"/>
          <w:szCs w:val="28"/>
        </w:rPr>
        <w:t>ā</w:t>
      </w:r>
      <w:r w:rsidR="00324E47" w:rsidRPr="00C56B40">
        <w:rPr>
          <w:rFonts w:ascii="Times New Roman" w:hAnsi="Times New Roman" w:cs="Times New Roman"/>
          <w:sz w:val="28"/>
          <w:szCs w:val="28"/>
        </w:rPr>
        <w:t xml:space="preserve"> </w:t>
      </w:r>
      <w:r w:rsidR="00324E47">
        <w:rPr>
          <w:rFonts w:ascii="Times New Roman" w:hAnsi="Times New Roman" w:cs="Times New Roman"/>
          <w:sz w:val="28"/>
          <w:szCs w:val="28"/>
        </w:rPr>
        <w:t>p</w:t>
      </w:r>
      <w:r w:rsidR="00324E47" w:rsidRPr="00C56B40">
        <w:rPr>
          <w:rFonts w:ascii="Times New Roman" w:hAnsi="Times New Roman" w:cs="Times New Roman"/>
          <w:sz w:val="28"/>
          <w:szCs w:val="28"/>
        </w:rPr>
        <w:t>artner</w:t>
      </w:r>
      <w:r w:rsidR="00324E47">
        <w:rPr>
          <w:rFonts w:ascii="Times New Roman" w:hAnsi="Times New Roman" w:cs="Times New Roman"/>
          <w:sz w:val="28"/>
          <w:szCs w:val="28"/>
        </w:rPr>
        <w:t>a statusā</w:t>
      </w:r>
      <w:r w:rsidR="00CC0061">
        <w:rPr>
          <w:rFonts w:ascii="Times New Roman" w:hAnsi="Times New Roman" w:cs="Times New Roman"/>
          <w:sz w:val="28"/>
          <w:szCs w:val="28"/>
        </w:rPr>
        <w:t xml:space="preserve"> un</w:t>
      </w:r>
      <w:r w:rsidR="00D31DB7">
        <w:rPr>
          <w:rFonts w:ascii="Times New Roman" w:hAnsi="Times New Roman" w:cs="Times New Roman"/>
          <w:sz w:val="28"/>
          <w:szCs w:val="28"/>
        </w:rPr>
        <w:t xml:space="preserve"> kā </w:t>
      </w:r>
      <w:r w:rsidR="00324E47">
        <w:rPr>
          <w:rFonts w:ascii="Times New Roman" w:hAnsi="Times New Roman" w:cs="Times New Roman"/>
          <w:sz w:val="28"/>
          <w:szCs w:val="28"/>
        </w:rPr>
        <w:t>sadarbīb</w:t>
      </w:r>
      <w:r w:rsidR="00D31DB7">
        <w:rPr>
          <w:rFonts w:ascii="Times New Roman" w:hAnsi="Times New Roman" w:cs="Times New Roman"/>
          <w:sz w:val="28"/>
          <w:szCs w:val="28"/>
        </w:rPr>
        <w:t>as partneri</w:t>
      </w:r>
      <w:r w:rsidR="008267F3">
        <w:rPr>
          <w:rFonts w:ascii="Times New Roman" w:hAnsi="Times New Roman" w:cs="Times New Roman"/>
          <w:sz w:val="28"/>
          <w:szCs w:val="28"/>
        </w:rPr>
        <w:t xml:space="preserve"> plāno piedalīties </w:t>
      </w:r>
      <w:r w:rsidR="00324E47" w:rsidRPr="00C56B40">
        <w:rPr>
          <w:rFonts w:ascii="Times New Roman" w:hAnsi="Times New Roman" w:cs="Times New Roman"/>
          <w:sz w:val="28"/>
          <w:szCs w:val="28"/>
        </w:rPr>
        <w:t>Klaipēdas universitāt</w:t>
      </w:r>
      <w:r w:rsidR="00324E47">
        <w:rPr>
          <w:rFonts w:ascii="Times New Roman" w:hAnsi="Times New Roman" w:cs="Times New Roman"/>
          <w:sz w:val="28"/>
          <w:szCs w:val="28"/>
        </w:rPr>
        <w:t>e (Lietuva)</w:t>
      </w:r>
      <w:r w:rsidR="00324E47" w:rsidRPr="00C56B40">
        <w:rPr>
          <w:rFonts w:ascii="Times New Roman" w:hAnsi="Times New Roman" w:cs="Times New Roman"/>
          <w:sz w:val="28"/>
          <w:szCs w:val="28"/>
        </w:rPr>
        <w:t xml:space="preserve"> un </w:t>
      </w:r>
      <w:r w:rsidR="00324E47">
        <w:rPr>
          <w:rFonts w:ascii="Times New Roman" w:hAnsi="Times New Roman" w:cs="Times New Roman"/>
          <w:sz w:val="28"/>
          <w:szCs w:val="28"/>
        </w:rPr>
        <w:t>Lundas universitāte</w:t>
      </w:r>
      <w:r w:rsidR="00324E47" w:rsidRPr="00C56B40">
        <w:rPr>
          <w:rFonts w:ascii="Times New Roman" w:hAnsi="Times New Roman" w:cs="Times New Roman"/>
          <w:sz w:val="28"/>
          <w:szCs w:val="28"/>
        </w:rPr>
        <w:t xml:space="preserve"> (</w:t>
      </w:r>
      <w:r w:rsidR="00324E47">
        <w:rPr>
          <w:rFonts w:ascii="Times New Roman" w:hAnsi="Times New Roman" w:cs="Times New Roman"/>
          <w:sz w:val="28"/>
          <w:szCs w:val="28"/>
        </w:rPr>
        <w:t>Zviedrija</w:t>
      </w:r>
      <w:r w:rsidR="00324E47" w:rsidRPr="00C56B40">
        <w:rPr>
          <w:rFonts w:ascii="Times New Roman" w:hAnsi="Times New Roman" w:cs="Times New Roman"/>
          <w:sz w:val="28"/>
          <w:szCs w:val="28"/>
        </w:rPr>
        <w:t>).</w:t>
      </w:r>
    </w:p>
    <w:p w:rsidR="00F21D5E" w:rsidRDefault="006436C1" w:rsidP="00DB166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Plānots, ka</w:t>
      </w:r>
      <w:r w:rsidR="00F34122">
        <w:rPr>
          <w:rFonts w:ascii="Times New Roman" w:hAnsi="Times New Roman" w:cs="Times New Roman"/>
          <w:sz w:val="28"/>
          <w:szCs w:val="28"/>
        </w:rPr>
        <w:t xml:space="preserve"> galvenais</w:t>
      </w:r>
      <w:r>
        <w:rPr>
          <w:rFonts w:ascii="Times New Roman" w:hAnsi="Times New Roman" w:cs="Times New Roman"/>
          <w:sz w:val="28"/>
          <w:szCs w:val="28"/>
        </w:rPr>
        <w:t xml:space="preserve"> </w:t>
      </w:r>
      <w:r w:rsidRPr="001316A5">
        <w:rPr>
          <w:rFonts w:ascii="Times New Roman" w:hAnsi="Times New Roman" w:cs="Times New Roman"/>
          <w:sz w:val="28"/>
          <w:szCs w:val="28"/>
        </w:rPr>
        <w:t>p</w:t>
      </w:r>
      <w:r w:rsidR="00324E47" w:rsidRPr="001316A5">
        <w:rPr>
          <w:rFonts w:ascii="Times New Roman" w:hAnsi="Times New Roman" w:cs="Times New Roman"/>
          <w:sz w:val="28"/>
          <w:szCs w:val="28"/>
        </w:rPr>
        <w:t xml:space="preserve">rojekts </w:t>
      </w:r>
      <w:r w:rsidR="00324E47" w:rsidRPr="00B61D40">
        <w:rPr>
          <w:rFonts w:ascii="Times New Roman" w:hAnsi="Times New Roman" w:cs="Times New Roman"/>
          <w:i/>
          <w:sz w:val="28"/>
          <w:szCs w:val="28"/>
        </w:rPr>
        <w:t>InnoHealth</w:t>
      </w:r>
      <w:r w:rsidR="00324E47">
        <w:rPr>
          <w:rFonts w:ascii="Times New Roman" w:hAnsi="Times New Roman" w:cs="Times New Roman"/>
          <w:sz w:val="28"/>
          <w:szCs w:val="28"/>
        </w:rPr>
        <w:t xml:space="preserve"> turpinās </w:t>
      </w:r>
      <w:r>
        <w:rPr>
          <w:rFonts w:ascii="Times New Roman" w:hAnsi="Times New Roman" w:cs="Times New Roman"/>
          <w:sz w:val="28"/>
          <w:szCs w:val="28"/>
        </w:rPr>
        <w:t xml:space="preserve">Ziemeļu Dimensijas </w:t>
      </w:r>
      <w:r w:rsidR="00324E47">
        <w:rPr>
          <w:rFonts w:ascii="Times New Roman" w:hAnsi="Times New Roman" w:cs="Times New Roman"/>
          <w:sz w:val="28"/>
          <w:szCs w:val="28"/>
        </w:rPr>
        <w:t xml:space="preserve">Partnerības Sabiedrības veselības un sociālās labklājības sekretariāta iniciētā </w:t>
      </w:r>
      <w:r w:rsidR="00324E47" w:rsidRPr="008A2E25">
        <w:rPr>
          <w:rFonts w:ascii="Times New Roman" w:hAnsi="Times New Roman" w:cs="Times New Roman"/>
          <w:sz w:val="28"/>
          <w:szCs w:val="28"/>
        </w:rPr>
        <w:t>Baltijas jūras reģiona transn</w:t>
      </w:r>
      <w:r w:rsidR="00D45CE0">
        <w:rPr>
          <w:rFonts w:ascii="Times New Roman" w:hAnsi="Times New Roman" w:cs="Times New Roman"/>
          <w:sz w:val="28"/>
          <w:szCs w:val="28"/>
        </w:rPr>
        <w:t>acionālās sadarbības programmas</w:t>
      </w:r>
      <w:r w:rsidR="00324E47" w:rsidRPr="008A2E25">
        <w:rPr>
          <w:rFonts w:ascii="Times New Roman" w:hAnsi="Times New Roman" w:cs="Times New Roman"/>
          <w:sz w:val="28"/>
          <w:szCs w:val="28"/>
        </w:rPr>
        <w:t xml:space="preserve"> projekt</w:t>
      </w:r>
      <w:r w:rsidR="00324E47">
        <w:rPr>
          <w:rFonts w:ascii="Times New Roman" w:hAnsi="Times New Roman" w:cs="Times New Roman"/>
          <w:sz w:val="28"/>
          <w:szCs w:val="28"/>
        </w:rPr>
        <w:t>a</w:t>
      </w:r>
      <w:r w:rsidR="00324E47" w:rsidRPr="008A2E25">
        <w:rPr>
          <w:rFonts w:ascii="Times New Roman" w:hAnsi="Times New Roman" w:cs="Times New Roman"/>
          <w:sz w:val="28"/>
          <w:szCs w:val="28"/>
        </w:rPr>
        <w:t xml:space="preserve"> </w:t>
      </w:r>
      <w:r w:rsidR="000D6868" w:rsidRPr="000D6868">
        <w:rPr>
          <w:rFonts w:ascii="Times New Roman" w:hAnsi="Times New Roman" w:cs="Times New Roman"/>
          <w:sz w:val="28"/>
          <w:szCs w:val="28"/>
        </w:rPr>
        <w:t>“</w:t>
      </w:r>
      <w:r w:rsidR="00324E47" w:rsidRPr="008A2E25">
        <w:rPr>
          <w:rFonts w:ascii="Times New Roman" w:hAnsi="Times New Roman" w:cs="Times New Roman"/>
          <w:sz w:val="28"/>
          <w:szCs w:val="28"/>
        </w:rPr>
        <w:t>Sabiedrības veselības uzlabošana, veicinot vienlīdzīgi pieejamu augstas kvalitātes primārās veselības aprūpes sistēmu (ImPrim)”</w:t>
      </w:r>
      <w:r w:rsidR="00D45CE0">
        <w:rPr>
          <w:rFonts w:ascii="Times New Roman" w:hAnsi="Times New Roman" w:cs="Times New Roman"/>
          <w:sz w:val="28"/>
          <w:szCs w:val="28"/>
        </w:rPr>
        <w:t xml:space="preserve"> </w:t>
      </w:r>
      <w:r w:rsidR="00324E47">
        <w:rPr>
          <w:rFonts w:ascii="Times New Roman" w:hAnsi="Times New Roman" w:cs="Times New Roman"/>
          <w:sz w:val="28"/>
          <w:szCs w:val="28"/>
        </w:rPr>
        <w:t xml:space="preserve">(turpmāk – projekts ImPrim) iesākto darbu inovatīvu risinājumu izveidē veselības aprūpē. Projektā </w:t>
      </w:r>
      <w:proofErr w:type="spellStart"/>
      <w:r w:rsidR="00324E47">
        <w:rPr>
          <w:rFonts w:ascii="Times New Roman" w:hAnsi="Times New Roman" w:cs="Times New Roman"/>
          <w:sz w:val="28"/>
          <w:szCs w:val="28"/>
        </w:rPr>
        <w:t>ImPrim</w:t>
      </w:r>
      <w:proofErr w:type="spellEnd"/>
      <w:r w:rsidR="00324E47">
        <w:rPr>
          <w:rFonts w:ascii="Times New Roman" w:hAnsi="Times New Roman" w:cs="Times New Roman"/>
          <w:sz w:val="28"/>
          <w:szCs w:val="28"/>
        </w:rPr>
        <w:t xml:space="preserve"> NVD darbojās kā sadarbības partneris veicot darba paketes </w:t>
      </w:r>
      <w:r w:rsidR="000D6868" w:rsidRPr="009320FF">
        <w:rPr>
          <w:rFonts w:ascii="Times New Roman" w:hAnsi="Times New Roman" w:cs="Times New Roman"/>
          <w:sz w:val="28"/>
          <w:szCs w:val="28"/>
        </w:rPr>
        <w:t>“</w:t>
      </w:r>
      <w:r w:rsidR="00324E47">
        <w:rPr>
          <w:rFonts w:ascii="Times New Roman" w:hAnsi="Times New Roman" w:cs="Times New Roman"/>
          <w:sz w:val="28"/>
          <w:szCs w:val="28"/>
        </w:rPr>
        <w:t>Finanšu instrumentu uzlabošana primārās veselības aprūpes pakalpojumu nodrošināšanai” koordināciju. Pamatojoties uz projekta ImPrim rezultātiem, Latvijā ir ieviest</w:t>
      </w:r>
      <w:r w:rsidR="00B86E69">
        <w:rPr>
          <w:rFonts w:ascii="Times New Roman" w:hAnsi="Times New Roman" w:cs="Times New Roman"/>
          <w:sz w:val="28"/>
          <w:szCs w:val="28"/>
        </w:rPr>
        <w:t>i</w:t>
      </w:r>
      <w:r w:rsidR="000F4911">
        <w:rPr>
          <w:rFonts w:ascii="Times New Roman" w:hAnsi="Times New Roman" w:cs="Times New Roman"/>
          <w:sz w:val="28"/>
          <w:szCs w:val="28"/>
        </w:rPr>
        <w:t xml:space="preserve"> uz iniciatīvu orientēti motivējoši</w:t>
      </w:r>
      <w:r w:rsidR="00324E47">
        <w:rPr>
          <w:rFonts w:ascii="Times New Roman" w:hAnsi="Times New Roman" w:cs="Times New Roman"/>
          <w:sz w:val="28"/>
          <w:szCs w:val="28"/>
        </w:rPr>
        <w:t xml:space="preserve"> primārās veselības aprūpes pakalpojumu apmaksas sistēma</w:t>
      </w:r>
      <w:r w:rsidR="00B86E69">
        <w:rPr>
          <w:rFonts w:ascii="Times New Roman" w:hAnsi="Times New Roman" w:cs="Times New Roman"/>
          <w:sz w:val="28"/>
          <w:szCs w:val="28"/>
        </w:rPr>
        <w:t>s elementi</w:t>
      </w:r>
      <w:r w:rsidR="00324E47">
        <w:rPr>
          <w:rFonts w:ascii="Times New Roman" w:hAnsi="Times New Roman" w:cs="Times New Roman"/>
          <w:sz w:val="28"/>
          <w:szCs w:val="28"/>
        </w:rPr>
        <w:t xml:space="preserve">, kas balstās uz sniegto pakalpojumu apjomu (kapitācija) un sasniegtajiem rezultātiem, kuri tiek kvantitatīvi noteikti izmantojot konkrētus indikatorus. </w:t>
      </w:r>
      <w:r w:rsidR="0074353C" w:rsidRPr="0074353C">
        <w:rPr>
          <w:rFonts w:ascii="Times New Roman" w:hAnsi="Times New Roman" w:cs="Times New Roman"/>
          <w:sz w:val="28"/>
          <w:szCs w:val="28"/>
        </w:rPr>
        <w:t>Galvenais projekts</w:t>
      </w:r>
      <w:r w:rsidR="00324E47" w:rsidRPr="00B61D40">
        <w:rPr>
          <w:rFonts w:ascii="Times New Roman" w:hAnsi="Times New Roman" w:cs="Times New Roman"/>
          <w:i/>
          <w:sz w:val="28"/>
          <w:szCs w:val="28"/>
        </w:rPr>
        <w:t xml:space="preserve"> InnoHealth</w:t>
      </w:r>
      <w:r w:rsidR="00324E47">
        <w:rPr>
          <w:rFonts w:ascii="Times New Roman" w:hAnsi="Times New Roman" w:cs="Times New Roman"/>
          <w:sz w:val="28"/>
          <w:szCs w:val="28"/>
        </w:rPr>
        <w:t xml:space="preserve"> balstīsies arī </w:t>
      </w:r>
      <w:r w:rsidR="00B42653">
        <w:rPr>
          <w:rFonts w:ascii="Times New Roman" w:hAnsi="Times New Roman" w:cs="Times New Roman"/>
          <w:sz w:val="28"/>
          <w:szCs w:val="28"/>
        </w:rPr>
        <w:t xml:space="preserve">uz </w:t>
      </w:r>
      <w:r w:rsidR="00324E47">
        <w:rPr>
          <w:rFonts w:ascii="Times New Roman" w:hAnsi="Times New Roman" w:cs="Times New Roman"/>
          <w:sz w:val="28"/>
          <w:szCs w:val="28"/>
        </w:rPr>
        <w:t xml:space="preserve">Pasaules Veselības organizācijas iniciētā pētījuma “Ambulatorās aprūpes sensitīvie stāvokļi Latvijā” rezultātiem. Pētījums </w:t>
      </w:r>
      <w:r w:rsidR="000F4911">
        <w:rPr>
          <w:rFonts w:ascii="Times New Roman" w:hAnsi="Times New Roman" w:cs="Times New Roman"/>
          <w:sz w:val="28"/>
          <w:szCs w:val="28"/>
        </w:rPr>
        <w:t xml:space="preserve">norādīja </w:t>
      </w:r>
      <w:r w:rsidR="000F4911" w:rsidRPr="00B26D4A">
        <w:rPr>
          <w:rFonts w:ascii="Times New Roman" w:hAnsi="Times New Roman" w:cs="Times New Roman"/>
          <w:sz w:val="28"/>
          <w:szCs w:val="28"/>
        </w:rPr>
        <w:t>uz ievērojamām iespējām</w:t>
      </w:r>
      <w:r w:rsidR="00324E47" w:rsidRPr="00B26D4A">
        <w:rPr>
          <w:rFonts w:ascii="Times New Roman" w:hAnsi="Times New Roman" w:cs="Times New Roman"/>
          <w:sz w:val="28"/>
          <w:szCs w:val="28"/>
        </w:rPr>
        <w:t xml:space="preserve"> samazināt hospitalizā</w:t>
      </w:r>
      <w:r w:rsidR="00B42653" w:rsidRPr="00B26D4A">
        <w:rPr>
          <w:rFonts w:ascii="Times New Roman" w:hAnsi="Times New Roman" w:cs="Times New Roman"/>
          <w:sz w:val="28"/>
          <w:szCs w:val="28"/>
        </w:rPr>
        <w:t>ci</w:t>
      </w:r>
      <w:r w:rsidR="00324E47" w:rsidRPr="00B26D4A">
        <w:rPr>
          <w:rFonts w:ascii="Times New Roman" w:hAnsi="Times New Roman" w:cs="Times New Roman"/>
          <w:sz w:val="28"/>
          <w:szCs w:val="28"/>
        </w:rPr>
        <w:t>ju</w:t>
      </w:r>
      <w:r w:rsidR="00E51F42" w:rsidRPr="00B26D4A">
        <w:rPr>
          <w:rFonts w:ascii="Times New Roman" w:hAnsi="Times New Roman" w:cs="Times New Roman"/>
          <w:sz w:val="28"/>
          <w:szCs w:val="28"/>
        </w:rPr>
        <w:t xml:space="preserve"> apjomu</w:t>
      </w:r>
      <w:r w:rsidR="00324E47" w:rsidRPr="00B26D4A">
        <w:rPr>
          <w:rFonts w:ascii="Times New Roman" w:hAnsi="Times New Roman" w:cs="Times New Roman"/>
          <w:sz w:val="28"/>
          <w:szCs w:val="28"/>
        </w:rPr>
        <w:t xml:space="preserve"> </w:t>
      </w:r>
      <w:r w:rsidR="00811D7B" w:rsidRPr="00B26D4A">
        <w:rPr>
          <w:rFonts w:ascii="Times New Roman" w:hAnsi="Times New Roman" w:cs="Times New Roman"/>
          <w:sz w:val="28"/>
          <w:szCs w:val="28"/>
        </w:rPr>
        <w:t xml:space="preserve">pie noteiktām </w:t>
      </w:r>
      <w:r w:rsidR="00324E47" w:rsidRPr="00B26D4A">
        <w:rPr>
          <w:rFonts w:ascii="Times New Roman" w:hAnsi="Times New Roman" w:cs="Times New Roman"/>
          <w:sz w:val="28"/>
          <w:szCs w:val="28"/>
        </w:rPr>
        <w:t xml:space="preserve">diagnozēm, bet diemžēl </w:t>
      </w:r>
      <w:r w:rsidR="00B86E69" w:rsidRPr="00B26D4A">
        <w:rPr>
          <w:rFonts w:ascii="Times New Roman" w:hAnsi="Times New Roman" w:cs="Times New Roman"/>
          <w:sz w:val="28"/>
          <w:szCs w:val="28"/>
        </w:rPr>
        <w:t xml:space="preserve">pakalpojumu sniedzējiem nav pietiekamu zināšanu kā šīs </w:t>
      </w:r>
      <w:r w:rsidR="00E51F42" w:rsidRPr="00B26D4A">
        <w:rPr>
          <w:rFonts w:ascii="Times New Roman" w:hAnsi="Times New Roman" w:cs="Times New Roman"/>
          <w:sz w:val="28"/>
          <w:szCs w:val="28"/>
        </w:rPr>
        <w:t>iespējas</w:t>
      </w:r>
      <w:r w:rsidR="00B86E69">
        <w:rPr>
          <w:rFonts w:ascii="Times New Roman" w:hAnsi="Times New Roman" w:cs="Times New Roman"/>
          <w:sz w:val="28"/>
          <w:szCs w:val="28"/>
        </w:rPr>
        <w:t xml:space="preserve"> ievies</w:t>
      </w:r>
      <w:r w:rsidR="00A96925">
        <w:rPr>
          <w:rFonts w:ascii="Times New Roman" w:hAnsi="Times New Roman" w:cs="Times New Roman"/>
          <w:sz w:val="28"/>
          <w:szCs w:val="28"/>
        </w:rPr>
        <w:t>t</w:t>
      </w:r>
      <w:r w:rsidR="00B86E69">
        <w:rPr>
          <w:rFonts w:ascii="Times New Roman" w:hAnsi="Times New Roman" w:cs="Times New Roman"/>
          <w:sz w:val="28"/>
          <w:szCs w:val="28"/>
        </w:rPr>
        <w:t xml:space="preserve"> praksē</w:t>
      </w:r>
      <w:r w:rsidR="00324E47">
        <w:rPr>
          <w:rFonts w:ascii="Times New Roman" w:hAnsi="Times New Roman" w:cs="Times New Roman"/>
          <w:sz w:val="28"/>
          <w:szCs w:val="28"/>
        </w:rPr>
        <w:t xml:space="preserve">. </w:t>
      </w:r>
      <w:r w:rsidR="0074353C" w:rsidRPr="0074353C">
        <w:rPr>
          <w:rFonts w:ascii="Times New Roman" w:hAnsi="Times New Roman" w:cs="Times New Roman"/>
          <w:sz w:val="28"/>
          <w:szCs w:val="28"/>
        </w:rPr>
        <w:t>Galvenais projekts</w:t>
      </w:r>
      <w:r w:rsidR="0074353C" w:rsidRPr="00B61D40">
        <w:rPr>
          <w:rFonts w:ascii="Times New Roman" w:hAnsi="Times New Roman" w:cs="Times New Roman"/>
          <w:i/>
          <w:sz w:val="28"/>
          <w:szCs w:val="28"/>
        </w:rPr>
        <w:t xml:space="preserve"> </w:t>
      </w:r>
      <w:r w:rsidR="00324E47" w:rsidRPr="00B61D40">
        <w:rPr>
          <w:rFonts w:ascii="Times New Roman" w:hAnsi="Times New Roman" w:cs="Times New Roman"/>
          <w:i/>
          <w:sz w:val="28"/>
          <w:szCs w:val="28"/>
        </w:rPr>
        <w:t>InnoHealth</w:t>
      </w:r>
      <w:r w:rsidR="00324E47">
        <w:rPr>
          <w:rFonts w:ascii="Times New Roman" w:hAnsi="Times New Roman" w:cs="Times New Roman"/>
          <w:sz w:val="28"/>
          <w:szCs w:val="28"/>
        </w:rPr>
        <w:t>, pielietojot inovatīvas tehnoloģijas, pilotējot un izvērtējot dažādus modeļus, izveidojot ne-medicīnisku programmu veselības aprūpes profesionāļiem, varētu ieviest dzīvē organizatoriskus un tehnoloģiskus risinājumus, kas paaugstinātu visas veselības aprūpes sistēmas izmaksu efektivitāti.</w:t>
      </w:r>
    </w:p>
    <w:p w:rsidR="00F21D5E" w:rsidRPr="00B26D4A" w:rsidRDefault="00DB1669" w:rsidP="00F21D5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Galvenā</w:t>
      </w:r>
      <w:r w:rsidR="00F21D5E" w:rsidRPr="00DB1669">
        <w:rPr>
          <w:rFonts w:ascii="Times New Roman" w:hAnsi="Times New Roman" w:cs="Times New Roman"/>
          <w:sz w:val="28"/>
          <w:szCs w:val="28"/>
        </w:rPr>
        <w:t xml:space="preserve"> projekta </w:t>
      </w:r>
      <w:r w:rsidR="00F21D5E" w:rsidRPr="00DB1669">
        <w:rPr>
          <w:rFonts w:ascii="Times New Roman" w:hAnsi="Times New Roman" w:cs="Times New Roman"/>
          <w:i/>
          <w:sz w:val="28"/>
          <w:szCs w:val="28"/>
        </w:rPr>
        <w:t>InnoHealth</w:t>
      </w:r>
      <w:r w:rsidR="00F21D5E" w:rsidRPr="00DB1669">
        <w:rPr>
          <w:rFonts w:ascii="Times New Roman" w:hAnsi="Times New Roman" w:cs="Times New Roman"/>
          <w:sz w:val="28"/>
          <w:szCs w:val="28"/>
        </w:rPr>
        <w:t xml:space="preserve"> mērķis </w:t>
      </w:r>
      <w:r w:rsidR="00EB4BF5">
        <w:rPr>
          <w:rFonts w:ascii="Times New Roman" w:hAnsi="Times New Roman" w:cs="Times New Roman"/>
          <w:sz w:val="28"/>
          <w:szCs w:val="28"/>
        </w:rPr>
        <w:t>būs</w:t>
      </w:r>
      <w:r w:rsidR="00F21D5E" w:rsidRPr="00DB1669">
        <w:rPr>
          <w:rFonts w:ascii="Times New Roman" w:hAnsi="Times New Roman" w:cs="Times New Roman"/>
          <w:sz w:val="28"/>
          <w:szCs w:val="28"/>
        </w:rPr>
        <w:t xml:space="preserve"> paaugstināt veselības aprūpes sistēmas izmaksu efektivitāti, samazinot hospitalizāciju skaitu</w:t>
      </w:r>
      <w:r w:rsidR="00DC3648">
        <w:rPr>
          <w:rFonts w:ascii="Times New Roman" w:hAnsi="Times New Roman" w:cs="Times New Roman"/>
          <w:sz w:val="28"/>
          <w:szCs w:val="28"/>
        </w:rPr>
        <w:t xml:space="preserve"> pacientiem ar noteiktām diagnozēm</w:t>
      </w:r>
      <w:r w:rsidR="00F21D5E" w:rsidRPr="00DB1669">
        <w:rPr>
          <w:rFonts w:ascii="Times New Roman" w:hAnsi="Times New Roman" w:cs="Times New Roman"/>
          <w:sz w:val="28"/>
          <w:szCs w:val="28"/>
        </w:rPr>
        <w:t xml:space="preserve">, kuras var ārstēt ambulatori. Mērķis tiks sasniegts stiprinot primāro veselības aprūpi, īpašu vērību veltot komandas darba uzlabošanai, sadarbībai ar sabiedrības veselības sektoru, uz pacientu </w:t>
      </w:r>
      <w:r w:rsidR="00F21D5E" w:rsidRPr="00B26D4A">
        <w:rPr>
          <w:rFonts w:ascii="Times New Roman" w:hAnsi="Times New Roman" w:cs="Times New Roman"/>
          <w:sz w:val="28"/>
          <w:szCs w:val="28"/>
        </w:rPr>
        <w:t xml:space="preserve">orientēta </w:t>
      </w:r>
      <w:r w:rsidR="00C8488B" w:rsidRPr="00B26D4A">
        <w:rPr>
          <w:rFonts w:ascii="Times New Roman" w:hAnsi="Times New Roman" w:cs="Times New Roman"/>
          <w:sz w:val="28"/>
          <w:szCs w:val="28"/>
        </w:rPr>
        <w:t xml:space="preserve">veselības aprūpes </w:t>
      </w:r>
      <w:r w:rsidR="00F21D5E" w:rsidRPr="00B26D4A">
        <w:rPr>
          <w:rFonts w:ascii="Times New Roman" w:hAnsi="Times New Roman" w:cs="Times New Roman"/>
          <w:sz w:val="28"/>
          <w:szCs w:val="28"/>
        </w:rPr>
        <w:t>modeļa uzlabošanai, lai labāk vadīt</w:t>
      </w:r>
      <w:r w:rsidR="007B6449" w:rsidRPr="00B26D4A">
        <w:rPr>
          <w:rFonts w:ascii="Times New Roman" w:hAnsi="Times New Roman" w:cs="Times New Roman"/>
          <w:sz w:val="28"/>
          <w:szCs w:val="28"/>
        </w:rPr>
        <w:t xml:space="preserve">u pacientu veselības vajadzību </w:t>
      </w:r>
      <w:r w:rsidR="00F21D5E" w:rsidRPr="00B26D4A">
        <w:rPr>
          <w:rFonts w:ascii="Times New Roman" w:hAnsi="Times New Roman" w:cs="Times New Roman"/>
          <w:sz w:val="28"/>
          <w:szCs w:val="28"/>
        </w:rPr>
        <w:t xml:space="preserve">nodrošināšanu. Ieviešot </w:t>
      </w:r>
      <w:r w:rsidR="008B3E98" w:rsidRPr="00B26D4A">
        <w:rPr>
          <w:rFonts w:ascii="Times New Roman" w:hAnsi="Times New Roman" w:cs="Times New Roman"/>
          <w:sz w:val="28"/>
          <w:szCs w:val="28"/>
        </w:rPr>
        <w:t xml:space="preserve">galvenā </w:t>
      </w:r>
      <w:r w:rsidR="00F21D5E" w:rsidRPr="00B26D4A">
        <w:rPr>
          <w:rFonts w:ascii="Times New Roman" w:hAnsi="Times New Roman" w:cs="Times New Roman"/>
          <w:sz w:val="28"/>
          <w:szCs w:val="28"/>
        </w:rPr>
        <w:t xml:space="preserve">projekta </w:t>
      </w:r>
      <w:r w:rsidR="008B3E98" w:rsidRPr="00B26D4A">
        <w:rPr>
          <w:rFonts w:ascii="Times New Roman" w:hAnsi="Times New Roman" w:cs="Times New Roman"/>
          <w:i/>
          <w:sz w:val="28"/>
          <w:szCs w:val="28"/>
        </w:rPr>
        <w:t>InnoHealth</w:t>
      </w:r>
      <w:r w:rsidR="008B3E98" w:rsidRPr="00B26D4A">
        <w:rPr>
          <w:rFonts w:ascii="Times New Roman" w:hAnsi="Times New Roman" w:cs="Times New Roman"/>
          <w:sz w:val="28"/>
          <w:szCs w:val="28"/>
        </w:rPr>
        <w:t xml:space="preserve"> </w:t>
      </w:r>
      <w:r w:rsidR="00F21D5E" w:rsidRPr="00B26D4A">
        <w:rPr>
          <w:rFonts w:ascii="Times New Roman" w:hAnsi="Times New Roman" w:cs="Times New Roman"/>
          <w:sz w:val="28"/>
          <w:szCs w:val="28"/>
        </w:rPr>
        <w:t>rezultātus praksē,</w:t>
      </w:r>
      <w:r w:rsidR="00F21D5E" w:rsidRPr="00DB1669">
        <w:rPr>
          <w:rFonts w:ascii="Times New Roman" w:hAnsi="Times New Roman" w:cs="Times New Roman"/>
          <w:sz w:val="28"/>
          <w:szCs w:val="28"/>
        </w:rPr>
        <w:t xml:space="preserve"> samazināsies stacionāros uzņemto personu skaits</w:t>
      </w:r>
      <w:r w:rsidR="00624F27">
        <w:rPr>
          <w:rFonts w:ascii="Times New Roman" w:hAnsi="Times New Roman" w:cs="Times New Roman"/>
          <w:sz w:val="28"/>
          <w:szCs w:val="28"/>
        </w:rPr>
        <w:t xml:space="preserve"> ar noteiktām diagnozēm</w:t>
      </w:r>
      <w:r w:rsidR="00F21D5E" w:rsidRPr="00DB1669">
        <w:rPr>
          <w:rFonts w:ascii="Times New Roman" w:hAnsi="Times New Roman" w:cs="Times New Roman"/>
          <w:sz w:val="28"/>
          <w:szCs w:val="28"/>
        </w:rPr>
        <w:t xml:space="preserve">, jo </w:t>
      </w:r>
      <w:r w:rsidR="00624F27">
        <w:rPr>
          <w:rFonts w:ascii="Times New Roman" w:hAnsi="Times New Roman" w:cs="Times New Roman"/>
          <w:sz w:val="28"/>
          <w:szCs w:val="28"/>
        </w:rPr>
        <w:t xml:space="preserve">tiem </w:t>
      </w:r>
      <w:r w:rsidR="00F21D5E" w:rsidRPr="00DB1669">
        <w:rPr>
          <w:rFonts w:ascii="Times New Roman" w:hAnsi="Times New Roman" w:cs="Times New Roman"/>
          <w:sz w:val="28"/>
          <w:szCs w:val="28"/>
        </w:rPr>
        <w:t>nepieciešamie veselības aprūpes pakalpojumi tiks iespējami maksimāli no</w:t>
      </w:r>
      <w:r w:rsidR="006C76F4">
        <w:rPr>
          <w:rFonts w:ascii="Times New Roman" w:hAnsi="Times New Roman" w:cs="Times New Roman"/>
          <w:sz w:val="28"/>
          <w:szCs w:val="28"/>
        </w:rPr>
        <w:t xml:space="preserve">drošināti pacientu </w:t>
      </w:r>
      <w:r w:rsidR="006C76F4" w:rsidRPr="00B26D4A">
        <w:rPr>
          <w:rFonts w:ascii="Times New Roman" w:hAnsi="Times New Roman" w:cs="Times New Roman"/>
          <w:sz w:val="28"/>
          <w:szCs w:val="28"/>
        </w:rPr>
        <w:t>dzīves vietu tuvumā</w:t>
      </w:r>
      <w:r w:rsidR="00F21D5E" w:rsidRPr="00B26D4A">
        <w:rPr>
          <w:rFonts w:ascii="Times New Roman" w:hAnsi="Times New Roman" w:cs="Times New Roman"/>
          <w:sz w:val="28"/>
          <w:szCs w:val="28"/>
        </w:rPr>
        <w:t>.</w:t>
      </w:r>
      <w:r w:rsidR="00F21D5E" w:rsidRPr="00DB1669">
        <w:rPr>
          <w:rFonts w:ascii="Times New Roman" w:hAnsi="Times New Roman" w:cs="Times New Roman"/>
          <w:sz w:val="28"/>
          <w:szCs w:val="28"/>
        </w:rPr>
        <w:t xml:space="preserve"> Uzlabojot komunikāciju starp primārās veselības aprūpes, sekundārās ambulatorās veselības aprūpes un sociālās aprūpes speciālistiem, izveidojot ne-medicīniska rakstura apmācību programmu pakalpojumu sniedzējiem veselības aprūpes organizācijā, samazināsies nepamatoto pakalpojumu skaits un pacientam pakalpojumu </w:t>
      </w:r>
      <w:r w:rsidR="00C229BA">
        <w:rPr>
          <w:rFonts w:ascii="Times New Roman" w:hAnsi="Times New Roman" w:cs="Times New Roman"/>
          <w:sz w:val="28"/>
          <w:szCs w:val="28"/>
        </w:rPr>
        <w:t xml:space="preserve">varēs </w:t>
      </w:r>
      <w:r w:rsidR="00C229BA">
        <w:rPr>
          <w:rFonts w:ascii="Times New Roman" w:hAnsi="Times New Roman" w:cs="Times New Roman"/>
          <w:sz w:val="28"/>
          <w:szCs w:val="28"/>
        </w:rPr>
        <w:lastRenderedPageBreak/>
        <w:t>nodrošināt</w:t>
      </w:r>
      <w:r w:rsidR="00F21D5E" w:rsidRPr="00DB1669">
        <w:rPr>
          <w:rFonts w:ascii="Times New Roman" w:hAnsi="Times New Roman" w:cs="Times New Roman"/>
          <w:sz w:val="28"/>
          <w:szCs w:val="28"/>
        </w:rPr>
        <w:t xml:space="preserve"> pakalpojumu sniedzēj</w:t>
      </w:r>
      <w:r w:rsidR="00151AA0">
        <w:rPr>
          <w:rFonts w:ascii="Times New Roman" w:hAnsi="Times New Roman" w:cs="Times New Roman"/>
          <w:sz w:val="28"/>
          <w:szCs w:val="28"/>
        </w:rPr>
        <w:t>s ar zemākajām izmaksām</w:t>
      </w:r>
      <w:r w:rsidR="00151AA0" w:rsidRPr="00B26D4A">
        <w:rPr>
          <w:rFonts w:ascii="Times New Roman" w:hAnsi="Times New Roman" w:cs="Times New Roman"/>
          <w:sz w:val="28"/>
          <w:szCs w:val="28"/>
        </w:rPr>
        <w:t>. R</w:t>
      </w:r>
      <w:r w:rsidR="00F21D5E" w:rsidRPr="00B26D4A">
        <w:rPr>
          <w:rFonts w:ascii="Times New Roman" w:hAnsi="Times New Roman" w:cs="Times New Roman"/>
          <w:sz w:val="28"/>
          <w:szCs w:val="28"/>
        </w:rPr>
        <w:t>acionālākas pakalpojumu organizācijas</w:t>
      </w:r>
      <w:r w:rsidR="00151AA0" w:rsidRPr="00B26D4A">
        <w:rPr>
          <w:rFonts w:ascii="Times New Roman" w:hAnsi="Times New Roman" w:cs="Times New Roman"/>
          <w:sz w:val="28"/>
          <w:szCs w:val="28"/>
        </w:rPr>
        <w:t xml:space="preserve"> rezultātā</w:t>
      </w:r>
      <w:r w:rsidR="00F21D5E" w:rsidRPr="00B26D4A">
        <w:rPr>
          <w:rFonts w:ascii="Times New Roman" w:hAnsi="Times New Roman" w:cs="Times New Roman"/>
          <w:sz w:val="28"/>
          <w:szCs w:val="28"/>
        </w:rPr>
        <w:t xml:space="preserve"> veselības ap</w:t>
      </w:r>
      <w:r w:rsidR="00151AA0" w:rsidRPr="00B26D4A">
        <w:rPr>
          <w:rFonts w:ascii="Times New Roman" w:hAnsi="Times New Roman" w:cs="Times New Roman"/>
          <w:sz w:val="28"/>
          <w:szCs w:val="28"/>
        </w:rPr>
        <w:t>rūpes pakalpojumus varēs nodrošināt lielākam skaitam pacientu</w:t>
      </w:r>
      <w:r w:rsidR="00F21D5E" w:rsidRPr="00B26D4A">
        <w:rPr>
          <w:rFonts w:ascii="Times New Roman" w:hAnsi="Times New Roman" w:cs="Times New Roman"/>
          <w:sz w:val="28"/>
          <w:szCs w:val="28"/>
        </w:rPr>
        <w:t>.</w:t>
      </w:r>
    </w:p>
    <w:p w:rsidR="003C773B" w:rsidRPr="00577593" w:rsidRDefault="00964EA1" w:rsidP="00265073">
      <w:pPr>
        <w:spacing w:after="0" w:line="240" w:lineRule="auto"/>
        <w:ind w:firstLine="720"/>
        <w:jc w:val="both"/>
        <w:rPr>
          <w:rFonts w:ascii="Times New Roman" w:hAnsi="Times New Roman" w:cs="Times New Roman"/>
          <w:sz w:val="28"/>
          <w:szCs w:val="28"/>
        </w:rPr>
      </w:pPr>
      <w:r w:rsidRPr="00577593">
        <w:rPr>
          <w:rFonts w:ascii="Times New Roman" w:hAnsi="Times New Roman" w:cs="Times New Roman"/>
          <w:sz w:val="28"/>
          <w:szCs w:val="28"/>
        </w:rPr>
        <w:t>Galvenā projekta</w:t>
      </w:r>
      <w:r w:rsidRPr="00577593">
        <w:rPr>
          <w:rFonts w:ascii="Times New Roman" w:hAnsi="Times New Roman" w:cs="Times New Roman"/>
          <w:i/>
          <w:sz w:val="28"/>
          <w:szCs w:val="28"/>
        </w:rPr>
        <w:t xml:space="preserve"> </w:t>
      </w:r>
      <w:r w:rsidR="00324E47" w:rsidRPr="00577593">
        <w:rPr>
          <w:rFonts w:ascii="Times New Roman" w:hAnsi="Times New Roman" w:cs="Times New Roman"/>
          <w:i/>
          <w:sz w:val="28"/>
          <w:szCs w:val="28"/>
        </w:rPr>
        <w:t>InnoHealth</w:t>
      </w:r>
      <w:r w:rsidR="00324E47" w:rsidRPr="00577593">
        <w:rPr>
          <w:rFonts w:ascii="Times New Roman" w:hAnsi="Times New Roman" w:cs="Times New Roman"/>
          <w:sz w:val="28"/>
          <w:szCs w:val="28"/>
        </w:rPr>
        <w:t xml:space="preserve"> aktivitātes būs orientētas uz veselīb</w:t>
      </w:r>
      <w:r w:rsidR="00324E47" w:rsidRPr="004E0DEA">
        <w:rPr>
          <w:rFonts w:ascii="Times New Roman" w:hAnsi="Times New Roman" w:cs="Times New Roman"/>
          <w:sz w:val="28"/>
          <w:szCs w:val="28"/>
        </w:rPr>
        <w:t>as</w:t>
      </w:r>
      <w:r w:rsidR="00324E47" w:rsidRPr="00577593">
        <w:rPr>
          <w:rFonts w:ascii="Times New Roman" w:hAnsi="Times New Roman" w:cs="Times New Roman"/>
          <w:sz w:val="28"/>
          <w:szCs w:val="28"/>
        </w:rPr>
        <w:t xml:space="preserve"> nevienlīdzīb</w:t>
      </w:r>
      <w:r w:rsidR="004E0DEA">
        <w:rPr>
          <w:rFonts w:ascii="Times New Roman" w:hAnsi="Times New Roman" w:cs="Times New Roman"/>
          <w:sz w:val="28"/>
          <w:szCs w:val="28"/>
        </w:rPr>
        <w:t>as</w:t>
      </w:r>
      <w:r w:rsidR="00324E47" w:rsidRPr="00577593">
        <w:rPr>
          <w:rFonts w:ascii="Times New Roman" w:hAnsi="Times New Roman" w:cs="Times New Roman"/>
          <w:sz w:val="28"/>
          <w:szCs w:val="28"/>
        </w:rPr>
        <w:t xml:space="preserve"> samazināšanu, stiprinot primāro veselības aprūpi. Demogrāfiskas, ekonomiskas un sociālas izmaiņas sabiedrībā, kā arī pieaugošās izmaksas veselības aprūpes pakalpojumu nodrošināšanā, kas saistītas ar jaunu tehnoloģiju ieviešanu un paaugstinātu pieprasījumu pēc veselības aprūpes pakalpojumiem no pacientu puses, rada nepieciešamību pēc reformā</w:t>
      </w:r>
      <w:r w:rsidR="00D45CE0" w:rsidRPr="00577593">
        <w:rPr>
          <w:rFonts w:ascii="Times New Roman" w:hAnsi="Times New Roman" w:cs="Times New Roman"/>
          <w:sz w:val="28"/>
          <w:szCs w:val="28"/>
        </w:rPr>
        <w:t>m veselības aprūpes sistēmās, tajā skaitā i</w:t>
      </w:r>
      <w:r w:rsidR="00324E47" w:rsidRPr="00577593">
        <w:rPr>
          <w:rFonts w:ascii="Times New Roman" w:hAnsi="Times New Roman" w:cs="Times New Roman"/>
          <w:sz w:val="28"/>
          <w:szCs w:val="28"/>
        </w:rPr>
        <w:t xml:space="preserve">erobežotie finanšu līdzekļi </w:t>
      </w:r>
      <w:r w:rsidR="00B81DA6">
        <w:rPr>
          <w:rFonts w:ascii="Times New Roman" w:hAnsi="Times New Roman" w:cs="Times New Roman"/>
          <w:sz w:val="28"/>
          <w:szCs w:val="28"/>
        </w:rPr>
        <w:t>ES</w:t>
      </w:r>
      <w:r w:rsidR="00D45CE0" w:rsidRPr="00577593">
        <w:rPr>
          <w:rFonts w:ascii="Times New Roman" w:hAnsi="Times New Roman" w:cs="Times New Roman"/>
          <w:sz w:val="28"/>
          <w:szCs w:val="28"/>
        </w:rPr>
        <w:t xml:space="preserve"> valstīs rada nepieciešamību </w:t>
      </w:r>
      <w:r w:rsidR="00324E47" w:rsidRPr="00577593">
        <w:rPr>
          <w:rFonts w:ascii="Times New Roman" w:hAnsi="Times New Roman" w:cs="Times New Roman"/>
          <w:sz w:val="28"/>
          <w:szCs w:val="28"/>
        </w:rPr>
        <w:t xml:space="preserve">mainīt pastāvošo </w:t>
      </w:r>
      <w:r w:rsidR="00D45CE0" w:rsidRPr="00577593">
        <w:rPr>
          <w:rFonts w:ascii="Times New Roman" w:hAnsi="Times New Roman" w:cs="Times New Roman"/>
          <w:sz w:val="28"/>
          <w:szCs w:val="28"/>
        </w:rPr>
        <w:t xml:space="preserve">veselības </w:t>
      </w:r>
      <w:r w:rsidR="00324E47" w:rsidRPr="00577593">
        <w:rPr>
          <w:rFonts w:ascii="Times New Roman" w:hAnsi="Times New Roman" w:cs="Times New Roman"/>
          <w:sz w:val="28"/>
          <w:szCs w:val="28"/>
        </w:rPr>
        <w:t>aprūpes kārtību, raciona</w:t>
      </w:r>
      <w:r w:rsidR="00B64D00" w:rsidRPr="00577593">
        <w:rPr>
          <w:rFonts w:ascii="Times New Roman" w:hAnsi="Times New Roman" w:cs="Times New Roman"/>
          <w:sz w:val="28"/>
          <w:szCs w:val="28"/>
        </w:rPr>
        <w:t>lizējot to, kas ir arī galvenā</w:t>
      </w:r>
      <w:r w:rsidR="00324E47" w:rsidRPr="00577593">
        <w:rPr>
          <w:rFonts w:ascii="Times New Roman" w:hAnsi="Times New Roman" w:cs="Times New Roman"/>
          <w:sz w:val="28"/>
          <w:szCs w:val="28"/>
        </w:rPr>
        <w:t xml:space="preserve"> projekta</w:t>
      </w:r>
      <w:r w:rsidR="00324E47" w:rsidRPr="00577593">
        <w:rPr>
          <w:rFonts w:ascii="Times New Roman" w:hAnsi="Times New Roman" w:cs="Times New Roman"/>
          <w:i/>
          <w:sz w:val="28"/>
          <w:szCs w:val="28"/>
        </w:rPr>
        <w:t xml:space="preserve"> InnoHealth</w:t>
      </w:r>
      <w:r w:rsidR="00324E47" w:rsidRPr="00577593">
        <w:rPr>
          <w:rFonts w:ascii="Times New Roman" w:hAnsi="Times New Roman" w:cs="Times New Roman"/>
          <w:sz w:val="28"/>
          <w:szCs w:val="28"/>
        </w:rPr>
        <w:t xml:space="preserve"> sagaidāmais rezultāts.</w:t>
      </w:r>
    </w:p>
    <w:p w:rsidR="00F21D5E" w:rsidRPr="00B26D4A" w:rsidRDefault="00447BA0" w:rsidP="00BF0ACB">
      <w:pPr>
        <w:spacing w:after="0" w:line="240" w:lineRule="auto"/>
        <w:ind w:firstLine="720"/>
        <w:jc w:val="both"/>
        <w:rPr>
          <w:rFonts w:ascii="Times New Roman" w:hAnsi="Times New Roman" w:cs="Times New Roman"/>
          <w:sz w:val="28"/>
          <w:szCs w:val="28"/>
        </w:rPr>
      </w:pPr>
      <w:r w:rsidRPr="00A85176">
        <w:rPr>
          <w:rFonts w:ascii="Times New Roman" w:hAnsi="Times New Roman" w:cs="Times New Roman"/>
          <w:sz w:val="28"/>
          <w:szCs w:val="28"/>
        </w:rPr>
        <w:t xml:space="preserve">Galvenā projekta </w:t>
      </w:r>
      <w:proofErr w:type="spellStart"/>
      <w:r w:rsidR="00324E47" w:rsidRPr="00A85176">
        <w:rPr>
          <w:rFonts w:ascii="Times New Roman" w:hAnsi="Times New Roman" w:cs="Times New Roman"/>
          <w:i/>
          <w:sz w:val="28"/>
          <w:szCs w:val="28"/>
        </w:rPr>
        <w:t>InnoHealth</w:t>
      </w:r>
      <w:proofErr w:type="spellEnd"/>
      <w:r w:rsidR="00324E47" w:rsidRPr="00A85176">
        <w:rPr>
          <w:rFonts w:ascii="Times New Roman" w:hAnsi="Times New Roman" w:cs="Times New Roman"/>
          <w:sz w:val="28"/>
          <w:szCs w:val="28"/>
        </w:rPr>
        <w:t xml:space="preserve"> </w:t>
      </w:r>
      <w:r w:rsidR="00566C77" w:rsidRPr="00A85176">
        <w:rPr>
          <w:rFonts w:ascii="Times New Roman" w:hAnsi="Times New Roman" w:cs="Times New Roman"/>
          <w:sz w:val="28"/>
          <w:szCs w:val="28"/>
        </w:rPr>
        <w:t xml:space="preserve">mērķis </w:t>
      </w:r>
      <w:r w:rsidR="00324E47" w:rsidRPr="00A85176">
        <w:rPr>
          <w:rFonts w:ascii="Times New Roman" w:hAnsi="Times New Roman" w:cs="Times New Roman"/>
          <w:sz w:val="28"/>
          <w:szCs w:val="28"/>
        </w:rPr>
        <w:t xml:space="preserve">atbilst </w:t>
      </w:r>
      <w:r w:rsidR="00812446">
        <w:rPr>
          <w:rFonts w:ascii="Times New Roman" w:hAnsi="Times New Roman" w:cs="Times New Roman"/>
          <w:sz w:val="28"/>
          <w:szCs w:val="28"/>
        </w:rPr>
        <w:t>ES</w:t>
      </w:r>
      <w:r w:rsidR="00A63289" w:rsidRPr="00A85176">
        <w:rPr>
          <w:rFonts w:ascii="Times New Roman" w:hAnsi="Times New Roman" w:cs="Times New Roman"/>
          <w:sz w:val="28"/>
          <w:szCs w:val="28"/>
        </w:rPr>
        <w:t xml:space="preserve"> </w:t>
      </w:r>
      <w:r w:rsidR="00324E47" w:rsidRPr="00A85176">
        <w:rPr>
          <w:rFonts w:ascii="Times New Roman" w:hAnsi="Times New Roman" w:cs="Times New Roman"/>
          <w:sz w:val="28"/>
          <w:szCs w:val="28"/>
        </w:rPr>
        <w:t xml:space="preserve">veselības politikas vadlīnijām </w:t>
      </w:r>
      <w:proofErr w:type="spellStart"/>
      <w:r w:rsidR="00324E47" w:rsidRPr="00A85176">
        <w:rPr>
          <w:rFonts w:ascii="Times New Roman" w:hAnsi="Times New Roman" w:cs="Times New Roman"/>
          <w:sz w:val="28"/>
          <w:szCs w:val="28"/>
        </w:rPr>
        <w:t>Health</w:t>
      </w:r>
      <w:proofErr w:type="spellEnd"/>
      <w:r w:rsidR="00324E47" w:rsidRPr="00A85176">
        <w:rPr>
          <w:rFonts w:ascii="Times New Roman" w:hAnsi="Times New Roman" w:cs="Times New Roman"/>
          <w:sz w:val="28"/>
          <w:szCs w:val="28"/>
        </w:rPr>
        <w:t xml:space="preserve"> 2020, kur</w:t>
      </w:r>
      <w:r w:rsidR="00811D7B" w:rsidRPr="00A85176">
        <w:rPr>
          <w:rFonts w:ascii="Times New Roman" w:hAnsi="Times New Roman" w:cs="Times New Roman"/>
          <w:sz w:val="28"/>
          <w:szCs w:val="28"/>
        </w:rPr>
        <w:t>u</w:t>
      </w:r>
      <w:r w:rsidR="00324E47" w:rsidRPr="00A85176">
        <w:rPr>
          <w:rFonts w:ascii="Times New Roman" w:hAnsi="Times New Roman" w:cs="Times New Roman"/>
          <w:sz w:val="28"/>
          <w:szCs w:val="28"/>
        </w:rPr>
        <w:t xml:space="preserve"> viens no mērķiem ir universāla</w:t>
      </w:r>
      <w:r w:rsidR="009E2F1C" w:rsidRPr="00A85176">
        <w:rPr>
          <w:rFonts w:ascii="Times New Roman" w:hAnsi="Times New Roman" w:cs="Times New Roman"/>
          <w:sz w:val="28"/>
          <w:szCs w:val="28"/>
        </w:rPr>
        <w:t>s</w:t>
      </w:r>
      <w:r w:rsidR="00324E47" w:rsidRPr="00A85176">
        <w:rPr>
          <w:rFonts w:ascii="Times New Roman" w:hAnsi="Times New Roman" w:cs="Times New Roman"/>
          <w:sz w:val="28"/>
          <w:szCs w:val="28"/>
        </w:rPr>
        <w:t xml:space="preserve"> </w:t>
      </w:r>
      <w:r w:rsidR="009E2F1C" w:rsidRPr="00A85176">
        <w:rPr>
          <w:rFonts w:ascii="Times New Roman" w:hAnsi="Times New Roman" w:cs="Times New Roman"/>
          <w:sz w:val="28"/>
          <w:szCs w:val="28"/>
        </w:rPr>
        <w:t>veselības aprūpes sistēmas</w:t>
      </w:r>
      <w:r w:rsidR="00324E47" w:rsidRPr="00A85176">
        <w:rPr>
          <w:rFonts w:ascii="Times New Roman" w:hAnsi="Times New Roman" w:cs="Times New Roman"/>
          <w:sz w:val="28"/>
          <w:szCs w:val="28"/>
        </w:rPr>
        <w:t xml:space="preserve"> nodrošināšana</w:t>
      </w:r>
      <w:r w:rsidR="00F21D5E" w:rsidRPr="00A85176">
        <w:rPr>
          <w:rFonts w:ascii="Times New Roman" w:hAnsi="Times New Roman" w:cs="Times New Roman"/>
          <w:sz w:val="28"/>
          <w:szCs w:val="28"/>
        </w:rPr>
        <w:t xml:space="preserve">, galvenā projekta </w:t>
      </w:r>
      <w:proofErr w:type="spellStart"/>
      <w:r w:rsidR="00F21D5E" w:rsidRPr="00A85176">
        <w:rPr>
          <w:rFonts w:ascii="Times New Roman" w:hAnsi="Times New Roman" w:cs="Times New Roman"/>
          <w:i/>
          <w:sz w:val="28"/>
          <w:szCs w:val="28"/>
        </w:rPr>
        <w:t>InnoHealth</w:t>
      </w:r>
      <w:proofErr w:type="spellEnd"/>
      <w:r w:rsidR="00F21D5E" w:rsidRPr="00A85176">
        <w:rPr>
          <w:rFonts w:ascii="Times New Roman" w:hAnsi="Times New Roman" w:cs="Times New Roman"/>
          <w:i/>
          <w:sz w:val="28"/>
          <w:szCs w:val="28"/>
        </w:rPr>
        <w:t xml:space="preserve"> </w:t>
      </w:r>
      <w:r w:rsidR="00324E47" w:rsidRPr="00A85176">
        <w:rPr>
          <w:rFonts w:ascii="Times New Roman" w:hAnsi="Times New Roman" w:cs="Times New Roman"/>
          <w:sz w:val="28"/>
          <w:szCs w:val="28"/>
        </w:rPr>
        <w:t xml:space="preserve">aktivitātes sakrīt arī ar </w:t>
      </w:r>
      <w:r w:rsidR="002069D5">
        <w:rPr>
          <w:rFonts w:ascii="Times New Roman" w:hAnsi="Times New Roman" w:cs="Times New Roman"/>
          <w:sz w:val="28"/>
          <w:szCs w:val="28"/>
        </w:rPr>
        <w:t>ES</w:t>
      </w:r>
      <w:r w:rsidR="00324E47" w:rsidRPr="00A85176">
        <w:rPr>
          <w:rFonts w:ascii="Times New Roman" w:hAnsi="Times New Roman" w:cs="Times New Roman"/>
          <w:sz w:val="28"/>
          <w:szCs w:val="28"/>
        </w:rPr>
        <w:t xml:space="preserve"> izaugsmes stratēģijas </w:t>
      </w:r>
      <w:r w:rsidR="00D51F4A" w:rsidRPr="00A40E17">
        <w:rPr>
          <w:rFonts w:ascii="Times New Roman" w:hAnsi="Times New Roman" w:cs="Times New Roman"/>
          <w:sz w:val="28"/>
          <w:szCs w:val="28"/>
        </w:rPr>
        <w:t>“</w:t>
      </w:r>
      <w:r w:rsidR="00324E47" w:rsidRPr="00A85176">
        <w:rPr>
          <w:rFonts w:ascii="Times New Roman" w:hAnsi="Times New Roman" w:cs="Times New Roman"/>
          <w:sz w:val="28"/>
          <w:szCs w:val="28"/>
        </w:rPr>
        <w:t>Eiropa 2020” mērķiem par sociālo iekļaušanos un nabadzības risku samazināšanu, it īpaši gados veciem cilvēkiem, lai viņiem nepieciešamā aprūpe būtu pieejama mājas apstākļos</w:t>
      </w:r>
      <w:r w:rsidR="00362BEA">
        <w:rPr>
          <w:rFonts w:ascii="Times New Roman" w:hAnsi="Times New Roman" w:cs="Times New Roman"/>
          <w:sz w:val="28"/>
          <w:szCs w:val="28"/>
        </w:rPr>
        <w:t xml:space="preserve"> </w:t>
      </w:r>
      <w:r w:rsidR="00362BEA" w:rsidRPr="00B26D4A">
        <w:rPr>
          <w:rFonts w:ascii="Times New Roman" w:hAnsi="Times New Roman" w:cs="Times New Roman"/>
          <w:sz w:val="28"/>
          <w:szCs w:val="28"/>
        </w:rPr>
        <w:t>vai iespējami tuvu dzīvesvietai</w:t>
      </w:r>
      <w:r w:rsidR="00324E47" w:rsidRPr="00B26D4A">
        <w:rPr>
          <w:rFonts w:ascii="Times New Roman" w:hAnsi="Times New Roman" w:cs="Times New Roman"/>
          <w:sz w:val="28"/>
          <w:szCs w:val="28"/>
        </w:rPr>
        <w:t xml:space="preserve"> un tā būtu izmaksu efektīva.</w:t>
      </w:r>
    </w:p>
    <w:p w:rsidR="008E7F0E" w:rsidRPr="004341E1" w:rsidRDefault="004341E1" w:rsidP="005406DE">
      <w:pPr>
        <w:spacing w:after="0" w:line="240" w:lineRule="auto"/>
        <w:ind w:firstLine="720"/>
        <w:jc w:val="both"/>
        <w:rPr>
          <w:rFonts w:ascii="Times New Roman" w:hAnsi="Times New Roman" w:cs="Times New Roman"/>
          <w:sz w:val="28"/>
          <w:szCs w:val="28"/>
        </w:rPr>
      </w:pPr>
      <w:r w:rsidRPr="00B26D4A">
        <w:rPr>
          <w:rFonts w:ascii="Times New Roman" w:hAnsi="Times New Roman" w:cs="Times New Roman"/>
          <w:sz w:val="28"/>
          <w:szCs w:val="28"/>
        </w:rPr>
        <w:t xml:space="preserve"> </w:t>
      </w:r>
      <w:r w:rsidR="00407EAC" w:rsidRPr="00B26D4A">
        <w:rPr>
          <w:rFonts w:ascii="Times New Roman" w:hAnsi="Times New Roman" w:cs="Times New Roman"/>
          <w:sz w:val="28"/>
          <w:szCs w:val="28"/>
        </w:rPr>
        <w:t>Projektu izstrādāšanas instrumenta</w:t>
      </w:r>
      <w:r w:rsidR="00407EAC" w:rsidRPr="00B26D4A">
        <w:rPr>
          <w:rFonts w:ascii="Times New Roman" w:hAnsi="Times New Roman" w:cs="Times New Roman"/>
          <w:i/>
          <w:sz w:val="28"/>
          <w:szCs w:val="28"/>
        </w:rPr>
        <w:t xml:space="preserve"> </w:t>
      </w:r>
      <w:r w:rsidR="00407EAC" w:rsidRPr="00B26D4A">
        <w:rPr>
          <w:rFonts w:ascii="Times New Roman" w:hAnsi="Times New Roman" w:cs="Times New Roman"/>
          <w:sz w:val="28"/>
          <w:szCs w:val="28"/>
        </w:rPr>
        <w:t xml:space="preserve">projektu </w:t>
      </w:r>
      <w:proofErr w:type="spellStart"/>
      <w:r w:rsidR="00407EAC" w:rsidRPr="00B26D4A">
        <w:rPr>
          <w:rFonts w:ascii="Times New Roman" w:hAnsi="Times New Roman" w:cs="Times New Roman"/>
          <w:i/>
          <w:sz w:val="28"/>
          <w:szCs w:val="28"/>
        </w:rPr>
        <w:t>InnoHealth</w:t>
      </w:r>
      <w:proofErr w:type="spellEnd"/>
      <w:r w:rsidR="00407EAC" w:rsidRPr="00B26D4A">
        <w:rPr>
          <w:rFonts w:ascii="Times New Roman" w:hAnsi="Times New Roman" w:cs="Times New Roman"/>
          <w:sz w:val="28"/>
          <w:szCs w:val="28"/>
        </w:rPr>
        <w:t xml:space="preserve"> </w:t>
      </w:r>
      <w:r w:rsidR="00BC57B7" w:rsidRPr="002A6680">
        <w:rPr>
          <w:rFonts w:ascii="Times New Roman" w:hAnsi="Times New Roman" w:cs="Times New Roman"/>
          <w:sz w:val="28"/>
          <w:szCs w:val="28"/>
        </w:rPr>
        <w:t xml:space="preserve">atbilstoši projekta pieteikumam </w:t>
      </w:r>
      <w:r w:rsidR="00407EAC" w:rsidRPr="002A6680">
        <w:rPr>
          <w:rFonts w:ascii="Times New Roman" w:hAnsi="Times New Roman" w:cs="Times New Roman"/>
          <w:sz w:val="28"/>
          <w:szCs w:val="28"/>
        </w:rPr>
        <w:t xml:space="preserve">paredzēts īstenot no </w:t>
      </w:r>
      <w:proofErr w:type="gramStart"/>
      <w:r w:rsidR="00407EAC" w:rsidRPr="002A6680">
        <w:rPr>
          <w:rFonts w:ascii="Times New Roman" w:hAnsi="Times New Roman" w:cs="Times New Roman"/>
          <w:sz w:val="28"/>
          <w:szCs w:val="28"/>
        </w:rPr>
        <w:t>2016.gada</w:t>
      </w:r>
      <w:proofErr w:type="gramEnd"/>
      <w:r w:rsidR="00407EAC" w:rsidRPr="002A6680">
        <w:rPr>
          <w:rFonts w:ascii="Times New Roman" w:hAnsi="Times New Roman" w:cs="Times New Roman"/>
          <w:sz w:val="28"/>
          <w:szCs w:val="28"/>
        </w:rPr>
        <w:t xml:space="preserve"> janvāra līdz 2017.</w:t>
      </w:r>
      <w:r w:rsidR="00F816F7" w:rsidRPr="002A6680">
        <w:rPr>
          <w:rFonts w:ascii="Times New Roman" w:hAnsi="Times New Roman" w:cs="Times New Roman"/>
          <w:sz w:val="28"/>
          <w:szCs w:val="28"/>
        </w:rPr>
        <w:t>gada februārim un plānotais</w:t>
      </w:r>
      <w:r w:rsidR="00324E47" w:rsidRPr="002A6680">
        <w:rPr>
          <w:rFonts w:ascii="Times New Roman" w:hAnsi="Times New Roman" w:cs="Times New Roman"/>
          <w:sz w:val="28"/>
          <w:szCs w:val="28"/>
        </w:rPr>
        <w:t xml:space="preserve"> finansējums NVD</w:t>
      </w:r>
      <w:r w:rsidR="00303932" w:rsidRPr="002A6680">
        <w:rPr>
          <w:rFonts w:ascii="Times New Roman" w:hAnsi="Times New Roman" w:cs="Times New Roman"/>
          <w:sz w:val="28"/>
          <w:szCs w:val="28"/>
        </w:rPr>
        <w:t xml:space="preserve"> ir</w:t>
      </w:r>
      <w:r w:rsidR="00F816F7" w:rsidRPr="002A6680">
        <w:rPr>
          <w:rFonts w:ascii="Times New Roman" w:hAnsi="Times New Roman" w:cs="Times New Roman"/>
          <w:sz w:val="28"/>
          <w:szCs w:val="28"/>
        </w:rPr>
        <w:t xml:space="preserve"> </w:t>
      </w:r>
      <w:r w:rsidR="002F5CCE" w:rsidRPr="002A6680">
        <w:rPr>
          <w:rFonts w:ascii="Times New Roman" w:hAnsi="Times New Roman" w:cs="Times New Roman"/>
          <w:sz w:val="28"/>
          <w:szCs w:val="28"/>
        </w:rPr>
        <w:t>19 600 </w:t>
      </w:r>
      <w:r w:rsidR="00324E47" w:rsidRPr="002A6680">
        <w:rPr>
          <w:rFonts w:ascii="Times New Roman" w:hAnsi="Times New Roman" w:cs="Times New Roman"/>
          <w:sz w:val="28"/>
          <w:szCs w:val="28"/>
        </w:rPr>
        <w:t>EUR</w:t>
      </w:r>
      <w:r w:rsidR="00303932" w:rsidRPr="002A6680">
        <w:rPr>
          <w:rFonts w:ascii="Times New Roman" w:hAnsi="Times New Roman" w:cs="Times New Roman"/>
          <w:sz w:val="28"/>
          <w:szCs w:val="28"/>
        </w:rPr>
        <w:t xml:space="preserve"> apmērā</w:t>
      </w:r>
      <w:r w:rsidR="002F5CCE" w:rsidRPr="002A6680">
        <w:rPr>
          <w:rFonts w:ascii="Times New Roman" w:hAnsi="Times New Roman" w:cs="Times New Roman"/>
          <w:sz w:val="28"/>
          <w:szCs w:val="28"/>
        </w:rPr>
        <w:t>, t.sk</w:t>
      </w:r>
      <w:r w:rsidR="002F5CCE">
        <w:rPr>
          <w:rFonts w:ascii="Times New Roman" w:hAnsi="Times New Roman" w:cs="Times New Roman"/>
          <w:sz w:val="28"/>
          <w:szCs w:val="28"/>
        </w:rPr>
        <w:t>. 16 660 </w:t>
      </w:r>
      <w:r w:rsidR="00324E47" w:rsidRPr="004341E1">
        <w:rPr>
          <w:rFonts w:ascii="Times New Roman" w:hAnsi="Times New Roman" w:cs="Times New Roman"/>
          <w:sz w:val="28"/>
          <w:szCs w:val="28"/>
        </w:rPr>
        <w:t xml:space="preserve">EUR </w:t>
      </w:r>
      <w:r w:rsidR="0013248E">
        <w:rPr>
          <w:rFonts w:ascii="Times New Roman" w:hAnsi="Times New Roman" w:cs="Times New Roman"/>
          <w:sz w:val="28"/>
          <w:szCs w:val="28"/>
        </w:rPr>
        <w:t>projektu izstrādāšanas instrumenta</w:t>
      </w:r>
      <w:r w:rsidR="00324E47" w:rsidRPr="004341E1">
        <w:rPr>
          <w:rFonts w:ascii="Times New Roman" w:hAnsi="Times New Roman" w:cs="Times New Roman"/>
          <w:sz w:val="28"/>
          <w:szCs w:val="28"/>
        </w:rPr>
        <w:t xml:space="preserve"> fi</w:t>
      </w:r>
      <w:r w:rsidR="002F5CCE">
        <w:rPr>
          <w:rFonts w:ascii="Times New Roman" w:hAnsi="Times New Roman" w:cs="Times New Roman"/>
          <w:sz w:val="28"/>
          <w:szCs w:val="28"/>
        </w:rPr>
        <w:t>nansējums un 2 940 </w:t>
      </w:r>
      <w:r w:rsidR="00324E47" w:rsidRPr="004341E1">
        <w:rPr>
          <w:rFonts w:ascii="Times New Roman" w:hAnsi="Times New Roman" w:cs="Times New Roman"/>
          <w:sz w:val="28"/>
          <w:szCs w:val="28"/>
        </w:rPr>
        <w:t xml:space="preserve">EUR </w:t>
      </w:r>
      <w:r w:rsidR="002B626B" w:rsidRPr="004341E1">
        <w:rPr>
          <w:rFonts w:ascii="Times New Roman" w:hAnsi="Times New Roman" w:cs="Times New Roman"/>
          <w:sz w:val="28"/>
          <w:szCs w:val="28"/>
        </w:rPr>
        <w:t>nepieciešamais</w:t>
      </w:r>
      <w:r w:rsidR="00324E47" w:rsidRPr="004341E1">
        <w:rPr>
          <w:rFonts w:ascii="Times New Roman" w:hAnsi="Times New Roman" w:cs="Times New Roman"/>
          <w:sz w:val="28"/>
          <w:szCs w:val="28"/>
        </w:rPr>
        <w:t xml:space="preserve"> līd</w:t>
      </w:r>
      <w:r w:rsidRPr="004341E1">
        <w:rPr>
          <w:rFonts w:ascii="Times New Roman" w:hAnsi="Times New Roman" w:cs="Times New Roman"/>
          <w:sz w:val="28"/>
          <w:szCs w:val="28"/>
        </w:rPr>
        <w:t>zfina</w:t>
      </w:r>
      <w:r w:rsidR="002F5CCE">
        <w:rPr>
          <w:rFonts w:ascii="Times New Roman" w:hAnsi="Times New Roman" w:cs="Times New Roman"/>
          <w:sz w:val="28"/>
          <w:szCs w:val="28"/>
        </w:rPr>
        <w:t>nsējums (skatīt 1.t</w:t>
      </w:r>
      <w:r w:rsidRPr="004341E1">
        <w:rPr>
          <w:rFonts w:ascii="Times New Roman" w:hAnsi="Times New Roman" w:cs="Times New Roman"/>
          <w:sz w:val="28"/>
          <w:szCs w:val="28"/>
        </w:rPr>
        <w:t>abulu).</w:t>
      </w:r>
    </w:p>
    <w:p w:rsidR="003C773B" w:rsidRPr="0075469D" w:rsidRDefault="003C773B" w:rsidP="00265073">
      <w:pPr>
        <w:spacing w:after="0" w:line="240" w:lineRule="auto"/>
        <w:jc w:val="both"/>
        <w:rPr>
          <w:rFonts w:ascii="Times New Roman" w:hAnsi="Times New Roman" w:cs="Times New Roman"/>
          <w:sz w:val="24"/>
          <w:szCs w:val="24"/>
        </w:rPr>
      </w:pPr>
      <w:bookmarkStart w:id="6" w:name="_GoBack"/>
      <w:bookmarkEnd w:id="6"/>
    </w:p>
    <w:p w:rsidR="00324E47" w:rsidRPr="004341E1" w:rsidRDefault="00AB19AB" w:rsidP="00265073">
      <w:pPr>
        <w:spacing w:after="0" w:line="240" w:lineRule="auto"/>
        <w:ind w:left="7200"/>
        <w:jc w:val="right"/>
        <w:rPr>
          <w:rFonts w:ascii="Times New Roman" w:hAnsi="Times New Roman" w:cs="Times New Roman"/>
          <w:sz w:val="28"/>
          <w:szCs w:val="28"/>
        </w:rPr>
      </w:pPr>
      <w:r>
        <w:rPr>
          <w:rFonts w:ascii="Times New Roman" w:hAnsi="Times New Roman" w:cs="Times New Roman"/>
          <w:sz w:val="28"/>
          <w:szCs w:val="28"/>
        </w:rPr>
        <w:t>1.t</w:t>
      </w:r>
      <w:r w:rsidR="00324E47" w:rsidRPr="004341E1">
        <w:rPr>
          <w:rFonts w:ascii="Times New Roman" w:hAnsi="Times New Roman" w:cs="Times New Roman"/>
          <w:sz w:val="28"/>
          <w:szCs w:val="28"/>
        </w:rPr>
        <w:t>abula</w:t>
      </w:r>
    </w:p>
    <w:p w:rsidR="00324E47" w:rsidRDefault="002F2BDB" w:rsidP="0026507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Projektu</w:t>
      </w:r>
      <w:r w:rsidR="00892A93" w:rsidRPr="00892A93">
        <w:rPr>
          <w:rFonts w:ascii="Times New Roman" w:hAnsi="Times New Roman" w:cs="Times New Roman"/>
          <w:b/>
          <w:sz w:val="28"/>
          <w:szCs w:val="28"/>
        </w:rPr>
        <w:t xml:space="preserve"> izstrādāšanas instrumenta</w:t>
      </w:r>
      <w:r w:rsidR="00892A93" w:rsidRPr="00892A93">
        <w:rPr>
          <w:rFonts w:ascii="Times New Roman" w:hAnsi="Times New Roman" w:cs="Times New Roman"/>
          <w:b/>
          <w:i/>
          <w:sz w:val="28"/>
          <w:szCs w:val="28"/>
        </w:rPr>
        <w:t xml:space="preserve"> </w:t>
      </w:r>
      <w:r w:rsidR="00892A93" w:rsidRPr="00892A93">
        <w:rPr>
          <w:rFonts w:ascii="Times New Roman" w:hAnsi="Times New Roman" w:cs="Times New Roman"/>
          <w:b/>
          <w:sz w:val="28"/>
          <w:szCs w:val="28"/>
        </w:rPr>
        <w:t>projekt</w:t>
      </w:r>
      <w:r w:rsidR="00E30CFF">
        <w:rPr>
          <w:rFonts w:ascii="Times New Roman" w:hAnsi="Times New Roman" w:cs="Times New Roman"/>
          <w:b/>
          <w:sz w:val="28"/>
          <w:szCs w:val="28"/>
        </w:rPr>
        <w:t>a</w:t>
      </w:r>
      <w:r w:rsidR="00324E47" w:rsidRPr="00892A93">
        <w:rPr>
          <w:rFonts w:ascii="Times New Roman" w:hAnsi="Times New Roman" w:cs="Times New Roman"/>
          <w:b/>
          <w:sz w:val="28"/>
          <w:szCs w:val="28"/>
        </w:rPr>
        <w:t xml:space="preserve"> </w:t>
      </w:r>
      <w:r w:rsidR="00324E47" w:rsidRPr="00892A93">
        <w:rPr>
          <w:rFonts w:ascii="Times New Roman" w:hAnsi="Times New Roman" w:cs="Times New Roman"/>
          <w:b/>
          <w:i/>
          <w:sz w:val="28"/>
          <w:szCs w:val="28"/>
        </w:rPr>
        <w:t>InnoHealth</w:t>
      </w:r>
      <w:r w:rsidR="00324E47" w:rsidRPr="00892A93">
        <w:rPr>
          <w:rFonts w:ascii="Times New Roman" w:hAnsi="Times New Roman" w:cs="Times New Roman"/>
          <w:b/>
          <w:sz w:val="28"/>
          <w:szCs w:val="28"/>
        </w:rPr>
        <w:t xml:space="preserve"> realizācijai plānotais finansējums, EUR</w:t>
      </w:r>
    </w:p>
    <w:tbl>
      <w:tblPr>
        <w:tblStyle w:val="TableGrid"/>
        <w:tblW w:w="10915" w:type="dxa"/>
        <w:jc w:val="center"/>
        <w:tblInd w:w="-601" w:type="dxa"/>
        <w:tblLayout w:type="fixed"/>
        <w:tblLook w:val="04A0"/>
      </w:tblPr>
      <w:tblGrid>
        <w:gridCol w:w="1418"/>
        <w:gridCol w:w="1134"/>
        <w:gridCol w:w="1134"/>
        <w:gridCol w:w="1134"/>
        <w:gridCol w:w="851"/>
        <w:gridCol w:w="850"/>
        <w:gridCol w:w="1134"/>
        <w:gridCol w:w="1134"/>
        <w:gridCol w:w="1027"/>
        <w:gridCol w:w="1099"/>
      </w:tblGrid>
      <w:tr w:rsidR="0017798E" w:rsidRPr="00EF11F3" w:rsidTr="00EF11F3">
        <w:trPr>
          <w:jc w:val="center"/>
        </w:trPr>
        <w:tc>
          <w:tcPr>
            <w:tcW w:w="1418" w:type="dxa"/>
            <w:vMerge w:val="restart"/>
          </w:tcPr>
          <w:p w:rsidR="00BB24AE" w:rsidRPr="00EF11F3" w:rsidRDefault="00BB24AE" w:rsidP="00265073">
            <w:pPr>
              <w:jc w:val="center"/>
              <w:rPr>
                <w:rFonts w:ascii="Times New Roman" w:hAnsi="Times New Roman" w:cs="Times New Roman"/>
                <w:b/>
                <w:sz w:val="20"/>
                <w:szCs w:val="20"/>
              </w:rPr>
            </w:pPr>
          </w:p>
        </w:tc>
        <w:tc>
          <w:tcPr>
            <w:tcW w:w="3402" w:type="dxa"/>
            <w:gridSpan w:val="3"/>
          </w:tcPr>
          <w:p w:rsidR="00BB24AE" w:rsidRPr="00EF11F3" w:rsidRDefault="00BB24AE" w:rsidP="00265073">
            <w:pPr>
              <w:jc w:val="center"/>
              <w:rPr>
                <w:rFonts w:ascii="Times New Roman" w:hAnsi="Times New Roman" w:cs="Times New Roman"/>
                <w:b/>
                <w:sz w:val="20"/>
                <w:szCs w:val="20"/>
              </w:rPr>
            </w:pPr>
            <w:r w:rsidRPr="00EF11F3">
              <w:rPr>
                <w:rFonts w:ascii="Times New Roman" w:hAnsi="Times New Roman" w:cs="Times New Roman"/>
                <w:b/>
                <w:sz w:val="20"/>
                <w:szCs w:val="20"/>
              </w:rPr>
              <w:t>2016.gads</w:t>
            </w:r>
          </w:p>
        </w:tc>
        <w:tc>
          <w:tcPr>
            <w:tcW w:w="2835" w:type="dxa"/>
            <w:gridSpan w:val="3"/>
          </w:tcPr>
          <w:p w:rsidR="00BB24AE" w:rsidRPr="00EF11F3" w:rsidRDefault="00BB24AE" w:rsidP="00265073">
            <w:pPr>
              <w:jc w:val="center"/>
              <w:rPr>
                <w:rFonts w:ascii="Times New Roman" w:hAnsi="Times New Roman" w:cs="Times New Roman"/>
                <w:b/>
                <w:sz w:val="20"/>
                <w:szCs w:val="20"/>
              </w:rPr>
            </w:pPr>
            <w:r w:rsidRPr="00EF11F3">
              <w:rPr>
                <w:rFonts w:ascii="Times New Roman" w:hAnsi="Times New Roman" w:cs="Times New Roman"/>
                <w:b/>
                <w:sz w:val="20"/>
                <w:szCs w:val="20"/>
              </w:rPr>
              <w:t>2017.gads</w:t>
            </w:r>
          </w:p>
        </w:tc>
        <w:tc>
          <w:tcPr>
            <w:tcW w:w="3260" w:type="dxa"/>
            <w:gridSpan w:val="3"/>
          </w:tcPr>
          <w:p w:rsidR="00BB24AE" w:rsidRPr="00EF11F3" w:rsidRDefault="00BB24AE" w:rsidP="00265073">
            <w:pPr>
              <w:jc w:val="center"/>
              <w:rPr>
                <w:rFonts w:ascii="Times New Roman" w:hAnsi="Times New Roman" w:cs="Times New Roman"/>
                <w:b/>
                <w:sz w:val="20"/>
                <w:szCs w:val="20"/>
              </w:rPr>
            </w:pPr>
            <w:r w:rsidRPr="00EF11F3">
              <w:rPr>
                <w:rFonts w:ascii="Times New Roman" w:hAnsi="Times New Roman" w:cs="Times New Roman"/>
                <w:b/>
                <w:sz w:val="20"/>
                <w:szCs w:val="20"/>
              </w:rPr>
              <w:t>KOPĀ</w:t>
            </w:r>
          </w:p>
        </w:tc>
      </w:tr>
      <w:tr w:rsidR="007C31BA" w:rsidRPr="00EF11F3" w:rsidTr="00EF11F3">
        <w:trPr>
          <w:jc w:val="center"/>
        </w:trPr>
        <w:tc>
          <w:tcPr>
            <w:tcW w:w="1418" w:type="dxa"/>
            <w:vMerge/>
          </w:tcPr>
          <w:p w:rsidR="00BB24AE" w:rsidRPr="00EF11F3" w:rsidRDefault="00BB24AE" w:rsidP="00265073">
            <w:pPr>
              <w:jc w:val="center"/>
              <w:rPr>
                <w:rFonts w:ascii="Times New Roman" w:hAnsi="Times New Roman" w:cs="Times New Roman"/>
                <w:sz w:val="20"/>
                <w:szCs w:val="20"/>
              </w:rPr>
            </w:pPr>
          </w:p>
        </w:tc>
        <w:tc>
          <w:tcPr>
            <w:tcW w:w="1134" w:type="dxa"/>
            <w:vMerge w:val="restart"/>
            <w:vAlign w:val="center"/>
          </w:tcPr>
          <w:p w:rsidR="00BB24AE" w:rsidRPr="00EF11F3" w:rsidRDefault="00BB24AE" w:rsidP="00BB24AE">
            <w:pPr>
              <w:jc w:val="center"/>
              <w:rPr>
                <w:rFonts w:ascii="Times New Roman" w:hAnsi="Times New Roman" w:cs="Times New Roman"/>
                <w:sz w:val="20"/>
                <w:szCs w:val="20"/>
              </w:rPr>
            </w:pPr>
            <w:r w:rsidRPr="00EF11F3">
              <w:rPr>
                <w:rFonts w:ascii="Times New Roman" w:hAnsi="Times New Roman" w:cs="Times New Roman"/>
                <w:sz w:val="20"/>
                <w:szCs w:val="20"/>
              </w:rPr>
              <w:t>Kopā</w:t>
            </w:r>
          </w:p>
        </w:tc>
        <w:tc>
          <w:tcPr>
            <w:tcW w:w="2268" w:type="dxa"/>
            <w:gridSpan w:val="2"/>
          </w:tcPr>
          <w:p w:rsidR="00BB24AE" w:rsidRPr="00EF11F3" w:rsidRDefault="00BB24AE" w:rsidP="00265073">
            <w:pPr>
              <w:jc w:val="center"/>
              <w:rPr>
                <w:rFonts w:ascii="Times New Roman" w:hAnsi="Times New Roman" w:cs="Times New Roman"/>
                <w:sz w:val="20"/>
                <w:szCs w:val="20"/>
              </w:rPr>
            </w:pPr>
            <w:r w:rsidRPr="00EF11F3">
              <w:rPr>
                <w:rFonts w:ascii="Times New Roman" w:hAnsi="Times New Roman" w:cs="Times New Roman"/>
                <w:sz w:val="20"/>
                <w:szCs w:val="20"/>
              </w:rPr>
              <w:t>tai skaitā</w:t>
            </w:r>
          </w:p>
        </w:tc>
        <w:tc>
          <w:tcPr>
            <w:tcW w:w="851" w:type="dxa"/>
            <w:vMerge w:val="restart"/>
            <w:vAlign w:val="center"/>
          </w:tcPr>
          <w:p w:rsidR="00BB24AE" w:rsidRPr="00EF11F3" w:rsidRDefault="00BB24AE" w:rsidP="00751A2A">
            <w:pPr>
              <w:jc w:val="center"/>
              <w:rPr>
                <w:rFonts w:ascii="Times New Roman" w:hAnsi="Times New Roman" w:cs="Times New Roman"/>
                <w:sz w:val="20"/>
                <w:szCs w:val="20"/>
              </w:rPr>
            </w:pPr>
            <w:r w:rsidRPr="00EF11F3">
              <w:rPr>
                <w:rFonts w:ascii="Times New Roman" w:hAnsi="Times New Roman" w:cs="Times New Roman"/>
                <w:sz w:val="20"/>
                <w:szCs w:val="20"/>
              </w:rPr>
              <w:t>Kopā</w:t>
            </w:r>
          </w:p>
        </w:tc>
        <w:tc>
          <w:tcPr>
            <w:tcW w:w="1984" w:type="dxa"/>
            <w:gridSpan w:val="2"/>
          </w:tcPr>
          <w:p w:rsidR="00BB24AE" w:rsidRPr="00EF11F3" w:rsidRDefault="00BB24AE" w:rsidP="00265073">
            <w:pPr>
              <w:jc w:val="center"/>
              <w:rPr>
                <w:rFonts w:ascii="Times New Roman" w:hAnsi="Times New Roman" w:cs="Times New Roman"/>
                <w:sz w:val="20"/>
                <w:szCs w:val="20"/>
              </w:rPr>
            </w:pPr>
            <w:r w:rsidRPr="00EF11F3">
              <w:rPr>
                <w:rFonts w:ascii="Times New Roman" w:hAnsi="Times New Roman" w:cs="Times New Roman"/>
                <w:sz w:val="20"/>
                <w:szCs w:val="20"/>
              </w:rPr>
              <w:t>tai skaitā</w:t>
            </w:r>
          </w:p>
        </w:tc>
        <w:tc>
          <w:tcPr>
            <w:tcW w:w="1134" w:type="dxa"/>
            <w:vMerge w:val="restart"/>
            <w:vAlign w:val="center"/>
          </w:tcPr>
          <w:p w:rsidR="00BB24AE" w:rsidRPr="00EF11F3" w:rsidRDefault="00BB24AE" w:rsidP="00751A2A">
            <w:pPr>
              <w:jc w:val="center"/>
              <w:rPr>
                <w:rFonts w:ascii="Times New Roman" w:hAnsi="Times New Roman" w:cs="Times New Roman"/>
                <w:sz w:val="20"/>
                <w:szCs w:val="20"/>
              </w:rPr>
            </w:pPr>
            <w:r w:rsidRPr="00EF11F3">
              <w:rPr>
                <w:rFonts w:ascii="Times New Roman" w:hAnsi="Times New Roman" w:cs="Times New Roman"/>
                <w:sz w:val="20"/>
                <w:szCs w:val="20"/>
              </w:rPr>
              <w:t>Kopā</w:t>
            </w:r>
          </w:p>
        </w:tc>
        <w:tc>
          <w:tcPr>
            <w:tcW w:w="2126" w:type="dxa"/>
            <w:gridSpan w:val="2"/>
          </w:tcPr>
          <w:p w:rsidR="00BB24AE" w:rsidRPr="00EF11F3" w:rsidRDefault="00BB24AE" w:rsidP="00265073">
            <w:pPr>
              <w:jc w:val="center"/>
              <w:rPr>
                <w:rFonts w:ascii="Times New Roman" w:hAnsi="Times New Roman" w:cs="Times New Roman"/>
                <w:sz w:val="20"/>
                <w:szCs w:val="20"/>
              </w:rPr>
            </w:pPr>
            <w:r w:rsidRPr="00EF11F3">
              <w:rPr>
                <w:rFonts w:ascii="Times New Roman" w:hAnsi="Times New Roman" w:cs="Times New Roman"/>
                <w:sz w:val="20"/>
                <w:szCs w:val="20"/>
              </w:rPr>
              <w:t>tai skaitā</w:t>
            </w:r>
          </w:p>
        </w:tc>
      </w:tr>
      <w:tr w:rsidR="00EF11F3" w:rsidRPr="00EF11F3" w:rsidTr="00EF11F3">
        <w:trPr>
          <w:jc w:val="center"/>
        </w:trPr>
        <w:tc>
          <w:tcPr>
            <w:tcW w:w="1418" w:type="dxa"/>
            <w:vMerge/>
          </w:tcPr>
          <w:p w:rsidR="00BB24AE" w:rsidRPr="00EF11F3" w:rsidRDefault="00BB24AE" w:rsidP="00265073">
            <w:pPr>
              <w:jc w:val="center"/>
              <w:rPr>
                <w:rFonts w:ascii="Times New Roman" w:hAnsi="Times New Roman" w:cs="Times New Roman"/>
                <w:sz w:val="20"/>
                <w:szCs w:val="20"/>
              </w:rPr>
            </w:pPr>
          </w:p>
        </w:tc>
        <w:tc>
          <w:tcPr>
            <w:tcW w:w="1134" w:type="dxa"/>
            <w:vMerge/>
          </w:tcPr>
          <w:p w:rsidR="00BB24AE" w:rsidRPr="00EF11F3" w:rsidRDefault="00BB24AE" w:rsidP="00265073">
            <w:pPr>
              <w:jc w:val="center"/>
              <w:rPr>
                <w:rFonts w:ascii="Times New Roman" w:hAnsi="Times New Roman" w:cs="Times New Roman"/>
                <w:sz w:val="20"/>
                <w:szCs w:val="20"/>
              </w:rPr>
            </w:pPr>
          </w:p>
        </w:tc>
        <w:tc>
          <w:tcPr>
            <w:tcW w:w="1134" w:type="dxa"/>
          </w:tcPr>
          <w:p w:rsidR="00BB24AE" w:rsidRPr="00EF11F3" w:rsidRDefault="008A4819" w:rsidP="008A4819">
            <w:pPr>
              <w:jc w:val="center"/>
              <w:rPr>
                <w:rFonts w:ascii="Times New Roman" w:hAnsi="Times New Roman" w:cs="Times New Roman"/>
                <w:sz w:val="20"/>
                <w:szCs w:val="20"/>
              </w:rPr>
            </w:pPr>
            <w:proofErr w:type="spellStart"/>
            <w:r>
              <w:rPr>
                <w:rFonts w:ascii="Times New Roman" w:hAnsi="Times New Roman" w:cs="Times New Roman"/>
                <w:sz w:val="20"/>
                <w:szCs w:val="20"/>
              </w:rPr>
              <w:t>Instru-menta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finan-sē</w:t>
            </w:r>
            <w:r w:rsidR="00BB24AE" w:rsidRPr="00EF11F3">
              <w:rPr>
                <w:rFonts w:ascii="Times New Roman" w:hAnsi="Times New Roman" w:cs="Times New Roman"/>
                <w:sz w:val="20"/>
                <w:szCs w:val="20"/>
              </w:rPr>
              <w:t>jums</w:t>
            </w:r>
            <w:proofErr w:type="spellEnd"/>
          </w:p>
        </w:tc>
        <w:tc>
          <w:tcPr>
            <w:tcW w:w="1134" w:type="dxa"/>
          </w:tcPr>
          <w:p w:rsidR="00BB24AE" w:rsidRPr="00EF11F3" w:rsidRDefault="00BB24AE" w:rsidP="00BB24AE">
            <w:pPr>
              <w:jc w:val="center"/>
              <w:rPr>
                <w:rFonts w:ascii="Times New Roman" w:hAnsi="Times New Roman" w:cs="Times New Roman"/>
                <w:sz w:val="20"/>
                <w:szCs w:val="20"/>
              </w:rPr>
            </w:pPr>
            <w:proofErr w:type="spellStart"/>
            <w:r w:rsidRPr="00EF11F3">
              <w:rPr>
                <w:rFonts w:ascii="Times New Roman" w:hAnsi="Times New Roman" w:cs="Times New Roman"/>
                <w:sz w:val="20"/>
                <w:szCs w:val="20"/>
              </w:rPr>
              <w:t>Nepiecie-šamais</w:t>
            </w:r>
            <w:proofErr w:type="spellEnd"/>
            <w:r w:rsidRPr="00EF11F3">
              <w:rPr>
                <w:rFonts w:ascii="Times New Roman" w:hAnsi="Times New Roman" w:cs="Times New Roman"/>
                <w:sz w:val="20"/>
                <w:szCs w:val="20"/>
              </w:rPr>
              <w:t xml:space="preserve"> </w:t>
            </w:r>
            <w:proofErr w:type="spellStart"/>
            <w:r w:rsidRPr="00EF11F3">
              <w:rPr>
                <w:rFonts w:ascii="Times New Roman" w:hAnsi="Times New Roman" w:cs="Times New Roman"/>
                <w:sz w:val="20"/>
                <w:szCs w:val="20"/>
              </w:rPr>
              <w:t>līdzfinan-</w:t>
            </w:r>
            <w:r w:rsidR="008A4819">
              <w:rPr>
                <w:rFonts w:ascii="Times New Roman" w:hAnsi="Times New Roman" w:cs="Times New Roman"/>
                <w:sz w:val="20"/>
                <w:szCs w:val="20"/>
              </w:rPr>
              <w:t>s</w:t>
            </w:r>
            <w:r w:rsidRPr="00EF11F3">
              <w:rPr>
                <w:rFonts w:ascii="Times New Roman" w:hAnsi="Times New Roman" w:cs="Times New Roman"/>
                <w:sz w:val="20"/>
                <w:szCs w:val="20"/>
              </w:rPr>
              <w:t>ējums</w:t>
            </w:r>
            <w:proofErr w:type="spellEnd"/>
          </w:p>
        </w:tc>
        <w:tc>
          <w:tcPr>
            <w:tcW w:w="851" w:type="dxa"/>
            <w:vMerge/>
          </w:tcPr>
          <w:p w:rsidR="00BB24AE" w:rsidRPr="00EF11F3" w:rsidRDefault="00BB24AE" w:rsidP="00265073">
            <w:pPr>
              <w:jc w:val="center"/>
              <w:rPr>
                <w:rFonts w:ascii="Times New Roman" w:hAnsi="Times New Roman" w:cs="Times New Roman"/>
                <w:sz w:val="20"/>
                <w:szCs w:val="20"/>
              </w:rPr>
            </w:pPr>
          </w:p>
        </w:tc>
        <w:tc>
          <w:tcPr>
            <w:tcW w:w="850" w:type="dxa"/>
          </w:tcPr>
          <w:p w:rsidR="00BB24AE" w:rsidRPr="00EF11F3" w:rsidRDefault="00BB24AE" w:rsidP="00BB24AE">
            <w:pPr>
              <w:jc w:val="center"/>
              <w:rPr>
                <w:rFonts w:ascii="Times New Roman" w:hAnsi="Times New Roman" w:cs="Times New Roman"/>
                <w:sz w:val="20"/>
                <w:szCs w:val="20"/>
              </w:rPr>
            </w:pPr>
            <w:proofErr w:type="spellStart"/>
            <w:r w:rsidRPr="00EF11F3">
              <w:rPr>
                <w:rFonts w:ascii="Times New Roman" w:hAnsi="Times New Roman" w:cs="Times New Roman"/>
                <w:sz w:val="20"/>
                <w:szCs w:val="20"/>
              </w:rPr>
              <w:t>Instru-menta</w:t>
            </w:r>
            <w:proofErr w:type="spellEnd"/>
            <w:r w:rsidRPr="00EF11F3">
              <w:rPr>
                <w:rFonts w:ascii="Times New Roman" w:hAnsi="Times New Roman" w:cs="Times New Roman"/>
                <w:sz w:val="20"/>
                <w:szCs w:val="20"/>
              </w:rPr>
              <w:t xml:space="preserve"> </w:t>
            </w:r>
            <w:proofErr w:type="spellStart"/>
            <w:r w:rsidRPr="00EF11F3">
              <w:rPr>
                <w:rFonts w:ascii="Times New Roman" w:hAnsi="Times New Roman" w:cs="Times New Roman"/>
                <w:sz w:val="20"/>
                <w:szCs w:val="20"/>
              </w:rPr>
              <w:t>finan-</w:t>
            </w:r>
            <w:proofErr w:type="spellEnd"/>
          </w:p>
          <w:p w:rsidR="00BB24AE" w:rsidRPr="00EF11F3" w:rsidRDefault="00BB24AE" w:rsidP="00BB24AE">
            <w:pPr>
              <w:jc w:val="center"/>
              <w:rPr>
                <w:rFonts w:ascii="Times New Roman" w:hAnsi="Times New Roman" w:cs="Times New Roman"/>
                <w:sz w:val="20"/>
                <w:szCs w:val="20"/>
              </w:rPr>
            </w:pPr>
            <w:r w:rsidRPr="00EF11F3">
              <w:rPr>
                <w:rFonts w:ascii="Times New Roman" w:hAnsi="Times New Roman" w:cs="Times New Roman"/>
                <w:sz w:val="20"/>
                <w:szCs w:val="20"/>
              </w:rPr>
              <w:t>sējums</w:t>
            </w:r>
          </w:p>
        </w:tc>
        <w:tc>
          <w:tcPr>
            <w:tcW w:w="1134" w:type="dxa"/>
          </w:tcPr>
          <w:p w:rsidR="00BB24AE" w:rsidRPr="00EF11F3" w:rsidRDefault="00BB24AE" w:rsidP="00265073">
            <w:pPr>
              <w:jc w:val="center"/>
              <w:rPr>
                <w:rFonts w:ascii="Times New Roman" w:hAnsi="Times New Roman" w:cs="Times New Roman"/>
                <w:sz w:val="20"/>
                <w:szCs w:val="20"/>
              </w:rPr>
            </w:pPr>
            <w:proofErr w:type="spellStart"/>
            <w:r w:rsidRPr="00EF11F3">
              <w:rPr>
                <w:rFonts w:ascii="Times New Roman" w:hAnsi="Times New Roman" w:cs="Times New Roman"/>
                <w:sz w:val="20"/>
                <w:szCs w:val="20"/>
              </w:rPr>
              <w:t>Nepiecie-šamais</w:t>
            </w:r>
            <w:proofErr w:type="spellEnd"/>
            <w:r w:rsidRPr="00EF11F3">
              <w:rPr>
                <w:rFonts w:ascii="Times New Roman" w:hAnsi="Times New Roman" w:cs="Times New Roman"/>
                <w:sz w:val="20"/>
                <w:szCs w:val="20"/>
              </w:rPr>
              <w:t xml:space="preserve"> </w:t>
            </w:r>
            <w:proofErr w:type="spellStart"/>
            <w:r w:rsidRPr="00EF11F3">
              <w:rPr>
                <w:rFonts w:ascii="Times New Roman" w:hAnsi="Times New Roman" w:cs="Times New Roman"/>
                <w:sz w:val="20"/>
                <w:szCs w:val="20"/>
              </w:rPr>
              <w:t>līdzfinan-</w:t>
            </w:r>
            <w:r w:rsidR="008A4819">
              <w:rPr>
                <w:rFonts w:ascii="Times New Roman" w:hAnsi="Times New Roman" w:cs="Times New Roman"/>
                <w:sz w:val="20"/>
                <w:szCs w:val="20"/>
              </w:rPr>
              <w:t>s</w:t>
            </w:r>
            <w:r w:rsidRPr="00EF11F3">
              <w:rPr>
                <w:rFonts w:ascii="Times New Roman" w:hAnsi="Times New Roman" w:cs="Times New Roman"/>
                <w:sz w:val="20"/>
                <w:szCs w:val="20"/>
              </w:rPr>
              <w:t>ējums</w:t>
            </w:r>
            <w:proofErr w:type="spellEnd"/>
          </w:p>
        </w:tc>
        <w:tc>
          <w:tcPr>
            <w:tcW w:w="1134" w:type="dxa"/>
            <w:vMerge/>
          </w:tcPr>
          <w:p w:rsidR="00BB24AE" w:rsidRPr="00EF11F3" w:rsidRDefault="00BB24AE" w:rsidP="00265073">
            <w:pPr>
              <w:jc w:val="center"/>
              <w:rPr>
                <w:rFonts w:ascii="Times New Roman" w:hAnsi="Times New Roman" w:cs="Times New Roman"/>
                <w:sz w:val="20"/>
                <w:szCs w:val="20"/>
              </w:rPr>
            </w:pPr>
          </w:p>
        </w:tc>
        <w:tc>
          <w:tcPr>
            <w:tcW w:w="1027" w:type="dxa"/>
          </w:tcPr>
          <w:p w:rsidR="00BB24AE" w:rsidRPr="00EF11F3" w:rsidRDefault="00BB24AE" w:rsidP="00BB24AE">
            <w:pPr>
              <w:jc w:val="center"/>
              <w:rPr>
                <w:rFonts w:ascii="Times New Roman" w:hAnsi="Times New Roman" w:cs="Times New Roman"/>
                <w:sz w:val="20"/>
                <w:szCs w:val="20"/>
              </w:rPr>
            </w:pPr>
            <w:proofErr w:type="spellStart"/>
            <w:r w:rsidRPr="00EF11F3">
              <w:rPr>
                <w:rFonts w:ascii="Times New Roman" w:hAnsi="Times New Roman" w:cs="Times New Roman"/>
                <w:sz w:val="20"/>
                <w:szCs w:val="20"/>
              </w:rPr>
              <w:t>Instru-menta</w:t>
            </w:r>
            <w:proofErr w:type="spellEnd"/>
            <w:r w:rsidRPr="00EF11F3">
              <w:rPr>
                <w:rFonts w:ascii="Times New Roman" w:hAnsi="Times New Roman" w:cs="Times New Roman"/>
                <w:sz w:val="20"/>
                <w:szCs w:val="20"/>
              </w:rPr>
              <w:t xml:space="preserve"> </w:t>
            </w:r>
            <w:proofErr w:type="spellStart"/>
            <w:r w:rsidRPr="00EF11F3">
              <w:rPr>
                <w:rFonts w:ascii="Times New Roman" w:hAnsi="Times New Roman" w:cs="Times New Roman"/>
                <w:sz w:val="20"/>
                <w:szCs w:val="20"/>
              </w:rPr>
              <w:t>finan-</w:t>
            </w:r>
            <w:proofErr w:type="spellEnd"/>
          </w:p>
          <w:p w:rsidR="00BB24AE" w:rsidRPr="00EF11F3" w:rsidRDefault="00BB24AE" w:rsidP="00BB24AE">
            <w:pPr>
              <w:jc w:val="center"/>
              <w:rPr>
                <w:rFonts w:ascii="Times New Roman" w:hAnsi="Times New Roman" w:cs="Times New Roman"/>
                <w:sz w:val="20"/>
                <w:szCs w:val="20"/>
              </w:rPr>
            </w:pPr>
            <w:r w:rsidRPr="00EF11F3">
              <w:rPr>
                <w:rFonts w:ascii="Times New Roman" w:hAnsi="Times New Roman" w:cs="Times New Roman"/>
                <w:sz w:val="20"/>
                <w:szCs w:val="20"/>
              </w:rPr>
              <w:t>sējums</w:t>
            </w:r>
          </w:p>
        </w:tc>
        <w:tc>
          <w:tcPr>
            <w:tcW w:w="1099" w:type="dxa"/>
          </w:tcPr>
          <w:p w:rsidR="00BB24AE" w:rsidRPr="00EF11F3" w:rsidRDefault="00BB24AE" w:rsidP="00265073">
            <w:pPr>
              <w:jc w:val="center"/>
              <w:rPr>
                <w:rFonts w:ascii="Times New Roman" w:hAnsi="Times New Roman" w:cs="Times New Roman"/>
                <w:sz w:val="20"/>
                <w:szCs w:val="20"/>
              </w:rPr>
            </w:pPr>
            <w:proofErr w:type="spellStart"/>
            <w:r w:rsidRPr="00EF11F3">
              <w:rPr>
                <w:rFonts w:ascii="Times New Roman" w:hAnsi="Times New Roman" w:cs="Times New Roman"/>
                <w:sz w:val="20"/>
                <w:szCs w:val="20"/>
              </w:rPr>
              <w:t>Nepiecie-šamais</w:t>
            </w:r>
            <w:proofErr w:type="spellEnd"/>
            <w:r w:rsidRPr="00EF11F3">
              <w:rPr>
                <w:rFonts w:ascii="Times New Roman" w:hAnsi="Times New Roman" w:cs="Times New Roman"/>
                <w:sz w:val="20"/>
                <w:szCs w:val="20"/>
              </w:rPr>
              <w:t xml:space="preserve"> </w:t>
            </w:r>
            <w:proofErr w:type="spellStart"/>
            <w:r w:rsidRPr="00EF11F3">
              <w:rPr>
                <w:rFonts w:ascii="Times New Roman" w:hAnsi="Times New Roman" w:cs="Times New Roman"/>
                <w:sz w:val="20"/>
                <w:szCs w:val="20"/>
              </w:rPr>
              <w:t>līdzfinan-</w:t>
            </w:r>
            <w:r w:rsidR="008A4819">
              <w:rPr>
                <w:rFonts w:ascii="Times New Roman" w:hAnsi="Times New Roman" w:cs="Times New Roman"/>
                <w:sz w:val="20"/>
                <w:szCs w:val="20"/>
              </w:rPr>
              <w:t>s</w:t>
            </w:r>
            <w:r w:rsidRPr="00EF11F3">
              <w:rPr>
                <w:rFonts w:ascii="Times New Roman" w:hAnsi="Times New Roman" w:cs="Times New Roman"/>
                <w:sz w:val="20"/>
                <w:szCs w:val="20"/>
              </w:rPr>
              <w:t>ējums</w:t>
            </w:r>
            <w:proofErr w:type="spellEnd"/>
          </w:p>
        </w:tc>
      </w:tr>
      <w:tr w:rsidR="00EF11F3" w:rsidRPr="00EF11F3" w:rsidTr="00EF11F3">
        <w:trPr>
          <w:jc w:val="center"/>
        </w:trPr>
        <w:tc>
          <w:tcPr>
            <w:tcW w:w="1418" w:type="dxa"/>
          </w:tcPr>
          <w:p w:rsidR="00BB24AE" w:rsidRPr="00EF11F3" w:rsidRDefault="00BB24AE" w:rsidP="00BB24AE">
            <w:pPr>
              <w:rPr>
                <w:rFonts w:ascii="Times New Roman" w:hAnsi="Times New Roman" w:cs="Times New Roman"/>
                <w:sz w:val="20"/>
                <w:szCs w:val="20"/>
              </w:rPr>
            </w:pPr>
            <w:r w:rsidRPr="00EF11F3">
              <w:rPr>
                <w:rFonts w:ascii="Times New Roman" w:hAnsi="Times New Roman" w:cs="Times New Roman"/>
                <w:sz w:val="20"/>
                <w:szCs w:val="20"/>
              </w:rPr>
              <w:t>Atlīdzība (EKK1000), t.sk.</w:t>
            </w:r>
          </w:p>
        </w:tc>
        <w:tc>
          <w:tcPr>
            <w:tcW w:w="1134" w:type="dxa"/>
          </w:tcPr>
          <w:p w:rsidR="00BB24AE" w:rsidRPr="00EF11F3" w:rsidRDefault="0017798E" w:rsidP="00265073">
            <w:pPr>
              <w:jc w:val="center"/>
              <w:rPr>
                <w:rFonts w:ascii="Times New Roman" w:hAnsi="Times New Roman" w:cs="Times New Roman"/>
                <w:sz w:val="20"/>
                <w:szCs w:val="20"/>
              </w:rPr>
            </w:pPr>
            <w:r w:rsidRPr="00EF11F3">
              <w:rPr>
                <w:rFonts w:ascii="Times New Roman" w:hAnsi="Times New Roman" w:cs="Times New Roman"/>
                <w:sz w:val="20"/>
                <w:szCs w:val="20"/>
              </w:rPr>
              <w:t>9 622.40</w:t>
            </w:r>
          </w:p>
        </w:tc>
        <w:tc>
          <w:tcPr>
            <w:tcW w:w="1134" w:type="dxa"/>
          </w:tcPr>
          <w:p w:rsidR="00BB24AE" w:rsidRPr="00EF11F3" w:rsidRDefault="00751A2A" w:rsidP="00265073">
            <w:pPr>
              <w:jc w:val="center"/>
              <w:rPr>
                <w:rFonts w:ascii="Times New Roman" w:hAnsi="Times New Roman" w:cs="Times New Roman"/>
                <w:sz w:val="20"/>
                <w:szCs w:val="20"/>
              </w:rPr>
            </w:pPr>
            <w:r w:rsidRPr="00EF11F3">
              <w:rPr>
                <w:rFonts w:ascii="Times New Roman" w:hAnsi="Times New Roman" w:cs="Times New Roman"/>
                <w:sz w:val="20"/>
                <w:szCs w:val="20"/>
              </w:rPr>
              <w:t>8 179.04</w:t>
            </w:r>
          </w:p>
        </w:tc>
        <w:tc>
          <w:tcPr>
            <w:tcW w:w="1134" w:type="dxa"/>
          </w:tcPr>
          <w:p w:rsidR="00BB24AE" w:rsidRPr="00EF11F3" w:rsidRDefault="00751A2A" w:rsidP="00265073">
            <w:pPr>
              <w:jc w:val="center"/>
              <w:rPr>
                <w:rFonts w:ascii="Times New Roman" w:hAnsi="Times New Roman" w:cs="Times New Roman"/>
                <w:sz w:val="20"/>
                <w:szCs w:val="20"/>
              </w:rPr>
            </w:pPr>
            <w:r w:rsidRPr="00EF11F3">
              <w:rPr>
                <w:rFonts w:ascii="Times New Roman" w:hAnsi="Times New Roman" w:cs="Times New Roman"/>
                <w:sz w:val="20"/>
                <w:szCs w:val="20"/>
              </w:rPr>
              <w:t>1 443.36</w:t>
            </w:r>
          </w:p>
        </w:tc>
        <w:tc>
          <w:tcPr>
            <w:tcW w:w="851" w:type="dxa"/>
          </w:tcPr>
          <w:p w:rsidR="00BB24AE" w:rsidRPr="00EF11F3" w:rsidRDefault="000145AA" w:rsidP="00265073">
            <w:pPr>
              <w:jc w:val="center"/>
              <w:rPr>
                <w:rFonts w:ascii="Times New Roman" w:hAnsi="Times New Roman" w:cs="Times New Roman"/>
                <w:sz w:val="20"/>
                <w:szCs w:val="20"/>
              </w:rPr>
            </w:pPr>
            <w:r>
              <w:rPr>
                <w:rFonts w:ascii="Times New Roman" w:hAnsi="Times New Roman" w:cs="Times New Roman"/>
                <w:sz w:val="20"/>
                <w:szCs w:val="20"/>
              </w:rPr>
              <w:t>481.12</w:t>
            </w:r>
          </w:p>
        </w:tc>
        <w:tc>
          <w:tcPr>
            <w:tcW w:w="850" w:type="dxa"/>
          </w:tcPr>
          <w:p w:rsidR="00BB24AE" w:rsidRPr="00EF11F3" w:rsidRDefault="000145AA" w:rsidP="00265073">
            <w:pPr>
              <w:jc w:val="center"/>
              <w:rPr>
                <w:rFonts w:ascii="Times New Roman" w:hAnsi="Times New Roman" w:cs="Times New Roman"/>
                <w:sz w:val="20"/>
                <w:szCs w:val="20"/>
              </w:rPr>
            </w:pPr>
            <w:r>
              <w:rPr>
                <w:rFonts w:ascii="Times New Roman" w:hAnsi="Times New Roman" w:cs="Times New Roman"/>
                <w:sz w:val="20"/>
                <w:szCs w:val="20"/>
              </w:rPr>
              <w:t>408.95</w:t>
            </w:r>
          </w:p>
        </w:tc>
        <w:tc>
          <w:tcPr>
            <w:tcW w:w="1134" w:type="dxa"/>
          </w:tcPr>
          <w:p w:rsidR="00BB24AE" w:rsidRPr="00EF11F3" w:rsidRDefault="000145AA" w:rsidP="00265073">
            <w:pPr>
              <w:jc w:val="center"/>
              <w:rPr>
                <w:rFonts w:ascii="Times New Roman" w:hAnsi="Times New Roman" w:cs="Times New Roman"/>
                <w:sz w:val="20"/>
                <w:szCs w:val="20"/>
              </w:rPr>
            </w:pPr>
            <w:r>
              <w:rPr>
                <w:rFonts w:ascii="Times New Roman" w:hAnsi="Times New Roman" w:cs="Times New Roman"/>
                <w:sz w:val="20"/>
                <w:szCs w:val="20"/>
              </w:rPr>
              <w:t>72.17</w:t>
            </w:r>
          </w:p>
        </w:tc>
        <w:tc>
          <w:tcPr>
            <w:tcW w:w="1134" w:type="dxa"/>
          </w:tcPr>
          <w:p w:rsidR="00BB24AE" w:rsidRPr="00EF11F3" w:rsidRDefault="00EF11F3" w:rsidP="00265073">
            <w:pPr>
              <w:jc w:val="center"/>
              <w:rPr>
                <w:rFonts w:ascii="Times New Roman" w:hAnsi="Times New Roman" w:cs="Times New Roman"/>
                <w:sz w:val="20"/>
                <w:szCs w:val="20"/>
              </w:rPr>
            </w:pPr>
            <w:r w:rsidRPr="00EF11F3">
              <w:rPr>
                <w:rFonts w:ascii="Times New Roman" w:hAnsi="Times New Roman" w:cs="Times New Roman"/>
                <w:sz w:val="20"/>
                <w:szCs w:val="20"/>
              </w:rPr>
              <w:t>10 103.52</w:t>
            </w:r>
          </w:p>
        </w:tc>
        <w:tc>
          <w:tcPr>
            <w:tcW w:w="1027" w:type="dxa"/>
          </w:tcPr>
          <w:p w:rsidR="00BB24AE" w:rsidRPr="00EF11F3" w:rsidRDefault="00EF11F3" w:rsidP="00265073">
            <w:pPr>
              <w:jc w:val="center"/>
              <w:rPr>
                <w:rFonts w:ascii="Times New Roman" w:hAnsi="Times New Roman" w:cs="Times New Roman"/>
                <w:sz w:val="20"/>
                <w:szCs w:val="20"/>
              </w:rPr>
            </w:pPr>
            <w:r w:rsidRPr="00EF11F3">
              <w:rPr>
                <w:rFonts w:ascii="Times New Roman" w:hAnsi="Times New Roman" w:cs="Times New Roman"/>
                <w:sz w:val="20"/>
                <w:szCs w:val="20"/>
              </w:rPr>
              <w:t>8 587.99</w:t>
            </w:r>
          </w:p>
        </w:tc>
        <w:tc>
          <w:tcPr>
            <w:tcW w:w="1099" w:type="dxa"/>
          </w:tcPr>
          <w:p w:rsidR="00BB24AE" w:rsidRPr="00EF11F3" w:rsidRDefault="00EF11F3" w:rsidP="00265073">
            <w:pPr>
              <w:jc w:val="center"/>
              <w:rPr>
                <w:rFonts w:ascii="Times New Roman" w:hAnsi="Times New Roman" w:cs="Times New Roman"/>
                <w:sz w:val="20"/>
                <w:szCs w:val="20"/>
              </w:rPr>
            </w:pPr>
            <w:r>
              <w:rPr>
                <w:rFonts w:ascii="Times New Roman" w:hAnsi="Times New Roman" w:cs="Times New Roman"/>
                <w:sz w:val="20"/>
                <w:szCs w:val="20"/>
              </w:rPr>
              <w:t>1 515.53</w:t>
            </w:r>
          </w:p>
        </w:tc>
      </w:tr>
      <w:tr w:rsidR="00EF11F3" w:rsidRPr="00EF11F3" w:rsidTr="00EF11F3">
        <w:trPr>
          <w:jc w:val="center"/>
        </w:trPr>
        <w:tc>
          <w:tcPr>
            <w:tcW w:w="1418" w:type="dxa"/>
          </w:tcPr>
          <w:p w:rsidR="00BB24AE" w:rsidRPr="00EF11F3" w:rsidRDefault="00BB24AE" w:rsidP="00BB24AE">
            <w:pPr>
              <w:rPr>
                <w:rFonts w:ascii="Times New Roman" w:hAnsi="Times New Roman" w:cs="Times New Roman"/>
                <w:sz w:val="20"/>
                <w:szCs w:val="20"/>
              </w:rPr>
            </w:pPr>
            <w:r w:rsidRPr="00EF11F3">
              <w:rPr>
                <w:rFonts w:ascii="Times New Roman" w:hAnsi="Times New Roman" w:cs="Times New Roman"/>
                <w:sz w:val="20"/>
                <w:szCs w:val="20"/>
              </w:rPr>
              <w:t>Atalgojums (EKK1100)</w:t>
            </w:r>
          </w:p>
        </w:tc>
        <w:tc>
          <w:tcPr>
            <w:tcW w:w="1134" w:type="dxa"/>
          </w:tcPr>
          <w:p w:rsidR="00BB24AE" w:rsidRPr="00EF11F3" w:rsidRDefault="0017798E" w:rsidP="00265073">
            <w:pPr>
              <w:jc w:val="center"/>
              <w:rPr>
                <w:rFonts w:ascii="Times New Roman" w:hAnsi="Times New Roman" w:cs="Times New Roman"/>
                <w:sz w:val="20"/>
                <w:szCs w:val="20"/>
              </w:rPr>
            </w:pPr>
            <w:r w:rsidRPr="00EF11F3">
              <w:rPr>
                <w:rFonts w:ascii="Times New Roman" w:hAnsi="Times New Roman" w:cs="Times New Roman"/>
                <w:sz w:val="20"/>
                <w:szCs w:val="20"/>
              </w:rPr>
              <w:t>7 785.74</w:t>
            </w:r>
          </w:p>
        </w:tc>
        <w:tc>
          <w:tcPr>
            <w:tcW w:w="1134" w:type="dxa"/>
          </w:tcPr>
          <w:p w:rsidR="00BB24AE" w:rsidRPr="00EF11F3" w:rsidRDefault="00751A2A" w:rsidP="00265073">
            <w:pPr>
              <w:jc w:val="center"/>
              <w:rPr>
                <w:rFonts w:ascii="Times New Roman" w:hAnsi="Times New Roman" w:cs="Times New Roman"/>
                <w:sz w:val="20"/>
                <w:szCs w:val="20"/>
              </w:rPr>
            </w:pPr>
            <w:r w:rsidRPr="00EF11F3">
              <w:rPr>
                <w:rFonts w:ascii="Times New Roman" w:hAnsi="Times New Roman" w:cs="Times New Roman"/>
                <w:sz w:val="20"/>
                <w:szCs w:val="20"/>
              </w:rPr>
              <w:t>6</w:t>
            </w:r>
            <w:r w:rsidR="00FE230E" w:rsidRPr="00EF11F3">
              <w:rPr>
                <w:rFonts w:ascii="Times New Roman" w:hAnsi="Times New Roman" w:cs="Times New Roman"/>
                <w:sz w:val="20"/>
                <w:szCs w:val="20"/>
              </w:rPr>
              <w:t> 617.88</w:t>
            </w:r>
          </w:p>
        </w:tc>
        <w:tc>
          <w:tcPr>
            <w:tcW w:w="1134" w:type="dxa"/>
          </w:tcPr>
          <w:p w:rsidR="00BB24AE" w:rsidRPr="00EF11F3" w:rsidRDefault="00FE230E" w:rsidP="00265073">
            <w:pPr>
              <w:jc w:val="center"/>
              <w:rPr>
                <w:rFonts w:ascii="Times New Roman" w:hAnsi="Times New Roman" w:cs="Times New Roman"/>
                <w:sz w:val="20"/>
                <w:szCs w:val="20"/>
              </w:rPr>
            </w:pPr>
            <w:r w:rsidRPr="00EF11F3">
              <w:rPr>
                <w:rFonts w:ascii="Times New Roman" w:hAnsi="Times New Roman" w:cs="Times New Roman"/>
                <w:sz w:val="20"/>
                <w:szCs w:val="20"/>
              </w:rPr>
              <w:t>1 167.86</w:t>
            </w:r>
          </w:p>
        </w:tc>
        <w:tc>
          <w:tcPr>
            <w:tcW w:w="851" w:type="dxa"/>
          </w:tcPr>
          <w:p w:rsidR="00BB24AE" w:rsidRPr="00EF11F3" w:rsidRDefault="00A22A8A" w:rsidP="00265073">
            <w:pPr>
              <w:jc w:val="center"/>
              <w:rPr>
                <w:rFonts w:ascii="Times New Roman" w:hAnsi="Times New Roman" w:cs="Times New Roman"/>
                <w:sz w:val="20"/>
                <w:szCs w:val="20"/>
              </w:rPr>
            </w:pPr>
            <w:r>
              <w:rPr>
                <w:rFonts w:ascii="Times New Roman" w:hAnsi="Times New Roman" w:cs="Times New Roman"/>
                <w:sz w:val="20"/>
                <w:szCs w:val="20"/>
              </w:rPr>
              <w:t>389.29</w:t>
            </w:r>
          </w:p>
        </w:tc>
        <w:tc>
          <w:tcPr>
            <w:tcW w:w="850" w:type="dxa"/>
          </w:tcPr>
          <w:p w:rsidR="00BB24AE" w:rsidRPr="00EF11F3" w:rsidRDefault="00E10A2E" w:rsidP="00265073">
            <w:pPr>
              <w:jc w:val="center"/>
              <w:rPr>
                <w:rFonts w:ascii="Times New Roman" w:hAnsi="Times New Roman" w:cs="Times New Roman"/>
                <w:sz w:val="20"/>
                <w:szCs w:val="20"/>
              </w:rPr>
            </w:pPr>
            <w:r>
              <w:rPr>
                <w:rFonts w:ascii="Times New Roman" w:hAnsi="Times New Roman" w:cs="Times New Roman"/>
                <w:sz w:val="20"/>
                <w:szCs w:val="20"/>
              </w:rPr>
              <w:t>330.90</w:t>
            </w:r>
          </w:p>
        </w:tc>
        <w:tc>
          <w:tcPr>
            <w:tcW w:w="1134" w:type="dxa"/>
          </w:tcPr>
          <w:p w:rsidR="00BB24AE" w:rsidRPr="00EF11F3" w:rsidRDefault="00827009" w:rsidP="00265073">
            <w:pPr>
              <w:jc w:val="center"/>
              <w:rPr>
                <w:rFonts w:ascii="Times New Roman" w:hAnsi="Times New Roman" w:cs="Times New Roman"/>
                <w:sz w:val="20"/>
                <w:szCs w:val="20"/>
              </w:rPr>
            </w:pPr>
            <w:r>
              <w:rPr>
                <w:rFonts w:ascii="Times New Roman" w:hAnsi="Times New Roman" w:cs="Times New Roman"/>
                <w:sz w:val="20"/>
                <w:szCs w:val="20"/>
              </w:rPr>
              <w:t>58.39</w:t>
            </w:r>
          </w:p>
        </w:tc>
        <w:tc>
          <w:tcPr>
            <w:tcW w:w="1134" w:type="dxa"/>
          </w:tcPr>
          <w:p w:rsidR="00BB24AE" w:rsidRPr="00EF11F3" w:rsidRDefault="00E10A2E" w:rsidP="00265073">
            <w:pPr>
              <w:jc w:val="center"/>
              <w:rPr>
                <w:rFonts w:ascii="Times New Roman" w:hAnsi="Times New Roman" w:cs="Times New Roman"/>
                <w:sz w:val="20"/>
                <w:szCs w:val="20"/>
              </w:rPr>
            </w:pPr>
            <w:r>
              <w:rPr>
                <w:rFonts w:ascii="Times New Roman" w:hAnsi="Times New Roman" w:cs="Times New Roman"/>
                <w:sz w:val="20"/>
                <w:szCs w:val="20"/>
              </w:rPr>
              <w:t>8 175.03</w:t>
            </w:r>
          </w:p>
        </w:tc>
        <w:tc>
          <w:tcPr>
            <w:tcW w:w="1027" w:type="dxa"/>
          </w:tcPr>
          <w:p w:rsidR="00BB24AE" w:rsidRPr="00EF11F3" w:rsidRDefault="00827009" w:rsidP="00265073">
            <w:pPr>
              <w:jc w:val="center"/>
              <w:rPr>
                <w:rFonts w:ascii="Times New Roman" w:hAnsi="Times New Roman" w:cs="Times New Roman"/>
                <w:sz w:val="20"/>
                <w:szCs w:val="20"/>
              </w:rPr>
            </w:pPr>
            <w:r>
              <w:rPr>
                <w:rFonts w:ascii="Times New Roman" w:hAnsi="Times New Roman" w:cs="Times New Roman"/>
                <w:sz w:val="20"/>
                <w:szCs w:val="20"/>
              </w:rPr>
              <w:t>6 948.78</w:t>
            </w:r>
          </w:p>
        </w:tc>
        <w:tc>
          <w:tcPr>
            <w:tcW w:w="1099" w:type="dxa"/>
          </w:tcPr>
          <w:p w:rsidR="00BB24AE" w:rsidRPr="00EF11F3" w:rsidRDefault="00827009" w:rsidP="00265073">
            <w:pPr>
              <w:jc w:val="center"/>
              <w:rPr>
                <w:rFonts w:ascii="Times New Roman" w:hAnsi="Times New Roman" w:cs="Times New Roman"/>
                <w:sz w:val="20"/>
                <w:szCs w:val="20"/>
              </w:rPr>
            </w:pPr>
            <w:r>
              <w:rPr>
                <w:rFonts w:ascii="Times New Roman" w:hAnsi="Times New Roman" w:cs="Times New Roman"/>
                <w:sz w:val="20"/>
                <w:szCs w:val="20"/>
              </w:rPr>
              <w:t>1 226.25</w:t>
            </w:r>
          </w:p>
        </w:tc>
      </w:tr>
      <w:tr w:rsidR="00EF11F3" w:rsidRPr="00EF11F3" w:rsidTr="00EF11F3">
        <w:trPr>
          <w:jc w:val="center"/>
        </w:trPr>
        <w:tc>
          <w:tcPr>
            <w:tcW w:w="1418" w:type="dxa"/>
          </w:tcPr>
          <w:p w:rsidR="00BB24AE" w:rsidRPr="00EF11F3" w:rsidRDefault="00BB24AE" w:rsidP="00BB24AE">
            <w:pPr>
              <w:rPr>
                <w:rFonts w:ascii="Times New Roman" w:hAnsi="Times New Roman" w:cs="Times New Roman"/>
                <w:sz w:val="20"/>
                <w:szCs w:val="20"/>
              </w:rPr>
            </w:pPr>
            <w:r w:rsidRPr="00EF11F3">
              <w:rPr>
                <w:rFonts w:ascii="Times New Roman" w:hAnsi="Times New Roman" w:cs="Times New Roman"/>
                <w:sz w:val="20"/>
                <w:szCs w:val="20"/>
              </w:rPr>
              <w:t>Darba devēja VSAOI (EKK1210)</w:t>
            </w:r>
          </w:p>
        </w:tc>
        <w:tc>
          <w:tcPr>
            <w:tcW w:w="1134" w:type="dxa"/>
          </w:tcPr>
          <w:p w:rsidR="00BB24AE" w:rsidRPr="00EF11F3" w:rsidRDefault="0017798E" w:rsidP="00265073">
            <w:pPr>
              <w:jc w:val="center"/>
              <w:rPr>
                <w:rFonts w:ascii="Times New Roman" w:hAnsi="Times New Roman" w:cs="Times New Roman"/>
                <w:sz w:val="20"/>
                <w:szCs w:val="20"/>
              </w:rPr>
            </w:pPr>
            <w:r w:rsidRPr="00EF11F3">
              <w:rPr>
                <w:rFonts w:ascii="Times New Roman" w:hAnsi="Times New Roman" w:cs="Times New Roman"/>
                <w:sz w:val="20"/>
                <w:szCs w:val="20"/>
              </w:rPr>
              <w:t>1 836.66</w:t>
            </w:r>
          </w:p>
        </w:tc>
        <w:tc>
          <w:tcPr>
            <w:tcW w:w="1134" w:type="dxa"/>
          </w:tcPr>
          <w:p w:rsidR="00BB24AE" w:rsidRPr="00EF11F3" w:rsidRDefault="00FE230E" w:rsidP="00265073">
            <w:pPr>
              <w:jc w:val="center"/>
              <w:rPr>
                <w:rFonts w:ascii="Times New Roman" w:hAnsi="Times New Roman" w:cs="Times New Roman"/>
                <w:sz w:val="20"/>
                <w:szCs w:val="20"/>
              </w:rPr>
            </w:pPr>
            <w:r w:rsidRPr="00EF11F3">
              <w:rPr>
                <w:rFonts w:ascii="Times New Roman" w:hAnsi="Times New Roman" w:cs="Times New Roman"/>
                <w:sz w:val="20"/>
                <w:szCs w:val="20"/>
              </w:rPr>
              <w:t>1 561.16</w:t>
            </w:r>
          </w:p>
        </w:tc>
        <w:tc>
          <w:tcPr>
            <w:tcW w:w="1134" w:type="dxa"/>
          </w:tcPr>
          <w:p w:rsidR="00BB24AE" w:rsidRPr="00EF11F3" w:rsidRDefault="00FE230E" w:rsidP="00265073">
            <w:pPr>
              <w:jc w:val="center"/>
              <w:rPr>
                <w:rFonts w:ascii="Times New Roman" w:hAnsi="Times New Roman" w:cs="Times New Roman"/>
                <w:sz w:val="20"/>
                <w:szCs w:val="20"/>
              </w:rPr>
            </w:pPr>
            <w:r w:rsidRPr="00EF11F3">
              <w:rPr>
                <w:rFonts w:ascii="Times New Roman" w:hAnsi="Times New Roman" w:cs="Times New Roman"/>
                <w:sz w:val="20"/>
                <w:szCs w:val="20"/>
              </w:rPr>
              <w:t>275.50</w:t>
            </w:r>
          </w:p>
        </w:tc>
        <w:tc>
          <w:tcPr>
            <w:tcW w:w="851" w:type="dxa"/>
          </w:tcPr>
          <w:p w:rsidR="00BB24AE" w:rsidRPr="00EF11F3" w:rsidRDefault="00A22A8A" w:rsidP="00265073">
            <w:pPr>
              <w:jc w:val="center"/>
              <w:rPr>
                <w:rFonts w:ascii="Times New Roman" w:hAnsi="Times New Roman" w:cs="Times New Roman"/>
                <w:sz w:val="20"/>
                <w:szCs w:val="20"/>
              </w:rPr>
            </w:pPr>
            <w:r>
              <w:rPr>
                <w:rFonts w:ascii="Times New Roman" w:hAnsi="Times New Roman" w:cs="Times New Roman"/>
                <w:sz w:val="20"/>
                <w:szCs w:val="20"/>
              </w:rPr>
              <w:t>91.83</w:t>
            </w:r>
          </w:p>
        </w:tc>
        <w:tc>
          <w:tcPr>
            <w:tcW w:w="850" w:type="dxa"/>
          </w:tcPr>
          <w:p w:rsidR="00BB24AE" w:rsidRPr="00EF11F3" w:rsidRDefault="0045282D" w:rsidP="00265073">
            <w:pPr>
              <w:jc w:val="center"/>
              <w:rPr>
                <w:rFonts w:ascii="Times New Roman" w:hAnsi="Times New Roman" w:cs="Times New Roman"/>
                <w:sz w:val="20"/>
                <w:szCs w:val="20"/>
              </w:rPr>
            </w:pPr>
            <w:r>
              <w:rPr>
                <w:rFonts w:ascii="Times New Roman" w:hAnsi="Times New Roman" w:cs="Times New Roman"/>
                <w:sz w:val="20"/>
                <w:szCs w:val="20"/>
              </w:rPr>
              <w:t>78.05</w:t>
            </w:r>
          </w:p>
        </w:tc>
        <w:tc>
          <w:tcPr>
            <w:tcW w:w="1134" w:type="dxa"/>
          </w:tcPr>
          <w:p w:rsidR="00BB24AE" w:rsidRPr="00EF11F3" w:rsidRDefault="002536A5" w:rsidP="00265073">
            <w:pPr>
              <w:jc w:val="center"/>
              <w:rPr>
                <w:rFonts w:ascii="Times New Roman" w:hAnsi="Times New Roman" w:cs="Times New Roman"/>
                <w:sz w:val="20"/>
                <w:szCs w:val="20"/>
              </w:rPr>
            </w:pPr>
            <w:r>
              <w:rPr>
                <w:rFonts w:ascii="Times New Roman" w:hAnsi="Times New Roman" w:cs="Times New Roman"/>
                <w:sz w:val="20"/>
                <w:szCs w:val="20"/>
              </w:rPr>
              <w:t>13.78</w:t>
            </w:r>
          </w:p>
        </w:tc>
        <w:tc>
          <w:tcPr>
            <w:tcW w:w="1134" w:type="dxa"/>
          </w:tcPr>
          <w:p w:rsidR="00BB24AE" w:rsidRPr="00EF11F3" w:rsidRDefault="00827009" w:rsidP="00265073">
            <w:pPr>
              <w:jc w:val="center"/>
              <w:rPr>
                <w:rFonts w:ascii="Times New Roman" w:hAnsi="Times New Roman" w:cs="Times New Roman"/>
                <w:sz w:val="20"/>
                <w:szCs w:val="20"/>
              </w:rPr>
            </w:pPr>
            <w:r>
              <w:rPr>
                <w:rFonts w:ascii="Times New Roman" w:hAnsi="Times New Roman" w:cs="Times New Roman"/>
                <w:sz w:val="20"/>
                <w:szCs w:val="20"/>
              </w:rPr>
              <w:t>1 928.49</w:t>
            </w:r>
          </w:p>
        </w:tc>
        <w:tc>
          <w:tcPr>
            <w:tcW w:w="1027" w:type="dxa"/>
          </w:tcPr>
          <w:p w:rsidR="00BB24AE" w:rsidRPr="00EF11F3" w:rsidRDefault="00770A30" w:rsidP="00265073">
            <w:pPr>
              <w:jc w:val="center"/>
              <w:rPr>
                <w:rFonts w:ascii="Times New Roman" w:hAnsi="Times New Roman" w:cs="Times New Roman"/>
                <w:sz w:val="20"/>
                <w:szCs w:val="20"/>
              </w:rPr>
            </w:pPr>
            <w:r>
              <w:rPr>
                <w:rFonts w:ascii="Times New Roman" w:hAnsi="Times New Roman" w:cs="Times New Roman"/>
                <w:sz w:val="20"/>
                <w:szCs w:val="20"/>
              </w:rPr>
              <w:t>1 639.21</w:t>
            </w:r>
          </w:p>
        </w:tc>
        <w:tc>
          <w:tcPr>
            <w:tcW w:w="1099" w:type="dxa"/>
          </w:tcPr>
          <w:p w:rsidR="00BB24AE" w:rsidRPr="00EF11F3" w:rsidRDefault="00770A30" w:rsidP="00265073">
            <w:pPr>
              <w:jc w:val="center"/>
              <w:rPr>
                <w:rFonts w:ascii="Times New Roman" w:hAnsi="Times New Roman" w:cs="Times New Roman"/>
                <w:sz w:val="20"/>
                <w:szCs w:val="20"/>
              </w:rPr>
            </w:pPr>
            <w:r>
              <w:rPr>
                <w:rFonts w:ascii="Times New Roman" w:hAnsi="Times New Roman" w:cs="Times New Roman"/>
                <w:sz w:val="20"/>
                <w:szCs w:val="20"/>
              </w:rPr>
              <w:t>289.28</w:t>
            </w:r>
          </w:p>
        </w:tc>
      </w:tr>
      <w:tr w:rsidR="00EF11F3" w:rsidRPr="00EF11F3" w:rsidTr="00EF11F3">
        <w:trPr>
          <w:jc w:val="center"/>
        </w:trPr>
        <w:tc>
          <w:tcPr>
            <w:tcW w:w="1418" w:type="dxa"/>
          </w:tcPr>
          <w:p w:rsidR="00BB24AE" w:rsidRPr="00EF11F3" w:rsidRDefault="005110D4" w:rsidP="00BB24AE">
            <w:pPr>
              <w:rPr>
                <w:rFonts w:ascii="Times New Roman" w:hAnsi="Times New Roman" w:cs="Times New Roman"/>
                <w:sz w:val="20"/>
                <w:szCs w:val="20"/>
              </w:rPr>
            </w:pPr>
            <w:r w:rsidRPr="00EF11F3">
              <w:rPr>
                <w:rFonts w:ascii="Times New Roman" w:hAnsi="Times New Roman" w:cs="Times New Roman"/>
                <w:sz w:val="20"/>
                <w:szCs w:val="20"/>
              </w:rPr>
              <w:t xml:space="preserve">Preces un pakalpojumi </w:t>
            </w:r>
            <w:r w:rsidRPr="00EF11F3">
              <w:rPr>
                <w:rFonts w:ascii="Times New Roman" w:hAnsi="Times New Roman" w:cs="Times New Roman"/>
                <w:sz w:val="20"/>
                <w:szCs w:val="20"/>
              </w:rPr>
              <w:lastRenderedPageBreak/>
              <w:t>(EKK2000)</w:t>
            </w:r>
          </w:p>
        </w:tc>
        <w:tc>
          <w:tcPr>
            <w:tcW w:w="1134" w:type="dxa"/>
          </w:tcPr>
          <w:p w:rsidR="00BB24AE" w:rsidRPr="00EF11F3" w:rsidRDefault="0017798E" w:rsidP="00265073">
            <w:pPr>
              <w:jc w:val="center"/>
              <w:rPr>
                <w:rFonts w:ascii="Times New Roman" w:hAnsi="Times New Roman" w:cs="Times New Roman"/>
                <w:sz w:val="20"/>
                <w:szCs w:val="20"/>
              </w:rPr>
            </w:pPr>
            <w:r w:rsidRPr="00EF11F3">
              <w:rPr>
                <w:rFonts w:ascii="Times New Roman" w:hAnsi="Times New Roman" w:cs="Times New Roman"/>
                <w:sz w:val="20"/>
                <w:szCs w:val="20"/>
              </w:rPr>
              <w:lastRenderedPageBreak/>
              <w:t>9 349.60</w:t>
            </w:r>
          </w:p>
        </w:tc>
        <w:tc>
          <w:tcPr>
            <w:tcW w:w="1134" w:type="dxa"/>
          </w:tcPr>
          <w:p w:rsidR="00BB24AE" w:rsidRPr="00EF11F3" w:rsidRDefault="00FE230E" w:rsidP="00265073">
            <w:pPr>
              <w:jc w:val="center"/>
              <w:rPr>
                <w:rFonts w:ascii="Times New Roman" w:hAnsi="Times New Roman" w:cs="Times New Roman"/>
                <w:sz w:val="20"/>
                <w:szCs w:val="20"/>
              </w:rPr>
            </w:pPr>
            <w:r w:rsidRPr="00EF11F3">
              <w:rPr>
                <w:rFonts w:ascii="Times New Roman" w:hAnsi="Times New Roman" w:cs="Times New Roman"/>
                <w:sz w:val="20"/>
                <w:szCs w:val="20"/>
              </w:rPr>
              <w:t>7 947.16</w:t>
            </w:r>
          </w:p>
        </w:tc>
        <w:tc>
          <w:tcPr>
            <w:tcW w:w="1134" w:type="dxa"/>
          </w:tcPr>
          <w:p w:rsidR="00BB24AE" w:rsidRPr="00EF11F3" w:rsidRDefault="00FE230E" w:rsidP="00265073">
            <w:pPr>
              <w:jc w:val="center"/>
              <w:rPr>
                <w:rFonts w:ascii="Times New Roman" w:hAnsi="Times New Roman" w:cs="Times New Roman"/>
                <w:sz w:val="20"/>
                <w:szCs w:val="20"/>
              </w:rPr>
            </w:pPr>
            <w:r w:rsidRPr="00EF11F3">
              <w:rPr>
                <w:rFonts w:ascii="Times New Roman" w:hAnsi="Times New Roman" w:cs="Times New Roman"/>
                <w:sz w:val="20"/>
                <w:szCs w:val="20"/>
              </w:rPr>
              <w:t>1 402.44</w:t>
            </w:r>
          </w:p>
        </w:tc>
        <w:tc>
          <w:tcPr>
            <w:tcW w:w="851" w:type="dxa"/>
          </w:tcPr>
          <w:p w:rsidR="00BB24AE" w:rsidRPr="00EF11F3" w:rsidRDefault="00A22A8A" w:rsidP="00265073">
            <w:pPr>
              <w:jc w:val="center"/>
              <w:rPr>
                <w:rFonts w:ascii="Times New Roman" w:hAnsi="Times New Roman" w:cs="Times New Roman"/>
                <w:sz w:val="20"/>
                <w:szCs w:val="20"/>
              </w:rPr>
            </w:pPr>
            <w:r>
              <w:rPr>
                <w:rFonts w:ascii="Times New Roman" w:hAnsi="Times New Roman" w:cs="Times New Roman"/>
                <w:sz w:val="20"/>
                <w:szCs w:val="20"/>
              </w:rPr>
              <w:t>146.88</w:t>
            </w:r>
          </w:p>
        </w:tc>
        <w:tc>
          <w:tcPr>
            <w:tcW w:w="850" w:type="dxa"/>
          </w:tcPr>
          <w:p w:rsidR="00BB24AE" w:rsidRPr="00EF11F3" w:rsidRDefault="00200582" w:rsidP="00265073">
            <w:pPr>
              <w:jc w:val="center"/>
              <w:rPr>
                <w:rFonts w:ascii="Times New Roman" w:hAnsi="Times New Roman" w:cs="Times New Roman"/>
                <w:sz w:val="20"/>
                <w:szCs w:val="20"/>
              </w:rPr>
            </w:pPr>
            <w:r>
              <w:rPr>
                <w:rFonts w:ascii="Times New Roman" w:hAnsi="Times New Roman" w:cs="Times New Roman"/>
                <w:sz w:val="20"/>
                <w:szCs w:val="20"/>
              </w:rPr>
              <w:t>124.85</w:t>
            </w:r>
          </w:p>
        </w:tc>
        <w:tc>
          <w:tcPr>
            <w:tcW w:w="1134" w:type="dxa"/>
          </w:tcPr>
          <w:p w:rsidR="00BB24AE" w:rsidRPr="00EF11F3" w:rsidRDefault="00200582" w:rsidP="00265073">
            <w:pPr>
              <w:jc w:val="center"/>
              <w:rPr>
                <w:rFonts w:ascii="Times New Roman" w:hAnsi="Times New Roman" w:cs="Times New Roman"/>
                <w:sz w:val="20"/>
                <w:szCs w:val="20"/>
              </w:rPr>
            </w:pPr>
            <w:r>
              <w:rPr>
                <w:rFonts w:ascii="Times New Roman" w:hAnsi="Times New Roman" w:cs="Times New Roman"/>
                <w:sz w:val="20"/>
                <w:szCs w:val="20"/>
              </w:rPr>
              <w:t>22.03</w:t>
            </w:r>
          </w:p>
        </w:tc>
        <w:tc>
          <w:tcPr>
            <w:tcW w:w="1134" w:type="dxa"/>
          </w:tcPr>
          <w:p w:rsidR="00BB24AE" w:rsidRPr="00EF11F3" w:rsidRDefault="00827009" w:rsidP="00265073">
            <w:pPr>
              <w:jc w:val="center"/>
              <w:rPr>
                <w:rFonts w:ascii="Times New Roman" w:hAnsi="Times New Roman" w:cs="Times New Roman"/>
                <w:sz w:val="20"/>
                <w:szCs w:val="20"/>
              </w:rPr>
            </w:pPr>
            <w:r>
              <w:rPr>
                <w:rFonts w:ascii="Times New Roman" w:hAnsi="Times New Roman" w:cs="Times New Roman"/>
                <w:sz w:val="20"/>
                <w:szCs w:val="20"/>
              </w:rPr>
              <w:t>9 496.48</w:t>
            </w:r>
          </w:p>
        </w:tc>
        <w:tc>
          <w:tcPr>
            <w:tcW w:w="1027" w:type="dxa"/>
          </w:tcPr>
          <w:p w:rsidR="00BB24AE" w:rsidRPr="00EF11F3" w:rsidRDefault="00200582" w:rsidP="00265073">
            <w:pPr>
              <w:jc w:val="center"/>
              <w:rPr>
                <w:rFonts w:ascii="Times New Roman" w:hAnsi="Times New Roman" w:cs="Times New Roman"/>
                <w:sz w:val="20"/>
                <w:szCs w:val="20"/>
              </w:rPr>
            </w:pPr>
            <w:r>
              <w:rPr>
                <w:rFonts w:ascii="Times New Roman" w:hAnsi="Times New Roman" w:cs="Times New Roman"/>
                <w:sz w:val="20"/>
                <w:szCs w:val="20"/>
              </w:rPr>
              <w:t>8 072.01</w:t>
            </w:r>
          </w:p>
        </w:tc>
        <w:tc>
          <w:tcPr>
            <w:tcW w:w="1099" w:type="dxa"/>
          </w:tcPr>
          <w:p w:rsidR="00BB24AE" w:rsidRPr="00EF11F3" w:rsidRDefault="00200582" w:rsidP="00265073">
            <w:pPr>
              <w:jc w:val="center"/>
              <w:rPr>
                <w:rFonts w:ascii="Times New Roman" w:hAnsi="Times New Roman" w:cs="Times New Roman"/>
                <w:sz w:val="20"/>
                <w:szCs w:val="20"/>
              </w:rPr>
            </w:pPr>
            <w:r>
              <w:rPr>
                <w:rFonts w:ascii="Times New Roman" w:hAnsi="Times New Roman" w:cs="Times New Roman"/>
                <w:sz w:val="20"/>
                <w:szCs w:val="20"/>
              </w:rPr>
              <w:t>1 424.47</w:t>
            </w:r>
          </w:p>
        </w:tc>
      </w:tr>
      <w:tr w:rsidR="00EF11F3" w:rsidRPr="00EF11F3" w:rsidTr="00EF11F3">
        <w:trPr>
          <w:jc w:val="center"/>
        </w:trPr>
        <w:tc>
          <w:tcPr>
            <w:tcW w:w="1418" w:type="dxa"/>
          </w:tcPr>
          <w:p w:rsidR="00BB24AE" w:rsidRPr="00EF11F3" w:rsidRDefault="005110D4" w:rsidP="00BB24AE">
            <w:pPr>
              <w:rPr>
                <w:rFonts w:ascii="Times New Roman" w:hAnsi="Times New Roman" w:cs="Times New Roman"/>
                <w:b/>
                <w:sz w:val="20"/>
                <w:szCs w:val="20"/>
              </w:rPr>
            </w:pPr>
            <w:r w:rsidRPr="00EF11F3">
              <w:rPr>
                <w:rFonts w:ascii="Times New Roman" w:hAnsi="Times New Roman" w:cs="Times New Roman"/>
                <w:b/>
                <w:sz w:val="20"/>
                <w:szCs w:val="20"/>
              </w:rPr>
              <w:lastRenderedPageBreak/>
              <w:t>Kopā</w:t>
            </w:r>
          </w:p>
        </w:tc>
        <w:tc>
          <w:tcPr>
            <w:tcW w:w="1134" w:type="dxa"/>
          </w:tcPr>
          <w:p w:rsidR="00BB24AE" w:rsidRPr="00EF11F3" w:rsidRDefault="0017798E" w:rsidP="00265073">
            <w:pPr>
              <w:jc w:val="center"/>
              <w:rPr>
                <w:rFonts w:ascii="Times New Roman" w:hAnsi="Times New Roman" w:cs="Times New Roman"/>
                <w:b/>
                <w:sz w:val="20"/>
                <w:szCs w:val="20"/>
              </w:rPr>
            </w:pPr>
            <w:r w:rsidRPr="00EF11F3">
              <w:rPr>
                <w:rFonts w:ascii="Times New Roman" w:hAnsi="Times New Roman" w:cs="Times New Roman"/>
                <w:b/>
                <w:sz w:val="20"/>
                <w:szCs w:val="20"/>
              </w:rPr>
              <w:t>18 972.00</w:t>
            </w:r>
          </w:p>
        </w:tc>
        <w:tc>
          <w:tcPr>
            <w:tcW w:w="1134"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16 126.20</w:t>
            </w:r>
          </w:p>
        </w:tc>
        <w:tc>
          <w:tcPr>
            <w:tcW w:w="1134"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2 845.80</w:t>
            </w:r>
          </w:p>
        </w:tc>
        <w:tc>
          <w:tcPr>
            <w:tcW w:w="851"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628.00</w:t>
            </w:r>
          </w:p>
        </w:tc>
        <w:tc>
          <w:tcPr>
            <w:tcW w:w="850"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533.80</w:t>
            </w:r>
          </w:p>
        </w:tc>
        <w:tc>
          <w:tcPr>
            <w:tcW w:w="1134"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94.20</w:t>
            </w:r>
          </w:p>
        </w:tc>
        <w:tc>
          <w:tcPr>
            <w:tcW w:w="1134"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19 600</w:t>
            </w:r>
          </w:p>
        </w:tc>
        <w:tc>
          <w:tcPr>
            <w:tcW w:w="1027"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16 660</w:t>
            </w:r>
          </w:p>
        </w:tc>
        <w:tc>
          <w:tcPr>
            <w:tcW w:w="1099" w:type="dxa"/>
          </w:tcPr>
          <w:p w:rsidR="00BB24AE" w:rsidRPr="00EF11F3" w:rsidRDefault="007C31BA" w:rsidP="00265073">
            <w:pPr>
              <w:jc w:val="center"/>
              <w:rPr>
                <w:rFonts w:ascii="Times New Roman" w:hAnsi="Times New Roman" w:cs="Times New Roman"/>
                <w:b/>
                <w:sz w:val="20"/>
                <w:szCs w:val="20"/>
              </w:rPr>
            </w:pPr>
            <w:r w:rsidRPr="00EF11F3">
              <w:rPr>
                <w:rFonts w:ascii="Times New Roman" w:hAnsi="Times New Roman" w:cs="Times New Roman"/>
                <w:b/>
                <w:sz w:val="20"/>
                <w:szCs w:val="20"/>
              </w:rPr>
              <w:t>2 940</w:t>
            </w:r>
          </w:p>
        </w:tc>
      </w:tr>
    </w:tbl>
    <w:p w:rsidR="00F601FC" w:rsidRPr="004341E1" w:rsidRDefault="00F601FC" w:rsidP="00F601FC">
      <w:pPr>
        <w:spacing w:after="0" w:line="240" w:lineRule="auto"/>
        <w:rPr>
          <w:rFonts w:ascii="Times New Roman" w:hAnsi="Times New Roman" w:cs="Times New Roman"/>
          <w:b/>
          <w:sz w:val="28"/>
          <w:szCs w:val="28"/>
        </w:rPr>
      </w:pPr>
    </w:p>
    <w:p w:rsidR="008736A6" w:rsidRDefault="00324E47" w:rsidP="006448C9">
      <w:pPr>
        <w:spacing w:after="0" w:line="240" w:lineRule="auto"/>
        <w:ind w:firstLine="720"/>
        <w:jc w:val="both"/>
        <w:rPr>
          <w:rFonts w:ascii="Times New Roman" w:hAnsi="Times New Roman" w:cs="Times New Roman"/>
          <w:sz w:val="28"/>
          <w:szCs w:val="28"/>
        </w:rPr>
      </w:pPr>
      <w:r w:rsidRPr="00DA321F">
        <w:rPr>
          <w:rFonts w:ascii="Times New Roman" w:hAnsi="Times New Roman" w:cs="Times New Roman"/>
          <w:sz w:val="28"/>
          <w:szCs w:val="28"/>
        </w:rPr>
        <w:t>Atbilstoši EUSBSR projektu izstrādāšanas instrumenta rokasgrāmatai (</w:t>
      </w:r>
      <w:r w:rsidR="00DA321F" w:rsidRPr="00DA321F">
        <w:rPr>
          <w:rFonts w:ascii="Times New Roman" w:hAnsi="Times New Roman" w:cs="Times New Roman"/>
          <w:sz w:val="28"/>
          <w:szCs w:val="28"/>
        </w:rPr>
        <w:t>Manual</w:t>
      </w:r>
      <w:r w:rsidR="00DA321F" w:rsidRPr="00DA321F">
        <w:rPr>
          <w:rFonts w:ascii="Times New Roman" w:hAnsi="Times New Roman" w:cs="Times New Roman"/>
          <w:sz w:val="28"/>
          <w:szCs w:val="28"/>
          <w:vertAlign w:val="superscript"/>
        </w:rPr>
        <w:footnoteReference w:id="3"/>
      </w:r>
      <w:r w:rsidRPr="00DA321F">
        <w:rPr>
          <w:rFonts w:ascii="Times New Roman" w:hAnsi="Times New Roman" w:cs="Times New Roman"/>
          <w:sz w:val="28"/>
          <w:szCs w:val="28"/>
        </w:rPr>
        <w:t>)</w:t>
      </w:r>
      <w:r w:rsidR="00892A93">
        <w:rPr>
          <w:rFonts w:ascii="Times New Roman" w:hAnsi="Times New Roman" w:cs="Times New Roman"/>
          <w:sz w:val="28"/>
          <w:szCs w:val="28"/>
        </w:rPr>
        <w:t>,</w:t>
      </w:r>
      <w:r w:rsidRPr="00DA321F">
        <w:rPr>
          <w:rFonts w:ascii="Times New Roman" w:hAnsi="Times New Roman" w:cs="Times New Roman"/>
          <w:sz w:val="28"/>
          <w:szCs w:val="28"/>
        </w:rPr>
        <w:t xml:space="preserve"> </w:t>
      </w:r>
      <w:r w:rsidR="00892A93">
        <w:rPr>
          <w:rFonts w:ascii="Times New Roman" w:hAnsi="Times New Roman" w:cs="Times New Roman"/>
          <w:sz w:val="28"/>
          <w:szCs w:val="28"/>
        </w:rPr>
        <w:t>p</w:t>
      </w:r>
      <w:r w:rsidR="00892A93" w:rsidRPr="00482165">
        <w:rPr>
          <w:rFonts w:ascii="Times New Roman" w:hAnsi="Times New Roman" w:cs="Times New Roman"/>
          <w:sz w:val="28"/>
          <w:szCs w:val="28"/>
        </w:rPr>
        <w:t>rojektu izstrādāšanas</w:t>
      </w:r>
      <w:r w:rsidR="00892A93">
        <w:rPr>
          <w:rFonts w:ascii="Times New Roman" w:hAnsi="Times New Roman" w:cs="Times New Roman"/>
          <w:sz w:val="28"/>
          <w:szCs w:val="28"/>
        </w:rPr>
        <w:t xml:space="preserve"> instrumenta</w:t>
      </w:r>
      <w:r w:rsidR="00892A93">
        <w:rPr>
          <w:rFonts w:ascii="Times New Roman" w:hAnsi="Times New Roman" w:cs="Times New Roman"/>
          <w:i/>
          <w:sz w:val="28"/>
          <w:szCs w:val="28"/>
        </w:rPr>
        <w:t xml:space="preserve"> </w:t>
      </w:r>
      <w:r w:rsidRPr="00DA321F">
        <w:rPr>
          <w:rFonts w:ascii="Times New Roman" w:hAnsi="Times New Roman" w:cs="Times New Roman"/>
          <w:sz w:val="28"/>
          <w:szCs w:val="28"/>
        </w:rPr>
        <w:t xml:space="preserve">projekta </w:t>
      </w:r>
      <w:r w:rsidRPr="00892A93">
        <w:rPr>
          <w:rFonts w:ascii="Times New Roman" w:hAnsi="Times New Roman" w:cs="Times New Roman"/>
          <w:i/>
          <w:sz w:val="28"/>
          <w:szCs w:val="28"/>
        </w:rPr>
        <w:t>InnoHealth</w:t>
      </w:r>
      <w:r w:rsidRPr="00DA321F">
        <w:rPr>
          <w:rFonts w:ascii="Times New Roman" w:hAnsi="Times New Roman" w:cs="Times New Roman"/>
          <w:sz w:val="28"/>
          <w:szCs w:val="28"/>
        </w:rPr>
        <w:t xml:space="preserve"> </w:t>
      </w:r>
      <w:r w:rsidR="00892A93">
        <w:rPr>
          <w:rFonts w:ascii="Times New Roman" w:hAnsi="Times New Roman" w:cs="Times New Roman"/>
          <w:sz w:val="28"/>
          <w:szCs w:val="28"/>
        </w:rPr>
        <w:t>realizācijā iesai</w:t>
      </w:r>
      <w:r w:rsidR="007B6AB0">
        <w:rPr>
          <w:rFonts w:ascii="Times New Roman" w:hAnsi="Times New Roman" w:cs="Times New Roman"/>
          <w:sz w:val="28"/>
          <w:szCs w:val="28"/>
        </w:rPr>
        <w:t>s</w:t>
      </w:r>
      <w:r w:rsidR="00892A93">
        <w:rPr>
          <w:rFonts w:ascii="Times New Roman" w:hAnsi="Times New Roman" w:cs="Times New Roman"/>
          <w:sz w:val="28"/>
          <w:szCs w:val="28"/>
        </w:rPr>
        <w:t>tīt</w:t>
      </w:r>
      <w:r w:rsidR="00082EB1">
        <w:rPr>
          <w:rFonts w:ascii="Times New Roman" w:hAnsi="Times New Roman" w:cs="Times New Roman"/>
          <w:sz w:val="28"/>
          <w:szCs w:val="28"/>
        </w:rPr>
        <w:t>ā personāla</w:t>
      </w:r>
      <w:r w:rsidRPr="00DA321F">
        <w:rPr>
          <w:rFonts w:ascii="Times New Roman" w:hAnsi="Times New Roman" w:cs="Times New Roman"/>
          <w:sz w:val="28"/>
          <w:szCs w:val="28"/>
        </w:rPr>
        <w:t xml:space="preserve"> </w:t>
      </w:r>
      <w:r w:rsidR="00EE4685">
        <w:rPr>
          <w:rFonts w:ascii="Times New Roman" w:hAnsi="Times New Roman" w:cs="Times New Roman"/>
          <w:sz w:val="28"/>
          <w:szCs w:val="28"/>
        </w:rPr>
        <w:t>izmaksām</w:t>
      </w:r>
      <w:r w:rsidR="008E13AC">
        <w:rPr>
          <w:rFonts w:ascii="Times New Roman" w:hAnsi="Times New Roman" w:cs="Times New Roman"/>
          <w:sz w:val="28"/>
          <w:szCs w:val="28"/>
        </w:rPr>
        <w:t xml:space="preserve">, </w:t>
      </w:r>
      <w:r w:rsidR="008E13AC" w:rsidRPr="008E13AC">
        <w:rPr>
          <w:rFonts w:ascii="Times New Roman" w:hAnsi="Times New Roman" w:cs="Times New Roman"/>
          <w:sz w:val="28"/>
          <w:szCs w:val="28"/>
        </w:rPr>
        <w:t>tai skaitā arī tādi</w:t>
      </w:r>
      <w:r w:rsidR="00E936A1">
        <w:rPr>
          <w:rFonts w:ascii="Times New Roman" w:hAnsi="Times New Roman" w:cs="Times New Roman"/>
          <w:sz w:val="28"/>
          <w:szCs w:val="28"/>
        </w:rPr>
        <w:t>em</w:t>
      </w:r>
      <w:r w:rsidR="008E13AC" w:rsidRPr="008E13AC">
        <w:rPr>
          <w:rFonts w:ascii="Times New Roman" w:hAnsi="Times New Roman" w:cs="Times New Roman"/>
          <w:sz w:val="28"/>
          <w:szCs w:val="28"/>
        </w:rPr>
        <w:t xml:space="preserve"> izdevumi</w:t>
      </w:r>
      <w:r w:rsidR="00E936A1">
        <w:rPr>
          <w:rFonts w:ascii="Times New Roman" w:hAnsi="Times New Roman" w:cs="Times New Roman"/>
          <w:sz w:val="28"/>
          <w:szCs w:val="28"/>
        </w:rPr>
        <w:t>em</w:t>
      </w:r>
      <w:r w:rsidR="008E13AC" w:rsidRPr="008E13AC">
        <w:rPr>
          <w:rFonts w:ascii="Times New Roman" w:hAnsi="Times New Roman" w:cs="Times New Roman"/>
          <w:sz w:val="28"/>
          <w:szCs w:val="28"/>
        </w:rPr>
        <w:t xml:space="preserve"> kā telpu noma un komunālie maksājumi,</w:t>
      </w:r>
      <w:r w:rsidR="00DA321F" w:rsidRPr="008E13AC">
        <w:rPr>
          <w:rFonts w:ascii="Times New Roman" w:hAnsi="Times New Roman" w:cs="Times New Roman"/>
          <w:sz w:val="28"/>
          <w:szCs w:val="28"/>
        </w:rPr>
        <w:t xml:space="preserve"> noteikta</w:t>
      </w:r>
      <w:r w:rsidR="00BB66D8">
        <w:rPr>
          <w:rFonts w:ascii="Times New Roman" w:hAnsi="Times New Roman" w:cs="Times New Roman"/>
          <w:sz w:val="28"/>
          <w:szCs w:val="28"/>
        </w:rPr>
        <w:t xml:space="preserve"> standarta stundas likme</w:t>
      </w:r>
      <w:r w:rsidR="00DA321F" w:rsidRPr="008E13AC">
        <w:rPr>
          <w:rFonts w:ascii="Times New Roman" w:hAnsi="Times New Roman" w:cs="Times New Roman"/>
          <w:sz w:val="28"/>
          <w:szCs w:val="28"/>
        </w:rPr>
        <w:t xml:space="preserve"> 11.00 EUR</w:t>
      </w:r>
      <w:r w:rsidR="00BB66D8">
        <w:rPr>
          <w:rFonts w:ascii="Times New Roman" w:hAnsi="Times New Roman" w:cs="Times New Roman"/>
          <w:sz w:val="28"/>
          <w:szCs w:val="28"/>
        </w:rPr>
        <w:t xml:space="preserve"> apmērā</w:t>
      </w:r>
      <w:r w:rsidR="00DD0DBF">
        <w:rPr>
          <w:rFonts w:ascii="Times New Roman" w:hAnsi="Times New Roman" w:cs="Times New Roman"/>
          <w:sz w:val="28"/>
          <w:szCs w:val="28"/>
        </w:rPr>
        <w:t xml:space="preserve"> un </w:t>
      </w:r>
      <w:r w:rsidR="00082EB1">
        <w:rPr>
          <w:rFonts w:ascii="Times New Roman" w:hAnsi="Times New Roman" w:cs="Times New Roman"/>
          <w:sz w:val="28"/>
          <w:szCs w:val="28"/>
        </w:rPr>
        <w:t>astoņas stundas ir maksimālais darba stundu skaits dienā. Personāla izmaksas tiks atlīdzinātas, balstoties uz darba laika uzskaites lapām un rokasgrāmatā noteikto standarta stundas likmi.</w:t>
      </w:r>
      <w:r w:rsidR="0089281E">
        <w:rPr>
          <w:rFonts w:ascii="Times New Roman" w:hAnsi="Times New Roman" w:cs="Times New Roman"/>
          <w:sz w:val="28"/>
          <w:szCs w:val="28"/>
        </w:rPr>
        <w:t xml:space="preserve"> </w:t>
      </w:r>
      <w:r w:rsidR="00082EB1">
        <w:rPr>
          <w:rFonts w:ascii="Times New Roman" w:hAnsi="Times New Roman" w:cs="Times New Roman"/>
          <w:sz w:val="28"/>
          <w:szCs w:val="28"/>
        </w:rPr>
        <w:t>NVD gadījumā, l</w:t>
      </w:r>
      <w:r w:rsidR="0089281E" w:rsidRPr="0089281E">
        <w:rPr>
          <w:rFonts w:ascii="Times New Roman" w:hAnsi="Times New Roman" w:cs="Times New Roman"/>
          <w:sz w:val="28"/>
          <w:szCs w:val="28"/>
        </w:rPr>
        <w:t xml:space="preserve">ai ievērotu Ministru kabineta </w:t>
      </w:r>
      <w:proofErr w:type="gramStart"/>
      <w:r w:rsidR="0089281E" w:rsidRPr="0089281E">
        <w:rPr>
          <w:rFonts w:ascii="Times New Roman" w:hAnsi="Times New Roman" w:cs="Times New Roman"/>
          <w:sz w:val="28"/>
          <w:szCs w:val="28"/>
        </w:rPr>
        <w:t>2013.gada</w:t>
      </w:r>
      <w:proofErr w:type="gramEnd"/>
      <w:r w:rsidR="0089281E" w:rsidRPr="0089281E">
        <w:rPr>
          <w:rFonts w:ascii="Times New Roman" w:hAnsi="Times New Roman" w:cs="Times New Roman"/>
          <w:sz w:val="28"/>
          <w:szCs w:val="28"/>
        </w:rPr>
        <w:t xml:space="preserve"> 29.janvāra noteikumus Nr.66 </w:t>
      </w:r>
      <w:r w:rsidR="00A40E17" w:rsidRPr="00EB393D">
        <w:rPr>
          <w:rFonts w:ascii="Times New Roman" w:hAnsi="Times New Roman" w:cs="Times New Roman"/>
          <w:sz w:val="28"/>
          <w:szCs w:val="28"/>
        </w:rPr>
        <w:t>“</w:t>
      </w:r>
      <w:r w:rsidR="0089281E" w:rsidRPr="0089281E">
        <w:rPr>
          <w:rFonts w:ascii="Times New Roman" w:hAnsi="Times New Roman" w:cs="Times New Roman"/>
          <w:sz w:val="28"/>
          <w:szCs w:val="28"/>
        </w:rPr>
        <w:t xml:space="preserve">Noteikumi par valsts un pašvaldību institūciju amatpersonu un darbinieku darba samaksu un tās noteikšanas kārtību” atalgojuma noteikšanā, projekta īstenošanā iesaistītajiem darbiniekiem tiek noteikta </w:t>
      </w:r>
      <w:r w:rsidR="008736A6">
        <w:rPr>
          <w:rFonts w:ascii="Times New Roman" w:hAnsi="Times New Roman" w:cs="Times New Roman"/>
          <w:sz w:val="28"/>
          <w:szCs w:val="28"/>
        </w:rPr>
        <w:t>šādas</w:t>
      </w:r>
      <w:r w:rsidR="004B51C9">
        <w:rPr>
          <w:rFonts w:ascii="Times New Roman" w:hAnsi="Times New Roman" w:cs="Times New Roman"/>
          <w:sz w:val="28"/>
          <w:szCs w:val="28"/>
        </w:rPr>
        <w:t xml:space="preserve"> stundu</w:t>
      </w:r>
      <w:r w:rsidR="008736A6">
        <w:rPr>
          <w:rFonts w:ascii="Times New Roman" w:hAnsi="Times New Roman" w:cs="Times New Roman"/>
          <w:sz w:val="28"/>
          <w:szCs w:val="28"/>
        </w:rPr>
        <w:t xml:space="preserve"> </w:t>
      </w:r>
      <w:r w:rsidR="0089281E" w:rsidRPr="0089281E">
        <w:rPr>
          <w:rFonts w:ascii="Times New Roman" w:hAnsi="Times New Roman" w:cs="Times New Roman"/>
          <w:sz w:val="28"/>
          <w:szCs w:val="28"/>
        </w:rPr>
        <w:t>likme</w:t>
      </w:r>
      <w:r w:rsidR="008736A6">
        <w:rPr>
          <w:rFonts w:ascii="Times New Roman" w:hAnsi="Times New Roman" w:cs="Times New Roman"/>
          <w:sz w:val="28"/>
          <w:szCs w:val="28"/>
        </w:rPr>
        <w:t>s:</w:t>
      </w:r>
    </w:p>
    <w:p w:rsidR="00F235A3" w:rsidRDefault="004B51C9" w:rsidP="008736A6">
      <w:pPr>
        <w:pStyle w:val="ListParagraph"/>
        <w:numPr>
          <w:ilvl w:val="0"/>
          <w:numId w:val="1"/>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projekta vadītājam (32.amata saime </w:t>
      </w:r>
      <w:r w:rsidR="009320FF" w:rsidRPr="009320FF">
        <w:rPr>
          <w:rFonts w:ascii="Times New Roman" w:hAnsi="Times New Roman" w:cs="Times New Roman"/>
          <w:sz w:val="28"/>
          <w:szCs w:val="28"/>
        </w:rPr>
        <w:t>“</w:t>
      </w:r>
      <w:r>
        <w:rPr>
          <w:rFonts w:ascii="Times New Roman" w:hAnsi="Times New Roman" w:cs="Times New Roman"/>
          <w:sz w:val="28"/>
          <w:szCs w:val="28"/>
        </w:rPr>
        <w:t>Projektu vadība”, IIIA līmenis, 11.mēnešalgu grupa, 3.kategorija) NVD amatu sarakstā noteikt</w:t>
      </w:r>
      <w:r w:rsidR="00F235A3">
        <w:rPr>
          <w:rFonts w:ascii="Times New Roman" w:hAnsi="Times New Roman" w:cs="Times New Roman"/>
          <w:sz w:val="28"/>
          <w:szCs w:val="28"/>
        </w:rPr>
        <w:t>a</w:t>
      </w:r>
      <w:r>
        <w:rPr>
          <w:rFonts w:ascii="Times New Roman" w:hAnsi="Times New Roman" w:cs="Times New Roman"/>
          <w:sz w:val="28"/>
          <w:szCs w:val="28"/>
        </w:rPr>
        <w:t xml:space="preserve"> mēnešalga 1 382 EUR</w:t>
      </w:r>
      <w:r w:rsidR="00F235A3">
        <w:rPr>
          <w:rFonts w:ascii="Times New Roman" w:hAnsi="Times New Roman" w:cs="Times New Roman"/>
          <w:sz w:val="28"/>
          <w:szCs w:val="28"/>
        </w:rPr>
        <w:t xml:space="preserve"> apmērā</w:t>
      </w:r>
      <w:r>
        <w:rPr>
          <w:rFonts w:ascii="Times New Roman" w:hAnsi="Times New Roman" w:cs="Times New Roman"/>
          <w:sz w:val="28"/>
          <w:szCs w:val="28"/>
        </w:rPr>
        <w:t xml:space="preserve">. Ņemot vērā to, ka </w:t>
      </w:r>
      <w:proofErr w:type="gramStart"/>
      <w:r>
        <w:rPr>
          <w:rFonts w:ascii="Times New Roman" w:hAnsi="Times New Roman" w:cs="Times New Roman"/>
          <w:sz w:val="28"/>
          <w:szCs w:val="28"/>
        </w:rPr>
        <w:t>2015.gadā</w:t>
      </w:r>
      <w:proofErr w:type="gramEnd"/>
      <w:r>
        <w:rPr>
          <w:rFonts w:ascii="Times New Roman" w:hAnsi="Times New Roman" w:cs="Times New Roman"/>
          <w:sz w:val="28"/>
          <w:szCs w:val="28"/>
        </w:rPr>
        <w:t xml:space="preserve"> vidēji mēnesī tiek strādāts 166,17 stundas, tad stundas likme ir </w:t>
      </w:r>
      <w:r w:rsidR="008736A6">
        <w:rPr>
          <w:rFonts w:ascii="Times New Roman" w:hAnsi="Times New Roman" w:cs="Times New Roman"/>
          <w:sz w:val="28"/>
          <w:szCs w:val="28"/>
        </w:rPr>
        <w:t>8,32 </w:t>
      </w:r>
      <w:r w:rsidR="0089281E" w:rsidRPr="008736A6">
        <w:rPr>
          <w:rFonts w:ascii="Times New Roman" w:hAnsi="Times New Roman" w:cs="Times New Roman"/>
          <w:sz w:val="28"/>
          <w:szCs w:val="28"/>
        </w:rPr>
        <w:t>EUR</w:t>
      </w:r>
      <w:r w:rsidR="008736A6">
        <w:rPr>
          <w:rFonts w:ascii="Times New Roman" w:hAnsi="Times New Roman" w:cs="Times New Roman"/>
          <w:sz w:val="28"/>
          <w:szCs w:val="28"/>
        </w:rPr>
        <w:t xml:space="preserve"> stundā jeb 10,28 </w:t>
      </w:r>
      <w:r w:rsidR="0089281E" w:rsidRPr="008736A6">
        <w:rPr>
          <w:rFonts w:ascii="Times New Roman" w:hAnsi="Times New Roman" w:cs="Times New Roman"/>
          <w:sz w:val="28"/>
          <w:szCs w:val="28"/>
        </w:rPr>
        <w:t>EUR stundā ieskaitot darba devēja obligātās sociālās apdrošināšanas iemaksas</w:t>
      </w:r>
      <w:r w:rsidR="00F235A3">
        <w:rPr>
          <w:rFonts w:ascii="Times New Roman" w:hAnsi="Times New Roman" w:cs="Times New Roman"/>
          <w:sz w:val="28"/>
          <w:szCs w:val="28"/>
        </w:rPr>
        <w:t>. Starpība 0,72 E</w:t>
      </w:r>
      <w:r w:rsidR="0079115B">
        <w:rPr>
          <w:rFonts w:ascii="Times New Roman" w:hAnsi="Times New Roman" w:cs="Times New Roman"/>
          <w:sz w:val="28"/>
          <w:szCs w:val="28"/>
        </w:rPr>
        <w:t xml:space="preserve">UR apmērā </w:t>
      </w:r>
      <w:r w:rsidR="0089281E" w:rsidRPr="008736A6">
        <w:rPr>
          <w:rFonts w:ascii="Times New Roman" w:hAnsi="Times New Roman" w:cs="Times New Roman"/>
          <w:sz w:val="28"/>
          <w:szCs w:val="28"/>
        </w:rPr>
        <w:t xml:space="preserve">novirzīta uz pozīciju </w:t>
      </w:r>
      <w:r w:rsidR="009320FF" w:rsidRPr="009320FF">
        <w:rPr>
          <w:rFonts w:ascii="Times New Roman" w:hAnsi="Times New Roman" w:cs="Times New Roman"/>
          <w:sz w:val="28"/>
          <w:szCs w:val="28"/>
        </w:rPr>
        <w:t>“</w:t>
      </w:r>
      <w:r w:rsidR="0089281E" w:rsidRPr="008736A6">
        <w:rPr>
          <w:rFonts w:ascii="Times New Roman" w:hAnsi="Times New Roman" w:cs="Times New Roman"/>
          <w:sz w:val="28"/>
          <w:szCs w:val="28"/>
        </w:rPr>
        <w:t>Preces un pakalpojumi” īres maksas un komunālo pakalpojumu nomaksai</w:t>
      </w:r>
      <w:r w:rsidR="00FA2529">
        <w:rPr>
          <w:rFonts w:ascii="Times New Roman" w:hAnsi="Times New Roman" w:cs="Times New Roman"/>
          <w:sz w:val="28"/>
          <w:szCs w:val="28"/>
        </w:rPr>
        <w:t xml:space="preserve"> (skatīt 2.tabulu)</w:t>
      </w:r>
      <w:r w:rsidR="00F235A3">
        <w:rPr>
          <w:rFonts w:ascii="Times New Roman" w:hAnsi="Times New Roman" w:cs="Times New Roman"/>
          <w:sz w:val="28"/>
          <w:szCs w:val="28"/>
        </w:rPr>
        <w:t>;</w:t>
      </w:r>
    </w:p>
    <w:p w:rsidR="00324E47" w:rsidRDefault="00F235A3" w:rsidP="008736A6">
      <w:pPr>
        <w:pStyle w:val="ListParagraph"/>
        <w:numPr>
          <w:ilvl w:val="0"/>
          <w:numId w:val="1"/>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vecākajam ekspertam </w:t>
      </w:r>
      <w:r w:rsidRPr="002A6680">
        <w:rPr>
          <w:rFonts w:ascii="Times New Roman" w:hAnsi="Times New Roman" w:cs="Times New Roman"/>
          <w:sz w:val="28"/>
          <w:szCs w:val="28"/>
        </w:rPr>
        <w:t>(</w:t>
      </w:r>
      <w:r w:rsidR="00EC58B2" w:rsidRPr="002A6680">
        <w:rPr>
          <w:rFonts w:ascii="Times New Roman" w:hAnsi="Times New Roman" w:cs="Times New Roman"/>
          <w:sz w:val="28"/>
          <w:szCs w:val="28"/>
        </w:rPr>
        <w:t>35</w:t>
      </w:r>
      <w:r w:rsidRPr="002A6680">
        <w:rPr>
          <w:rFonts w:ascii="Times New Roman" w:hAnsi="Times New Roman" w:cs="Times New Roman"/>
          <w:sz w:val="28"/>
          <w:szCs w:val="28"/>
        </w:rPr>
        <w:t xml:space="preserve">.amata saime </w:t>
      </w:r>
      <w:r w:rsidR="009320FF" w:rsidRPr="009320FF">
        <w:rPr>
          <w:rFonts w:ascii="Times New Roman" w:hAnsi="Times New Roman" w:cs="Times New Roman"/>
          <w:sz w:val="28"/>
          <w:szCs w:val="28"/>
        </w:rPr>
        <w:t>“</w:t>
      </w:r>
      <w:r w:rsidRPr="002A6680">
        <w:rPr>
          <w:rFonts w:ascii="Times New Roman" w:hAnsi="Times New Roman" w:cs="Times New Roman"/>
          <w:sz w:val="28"/>
          <w:szCs w:val="28"/>
        </w:rPr>
        <w:t>Politikas</w:t>
      </w:r>
      <w:r w:rsidRPr="00EC58B2">
        <w:rPr>
          <w:rFonts w:ascii="Times New Roman" w:hAnsi="Times New Roman" w:cs="Times New Roman"/>
          <w:sz w:val="28"/>
          <w:szCs w:val="28"/>
        </w:rPr>
        <w:t xml:space="preserve"> ieviešana”, III līmenis, 10.mēnešalgu grupa, 3.kategorija)</w:t>
      </w:r>
      <w:r>
        <w:rPr>
          <w:rFonts w:ascii="Times New Roman" w:hAnsi="Times New Roman" w:cs="Times New Roman"/>
          <w:sz w:val="28"/>
          <w:szCs w:val="28"/>
        </w:rPr>
        <w:t xml:space="preserve"> NVD amatu sarakstā noteikta mēnešalga 1 </w:t>
      </w:r>
      <w:r w:rsidR="00285EC9">
        <w:rPr>
          <w:rFonts w:ascii="Times New Roman" w:hAnsi="Times New Roman" w:cs="Times New Roman"/>
          <w:sz w:val="28"/>
          <w:szCs w:val="28"/>
        </w:rPr>
        <w:t>174</w:t>
      </w:r>
      <w:r>
        <w:rPr>
          <w:rFonts w:ascii="Times New Roman" w:hAnsi="Times New Roman" w:cs="Times New Roman"/>
          <w:sz w:val="28"/>
          <w:szCs w:val="28"/>
        </w:rPr>
        <w:t xml:space="preserve"> EUR apmērā. Ņemot vērā to, ka </w:t>
      </w:r>
      <w:proofErr w:type="gramStart"/>
      <w:r>
        <w:rPr>
          <w:rFonts w:ascii="Times New Roman" w:hAnsi="Times New Roman" w:cs="Times New Roman"/>
          <w:sz w:val="28"/>
          <w:szCs w:val="28"/>
        </w:rPr>
        <w:t>2015.gadā</w:t>
      </w:r>
      <w:proofErr w:type="gramEnd"/>
      <w:r>
        <w:rPr>
          <w:rFonts w:ascii="Times New Roman" w:hAnsi="Times New Roman" w:cs="Times New Roman"/>
          <w:sz w:val="28"/>
          <w:szCs w:val="28"/>
        </w:rPr>
        <w:t xml:space="preserve"> vidēji mēnesī tiek strādāts 166,17 stundas, tad stundas likme ir </w:t>
      </w:r>
      <w:r w:rsidR="00285EC9">
        <w:rPr>
          <w:rFonts w:ascii="Times New Roman" w:hAnsi="Times New Roman" w:cs="Times New Roman"/>
          <w:sz w:val="28"/>
          <w:szCs w:val="28"/>
        </w:rPr>
        <w:t>7,07</w:t>
      </w:r>
      <w:r>
        <w:rPr>
          <w:rFonts w:ascii="Times New Roman" w:hAnsi="Times New Roman" w:cs="Times New Roman"/>
          <w:sz w:val="28"/>
          <w:szCs w:val="28"/>
        </w:rPr>
        <w:t> </w:t>
      </w:r>
      <w:r w:rsidRPr="008736A6">
        <w:rPr>
          <w:rFonts w:ascii="Times New Roman" w:hAnsi="Times New Roman" w:cs="Times New Roman"/>
          <w:sz w:val="28"/>
          <w:szCs w:val="28"/>
        </w:rPr>
        <w:t>EUR</w:t>
      </w:r>
      <w:r w:rsidR="00B64848">
        <w:rPr>
          <w:rFonts w:ascii="Times New Roman" w:hAnsi="Times New Roman" w:cs="Times New Roman"/>
          <w:sz w:val="28"/>
          <w:szCs w:val="28"/>
        </w:rPr>
        <w:t xml:space="preserve"> stundā jeb 8,74</w:t>
      </w:r>
      <w:r>
        <w:rPr>
          <w:rFonts w:ascii="Times New Roman" w:hAnsi="Times New Roman" w:cs="Times New Roman"/>
          <w:sz w:val="28"/>
          <w:szCs w:val="28"/>
        </w:rPr>
        <w:t> </w:t>
      </w:r>
      <w:r w:rsidRPr="008736A6">
        <w:rPr>
          <w:rFonts w:ascii="Times New Roman" w:hAnsi="Times New Roman" w:cs="Times New Roman"/>
          <w:sz w:val="28"/>
          <w:szCs w:val="28"/>
        </w:rPr>
        <w:t>EUR stundā ieskaitot darba devēja obligātās sociālās apdrošināšanas iemaksas</w:t>
      </w:r>
      <w:r w:rsidR="00C4081E">
        <w:rPr>
          <w:rFonts w:ascii="Times New Roman" w:hAnsi="Times New Roman" w:cs="Times New Roman"/>
          <w:sz w:val="28"/>
          <w:szCs w:val="28"/>
        </w:rPr>
        <w:t>. Starpība 2,26</w:t>
      </w:r>
      <w:r>
        <w:rPr>
          <w:rFonts w:ascii="Times New Roman" w:hAnsi="Times New Roman" w:cs="Times New Roman"/>
          <w:sz w:val="28"/>
          <w:szCs w:val="28"/>
        </w:rPr>
        <w:t> E</w:t>
      </w:r>
      <w:r w:rsidR="0079115B">
        <w:rPr>
          <w:rFonts w:ascii="Times New Roman" w:hAnsi="Times New Roman" w:cs="Times New Roman"/>
          <w:sz w:val="28"/>
          <w:szCs w:val="28"/>
        </w:rPr>
        <w:t xml:space="preserve">UR apmērā </w:t>
      </w:r>
      <w:r w:rsidRPr="008736A6">
        <w:rPr>
          <w:rFonts w:ascii="Times New Roman" w:hAnsi="Times New Roman" w:cs="Times New Roman"/>
          <w:sz w:val="28"/>
          <w:szCs w:val="28"/>
        </w:rPr>
        <w:t xml:space="preserve">novirzīta uz pozīciju </w:t>
      </w:r>
      <w:r w:rsidR="009320FF" w:rsidRPr="009320FF">
        <w:rPr>
          <w:rFonts w:ascii="Times New Roman" w:hAnsi="Times New Roman" w:cs="Times New Roman"/>
          <w:sz w:val="28"/>
          <w:szCs w:val="28"/>
        </w:rPr>
        <w:t>“</w:t>
      </w:r>
      <w:r w:rsidRPr="008736A6">
        <w:rPr>
          <w:rFonts w:ascii="Times New Roman" w:hAnsi="Times New Roman" w:cs="Times New Roman"/>
          <w:sz w:val="28"/>
          <w:szCs w:val="28"/>
        </w:rPr>
        <w:t>Preces un pakalpojumi” īres maksas un komunālo pakalpojumu nomaksai</w:t>
      </w:r>
      <w:r w:rsidR="00FA2529">
        <w:rPr>
          <w:rFonts w:ascii="Times New Roman" w:hAnsi="Times New Roman" w:cs="Times New Roman"/>
          <w:sz w:val="28"/>
          <w:szCs w:val="28"/>
        </w:rPr>
        <w:t xml:space="preserve"> (skatīt 2.tabulu)</w:t>
      </w:r>
      <w:r w:rsidR="0089281E" w:rsidRPr="008736A6">
        <w:rPr>
          <w:rFonts w:ascii="Times New Roman" w:hAnsi="Times New Roman" w:cs="Times New Roman"/>
          <w:sz w:val="28"/>
          <w:szCs w:val="28"/>
        </w:rPr>
        <w:t>.</w:t>
      </w:r>
    </w:p>
    <w:p w:rsidR="0089286F" w:rsidRDefault="0089286F" w:rsidP="0089286F">
      <w:pPr>
        <w:spacing w:after="0" w:line="240" w:lineRule="auto"/>
        <w:jc w:val="both"/>
        <w:rPr>
          <w:rFonts w:ascii="Times New Roman" w:hAnsi="Times New Roman" w:cs="Times New Roman"/>
          <w:sz w:val="28"/>
          <w:szCs w:val="28"/>
        </w:rPr>
      </w:pPr>
    </w:p>
    <w:p w:rsidR="00B00107" w:rsidRDefault="00B00107">
      <w:pPr>
        <w:rPr>
          <w:rFonts w:ascii="Times New Roman" w:hAnsi="Times New Roman" w:cs="Times New Roman"/>
          <w:sz w:val="28"/>
          <w:szCs w:val="28"/>
        </w:rPr>
      </w:pPr>
      <w:r>
        <w:rPr>
          <w:rFonts w:ascii="Times New Roman" w:hAnsi="Times New Roman" w:cs="Times New Roman"/>
          <w:sz w:val="28"/>
          <w:szCs w:val="28"/>
        </w:rPr>
        <w:br w:type="page"/>
      </w:r>
    </w:p>
    <w:p w:rsidR="0029587F" w:rsidRDefault="0029587F" w:rsidP="002958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2.tabula</w:t>
      </w:r>
    </w:p>
    <w:p w:rsidR="0089286F" w:rsidRPr="0029587F" w:rsidRDefault="002F2BDB" w:rsidP="0029587F">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Informācija par projektu</w:t>
      </w:r>
      <w:r w:rsidRPr="00892A93">
        <w:rPr>
          <w:rFonts w:ascii="Times New Roman" w:hAnsi="Times New Roman" w:cs="Times New Roman"/>
          <w:b/>
          <w:sz w:val="28"/>
          <w:szCs w:val="28"/>
        </w:rPr>
        <w:t xml:space="preserve"> izstrādāšanas instrumenta</w:t>
      </w:r>
      <w:r w:rsidRPr="00892A93">
        <w:rPr>
          <w:rFonts w:ascii="Times New Roman" w:hAnsi="Times New Roman" w:cs="Times New Roman"/>
          <w:b/>
          <w:i/>
          <w:sz w:val="28"/>
          <w:szCs w:val="28"/>
        </w:rPr>
        <w:t xml:space="preserve"> </w:t>
      </w:r>
      <w:r w:rsidRPr="00892A93">
        <w:rPr>
          <w:rFonts w:ascii="Times New Roman" w:hAnsi="Times New Roman" w:cs="Times New Roman"/>
          <w:b/>
          <w:sz w:val="28"/>
          <w:szCs w:val="28"/>
        </w:rPr>
        <w:t>projekt</w:t>
      </w:r>
      <w:r>
        <w:rPr>
          <w:rFonts w:ascii="Times New Roman" w:hAnsi="Times New Roman" w:cs="Times New Roman"/>
          <w:b/>
          <w:sz w:val="28"/>
          <w:szCs w:val="28"/>
        </w:rPr>
        <w:t>a</w:t>
      </w:r>
      <w:r w:rsidRPr="00892A93">
        <w:rPr>
          <w:rFonts w:ascii="Times New Roman" w:hAnsi="Times New Roman" w:cs="Times New Roman"/>
          <w:b/>
          <w:sz w:val="28"/>
          <w:szCs w:val="28"/>
        </w:rPr>
        <w:t xml:space="preserve"> </w:t>
      </w:r>
      <w:r w:rsidRPr="00892A93">
        <w:rPr>
          <w:rFonts w:ascii="Times New Roman" w:hAnsi="Times New Roman" w:cs="Times New Roman"/>
          <w:b/>
          <w:i/>
          <w:sz w:val="28"/>
          <w:szCs w:val="28"/>
        </w:rPr>
        <w:t>InnoHealth</w:t>
      </w:r>
      <w:r>
        <w:rPr>
          <w:rFonts w:ascii="Times New Roman" w:hAnsi="Times New Roman" w:cs="Times New Roman"/>
          <w:b/>
          <w:sz w:val="28"/>
          <w:szCs w:val="28"/>
        </w:rPr>
        <w:t xml:space="preserve"> plānotās darba samaksas sadalījums starp ekonomiskās klasifikācijas kodiem</w:t>
      </w:r>
      <w:r w:rsidR="0029587F" w:rsidRPr="00892A93">
        <w:rPr>
          <w:rFonts w:ascii="Times New Roman" w:hAnsi="Times New Roman" w:cs="Times New Roman"/>
          <w:b/>
          <w:sz w:val="28"/>
          <w:szCs w:val="28"/>
        </w:rPr>
        <w:t>, EUR</w:t>
      </w:r>
    </w:p>
    <w:tbl>
      <w:tblPr>
        <w:tblStyle w:val="TableGrid"/>
        <w:tblW w:w="9606" w:type="dxa"/>
        <w:tblLook w:val="04A0"/>
      </w:tblPr>
      <w:tblGrid>
        <w:gridCol w:w="1044"/>
        <w:gridCol w:w="759"/>
        <w:gridCol w:w="759"/>
        <w:gridCol w:w="788"/>
        <w:gridCol w:w="977"/>
        <w:gridCol w:w="1176"/>
        <w:gridCol w:w="1176"/>
        <w:gridCol w:w="1056"/>
        <w:gridCol w:w="876"/>
        <w:gridCol w:w="995"/>
      </w:tblGrid>
      <w:tr w:rsidR="0089286F" w:rsidRPr="00921645" w:rsidTr="00B00107">
        <w:tc>
          <w:tcPr>
            <w:tcW w:w="1044" w:type="dxa"/>
            <w:vMerge w:val="restart"/>
          </w:tcPr>
          <w:p w:rsidR="0089286F" w:rsidRPr="00921645" w:rsidRDefault="0089286F" w:rsidP="0089286F">
            <w:pPr>
              <w:jc w:val="center"/>
              <w:rPr>
                <w:rFonts w:ascii="Times New Roman" w:hAnsi="Times New Roman" w:cs="Times New Roman"/>
                <w:sz w:val="24"/>
                <w:szCs w:val="24"/>
              </w:rPr>
            </w:pPr>
          </w:p>
        </w:tc>
        <w:tc>
          <w:tcPr>
            <w:tcW w:w="2306" w:type="dxa"/>
            <w:gridSpan w:val="3"/>
          </w:tcPr>
          <w:p w:rsidR="0089286F" w:rsidRPr="00921645" w:rsidRDefault="00845DCA" w:rsidP="0089286F">
            <w:pPr>
              <w:jc w:val="center"/>
              <w:rPr>
                <w:rFonts w:ascii="Times New Roman" w:hAnsi="Times New Roman" w:cs="Times New Roman"/>
                <w:sz w:val="24"/>
                <w:szCs w:val="24"/>
              </w:rPr>
            </w:pPr>
            <w:r>
              <w:rPr>
                <w:rFonts w:ascii="Times New Roman" w:hAnsi="Times New Roman" w:cs="Times New Roman"/>
                <w:sz w:val="24"/>
                <w:szCs w:val="24"/>
              </w:rPr>
              <w:t>S</w:t>
            </w:r>
            <w:r w:rsidR="0089286F">
              <w:rPr>
                <w:rFonts w:ascii="Times New Roman" w:hAnsi="Times New Roman" w:cs="Times New Roman"/>
                <w:sz w:val="24"/>
                <w:szCs w:val="24"/>
              </w:rPr>
              <w:t>tundas</w:t>
            </w:r>
          </w:p>
        </w:tc>
        <w:tc>
          <w:tcPr>
            <w:tcW w:w="977" w:type="dxa"/>
            <w:vMerge w:val="restart"/>
          </w:tcPr>
          <w:p w:rsidR="0089286F"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Stundas likme, EUR*</w:t>
            </w:r>
          </w:p>
        </w:tc>
        <w:tc>
          <w:tcPr>
            <w:tcW w:w="1176" w:type="dxa"/>
            <w:vMerge w:val="restart"/>
          </w:tcPr>
          <w:p w:rsidR="0089286F"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Stundas likme, EUR**</w:t>
            </w:r>
          </w:p>
        </w:tc>
        <w:tc>
          <w:tcPr>
            <w:tcW w:w="4103" w:type="dxa"/>
            <w:gridSpan w:val="4"/>
          </w:tcPr>
          <w:p w:rsidR="0089286F" w:rsidRPr="00921645" w:rsidRDefault="00845DCA" w:rsidP="0089286F">
            <w:pPr>
              <w:jc w:val="center"/>
              <w:rPr>
                <w:rFonts w:ascii="Times New Roman" w:hAnsi="Times New Roman" w:cs="Times New Roman"/>
                <w:sz w:val="24"/>
                <w:szCs w:val="24"/>
              </w:rPr>
            </w:pPr>
            <w:r>
              <w:rPr>
                <w:rFonts w:ascii="Times New Roman" w:hAnsi="Times New Roman" w:cs="Times New Roman"/>
                <w:sz w:val="24"/>
                <w:szCs w:val="24"/>
              </w:rPr>
              <w:t>I</w:t>
            </w:r>
            <w:r w:rsidR="0089286F">
              <w:rPr>
                <w:rFonts w:ascii="Times New Roman" w:hAnsi="Times New Roman" w:cs="Times New Roman"/>
                <w:sz w:val="24"/>
                <w:szCs w:val="24"/>
              </w:rPr>
              <w:t>zdevumi</w:t>
            </w:r>
            <w:r>
              <w:rPr>
                <w:rFonts w:ascii="Times New Roman" w:hAnsi="Times New Roman" w:cs="Times New Roman"/>
                <w:sz w:val="24"/>
                <w:szCs w:val="24"/>
              </w:rPr>
              <w:t xml:space="preserve"> sadalījumā pa EKK</w:t>
            </w:r>
          </w:p>
        </w:tc>
      </w:tr>
      <w:tr w:rsidR="0089286F" w:rsidRPr="00921645" w:rsidTr="00B00107">
        <w:tc>
          <w:tcPr>
            <w:tcW w:w="1044" w:type="dxa"/>
            <w:vMerge/>
          </w:tcPr>
          <w:p w:rsidR="0089286F" w:rsidRDefault="0089286F" w:rsidP="0089286F">
            <w:pPr>
              <w:jc w:val="center"/>
              <w:rPr>
                <w:rFonts w:ascii="Times New Roman" w:hAnsi="Times New Roman" w:cs="Times New Roman"/>
                <w:sz w:val="24"/>
                <w:szCs w:val="24"/>
              </w:rPr>
            </w:pPr>
          </w:p>
        </w:tc>
        <w:tc>
          <w:tcPr>
            <w:tcW w:w="759" w:type="dxa"/>
          </w:tcPr>
          <w:p w:rsidR="0089286F"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2016</w:t>
            </w:r>
          </w:p>
        </w:tc>
        <w:tc>
          <w:tcPr>
            <w:tcW w:w="759" w:type="dxa"/>
          </w:tcPr>
          <w:p w:rsidR="0089286F"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2017</w:t>
            </w:r>
          </w:p>
        </w:tc>
        <w:tc>
          <w:tcPr>
            <w:tcW w:w="788" w:type="dxa"/>
          </w:tcPr>
          <w:p w:rsidR="0089286F"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Kopā</w:t>
            </w:r>
          </w:p>
        </w:tc>
        <w:tc>
          <w:tcPr>
            <w:tcW w:w="977" w:type="dxa"/>
            <w:vMerge/>
          </w:tcPr>
          <w:p w:rsidR="0089286F" w:rsidRPr="00921645" w:rsidRDefault="0089286F" w:rsidP="0089286F">
            <w:pPr>
              <w:jc w:val="center"/>
              <w:rPr>
                <w:rFonts w:ascii="Times New Roman" w:hAnsi="Times New Roman" w:cs="Times New Roman"/>
                <w:sz w:val="24"/>
                <w:szCs w:val="24"/>
              </w:rPr>
            </w:pPr>
          </w:p>
        </w:tc>
        <w:tc>
          <w:tcPr>
            <w:tcW w:w="1176" w:type="dxa"/>
            <w:vMerge/>
          </w:tcPr>
          <w:p w:rsidR="0089286F" w:rsidRPr="00921645" w:rsidRDefault="0089286F" w:rsidP="0089286F">
            <w:pPr>
              <w:jc w:val="center"/>
              <w:rPr>
                <w:rFonts w:ascii="Times New Roman" w:hAnsi="Times New Roman" w:cs="Times New Roman"/>
                <w:sz w:val="24"/>
                <w:szCs w:val="24"/>
              </w:rPr>
            </w:pPr>
          </w:p>
        </w:tc>
        <w:tc>
          <w:tcPr>
            <w:tcW w:w="1176" w:type="dxa"/>
          </w:tcPr>
          <w:p w:rsidR="0089286F" w:rsidRPr="00921645" w:rsidRDefault="005A6E6E" w:rsidP="0089286F">
            <w:pPr>
              <w:jc w:val="center"/>
              <w:rPr>
                <w:rFonts w:ascii="Times New Roman" w:hAnsi="Times New Roman" w:cs="Times New Roman"/>
                <w:sz w:val="24"/>
                <w:szCs w:val="24"/>
              </w:rPr>
            </w:pPr>
            <w:r>
              <w:rPr>
                <w:rFonts w:ascii="Times New Roman" w:hAnsi="Times New Roman" w:cs="Times New Roman"/>
                <w:sz w:val="24"/>
                <w:szCs w:val="24"/>
              </w:rPr>
              <w:t>1000</w:t>
            </w:r>
          </w:p>
        </w:tc>
        <w:tc>
          <w:tcPr>
            <w:tcW w:w="1056" w:type="dxa"/>
          </w:tcPr>
          <w:p w:rsidR="0089286F" w:rsidRPr="00921645" w:rsidRDefault="005A6E6E" w:rsidP="0089286F">
            <w:pPr>
              <w:jc w:val="center"/>
              <w:rPr>
                <w:rFonts w:ascii="Times New Roman" w:hAnsi="Times New Roman" w:cs="Times New Roman"/>
                <w:sz w:val="24"/>
                <w:szCs w:val="24"/>
              </w:rPr>
            </w:pPr>
            <w:r>
              <w:rPr>
                <w:rFonts w:ascii="Times New Roman" w:hAnsi="Times New Roman" w:cs="Times New Roman"/>
                <w:sz w:val="24"/>
                <w:szCs w:val="24"/>
              </w:rPr>
              <w:t>1100</w:t>
            </w:r>
          </w:p>
        </w:tc>
        <w:tc>
          <w:tcPr>
            <w:tcW w:w="876" w:type="dxa"/>
          </w:tcPr>
          <w:p w:rsidR="0089286F" w:rsidRPr="00921645" w:rsidRDefault="005A6E6E" w:rsidP="0089286F">
            <w:pPr>
              <w:jc w:val="center"/>
              <w:rPr>
                <w:rFonts w:ascii="Times New Roman" w:hAnsi="Times New Roman" w:cs="Times New Roman"/>
                <w:sz w:val="24"/>
                <w:szCs w:val="24"/>
              </w:rPr>
            </w:pPr>
            <w:r>
              <w:rPr>
                <w:rFonts w:ascii="Times New Roman" w:hAnsi="Times New Roman" w:cs="Times New Roman"/>
                <w:sz w:val="24"/>
                <w:szCs w:val="24"/>
              </w:rPr>
              <w:t>2000</w:t>
            </w:r>
          </w:p>
        </w:tc>
        <w:tc>
          <w:tcPr>
            <w:tcW w:w="995" w:type="dxa"/>
          </w:tcPr>
          <w:p w:rsidR="0089286F" w:rsidRPr="00921645" w:rsidRDefault="005A6E6E" w:rsidP="0089286F">
            <w:pPr>
              <w:jc w:val="center"/>
              <w:rPr>
                <w:rFonts w:ascii="Times New Roman" w:hAnsi="Times New Roman" w:cs="Times New Roman"/>
                <w:sz w:val="24"/>
                <w:szCs w:val="24"/>
              </w:rPr>
            </w:pPr>
            <w:r>
              <w:rPr>
                <w:rFonts w:ascii="Times New Roman" w:hAnsi="Times New Roman" w:cs="Times New Roman"/>
                <w:sz w:val="24"/>
                <w:szCs w:val="24"/>
              </w:rPr>
              <w:t>Kopā</w:t>
            </w:r>
          </w:p>
        </w:tc>
      </w:tr>
      <w:tr w:rsidR="008E2B6C" w:rsidRPr="00921645" w:rsidTr="00B00107">
        <w:tc>
          <w:tcPr>
            <w:tcW w:w="1044" w:type="dxa"/>
          </w:tcPr>
          <w:p w:rsidR="00921645" w:rsidRPr="00921645" w:rsidRDefault="00921645" w:rsidP="00265073">
            <w:pPr>
              <w:jc w:val="both"/>
              <w:rPr>
                <w:rFonts w:ascii="Times New Roman" w:hAnsi="Times New Roman" w:cs="Times New Roman"/>
                <w:sz w:val="24"/>
                <w:szCs w:val="24"/>
              </w:rPr>
            </w:pPr>
            <w:r>
              <w:rPr>
                <w:rFonts w:ascii="Times New Roman" w:hAnsi="Times New Roman" w:cs="Times New Roman"/>
                <w:sz w:val="24"/>
                <w:szCs w:val="24"/>
              </w:rPr>
              <w:t>p</w:t>
            </w:r>
            <w:r w:rsidRPr="00921645">
              <w:rPr>
                <w:rFonts w:ascii="Times New Roman" w:hAnsi="Times New Roman" w:cs="Times New Roman"/>
                <w:sz w:val="24"/>
                <w:szCs w:val="24"/>
              </w:rPr>
              <w:t>rojekta</w:t>
            </w:r>
            <w:r>
              <w:rPr>
                <w:rFonts w:ascii="Times New Roman" w:hAnsi="Times New Roman" w:cs="Times New Roman"/>
                <w:sz w:val="24"/>
                <w:szCs w:val="24"/>
              </w:rPr>
              <w:t xml:space="preserve"> vadītājs</w:t>
            </w:r>
            <w:r w:rsidRPr="00921645">
              <w:rPr>
                <w:rFonts w:ascii="Times New Roman" w:hAnsi="Times New Roman" w:cs="Times New Roman"/>
                <w:sz w:val="24"/>
                <w:szCs w:val="24"/>
              </w:rPr>
              <w:t xml:space="preserve"> </w:t>
            </w:r>
          </w:p>
        </w:tc>
        <w:tc>
          <w:tcPr>
            <w:tcW w:w="759"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800</w:t>
            </w:r>
          </w:p>
        </w:tc>
        <w:tc>
          <w:tcPr>
            <w:tcW w:w="759"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40</w:t>
            </w:r>
          </w:p>
        </w:tc>
        <w:tc>
          <w:tcPr>
            <w:tcW w:w="788"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840</w:t>
            </w:r>
          </w:p>
        </w:tc>
        <w:tc>
          <w:tcPr>
            <w:tcW w:w="977" w:type="dxa"/>
          </w:tcPr>
          <w:p w:rsidR="00921645"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11</w:t>
            </w:r>
            <w:r w:rsidR="004562C7">
              <w:rPr>
                <w:rFonts w:ascii="Times New Roman" w:hAnsi="Times New Roman" w:cs="Times New Roman"/>
                <w:sz w:val="24"/>
                <w:szCs w:val="24"/>
              </w:rPr>
              <w:t>.</w:t>
            </w:r>
            <w:r>
              <w:rPr>
                <w:rFonts w:ascii="Times New Roman" w:hAnsi="Times New Roman" w:cs="Times New Roman"/>
                <w:sz w:val="24"/>
                <w:szCs w:val="24"/>
              </w:rPr>
              <w:t>00</w:t>
            </w:r>
          </w:p>
        </w:tc>
        <w:tc>
          <w:tcPr>
            <w:tcW w:w="1176" w:type="dxa"/>
          </w:tcPr>
          <w:p w:rsidR="00921645"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10</w:t>
            </w:r>
            <w:r w:rsidR="004562C7">
              <w:rPr>
                <w:rFonts w:ascii="Times New Roman" w:hAnsi="Times New Roman" w:cs="Times New Roman"/>
                <w:sz w:val="24"/>
                <w:szCs w:val="24"/>
              </w:rPr>
              <w:t>.</w:t>
            </w:r>
            <w:r>
              <w:rPr>
                <w:rFonts w:ascii="Times New Roman" w:hAnsi="Times New Roman" w:cs="Times New Roman"/>
                <w:sz w:val="24"/>
                <w:szCs w:val="24"/>
              </w:rPr>
              <w:t>28</w:t>
            </w:r>
          </w:p>
        </w:tc>
        <w:tc>
          <w:tcPr>
            <w:tcW w:w="1176" w:type="dxa"/>
          </w:tcPr>
          <w:p w:rsidR="00921645" w:rsidRPr="00921645" w:rsidRDefault="005A6E6E" w:rsidP="008E2B6C">
            <w:pPr>
              <w:jc w:val="right"/>
              <w:rPr>
                <w:rFonts w:ascii="Times New Roman" w:hAnsi="Times New Roman" w:cs="Times New Roman"/>
                <w:sz w:val="24"/>
                <w:szCs w:val="24"/>
              </w:rPr>
            </w:pPr>
            <w:r>
              <w:rPr>
                <w:rFonts w:ascii="Times New Roman" w:hAnsi="Times New Roman" w:cs="Times New Roman"/>
                <w:sz w:val="24"/>
                <w:szCs w:val="24"/>
              </w:rPr>
              <w:t>8</w:t>
            </w:r>
            <w:r w:rsidR="004562C7">
              <w:rPr>
                <w:rFonts w:ascii="Times New Roman" w:hAnsi="Times New Roman" w:cs="Times New Roman"/>
                <w:sz w:val="24"/>
                <w:szCs w:val="24"/>
              </w:rPr>
              <w:t> </w:t>
            </w:r>
            <w:r>
              <w:rPr>
                <w:rFonts w:ascii="Times New Roman" w:hAnsi="Times New Roman" w:cs="Times New Roman"/>
                <w:sz w:val="24"/>
                <w:szCs w:val="24"/>
              </w:rPr>
              <w:t>635</w:t>
            </w:r>
            <w:r w:rsidR="004562C7">
              <w:rPr>
                <w:rFonts w:ascii="Times New Roman" w:hAnsi="Times New Roman" w:cs="Times New Roman"/>
                <w:sz w:val="24"/>
                <w:szCs w:val="24"/>
              </w:rPr>
              <w:t>.</w:t>
            </w:r>
            <w:r>
              <w:rPr>
                <w:rFonts w:ascii="Times New Roman" w:hAnsi="Times New Roman" w:cs="Times New Roman"/>
                <w:sz w:val="24"/>
                <w:szCs w:val="24"/>
              </w:rPr>
              <w:t>20</w:t>
            </w:r>
          </w:p>
        </w:tc>
        <w:tc>
          <w:tcPr>
            <w:tcW w:w="1056" w:type="dxa"/>
          </w:tcPr>
          <w:p w:rsidR="00921645" w:rsidRPr="00921645" w:rsidRDefault="008E2B6C" w:rsidP="008E2B6C">
            <w:pPr>
              <w:jc w:val="right"/>
              <w:rPr>
                <w:rFonts w:ascii="Times New Roman" w:hAnsi="Times New Roman" w:cs="Times New Roman"/>
                <w:sz w:val="24"/>
                <w:szCs w:val="24"/>
              </w:rPr>
            </w:pPr>
            <w:r>
              <w:rPr>
                <w:rFonts w:ascii="Times New Roman" w:hAnsi="Times New Roman" w:cs="Times New Roman"/>
                <w:sz w:val="24"/>
                <w:szCs w:val="24"/>
              </w:rPr>
              <w:t>6</w:t>
            </w:r>
            <w:r w:rsidR="004562C7">
              <w:rPr>
                <w:rFonts w:ascii="Times New Roman" w:hAnsi="Times New Roman" w:cs="Times New Roman"/>
                <w:sz w:val="24"/>
                <w:szCs w:val="24"/>
              </w:rPr>
              <w:t> </w:t>
            </w:r>
            <w:r>
              <w:rPr>
                <w:rFonts w:ascii="Times New Roman" w:hAnsi="Times New Roman" w:cs="Times New Roman"/>
                <w:sz w:val="24"/>
                <w:szCs w:val="24"/>
              </w:rPr>
              <w:t>986</w:t>
            </w:r>
            <w:r w:rsidR="004562C7">
              <w:rPr>
                <w:rFonts w:ascii="Times New Roman" w:hAnsi="Times New Roman" w:cs="Times New Roman"/>
                <w:sz w:val="24"/>
                <w:szCs w:val="24"/>
              </w:rPr>
              <w:t>.</w:t>
            </w:r>
            <w:r>
              <w:rPr>
                <w:rFonts w:ascii="Times New Roman" w:hAnsi="Times New Roman" w:cs="Times New Roman"/>
                <w:sz w:val="24"/>
                <w:szCs w:val="24"/>
              </w:rPr>
              <w:t>97</w:t>
            </w:r>
          </w:p>
        </w:tc>
        <w:tc>
          <w:tcPr>
            <w:tcW w:w="876" w:type="dxa"/>
          </w:tcPr>
          <w:p w:rsidR="00921645" w:rsidRPr="00921645" w:rsidRDefault="008E2B6C" w:rsidP="008E2B6C">
            <w:pPr>
              <w:jc w:val="right"/>
              <w:rPr>
                <w:rFonts w:ascii="Times New Roman" w:hAnsi="Times New Roman" w:cs="Times New Roman"/>
                <w:sz w:val="24"/>
                <w:szCs w:val="24"/>
              </w:rPr>
            </w:pPr>
            <w:r>
              <w:rPr>
                <w:rFonts w:ascii="Times New Roman" w:hAnsi="Times New Roman" w:cs="Times New Roman"/>
                <w:sz w:val="24"/>
                <w:szCs w:val="24"/>
              </w:rPr>
              <w:t>604</w:t>
            </w:r>
            <w:r w:rsidR="004562C7">
              <w:rPr>
                <w:rFonts w:ascii="Times New Roman" w:hAnsi="Times New Roman" w:cs="Times New Roman"/>
                <w:sz w:val="24"/>
                <w:szCs w:val="24"/>
              </w:rPr>
              <w:t>.</w:t>
            </w:r>
            <w:r>
              <w:rPr>
                <w:rFonts w:ascii="Times New Roman" w:hAnsi="Times New Roman" w:cs="Times New Roman"/>
                <w:sz w:val="24"/>
                <w:szCs w:val="24"/>
              </w:rPr>
              <w:t>80</w:t>
            </w:r>
          </w:p>
        </w:tc>
        <w:tc>
          <w:tcPr>
            <w:tcW w:w="995" w:type="dxa"/>
          </w:tcPr>
          <w:p w:rsidR="00921645" w:rsidRPr="00921645" w:rsidRDefault="005A6E6E" w:rsidP="008E2B6C">
            <w:pPr>
              <w:jc w:val="right"/>
              <w:rPr>
                <w:rFonts w:ascii="Times New Roman" w:hAnsi="Times New Roman" w:cs="Times New Roman"/>
                <w:sz w:val="24"/>
                <w:szCs w:val="24"/>
              </w:rPr>
            </w:pPr>
            <w:r>
              <w:rPr>
                <w:rFonts w:ascii="Times New Roman" w:hAnsi="Times New Roman" w:cs="Times New Roman"/>
                <w:sz w:val="24"/>
                <w:szCs w:val="24"/>
              </w:rPr>
              <w:t>9 240</w:t>
            </w:r>
          </w:p>
        </w:tc>
      </w:tr>
      <w:tr w:rsidR="008E2B6C" w:rsidRPr="00921645" w:rsidTr="00B00107">
        <w:tc>
          <w:tcPr>
            <w:tcW w:w="1044" w:type="dxa"/>
          </w:tcPr>
          <w:p w:rsidR="00921645" w:rsidRPr="00921645" w:rsidRDefault="00921645" w:rsidP="00265073">
            <w:pPr>
              <w:jc w:val="both"/>
              <w:rPr>
                <w:rFonts w:ascii="Times New Roman" w:hAnsi="Times New Roman" w:cs="Times New Roman"/>
                <w:sz w:val="24"/>
                <w:szCs w:val="24"/>
              </w:rPr>
            </w:pPr>
            <w:r>
              <w:rPr>
                <w:rFonts w:ascii="Times New Roman" w:hAnsi="Times New Roman" w:cs="Times New Roman"/>
                <w:sz w:val="24"/>
                <w:szCs w:val="24"/>
              </w:rPr>
              <w:t>vecākais eksperts</w:t>
            </w:r>
          </w:p>
        </w:tc>
        <w:tc>
          <w:tcPr>
            <w:tcW w:w="759"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160</w:t>
            </w:r>
          </w:p>
        </w:tc>
        <w:tc>
          <w:tcPr>
            <w:tcW w:w="759"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8</w:t>
            </w:r>
          </w:p>
        </w:tc>
        <w:tc>
          <w:tcPr>
            <w:tcW w:w="788"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168</w:t>
            </w:r>
          </w:p>
        </w:tc>
        <w:tc>
          <w:tcPr>
            <w:tcW w:w="977" w:type="dxa"/>
          </w:tcPr>
          <w:p w:rsidR="00921645"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11</w:t>
            </w:r>
            <w:r w:rsidR="004562C7">
              <w:rPr>
                <w:rFonts w:ascii="Times New Roman" w:hAnsi="Times New Roman" w:cs="Times New Roman"/>
                <w:sz w:val="24"/>
                <w:szCs w:val="24"/>
              </w:rPr>
              <w:t>.</w:t>
            </w:r>
            <w:r>
              <w:rPr>
                <w:rFonts w:ascii="Times New Roman" w:hAnsi="Times New Roman" w:cs="Times New Roman"/>
                <w:sz w:val="24"/>
                <w:szCs w:val="24"/>
              </w:rPr>
              <w:t>00</w:t>
            </w:r>
          </w:p>
        </w:tc>
        <w:tc>
          <w:tcPr>
            <w:tcW w:w="1176" w:type="dxa"/>
          </w:tcPr>
          <w:p w:rsidR="00921645" w:rsidRPr="00921645" w:rsidRDefault="0089286F" w:rsidP="0089286F">
            <w:pPr>
              <w:jc w:val="center"/>
              <w:rPr>
                <w:rFonts w:ascii="Times New Roman" w:hAnsi="Times New Roman" w:cs="Times New Roman"/>
                <w:sz w:val="24"/>
                <w:szCs w:val="24"/>
              </w:rPr>
            </w:pPr>
            <w:r>
              <w:rPr>
                <w:rFonts w:ascii="Times New Roman" w:hAnsi="Times New Roman" w:cs="Times New Roman"/>
                <w:sz w:val="24"/>
                <w:szCs w:val="24"/>
              </w:rPr>
              <w:t>8</w:t>
            </w:r>
            <w:r w:rsidR="004562C7">
              <w:rPr>
                <w:rFonts w:ascii="Times New Roman" w:hAnsi="Times New Roman" w:cs="Times New Roman"/>
                <w:sz w:val="24"/>
                <w:szCs w:val="24"/>
              </w:rPr>
              <w:t>.</w:t>
            </w:r>
            <w:r>
              <w:rPr>
                <w:rFonts w:ascii="Times New Roman" w:hAnsi="Times New Roman" w:cs="Times New Roman"/>
                <w:sz w:val="24"/>
                <w:szCs w:val="24"/>
              </w:rPr>
              <w:t>74</w:t>
            </w:r>
          </w:p>
        </w:tc>
        <w:tc>
          <w:tcPr>
            <w:tcW w:w="1176" w:type="dxa"/>
          </w:tcPr>
          <w:p w:rsidR="00921645" w:rsidRPr="00921645" w:rsidRDefault="005A6E6E" w:rsidP="008E2B6C">
            <w:pPr>
              <w:jc w:val="right"/>
              <w:rPr>
                <w:rFonts w:ascii="Times New Roman" w:hAnsi="Times New Roman" w:cs="Times New Roman"/>
                <w:sz w:val="24"/>
                <w:szCs w:val="24"/>
              </w:rPr>
            </w:pPr>
            <w:r>
              <w:rPr>
                <w:rFonts w:ascii="Times New Roman" w:hAnsi="Times New Roman" w:cs="Times New Roman"/>
                <w:sz w:val="24"/>
                <w:szCs w:val="24"/>
              </w:rPr>
              <w:t>1</w:t>
            </w:r>
            <w:r w:rsidR="004562C7">
              <w:rPr>
                <w:rFonts w:ascii="Times New Roman" w:hAnsi="Times New Roman" w:cs="Times New Roman"/>
                <w:sz w:val="24"/>
                <w:szCs w:val="24"/>
              </w:rPr>
              <w:t> </w:t>
            </w:r>
            <w:r>
              <w:rPr>
                <w:rFonts w:ascii="Times New Roman" w:hAnsi="Times New Roman" w:cs="Times New Roman"/>
                <w:sz w:val="24"/>
                <w:szCs w:val="24"/>
              </w:rPr>
              <w:t>468</w:t>
            </w:r>
            <w:r w:rsidR="004562C7">
              <w:rPr>
                <w:rFonts w:ascii="Times New Roman" w:hAnsi="Times New Roman" w:cs="Times New Roman"/>
                <w:sz w:val="24"/>
                <w:szCs w:val="24"/>
              </w:rPr>
              <w:t>.</w:t>
            </w:r>
            <w:r>
              <w:rPr>
                <w:rFonts w:ascii="Times New Roman" w:hAnsi="Times New Roman" w:cs="Times New Roman"/>
                <w:sz w:val="24"/>
                <w:szCs w:val="24"/>
              </w:rPr>
              <w:t>32</w:t>
            </w:r>
          </w:p>
        </w:tc>
        <w:tc>
          <w:tcPr>
            <w:tcW w:w="1056" w:type="dxa"/>
          </w:tcPr>
          <w:p w:rsidR="00921645" w:rsidRPr="00921645" w:rsidRDefault="008E2B6C" w:rsidP="008E2B6C">
            <w:pPr>
              <w:jc w:val="right"/>
              <w:rPr>
                <w:rFonts w:ascii="Times New Roman" w:hAnsi="Times New Roman" w:cs="Times New Roman"/>
                <w:sz w:val="24"/>
                <w:szCs w:val="24"/>
              </w:rPr>
            </w:pPr>
            <w:r>
              <w:rPr>
                <w:rFonts w:ascii="Times New Roman" w:hAnsi="Times New Roman" w:cs="Times New Roman"/>
                <w:sz w:val="24"/>
                <w:szCs w:val="24"/>
              </w:rPr>
              <w:t>1</w:t>
            </w:r>
            <w:r w:rsidR="004562C7">
              <w:rPr>
                <w:rFonts w:ascii="Times New Roman" w:hAnsi="Times New Roman" w:cs="Times New Roman"/>
                <w:sz w:val="24"/>
                <w:szCs w:val="24"/>
              </w:rPr>
              <w:t> </w:t>
            </w:r>
            <w:r>
              <w:rPr>
                <w:rFonts w:ascii="Times New Roman" w:hAnsi="Times New Roman" w:cs="Times New Roman"/>
                <w:sz w:val="24"/>
                <w:szCs w:val="24"/>
              </w:rPr>
              <w:t>188</w:t>
            </w:r>
            <w:r w:rsidR="004562C7">
              <w:rPr>
                <w:rFonts w:ascii="Times New Roman" w:hAnsi="Times New Roman" w:cs="Times New Roman"/>
                <w:sz w:val="24"/>
                <w:szCs w:val="24"/>
              </w:rPr>
              <w:t>.</w:t>
            </w:r>
            <w:r>
              <w:rPr>
                <w:rFonts w:ascii="Times New Roman" w:hAnsi="Times New Roman" w:cs="Times New Roman"/>
                <w:sz w:val="24"/>
                <w:szCs w:val="24"/>
              </w:rPr>
              <w:t>06</w:t>
            </w:r>
          </w:p>
        </w:tc>
        <w:tc>
          <w:tcPr>
            <w:tcW w:w="876" w:type="dxa"/>
          </w:tcPr>
          <w:p w:rsidR="00921645" w:rsidRPr="00921645" w:rsidRDefault="008E2B6C" w:rsidP="008E2B6C">
            <w:pPr>
              <w:jc w:val="right"/>
              <w:rPr>
                <w:rFonts w:ascii="Times New Roman" w:hAnsi="Times New Roman" w:cs="Times New Roman"/>
                <w:sz w:val="24"/>
                <w:szCs w:val="24"/>
              </w:rPr>
            </w:pPr>
            <w:r>
              <w:rPr>
                <w:rFonts w:ascii="Times New Roman" w:hAnsi="Times New Roman" w:cs="Times New Roman"/>
                <w:sz w:val="24"/>
                <w:szCs w:val="24"/>
              </w:rPr>
              <w:t>379</w:t>
            </w:r>
            <w:r w:rsidR="004562C7">
              <w:rPr>
                <w:rFonts w:ascii="Times New Roman" w:hAnsi="Times New Roman" w:cs="Times New Roman"/>
                <w:sz w:val="24"/>
                <w:szCs w:val="24"/>
              </w:rPr>
              <w:t>.</w:t>
            </w:r>
            <w:r>
              <w:rPr>
                <w:rFonts w:ascii="Times New Roman" w:hAnsi="Times New Roman" w:cs="Times New Roman"/>
                <w:sz w:val="24"/>
                <w:szCs w:val="24"/>
              </w:rPr>
              <w:t>68</w:t>
            </w:r>
          </w:p>
        </w:tc>
        <w:tc>
          <w:tcPr>
            <w:tcW w:w="995" w:type="dxa"/>
          </w:tcPr>
          <w:p w:rsidR="00921645" w:rsidRPr="00921645" w:rsidRDefault="005A6E6E" w:rsidP="008E2B6C">
            <w:pPr>
              <w:jc w:val="right"/>
              <w:rPr>
                <w:rFonts w:ascii="Times New Roman" w:hAnsi="Times New Roman" w:cs="Times New Roman"/>
                <w:sz w:val="24"/>
                <w:szCs w:val="24"/>
              </w:rPr>
            </w:pPr>
            <w:r>
              <w:rPr>
                <w:rFonts w:ascii="Times New Roman" w:hAnsi="Times New Roman" w:cs="Times New Roman"/>
                <w:sz w:val="24"/>
                <w:szCs w:val="24"/>
              </w:rPr>
              <w:t>1 848</w:t>
            </w:r>
          </w:p>
        </w:tc>
      </w:tr>
      <w:tr w:rsidR="008E2B6C" w:rsidRPr="00921645" w:rsidTr="00B00107">
        <w:tc>
          <w:tcPr>
            <w:tcW w:w="1044" w:type="dxa"/>
          </w:tcPr>
          <w:p w:rsidR="00921645" w:rsidRPr="00921645" w:rsidRDefault="00921645" w:rsidP="00265073">
            <w:pPr>
              <w:jc w:val="both"/>
              <w:rPr>
                <w:rFonts w:ascii="Times New Roman" w:hAnsi="Times New Roman" w:cs="Times New Roman"/>
                <w:sz w:val="24"/>
                <w:szCs w:val="24"/>
              </w:rPr>
            </w:pPr>
            <w:r>
              <w:rPr>
                <w:rFonts w:ascii="Times New Roman" w:hAnsi="Times New Roman" w:cs="Times New Roman"/>
                <w:sz w:val="24"/>
                <w:szCs w:val="24"/>
              </w:rPr>
              <w:t>KOPĀ</w:t>
            </w:r>
          </w:p>
        </w:tc>
        <w:tc>
          <w:tcPr>
            <w:tcW w:w="759"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960</w:t>
            </w:r>
          </w:p>
        </w:tc>
        <w:tc>
          <w:tcPr>
            <w:tcW w:w="759"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48</w:t>
            </w:r>
          </w:p>
        </w:tc>
        <w:tc>
          <w:tcPr>
            <w:tcW w:w="788" w:type="dxa"/>
          </w:tcPr>
          <w:p w:rsidR="00921645" w:rsidRPr="00921645" w:rsidRDefault="0089286F" w:rsidP="008E2B6C">
            <w:pPr>
              <w:jc w:val="right"/>
              <w:rPr>
                <w:rFonts w:ascii="Times New Roman" w:hAnsi="Times New Roman" w:cs="Times New Roman"/>
                <w:sz w:val="24"/>
                <w:szCs w:val="24"/>
              </w:rPr>
            </w:pPr>
            <w:r>
              <w:rPr>
                <w:rFonts w:ascii="Times New Roman" w:hAnsi="Times New Roman" w:cs="Times New Roman"/>
                <w:sz w:val="24"/>
                <w:szCs w:val="24"/>
              </w:rPr>
              <w:t>1 008</w:t>
            </w:r>
          </w:p>
        </w:tc>
        <w:tc>
          <w:tcPr>
            <w:tcW w:w="977" w:type="dxa"/>
          </w:tcPr>
          <w:p w:rsidR="00921645" w:rsidRPr="002B7B0F" w:rsidRDefault="00F6097B" w:rsidP="0089286F">
            <w:pPr>
              <w:jc w:val="center"/>
              <w:rPr>
                <w:rFonts w:ascii="Times New Roman" w:hAnsi="Times New Roman" w:cs="Times New Roman"/>
                <w:sz w:val="24"/>
                <w:szCs w:val="24"/>
              </w:rPr>
            </w:pPr>
            <w:r w:rsidRPr="002B7B0F">
              <w:rPr>
                <w:rFonts w:ascii="Times New Roman" w:hAnsi="Times New Roman" w:cs="Times New Roman"/>
                <w:sz w:val="24"/>
                <w:szCs w:val="24"/>
              </w:rPr>
              <w:t>x</w:t>
            </w:r>
          </w:p>
        </w:tc>
        <w:tc>
          <w:tcPr>
            <w:tcW w:w="1176" w:type="dxa"/>
          </w:tcPr>
          <w:p w:rsidR="00921645" w:rsidRPr="002B7B0F" w:rsidRDefault="00F6097B" w:rsidP="0089286F">
            <w:pPr>
              <w:jc w:val="center"/>
              <w:rPr>
                <w:rFonts w:ascii="Times New Roman" w:hAnsi="Times New Roman" w:cs="Times New Roman"/>
                <w:sz w:val="24"/>
                <w:szCs w:val="24"/>
              </w:rPr>
            </w:pPr>
            <w:r w:rsidRPr="002B7B0F">
              <w:rPr>
                <w:rFonts w:ascii="Times New Roman" w:hAnsi="Times New Roman" w:cs="Times New Roman"/>
                <w:sz w:val="24"/>
                <w:szCs w:val="24"/>
              </w:rPr>
              <w:t>x</w:t>
            </w:r>
          </w:p>
        </w:tc>
        <w:tc>
          <w:tcPr>
            <w:tcW w:w="1176" w:type="dxa"/>
          </w:tcPr>
          <w:p w:rsidR="00921645" w:rsidRPr="00921645" w:rsidRDefault="005A6E6E" w:rsidP="008E2B6C">
            <w:pPr>
              <w:jc w:val="right"/>
              <w:rPr>
                <w:rFonts w:ascii="Times New Roman" w:hAnsi="Times New Roman" w:cs="Times New Roman"/>
                <w:sz w:val="24"/>
                <w:szCs w:val="24"/>
              </w:rPr>
            </w:pPr>
            <w:r>
              <w:rPr>
                <w:rFonts w:ascii="Times New Roman" w:hAnsi="Times New Roman" w:cs="Times New Roman"/>
                <w:sz w:val="24"/>
                <w:szCs w:val="24"/>
              </w:rPr>
              <w:t>10</w:t>
            </w:r>
            <w:r w:rsidR="004562C7">
              <w:rPr>
                <w:rFonts w:ascii="Times New Roman" w:hAnsi="Times New Roman" w:cs="Times New Roman"/>
                <w:sz w:val="24"/>
                <w:szCs w:val="24"/>
              </w:rPr>
              <w:t> </w:t>
            </w:r>
            <w:r>
              <w:rPr>
                <w:rFonts w:ascii="Times New Roman" w:hAnsi="Times New Roman" w:cs="Times New Roman"/>
                <w:sz w:val="24"/>
                <w:szCs w:val="24"/>
              </w:rPr>
              <w:t>103</w:t>
            </w:r>
            <w:r w:rsidR="004562C7">
              <w:rPr>
                <w:rFonts w:ascii="Times New Roman" w:hAnsi="Times New Roman" w:cs="Times New Roman"/>
                <w:sz w:val="24"/>
                <w:szCs w:val="24"/>
              </w:rPr>
              <w:t>.</w:t>
            </w:r>
            <w:r>
              <w:rPr>
                <w:rFonts w:ascii="Times New Roman" w:hAnsi="Times New Roman" w:cs="Times New Roman"/>
                <w:sz w:val="24"/>
                <w:szCs w:val="24"/>
              </w:rPr>
              <w:t>52</w:t>
            </w:r>
          </w:p>
        </w:tc>
        <w:tc>
          <w:tcPr>
            <w:tcW w:w="1056" w:type="dxa"/>
          </w:tcPr>
          <w:p w:rsidR="00921645" w:rsidRPr="00921645" w:rsidRDefault="008E2B6C" w:rsidP="008E2B6C">
            <w:pPr>
              <w:jc w:val="right"/>
              <w:rPr>
                <w:rFonts w:ascii="Times New Roman" w:hAnsi="Times New Roman" w:cs="Times New Roman"/>
                <w:sz w:val="24"/>
                <w:szCs w:val="24"/>
              </w:rPr>
            </w:pPr>
            <w:r>
              <w:rPr>
                <w:rFonts w:ascii="Times New Roman" w:hAnsi="Times New Roman" w:cs="Times New Roman"/>
                <w:sz w:val="24"/>
                <w:szCs w:val="24"/>
              </w:rPr>
              <w:t>8</w:t>
            </w:r>
            <w:r w:rsidR="004562C7">
              <w:rPr>
                <w:rFonts w:ascii="Times New Roman" w:hAnsi="Times New Roman" w:cs="Times New Roman"/>
                <w:sz w:val="24"/>
                <w:szCs w:val="24"/>
              </w:rPr>
              <w:t> </w:t>
            </w:r>
            <w:r>
              <w:rPr>
                <w:rFonts w:ascii="Times New Roman" w:hAnsi="Times New Roman" w:cs="Times New Roman"/>
                <w:sz w:val="24"/>
                <w:szCs w:val="24"/>
              </w:rPr>
              <w:t>175</w:t>
            </w:r>
            <w:r w:rsidR="004562C7">
              <w:rPr>
                <w:rFonts w:ascii="Times New Roman" w:hAnsi="Times New Roman" w:cs="Times New Roman"/>
                <w:sz w:val="24"/>
                <w:szCs w:val="24"/>
              </w:rPr>
              <w:t>.</w:t>
            </w:r>
            <w:r>
              <w:rPr>
                <w:rFonts w:ascii="Times New Roman" w:hAnsi="Times New Roman" w:cs="Times New Roman"/>
                <w:sz w:val="24"/>
                <w:szCs w:val="24"/>
              </w:rPr>
              <w:t>03</w:t>
            </w:r>
          </w:p>
        </w:tc>
        <w:tc>
          <w:tcPr>
            <w:tcW w:w="876" w:type="dxa"/>
          </w:tcPr>
          <w:p w:rsidR="00921645" w:rsidRPr="00921645" w:rsidRDefault="008E2B6C" w:rsidP="008E2B6C">
            <w:pPr>
              <w:jc w:val="right"/>
              <w:rPr>
                <w:rFonts w:ascii="Times New Roman" w:hAnsi="Times New Roman" w:cs="Times New Roman"/>
                <w:sz w:val="24"/>
                <w:szCs w:val="24"/>
              </w:rPr>
            </w:pPr>
            <w:r>
              <w:rPr>
                <w:rFonts w:ascii="Times New Roman" w:hAnsi="Times New Roman" w:cs="Times New Roman"/>
                <w:sz w:val="24"/>
                <w:szCs w:val="24"/>
              </w:rPr>
              <w:t>984</w:t>
            </w:r>
            <w:r w:rsidR="004562C7">
              <w:rPr>
                <w:rFonts w:ascii="Times New Roman" w:hAnsi="Times New Roman" w:cs="Times New Roman"/>
                <w:sz w:val="24"/>
                <w:szCs w:val="24"/>
              </w:rPr>
              <w:t>.</w:t>
            </w:r>
            <w:r>
              <w:rPr>
                <w:rFonts w:ascii="Times New Roman" w:hAnsi="Times New Roman" w:cs="Times New Roman"/>
                <w:sz w:val="24"/>
                <w:szCs w:val="24"/>
              </w:rPr>
              <w:t>48</w:t>
            </w:r>
          </w:p>
        </w:tc>
        <w:tc>
          <w:tcPr>
            <w:tcW w:w="995" w:type="dxa"/>
          </w:tcPr>
          <w:p w:rsidR="00921645" w:rsidRPr="00921645" w:rsidRDefault="005A6E6E" w:rsidP="008E2B6C">
            <w:pPr>
              <w:jc w:val="right"/>
              <w:rPr>
                <w:rFonts w:ascii="Times New Roman" w:hAnsi="Times New Roman" w:cs="Times New Roman"/>
                <w:sz w:val="24"/>
                <w:szCs w:val="24"/>
              </w:rPr>
            </w:pPr>
            <w:r>
              <w:rPr>
                <w:rFonts w:ascii="Times New Roman" w:hAnsi="Times New Roman" w:cs="Times New Roman"/>
                <w:sz w:val="24"/>
                <w:szCs w:val="24"/>
              </w:rPr>
              <w:t>11 088</w:t>
            </w:r>
          </w:p>
        </w:tc>
      </w:tr>
    </w:tbl>
    <w:p w:rsidR="000E276F" w:rsidRDefault="0089286F" w:rsidP="00265073">
      <w:pPr>
        <w:spacing w:after="0" w:line="240" w:lineRule="auto"/>
        <w:jc w:val="both"/>
        <w:rPr>
          <w:rFonts w:ascii="Times New Roman" w:hAnsi="Times New Roman" w:cs="Times New Roman"/>
          <w:sz w:val="24"/>
          <w:szCs w:val="24"/>
        </w:rPr>
      </w:pPr>
      <w:r w:rsidRPr="0089286F">
        <w:rPr>
          <w:rFonts w:ascii="Times New Roman" w:hAnsi="Times New Roman" w:cs="Times New Roman"/>
          <w:sz w:val="24"/>
          <w:szCs w:val="24"/>
        </w:rPr>
        <w:t>*</w:t>
      </w:r>
      <w:r>
        <w:rPr>
          <w:rFonts w:ascii="Times New Roman" w:hAnsi="Times New Roman" w:cs="Times New Roman"/>
          <w:sz w:val="24"/>
          <w:szCs w:val="24"/>
        </w:rPr>
        <w:t>s</w:t>
      </w:r>
      <w:r w:rsidRPr="0089286F">
        <w:rPr>
          <w:rFonts w:ascii="Times New Roman" w:hAnsi="Times New Roman" w:cs="Times New Roman"/>
          <w:sz w:val="24"/>
          <w:szCs w:val="24"/>
        </w:rPr>
        <w:t>tundas likme atbilstoši EUSBSR projektu izstrādāšanas instrumenta rokasgrāmatai</w:t>
      </w:r>
    </w:p>
    <w:p w:rsidR="0089286F" w:rsidRPr="0089286F" w:rsidRDefault="0089286F" w:rsidP="00265073">
      <w:pPr>
        <w:spacing w:after="0" w:line="240" w:lineRule="auto"/>
        <w:jc w:val="both"/>
        <w:rPr>
          <w:rFonts w:ascii="Times New Roman" w:hAnsi="Times New Roman" w:cs="Times New Roman"/>
          <w:sz w:val="24"/>
          <w:szCs w:val="24"/>
        </w:rPr>
      </w:pPr>
      <w:r w:rsidRPr="0089286F">
        <w:rPr>
          <w:rFonts w:ascii="Times New Roman" w:hAnsi="Times New Roman" w:cs="Times New Roman"/>
          <w:sz w:val="24"/>
          <w:szCs w:val="24"/>
        </w:rPr>
        <w:t>** stundas likme atbilstoši Ministru kabineta</w:t>
      </w:r>
      <w:r>
        <w:rPr>
          <w:rFonts w:ascii="Times New Roman" w:hAnsi="Times New Roman" w:cs="Times New Roman"/>
          <w:sz w:val="24"/>
          <w:szCs w:val="24"/>
        </w:rPr>
        <w:t xml:space="preserve">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29.janvāra noteikumiem</w:t>
      </w:r>
      <w:r w:rsidRPr="0089286F">
        <w:rPr>
          <w:rFonts w:ascii="Times New Roman" w:hAnsi="Times New Roman" w:cs="Times New Roman"/>
          <w:sz w:val="24"/>
          <w:szCs w:val="24"/>
        </w:rPr>
        <w:t xml:space="preserve"> Nr.66</w:t>
      </w:r>
    </w:p>
    <w:p w:rsidR="0089286F" w:rsidRDefault="0089286F" w:rsidP="00265073">
      <w:pPr>
        <w:spacing w:after="0" w:line="240" w:lineRule="auto"/>
        <w:jc w:val="both"/>
        <w:rPr>
          <w:rFonts w:ascii="Times New Roman" w:hAnsi="Times New Roman" w:cs="Times New Roman"/>
          <w:sz w:val="28"/>
          <w:szCs w:val="28"/>
        </w:rPr>
      </w:pPr>
    </w:p>
    <w:p w:rsidR="009D46F4" w:rsidRDefault="009D46F4" w:rsidP="00265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Vecākais eksperts uz 0,2 slodzi galvenokārt pildīs grāmatveža funkcijas, tādēļ viņa pakalpojumi būs nepieciešami tikai noteiktu funkciju veikšanai. Ar projekta vadītāju un vecāko ekspertu tiks noslēgts terminēts līgums </w:t>
      </w:r>
      <w:r w:rsidR="000B17EC">
        <w:rPr>
          <w:rFonts w:ascii="Times New Roman" w:hAnsi="Times New Roman" w:cs="Times New Roman"/>
          <w:sz w:val="28"/>
          <w:szCs w:val="28"/>
        </w:rPr>
        <w:t>par konkrētu pienākumu pildīšanu uz projekta darbības laiku, esošo amata vietu ietvaros</w:t>
      </w:r>
      <w:r>
        <w:rPr>
          <w:rFonts w:ascii="Times New Roman" w:hAnsi="Times New Roman" w:cs="Times New Roman"/>
          <w:sz w:val="28"/>
          <w:szCs w:val="28"/>
        </w:rPr>
        <w:t>.</w:t>
      </w:r>
    </w:p>
    <w:p w:rsidR="00324E47" w:rsidRPr="00DD2E29" w:rsidRDefault="006066FB" w:rsidP="00DD2E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Pr="00482165">
        <w:rPr>
          <w:rFonts w:ascii="Times New Roman" w:hAnsi="Times New Roman" w:cs="Times New Roman"/>
          <w:sz w:val="28"/>
          <w:szCs w:val="28"/>
        </w:rPr>
        <w:t>rojektu izstrādāšanas</w:t>
      </w:r>
      <w:r>
        <w:rPr>
          <w:rFonts w:ascii="Times New Roman" w:hAnsi="Times New Roman" w:cs="Times New Roman"/>
          <w:sz w:val="28"/>
          <w:szCs w:val="28"/>
        </w:rPr>
        <w:t xml:space="preserve"> instrumenta</w:t>
      </w:r>
      <w:r>
        <w:rPr>
          <w:rFonts w:ascii="Times New Roman" w:hAnsi="Times New Roman" w:cs="Times New Roman"/>
          <w:i/>
          <w:sz w:val="28"/>
          <w:szCs w:val="28"/>
        </w:rPr>
        <w:t xml:space="preserve"> </w:t>
      </w:r>
      <w:r w:rsidRPr="00DA321F">
        <w:rPr>
          <w:rFonts w:ascii="Times New Roman" w:hAnsi="Times New Roman" w:cs="Times New Roman"/>
          <w:sz w:val="28"/>
          <w:szCs w:val="28"/>
        </w:rPr>
        <w:t xml:space="preserve">projekta </w:t>
      </w:r>
      <w:proofErr w:type="spellStart"/>
      <w:r w:rsidRPr="00892A93">
        <w:rPr>
          <w:rFonts w:ascii="Times New Roman" w:hAnsi="Times New Roman" w:cs="Times New Roman"/>
          <w:i/>
          <w:sz w:val="28"/>
          <w:szCs w:val="28"/>
        </w:rPr>
        <w:t>InnoHealth</w:t>
      </w:r>
      <w:proofErr w:type="spellEnd"/>
      <w:r w:rsidR="00324E47" w:rsidRPr="00DD2E29">
        <w:rPr>
          <w:rFonts w:ascii="Times New Roman" w:hAnsi="Times New Roman" w:cs="Times New Roman"/>
          <w:sz w:val="28"/>
          <w:szCs w:val="28"/>
        </w:rPr>
        <w:t xml:space="preserve"> tāmē izdevumi paredzēti personāla atlīdzībai, komandējumiem, semināru un sanāksmju organizēšanai un atsevišķa budžeta līnija citiem izdevumiem, kas atbilstoši Latvijas izdevumu kodēšanas sistēmai atbilst </w:t>
      </w:r>
      <w:r w:rsidR="00B45E7F">
        <w:rPr>
          <w:rFonts w:ascii="Times New Roman" w:hAnsi="Times New Roman" w:cs="Times New Roman"/>
          <w:sz w:val="28"/>
          <w:szCs w:val="28"/>
        </w:rPr>
        <w:t>ekonomiskās klasifikācijas kodam 2000</w:t>
      </w:r>
      <w:r w:rsidR="00B45E7F">
        <w:t> </w:t>
      </w:r>
      <w:r w:rsidR="009320FF" w:rsidRPr="009320FF">
        <w:rPr>
          <w:rFonts w:ascii="Times New Roman" w:hAnsi="Times New Roman" w:cs="Times New Roman"/>
          <w:sz w:val="28"/>
          <w:szCs w:val="28"/>
        </w:rPr>
        <w:t>“</w:t>
      </w:r>
      <w:r w:rsidR="00324E47" w:rsidRPr="00DD2E29">
        <w:rPr>
          <w:rFonts w:ascii="Times New Roman" w:hAnsi="Times New Roman" w:cs="Times New Roman"/>
          <w:sz w:val="28"/>
          <w:szCs w:val="28"/>
        </w:rPr>
        <w:t>Preces un pakalpojumi”. Lielākie izdevumi paredzēti komandējumiem un semināra organizēša</w:t>
      </w:r>
      <w:r w:rsidR="00B45E7F">
        <w:rPr>
          <w:rFonts w:ascii="Times New Roman" w:hAnsi="Times New Roman" w:cs="Times New Roman"/>
          <w:sz w:val="28"/>
          <w:szCs w:val="28"/>
        </w:rPr>
        <w:t>nai. Projekta laikā paredzētas trīs</w:t>
      </w:r>
      <w:r w:rsidR="00324E47" w:rsidRPr="00DD2E29">
        <w:rPr>
          <w:rFonts w:ascii="Times New Roman" w:hAnsi="Times New Roman" w:cs="Times New Roman"/>
          <w:sz w:val="28"/>
          <w:szCs w:val="28"/>
        </w:rPr>
        <w:t xml:space="preserve"> projekta vadības grupas sanāksmes, kā arī paredzēts apmeklēt Baltijas jūras reģionu valstu veselības aprūpes politikas veidotājus, lai noskaidrotu katras valsts vajadzības un vēlmes da</w:t>
      </w:r>
      <w:r w:rsidR="00A9297D">
        <w:rPr>
          <w:rFonts w:ascii="Times New Roman" w:hAnsi="Times New Roman" w:cs="Times New Roman"/>
          <w:sz w:val="28"/>
          <w:szCs w:val="28"/>
        </w:rPr>
        <w:t>lībai galvenajā projektā. 2016.</w:t>
      </w:r>
      <w:r w:rsidR="00324E47" w:rsidRPr="00DD2E29">
        <w:rPr>
          <w:rFonts w:ascii="Times New Roman" w:hAnsi="Times New Roman" w:cs="Times New Roman"/>
          <w:sz w:val="28"/>
          <w:szCs w:val="28"/>
        </w:rPr>
        <w:t>ga</w:t>
      </w:r>
      <w:r w:rsidR="00A9297D">
        <w:rPr>
          <w:rFonts w:ascii="Times New Roman" w:hAnsi="Times New Roman" w:cs="Times New Roman"/>
          <w:sz w:val="28"/>
          <w:szCs w:val="28"/>
        </w:rPr>
        <w:t>da decembrī Rīgā plānots organizēt divu</w:t>
      </w:r>
      <w:r w:rsidR="00324E47" w:rsidRPr="00DD2E29">
        <w:rPr>
          <w:rFonts w:ascii="Times New Roman" w:hAnsi="Times New Roman" w:cs="Times New Roman"/>
          <w:sz w:val="28"/>
          <w:szCs w:val="28"/>
        </w:rPr>
        <w:t xml:space="preserve"> dienu semināru par projekta rezultātiem un sanāksmi, kurā </w:t>
      </w:r>
      <w:r w:rsidR="00A9297D">
        <w:rPr>
          <w:rFonts w:ascii="Times New Roman" w:hAnsi="Times New Roman" w:cs="Times New Roman"/>
          <w:sz w:val="28"/>
          <w:szCs w:val="28"/>
        </w:rPr>
        <w:t xml:space="preserve">plānots ka </w:t>
      </w:r>
      <w:r w:rsidR="00324E47" w:rsidRPr="00DD2E29">
        <w:rPr>
          <w:rFonts w:ascii="Times New Roman" w:hAnsi="Times New Roman" w:cs="Times New Roman"/>
          <w:sz w:val="28"/>
          <w:szCs w:val="28"/>
        </w:rPr>
        <w:t xml:space="preserve">piedalīsies visi galvenā projekta </w:t>
      </w:r>
      <w:r w:rsidR="00324E47" w:rsidRPr="00A9297D">
        <w:rPr>
          <w:rFonts w:ascii="Times New Roman" w:hAnsi="Times New Roman" w:cs="Times New Roman"/>
          <w:i/>
          <w:sz w:val="28"/>
          <w:szCs w:val="28"/>
        </w:rPr>
        <w:t>InnoHealth</w:t>
      </w:r>
      <w:r w:rsidR="00324E47" w:rsidRPr="00DD2E29">
        <w:rPr>
          <w:rFonts w:ascii="Times New Roman" w:hAnsi="Times New Roman" w:cs="Times New Roman"/>
          <w:sz w:val="28"/>
          <w:szCs w:val="28"/>
        </w:rPr>
        <w:t xml:space="preserve"> konsorcija partneri. </w:t>
      </w:r>
    </w:p>
    <w:p w:rsidR="00324E47" w:rsidRPr="00616202" w:rsidRDefault="00324E47" w:rsidP="005406DE">
      <w:pPr>
        <w:spacing w:after="0" w:line="240" w:lineRule="auto"/>
        <w:ind w:firstLine="720"/>
        <w:jc w:val="both"/>
        <w:rPr>
          <w:rFonts w:ascii="Times New Roman" w:hAnsi="Times New Roman" w:cs="Times New Roman"/>
          <w:sz w:val="28"/>
          <w:szCs w:val="28"/>
        </w:rPr>
      </w:pPr>
      <w:r w:rsidRPr="00616202">
        <w:rPr>
          <w:rFonts w:ascii="Times New Roman" w:hAnsi="Times New Roman" w:cs="Times New Roman"/>
          <w:sz w:val="28"/>
          <w:szCs w:val="28"/>
        </w:rPr>
        <w:t>Dalība sēklas naudas projektos n</w:t>
      </w:r>
      <w:r w:rsidR="00616202" w:rsidRPr="00616202">
        <w:rPr>
          <w:rFonts w:ascii="Times New Roman" w:hAnsi="Times New Roman" w:cs="Times New Roman"/>
          <w:sz w:val="28"/>
          <w:szCs w:val="28"/>
        </w:rPr>
        <w:t xml:space="preserve">odrošina </w:t>
      </w:r>
      <w:r w:rsidRPr="00616202">
        <w:rPr>
          <w:rFonts w:ascii="Times New Roman" w:hAnsi="Times New Roman" w:cs="Times New Roman"/>
          <w:sz w:val="28"/>
          <w:szCs w:val="28"/>
        </w:rPr>
        <w:t xml:space="preserve">iespēju iegūt ne tikai jaunāko informāciju par citu valstu pieredzi racionālas veselības aprūpes sistēmas veidošanā, bet arī iesaistīties to veidošanā. NVD jau ir iepriekšēja pieredze Baltijas jūras reģiona transnacionālās sadarbības programmas </w:t>
      </w:r>
      <w:r w:rsidR="00616202">
        <w:rPr>
          <w:rFonts w:ascii="Times New Roman" w:hAnsi="Times New Roman" w:cs="Times New Roman"/>
          <w:sz w:val="28"/>
          <w:szCs w:val="28"/>
        </w:rPr>
        <w:t>projektu (projekts </w:t>
      </w:r>
      <w:proofErr w:type="spellStart"/>
      <w:r w:rsidRPr="00616202">
        <w:rPr>
          <w:rFonts w:ascii="Times New Roman" w:hAnsi="Times New Roman" w:cs="Times New Roman"/>
          <w:sz w:val="28"/>
          <w:szCs w:val="28"/>
        </w:rPr>
        <w:t>ImPrim</w:t>
      </w:r>
      <w:proofErr w:type="spellEnd"/>
      <w:r w:rsidRPr="00616202">
        <w:rPr>
          <w:rFonts w:ascii="Times New Roman" w:hAnsi="Times New Roman" w:cs="Times New Roman"/>
          <w:sz w:val="28"/>
          <w:szCs w:val="28"/>
        </w:rPr>
        <w:t xml:space="preserve"> </w:t>
      </w:r>
      <w:r w:rsidR="00616202">
        <w:rPr>
          <w:rFonts w:ascii="Times New Roman" w:hAnsi="Times New Roman" w:cs="Times New Roman"/>
          <w:sz w:val="28"/>
          <w:szCs w:val="28"/>
        </w:rPr>
        <w:t xml:space="preserve">un </w:t>
      </w:r>
      <w:r w:rsidR="00616202" w:rsidRPr="00104C8E">
        <w:rPr>
          <w:rFonts w:ascii="Times New Roman" w:hAnsi="Times New Roman" w:cs="Times New Roman"/>
          <w:sz w:val="28"/>
          <w:szCs w:val="28"/>
        </w:rPr>
        <w:t xml:space="preserve">projekts </w:t>
      </w:r>
      <w:r w:rsidR="009320FF" w:rsidRPr="009320FF">
        <w:rPr>
          <w:rFonts w:ascii="Times New Roman" w:hAnsi="Times New Roman" w:cs="Times New Roman"/>
          <w:sz w:val="28"/>
          <w:szCs w:val="28"/>
        </w:rPr>
        <w:t>“</w:t>
      </w:r>
      <w:r w:rsidR="00616202" w:rsidRPr="00104C8E">
        <w:rPr>
          <w:rFonts w:ascii="Times New Roman" w:hAnsi="Times New Roman" w:cs="Times New Roman"/>
          <w:sz w:val="28"/>
          <w:szCs w:val="28"/>
        </w:rPr>
        <w:t>Sociālo apstākļu uzlabošana primārās veselības aprūpes pakalpojumu sniedzējiem Baltijas jūras reģiona valstu mazapdzīvotos rajonos ar tele-konsultāciju un tele-mentoringa ieviešanu, novēršot veselības aprūpes profesionāļu aizbraukšanu no mazapdzīvotām teritorijām, kā arī viņu profesionālo izolētību (PrimCareIT)”</w:t>
      </w:r>
      <w:r w:rsidRPr="00616202">
        <w:rPr>
          <w:rFonts w:ascii="Times New Roman" w:hAnsi="Times New Roman" w:cs="Times New Roman"/>
          <w:sz w:val="28"/>
          <w:szCs w:val="28"/>
        </w:rPr>
        <w:t xml:space="preserve">) īstenošanā un uz zinātniskiem pierādījumiem balstītu un labākajai starptautiskajai praksei atbilstošu </w:t>
      </w:r>
      <w:r w:rsidRPr="00616202">
        <w:rPr>
          <w:rFonts w:ascii="Times New Roman" w:hAnsi="Times New Roman" w:cs="Times New Roman"/>
          <w:sz w:val="28"/>
          <w:szCs w:val="28"/>
        </w:rPr>
        <w:lastRenderedPageBreak/>
        <w:t xml:space="preserve">priekšlikumu sagatavošanā veselības aprūpes un sabiedrības veselības politikas veidošanai Latvijā. </w:t>
      </w:r>
    </w:p>
    <w:p w:rsidR="005406DE" w:rsidRDefault="00324E47" w:rsidP="005406DE">
      <w:pPr>
        <w:spacing w:after="0" w:line="240" w:lineRule="auto"/>
        <w:ind w:firstLine="720"/>
        <w:jc w:val="both"/>
        <w:rPr>
          <w:rFonts w:ascii="Times New Roman" w:hAnsi="Times New Roman" w:cs="Times New Roman"/>
          <w:sz w:val="28"/>
          <w:szCs w:val="28"/>
        </w:rPr>
      </w:pPr>
      <w:r w:rsidRPr="00C859B6">
        <w:rPr>
          <w:rFonts w:ascii="Times New Roman" w:hAnsi="Times New Roman" w:cs="Times New Roman"/>
          <w:sz w:val="28"/>
          <w:szCs w:val="28"/>
        </w:rPr>
        <w:t xml:space="preserve">Lai NVD varētu veiksmīgi nodrošināt </w:t>
      </w:r>
      <w:r w:rsidR="00C859B6">
        <w:rPr>
          <w:rFonts w:ascii="Times New Roman" w:hAnsi="Times New Roman" w:cs="Times New Roman"/>
          <w:sz w:val="28"/>
          <w:szCs w:val="28"/>
        </w:rPr>
        <w:t>ESSBJR</w:t>
      </w:r>
      <w:r w:rsidRPr="00C859B6">
        <w:rPr>
          <w:rFonts w:ascii="Times New Roman" w:hAnsi="Times New Roman" w:cs="Times New Roman"/>
          <w:sz w:val="28"/>
          <w:szCs w:val="28"/>
        </w:rPr>
        <w:t xml:space="preserve"> </w:t>
      </w:r>
      <w:r w:rsidR="00C859B6">
        <w:rPr>
          <w:rFonts w:ascii="Times New Roman" w:hAnsi="Times New Roman" w:cs="Times New Roman"/>
          <w:sz w:val="28"/>
          <w:szCs w:val="28"/>
        </w:rPr>
        <w:t>p</w:t>
      </w:r>
      <w:r w:rsidR="00C859B6" w:rsidRPr="00482165">
        <w:rPr>
          <w:rFonts w:ascii="Times New Roman" w:hAnsi="Times New Roman" w:cs="Times New Roman"/>
          <w:sz w:val="28"/>
          <w:szCs w:val="28"/>
        </w:rPr>
        <w:t>rojektu izstrādāšanas</w:t>
      </w:r>
      <w:r w:rsidR="00C859B6">
        <w:rPr>
          <w:rFonts w:ascii="Times New Roman" w:hAnsi="Times New Roman" w:cs="Times New Roman"/>
          <w:sz w:val="28"/>
          <w:szCs w:val="28"/>
        </w:rPr>
        <w:t xml:space="preserve"> instrumenta</w:t>
      </w:r>
      <w:r w:rsidR="00C859B6">
        <w:rPr>
          <w:rFonts w:ascii="Times New Roman" w:hAnsi="Times New Roman" w:cs="Times New Roman"/>
          <w:i/>
          <w:sz w:val="28"/>
          <w:szCs w:val="28"/>
        </w:rPr>
        <w:t xml:space="preserve"> </w:t>
      </w:r>
      <w:r w:rsidR="00C859B6">
        <w:rPr>
          <w:rFonts w:ascii="Times New Roman" w:hAnsi="Times New Roman" w:cs="Times New Roman"/>
          <w:sz w:val="28"/>
          <w:szCs w:val="28"/>
        </w:rPr>
        <w:t>projekta</w:t>
      </w:r>
      <w:r w:rsidR="00C859B6" w:rsidRPr="00DA321F">
        <w:rPr>
          <w:rFonts w:ascii="Times New Roman" w:hAnsi="Times New Roman" w:cs="Times New Roman"/>
          <w:sz w:val="28"/>
          <w:szCs w:val="28"/>
        </w:rPr>
        <w:t xml:space="preserve"> </w:t>
      </w:r>
      <w:proofErr w:type="spellStart"/>
      <w:r w:rsidR="00C859B6" w:rsidRPr="00892A93">
        <w:rPr>
          <w:rFonts w:ascii="Times New Roman" w:hAnsi="Times New Roman" w:cs="Times New Roman"/>
          <w:i/>
          <w:sz w:val="28"/>
          <w:szCs w:val="28"/>
        </w:rPr>
        <w:t>InnoHealth</w:t>
      </w:r>
      <w:proofErr w:type="spellEnd"/>
      <w:r w:rsidR="00C859B6">
        <w:rPr>
          <w:rFonts w:ascii="Times New Roman" w:hAnsi="Times New Roman" w:cs="Times New Roman"/>
          <w:sz w:val="28"/>
          <w:szCs w:val="28"/>
        </w:rPr>
        <w:t xml:space="preserve"> realizāciju</w:t>
      </w:r>
      <w:r w:rsidR="00B07D50" w:rsidRPr="00C859B6">
        <w:rPr>
          <w:rFonts w:ascii="Times New Roman" w:hAnsi="Times New Roman" w:cs="Times New Roman"/>
          <w:sz w:val="28"/>
          <w:szCs w:val="28"/>
        </w:rPr>
        <w:t xml:space="preserve"> ar iespēju</w:t>
      </w:r>
      <w:r w:rsidRPr="00C859B6">
        <w:rPr>
          <w:rFonts w:ascii="Times New Roman" w:hAnsi="Times New Roman" w:cs="Times New Roman"/>
          <w:sz w:val="28"/>
          <w:szCs w:val="28"/>
        </w:rPr>
        <w:t xml:space="preserve"> piedalīties E</w:t>
      </w:r>
      <w:r w:rsidR="00B07D50" w:rsidRPr="00C859B6">
        <w:rPr>
          <w:rFonts w:ascii="Times New Roman" w:hAnsi="Times New Roman" w:cs="Times New Roman"/>
          <w:sz w:val="28"/>
          <w:szCs w:val="28"/>
        </w:rPr>
        <w:t>S līdzfinansētos projektos, kura</w:t>
      </w:r>
      <w:r w:rsidRPr="00C859B6">
        <w:rPr>
          <w:rFonts w:ascii="Times New Roman" w:hAnsi="Times New Roman" w:cs="Times New Roman"/>
          <w:sz w:val="28"/>
          <w:szCs w:val="28"/>
        </w:rPr>
        <w:t xml:space="preserve"> rezultātu ieviešana būtiski ietekmētu veselības aprūpes sistēmas efektivitāti ierobežota finansējuma apstākļos, ir nepieciešams papildus </w:t>
      </w:r>
      <w:r w:rsidRPr="002B7B0F">
        <w:rPr>
          <w:rFonts w:ascii="Times New Roman" w:hAnsi="Times New Roman" w:cs="Times New Roman"/>
          <w:sz w:val="28"/>
          <w:szCs w:val="28"/>
        </w:rPr>
        <w:t>finansējums</w:t>
      </w:r>
      <w:r w:rsidR="004A3C46" w:rsidRPr="002B7B0F">
        <w:rPr>
          <w:rFonts w:ascii="Times New Roman" w:hAnsi="Times New Roman" w:cs="Times New Roman"/>
          <w:sz w:val="28"/>
          <w:szCs w:val="28"/>
        </w:rPr>
        <w:t xml:space="preserve"> programmas 70.00.00 </w:t>
      </w:r>
      <w:r w:rsidR="009320FF" w:rsidRPr="009320FF">
        <w:rPr>
          <w:rFonts w:ascii="Times New Roman" w:hAnsi="Times New Roman" w:cs="Times New Roman"/>
          <w:sz w:val="28"/>
          <w:szCs w:val="28"/>
        </w:rPr>
        <w:t>“</w:t>
      </w:r>
      <w:r w:rsidR="004A3C46" w:rsidRPr="002B7B0F">
        <w:rPr>
          <w:rFonts w:ascii="Times New Roman" w:hAnsi="Times New Roman" w:cs="Times New Roman"/>
          <w:sz w:val="28"/>
          <w:szCs w:val="28"/>
        </w:rPr>
        <w:t xml:space="preserve">Citu Eiropas Savienības politiku instrumentu projektu un pasākumu īstenošana” apakšprogrammā 70.09.00 </w:t>
      </w:r>
      <w:r w:rsidR="009320FF" w:rsidRPr="00D51F4A">
        <w:rPr>
          <w:rFonts w:ascii="Times New Roman" w:hAnsi="Times New Roman" w:cs="Times New Roman"/>
          <w:sz w:val="28"/>
          <w:szCs w:val="28"/>
        </w:rPr>
        <w:t>“</w:t>
      </w:r>
      <w:r w:rsidR="004A3C46" w:rsidRPr="002B7B0F">
        <w:rPr>
          <w:rFonts w:ascii="Times New Roman" w:hAnsi="Times New Roman" w:cs="Times New Roman"/>
          <w:sz w:val="28"/>
          <w:szCs w:val="28"/>
        </w:rPr>
        <w:t>Citu Eiropas Savienības politiku instrumentu projektu un pasākumu īstenošana veselības nozarē”</w:t>
      </w:r>
      <w:r w:rsidRPr="002B7B0F">
        <w:rPr>
          <w:rFonts w:ascii="Times New Roman" w:hAnsi="Times New Roman" w:cs="Times New Roman"/>
          <w:sz w:val="28"/>
          <w:szCs w:val="28"/>
        </w:rPr>
        <w:t xml:space="preserve"> līdzfinansējuma nodrošināšanai 2016. gadā 2 846 EUR</w:t>
      </w:r>
      <w:r w:rsidR="00C859B6" w:rsidRPr="002B7B0F">
        <w:rPr>
          <w:rFonts w:ascii="Times New Roman" w:hAnsi="Times New Roman" w:cs="Times New Roman"/>
          <w:sz w:val="28"/>
          <w:szCs w:val="28"/>
        </w:rPr>
        <w:t xml:space="preserve"> apmērā</w:t>
      </w:r>
      <w:r w:rsidRPr="002B7B0F">
        <w:rPr>
          <w:rFonts w:ascii="Times New Roman" w:hAnsi="Times New Roman" w:cs="Times New Roman"/>
          <w:sz w:val="28"/>
          <w:szCs w:val="28"/>
        </w:rPr>
        <w:t xml:space="preserve"> un 2017. gadā 94 EUR</w:t>
      </w:r>
      <w:r w:rsidR="00C859B6">
        <w:rPr>
          <w:rFonts w:ascii="Times New Roman" w:hAnsi="Times New Roman" w:cs="Times New Roman"/>
          <w:sz w:val="28"/>
          <w:szCs w:val="28"/>
        </w:rPr>
        <w:t xml:space="preserve"> apmērā</w:t>
      </w:r>
      <w:r w:rsidRPr="00C859B6">
        <w:rPr>
          <w:rFonts w:ascii="Times New Roman" w:hAnsi="Times New Roman" w:cs="Times New Roman"/>
          <w:sz w:val="28"/>
          <w:szCs w:val="28"/>
        </w:rPr>
        <w:t xml:space="preserve">, kura piešķiršanai, atbilstoši Likuma par budžetu un finanšu vadību </w:t>
      </w:r>
      <w:proofErr w:type="gramStart"/>
      <w:r w:rsidRPr="00C859B6">
        <w:rPr>
          <w:rFonts w:ascii="Times New Roman" w:hAnsi="Times New Roman" w:cs="Times New Roman"/>
          <w:sz w:val="28"/>
          <w:szCs w:val="28"/>
        </w:rPr>
        <w:t>24.panta</w:t>
      </w:r>
      <w:proofErr w:type="gramEnd"/>
      <w:r w:rsidRPr="00C859B6">
        <w:rPr>
          <w:rFonts w:ascii="Times New Roman" w:hAnsi="Times New Roman" w:cs="Times New Roman"/>
          <w:sz w:val="28"/>
          <w:szCs w:val="28"/>
        </w:rPr>
        <w:t xml:space="preserve"> trešajai daļai, ir nepieciešams attiecīgs Ministru kabineta lēmums.</w:t>
      </w:r>
    </w:p>
    <w:p w:rsidR="00B00107" w:rsidRDefault="00B00107" w:rsidP="005406DE">
      <w:pPr>
        <w:spacing w:after="0" w:line="240" w:lineRule="auto"/>
        <w:ind w:firstLine="720"/>
        <w:jc w:val="both"/>
        <w:rPr>
          <w:rFonts w:ascii="Times New Roman" w:hAnsi="Times New Roman" w:cs="Times New Roman"/>
          <w:sz w:val="28"/>
          <w:szCs w:val="28"/>
        </w:rPr>
      </w:pPr>
    </w:p>
    <w:p w:rsidR="005802DF" w:rsidRDefault="005802DF" w:rsidP="005406DE">
      <w:pPr>
        <w:spacing w:after="0" w:line="240" w:lineRule="auto"/>
        <w:ind w:firstLine="720"/>
        <w:jc w:val="both"/>
        <w:rPr>
          <w:rFonts w:ascii="Times New Roman" w:hAnsi="Times New Roman" w:cs="Times New Roman"/>
          <w:sz w:val="28"/>
          <w:szCs w:val="28"/>
        </w:rPr>
      </w:pPr>
    </w:p>
    <w:p w:rsidR="00B00107" w:rsidRDefault="00B00107" w:rsidP="00580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02DF">
        <w:rPr>
          <w:rFonts w:ascii="Times New Roman" w:hAnsi="Times New Roman" w:cs="Times New Roman"/>
          <w:sz w:val="28"/>
          <w:szCs w:val="28"/>
        </w:rPr>
        <w:tab/>
      </w:r>
      <w:r>
        <w:rPr>
          <w:rFonts w:ascii="Times New Roman" w:hAnsi="Times New Roman" w:cs="Times New Roman"/>
          <w:sz w:val="28"/>
          <w:szCs w:val="28"/>
        </w:rPr>
        <w:t>G.Belēvičs</w:t>
      </w:r>
    </w:p>
    <w:p w:rsidR="005802DF" w:rsidRDefault="005802DF" w:rsidP="005406DE">
      <w:pPr>
        <w:spacing w:after="0" w:line="240" w:lineRule="auto"/>
        <w:ind w:firstLine="720"/>
        <w:jc w:val="both"/>
        <w:rPr>
          <w:rFonts w:ascii="Times New Roman" w:hAnsi="Times New Roman" w:cs="Times New Roman"/>
          <w:sz w:val="28"/>
          <w:szCs w:val="28"/>
        </w:rPr>
      </w:pPr>
    </w:p>
    <w:p w:rsidR="005802DF" w:rsidRDefault="005802DF" w:rsidP="005406DE">
      <w:pPr>
        <w:spacing w:after="0" w:line="240" w:lineRule="auto"/>
        <w:ind w:firstLine="720"/>
        <w:jc w:val="both"/>
        <w:rPr>
          <w:rFonts w:ascii="Times New Roman" w:hAnsi="Times New Roman" w:cs="Times New Roman"/>
          <w:sz w:val="28"/>
          <w:szCs w:val="28"/>
        </w:rPr>
      </w:pPr>
    </w:p>
    <w:p w:rsidR="008A18D5" w:rsidRDefault="0005037F"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06.01.2016 11:52</w:t>
      </w:r>
    </w:p>
    <w:p w:rsidR="005802DF" w:rsidRDefault="0005037F"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1587</w:t>
      </w:r>
    </w:p>
    <w:p w:rsidR="005802DF" w:rsidRDefault="005802DF"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I.Andersone</w:t>
      </w:r>
    </w:p>
    <w:p w:rsidR="005802DF" w:rsidRPr="005802DF" w:rsidRDefault="005802DF"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67876187, Inese.Andersone@vm.gov.lv</w:t>
      </w:r>
    </w:p>
    <w:sectPr w:rsidR="005802DF" w:rsidRPr="005802DF" w:rsidSect="00197747">
      <w:headerReference w:type="default" r:id="rId9"/>
      <w:footerReference w:type="default" r:id="rId10"/>
      <w:footerReference w:type="first" r:id="rId11"/>
      <w:pgSz w:w="11906" w:h="16838"/>
      <w:pgMar w:top="1418" w:right="1134" w:bottom="1134" w:left="1701" w:header="79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2A" w:rsidRDefault="00751A2A" w:rsidP="00324E47">
      <w:pPr>
        <w:spacing w:after="0" w:line="240" w:lineRule="auto"/>
      </w:pPr>
      <w:r>
        <w:separator/>
      </w:r>
    </w:p>
  </w:endnote>
  <w:endnote w:type="continuationSeparator" w:id="0">
    <w:p w:rsidR="00751A2A" w:rsidRDefault="00751A2A" w:rsidP="0032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2" w:rsidRPr="00361A8A" w:rsidRDefault="000D6C43" w:rsidP="00361A8A">
    <w:pPr>
      <w:pStyle w:val="Footer"/>
      <w:jc w:val="both"/>
      <w:rPr>
        <w:rFonts w:ascii="Times New Roman" w:hAnsi="Times New Roman" w:cs="Times New Roman"/>
        <w:sz w:val="24"/>
        <w:szCs w:val="24"/>
      </w:rPr>
    </w:pPr>
    <w:r w:rsidRPr="00C446A2">
      <w:rPr>
        <w:rFonts w:ascii="Times New Roman" w:hAnsi="Times New Roman" w:cs="Times New Roman"/>
        <w:sz w:val="24"/>
        <w:szCs w:val="24"/>
      </w:rPr>
      <w:t>VMzino_</w:t>
    </w:r>
    <w:r w:rsidR="000B17EC">
      <w:rPr>
        <w:rFonts w:ascii="Times New Roman" w:hAnsi="Times New Roman" w:cs="Times New Roman"/>
        <w:sz w:val="24"/>
        <w:szCs w:val="24"/>
      </w:rPr>
      <w:t>06</w:t>
    </w:r>
    <w:r w:rsidR="0061190E">
      <w:rPr>
        <w:rFonts w:ascii="Times New Roman" w:hAnsi="Times New Roman" w:cs="Times New Roman"/>
        <w:sz w:val="24"/>
        <w:szCs w:val="24"/>
      </w:rPr>
      <w:t>0116</w:t>
    </w:r>
    <w:r w:rsidRPr="00C446A2">
      <w:rPr>
        <w:rFonts w:ascii="Times New Roman" w:hAnsi="Times New Roman" w:cs="Times New Roman"/>
        <w:sz w:val="24"/>
        <w:szCs w:val="24"/>
      </w:rPr>
      <w:t>_In</w:t>
    </w:r>
    <w:r>
      <w:rPr>
        <w:rFonts w:ascii="Times New Roman" w:hAnsi="Times New Roman" w:cs="Times New Roman"/>
        <w:sz w:val="24"/>
        <w:szCs w:val="24"/>
      </w:rPr>
      <w:t>no</w:t>
    </w:r>
    <w:r w:rsidRPr="00C446A2">
      <w:rPr>
        <w:rFonts w:ascii="Times New Roman" w:hAnsi="Times New Roman" w:cs="Times New Roman"/>
        <w:sz w:val="24"/>
        <w:szCs w:val="24"/>
      </w:rPr>
      <w:t>Health</w:t>
    </w:r>
    <w:r w:rsidR="00361A8A" w:rsidRPr="00C446A2">
      <w:rPr>
        <w:rFonts w:ascii="Times New Roman" w:hAnsi="Times New Roman" w:cs="Times New Roman"/>
        <w:sz w:val="24"/>
        <w:szCs w:val="24"/>
      </w:rPr>
      <w:t xml:space="preserve">; Informatīvais ziņojums par Eiropas Savienības stratēģijas Baltijas jūras reģionam projektu izstrādāšanas instrumenta projektu </w:t>
    </w:r>
    <w:r w:rsidR="00EB393D">
      <w:rPr>
        <w:rFonts w:ascii="Times New Roman" w:hAnsi="Times New Roman" w:cs="Times New Roman"/>
        <w:sz w:val="24"/>
        <w:szCs w:val="24"/>
        <w:lang w:val="en-GB"/>
      </w:rPr>
      <w:t>“</w:t>
    </w:r>
    <w:r w:rsidR="00B160EE">
      <w:rPr>
        <w:rFonts w:ascii="Times New Roman" w:hAnsi="Times New Roman" w:cs="Times New Roman"/>
        <w:sz w:val="24"/>
        <w:szCs w:val="24"/>
      </w:rPr>
      <w:t>Novēršam</w:t>
    </w:r>
    <w:r w:rsidR="00CE544B">
      <w:rPr>
        <w:rFonts w:ascii="Times New Roman" w:hAnsi="Times New Roman" w:cs="Times New Roman"/>
        <w:sz w:val="24"/>
        <w:szCs w:val="24"/>
      </w:rPr>
      <w:t>a</w:t>
    </w:r>
    <w:r w:rsidR="00B160EE">
      <w:rPr>
        <w:rFonts w:ascii="Times New Roman" w:hAnsi="Times New Roman" w:cs="Times New Roman"/>
        <w:sz w:val="24"/>
        <w:szCs w:val="24"/>
      </w:rPr>
      <w:t>s</w:t>
    </w:r>
    <w:r w:rsidR="00B160EE" w:rsidRPr="00C446A2">
      <w:rPr>
        <w:rFonts w:ascii="Times New Roman" w:hAnsi="Times New Roman" w:cs="Times New Roman"/>
        <w:sz w:val="24"/>
        <w:szCs w:val="24"/>
      </w:rPr>
      <w:t xml:space="preserve"> hospitalizācija</w:t>
    </w:r>
    <w:r w:rsidR="00B160EE">
      <w:rPr>
        <w:rFonts w:ascii="Times New Roman" w:hAnsi="Times New Roman" w:cs="Times New Roman"/>
        <w:sz w:val="24"/>
        <w:szCs w:val="24"/>
      </w:rPr>
      <w:t>s</w:t>
    </w:r>
    <w:r w:rsidR="00361A8A" w:rsidRPr="00C446A2">
      <w:rPr>
        <w:rFonts w:ascii="Times New Roman" w:hAnsi="Times New Roman" w:cs="Times New Roman"/>
        <w:sz w:val="24"/>
        <w:szCs w:val="24"/>
      </w:rPr>
      <w:t xml:space="preserve"> Baltijas jūras reģionā: organizatoriskas un tehnoloģiskas inovācijas primārajā veselības aprūpē, lai paaugstinātu veselības aprūpes sistēmas izmaksu efektivitāti (InnoHealth)”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2" w:rsidRPr="00C446A2" w:rsidRDefault="00C446A2" w:rsidP="00C446A2">
    <w:pPr>
      <w:pStyle w:val="Footer"/>
      <w:jc w:val="both"/>
      <w:rPr>
        <w:rFonts w:ascii="Times New Roman" w:hAnsi="Times New Roman" w:cs="Times New Roman"/>
        <w:sz w:val="24"/>
        <w:szCs w:val="24"/>
      </w:rPr>
    </w:pPr>
    <w:r w:rsidRPr="00C446A2">
      <w:rPr>
        <w:rFonts w:ascii="Times New Roman" w:hAnsi="Times New Roman" w:cs="Times New Roman"/>
        <w:sz w:val="24"/>
        <w:szCs w:val="24"/>
      </w:rPr>
      <w:t>VMzino_</w:t>
    </w:r>
    <w:r w:rsidR="000B17EC">
      <w:rPr>
        <w:rFonts w:ascii="Times New Roman" w:hAnsi="Times New Roman" w:cs="Times New Roman"/>
        <w:sz w:val="24"/>
        <w:szCs w:val="24"/>
      </w:rPr>
      <w:t>06</w:t>
    </w:r>
    <w:r w:rsidR="0061190E">
      <w:rPr>
        <w:rFonts w:ascii="Times New Roman" w:hAnsi="Times New Roman" w:cs="Times New Roman"/>
        <w:sz w:val="24"/>
        <w:szCs w:val="24"/>
      </w:rPr>
      <w:t>0116</w:t>
    </w:r>
    <w:r w:rsidRPr="00C446A2">
      <w:rPr>
        <w:rFonts w:ascii="Times New Roman" w:hAnsi="Times New Roman" w:cs="Times New Roman"/>
        <w:sz w:val="24"/>
        <w:szCs w:val="24"/>
      </w:rPr>
      <w:t>_In</w:t>
    </w:r>
    <w:r w:rsidR="000D6C43">
      <w:rPr>
        <w:rFonts w:ascii="Times New Roman" w:hAnsi="Times New Roman" w:cs="Times New Roman"/>
        <w:sz w:val="24"/>
        <w:szCs w:val="24"/>
      </w:rPr>
      <w:t>no</w:t>
    </w:r>
    <w:r w:rsidRPr="00C446A2">
      <w:rPr>
        <w:rFonts w:ascii="Times New Roman" w:hAnsi="Times New Roman" w:cs="Times New Roman"/>
        <w:sz w:val="24"/>
        <w:szCs w:val="24"/>
      </w:rPr>
      <w:t xml:space="preserve">Health; Informatīvais ziņojums par Eiropas Savienības stratēģijas Baltijas jūras reģionam projektu izstrādāšanas instrumenta projektu </w:t>
    </w:r>
    <w:r w:rsidR="00EB393D">
      <w:rPr>
        <w:rFonts w:ascii="Times New Roman" w:hAnsi="Times New Roman" w:cs="Times New Roman"/>
        <w:sz w:val="24"/>
        <w:szCs w:val="24"/>
        <w:lang w:val="en-GB"/>
      </w:rPr>
      <w:t>“</w:t>
    </w:r>
    <w:r w:rsidR="00B160EE">
      <w:rPr>
        <w:rFonts w:ascii="Times New Roman" w:hAnsi="Times New Roman" w:cs="Times New Roman"/>
        <w:sz w:val="24"/>
        <w:szCs w:val="24"/>
      </w:rPr>
      <w:t>Novēršam</w:t>
    </w:r>
    <w:r w:rsidR="00CE544B">
      <w:rPr>
        <w:rFonts w:ascii="Times New Roman" w:hAnsi="Times New Roman" w:cs="Times New Roman"/>
        <w:sz w:val="24"/>
        <w:szCs w:val="24"/>
      </w:rPr>
      <w:t>a</w:t>
    </w:r>
    <w:r w:rsidR="00B160EE">
      <w:rPr>
        <w:rFonts w:ascii="Times New Roman" w:hAnsi="Times New Roman" w:cs="Times New Roman"/>
        <w:sz w:val="24"/>
        <w:szCs w:val="24"/>
      </w:rPr>
      <w:t>s</w:t>
    </w:r>
    <w:r w:rsidRPr="00C446A2">
      <w:rPr>
        <w:rFonts w:ascii="Times New Roman" w:hAnsi="Times New Roman" w:cs="Times New Roman"/>
        <w:sz w:val="24"/>
        <w:szCs w:val="24"/>
      </w:rPr>
      <w:t xml:space="preserve"> hospitalizācija</w:t>
    </w:r>
    <w:r w:rsidR="00B160EE">
      <w:rPr>
        <w:rFonts w:ascii="Times New Roman" w:hAnsi="Times New Roman" w:cs="Times New Roman"/>
        <w:sz w:val="24"/>
        <w:szCs w:val="24"/>
      </w:rPr>
      <w:t>s</w:t>
    </w:r>
    <w:r w:rsidRPr="00C446A2">
      <w:rPr>
        <w:rFonts w:ascii="Times New Roman" w:hAnsi="Times New Roman" w:cs="Times New Roman"/>
        <w:sz w:val="24"/>
        <w:szCs w:val="24"/>
      </w:rPr>
      <w:t xml:space="preserve"> Baltijas jūras reģionā: organizatoriskas un tehnoloģiskas inovācijas primārajā veselības aprūpē, lai paaugstinātu veselības aprūpes sistēmas izmaksu efektivitāti (InnoHealth)”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2A" w:rsidRDefault="00751A2A" w:rsidP="00324E47">
      <w:pPr>
        <w:spacing w:after="0" w:line="240" w:lineRule="auto"/>
      </w:pPr>
      <w:r>
        <w:separator/>
      </w:r>
    </w:p>
  </w:footnote>
  <w:footnote w:type="continuationSeparator" w:id="0">
    <w:p w:rsidR="00751A2A" w:rsidRDefault="00751A2A" w:rsidP="00324E47">
      <w:pPr>
        <w:spacing w:after="0" w:line="240" w:lineRule="auto"/>
      </w:pPr>
      <w:r>
        <w:continuationSeparator/>
      </w:r>
    </w:p>
  </w:footnote>
  <w:footnote w:id="1">
    <w:p w:rsidR="00751A2A" w:rsidRPr="00F5517C" w:rsidRDefault="00751A2A" w:rsidP="00F5517C">
      <w:pPr>
        <w:pStyle w:val="FootnoteText"/>
        <w:jc w:val="both"/>
        <w:rPr>
          <w:rFonts w:ascii="Times New Roman" w:hAnsi="Times New Roman" w:cs="Times New Roman"/>
        </w:rPr>
      </w:pPr>
      <w:r w:rsidRPr="00F5517C">
        <w:rPr>
          <w:rStyle w:val="FootnoteReference"/>
          <w:rFonts w:ascii="Times New Roman" w:hAnsi="Times New Roman" w:cs="Times New Roman"/>
        </w:rPr>
        <w:footnoteRef/>
      </w:r>
      <w:r w:rsidRPr="00F5517C">
        <w:rPr>
          <w:rFonts w:ascii="Times New Roman" w:hAnsi="Times New Roman" w:cs="Times New Roman"/>
        </w:rPr>
        <w:t> Eiropas Savienības stratēģijas Baltijas jūras reģionam (ESSBJR) mājaslapa: http://www.balticsea-region-strategy.eu/</w:t>
      </w:r>
    </w:p>
  </w:footnote>
  <w:footnote w:id="2">
    <w:p w:rsidR="00751A2A" w:rsidRPr="00F5517C" w:rsidRDefault="00751A2A" w:rsidP="00F5517C">
      <w:pPr>
        <w:pStyle w:val="FootnoteText"/>
        <w:jc w:val="both"/>
        <w:rPr>
          <w:rFonts w:ascii="Times New Roman" w:hAnsi="Times New Roman" w:cs="Times New Roman"/>
        </w:rPr>
      </w:pPr>
      <w:r w:rsidRPr="00F5517C">
        <w:rPr>
          <w:rStyle w:val="FootnoteReference"/>
          <w:rFonts w:ascii="Times New Roman" w:hAnsi="Times New Roman" w:cs="Times New Roman"/>
        </w:rPr>
        <w:footnoteRef/>
      </w:r>
      <w:r w:rsidRPr="00F5517C">
        <w:rPr>
          <w:rFonts w:ascii="Times New Roman" w:hAnsi="Times New Roman" w:cs="Times New Roman"/>
        </w:rPr>
        <w:t xml:space="preserve"> Eiropas Savienības stratēģijas Baltijas jūras reģionam Projektu izstrādāšanas instrumenta (Seed Money Facility) mājaslapa: http://seed.eusbsr.eu/</w:t>
      </w:r>
    </w:p>
  </w:footnote>
  <w:footnote w:id="3">
    <w:p w:rsidR="00751A2A" w:rsidRPr="00F5517C" w:rsidRDefault="00751A2A" w:rsidP="00DA321F">
      <w:pPr>
        <w:pStyle w:val="FootnoteText"/>
        <w:rPr>
          <w:rFonts w:ascii="Times New Roman" w:hAnsi="Times New Roman" w:cs="Times New Roman"/>
        </w:rPr>
      </w:pPr>
      <w:r w:rsidRPr="00F5517C">
        <w:rPr>
          <w:rStyle w:val="FootnoteReference"/>
          <w:rFonts w:ascii="Times New Roman" w:hAnsi="Times New Roman" w:cs="Times New Roman"/>
        </w:rPr>
        <w:footnoteRef/>
      </w:r>
      <w:r w:rsidRPr="00F5517C">
        <w:rPr>
          <w:rFonts w:ascii="Times New Roman" w:hAnsi="Times New Roman" w:cs="Times New Roman"/>
        </w:rPr>
        <w:t xml:space="preserve"> Seed Money Facility Manual, 2013.gada februāris: </w:t>
      </w:r>
      <w:hyperlink r:id="rId1" w:history="1">
        <w:r w:rsidRPr="00F5517C">
          <w:rPr>
            <w:rStyle w:val="Hyperlink"/>
            <w:rFonts w:ascii="Times New Roman" w:hAnsi="Times New Roman" w:cs="Times New Roman"/>
          </w:rPr>
          <w:t>http://seed.eusbsr.eu/images/downloads/2013.03.15_Facility%20Manual_FINAL.pdf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669804"/>
      <w:docPartObj>
        <w:docPartGallery w:val="Page Numbers (Top of Page)"/>
        <w:docPartUnique/>
      </w:docPartObj>
    </w:sdtPr>
    <w:sdtContent>
      <w:p w:rsidR="00751A2A" w:rsidRPr="00BB24AE" w:rsidRDefault="00237BD9">
        <w:pPr>
          <w:pStyle w:val="Header"/>
          <w:jc w:val="center"/>
          <w:rPr>
            <w:rFonts w:ascii="Times New Roman" w:hAnsi="Times New Roman" w:cs="Times New Roman"/>
            <w:sz w:val="24"/>
            <w:szCs w:val="24"/>
          </w:rPr>
        </w:pPr>
        <w:r w:rsidRPr="00BB24AE">
          <w:rPr>
            <w:rFonts w:ascii="Times New Roman" w:hAnsi="Times New Roman" w:cs="Times New Roman"/>
            <w:sz w:val="24"/>
            <w:szCs w:val="24"/>
          </w:rPr>
          <w:fldChar w:fldCharType="begin"/>
        </w:r>
        <w:r w:rsidR="00751A2A" w:rsidRPr="00BB24AE">
          <w:rPr>
            <w:rFonts w:ascii="Times New Roman" w:hAnsi="Times New Roman" w:cs="Times New Roman"/>
            <w:sz w:val="24"/>
            <w:szCs w:val="24"/>
          </w:rPr>
          <w:instrText xml:space="preserve"> PAGE   \* MERGEFORMAT </w:instrText>
        </w:r>
        <w:r w:rsidRPr="00BB24AE">
          <w:rPr>
            <w:rFonts w:ascii="Times New Roman" w:hAnsi="Times New Roman" w:cs="Times New Roman"/>
            <w:sz w:val="24"/>
            <w:szCs w:val="24"/>
          </w:rPr>
          <w:fldChar w:fldCharType="separate"/>
        </w:r>
        <w:r w:rsidR="0005037F">
          <w:rPr>
            <w:rFonts w:ascii="Times New Roman" w:hAnsi="Times New Roman" w:cs="Times New Roman"/>
            <w:noProof/>
            <w:sz w:val="24"/>
            <w:szCs w:val="24"/>
          </w:rPr>
          <w:t>6</w:t>
        </w:r>
        <w:r w:rsidRPr="00BB24AE">
          <w:rPr>
            <w:rFonts w:ascii="Times New Roman" w:hAnsi="Times New Roman" w:cs="Times New Roman"/>
            <w:sz w:val="24"/>
            <w:szCs w:val="24"/>
          </w:rPr>
          <w:fldChar w:fldCharType="end"/>
        </w:r>
      </w:p>
    </w:sdtContent>
  </w:sdt>
  <w:p w:rsidR="00751A2A" w:rsidRDefault="00751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63980"/>
    <w:multiLevelType w:val="hybridMultilevel"/>
    <w:tmpl w:val="36E44B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690E1AC5"/>
    <w:multiLevelType w:val="hybridMultilevel"/>
    <w:tmpl w:val="B75005E8"/>
    <w:lvl w:ilvl="0" w:tplc="0426000F">
      <w:start w:val="1"/>
      <w:numFmt w:val="decimal"/>
      <w:lvlText w:val="%1."/>
      <w:lvlJc w:val="left"/>
      <w:pPr>
        <w:ind w:left="1440" w:hanging="360"/>
      </w:pPr>
    </w:lvl>
    <w:lvl w:ilvl="1" w:tplc="04260001">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4E47"/>
    <w:rsid w:val="000043B3"/>
    <w:rsid w:val="000145AA"/>
    <w:rsid w:val="0003425C"/>
    <w:rsid w:val="00043571"/>
    <w:rsid w:val="0004680B"/>
    <w:rsid w:val="0005037F"/>
    <w:rsid w:val="00061752"/>
    <w:rsid w:val="00082EB1"/>
    <w:rsid w:val="000864D3"/>
    <w:rsid w:val="000B17EC"/>
    <w:rsid w:val="000D20E4"/>
    <w:rsid w:val="000D6868"/>
    <w:rsid w:val="000D6C43"/>
    <w:rsid w:val="000E276F"/>
    <w:rsid w:val="000F4911"/>
    <w:rsid w:val="00107282"/>
    <w:rsid w:val="001131FC"/>
    <w:rsid w:val="00125A2F"/>
    <w:rsid w:val="0012610D"/>
    <w:rsid w:val="001316A5"/>
    <w:rsid w:val="0013248E"/>
    <w:rsid w:val="00151AA0"/>
    <w:rsid w:val="00176977"/>
    <w:rsid w:val="0017798E"/>
    <w:rsid w:val="00197747"/>
    <w:rsid w:val="001A4179"/>
    <w:rsid w:val="001A5CEF"/>
    <w:rsid w:val="001B0650"/>
    <w:rsid w:val="001C3011"/>
    <w:rsid w:val="00200582"/>
    <w:rsid w:val="002069D5"/>
    <w:rsid w:val="00237BD9"/>
    <w:rsid w:val="0024485A"/>
    <w:rsid w:val="002536A5"/>
    <w:rsid w:val="002552D5"/>
    <w:rsid w:val="00262489"/>
    <w:rsid w:val="00263562"/>
    <w:rsid w:val="00265073"/>
    <w:rsid w:val="00285EC9"/>
    <w:rsid w:val="0029587F"/>
    <w:rsid w:val="002A6680"/>
    <w:rsid w:val="002B1A40"/>
    <w:rsid w:val="002B626B"/>
    <w:rsid w:val="002B7B0F"/>
    <w:rsid w:val="002C231B"/>
    <w:rsid w:val="002D4567"/>
    <w:rsid w:val="002E3B62"/>
    <w:rsid w:val="002F2BDB"/>
    <w:rsid w:val="002F36AE"/>
    <w:rsid w:val="002F5CCE"/>
    <w:rsid w:val="00303932"/>
    <w:rsid w:val="00315367"/>
    <w:rsid w:val="00316C3A"/>
    <w:rsid w:val="00324E47"/>
    <w:rsid w:val="00327E88"/>
    <w:rsid w:val="003460FB"/>
    <w:rsid w:val="00361A8A"/>
    <w:rsid w:val="00362BEA"/>
    <w:rsid w:val="003664F7"/>
    <w:rsid w:val="00391A82"/>
    <w:rsid w:val="003960D5"/>
    <w:rsid w:val="003A6235"/>
    <w:rsid w:val="003C773B"/>
    <w:rsid w:val="003E254D"/>
    <w:rsid w:val="003E2636"/>
    <w:rsid w:val="003E37CC"/>
    <w:rsid w:val="00407EAC"/>
    <w:rsid w:val="004341E1"/>
    <w:rsid w:val="00437F27"/>
    <w:rsid w:val="00442AF3"/>
    <w:rsid w:val="00447BA0"/>
    <w:rsid w:val="00450F32"/>
    <w:rsid w:val="0045282D"/>
    <w:rsid w:val="004562C7"/>
    <w:rsid w:val="00477DF8"/>
    <w:rsid w:val="00482165"/>
    <w:rsid w:val="004A3C46"/>
    <w:rsid w:val="004A5930"/>
    <w:rsid w:val="004B51C9"/>
    <w:rsid w:val="004D12EA"/>
    <w:rsid w:val="004E0DEA"/>
    <w:rsid w:val="0050350F"/>
    <w:rsid w:val="00504BCD"/>
    <w:rsid w:val="005110D4"/>
    <w:rsid w:val="005125F8"/>
    <w:rsid w:val="00515DBB"/>
    <w:rsid w:val="005406DE"/>
    <w:rsid w:val="005653FF"/>
    <w:rsid w:val="00566C77"/>
    <w:rsid w:val="00577593"/>
    <w:rsid w:val="005802DF"/>
    <w:rsid w:val="005A0FA6"/>
    <w:rsid w:val="005A12C1"/>
    <w:rsid w:val="005A6DE0"/>
    <w:rsid w:val="005A6E6E"/>
    <w:rsid w:val="006066FB"/>
    <w:rsid w:val="0061190E"/>
    <w:rsid w:val="0061276C"/>
    <w:rsid w:val="0061384D"/>
    <w:rsid w:val="00616202"/>
    <w:rsid w:val="00620D8B"/>
    <w:rsid w:val="00624F27"/>
    <w:rsid w:val="006410F9"/>
    <w:rsid w:val="006436C1"/>
    <w:rsid w:val="006448C9"/>
    <w:rsid w:val="006948E5"/>
    <w:rsid w:val="006C76F4"/>
    <w:rsid w:val="00724D23"/>
    <w:rsid w:val="0074353C"/>
    <w:rsid w:val="00751A2A"/>
    <w:rsid w:val="00753F3B"/>
    <w:rsid w:val="0075469D"/>
    <w:rsid w:val="007655BB"/>
    <w:rsid w:val="00766317"/>
    <w:rsid w:val="00770A30"/>
    <w:rsid w:val="0078359F"/>
    <w:rsid w:val="0079115B"/>
    <w:rsid w:val="007B4073"/>
    <w:rsid w:val="007B6449"/>
    <w:rsid w:val="007B6AB0"/>
    <w:rsid w:val="007C31BA"/>
    <w:rsid w:val="007E6B99"/>
    <w:rsid w:val="00800E72"/>
    <w:rsid w:val="0080191C"/>
    <w:rsid w:val="00811D7B"/>
    <w:rsid w:val="00812446"/>
    <w:rsid w:val="008267F3"/>
    <w:rsid w:val="00827009"/>
    <w:rsid w:val="00833A84"/>
    <w:rsid w:val="008376E2"/>
    <w:rsid w:val="00845DCA"/>
    <w:rsid w:val="00871A40"/>
    <w:rsid w:val="008736A6"/>
    <w:rsid w:val="00881C25"/>
    <w:rsid w:val="0088324E"/>
    <w:rsid w:val="0089281E"/>
    <w:rsid w:val="0089286F"/>
    <w:rsid w:val="00892A93"/>
    <w:rsid w:val="008A18D5"/>
    <w:rsid w:val="008A2FED"/>
    <w:rsid w:val="008A33BC"/>
    <w:rsid w:val="008A4819"/>
    <w:rsid w:val="008B3E98"/>
    <w:rsid w:val="008B4CF0"/>
    <w:rsid w:val="008C1CEE"/>
    <w:rsid w:val="008E13AC"/>
    <w:rsid w:val="008E2B6C"/>
    <w:rsid w:val="008E7F0E"/>
    <w:rsid w:val="008F7DCC"/>
    <w:rsid w:val="00915429"/>
    <w:rsid w:val="00921645"/>
    <w:rsid w:val="009320FF"/>
    <w:rsid w:val="00933E02"/>
    <w:rsid w:val="009539C2"/>
    <w:rsid w:val="00964EA1"/>
    <w:rsid w:val="009A319F"/>
    <w:rsid w:val="009C2CAC"/>
    <w:rsid w:val="009D46F4"/>
    <w:rsid w:val="009D5165"/>
    <w:rsid w:val="009E2F1C"/>
    <w:rsid w:val="00A15850"/>
    <w:rsid w:val="00A22A8A"/>
    <w:rsid w:val="00A40E17"/>
    <w:rsid w:val="00A5474D"/>
    <w:rsid w:val="00A63289"/>
    <w:rsid w:val="00A83427"/>
    <w:rsid w:val="00A85176"/>
    <w:rsid w:val="00A87EE9"/>
    <w:rsid w:val="00A9297D"/>
    <w:rsid w:val="00A96925"/>
    <w:rsid w:val="00AB19AB"/>
    <w:rsid w:val="00AB378E"/>
    <w:rsid w:val="00AC3E65"/>
    <w:rsid w:val="00B00107"/>
    <w:rsid w:val="00B006FB"/>
    <w:rsid w:val="00B02E73"/>
    <w:rsid w:val="00B07D50"/>
    <w:rsid w:val="00B160EE"/>
    <w:rsid w:val="00B26D4A"/>
    <w:rsid w:val="00B26F43"/>
    <w:rsid w:val="00B3555F"/>
    <w:rsid w:val="00B358F9"/>
    <w:rsid w:val="00B42653"/>
    <w:rsid w:val="00B44F5D"/>
    <w:rsid w:val="00B45E7F"/>
    <w:rsid w:val="00B50825"/>
    <w:rsid w:val="00B5357E"/>
    <w:rsid w:val="00B61D40"/>
    <w:rsid w:val="00B64848"/>
    <w:rsid w:val="00B64D00"/>
    <w:rsid w:val="00B81DA6"/>
    <w:rsid w:val="00B86E69"/>
    <w:rsid w:val="00BA5532"/>
    <w:rsid w:val="00BB1517"/>
    <w:rsid w:val="00BB24AE"/>
    <w:rsid w:val="00BB66D8"/>
    <w:rsid w:val="00BB79EA"/>
    <w:rsid w:val="00BC0340"/>
    <w:rsid w:val="00BC57B7"/>
    <w:rsid w:val="00BE7312"/>
    <w:rsid w:val="00BF0ACB"/>
    <w:rsid w:val="00C02934"/>
    <w:rsid w:val="00C03865"/>
    <w:rsid w:val="00C120D4"/>
    <w:rsid w:val="00C229BA"/>
    <w:rsid w:val="00C4081E"/>
    <w:rsid w:val="00C446A2"/>
    <w:rsid w:val="00C46966"/>
    <w:rsid w:val="00C8488B"/>
    <w:rsid w:val="00C859B6"/>
    <w:rsid w:val="00CB5138"/>
    <w:rsid w:val="00CC001E"/>
    <w:rsid w:val="00CC0061"/>
    <w:rsid w:val="00CC0E75"/>
    <w:rsid w:val="00CC6EFF"/>
    <w:rsid w:val="00CE544B"/>
    <w:rsid w:val="00CF1161"/>
    <w:rsid w:val="00D31DB7"/>
    <w:rsid w:val="00D407A7"/>
    <w:rsid w:val="00D45CE0"/>
    <w:rsid w:val="00D51F4A"/>
    <w:rsid w:val="00D574BF"/>
    <w:rsid w:val="00D7285D"/>
    <w:rsid w:val="00D73945"/>
    <w:rsid w:val="00DA321F"/>
    <w:rsid w:val="00DB0449"/>
    <w:rsid w:val="00DB1669"/>
    <w:rsid w:val="00DC3648"/>
    <w:rsid w:val="00DD0DBF"/>
    <w:rsid w:val="00DD2E29"/>
    <w:rsid w:val="00DD415A"/>
    <w:rsid w:val="00DF2FD2"/>
    <w:rsid w:val="00E10A2E"/>
    <w:rsid w:val="00E30CFF"/>
    <w:rsid w:val="00E3291D"/>
    <w:rsid w:val="00E51F42"/>
    <w:rsid w:val="00E7624C"/>
    <w:rsid w:val="00E82DAB"/>
    <w:rsid w:val="00E83DEA"/>
    <w:rsid w:val="00E936A1"/>
    <w:rsid w:val="00E9393C"/>
    <w:rsid w:val="00EB1E71"/>
    <w:rsid w:val="00EB393D"/>
    <w:rsid w:val="00EB4BF5"/>
    <w:rsid w:val="00EB5EAD"/>
    <w:rsid w:val="00EC4628"/>
    <w:rsid w:val="00EC58B2"/>
    <w:rsid w:val="00ED508A"/>
    <w:rsid w:val="00EE4685"/>
    <w:rsid w:val="00EE5DAC"/>
    <w:rsid w:val="00EF0074"/>
    <w:rsid w:val="00EF11F3"/>
    <w:rsid w:val="00EF6A90"/>
    <w:rsid w:val="00EF7F37"/>
    <w:rsid w:val="00F01F98"/>
    <w:rsid w:val="00F21D5E"/>
    <w:rsid w:val="00F235A3"/>
    <w:rsid w:val="00F30B22"/>
    <w:rsid w:val="00F34122"/>
    <w:rsid w:val="00F5517C"/>
    <w:rsid w:val="00F57C13"/>
    <w:rsid w:val="00F601FC"/>
    <w:rsid w:val="00F6097B"/>
    <w:rsid w:val="00F67DCA"/>
    <w:rsid w:val="00F816F7"/>
    <w:rsid w:val="00F849D1"/>
    <w:rsid w:val="00F97A25"/>
    <w:rsid w:val="00FA2529"/>
    <w:rsid w:val="00FA4517"/>
    <w:rsid w:val="00FC2181"/>
    <w:rsid w:val="00FE23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4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basedOn w:val="Normal"/>
    <w:link w:val="FootnoteTextChar"/>
    <w:uiPriority w:val="99"/>
    <w:unhideWhenUsed/>
    <w:rsid w:val="00324E47"/>
    <w:pPr>
      <w:spacing w:after="0" w:line="240" w:lineRule="auto"/>
    </w:pPr>
    <w:rPr>
      <w:sz w:val="20"/>
      <w:szCs w:val="20"/>
    </w:rPr>
  </w:style>
  <w:style w:type="character" w:customStyle="1" w:styleId="FootnoteTextChar">
    <w:name w:val="Footnote Text Char"/>
    <w:basedOn w:val="DefaultParagraphFont"/>
    <w:link w:val="FootnoteText"/>
    <w:uiPriority w:val="99"/>
    <w:rsid w:val="00324E47"/>
    <w:rPr>
      <w:rFonts w:eastAsiaTheme="minorEastAsia"/>
      <w:sz w:val="20"/>
      <w:szCs w:val="20"/>
      <w:lang w:eastAsia="lv-LV"/>
    </w:rPr>
  </w:style>
  <w:style w:type="character" w:styleId="FootnoteReference">
    <w:name w:val="footnote reference"/>
    <w:basedOn w:val="DefaultParagraphFont"/>
    <w:uiPriority w:val="99"/>
    <w:unhideWhenUsed/>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 w:type="character" w:customStyle="1" w:styleId="apple-converted-space">
    <w:name w:val="apple-converted-space"/>
    <w:basedOn w:val="DefaultParagraphFont"/>
    <w:rsid w:val="00F67DCA"/>
  </w:style>
  <w:style w:type="character" w:styleId="Hyperlink">
    <w:name w:val="Hyperlink"/>
    <w:basedOn w:val="DefaultParagraphFont"/>
    <w:uiPriority w:val="99"/>
    <w:semiHidden/>
    <w:unhideWhenUsed/>
    <w:rsid w:val="00F67DCA"/>
    <w:rPr>
      <w:color w:val="0000FF"/>
      <w:u w:val="single"/>
    </w:rPr>
  </w:style>
  <w:style w:type="character" w:styleId="FollowedHyperlink">
    <w:name w:val="FollowedHyperlink"/>
    <w:basedOn w:val="DefaultParagraphFont"/>
    <w:uiPriority w:val="99"/>
    <w:semiHidden/>
    <w:unhideWhenUsed/>
    <w:rsid w:val="00A83427"/>
    <w:rPr>
      <w:color w:val="800080" w:themeColor="followedHyperlink"/>
      <w:u w:val="single"/>
    </w:rPr>
  </w:style>
  <w:style w:type="paragraph" w:styleId="ListParagraph">
    <w:name w:val="List Paragraph"/>
    <w:basedOn w:val="Normal"/>
    <w:uiPriority w:val="34"/>
    <w:qFormat/>
    <w:rsid w:val="008736A6"/>
    <w:pPr>
      <w:ind w:left="720"/>
      <w:contextualSpacing/>
    </w:pPr>
  </w:style>
  <w:style w:type="table" w:styleId="TableGrid">
    <w:name w:val="Table Grid"/>
    <w:basedOn w:val="TableNormal"/>
    <w:uiPriority w:val="59"/>
    <w:rsid w:val="00921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B24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B24AE"/>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4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basedOn w:val="Normal"/>
    <w:link w:val="FootnoteTextChar"/>
    <w:uiPriority w:val="99"/>
    <w:semiHidden/>
    <w:unhideWhenUsed/>
    <w:rsid w:val="00324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E47"/>
    <w:rPr>
      <w:rFonts w:eastAsiaTheme="minorEastAsia"/>
      <w:sz w:val="20"/>
      <w:szCs w:val="20"/>
      <w:lang w:eastAsia="lv-LV"/>
    </w:rPr>
  </w:style>
  <w:style w:type="character" w:styleId="FootnoteReference">
    <w:name w:val="footnote reference"/>
    <w:basedOn w:val="DefaultParagraphFont"/>
    <w:uiPriority w:val="99"/>
    <w:semiHidden/>
    <w:unhideWhenUsed/>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6449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cooperation/baltic/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eed.eusbsr.eu/images/downloads/2013.03.15_Facility%20Manual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ACE2-CF9B-47C1-8EA4-6B2408A9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8348</Words>
  <Characters>4759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Informatīvais ziņojums par Eiropas Savienības stratēģijas Baltijas jūras reģionam projektu izstrādāšanas instrumenta projektu „Novēršamas hospitalizācijas Baltijas jūras reģionā: organizatoriskas un tehnoloģiskas inovācijas primārajā veselības aprūpē, lai</vt:lpstr>
    </vt:vector>
  </TitlesOfParts>
  <Company>Veselības ministrija</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stratēģijas Baltijas jūras reģionam projektu izstrādāšanas instrumenta projektu “Novēršamas hospitalizācijas Baltijas jūras reģionā: organizatoriskas un tehnoloģiskas inovācijas primārajā veselības aprūpē, lai paaugstinātu veselības aprūpes sistēmas izmaksu efektivitāti (InnoHealth)”</dc:title>
  <dc:subject>Informatīvais ziņojums</dc:subject>
  <dc:creator>Inese Andersone</dc:creator>
  <dc:description>Inese.Andersone@vm.gov.lv_x000d_
67876187</dc:description>
  <cp:lastModifiedBy>iandersone</cp:lastModifiedBy>
  <cp:revision>23</cp:revision>
  <cp:lastPrinted>2015-11-26T13:16:00Z</cp:lastPrinted>
  <dcterms:created xsi:type="dcterms:W3CDTF">2016-01-04T09:41:00Z</dcterms:created>
  <dcterms:modified xsi:type="dcterms:W3CDTF">2016-01-06T09:52:00Z</dcterms:modified>
</cp:coreProperties>
</file>