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2CD00" w14:textId="77777777" w:rsidR="00296183" w:rsidRPr="00E3702A" w:rsidRDefault="00296183" w:rsidP="00296183">
      <w:pPr>
        <w:pStyle w:val="Kjene"/>
        <w:tabs>
          <w:tab w:val="left" w:pos="720"/>
        </w:tabs>
        <w:jc w:val="center"/>
        <w:rPr>
          <w:rFonts w:ascii="Times New Roman" w:hAnsi="Times New Roman"/>
          <w:b/>
          <w:sz w:val="24"/>
          <w:szCs w:val="24"/>
        </w:rPr>
      </w:pPr>
      <w:bookmarkStart w:id="0" w:name="OLE_LINK7"/>
      <w:bookmarkStart w:id="1" w:name="OLE_LINK8"/>
      <w:r w:rsidRPr="00E3702A">
        <w:rPr>
          <w:rFonts w:ascii="Times New Roman" w:hAnsi="Times New Roman"/>
          <w:b/>
          <w:sz w:val="24"/>
          <w:szCs w:val="24"/>
        </w:rPr>
        <w:t>Ministru kabineta noteikumu projekta „</w:t>
      </w:r>
      <w:r w:rsidRPr="00E3702A">
        <w:rPr>
          <w:rFonts w:ascii="Times New Roman" w:hAnsi="Times New Roman"/>
          <w:b/>
          <w:bCs/>
          <w:sz w:val="24"/>
          <w:szCs w:val="24"/>
        </w:rPr>
        <w:t xml:space="preserve">Grozījumi Ministru kabineta 2010.gada 21.decembra noteikumos Nr.1145 </w:t>
      </w:r>
      <w:r w:rsidRPr="00E3702A">
        <w:rPr>
          <w:rFonts w:ascii="Times New Roman" w:hAnsi="Times New Roman"/>
          <w:b/>
          <w:bCs/>
          <w:color w:val="000000"/>
          <w:sz w:val="24"/>
          <w:szCs w:val="24"/>
        </w:rPr>
        <w:t>„Noteikumi par uztura bagātinātāju reģistrācijas valsts nodevu””</w:t>
      </w:r>
    </w:p>
    <w:p w14:paraId="0A7E45A5" w14:textId="25B9CD64" w:rsidR="00296183" w:rsidRPr="000952F6" w:rsidRDefault="0014105E" w:rsidP="000952F6">
      <w:pPr>
        <w:jc w:val="center"/>
        <w:rPr>
          <w:b/>
          <w:lang w:val="lv-LV"/>
        </w:rPr>
      </w:pPr>
      <w:r w:rsidRPr="00E3702A">
        <w:rPr>
          <w:b/>
          <w:lang w:val="lv-LV"/>
        </w:rPr>
        <w:t>sākotnējās ietekmes novērtējuma ziņojums (anotācija)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63"/>
        <w:gridCol w:w="2601"/>
        <w:gridCol w:w="6067"/>
      </w:tblGrid>
      <w:tr w:rsidR="00296183" w:rsidRPr="00075CEE" w14:paraId="76E48172" w14:textId="77777777" w:rsidTr="00D141EC">
        <w:tc>
          <w:tcPr>
            <w:tcW w:w="5000" w:type="pct"/>
            <w:gridSpan w:val="3"/>
            <w:vAlign w:val="center"/>
          </w:tcPr>
          <w:bookmarkEnd w:id="0"/>
          <w:bookmarkEnd w:id="1"/>
          <w:p w14:paraId="29427DE5" w14:textId="77777777" w:rsidR="00296183" w:rsidRPr="00E3702A" w:rsidRDefault="00296183" w:rsidP="00F61DBC">
            <w:pPr>
              <w:ind w:left="57" w:right="57"/>
              <w:jc w:val="center"/>
              <w:rPr>
                <w:b/>
                <w:bCs/>
                <w:color w:val="000000" w:themeColor="text1"/>
                <w:lang w:val="lv-LV" w:eastAsia="lv-LV"/>
              </w:rPr>
            </w:pPr>
            <w:r w:rsidRPr="00E3702A">
              <w:rPr>
                <w:b/>
                <w:bCs/>
                <w:color w:val="000000" w:themeColor="text1"/>
                <w:lang w:val="lv-LV" w:eastAsia="lv-LV"/>
              </w:rPr>
              <w:t>I. Tiesību akta projekta izstrādes nepieciešamība</w:t>
            </w:r>
          </w:p>
        </w:tc>
      </w:tr>
      <w:tr w:rsidR="00296183" w:rsidRPr="00167CFA" w14:paraId="5E3C917F" w14:textId="77777777" w:rsidTr="00D141EC">
        <w:tc>
          <w:tcPr>
            <w:tcW w:w="254" w:type="pct"/>
          </w:tcPr>
          <w:p w14:paraId="3746E8A7" w14:textId="77777777" w:rsidR="00296183" w:rsidRPr="00F145DA" w:rsidRDefault="00296183" w:rsidP="00F61DBC">
            <w:pPr>
              <w:ind w:left="57" w:right="57"/>
              <w:jc w:val="center"/>
              <w:rPr>
                <w:color w:val="000000" w:themeColor="text1"/>
                <w:lang w:val="lv-LV" w:eastAsia="lv-LV"/>
              </w:rPr>
            </w:pPr>
            <w:r w:rsidRPr="00F145DA">
              <w:rPr>
                <w:color w:val="000000" w:themeColor="text1"/>
                <w:lang w:val="lv-LV" w:eastAsia="lv-LV"/>
              </w:rPr>
              <w:t>1.</w:t>
            </w:r>
          </w:p>
        </w:tc>
        <w:tc>
          <w:tcPr>
            <w:tcW w:w="1424" w:type="pct"/>
          </w:tcPr>
          <w:p w14:paraId="36581A6C" w14:textId="77777777" w:rsidR="00296183" w:rsidRPr="00116911" w:rsidRDefault="00296183" w:rsidP="00F61DBC">
            <w:pPr>
              <w:ind w:left="57" w:right="57"/>
              <w:jc w:val="both"/>
              <w:rPr>
                <w:color w:val="000000" w:themeColor="text1"/>
                <w:lang w:val="lv-LV" w:eastAsia="lv-LV"/>
              </w:rPr>
            </w:pPr>
            <w:r w:rsidRPr="00116911">
              <w:rPr>
                <w:color w:val="000000" w:themeColor="text1"/>
                <w:lang w:val="lv-LV" w:eastAsia="lv-LV"/>
              </w:rPr>
              <w:t>Pamatojums</w:t>
            </w:r>
          </w:p>
        </w:tc>
        <w:tc>
          <w:tcPr>
            <w:tcW w:w="3322" w:type="pct"/>
          </w:tcPr>
          <w:p w14:paraId="6CFA6D36" w14:textId="77777777" w:rsidR="00296183" w:rsidRPr="00F145DA" w:rsidRDefault="000952F6" w:rsidP="00F61DBC">
            <w:pPr>
              <w:ind w:left="57" w:right="57"/>
              <w:jc w:val="both"/>
              <w:rPr>
                <w:color w:val="000000" w:themeColor="text1"/>
                <w:lang w:val="lv-LV"/>
              </w:rPr>
            </w:pPr>
            <w:hyperlink r:id="rId8" w:tgtFrame="_blank" w:history="1">
              <w:r w:rsidR="00296183" w:rsidRPr="00562CE0">
                <w:rPr>
                  <w:rStyle w:val="Hipersaite"/>
                  <w:iCs/>
                  <w:color w:val="000000"/>
                  <w:u w:val="none"/>
                  <w:lang w:val="lv-LV"/>
                </w:rPr>
                <w:t>Pārtikas aprites uzraudzības likuma</w:t>
              </w:r>
            </w:hyperlink>
            <w:r w:rsidR="00296183" w:rsidRPr="00562CE0">
              <w:rPr>
                <w:iCs/>
                <w:color w:val="000000"/>
                <w:lang w:val="lv-LV"/>
              </w:rPr>
              <w:t xml:space="preserve"> </w:t>
            </w:r>
            <w:r w:rsidR="00296183" w:rsidRPr="00F145DA">
              <w:rPr>
                <w:color w:val="000000" w:themeColor="text1"/>
                <w:lang w:val="lv-LV"/>
              </w:rPr>
              <w:t>20.panta otrā daļa</w:t>
            </w:r>
          </w:p>
        </w:tc>
      </w:tr>
      <w:tr w:rsidR="00296183" w:rsidRPr="000952F6" w14:paraId="4E0BBCE5" w14:textId="77777777" w:rsidTr="00D141EC">
        <w:tc>
          <w:tcPr>
            <w:tcW w:w="254" w:type="pct"/>
          </w:tcPr>
          <w:p w14:paraId="54A6B018" w14:textId="77777777" w:rsidR="00296183" w:rsidRPr="00F145DA" w:rsidRDefault="00296183" w:rsidP="00F61DBC">
            <w:pPr>
              <w:ind w:left="57" w:right="57"/>
              <w:jc w:val="center"/>
              <w:rPr>
                <w:color w:val="000000" w:themeColor="text1"/>
                <w:lang w:val="lv-LV" w:eastAsia="lv-LV"/>
              </w:rPr>
            </w:pPr>
            <w:r w:rsidRPr="00F145DA">
              <w:rPr>
                <w:color w:val="000000" w:themeColor="text1"/>
                <w:lang w:val="lv-LV" w:eastAsia="lv-LV"/>
              </w:rPr>
              <w:t>2.</w:t>
            </w:r>
          </w:p>
        </w:tc>
        <w:tc>
          <w:tcPr>
            <w:tcW w:w="1424" w:type="pct"/>
          </w:tcPr>
          <w:p w14:paraId="19BE6555" w14:textId="77777777" w:rsidR="00296183" w:rsidRPr="001902D0" w:rsidRDefault="00296183" w:rsidP="00F61DBC">
            <w:pPr>
              <w:ind w:left="57" w:right="57"/>
              <w:jc w:val="both"/>
              <w:rPr>
                <w:lang w:val="lv-LV" w:eastAsia="lv-LV"/>
              </w:rPr>
            </w:pPr>
            <w:r w:rsidRPr="00116911">
              <w:rPr>
                <w:lang w:val="lv-LV" w:eastAsia="lv-LV"/>
              </w:rPr>
              <w:t xml:space="preserve">Pašreizējā situācija </w:t>
            </w:r>
            <w:r w:rsidRPr="00116911">
              <w:rPr>
                <w:lang w:val="lv-LV"/>
              </w:rPr>
              <w:t>un problēmas, kuru risināšanai tiesību akta projekts izstrādāts, tiesiskā regulējuma mērķis un būtība</w:t>
            </w:r>
          </w:p>
        </w:tc>
        <w:tc>
          <w:tcPr>
            <w:tcW w:w="3322" w:type="pct"/>
          </w:tcPr>
          <w:p w14:paraId="384234D6" w14:textId="77777777" w:rsidR="00296183" w:rsidRPr="00562FB0" w:rsidRDefault="00167CFA" w:rsidP="00F61DBC">
            <w:pPr>
              <w:ind w:left="57" w:right="57"/>
              <w:jc w:val="both"/>
              <w:rPr>
                <w:color w:val="000000" w:themeColor="text1"/>
                <w:lang w:val="lv-LV"/>
              </w:rPr>
            </w:pPr>
            <w:r w:rsidRPr="00562FB0">
              <w:rPr>
                <w:rFonts w:eastAsia="Arial Unicode MS"/>
                <w:color w:val="000000" w:themeColor="text1"/>
                <w:lang w:val="lv-LV"/>
              </w:rPr>
              <w:t>Patlaban</w:t>
            </w:r>
            <w:r w:rsidR="00296183" w:rsidRPr="00562FB0">
              <w:rPr>
                <w:rFonts w:eastAsia="Arial Unicode MS"/>
                <w:color w:val="000000" w:themeColor="text1"/>
                <w:lang w:val="lv-LV"/>
              </w:rPr>
              <w:t xml:space="preserve"> spēkā ir </w:t>
            </w:r>
            <w:r w:rsidR="001A3A3F" w:rsidRPr="00562FB0">
              <w:rPr>
                <w:rFonts w:eastAsia="Arial Unicode MS"/>
                <w:color w:val="000000" w:themeColor="text1"/>
                <w:lang w:val="lv-LV"/>
              </w:rPr>
              <w:t xml:space="preserve">Ministru kabineta </w:t>
            </w:r>
            <w:r w:rsidR="00296183" w:rsidRPr="00562FB0">
              <w:rPr>
                <w:bCs/>
                <w:lang w:val="lv-LV"/>
              </w:rPr>
              <w:t xml:space="preserve">2010.gada 21.decembra noteikumi Nr.1145 </w:t>
            </w:r>
            <w:r w:rsidR="00296183" w:rsidRPr="00562FB0">
              <w:rPr>
                <w:bCs/>
                <w:color w:val="000000"/>
                <w:lang w:val="lv-LV"/>
              </w:rPr>
              <w:t xml:space="preserve">„Noteikumi par uztura bagātinātāju reģistrācijas valsts nodevu” </w:t>
            </w:r>
            <w:r w:rsidR="00296183" w:rsidRPr="00562FB0">
              <w:rPr>
                <w:color w:val="000000" w:themeColor="text1"/>
                <w:lang w:val="lv-LV"/>
              </w:rPr>
              <w:t>(turpmāk – noteikumi Nr.1145).</w:t>
            </w:r>
          </w:p>
          <w:p w14:paraId="5EF1D01B" w14:textId="77777777" w:rsidR="00296183" w:rsidRPr="00562FB0" w:rsidRDefault="00296183" w:rsidP="00F61DBC">
            <w:pPr>
              <w:ind w:left="57" w:right="57"/>
              <w:jc w:val="both"/>
              <w:rPr>
                <w:color w:val="000000"/>
                <w:lang w:val="lv-LV"/>
              </w:rPr>
            </w:pPr>
            <w:r w:rsidRPr="00562FB0">
              <w:rPr>
                <w:rFonts w:eastAsia="Arial Unicode MS"/>
                <w:color w:val="000000" w:themeColor="text1"/>
                <w:lang w:val="lv-LV"/>
              </w:rPr>
              <w:t xml:space="preserve">Uztura bagātinātāju reģistrāciju veic Pārtikas un veterinārais dienests (turpmāk – dienests). </w:t>
            </w:r>
          </w:p>
          <w:p w14:paraId="7DC977E4" w14:textId="77777777" w:rsidR="00296183" w:rsidRPr="00562FB0" w:rsidRDefault="004A31BD" w:rsidP="00F61DBC">
            <w:pPr>
              <w:ind w:left="57" w:right="57"/>
              <w:jc w:val="both"/>
              <w:rPr>
                <w:lang w:val="lv-LV"/>
              </w:rPr>
            </w:pPr>
            <w:r w:rsidRPr="00562FB0">
              <w:rPr>
                <w:lang w:val="lv-LV"/>
              </w:rPr>
              <w:t>Latvijā tiek</w:t>
            </w:r>
            <w:r w:rsidR="00296183" w:rsidRPr="00562FB0">
              <w:rPr>
                <w:lang w:val="lv-LV"/>
              </w:rPr>
              <w:t xml:space="preserve"> piemēro</w:t>
            </w:r>
            <w:r w:rsidRPr="00562FB0">
              <w:rPr>
                <w:lang w:val="lv-LV"/>
              </w:rPr>
              <w:t>ts</w:t>
            </w:r>
            <w:r w:rsidR="00296183" w:rsidRPr="00562FB0">
              <w:rPr>
                <w:lang w:val="lv-LV"/>
              </w:rPr>
              <w:t xml:space="preserve"> </w:t>
            </w:r>
            <w:r w:rsidR="00296183" w:rsidRPr="00562FB0">
              <w:rPr>
                <w:color w:val="000000"/>
                <w:lang w:val="lv-LV"/>
              </w:rPr>
              <w:t xml:space="preserve">Eiropas Parlamenta un Padomes 2002.gada 10.jūnija Direktīvas 2002/46/EK par dalībvalstu </w:t>
            </w:r>
            <w:r w:rsidR="006D492C" w:rsidRPr="00562FB0">
              <w:rPr>
                <w:color w:val="000000"/>
                <w:lang w:val="lv-LV"/>
              </w:rPr>
              <w:t>tiesību aktu</w:t>
            </w:r>
            <w:r w:rsidR="00296183" w:rsidRPr="00562FB0">
              <w:rPr>
                <w:color w:val="000000"/>
                <w:lang w:val="lv-LV"/>
              </w:rPr>
              <w:t xml:space="preserve"> tuvināšanu attiecībā uz uztura bagātinātājiem </w:t>
            </w:r>
            <w:r w:rsidR="00296183" w:rsidRPr="00562FB0">
              <w:rPr>
                <w:lang w:val="lv-LV"/>
              </w:rPr>
              <w:t>10.pant</w:t>
            </w:r>
            <w:r w:rsidRPr="00562FB0">
              <w:rPr>
                <w:lang w:val="lv-LV"/>
              </w:rPr>
              <w:t>s</w:t>
            </w:r>
            <w:r w:rsidR="00296183" w:rsidRPr="00562FB0">
              <w:rPr>
                <w:lang w:val="lv-LV"/>
              </w:rPr>
              <w:t xml:space="preserve">, kas </w:t>
            </w:r>
            <w:r w:rsidRPr="00562FB0">
              <w:rPr>
                <w:lang w:val="lv-LV"/>
              </w:rPr>
              <w:t>paredz</w:t>
            </w:r>
            <w:r w:rsidR="00296183" w:rsidRPr="00562FB0">
              <w:rPr>
                <w:lang w:val="lv-LV"/>
              </w:rPr>
              <w:t xml:space="preserve">, </w:t>
            </w:r>
            <w:r w:rsidRPr="00562FB0">
              <w:rPr>
                <w:lang w:val="lv-LV"/>
              </w:rPr>
              <w:t xml:space="preserve">ka dalībvalstis, </w:t>
            </w:r>
            <w:r w:rsidR="00296183" w:rsidRPr="00562FB0">
              <w:rPr>
                <w:lang w:val="lv-LV"/>
              </w:rPr>
              <w:t>lai veicinātu uztura bagātinātāju efektīvu uzraudzību, var noteikt, ka ražotājiem vai personām, kas to teritorijā produktu laiž tirgū, par to ir jāpaziņo kompetentajai iestādei, nosūtot tai produkta marķējuma paraugu.</w:t>
            </w:r>
            <w:r w:rsidR="000154F7" w:rsidRPr="00562FB0">
              <w:rPr>
                <w:lang w:val="lv-LV"/>
              </w:rPr>
              <w:t xml:space="preserve"> Kompetentā iestāde Latvijā </w:t>
            </w:r>
            <w:r w:rsidR="009F5539" w:rsidRPr="00562FB0">
              <w:rPr>
                <w:lang w:val="lv-LV"/>
              </w:rPr>
              <w:t xml:space="preserve">ir </w:t>
            </w:r>
            <w:r w:rsidR="000154F7" w:rsidRPr="00562FB0">
              <w:rPr>
                <w:lang w:val="lv-LV"/>
              </w:rPr>
              <w:t>dienests.</w:t>
            </w:r>
          </w:p>
          <w:p w14:paraId="35096F19" w14:textId="1F719527" w:rsidR="00296183" w:rsidRPr="00562FB0" w:rsidRDefault="00296183" w:rsidP="00F61DBC">
            <w:pPr>
              <w:ind w:left="57" w:right="57"/>
              <w:jc w:val="both"/>
              <w:rPr>
                <w:bCs/>
                <w:color w:val="000000"/>
                <w:lang w:val="lv-LV"/>
              </w:rPr>
            </w:pPr>
            <w:r w:rsidRPr="00562FB0">
              <w:rPr>
                <w:lang w:val="lv-LV"/>
              </w:rPr>
              <w:t>Tād</w:t>
            </w:r>
            <w:r w:rsidR="004A31BD" w:rsidRPr="00562FB0">
              <w:rPr>
                <w:lang w:val="lv-LV"/>
              </w:rPr>
              <w:t>ē</w:t>
            </w:r>
            <w:r w:rsidRPr="00562FB0">
              <w:rPr>
                <w:lang w:val="lv-LV"/>
              </w:rPr>
              <w:t xml:space="preserve">jādi katra dalībvalsts var piemērot savus atbilstošus </w:t>
            </w:r>
            <w:r w:rsidR="004A31BD" w:rsidRPr="00562FB0">
              <w:rPr>
                <w:lang w:val="lv-LV"/>
              </w:rPr>
              <w:t xml:space="preserve">attiecīgā produkta oficiālās </w:t>
            </w:r>
            <w:r w:rsidRPr="00562FB0">
              <w:rPr>
                <w:lang w:val="lv-LV"/>
              </w:rPr>
              <w:t>uzraudzības pasākumus</w:t>
            </w:r>
            <w:r w:rsidR="004A31BD" w:rsidRPr="00562FB0">
              <w:rPr>
                <w:lang w:val="lv-LV"/>
              </w:rPr>
              <w:t xml:space="preserve">, </w:t>
            </w:r>
            <w:r w:rsidR="00167CFA" w:rsidRPr="00562FB0">
              <w:rPr>
                <w:lang w:val="lv-LV"/>
              </w:rPr>
              <w:t xml:space="preserve">un </w:t>
            </w:r>
            <w:r w:rsidR="004A31BD" w:rsidRPr="00562FB0">
              <w:rPr>
                <w:lang w:val="lv-LV"/>
              </w:rPr>
              <w:t xml:space="preserve">Latvijā </w:t>
            </w:r>
            <w:r w:rsidRPr="00562FB0">
              <w:rPr>
                <w:lang w:val="lv-LV"/>
              </w:rPr>
              <w:t xml:space="preserve">šo kārtību nosaka </w:t>
            </w:r>
            <w:r w:rsidR="00C9228C" w:rsidRPr="00562FB0">
              <w:rPr>
                <w:lang w:val="lv-LV"/>
              </w:rPr>
              <w:t xml:space="preserve">Ministru kabineta </w:t>
            </w:r>
            <w:r w:rsidR="00C9228C" w:rsidRPr="00562FB0">
              <w:rPr>
                <w:color w:val="000000" w:themeColor="text1"/>
                <w:lang w:val="lv-LV" w:eastAsia="fr-FR"/>
              </w:rPr>
              <w:t>20</w:t>
            </w:r>
            <w:r w:rsidR="00A81386" w:rsidRPr="00562FB0">
              <w:rPr>
                <w:color w:val="000000" w:themeColor="text1"/>
                <w:lang w:val="lv-LV" w:eastAsia="fr-FR"/>
              </w:rPr>
              <w:t>1</w:t>
            </w:r>
            <w:r w:rsidR="00C9228C" w:rsidRPr="00562FB0">
              <w:rPr>
                <w:color w:val="000000" w:themeColor="text1"/>
                <w:lang w:val="lv-LV" w:eastAsia="fr-FR"/>
              </w:rPr>
              <w:t xml:space="preserve">5.gada </w:t>
            </w:r>
            <w:r w:rsidR="00A81386" w:rsidRPr="00562FB0">
              <w:rPr>
                <w:color w:val="000000" w:themeColor="text1"/>
                <w:lang w:val="lv-LV" w:eastAsia="fr-FR"/>
              </w:rPr>
              <w:t>1</w:t>
            </w:r>
            <w:r w:rsidR="00C9228C" w:rsidRPr="00562FB0">
              <w:rPr>
                <w:color w:val="000000" w:themeColor="text1"/>
                <w:lang w:val="lv-LV" w:eastAsia="fr-FR"/>
              </w:rPr>
              <w:t>.</w:t>
            </w:r>
            <w:r w:rsidR="00A81386" w:rsidRPr="00562FB0">
              <w:rPr>
                <w:color w:val="000000" w:themeColor="text1"/>
                <w:lang w:val="lv-LV" w:eastAsia="fr-FR"/>
              </w:rPr>
              <w:t>dec</w:t>
            </w:r>
            <w:r w:rsidR="008A7720" w:rsidRPr="00562FB0">
              <w:rPr>
                <w:color w:val="000000" w:themeColor="text1"/>
                <w:lang w:val="lv-LV" w:eastAsia="fr-FR"/>
              </w:rPr>
              <w:t>embra noteikumi</w:t>
            </w:r>
            <w:r w:rsidR="00C9228C" w:rsidRPr="00562FB0">
              <w:rPr>
                <w:color w:val="000000" w:themeColor="text1"/>
                <w:lang w:val="lv-LV" w:eastAsia="fr-FR"/>
              </w:rPr>
              <w:t xml:space="preserve"> Nr.</w:t>
            </w:r>
            <w:r w:rsidR="00A81386" w:rsidRPr="00562FB0">
              <w:rPr>
                <w:color w:val="000000" w:themeColor="text1"/>
                <w:lang w:val="lv-LV" w:eastAsia="fr-FR"/>
              </w:rPr>
              <w:t>685</w:t>
            </w:r>
            <w:r w:rsidR="00C9228C" w:rsidRPr="00562FB0">
              <w:rPr>
                <w:color w:val="000000" w:themeColor="text1"/>
                <w:lang w:val="lv-LV" w:eastAsia="fr-FR"/>
              </w:rPr>
              <w:t xml:space="preserve"> „</w:t>
            </w:r>
            <w:r w:rsidR="00A81386" w:rsidRPr="00562FB0">
              <w:rPr>
                <w:color w:val="000000" w:themeColor="text1"/>
                <w:lang w:val="lv-LV" w:eastAsia="fr-FR"/>
              </w:rPr>
              <w:t>Prasības</w:t>
            </w:r>
            <w:r w:rsidR="00C9228C" w:rsidRPr="00562FB0">
              <w:rPr>
                <w:color w:val="000000" w:themeColor="text1"/>
                <w:lang w:val="lv-LV" w:eastAsia="fr-FR"/>
              </w:rPr>
              <w:t xml:space="preserve"> uztura bagātinātājiem” </w:t>
            </w:r>
            <w:r w:rsidR="00CA2953" w:rsidRPr="00562FB0">
              <w:rPr>
                <w:color w:val="000000" w:themeColor="text1"/>
                <w:lang w:val="lv-LV"/>
              </w:rPr>
              <w:t>(turpmāk – noteikumi Nr.</w:t>
            </w:r>
            <w:r w:rsidR="00A81386" w:rsidRPr="00562FB0">
              <w:rPr>
                <w:color w:val="000000" w:themeColor="text1"/>
                <w:lang w:val="lv-LV"/>
              </w:rPr>
              <w:t>685</w:t>
            </w:r>
            <w:r w:rsidR="00CA2953" w:rsidRPr="00562FB0">
              <w:rPr>
                <w:color w:val="000000" w:themeColor="text1"/>
                <w:lang w:val="lv-LV"/>
              </w:rPr>
              <w:t xml:space="preserve">) </w:t>
            </w:r>
            <w:r w:rsidRPr="00562FB0">
              <w:rPr>
                <w:lang w:val="lv-LV"/>
              </w:rPr>
              <w:t xml:space="preserve">un </w:t>
            </w:r>
            <w:r w:rsidR="0029308A" w:rsidRPr="00562FB0">
              <w:rPr>
                <w:lang w:val="lv-LV"/>
              </w:rPr>
              <w:t>noteikumi Nr.1145</w:t>
            </w:r>
            <w:r w:rsidRPr="00562FB0">
              <w:rPr>
                <w:bCs/>
                <w:color w:val="000000"/>
                <w:lang w:val="lv-LV"/>
              </w:rPr>
              <w:t>.</w:t>
            </w:r>
            <w:r w:rsidR="00874B4B" w:rsidRPr="00562FB0">
              <w:rPr>
                <w:bCs/>
                <w:color w:val="000000"/>
                <w:lang w:val="lv-LV"/>
              </w:rPr>
              <w:t xml:space="preserve"> </w:t>
            </w:r>
          </w:p>
          <w:p w14:paraId="45F7E2EE" w14:textId="77777777" w:rsidR="00415E0A" w:rsidRPr="00562FB0" w:rsidRDefault="00167CFA" w:rsidP="006B4CFD">
            <w:pPr>
              <w:jc w:val="both"/>
              <w:rPr>
                <w:color w:val="000000" w:themeColor="text1"/>
                <w:lang w:val="lv-LV"/>
              </w:rPr>
            </w:pPr>
            <w:r w:rsidRPr="00562FB0">
              <w:rPr>
                <w:color w:val="000000"/>
                <w:lang w:val="lv-LV"/>
              </w:rPr>
              <w:t>Katra dalībvalsts piemēro uzraudzības pasākumus atbilstoši no budžeta iedalītajiem līdzekļiem, tāpēc Latvijā tiek piemērots tāds uzraudzības veids, ka pirms laišanas tirgū uztura bagātinātāja marķējums tiek izvērtēts atbilstoši normatīvajiem aktiem un par to maksājama valsts nodeva</w:t>
            </w:r>
            <w:r w:rsidR="00415E0A" w:rsidRPr="00562FB0">
              <w:rPr>
                <w:color w:val="000000" w:themeColor="text1"/>
                <w:lang w:val="lv-LV"/>
              </w:rPr>
              <w:t xml:space="preserve">. </w:t>
            </w:r>
          </w:p>
          <w:p w14:paraId="51C99DED" w14:textId="77777777" w:rsidR="006B4CFD" w:rsidRPr="00562FB0" w:rsidRDefault="006B4CFD" w:rsidP="006B4CFD">
            <w:pPr>
              <w:jc w:val="both"/>
              <w:rPr>
                <w:color w:val="000000" w:themeColor="text1"/>
                <w:lang w:val="lv-LV"/>
              </w:rPr>
            </w:pPr>
            <w:r w:rsidRPr="00562FB0">
              <w:rPr>
                <w:color w:val="000000" w:themeColor="text1"/>
                <w:lang w:val="lv-LV"/>
              </w:rPr>
              <w:t xml:space="preserve">Patlaban noteikumos Nr.1145 noteikts atšķirīgs valsts nodevas apmērs par uztura bagātinātāju pirmreizēju reģistrāciju Eiropas Ekonomikas zonas valstī </w:t>
            </w:r>
            <w:r w:rsidRPr="00562FB0">
              <w:rPr>
                <w:bCs/>
                <w:color w:val="000000"/>
                <w:lang w:val="lv-LV"/>
              </w:rPr>
              <w:t xml:space="preserve">(426,86 </w:t>
            </w:r>
            <w:r w:rsidRPr="00562FB0">
              <w:rPr>
                <w:bCs/>
                <w:i/>
                <w:color w:val="000000"/>
                <w:lang w:val="lv-LV"/>
              </w:rPr>
              <w:t>euro</w:t>
            </w:r>
            <w:r w:rsidRPr="00562FB0">
              <w:rPr>
                <w:bCs/>
                <w:color w:val="000000"/>
                <w:lang w:val="lv-LV"/>
              </w:rPr>
              <w:t xml:space="preserve">) </w:t>
            </w:r>
            <w:r w:rsidRPr="00562FB0">
              <w:rPr>
                <w:color w:val="000000" w:themeColor="text1"/>
                <w:lang w:val="lv-LV"/>
              </w:rPr>
              <w:t xml:space="preserve">un Eiropas Ekonomikas zonas valstī jau izplatīta uztura bagātinātāja reģistrāciju </w:t>
            </w:r>
            <w:r w:rsidRPr="00562FB0">
              <w:rPr>
                <w:lang w:val="lv-LV"/>
              </w:rPr>
              <w:t xml:space="preserve">(99,60 </w:t>
            </w:r>
            <w:r w:rsidRPr="00562FB0">
              <w:rPr>
                <w:i/>
                <w:lang w:val="lv-LV"/>
              </w:rPr>
              <w:t>euro</w:t>
            </w:r>
            <w:r w:rsidRPr="00562FB0">
              <w:rPr>
                <w:lang w:val="lv-LV"/>
              </w:rPr>
              <w:t xml:space="preserve">) </w:t>
            </w:r>
            <w:r w:rsidRPr="00562FB0">
              <w:rPr>
                <w:color w:val="000000" w:themeColor="text1"/>
                <w:lang w:val="lv-LV"/>
              </w:rPr>
              <w:t>Latvijā</w:t>
            </w:r>
            <w:r w:rsidR="00415E0A" w:rsidRPr="00562FB0">
              <w:rPr>
                <w:color w:val="000000" w:themeColor="text1"/>
                <w:lang w:val="lv-LV"/>
              </w:rPr>
              <w:t xml:space="preserve">, kā arī par izmaiņu reģistrēšanu, ja ir mainīts uztura bagātinātāju reģistrā esošā uztura bagātinātāja marķējums, ražotājs, ražošanas vai lietošanas nosacījumi (42,69 </w:t>
            </w:r>
            <w:r w:rsidR="00415E0A" w:rsidRPr="00562FB0">
              <w:rPr>
                <w:i/>
                <w:color w:val="000000" w:themeColor="text1"/>
                <w:lang w:val="lv-LV"/>
              </w:rPr>
              <w:t>euro</w:t>
            </w:r>
            <w:r w:rsidR="00415E0A" w:rsidRPr="00562FB0">
              <w:rPr>
                <w:color w:val="000000" w:themeColor="text1"/>
                <w:lang w:val="lv-LV"/>
              </w:rPr>
              <w:t>)</w:t>
            </w:r>
            <w:r w:rsidRPr="00562FB0">
              <w:rPr>
                <w:color w:val="000000" w:themeColor="text1"/>
                <w:lang w:val="lv-LV"/>
              </w:rPr>
              <w:t>.</w:t>
            </w:r>
          </w:p>
          <w:p w14:paraId="3EBC624B" w14:textId="7CB54649" w:rsidR="00F84BF5" w:rsidRPr="00562FB0" w:rsidRDefault="00EE4C14" w:rsidP="00BB618C">
            <w:pPr>
              <w:jc w:val="both"/>
              <w:rPr>
                <w:color w:val="000000" w:themeColor="text1"/>
                <w:lang w:val="lv-LV"/>
              </w:rPr>
            </w:pPr>
            <w:r w:rsidRPr="00562FB0">
              <w:rPr>
                <w:color w:val="000000" w:themeColor="text1"/>
                <w:lang w:val="lv-LV"/>
              </w:rPr>
              <w:t>Noteikumu projektā ir paredzēts aizstāt trīs valsts nodev</w:t>
            </w:r>
            <w:r w:rsidR="00F35A36" w:rsidRPr="00562FB0">
              <w:rPr>
                <w:color w:val="000000" w:themeColor="text1"/>
                <w:lang w:val="lv-LV"/>
              </w:rPr>
              <w:t>u pozīcij</w:t>
            </w:r>
            <w:r w:rsidRPr="00562FB0">
              <w:rPr>
                <w:color w:val="000000" w:themeColor="text1"/>
                <w:lang w:val="lv-LV"/>
              </w:rPr>
              <w:t xml:space="preserve">as ar </w:t>
            </w:r>
            <w:r w:rsidR="00E00A22" w:rsidRPr="00562FB0">
              <w:rPr>
                <w:color w:val="000000" w:themeColor="text1"/>
                <w:lang w:val="lv-LV"/>
              </w:rPr>
              <w:t>sešām</w:t>
            </w:r>
            <w:r w:rsidR="00F35A36" w:rsidRPr="00562FB0">
              <w:rPr>
                <w:color w:val="000000" w:themeColor="text1"/>
                <w:lang w:val="lv-LV"/>
              </w:rPr>
              <w:t>, kas ir</w:t>
            </w:r>
            <w:r w:rsidRPr="00562FB0">
              <w:rPr>
                <w:color w:val="000000" w:themeColor="text1"/>
                <w:lang w:val="lv-LV"/>
              </w:rPr>
              <w:t xml:space="preserve"> detalizētāk </w:t>
            </w:r>
            <w:r w:rsidR="00F35A36" w:rsidRPr="00562FB0">
              <w:rPr>
                <w:color w:val="000000" w:themeColor="text1"/>
                <w:lang w:val="lv-LV"/>
              </w:rPr>
              <w:t>noteiktas</w:t>
            </w:r>
            <w:r w:rsidR="00167CFA" w:rsidRPr="00562FB0">
              <w:rPr>
                <w:color w:val="000000" w:themeColor="text1"/>
                <w:lang w:val="lv-LV"/>
              </w:rPr>
              <w:t>, tāpēc</w:t>
            </w:r>
            <w:r w:rsidR="00F35A36" w:rsidRPr="00562FB0">
              <w:rPr>
                <w:color w:val="000000" w:themeColor="text1"/>
                <w:lang w:val="lv-LV"/>
              </w:rPr>
              <w:t xml:space="preserve"> tiesību norma ir kļuvusi lietotājam saprotamāka un vieglāk piemērojama. </w:t>
            </w:r>
          </w:p>
          <w:p w14:paraId="77C2EA16" w14:textId="77E75D5E" w:rsidR="006E795E" w:rsidRPr="00562FB0" w:rsidRDefault="008C1435" w:rsidP="00DA6E9F">
            <w:pPr>
              <w:pStyle w:val="Bezatstarpm"/>
              <w:jc w:val="both"/>
              <w:rPr>
                <w:rFonts w:ascii="Times New Roman" w:hAnsi="Times New Roman"/>
                <w:color w:val="000000" w:themeColor="text1"/>
                <w:sz w:val="24"/>
                <w:szCs w:val="24"/>
              </w:rPr>
            </w:pPr>
            <w:r w:rsidRPr="00562FB0">
              <w:rPr>
                <w:rFonts w:ascii="Times New Roman" w:hAnsi="Times New Roman"/>
                <w:color w:val="000000" w:themeColor="text1"/>
                <w:sz w:val="24"/>
                <w:szCs w:val="24"/>
              </w:rPr>
              <w:t xml:space="preserve">Nodeva </w:t>
            </w:r>
            <w:r w:rsidR="00561E7B" w:rsidRPr="00562FB0">
              <w:rPr>
                <w:rFonts w:ascii="Times New Roman" w:hAnsi="Times New Roman"/>
                <w:color w:val="000000" w:themeColor="text1"/>
                <w:sz w:val="24"/>
                <w:szCs w:val="24"/>
              </w:rPr>
              <w:t xml:space="preserve">līdzīgi kā līdz šim </w:t>
            </w:r>
            <w:r w:rsidRPr="00562FB0">
              <w:rPr>
                <w:rFonts w:ascii="Times New Roman" w:hAnsi="Times New Roman"/>
                <w:color w:val="000000" w:themeColor="text1"/>
                <w:sz w:val="24"/>
                <w:szCs w:val="24"/>
              </w:rPr>
              <w:t>ti</w:t>
            </w:r>
            <w:r w:rsidR="006E795E" w:rsidRPr="00562FB0">
              <w:rPr>
                <w:rFonts w:ascii="Times New Roman" w:hAnsi="Times New Roman"/>
                <w:color w:val="000000" w:themeColor="text1"/>
                <w:sz w:val="24"/>
                <w:szCs w:val="24"/>
              </w:rPr>
              <w:t>ks</w:t>
            </w:r>
            <w:r w:rsidRPr="00562FB0">
              <w:rPr>
                <w:rFonts w:ascii="Times New Roman" w:hAnsi="Times New Roman"/>
                <w:color w:val="000000" w:themeColor="text1"/>
                <w:sz w:val="24"/>
                <w:szCs w:val="24"/>
              </w:rPr>
              <w:t xml:space="preserve"> dalīta atkarībā no tā</w:t>
            </w:r>
            <w:r w:rsidR="006E795E" w:rsidRPr="00562FB0">
              <w:rPr>
                <w:rFonts w:ascii="Times New Roman" w:hAnsi="Times New Roman"/>
                <w:color w:val="000000" w:themeColor="text1"/>
                <w:sz w:val="24"/>
                <w:szCs w:val="24"/>
              </w:rPr>
              <w:t>,</w:t>
            </w:r>
            <w:r w:rsidRPr="00562FB0">
              <w:rPr>
                <w:rFonts w:ascii="Times New Roman" w:hAnsi="Times New Roman"/>
                <w:color w:val="000000" w:themeColor="text1"/>
                <w:sz w:val="24"/>
                <w:szCs w:val="24"/>
              </w:rPr>
              <w:t xml:space="preserve"> vai </w:t>
            </w:r>
            <w:r w:rsidR="006E795E" w:rsidRPr="00562FB0">
              <w:rPr>
                <w:rFonts w:ascii="Times New Roman" w:hAnsi="Times New Roman"/>
                <w:color w:val="000000" w:themeColor="text1"/>
                <w:sz w:val="24"/>
                <w:szCs w:val="24"/>
              </w:rPr>
              <w:t xml:space="preserve">tiek maksāts par </w:t>
            </w:r>
            <w:r w:rsidR="00E55ED1" w:rsidRPr="00562FB0">
              <w:rPr>
                <w:rFonts w:ascii="Times New Roman" w:hAnsi="Times New Roman"/>
                <w:color w:val="000000" w:themeColor="text1"/>
                <w:sz w:val="24"/>
                <w:szCs w:val="24"/>
                <w:lang w:eastAsia="lv-LV"/>
              </w:rPr>
              <w:t xml:space="preserve">Eiropas Ekonomikas zonas valstīs </w:t>
            </w:r>
            <w:r w:rsidR="00E55ED1" w:rsidRPr="00562FB0">
              <w:rPr>
                <w:rFonts w:ascii="Times New Roman" w:hAnsi="Times New Roman"/>
                <w:color w:val="000000" w:themeColor="text1"/>
                <w:sz w:val="24"/>
                <w:szCs w:val="24"/>
              </w:rPr>
              <w:t xml:space="preserve">vai </w:t>
            </w:r>
            <w:r w:rsidR="00A81386" w:rsidRPr="00562FB0">
              <w:rPr>
                <w:rFonts w:ascii="Times New Roman" w:hAnsi="Times New Roman"/>
                <w:color w:val="000000" w:themeColor="text1"/>
                <w:sz w:val="24"/>
                <w:szCs w:val="24"/>
              </w:rPr>
              <w:t xml:space="preserve">ārpus </w:t>
            </w:r>
            <w:r w:rsidR="00E55ED1" w:rsidRPr="00562FB0">
              <w:rPr>
                <w:rFonts w:ascii="Times New Roman" w:hAnsi="Times New Roman"/>
                <w:color w:val="000000" w:themeColor="text1"/>
                <w:sz w:val="24"/>
                <w:szCs w:val="24"/>
                <w:lang w:eastAsia="lv-LV"/>
              </w:rPr>
              <w:t>Eiropas Ekonomikas zonas valstīm ražota</w:t>
            </w:r>
            <w:r w:rsidR="00E55ED1" w:rsidRPr="00562FB0">
              <w:rPr>
                <w:rFonts w:ascii="Times New Roman" w:hAnsi="Times New Roman"/>
                <w:color w:val="000000" w:themeColor="text1"/>
                <w:sz w:val="24"/>
                <w:szCs w:val="24"/>
              </w:rPr>
              <w:t xml:space="preserve"> </w:t>
            </w:r>
            <w:r w:rsidR="00D16E60" w:rsidRPr="00562FB0">
              <w:rPr>
                <w:rFonts w:ascii="Times New Roman" w:hAnsi="Times New Roman"/>
                <w:color w:val="000000" w:themeColor="text1"/>
                <w:sz w:val="24"/>
                <w:szCs w:val="24"/>
              </w:rPr>
              <w:t>uztura bagātinātāj</w:t>
            </w:r>
            <w:r w:rsidR="006E795E" w:rsidRPr="00562FB0">
              <w:rPr>
                <w:rFonts w:ascii="Times New Roman" w:hAnsi="Times New Roman"/>
                <w:color w:val="000000" w:themeColor="text1"/>
                <w:sz w:val="24"/>
                <w:szCs w:val="24"/>
              </w:rPr>
              <w:t>a reģistrāciju.</w:t>
            </w:r>
          </w:p>
          <w:p w14:paraId="2BC10CBC" w14:textId="2342AC3A" w:rsidR="00EC45B8" w:rsidRPr="00562FB0" w:rsidRDefault="00E55ED1" w:rsidP="00DA6E9F">
            <w:pPr>
              <w:pStyle w:val="Bezatstarpm"/>
              <w:jc w:val="both"/>
              <w:rPr>
                <w:rFonts w:ascii="Times New Roman" w:hAnsi="Times New Roman"/>
                <w:color w:val="000000" w:themeColor="text1"/>
                <w:sz w:val="24"/>
                <w:szCs w:val="24"/>
                <w:lang w:eastAsia="fr-FR"/>
              </w:rPr>
            </w:pPr>
            <w:r w:rsidRPr="00562FB0">
              <w:rPr>
                <w:rFonts w:ascii="Times New Roman" w:hAnsi="Times New Roman"/>
                <w:color w:val="000000" w:themeColor="text1"/>
                <w:sz w:val="24"/>
                <w:szCs w:val="24"/>
              </w:rPr>
              <w:t xml:space="preserve">Nodeva maksājama par </w:t>
            </w:r>
            <w:r w:rsidR="00F1740B" w:rsidRPr="00562FB0">
              <w:rPr>
                <w:rFonts w:ascii="Times New Roman" w:hAnsi="Times New Roman"/>
                <w:color w:val="000000" w:themeColor="text1"/>
                <w:sz w:val="24"/>
                <w:szCs w:val="24"/>
                <w:lang w:eastAsia="lv-LV"/>
              </w:rPr>
              <w:t xml:space="preserve">Eiropas Ekonomikas zonas valstīs </w:t>
            </w:r>
            <w:r w:rsidRPr="00562FB0">
              <w:rPr>
                <w:rFonts w:ascii="Times New Roman" w:hAnsi="Times New Roman"/>
                <w:color w:val="000000" w:themeColor="text1"/>
                <w:sz w:val="24"/>
                <w:szCs w:val="24"/>
              </w:rPr>
              <w:t>ražota</w:t>
            </w:r>
            <w:r w:rsidR="00D16E60" w:rsidRPr="00562FB0">
              <w:rPr>
                <w:rFonts w:ascii="Times New Roman" w:hAnsi="Times New Roman"/>
                <w:color w:val="000000" w:themeColor="text1"/>
                <w:sz w:val="24"/>
                <w:szCs w:val="24"/>
              </w:rPr>
              <w:t xml:space="preserve"> </w:t>
            </w:r>
            <w:r w:rsidR="008008F2" w:rsidRPr="00562FB0">
              <w:rPr>
                <w:rFonts w:ascii="Times New Roman" w:hAnsi="Times New Roman"/>
                <w:color w:val="000000" w:themeColor="text1"/>
                <w:sz w:val="24"/>
                <w:szCs w:val="24"/>
                <w:lang w:eastAsia="lv-LV"/>
              </w:rPr>
              <w:t>uztura bagātinātāja r</w:t>
            </w:r>
            <w:r w:rsidR="008008F2" w:rsidRPr="00562FB0">
              <w:rPr>
                <w:rFonts w:ascii="Times New Roman" w:hAnsi="Times New Roman"/>
                <w:color w:val="000000" w:themeColor="text1"/>
                <w:sz w:val="24"/>
                <w:szCs w:val="24"/>
              </w:rPr>
              <w:t xml:space="preserve">eģistrāciju </w:t>
            </w:r>
            <w:r w:rsidR="00DC1D62" w:rsidRPr="00562FB0">
              <w:rPr>
                <w:rFonts w:ascii="Times New Roman" w:hAnsi="Times New Roman"/>
                <w:color w:val="000000" w:themeColor="text1"/>
                <w:sz w:val="24"/>
                <w:szCs w:val="24"/>
              </w:rPr>
              <w:t>(1</w:t>
            </w:r>
            <w:r w:rsidR="00233F28">
              <w:rPr>
                <w:rFonts w:ascii="Times New Roman" w:hAnsi="Times New Roman"/>
                <w:color w:val="000000" w:themeColor="text1"/>
                <w:sz w:val="24"/>
                <w:szCs w:val="24"/>
              </w:rPr>
              <w:t>2</w:t>
            </w:r>
            <w:r w:rsidR="00DC1D62" w:rsidRPr="00562FB0">
              <w:rPr>
                <w:rFonts w:ascii="Times New Roman" w:hAnsi="Times New Roman"/>
                <w:color w:val="000000" w:themeColor="text1"/>
                <w:sz w:val="24"/>
                <w:szCs w:val="24"/>
              </w:rPr>
              <w:t>5,00</w:t>
            </w:r>
            <w:r w:rsidR="00F35E65">
              <w:rPr>
                <w:rFonts w:ascii="Times New Roman" w:hAnsi="Times New Roman"/>
                <w:color w:val="000000" w:themeColor="text1"/>
                <w:sz w:val="24"/>
                <w:szCs w:val="24"/>
              </w:rPr>
              <w:t xml:space="preserve"> </w:t>
            </w:r>
            <w:r w:rsidR="00F35E65" w:rsidRPr="00F35E65">
              <w:rPr>
                <w:rFonts w:ascii="Times New Roman" w:hAnsi="Times New Roman"/>
                <w:i/>
                <w:color w:val="000000" w:themeColor="text1"/>
                <w:sz w:val="24"/>
                <w:szCs w:val="24"/>
              </w:rPr>
              <w:t>euro</w:t>
            </w:r>
            <w:r w:rsidR="00DC1D62" w:rsidRPr="00F35E65">
              <w:rPr>
                <w:rFonts w:ascii="Times New Roman" w:hAnsi="Times New Roman"/>
                <w:color w:val="000000" w:themeColor="text1"/>
                <w:sz w:val="24"/>
                <w:szCs w:val="24"/>
              </w:rPr>
              <w:t>)</w:t>
            </w:r>
            <w:r w:rsidR="00D16E60" w:rsidRPr="00562FB0">
              <w:rPr>
                <w:rFonts w:ascii="Times New Roman" w:hAnsi="Times New Roman"/>
                <w:color w:val="000000" w:themeColor="text1"/>
                <w:sz w:val="24"/>
                <w:szCs w:val="24"/>
              </w:rPr>
              <w:t xml:space="preserve"> </w:t>
            </w:r>
            <w:r w:rsidR="00497E89" w:rsidRPr="00562FB0">
              <w:rPr>
                <w:rFonts w:ascii="Times New Roman" w:hAnsi="Times New Roman"/>
                <w:color w:val="000000" w:themeColor="text1"/>
                <w:sz w:val="24"/>
                <w:szCs w:val="24"/>
                <w:lang w:eastAsia="lv-LV"/>
              </w:rPr>
              <w:t xml:space="preserve">vai par </w:t>
            </w:r>
            <w:r w:rsidR="00EC45B8" w:rsidRPr="00562FB0">
              <w:rPr>
                <w:rFonts w:ascii="Times New Roman" w:hAnsi="Times New Roman"/>
                <w:color w:val="000000" w:themeColor="text1"/>
                <w:sz w:val="24"/>
                <w:szCs w:val="24"/>
                <w:lang w:eastAsia="lv-LV"/>
              </w:rPr>
              <w:t>ārpus Eiropas Ekonomikas zonas valstīm ražota uztura bagātinātāja r</w:t>
            </w:r>
            <w:r w:rsidR="00EC45B8" w:rsidRPr="00562FB0">
              <w:rPr>
                <w:rFonts w:ascii="Times New Roman" w:hAnsi="Times New Roman"/>
                <w:color w:val="000000" w:themeColor="text1"/>
                <w:sz w:val="24"/>
                <w:szCs w:val="24"/>
              </w:rPr>
              <w:t xml:space="preserve">eģistrāciju, </w:t>
            </w:r>
            <w:r w:rsidR="00DA6E9F" w:rsidRPr="00562FB0">
              <w:rPr>
                <w:rFonts w:ascii="Times New Roman" w:hAnsi="Times New Roman"/>
                <w:color w:val="000000" w:themeColor="text1"/>
                <w:sz w:val="24"/>
                <w:szCs w:val="24"/>
                <w:lang w:eastAsia="lv-LV"/>
              </w:rPr>
              <w:t xml:space="preserve">ja tas iepriekš ir paziņots vai laists </w:t>
            </w:r>
            <w:r w:rsidR="00DA6E9F" w:rsidRPr="00562FB0">
              <w:rPr>
                <w:rFonts w:ascii="Times New Roman" w:hAnsi="Times New Roman"/>
                <w:color w:val="000000" w:themeColor="text1"/>
                <w:sz w:val="24"/>
                <w:szCs w:val="24"/>
                <w:lang w:eastAsia="lv-LV"/>
              </w:rPr>
              <w:lastRenderedPageBreak/>
              <w:t>tirgū kādā no Eiropas Ekonomikas zonas valstīm</w:t>
            </w:r>
            <w:r w:rsidR="00EB0C74" w:rsidRPr="00562FB0">
              <w:rPr>
                <w:rFonts w:ascii="Times New Roman" w:hAnsi="Times New Roman"/>
                <w:color w:val="000000" w:themeColor="text1"/>
                <w:sz w:val="24"/>
                <w:szCs w:val="24"/>
                <w:lang w:eastAsia="lv-LV"/>
              </w:rPr>
              <w:t xml:space="preserve"> </w:t>
            </w:r>
            <w:r w:rsidR="00EB0C74" w:rsidRPr="005045DB">
              <w:rPr>
                <w:rFonts w:ascii="Times New Roman" w:hAnsi="Times New Roman"/>
                <w:color w:val="000000" w:themeColor="text1"/>
                <w:sz w:val="24"/>
                <w:szCs w:val="24"/>
                <w:lang w:eastAsia="lv-LV"/>
              </w:rPr>
              <w:t>(</w:t>
            </w:r>
            <w:r w:rsidR="002575A0" w:rsidRPr="005045DB">
              <w:rPr>
                <w:rFonts w:ascii="Times New Roman" w:hAnsi="Times New Roman"/>
                <w:color w:val="000000" w:themeColor="text1"/>
                <w:sz w:val="24"/>
                <w:szCs w:val="24"/>
                <w:lang w:eastAsia="lv-LV"/>
              </w:rPr>
              <w:t>210</w:t>
            </w:r>
            <w:r w:rsidR="00EB0C74" w:rsidRPr="005045DB">
              <w:rPr>
                <w:rFonts w:ascii="Times New Roman" w:hAnsi="Times New Roman"/>
                <w:color w:val="000000" w:themeColor="text1"/>
                <w:sz w:val="24"/>
                <w:szCs w:val="24"/>
                <w:lang w:eastAsia="lv-LV"/>
              </w:rPr>
              <w:t>,00</w:t>
            </w:r>
            <w:r w:rsidR="00F35E65" w:rsidRPr="005045DB">
              <w:rPr>
                <w:rFonts w:ascii="Times New Roman" w:hAnsi="Times New Roman"/>
                <w:color w:val="000000" w:themeColor="text1"/>
                <w:sz w:val="24"/>
                <w:szCs w:val="24"/>
                <w:lang w:eastAsia="lv-LV"/>
              </w:rPr>
              <w:t xml:space="preserve"> </w:t>
            </w:r>
            <w:r w:rsidR="00F35E65" w:rsidRPr="005045DB">
              <w:rPr>
                <w:rFonts w:ascii="Times New Roman" w:hAnsi="Times New Roman"/>
                <w:i/>
                <w:color w:val="000000" w:themeColor="text1"/>
                <w:sz w:val="24"/>
                <w:szCs w:val="24"/>
              </w:rPr>
              <w:t>euro</w:t>
            </w:r>
            <w:r w:rsidR="00EB0C74" w:rsidRPr="005045DB">
              <w:rPr>
                <w:rFonts w:ascii="Times New Roman" w:hAnsi="Times New Roman"/>
                <w:color w:val="000000" w:themeColor="text1"/>
                <w:sz w:val="24"/>
                <w:szCs w:val="24"/>
                <w:lang w:eastAsia="lv-LV"/>
              </w:rPr>
              <w:t>)</w:t>
            </w:r>
            <w:r w:rsidR="00EC45B8" w:rsidRPr="005045DB">
              <w:rPr>
                <w:rFonts w:ascii="Times New Roman" w:hAnsi="Times New Roman"/>
                <w:color w:val="000000" w:themeColor="text1"/>
                <w:sz w:val="24"/>
                <w:szCs w:val="24"/>
                <w:lang w:eastAsia="lv-LV"/>
              </w:rPr>
              <w:t xml:space="preserve">, vai par ārpus </w:t>
            </w:r>
            <w:r w:rsidR="00EC45B8" w:rsidRPr="005045DB">
              <w:rPr>
                <w:rFonts w:ascii="Times New Roman" w:hAnsi="Times New Roman"/>
                <w:color w:val="000000" w:themeColor="text1"/>
                <w:sz w:val="24"/>
                <w:szCs w:val="24"/>
              </w:rPr>
              <w:t xml:space="preserve">Eiropas Ekonomikas zonas valstīs ražota uztura bagātinātāja </w:t>
            </w:r>
            <w:r w:rsidR="00EC45B8" w:rsidRPr="005045DB">
              <w:rPr>
                <w:rFonts w:ascii="Times New Roman" w:hAnsi="Times New Roman"/>
                <w:color w:val="000000" w:themeColor="text1"/>
                <w:sz w:val="24"/>
                <w:szCs w:val="24"/>
                <w:lang w:eastAsia="fr-FR"/>
              </w:rPr>
              <w:t>pirmreizēju reģistrāciju</w:t>
            </w:r>
            <w:r w:rsidR="00EB0C74" w:rsidRPr="005045DB">
              <w:rPr>
                <w:rFonts w:ascii="Times New Roman" w:hAnsi="Times New Roman"/>
                <w:color w:val="000000" w:themeColor="text1"/>
                <w:sz w:val="24"/>
                <w:szCs w:val="24"/>
                <w:lang w:eastAsia="fr-FR"/>
              </w:rPr>
              <w:t xml:space="preserve"> (3</w:t>
            </w:r>
            <w:r w:rsidR="002575A0" w:rsidRPr="005045DB">
              <w:rPr>
                <w:rFonts w:ascii="Times New Roman" w:hAnsi="Times New Roman"/>
                <w:color w:val="000000" w:themeColor="text1"/>
                <w:sz w:val="24"/>
                <w:szCs w:val="24"/>
                <w:lang w:eastAsia="fr-FR"/>
              </w:rPr>
              <w:t>8</w:t>
            </w:r>
            <w:r w:rsidR="00EB0C74" w:rsidRPr="005045DB">
              <w:rPr>
                <w:rFonts w:ascii="Times New Roman" w:hAnsi="Times New Roman"/>
                <w:color w:val="000000" w:themeColor="text1"/>
                <w:sz w:val="24"/>
                <w:szCs w:val="24"/>
                <w:lang w:eastAsia="fr-FR"/>
              </w:rPr>
              <w:t>0,00</w:t>
            </w:r>
            <w:r w:rsidR="00F35E65" w:rsidRPr="005045DB">
              <w:rPr>
                <w:rFonts w:ascii="Times New Roman" w:hAnsi="Times New Roman"/>
                <w:color w:val="000000" w:themeColor="text1"/>
                <w:sz w:val="24"/>
                <w:szCs w:val="24"/>
                <w:lang w:eastAsia="fr-FR"/>
              </w:rPr>
              <w:t xml:space="preserve"> </w:t>
            </w:r>
            <w:r w:rsidR="00F35E65" w:rsidRPr="005045DB">
              <w:rPr>
                <w:rFonts w:ascii="Times New Roman" w:hAnsi="Times New Roman"/>
                <w:i/>
                <w:color w:val="000000" w:themeColor="text1"/>
                <w:sz w:val="24"/>
                <w:szCs w:val="24"/>
              </w:rPr>
              <w:t>euro</w:t>
            </w:r>
            <w:r w:rsidR="00EB0C74" w:rsidRPr="005045DB">
              <w:rPr>
                <w:rFonts w:ascii="Times New Roman" w:hAnsi="Times New Roman"/>
                <w:color w:val="000000" w:themeColor="text1"/>
                <w:sz w:val="24"/>
                <w:szCs w:val="24"/>
                <w:lang w:eastAsia="fr-FR"/>
              </w:rPr>
              <w:t>).</w:t>
            </w:r>
          </w:p>
          <w:p w14:paraId="28125FE4" w14:textId="77777777" w:rsidR="00DE463B" w:rsidRPr="00562FB0" w:rsidRDefault="00AA5251" w:rsidP="00AA5251">
            <w:pPr>
              <w:pStyle w:val="Bezatstarpm"/>
              <w:jc w:val="both"/>
              <w:rPr>
                <w:rFonts w:ascii="Times New Roman" w:hAnsi="Times New Roman"/>
                <w:sz w:val="24"/>
                <w:szCs w:val="24"/>
              </w:rPr>
            </w:pPr>
            <w:r w:rsidRPr="00562FB0">
              <w:rPr>
                <w:rFonts w:ascii="Times New Roman" w:hAnsi="Times New Roman"/>
                <w:sz w:val="24"/>
                <w:szCs w:val="24"/>
              </w:rPr>
              <w:t>Valsts nodeva tiek samazināta u</w:t>
            </w:r>
            <w:r w:rsidRPr="00562FB0">
              <w:rPr>
                <w:rFonts w:ascii="Times New Roman" w:hAnsi="Times New Roman"/>
                <w:color w:val="000000"/>
                <w:sz w:val="24"/>
                <w:szCs w:val="24"/>
                <w:lang w:eastAsia="fr-FR"/>
              </w:rPr>
              <w:t xml:space="preserve">ztura bagātinātājiem </w:t>
            </w:r>
            <w:r w:rsidRPr="00562FB0">
              <w:rPr>
                <w:rFonts w:ascii="Times New Roman" w:hAnsi="Times New Roman"/>
                <w:sz w:val="24"/>
                <w:szCs w:val="24"/>
              </w:rPr>
              <w:t xml:space="preserve">no trešajām valstīm, </w:t>
            </w:r>
            <w:r w:rsidR="00D3167F" w:rsidRPr="00562FB0">
              <w:rPr>
                <w:rFonts w:ascii="Times New Roman" w:hAnsi="Times New Roman"/>
                <w:sz w:val="24"/>
                <w:szCs w:val="24"/>
              </w:rPr>
              <w:t xml:space="preserve">jo dienests ir konstatējis, ka ir samazinājies </w:t>
            </w:r>
            <w:r w:rsidR="00E55ED1" w:rsidRPr="00562FB0">
              <w:rPr>
                <w:rFonts w:ascii="Times New Roman" w:hAnsi="Times New Roman"/>
                <w:sz w:val="24"/>
                <w:szCs w:val="24"/>
              </w:rPr>
              <w:t xml:space="preserve">to </w:t>
            </w:r>
            <w:r w:rsidR="00D3167F" w:rsidRPr="00562FB0">
              <w:rPr>
                <w:rFonts w:ascii="Times New Roman" w:hAnsi="Times New Roman"/>
                <w:sz w:val="24"/>
                <w:szCs w:val="24"/>
              </w:rPr>
              <w:t>paziņoto uztura bagātinātāju skaits no trešajām valstīm,</w:t>
            </w:r>
            <w:r w:rsidR="00E55ED1" w:rsidRPr="00562FB0">
              <w:rPr>
                <w:rFonts w:ascii="Times New Roman" w:hAnsi="Times New Roman"/>
                <w:sz w:val="24"/>
                <w:szCs w:val="24"/>
              </w:rPr>
              <w:t xml:space="preserve"> kuri pirmreizēji tiek </w:t>
            </w:r>
            <w:r w:rsidR="00FC333E" w:rsidRPr="00562FB0">
              <w:rPr>
                <w:rFonts w:ascii="Times New Roman" w:hAnsi="Times New Roman"/>
                <w:sz w:val="24"/>
                <w:szCs w:val="24"/>
              </w:rPr>
              <w:t>reģistrēti Latvijā,</w:t>
            </w:r>
            <w:r w:rsidR="00D3167F" w:rsidRPr="00562FB0">
              <w:rPr>
                <w:rFonts w:ascii="Times New Roman" w:hAnsi="Times New Roman"/>
                <w:sz w:val="24"/>
                <w:szCs w:val="24"/>
              </w:rPr>
              <w:t xml:space="preserve"> piemēram, 2013.gadā bija iesniegti 44, bet 2014.gadā – 22 attiecīgi paziņojumi. </w:t>
            </w:r>
            <w:r w:rsidR="00D3167F" w:rsidRPr="00562FB0">
              <w:rPr>
                <w:rFonts w:ascii="Times New Roman" w:hAnsi="Times New Roman"/>
                <w:iCs/>
                <w:color w:val="000000" w:themeColor="text1"/>
                <w:sz w:val="24"/>
                <w:szCs w:val="24"/>
              </w:rPr>
              <w:t xml:space="preserve">Dienests 2014. gadā izvērtēja 1447 </w:t>
            </w:r>
            <w:r w:rsidR="00D3167F" w:rsidRPr="00562FB0">
              <w:rPr>
                <w:rFonts w:ascii="Times New Roman" w:hAnsi="Times New Roman"/>
                <w:color w:val="000000" w:themeColor="text1"/>
                <w:sz w:val="24"/>
                <w:szCs w:val="24"/>
              </w:rPr>
              <w:t>paziņojumus uztura bagātinātāju reģistrācijai,</w:t>
            </w:r>
            <w:r w:rsidR="00D3167F" w:rsidRPr="00562FB0">
              <w:rPr>
                <w:rFonts w:ascii="Times New Roman" w:hAnsi="Times New Roman"/>
                <w:iCs/>
                <w:color w:val="000000" w:themeColor="text1"/>
                <w:sz w:val="24"/>
                <w:szCs w:val="24"/>
              </w:rPr>
              <w:t xml:space="preserve"> tajā skaitā 22 paziņojumus par uztura bagātinātājiem, kas Latvijas tirgū tika laisti no trešajām valstīm, un tie ir 1,5 % no kopējā paziņojumu skaita 2014.gadā.</w:t>
            </w:r>
            <w:r w:rsidR="00421211" w:rsidRPr="00562FB0">
              <w:rPr>
                <w:rFonts w:ascii="Times New Roman" w:hAnsi="Times New Roman"/>
                <w:sz w:val="24"/>
                <w:szCs w:val="24"/>
              </w:rPr>
              <w:t xml:space="preserve"> </w:t>
            </w:r>
          </w:p>
          <w:p w14:paraId="13D94535" w14:textId="388462EB" w:rsidR="00156453" w:rsidRPr="00562FB0" w:rsidRDefault="008008F2" w:rsidP="00156453">
            <w:pPr>
              <w:jc w:val="both"/>
              <w:rPr>
                <w:color w:val="000000"/>
                <w:lang w:val="lv-LV"/>
              </w:rPr>
            </w:pPr>
            <w:r>
              <w:rPr>
                <w:color w:val="000000"/>
                <w:lang w:val="lv-LV" w:eastAsia="fr-FR"/>
              </w:rPr>
              <w:t xml:space="preserve">2. </w:t>
            </w:r>
            <w:r w:rsidR="00A17BE0" w:rsidRPr="00562FB0">
              <w:rPr>
                <w:color w:val="000000"/>
                <w:lang w:val="lv-LV" w:eastAsia="fr-FR"/>
              </w:rPr>
              <w:t>N</w:t>
            </w:r>
            <w:r w:rsidR="00E44D9E" w:rsidRPr="00562FB0">
              <w:rPr>
                <w:color w:val="000000"/>
                <w:lang w:val="lv-LV" w:eastAsia="fr-FR"/>
              </w:rPr>
              <w:t xml:space="preserve">oteikt </w:t>
            </w:r>
            <w:r w:rsidR="0037714B" w:rsidRPr="00562FB0">
              <w:rPr>
                <w:color w:val="000000"/>
                <w:lang w:val="lv-LV" w:eastAsia="fr-FR"/>
              </w:rPr>
              <w:t xml:space="preserve">valsts </w:t>
            </w:r>
            <w:r w:rsidR="00874B4B" w:rsidRPr="00562FB0">
              <w:rPr>
                <w:color w:val="000000"/>
                <w:lang w:val="lv-LV" w:eastAsia="fr-FR"/>
              </w:rPr>
              <w:t xml:space="preserve">nodevu </w:t>
            </w:r>
            <w:r w:rsidR="00E44D9E" w:rsidRPr="00562FB0">
              <w:rPr>
                <w:color w:val="000000"/>
                <w:lang w:val="lv-LV" w:eastAsia="fr-FR"/>
              </w:rPr>
              <w:t>par katru papildu uztura bagātinātāja ar atšķirīgām organoleptiskajām īpašībām reģistrāciju (</w:t>
            </w:r>
            <w:r w:rsidR="00AA5251" w:rsidRPr="00562FB0">
              <w:rPr>
                <w:color w:val="000000"/>
                <w:lang w:val="lv-LV" w:eastAsia="fr-FR"/>
              </w:rPr>
              <w:t>3</w:t>
            </w:r>
            <w:r w:rsidR="00EA466E">
              <w:rPr>
                <w:color w:val="000000"/>
                <w:lang w:val="lv-LV" w:eastAsia="fr-FR"/>
              </w:rPr>
              <w:t>5</w:t>
            </w:r>
            <w:r w:rsidR="00E44D9E" w:rsidRPr="00562FB0">
              <w:rPr>
                <w:color w:val="000000"/>
                <w:lang w:val="lv-LV" w:eastAsia="fr-FR"/>
              </w:rPr>
              <w:t xml:space="preserve">,00 </w:t>
            </w:r>
            <w:r w:rsidR="00E44D9E" w:rsidRPr="00562FB0">
              <w:rPr>
                <w:i/>
                <w:color w:val="000000"/>
                <w:lang w:val="lv-LV" w:eastAsia="fr-FR"/>
              </w:rPr>
              <w:t>euro</w:t>
            </w:r>
            <w:r w:rsidR="00E44D9E" w:rsidRPr="00562FB0">
              <w:rPr>
                <w:color w:val="000000"/>
                <w:lang w:val="lv-LV" w:eastAsia="fr-FR"/>
              </w:rPr>
              <w:t>)</w:t>
            </w:r>
            <w:r w:rsidR="00D3167F" w:rsidRPr="00562FB0">
              <w:rPr>
                <w:color w:val="000000"/>
                <w:lang w:val="lv-LV" w:eastAsia="fr-FR"/>
              </w:rPr>
              <w:t>.</w:t>
            </w:r>
            <w:r w:rsidR="00F13FE1">
              <w:rPr>
                <w:color w:val="000000"/>
                <w:lang w:val="lv-LV" w:eastAsia="fr-FR"/>
              </w:rPr>
              <w:t xml:space="preserve"> </w:t>
            </w:r>
            <w:r w:rsidR="00167CFA" w:rsidRPr="00562FB0">
              <w:rPr>
                <w:color w:val="000000"/>
                <w:lang w:val="lv-LV" w:eastAsia="fr-FR"/>
              </w:rPr>
              <w:t>Dienests, izvērtējot katru uztura bagātinātāju</w:t>
            </w:r>
            <w:r w:rsidR="00167CFA" w:rsidRPr="00562FB0">
              <w:rPr>
                <w:color w:val="000000"/>
                <w:lang w:val="lv-LV"/>
              </w:rPr>
              <w:t xml:space="preserve"> ar dažādām organoleptiskām īpašībām, iegulda papildu laiku, tādēļ par šiem uztura bagātinātājiem tiek noteikta detalizētāka valsts nodeva</w:t>
            </w:r>
            <w:r w:rsidR="00156453" w:rsidRPr="00562FB0">
              <w:rPr>
                <w:color w:val="000000"/>
                <w:lang w:val="lv-LV"/>
              </w:rPr>
              <w:t>.</w:t>
            </w:r>
            <w:r w:rsidR="00555B40" w:rsidRPr="00562FB0">
              <w:rPr>
                <w:color w:val="000000"/>
                <w:lang w:val="lv-LV"/>
              </w:rPr>
              <w:t xml:space="preserve"> </w:t>
            </w:r>
          </w:p>
          <w:p w14:paraId="32FECDD6" w14:textId="77777777" w:rsidR="00562FB0" w:rsidRPr="00562FB0" w:rsidRDefault="00167CFA" w:rsidP="00D3167F">
            <w:pPr>
              <w:jc w:val="both"/>
              <w:rPr>
                <w:color w:val="000000"/>
                <w:lang w:val="lv-LV"/>
              </w:rPr>
            </w:pPr>
            <w:r w:rsidRPr="00562FB0">
              <w:rPr>
                <w:color w:val="000000"/>
                <w:lang w:val="lv-LV"/>
              </w:rPr>
              <w:t xml:space="preserve">Piemēram, ja uztura bagātinātājs tiks piedāvāts ar šokolādes, vaniļas un zemeņu garšu, dienestā tiks iesniegti trīs marķējumu tekstu paraugi. Šādā gadījumā uztura bagātinātāju pamatsastāvs nebūs identisks, jo atsevišķas produkta sastāvdaļas atšķirsies, piemēram, šokolādes garšas iegūšanai būs pievienots kakao, vaniļas garšas iegūšanai – vanilīns vai vaniļas aromatizētājs, zemeņu garšas iegūšanai – zemeņu aromatizētājs, zemeņu gabaliņi un krāsviela betanīns (E 162). </w:t>
            </w:r>
          </w:p>
          <w:p w14:paraId="600C916B" w14:textId="774B7734" w:rsidR="00562FB0" w:rsidRDefault="00096882" w:rsidP="00D3167F">
            <w:pPr>
              <w:jc w:val="both"/>
              <w:rPr>
                <w:color w:val="000000"/>
                <w:lang w:val="lv-LV"/>
              </w:rPr>
            </w:pPr>
            <w:r w:rsidRPr="00346AD9">
              <w:rPr>
                <w:color w:val="000000"/>
                <w:lang w:val="lv-LV"/>
              </w:rPr>
              <w:t xml:space="preserve">Tā kā atšķirsies uztura bagātinātāja sastāvdaļas, atkarībā no garšas mainīsies arī uztura bagātinātāja uzturvērtība, tādēļ tiek piemērota valsts nodeva </w:t>
            </w:r>
            <w:r w:rsidRPr="00346AD9">
              <w:rPr>
                <w:color w:val="000000"/>
                <w:lang w:val="lv-LV" w:eastAsia="fr-FR"/>
              </w:rPr>
              <w:t>3</w:t>
            </w:r>
            <w:r w:rsidR="00381ADC">
              <w:rPr>
                <w:color w:val="000000"/>
                <w:lang w:val="lv-LV" w:eastAsia="fr-FR"/>
              </w:rPr>
              <w:t>5</w:t>
            </w:r>
            <w:r w:rsidRPr="00346AD9">
              <w:rPr>
                <w:color w:val="000000"/>
                <w:lang w:val="lv-LV" w:eastAsia="fr-FR"/>
              </w:rPr>
              <w:t xml:space="preserve">,00 </w:t>
            </w:r>
            <w:r w:rsidRPr="00346AD9">
              <w:rPr>
                <w:i/>
                <w:color w:val="000000"/>
                <w:lang w:val="lv-LV"/>
              </w:rPr>
              <w:t>euro</w:t>
            </w:r>
            <w:r w:rsidRPr="00346AD9">
              <w:rPr>
                <w:color w:val="000000"/>
                <w:lang w:val="lv-LV" w:eastAsia="fr-FR"/>
              </w:rPr>
              <w:t xml:space="preserve">. Ja tas netiek izdalīts, tad </w:t>
            </w:r>
            <w:r w:rsidRPr="00346AD9">
              <w:rPr>
                <w:color w:val="000000"/>
                <w:lang w:val="lv-LV"/>
              </w:rPr>
              <w:t>katrs uztura bagātinātājs būtu uzskatāms par atsevišķu produktu un piemērojama valsts nodeva</w:t>
            </w:r>
            <w:r w:rsidR="00AB39DA">
              <w:rPr>
                <w:color w:val="000000"/>
                <w:lang w:val="lv-LV"/>
              </w:rPr>
              <w:t xml:space="preserve"> – 1</w:t>
            </w:r>
            <w:r w:rsidR="00381ADC">
              <w:rPr>
                <w:color w:val="000000"/>
                <w:lang w:val="lv-LV"/>
              </w:rPr>
              <w:t>2</w:t>
            </w:r>
            <w:r w:rsidR="00AB39DA">
              <w:rPr>
                <w:color w:val="000000"/>
                <w:lang w:val="lv-LV"/>
              </w:rPr>
              <w:t>5,00</w:t>
            </w:r>
            <w:r w:rsidRPr="00346AD9">
              <w:rPr>
                <w:color w:val="000000"/>
                <w:lang w:val="lv-LV"/>
              </w:rPr>
              <w:t xml:space="preserve"> </w:t>
            </w:r>
            <w:r w:rsidR="00AB39DA" w:rsidRPr="00326BD6">
              <w:rPr>
                <w:i/>
                <w:color w:val="000000" w:themeColor="text1"/>
                <w:lang w:val="lv-LV"/>
              </w:rPr>
              <w:t>euro</w:t>
            </w:r>
            <w:r w:rsidR="00AB39DA">
              <w:rPr>
                <w:i/>
                <w:color w:val="000000" w:themeColor="text1"/>
                <w:lang w:val="lv-LV"/>
              </w:rPr>
              <w:t>.</w:t>
            </w:r>
          </w:p>
          <w:p w14:paraId="25FB2D86" w14:textId="6FF88A9A" w:rsidR="00F13FE1" w:rsidRDefault="00271205" w:rsidP="00D3167F">
            <w:pPr>
              <w:jc w:val="both"/>
              <w:rPr>
                <w:color w:val="000000" w:themeColor="text1"/>
                <w:lang w:val="lv-LV"/>
              </w:rPr>
            </w:pPr>
            <w:r w:rsidRPr="00271205">
              <w:rPr>
                <w:color w:val="000000" w:themeColor="text1"/>
                <w:lang w:val="lv-LV"/>
              </w:rPr>
              <w:t>3.</w:t>
            </w:r>
            <w:r>
              <w:rPr>
                <w:color w:val="000000" w:themeColor="text1"/>
                <w:lang w:val="lv-LV"/>
              </w:rPr>
              <w:t xml:space="preserve"> Noteikt par izmaiņu veikšanu reģistrā esošam uztura bagātinātājam divus valsts nodevu veidus:</w:t>
            </w:r>
          </w:p>
          <w:p w14:paraId="6659D455" w14:textId="528F1AAD" w:rsidR="006C2FE3" w:rsidRPr="00A61A00" w:rsidRDefault="00271205" w:rsidP="006C2FE3">
            <w:pPr>
              <w:pStyle w:val="Paraststmeklis"/>
              <w:spacing w:before="0" w:beforeAutospacing="0" w:after="0" w:afterAutospacing="0"/>
              <w:jc w:val="both"/>
              <w:rPr>
                <w:color w:val="000000" w:themeColor="text1"/>
                <w:lang w:val="lv-LV"/>
              </w:rPr>
            </w:pPr>
            <w:r>
              <w:rPr>
                <w:color w:val="000000" w:themeColor="text1"/>
                <w:lang w:val="lv-LV"/>
              </w:rPr>
              <w:t>a) par būtiskām izmaiņām (mainot uztura bagātinātāja pagatavojuma veidu, fasējuma vienības lielumu, ieteicamo dienas (diennakts) devu, sastāvdaļas vai sastāvdaļu daudzumu</w:t>
            </w:r>
            <w:r w:rsidR="00326BD6">
              <w:rPr>
                <w:color w:val="000000" w:themeColor="text1"/>
                <w:lang w:val="lv-LV"/>
              </w:rPr>
              <w:t xml:space="preserve">) </w:t>
            </w:r>
            <w:r w:rsidR="00326BD6" w:rsidRPr="007C7C65">
              <w:rPr>
                <w:color w:val="000000" w:themeColor="text1"/>
                <w:lang w:val="lv-LV"/>
              </w:rPr>
              <w:t>– 1</w:t>
            </w:r>
            <w:r w:rsidR="0078440C" w:rsidRPr="007C7C65">
              <w:rPr>
                <w:color w:val="000000" w:themeColor="text1"/>
                <w:lang w:val="lv-LV"/>
              </w:rPr>
              <w:t>0</w:t>
            </w:r>
            <w:r w:rsidR="00326BD6" w:rsidRPr="007C7C65">
              <w:rPr>
                <w:color w:val="000000" w:themeColor="text1"/>
                <w:lang w:val="lv-LV"/>
              </w:rPr>
              <w:t xml:space="preserve">0, 00 </w:t>
            </w:r>
            <w:r w:rsidR="00326BD6" w:rsidRPr="007C7C65">
              <w:rPr>
                <w:i/>
                <w:color w:val="000000" w:themeColor="text1"/>
                <w:lang w:val="lv-LV"/>
              </w:rPr>
              <w:t>euro</w:t>
            </w:r>
            <w:r w:rsidR="006C2FE3" w:rsidRPr="007C7C65">
              <w:rPr>
                <w:i/>
                <w:color w:val="000000" w:themeColor="text1"/>
                <w:lang w:val="lv-LV"/>
              </w:rPr>
              <w:t>.</w:t>
            </w:r>
            <w:r w:rsidR="006C2FE3" w:rsidRPr="00A61A00">
              <w:rPr>
                <w:color w:val="000000" w:themeColor="text1"/>
                <w:lang w:val="lv-LV"/>
              </w:rPr>
              <w:t xml:space="preserve"> Šīs izmaiņas ir uzskatāmas par būtiskām, jo attiecas tieši uz informāciju, ko saņem patērētājs par produktu; </w:t>
            </w:r>
          </w:p>
          <w:p w14:paraId="1261D13F" w14:textId="1D92E7A6" w:rsidR="00E44D9E" w:rsidRPr="00562FB0" w:rsidRDefault="00FC333E" w:rsidP="00E44D9E">
            <w:pPr>
              <w:jc w:val="both"/>
              <w:rPr>
                <w:color w:val="000000"/>
                <w:lang w:val="lv-LV" w:eastAsia="fr-FR"/>
              </w:rPr>
            </w:pPr>
            <w:r w:rsidRPr="00562FB0">
              <w:rPr>
                <w:color w:val="000000"/>
                <w:lang w:val="lv-LV" w:eastAsia="fr-FR"/>
              </w:rPr>
              <w:t>b</w:t>
            </w:r>
            <w:r w:rsidR="00167CFA" w:rsidRPr="00562FB0">
              <w:rPr>
                <w:color w:val="000000"/>
                <w:lang w:val="lv-LV" w:eastAsia="fr-FR"/>
              </w:rPr>
              <w:t xml:space="preserve">) par </w:t>
            </w:r>
            <w:r w:rsidR="00326BD6">
              <w:rPr>
                <w:color w:val="000000"/>
                <w:lang w:val="lv-LV" w:eastAsia="fr-FR"/>
              </w:rPr>
              <w:t>mazāk būtiskām i</w:t>
            </w:r>
            <w:r w:rsidR="00E44D9E" w:rsidRPr="00562FB0">
              <w:rPr>
                <w:color w:val="000000"/>
                <w:lang w:val="lv-LV" w:eastAsia="fr-FR"/>
              </w:rPr>
              <w:t>zmaiņ</w:t>
            </w:r>
            <w:r w:rsidR="00167CFA" w:rsidRPr="00562FB0">
              <w:rPr>
                <w:color w:val="000000"/>
                <w:lang w:val="lv-LV" w:eastAsia="fr-FR"/>
              </w:rPr>
              <w:t>ām</w:t>
            </w:r>
            <w:r w:rsidR="00E44D9E" w:rsidRPr="00562FB0">
              <w:rPr>
                <w:color w:val="000000"/>
                <w:lang w:val="lv-LV" w:eastAsia="fr-FR"/>
              </w:rPr>
              <w:t xml:space="preserve"> marķējumā</w:t>
            </w:r>
            <w:r w:rsidR="00167CFA" w:rsidRPr="00562FB0">
              <w:rPr>
                <w:color w:val="000000"/>
                <w:lang w:val="lv-LV" w:eastAsia="fr-FR"/>
              </w:rPr>
              <w:t xml:space="preserve"> </w:t>
            </w:r>
            <w:r w:rsidR="00167CFA" w:rsidRPr="007C7C65">
              <w:rPr>
                <w:color w:val="000000"/>
                <w:lang w:val="lv-LV" w:eastAsia="fr-FR"/>
              </w:rPr>
              <w:t xml:space="preserve">– </w:t>
            </w:r>
            <w:r w:rsidR="00E44D9E" w:rsidRPr="007C7C65">
              <w:rPr>
                <w:color w:val="000000"/>
                <w:lang w:val="lv-LV" w:eastAsia="fr-FR"/>
              </w:rPr>
              <w:t xml:space="preserve">50,00 </w:t>
            </w:r>
            <w:r w:rsidR="00E44D9E" w:rsidRPr="007C7C65">
              <w:rPr>
                <w:i/>
                <w:color w:val="000000"/>
                <w:lang w:val="lv-LV" w:eastAsia="fr-FR"/>
              </w:rPr>
              <w:t>euro</w:t>
            </w:r>
            <w:r w:rsidR="00E44D9E" w:rsidRPr="007C7C65">
              <w:rPr>
                <w:color w:val="000000"/>
                <w:lang w:val="lv-LV" w:eastAsia="fr-FR"/>
              </w:rPr>
              <w:t>.</w:t>
            </w:r>
            <w:r w:rsidR="00E44D9E" w:rsidRPr="00562FB0">
              <w:rPr>
                <w:color w:val="000000"/>
                <w:lang w:val="lv-LV" w:eastAsia="fr-FR"/>
              </w:rPr>
              <w:t xml:space="preserve"> </w:t>
            </w:r>
          </w:p>
          <w:p w14:paraId="4DA529CA" w14:textId="77777777" w:rsidR="006271F5" w:rsidRPr="00562FB0" w:rsidRDefault="00903001" w:rsidP="0086352C">
            <w:pPr>
              <w:jc w:val="both"/>
              <w:rPr>
                <w:lang w:val="lv-LV"/>
              </w:rPr>
            </w:pPr>
            <w:r w:rsidRPr="00562FB0">
              <w:rPr>
                <w:lang w:val="lv-LV"/>
              </w:rPr>
              <w:t xml:space="preserve">Dienests uzskata, ka ir </w:t>
            </w:r>
            <w:r w:rsidR="006271F5" w:rsidRPr="00562FB0">
              <w:rPr>
                <w:lang w:val="lv-LV"/>
              </w:rPr>
              <w:t xml:space="preserve">nepieciešams diferencēt </w:t>
            </w:r>
            <w:r w:rsidRPr="00562FB0">
              <w:rPr>
                <w:lang w:val="lv-LV"/>
              </w:rPr>
              <w:t xml:space="preserve">valsts </w:t>
            </w:r>
            <w:r w:rsidR="006271F5" w:rsidRPr="00562FB0">
              <w:rPr>
                <w:lang w:val="lv-LV"/>
              </w:rPr>
              <w:t>nodevas apmēru par izmaiņu reģistrēšanu reģistrā esošam uztura bagātinātājam atkarībā no tā, vai tās tieši skar reģistrēto produktu vai arī, piemēram, ir tehniska rakstura (marķējumā).</w:t>
            </w:r>
          </w:p>
          <w:p w14:paraId="5441044C" w14:textId="7F0CEFF4" w:rsidR="00736407" w:rsidRPr="00562FB0" w:rsidRDefault="00736407" w:rsidP="00736407">
            <w:pPr>
              <w:jc w:val="both"/>
              <w:rPr>
                <w:color w:val="000000" w:themeColor="text1"/>
                <w:lang w:val="lv-LV"/>
              </w:rPr>
            </w:pPr>
            <w:r w:rsidRPr="00562FB0">
              <w:rPr>
                <w:color w:val="000000" w:themeColor="text1"/>
                <w:lang w:val="lv-LV"/>
              </w:rPr>
              <w:t>Noteikumu projekta 2.</w:t>
            </w:r>
            <w:r w:rsidR="006824EF" w:rsidRPr="00562FB0">
              <w:rPr>
                <w:color w:val="000000" w:themeColor="text1"/>
                <w:lang w:val="lv-LV"/>
              </w:rPr>
              <w:t>5</w:t>
            </w:r>
            <w:r w:rsidRPr="00562FB0">
              <w:rPr>
                <w:color w:val="000000" w:themeColor="text1"/>
                <w:lang w:val="lv-LV"/>
              </w:rPr>
              <w:t>.</w:t>
            </w:r>
            <w:r w:rsidR="006824EF" w:rsidRPr="00562FB0">
              <w:rPr>
                <w:color w:val="000000" w:themeColor="text1"/>
                <w:lang w:val="lv-LV"/>
              </w:rPr>
              <w:t>1</w:t>
            </w:r>
            <w:r w:rsidRPr="00562FB0">
              <w:rPr>
                <w:color w:val="000000" w:themeColor="text1"/>
                <w:lang w:val="lv-LV"/>
              </w:rPr>
              <w:t xml:space="preserve">.apakšpunktā minētās pozīcijas ir būtiskas, jo tā ir informācija patērētājam par atbilstošu uztura bagātinātāja lietošanu, </w:t>
            </w:r>
            <w:r w:rsidR="007461C9" w:rsidRPr="00562FB0">
              <w:rPr>
                <w:color w:val="000000" w:themeColor="text1"/>
                <w:lang w:val="lv-LV"/>
              </w:rPr>
              <w:t>tāpēc</w:t>
            </w:r>
            <w:r w:rsidRPr="00562FB0">
              <w:rPr>
                <w:color w:val="000000" w:themeColor="text1"/>
                <w:lang w:val="lv-LV"/>
              </w:rPr>
              <w:t xml:space="preserve"> šīm pozīcijām tiek piemērota </w:t>
            </w:r>
            <w:r w:rsidR="00167CFA" w:rsidRPr="00562FB0">
              <w:rPr>
                <w:color w:val="000000" w:themeColor="text1"/>
                <w:lang w:val="lv-LV"/>
              </w:rPr>
              <w:t>liel</w:t>
            </w:r>
            <w:r w:rsidRPr="00562FB0">
              <w:rPr>
                <w:color w:val="000000" w:themeColor="text1"/>
                <w:lang w:val="lv-LV"/>
              </w:rPr>
              <w:t>āka valsts nodeva.</w:t>
            </w:r>
          </w:p>
          <w:p w14:paraId="5D4EB040" w14:textId="789D72DC" w:rsidR="00EE3C40" w:rsidRPr="00562FB0" w:rsidRDefault="00167CFA" w:rsidP="00EE3C40">
            <w:pPr>
              <w:jc w:val="both"/>
              <w:rPr>
                <w:bCs/>
                <w:color w:val="000000"/>
                <w:lang w:val="lv-LV"/>
              </w:rPr>
            </w:pPr>
            <w:r w:rsidRPr="00562FB0">
              <w:rPr>
                <w:color w:val="000000"/>
                <w:lang w:val="lv-LV"/>
              </w:rPr>
              <w:t xml:space="preserve">Š.g. 4.novembrī starpinstitūciju sanāksmē par Ministru kabineta noteikumu projektiem „Prasības uztura </w:t>
            </w:r>
            <w:r w:rsidRPr="00562FB0">
              <w:rPr>
                <w:color w:val="000000"/>
                <w:lang w:val="lv-LV"/>
              </w:rPr>
              <w:lastRenderedPageBreak/>
              <w:t>bagātinātājiem” un „</w:t>
            </w:r>
            <w:r w:rsidRPr="00562FB0">
              <w:rPr>
                <w:bCs/>
                <w:lang w:val="lv-LV"/>
              </w:rPr>
              <w:t xml:space="preserve">Grozījumi Ministru kabineta 2010.gada 21.decembra noteikumos Nr.1145 </w:t>
            </w:r>
            <w:r w:rsidRPr="00562FB0">
              <w:rPr>
                <w:bCs/>
                <w:color w:val="000000"/>
                <w:lang w:val="lv-LV"/>
              </w:rPr>
              <w:t xml:space="preserve">„Noteikumi par uztura bagātinātāju reģistrācijas valsts nodevu”” tika panākta vienošanās, ka </w:t>
            </w:r>
            <w:r w:rsidRPr="00562FB0">
              <w:rPr>
                <w:color w:val="000000"/>
                <w:lang w:val="lv-LV"/>
              </w:rPr>
              <w:t>Zemkopības ministrija sagatavos Ministru kabineta sēdes protokollēmuma projektu Ministru kabineta noteikumu projektam „Prasības uztura bagātinātājiem” par veicamajām darbībām sabiedrības informēšanas, reklāmas ierobežošanas un nepieciešamo finansējumu, lai veiktu laboratoriskās kontroles uztura bagātinātājiem.</w:t>
            </w:r>
          </w:p>
          <w:p w14:paraId="2ECC5C85" w14:textId="77777777" w:rsidR="00841D0E" w:rsidRPr="00562FB0" w:rsidRDefault="006340CF" w:rsidP="00F61DBC">
            <w:pPr>
              <w:ind w:left="57" w:right="57"/>
              <w:jc w:val="both"/>
              <w:rPr>
                <w:color w:val="000000"/>
                <w:lang w:val="lv-LV"/>
              </w:rPr>
            </w:pPr>
            <w:r w:rsidRPr="00562FB0">
              <w:rPr>
                <w:lang w:val="lv-LV"/>
              </w:rPr>
              <w:t xml:space="preserve">Dienests izvērtē uztura bagātinātāja </w:t>
            </w:r>
            <w:r w:rsidR="00AB3C61" w:rsidRPr="00562FB0">
              <w:rPr>
                <w:lang w:val="lv-LV"/>
              </w:rPr>
              <w:t>sastāvu</w:t>
            </w:r>
            <w:r w:rsidR="004A31BD" w:rsidRPr="00562FB0">
              <w:rPr>
                <w:lang w:val="lv-LV"/>
              </w:rPr>
              <w:t> –</w:t>
            </w:r>
            <w:r w:rsidR="00AB3C61" w:rsidRPr="00562FB0">
              <w:rPr>
                <w:lang w:val="lv-LV"/>
              </w:rPr>
              <w:t xml:space="preserve"> </w:t>
            </w:r>
            <w:r w:rsidRPr="00562FB0">
              <w:rPr>
                <w:color w:val="000000"/>
                <w:lang w:val="lv-LV"/>
              </w:rPr>
              <w:t>izmantoto vielu (augu</w:t>
            </w:r>
            <w:r w:rsidR="00F031AF" w:rsidRPr="00562FB0">
              <w:rPr>
                <w:color w:val="000000"/>
                <w:lang w:val="lv-LV"/>
              </w:rPr>
              <w:t xml:space="preserve"> vai dzīvnieku izcelsmes vielas</w:t>
            </w:r>
            <w:r w:rsidRPr="00562FB0">
              <w:rPr>
                <w:color w:val="000000"/>
                <w:lang w:val="lv-LV"/>
              </w:rPr>
              <w:t xml:space="preserve">) </w:t>
            </w:r>
            <w:r w:rsidR="007D00A0" w:rsidRPr="00562FB0">
              <w:rPr>
                <w:color w:val="000000"/>
                <w:lang w:val="lv-LV"/>
              </w:rPr>
              <w:t xml:space="preserve">un to </w:t>
            </w:r>
            <w:r w:rsidRPr="00562FB0">
              <w:rPr>
                <w:color w:val="000000"/>
                <w:lang w:val="lv-LV"/>
              </w:rPr>
              <w:t>daudzumu</w:t>
            </w:r>
            <w:r w:rsidR="00AB3C61" w:rsidRPr="00562FB0">
              <w:rPr>
                <w:color w:val="000000"/>
                <w:lang w:val="lv-LV"/>
              </w:rPr>
              <w:t xml:space="preserve">, </w:t>
            </w:r>
            <w:r w:rsidRPr="00562FB0">
              <w:rPr>
                <w:color w:val="000000"/>
                <w:lang w:val="lv-LV"/>
              </w:rPr>
              <w:t>izmantoto vitamīnu un minerālvielu daudzumu</w:t>
            </w:r>
            <w:r w:rsidR="00BA53FE" w:rsidRPr="00562FB0">
              <w:rPr>
                <w:color w:val="000000"/>
                <w:lang w:val="lv-LV"/>
              </w:rPr>
              <w:t>,</w:t>
            </w:r>
            <w:r w:rsidR="00AB3C61" w:rsidRPr="00562FB0">
              <w:rPr>
                <w:color w:val="000000"/>
                <w:lang w:val="lv-LV"/>
              </w:rPr>
              <w:t xml:space="preserve"> to savienojumu veidus</w:t>
            </w:r>
            <w:r w:rsidRPr="00562FB0">
              <w:rPr>
                <w:color w:val="000000"/>
                <w:lang w:val="lv-LV"/>
              </w:rPr>
              <w:t xml:space="preserve">, atļautās jaunās pārtikas sastāvdaļas, </w:t>
            </w:r>
            <w:r w:rsidR="00BF40BC" w:rsidRPr="00562FB0">
              <w:rPr>
                <w:color w:val="000000"/>
                <w:lang w:val="lv-LV"/>
              </w:rPr>
              <w:t>atļaut</w:t>
            </w:r>
            <w:r w:rsidR="00AB3C61" w:rsidRPr="00562FB0">
              <w:rPr>
                <w:color w:val="000000"/>
                <w:lang w:val="lv-LV"/>
              </w:rPr>
              <w:t>ās</w:t>
            </w:r>
            <w:r w:rsidR="00BF40BC" w:rsidRPr="00562FB0">
              <w:rPr>
                <w:color w:val="000000"/>
                <w:lang w:val="lv-LV"/>
              </w:rPr>
              <w:t xml:space="preserve"> pārtikas piedev</w:t>
            </w:r>
            <w:r w:rsidR="00AB3C61" w:rsidRPr="00562FB0">
              <w:rPr>
                <w:color w:val="000000"/>
                <w:lang w:val="lv-LV"/>
              </w:rPr>
              <w:t>as</w:t>
            </w:r>
            <w:r w:rsidR="00BF40BC" w:rsidRPr="00562FB0">
              <w:rPr>
                <w:color w:val="000000"/>
                <w:lang w:val="lv-LV"/>
              </w:rPr>
              <w:t xml:space="preserve"> un aromatizētāju</w:t>
            </w:r>
            <w:r w:rsidR="00BA53FE" w:rsidRPr="00562FB0">
              <w:rPr>
                <w:color w:val="000000"/>
                <w:lang w:val="lv-LV"/>
              </w:rPr>
              <w:t>s</w:t>
            </w:r>
            <w:r w:rsidR="00BF40BC" w:rsidRPr="00562FB0">
              <w:rPr>
                <w:color w:val="000000"/>
                <w:lang w:val="lv-LV"/>
              </w:rPr>
              <w:t xml:space="preserve">, </w:t>
            </w:r>
            <w:r w:rsidR="004A31BD" w:rsidRPr="00562FB0">
              <w:rPr>
                <w:color w:val="000000"/>
                <w:lang w:val="lv-LV"/>
              </w:rPr>
              <w:t xml:space="preserve">kā arī </w:t>
            </w:r>
            <w:r w:rsidRPr="00562FB0">
              <w:rPr>
                <w:color w:val="000000"/>
                <w:lang w:val="lv-LV"/>
              </w:rPr>
              <w:t>Eiropas Pārtikas nekaitīguma iestādes (</w:t>
            </w:r>
            <w:r w:rsidRPr="00562FB0">
              <w:rPr>
                <w:i/>
                <w:color w:val="000000"/>
                <w:lang w:val="lv-LV"/>
              </w:rPr>
              <w:t>EFSA</w:t>
            </w:r>
            <w:r w:rsidRPr="00562FB0">
              <w:rPr>
                <w:color w:val="000000"/>
                <w:lang w:val="lv-LV"/>
              </w:rPr>
              <w:t xml:space="preserve">) sniegtos zinātniskos pamatojumus </w:t>
            </w:r>
            <w:r w:rsidR="00AB3C61" w:rsidRPr="00562FB0">
              <w:rPr>
                <w:color w:val="000000"/>
                <w:lang w:val="lv-LV"/>
              </w:rPr>
              <w:t xml:space="preserve">par </w:t>
            </w:r>
            <w:r w:rsidRPr="00562FB0">
              <w:rPr>
                <w:color w:val="000000"/>
                <w:lang w:val="lv-LV"/>
              </w:rPr>
              <w:t>dažādu vielu</w:t>
            </w:r>
            <w:r w:rsidR="00AB3C61" w:rsidRPr="00562FB0">
              <w:rPr>
                <w:color w:val="000000"/>
                <w:lang w:val="lv-LV"/>
              </w:rPr>
              <w:t xml:space="preserve"> (augu)</w:t>
            </w:r>
            <w:r w:rsidRPr="00562FB0">
              <w:rPr>
                <w:color w:val="000000"/>
                <w:lang w:val="lv-LV"/>
              </w:rPr>
              <w:t xml:space="preserve"> lietošanas daudzum</w:t>
            </w:r>
            <w:r w:rsidR="00AB3C61" w:rsidRPr="00562FB0">
              <w:rPr>
                <w:color w:val="000000"/>
                <w:lang w:val="lv-LV"/>
              </w:rPr>
              <w:t>iem,</w:t>
            </w:r>
            <w:r w:rsidR="00AB3C61" w:rsidRPr="00562FB0">
              <w:rPr>
                <w:lang w:val="lv-LV"/>
              </w:rPr>
              <w:t xml:space="preserve"> </w:t>
            </w:r>
            <w:r w:rsidR="00AB3C61" w:rsidRPr="00562FB0">
              <w:rPr>
                <w:color w:val="000000"/>
                <w:lang w:val="lv-LV"/>
              </w:rPr>
              <w:t xml:space="preserve">uzturvērtības un veselīguma norādes. </w:t>
            </w:r>
          </w:p>
          <w:p w14:paraId="710628EA" w14:textId="77777777" w:rsidR="00F031AF" w:rsidRPr="00562FB0" w:rsidRDefault="00F031AF" w:rsidP="00F61DBC">
            <w:pPr>
              <w:ind w:left="57" w:right="57"/>
              <w:jc w:val="both"/>
              <w:rPr>
                <w:iCs/>
                <w:color w:val="000000" w:themeColor="text1"/>
                <w:lang w:val="lv-LV"/>
              </w:rPr>
            </w:pPr>
            <w:r w:rsidRPr="00562FB0">
              <w:rPr>
                <w:lang w:val="lv-LV"/>
              </w:rPr>
              <w:t xml:space="preserve">Apšaubot uztura bagātinātāja piekritību pārtikas apriti regulējošo tiesību aktu vai cilvēkiem paredzēto zāļu apriti regulējošo tiesību aktu normām, </w:t>
            </w:r>
            <w:r w:rsidRPr="00562FB0">
              <w:rPr>
                <w:iCs/>
                <w:color w:val="000000" w:themeColor="text1"/>
                <w:lang w:val="lv-LV"/>
              </w:rPr>
              <w:t xml:space="preserve">2014. gadā </w:t>
            </w:r>
            <w:r w:rsidRPr="00562FB0">
              <w:rPr>
                <w:lang w:val="lv-LV"/>
              </w:rPr>
              <w:t xml:space="preserve">dienests </w:t>
            </w:r>
            <w:r w:rsidRPr="00562FB0">
              <w:rPr>
                <w:iCs/>
                <w:color w:val="000000" w:themeColor="text1"/>
                <w:lang w:val="lv-LV"/>
              </w:rPr>
              <w:t>ir lūdzis Zāļu valsts aģentūru sniegt savu atzinumu 14 gadījumos.</w:t>
            </w:r>
          </w:p>
          <w:p w14:paraId="145C879B" w14:textId="77777777" w:rsidR="000B196D" w:rsidRPr="00562FB0" w:rsidRDefault="00296183" w:rsidP="00F61DBC">
            <w:pPr>
              <w:ind w:left="57" w:right="57"/>
              <w:jc w:val="both"/>
              <w:rPr>
                <w:lang w:val="lv-LV"/>
              </w:rPr>
            </w:pPr>
            <w:r w:rsidRPr="00562FB0">
              <w:rPr>
                <w:lang w:val="lv-LV"/>
              </w:rPr>
              <w:t xml:space="preserve">Vairākas dalībvalstis piemēro </w:t>
            </w:r>
            <w:r w:rsidR="0002105B" w:rsidRPr="00562FB0">
              <w:rPr>
                <w:lang w:val="lv-LV"/>
              </w:rPr>
              <w:t xml:space="preserve">dažādus apzīmējumus uztura bagātinātāju </w:t>
            </w:r>
            <w:r w:rsidR="00A71F4C" w:rsidRPr="00562FB0">
              <w:rPr>
                <w:lang w:val="lv-LV"/>
              </w:rPr>
              <w:t xml:space="preserve">izvērtēšanai atbilstoši </w:t>
            </w:r>
            <w:r w:rsidR="004656F0" w:rsidRPr="00562FB0">
              <w:rPr>
                <w:lang w:val="lv-LV"/>
              </w:rPr>
              <w:t xml:space="preserve">savas valsts normatīvajiem aktiem </w:t>
            </w:r>
            <w:r w:rsidR="00A71F4C" w:rsidRPr="00562FB0">
              <w:rPr>
                <w:lang w:val="lv-LV"/>
              </w:rPr>
              <w:t>pārtikas</w:t>
            </w:r>
            <w:r w:rsidR="004656F0" w:rsidRPr="00562FB0">
              <w:rPr>
                <w:lang w:val="lv-LV"/>
              </w:rPr>
              <w:t xml:space="preserve"> jomā</w:t>
            </w:r>
            <w:r w:rsidR="00D5187C" w:rsidRPr="00562FB0">
              <w:rPr>
                <w:lang w:val="lv-LV"/>
              </w:rPr>
              <w:t>.</w:t>
            </w:r>
            <w:r w:rsidR="004A31BD" w:rsidRPr="00562FB0">
              <w:rPr>
                <w:lang w:val="lv-LV"/>
              </w:rPr>
              <w:t xml:space="preserve"> </w:t>
            </w:r>
            <w:r w:rsidR="00D5187C" w:rsidRPr="00562FB0">
              <w:rPr>
                <w:lang w:val="lv-LV"/>
              </w:rPr>
              <w:t xml:space="preserve">Piemēram, tiek </w:t>
            </w:r>
            <w:r w:rsidR="004A31BD" w:rsidRPr="00562FB0">
              <w:rPr>
                <w:lang w:val="lv-LV"/>
              </w:rPr>
              <w:t>izmant</w:t>
            </w:r>
            <w:r w:rsidR="00D5187C" w:rsidRPr="00562FB0">
              <w:rPr>
                <w:lang w:val="lv-LV"/>
              </w:rPr>
              <w:t xml:space="preserve">oti </w:t>
            </w:r>
            <w:r w:rsidR="004A31BD" w:rsidRPr="00562FB0">
              <w:rPr>
                <w:lang w:val="lv-LV"/>
              </w:rPr>
              <w:t>t</w:t>
            </w:r>
            <w:r w:rsidR="000B196D" w:rsidRPr="00562FB0">
              <w:rPr>
                <w:lang w:val="lv-LV"/>
              </w:rPr>
              <w:t xml:space="preserve">ādi </w:t>
            </w:r>
            <w:r w:rsidR="00D5187C" w:rsidRPr="00562FB0">
              <w:rPr>
                <w:lang w:val="lv-LV"/>
              </w:rPr>
              <w:t xml:space="preserve">apzīmējumi kā </w:t>
            </w:r>
            <w:r w:rsidR="0002105B" w:rsidRPr="00562FB0">
              <w:rPr>
                <w:lang w:val="lv-LV"/>
              </w:rPr>
              <w:t>maks</w:t>
            </w:r>
            <w:r w:rsidR="00D5187C" w:rsidRPr="00562FB0">
              <w:rPr>
                <w:lang w:val="lv-LV"/>
              </w:rPr>
              <w:t>a</w:t>
            </w:r>
            <w:r w:rsidR="00A71F4C" w:rsidRPr="00562FB0">
              <w:rPr>
                <w:lang w:val="lv-LV"/>
              </w:rPr>
              <w:t xml:space="preserve"> </w:t>
            </w:r>
            <w:r w:rsidR="00D5187C" w:rsidRPr="00562FB0">
              <w:rPr>
                <w:lang w:val="lv-LV"/>
              </w:rPr>
              <w:t xml:space="preserve">par uztura bagātinātāja paziņojuma izvērtēšanu, maksa par uztura bagātinātāja reģistrāciju vai atzīšanu, </w:t>
            </w:r>
            <w:r w:rsidR="005E496B" w:rsidRPr="00562FB0">
              <w:rPr>
                <w:lang w:val="lv-LV"/>
              </w:rPr>
              <w:t xml:space="preserve">valsts </w:t>
            </w:r>
            <w:r w:rsidR="00D5187C" w:rsidRPr="00562FB0">
              <w:rPr>
                <w:lang w:val="lv-LV"/>
              </w:rPr>
              <w:t xml:space="preserve">nodeva par </w:t>
            </w:r>
            <w:r w:rsidRPr="00562FB0">
              <w:rPr>
                <w:lang w:val="lv-LV"/>
              </w:rPr>
              <w:t>uztura bagātinātāj</w:t>
            </w:r>
            <w:r w:rsidR="00D5187C" w:rsidRPr="00562FB0">
              <w:rPr>
                <w:lang w:val="lv-LV"/>
              </w:rPr>
              <w:t>a izvērtēšanu</w:t>
            </w:r>
            <w:r w:rsidR="000B196D" w:rsidRPr="00562FB0">
              <w:rPr>
                <w:lang w:val="lv-LV"/>
              </w:rPr>
              <w:t>, administratīvās izmaksas par paziņojuma izvērtēšanu u</w:t>
            </w:r>
            <w:r w:rsidR="00167CFA" w:rsidRPr="00562FB0">
              <w:rPr>
                <w:lang w:val="lv-LV"/>
              </w:rPr>
              <w:t>.</w:t>
            </w:r>
            <w:r w:rsidR="000B196D" w:rsidRPr="00562FB0">
              <w:rPr>
                <w:lang w:val="lv-LV"/>
              </w:rPr>
              <w:t>tml.</w:t>
            </w:r>
          </w:p>
          <w:p w14:paraId="3CCAFCAE" w14:textId="77777777" w:rsidR="00296183" w:rsidRPr="00562FB0" w:rsidRDefault="008C5A93" w:rsidP="00F61DBC">
            <w:pPr>
              <w:ind w:left="57" w:right="57"/>
              <w:jc w:val="both"/>
              <w:rPr>
                <w:lang w:val="lv-LV"/>
              </w:rPr>
            </w:pPr>
            <w:r w:rsidRPr="00562FB0">
              <w:rPr>
                <w:lang w:val="lv-LV"/>
              </w:rPr>
              <w:t>K</w:t>
            </w:r>
            <w:r w:rsidR="000B196D" w:rsidRPr="00562FB0">
              <w:rPr>
                <w:lang w:val="lv-LV"/>
              </w:rPr>
              <w:t>atra dalībvalsts piemēro dažādu samaksu</w:t>
            </w:r>
            <w:r w:rsidR="004A31BD" w:rsidRPr="00562FB0">
              <w:rPr>
                <w:lang w:val="lv-LV"/>
              </w:rPr>
              <w:t>,</w:t>
            </w:r>
            <w:r w:rsidR="000B196D" w:rsidRPr="00562FB0">
              <w:rPr>
                <w:lang w:val="lv-LV"/>
              </w:rPr>
              <w:t xml:space="preserve"> pirms </w:t>
            </w:r>
            <w:r w:rsidR="00296183" w:rsidRPr="00562FB0">
              <w:rPr>
                <w:lang w:val="lv-LV"/>
              </w:rPr>
              <w:t>uztura bagātinātāj</w:t>
            </w:r>
            <w:r w:rsidR="000B196D" w:rsidRPr="00562FB0">
              <w:rPr>
                <w:lang w:val="lv-LV"/>
              </w:rPr>
              <w:t xml:space="preserve">s </w:t>
            </w:r>
            <w:r w:rsidR="00296183" w:rsidRPr="00562FB0">
              <w:rPr>
                <w:lang w:val="lv-LV"/>
              </w:rPr>
              <w:t xml:space="preserve">tiek laists tirgū, piemēram, </w:t>
            </w:r>
            <w:r w:rsidR="0002105B" w:rsidRPr="00562FB0">
              <w:rPr>
                <w:lang w:val="lv-LV"/>
              </w:rPr>
              <w:t xml:space="preserve">Kipra </w:t>
            </w:r>
            <w:r w:rsidR="004A31BD" w:rsidRPr="00562FB0">
              <w:rPr>
                <w:lang w:val="lv-LV"/>
              </w:rPr>
              <w:t xml:space="preserve">– </w:t>
            </w:r>
            <w:r w:rsidR="0002105B" w:rsidRPr="00562FB0">
              <w:rPr>
                <w:lang w:val="lv-LV"/>
              </w:rPr>
              <w:t xml:space="preserve">34,17 </w:t>
            </w:r>
            <w:r w:rsidR="0002105B" w:rsidRPr="00562FB0">
              <w:rPr>
                <w:i/>
                <w:lang w:val="lv-LV"/>
              </w:rPr>
              <w:t>euro</w:t>
            </w:r>
            <w:r w:rsidR="000B196D" w:rsidRPr="00562FB0">
              <w:rPr>
                <w:i/>
                <w:lang w:val="lv-LV"/>
              </w:rPr>
              <w:t xml:space="preserve">, </w:t>
            </w:r>
            <w:r w:rsidR="00296183" w:rsidRPr="00562FB0">
              <w:rPr>
                <w:lang w:val="lv-LV"/>
              </w:rPr>
              <w:t>Somija</w:t>
            </w:r>
            <w:r w:rsidR="00296183" w:rsidRPr="00562FB0">
              <w:rPr>
                <w:i/>
                <w:lang w:val="lv-LV"/>
              </w:rPr>
              <w:t xml:space="preserve"> </w:t>
            </w:r>
            <w:r w:rsidR="009E5ECA" w:rsidRPr="00562FB0">
              <w:rPr>
                <w:i/>
                <w:lang w:val="lv-LV"/>
              </w:rPr>
              <w:t xml:space="preserve">– </w:t>
            </w:r>
            <w:r w:rsidR="00296183" w:rsidRPr="00562FB0">
              <w:rPr>
                <w:lang w:val="lv-LV"/>
              </w:rPr>
              <w:t>68</w:t>
            </w:r>
            <w:r w:rsidR="00526D03" w:rsidRPr="00562FB0">
              <w:rPr>
                <w:lang w:val="lv-LV"/>
              </w:rPr>
              <w:t>,00</w:t>
            </w:r>
            <w:r w:rsidR="00296183" w:rsidRPr="00562FB0">
              <w:rPr>
                <w:i/>
                <w:lang w:val="lv-LV"/>
              </w:rPr>
              <w:t xml:space="preserve"> euro, </w:t>
            </w:r>
            <w:r w:rsidR="00526D03" w:rsidRPr="00562FB0">
              <w:rPr>
                <w:lang w:val="lv-LV"/>
              </w:rPr>
              <w:t xml:space="preserve">Dānija – 135,00 </w:t>
            </w:r>
            <w:r w:rsidR="00526D03" w:rsidRPr="00562FB0">
              <w:rPr>
                <w:i/>
                <w:lang w:val="lv-LV"/>
              </w:rPr>
              <w:t xml:space="preserve">euro, </w:t>
            </w:r>
            <w:r w:rsidR="00097950" w:rsidRPr="00562FB0">
              <w:rPr>
                <w:lang w:val="lv-LV"/>
              </w:rPr>
              <w:t>Itālija – 160,20</w:t>
            </w:r>
            <w:r w:rsidR="00097950" w:rsidRPr="00562FB0">
              <w:rPr>
                <w:i/>
                <w:lang w:val="lv-LV"/>
              </w:rPr>
              <w:t xml:space="preserve"> euro</w:t>
            </w:r>
            <w:r w:rsidR="00097950" w:rsidRPr="00562FB0">
              <w:rPr>
                <w:lang w:val="lv-LV"/>
              </w:rPr>
              <w:t xml:space="preserve">, </w:t>
            </w:r>
            <w:r w:rsidR="00D3732B" w:rsidRPr="00562FB0">
              <w:rPr>
                <w:lang w:val="lv-LV"/>
              </w:rPr>
              <w:t xml:space="preserve">Beļģija – 180,00 </w:t>
            </w:r>
            <w:r w:rsidR="00D3732B" w:rsidRPr="00562FB0">
              <w:rPr>
                <w:i/>
                <w:lang w:val="lv-LV"/>
              </w:rPr>
              <w:t>euro</w:t>
            </w:r>
            <w:r w:rsidR="00D3732B" w:rsidRPr="00562FB0">
              <w:rPr>
                <w:lang w:val="lv-LV"/>
              </w:rPr>
              <w:t>,</w:t>
            </w:r>
            <w:r w:rsidR="00296183" w:rsidRPr="00562FB0">
              <w:rPr>
                <w:i/>
                <w:lang w:val="lv-LV"/>
              </w:rPr>
              <w:t xml:space="preserve"> </w:t>
            </w:r>
            <w:r w:rsidR="00263D7B" w:rsidRPr="00562FB0">
              <w:rPr>
                <w:lang w:val="lv-LV"/>
              </w:rPr>
              <w:t>Čehija – 304,00</w:t>
            </w:r>
            <w:r w:rsidR="00263D7B" w:rsidRPr="00562FB0">
              <w:rPr>
                <w:i/>
                <w:lang w:val="lv-LV"/>
              </w:rPr>
              <w:t xml:space="preserve"> euro</w:t>
            </w:r>
            <w:r w:rsidR="00263D7B" w:rsidRPr="00562FB0">
              <w:rPr>
                <w:lang w:val="lv-LV"/>
              </w:rPr>
              <w:t>,</w:t>
            </w:r>
            <w:r w:rsidR="00263D7B" w:rsidRPr="00562FB0">
              <w:rPr>
                <w:i/>
                <w:lang w:val="lv-LV"/>
              </w:rPr>
              <w:t xml:space="preserve"> </w:t>
            </w:r>
            <w:r w:rsidR="00535A53" w:rsidRPr="00562FB0">
              <w:rPr>
                <w:lang w:val="lv-LV"/>
              </w:rPr>
              <w:t>Grieķija – 600,00</w:t>
            </w:r>
            <w:r w:rsidR="00535A53" w:rsidRPr="00562FB0">
              <w:rPr>
                <w:i/>
                <w:lang w:val="lv-LV"/>
              </w:rPr>
              <w:t xml:space="preserve"> euro</w:t>
            </w:r>
            <w:r w:rsidR="00535A53" w:rsidRPr="00562FB0">
              <w:rPr>
                <w:lang w:val="lv-LV"/>
              </w:rPr>
              <w:t xml:space="preserve"> (</w:t>
            </w:r>
            <w:r w:rsidR="0019625E" w:rsidRPr="00562FB0">
              <w:rPr>
                <w:lang w:val="lv-LV"/>
              </w:rPr>
              <w:t xml:space="preserve">ja </w:t>
            </w:r>
            <w:r w:rsidR="0095787D" w:rsidRPr="00562FB0">
              <w:rPr>
                <w:lang w:val="lv-LV"/>
              </w:rPr>
              <w:t>uztura bagātinātājs tiek laists tirgū</w:t>
            </w:r>
            <w:r w:rsidR="0019625E" w:rsidRPr="00562FB0">
              <w:rPr>
                <w:lang w:val="lv-LV"/>
              </w:rPr>
              <w:t xml:space="preserve"> </w:t>
            </w:r>
            <w:r w:rsidR="00535A53" w:rsidRPr="00562FB0">
              <w:rPr>
                <w:lang w:val="lv-LV"/>
              </w:rPr>
              <w:t xml:space="preserve">no citām dalībvalstīm), </w:t>
            </w:r>
            <w:r w:rsidR="00296183" w:rsidRPr="00562FB0">
              <w:rPr>
                <w:lang w:val="lv-LV"/>
              </w:rPr>
              <w:t xml:space="preserve">bet ir dalībvalstis, kas nepiemēro </w:t>
            </w:r>
            <w:r w:rsidRPr="00562FB0">
              <w:rPr>
                <w:lang w:val="lv-LV"/>
              </w:rPr>
              <w:t xml:space="preserve">ne </w:t>
            </w:r>
            <w:r w:rsidR="00296183" w:rsidRPr="00562FB0">
              <w:rPr>
                <w:lang w:val="lv-LV"/>
              </w:rPr>
              <w:t>nodevu</w:t>
            </w:r>
            <w:r w:rsidRPr="00562FB0">
              <w:rPr>
                <w:lang w:val="lv-LV"/>
              </w:rPr>
              <w:t xml:space="preserve">, ne maksas pakalpojumu, ne citas izmaksas, kas saistās ar </w:t>
            </w:r>
            <w:r w:rsidR="00296183" w:rsidRPr="00562FB0">
              <w:rPr>
                <w:lang w:val="lv-LV"/>
              </w:rPr>
              <w:t>uztura bagātinātāj</w:t>
            </w:r>
            <w:r w:rsidRPr="00562FB0">
              <w:rPr>
                <w:lang w:val="lv-LV"/>
              </w:rPr>
              <w:t>u laišanu tirgū,</w:t>
            </w:r>
            <w:r w:rsidR="00296183" w:rsidRPr="00562FB0">
              <w:rPr>
                <w:lang w:val="lv-LV"/>
              </w:rPr>
              <w:t xml:space="preserve"> kā Igaunija, Lietuva, </w:t>
            </w:r>
            <w:r w:rsidR="00D3732B" w:rsidRPr="00562FB0">
              <w:rPr>
                <w:lang w:val="lv-LV"/>
              </w:rPr>
              <w:t xml:space="preserve">Polija, </w:t>
            </w:r>
            <w:r w:rsidR="00526D03" w:rsidRPr="00562FB0">
              <w:rPr>
                <w:lang w:val="lv-LV"/>
              </w:rPr>
              <w:t xml:space="preserve">Īrija, Luksemburga, </w:t>
            </w:r>
            <w:r w:rsidR="00535A53" w:rsidRPr="00562FB0">
              <w:rPr>
                <w:lang w:val="lv-LV"/>
              </w:rPr>
              <w:t xml:space="preserve">Francija, </w:t>
            </w:r>
            <w:r w:rsidR="00526D03" w:rsidRPr="00562FB0">
              <w:rPr>
                <w:lang w:val="lv-LV"/>
              </w:rPr>
              <w:t xml:space="preserve">Malta, Nīderlande, </w:t>
            </w:r>
            <w:r w:rsidR="00296183" w:rsidRPr="00562FB0">
              <w:rPr>
                <w:lang w:val="lv-LV"/>
              </w:rPr>
              <w:t>Spānija, Zviedrija, Lielbritānija</w:t>
            </w:r>
            <w:r w:rsidR="00526D03" w:rsidRPr="00562FB0">
              <w:rPr>
                <w:lang w:val="lv-LV"/>
              </w:rPr>
              <w:t>, Vācija</w:t>
            </w:r>
            <w:r w:rsidR="00097950" w:rsidRPr="00562FB0">
              <w:rPr>
                <w:lang w:val="lv-LV"/>
              </w:rPr>
              <w:t xml:space="preserve">, Portugāle, </w:t>
            </w:r>
            <w:r w:rsidR="00263D7B" w:rsidRPr="00562FB0">
              <w:rPr>
                <w:lang w:val="lv-LV"/>
              </w:rPr>
              <w:t xml:space="preserve">Bulgārija, </w:t>
            </w:r>
            <w:r w:rsidR="00097950" w:rsidRPr="00562FB0">
              <w:rPr>
                <w:lang w:val="lv-LV"/>
              </w:rPr>
              <w:t xml:space="preserve">Rumānija, Slovākija, </w:t>
            </w:r>
            <w:r w:rsidR="00263D7B" w:rsidRPr="00562FB0">
              <w:rPr>
                <w:lang w:val="lv-LV"/>
              </w:rPr>
              <w:t>Austrija</w:t>
            </w:r>
            <w:r w:rsidR="004A31BD" w:rsidRPr="00562FB0">
              <w:rPr>
                <w:lang w:val="lv-LV"/>
              </w:rPr>
              <w:t xml:space="preserve"> un</w:t>
            </w:r>
            <w:r w:rsidR="00263D7B" w:rsidRPr="00562FB0">
              <w:rPr>
                <w:lang w:val="lv-LV"/>
              </w:rPr>
              <w:t xml:space="preserve"> Horvātija</w:t>
            </w:r>
            <w:r w:rsidR="00296183" w:rsidRPr="00562FB0">
              <w:rPr>
                <w:lang w:val="lv-LV"/>
              </w:rPr>
              <w:t xml:space="preserve">. </w:t>
            </w:r>
          </w:p>
          <w:p w14:paraId="524C81F7" w14:textId="77777777" w:rsidR="00296183" w:rsidRPr="00562FB0" w:rsidRDefault="00296183" w:rsidP="00F61DBC">
            <w:pPr>
              <w:ind w:left="57" w:right="57"/>
              <w:jc w:val="both"/>
              <w:rPr>
                <w:iCs/>
                <w:lang w:val="lv-LV"/>
              </w:rPr>
            </w:pPr>
            <w:r w:rsidRPr="00562FB0">
              <w:rPr>
                <w:lang w:val="lv-LV"/>
              </w:rPr>
              <w:t xml:space="preserve">Detalizētāku informāciju par Eiropas Savienības dalībvalstu prasībām attiecībā uz </w:t>
            </w:r>
            <w:r w:rsidRPr="00562FB0">
              <w:rPr>
                <w:iCs/>
                <w:lang w:val="lv-LV"/>
              </w:rPr>
              <w:t xml:space="preserve">uztura bagātinātāju jomu ir apkopojusi asociācija </w:t>
            </w:r>
            <w:r w:rsidRPr="00562FB0">
              <w:rPr>
                <w:i/>
                <w:iCs/>
                <w:lang w:val="lv-LV"/>
              </w:rPr>
              <w:t xml:space="preserve">Association of the European Self-Medication Industry (AESGP) </w:t>
            </w:r>
            <w:r w:rsidRPr="00562FB0">
              <w:rPr>
                <w:iCs/>
                <w:lang w:val="lv-LV"/>
              </w:rPr>
              <w:t>„</w:t>
            </w:r>
            <w:r w:rsidRPr="00562FB0">
              <w:rPr>
                <w:i/>
                <w:iCs/>
                <w:lang w:val="lv-LV"/>
              </w:rPr>
              <w:t>Legal and Regulatory Framework for Food Supplements” (</w:t>
            </w:r>
            <w:hyperlink r:id="rId9" w:history="1">
              <w:r w:rsidRPr="00562FB0">
                <w:rPr>
                  <w:rStyle w:val="Hipersaite"/>
                  <w:i/>
                  <w:iCs/>
                  <w:lang w:val="lv-LV"/>
                </w:rPr>
                <w:t>www.aesgp.eu</w:t>
              </w:r>
            </w:hyperlink>
            <w:r w:rsidRPr="00562FB0">
              <w:rPr>
                <w:i/>
                <w:iCs/>
                <w:lang w:val="lv-LV"/>
              </w:rPr>
              <w:t xml:space="preserve">). </w:t>
            </w:r>
            <w:r w:rsidRPr="00562FB0">
              <w:rPr>
                <w:iCs/>
                <w:lang w:val="lv-LV"/>
              </w:rPr>
              <w:t>Š</w:t>
            </w:r>
            <w:r w:rsidR="001B375E" w:rsidRPr="00562FB0">
              <w:rPr>
                <w:iCs/>
                <w:lang w:val="lv-LV"/>
              </w:rPr>
              <w:t xml:space="preserve">.g. 4.martā </w:t>
            </w:r>
            <w:r w:rsidRPr="00562FB0">
              <w:rPr>
                <w:iCs/>
                <w:lang w:val="lv-LV"/>
              </w:rPr>
              <w:t xml:space="preserve">asociācija </w:t>
            </w:r>
            <w:r w:rsidR="004A31BD" w:rsidRPr="00562FB0">
              <w:rPr>
                <w:iCs/>
                <w:lang w:val="lv-LV"/>
              </w:rPr>
              <w:t xml:space="preserve">atjaunināja </w:t>
            </w:r>
            <w:r w:rsidRPr="00562FB0">
              <w:rPr>
                <w:iCs/>
                <w:lang w:val="lv-LV"/>
              </w:rPr>
              <w:t>informācij</w:t>
            </w:r>
            <w:r w:rsidR="004A31BD" w:rsidRPr="00562FB0">
              <w:rPr>
                <w:iCs/>
                <w:lang w:val="lv-LV"/>
              </w:rPr>
              <w:t xml:space="preserve">u </w:t>
            </w:r>
            <w:r w:rsidRPr="00562FB0">
              <w:rPr>
                <w:iCs/>
                <w:lang w:val="lv-LV"/>
              </w:rPr>
              <w:t>uztura bagātinātāju jomā</w:t>
            </w:r>
            <w:r w:rsidR="004A31BD" w:rsidRPr="00562FB0">
              <w:rPr>
                <w:iCs/>
                <w:lang w:val="lv-LV"/>
              </w:rPr>
              <w:t>,</w:t>
            </w:r>
            <w:r w:rsidRPr="00562FB0">
              <w:rPr>
                <w:iCs/>
                <w:lang w:val="lv-LV"/>
              </w:rPr>
              <w:t xml:space="preserve"> un Latvija </w:t>
            </w:r>
            <w:r w:rsidR="004A31BD" w:rsidRPr="00562FB0">
              <w:rPr>
                <w:iCs/>
                <w:lang w:val="lv-LV"/>
              </w:rPr>
              <w:t>asociācijai paziņoja</w:t>
            </w:r>
            <w:r w:rsidRPr="00562FB0">
              <w:rPr>
                <w:iCs/>
                <w:lang w:val="lv-LV"/>
              </w:rPr>
              <w:t>, ka notiek normatīv</w:t>
            </w:r>
            <w:r w:rsidR="000678FF" w:rsidRPr="00562FB0">
              <w:rPr>
                <w:iCs/>
                <w:lang w:val="lv-LV"/>
              </w:rPr>
              <w:t>o aktu</w:t>
            </w:r>
            <w:r w:rsidRPr="00562FB0">
              <w:rPr>
                <w:iCs/>
                <w:lang w:val="lv-LV"/>
              </w:rPr>
              <w:t xml:space="preserve"> pārskatīšana.</w:t>
            </w:r>
          </w:p>
          <w:p w14:paraId="5C22CA01" w14:textId="77777777" w:rsidR="00AB646E" w:rsidRPr="00562FB0" w:rsidRDefault="00F145DA" w:rsidP="00F61DBC">
            <w:pPr>
              <w:ind w:left="57" w:right="57"/>
              <w:jc w:val="both"/>
              <w:rPr>
                <w:lang w:val="lv-LV"/>
              </w:rPr>
            </w:pPr>
            <w:r w:rsidRPr="00562FB0">
              <w:rPr>
                <w:iCs/>
                <w:lang w:val="lv-LV"/>
              </w:rPr>
              <w:t>Patlaban noteikumu</w:t>
            </w:r>
            <w:r w:rsidR="00AB646E" w:rsidRPr="00562FB0">
              <w:rPr>
                <w:iCs/>
                <w:lang w:val="lv-LV"/>
              </w:rPr>
              <w:t xml:space="preserve"> Nr.1145 </w:t>
            </w:r>
            <w:r w:rsidRPr="00562FB0">
              <w:rPr>
                <w:iCs/>
                <w:lang w:val="lv-LV"/>
              </w:rPr>
              <w:t xml:space="preserve">5.punkts </w:t>
            </w:r>
            <w:r w:rsidR="00AB646E" w:rsidRPr="00562FB0">
              <w:rPr>
                <w:iCs/>
                <w:lang w:val="lv-LV"/>
              </w:rPr>
              <w:t>nosaka, ka</w:t>
            </w:r>
            <w:r w:rsidR="00A413DA" w:rsidRPr="00562FB0">
              <w:rPr>
                <w:iCs/>
                <w:lang w:val="lv-LV"/>
              </w:rPr>
              <w:t xml:space="preserve"> personai, kas iesniedz iesniegumu uztura bagātinātāja reģistrācijai, dienestā jāiesniedz arī valsts nodevas nomaksu apliecinošs dokuments (ja maksājums veikts kredītiestādē). </w:t>
            </w:r>
            <w:r w:rsidR="004A31BD" w:rsidRPr="00562FB0">
              <w:rPr>
                <w:iCs/>
                <w:lang w:val="lv-LV"/>
              </w:rPr>
              <w:t>Tā kā</w:t>
            </w:r>
            <w:r w:rsidR="00686885" w:rsidRPr="00562FB0">
              <w:rPr>
                <w:iCs/>
                <w:lang w:val="lv-LV"/>
              </w:rPr>
              <w:t xml:space="preserve"> </w:t>
            </w:r>
            <w:r w:rsidR="00686885" w:rsidRPr="00562FB0">
              <w:rPr>
                <w:iCs/>
                <w:lang w:val="lv-LV"/>
              </w:rPr>
              <w:lastRenderedPageBreak/>
              <w:t xml:space="preserve">dienests par </w:t>
            </w:r>
            <w:r w:rsidR="00FF0374" w:rsidRPr="00562FB0">
              <w:rPr>
                <w:iCs/>
                <w:lang w:val="lv-LV"/>
              </w:rPr>
              <w:t xml:space="preserve">konkrētās </w:t>
            </w:r>
            <w:r w:rsidR="00686885" w:rsidRPr="00562FB0">
              <w:rPr>
                <w:iCs/>
                <w:lang w:val="lv-LV"/>
              </w:rPr>
              <w:t xml:space="preserve">valsts </w:t>
            </w:r>
            <w:r w:rsidR="00FF0374" w:rsidRPr="00562FB0">
              <w:rPr>
                <w:iCs/>
                <w:lang w:val="lv-LV"/>
              </w:rPr>
              <w:t>nodevas nomaksu var pārliecināties,</w:t>
            </w:r>
            <w:r w:rsidR="00FF0374" w:rsidRPr="00562FB0">
              <w:rPr>
                <w:lang w:val="lv-LV"/>
              </w:rPr>
              <w:t xml:space="preserve"> izmantojot budžeta</w:t>
            </w:r>
            <w:r w:rsidR="00361BA1" w:rsidRPr="00562FB0">
              <w:rPr>
                <w:lang w:val="lv-LV"/>
              </w:rPr>
              <w:t xml:space="preserve"> elektronisko norēķinu sistēmu „e</w:t>
            </w:r>
            <w:r w:rsidR="00C3363D" w:rsidRPr="00562FB0">
              <w:rPr>
                <w:lang w:val="lv-LV"/>
              </w:rPr>
              <w:t>-</w:t>
            </w:r>
            <w:r w:rsidR="00361BA1" w:rsidRPr="00562FB0">
              <w:rPr>
                <w:lang w:val="lv-LV"/>
              </w:rPr>
              <w:t>Kase”</w:t>
            </w:r>
            <w:r w:rsidR="00FF0374" w:rsidRPr="00562FB0">
              <w:rPr>
                <w:lang w:val="lv-LV"/>
              </w:rPr>
              <w:t>,</w:t>
            </w:r>
            <w:r w:rsidR="00A84FDB" w:rsidRPr="00562FB0">
              <w:rPr>
                <w:lang w:val="lv-LV"/>
              </w:rPr>
              <w:t xml:space="preserve"> nav pamata </w:t>
            </w:r>
            <w:r w:rsidRPr="00562FB0">
              <w:rPr>
                <w:lang w:val="lv-LV"/>
              </w:rPr>
              <w:t xml:space="preserve">saglabāt </w:t>
            </w:r>
            <w:r w:rsidR="005F6318" w:rsidRPr="00562FB0">
              <w:rPr>
                <w:color w:val="000000" w:themeColor="text1"/>
                <w:lang w:val="lv-LV"/>
              </w:rPr>
              <w:t>pārtikas uzņēmumiem</w:t>
            </w:r>
            <w:r w:rsidRPr="00562FB0">
              <w:rPr>
                <w:lang w:val="lv-LV"/>
              </w:rPr>
              <w:t xml:space="preserve"> uzlikto administratīvo slogu un </w:t>
            </w:r>
            <w:r w:rsidR="00C55EB0" w:rsidRPr="00562FB0">
              <w:rPr>
                <w:lang w:val="lv-LV"/>
              </w:rPr>
              <w:t>attiecīgā</w:t>
            </w:r>
            <w:r w:rsidR="00087CCD" w:rsidRPr="00562FB0">
              <w:rPr>
                <w:lang w:val="lv-LV"/>
              </w:rPr>
              <w:t>s</w:t>
            </w:r>
            <w:r w:rsidR="00C55EB0" w:rsidRPr="00562FB0">
              <w:rPr>
                <w:lang w:val="lv-LV"/>
              </w:rPr>
              <w:t xml:space="preserve"> </w:t>
            </w:r>
            <w:r w:rsidR="000678FF" w:rsidRPr="00562FB0">
              <w:rPr>
                <w:lang w:val="lv-LV"/>
              </w:rPr>
              <w:t xml:space="preserve">tiesību </w:t>
            </w:r>
            <w:r w:rsidR="00C55EB0" w:rsidRPr="00562FB0">
              <w:rPr>
                <w:lang w:val="lv-LV"/>
              </w:rPr>
              <w:t>norma</w:t>
            </w:r>
            <w:r w:rsidR="00087CCD" w:rsidRPr="00562FB0">
              <w:rPr>
                <w:lang w:val="lv-LV"/>
              </w:rPr>
              <w:t>s jāprecizē</w:t>
            </w:r>
            <w:r w:rsidR="004A31BD" w:rsidRPr="00562FB0">
              <w:rPr>
                <w:lang w:val="lv-LV"/>
              </w:rPr>
              <w:t>,</w:t>
            </w:r>
            <w:r w:rsidR="00087CCD" w:rsidRPr="00562FB0">
              <w:rPr>
                <w:lang w:val="lv-LV"/>
              </w:rPr>
              <w:t xml:space="preserve"> grozot </w:t>
            </w:r>
            <w:r w:rsidR="004A31BD" w:rsidRPr="00562FB0">
              <w:rPr>
                <w:iCs/>
                <w:lang w:val="lv-LV"/>
              </w:rPr>
              <w:t xml:space="preserve">noteikumu Nr.1145 </w:t>
            </w:r>
            <w:r w:rsidR="00087CCD" w:rsidRPr="00562FB0">
              <w:rPr>
                <w:lang w:val="lv-LV"/>
              </w:rPr>
              <w:t>5.</w:t>
            </w:r>
            <w:r w:rsidR="00203450" w:rsidRPr="00562FB0">
              <w:rPr>
                <w:lang w:val="lv-LV"/>
              </w:rPr>
              <w:t xml:space="preserve"> </w:t>
            </w:r>
            <w:r w:rsidR="00087CCD" w:rsidRPr="00562FB0">
              <w:rPr>
                <w:lang w:val="lv-LV"/>
              </w:rPr>
              <w:t>punktu un svītrojot 6.punktu.</w:t>
            </w:r>
            <w:r w:rsidR="00087CCD" w:rsidRPr="00562FB0">
              <w:rPr>
                <w:color w:val="000000" w:themeColor="text1"/>
                <w:lang w:val="lv-LV"/>
              </w:rPr>
              <w:t xml:space="preserve"> </w:t>
            </w:r>
          </w:p>
          <w:p w14:paraId="726CABE7" w14:textId="7910075A" w:rsidR="00EB4CD3" w:rsidRPr="00562FB0" w:rsidRDefault="009058F9" w:rsidP="00AB39DA">
            <w:pPr>
              <w:ind w:left="57" w:right="57"/>
              <w:jc w:val="both"/>
              <w:rPr>
                <w:b/>
                <w:strike/>
                <w:color w:val="000000" w:themeColor="text1"/>
                <w:lang w:val="lv-LV"/>
              </w:rPr>
            </w:pPr>
            <w:r w:rsidRPr="00562FB0">
              <w:rPr>
                <w:lang w:val="lv-LV"/>
              </w:rPr>
              <w:t xml:space="preserve">Lai valsts budžetā </w:t>
            </w:r>
            <w:r w:rsidR="004A31BD" w:rsidRPr="00562FB0">
              <w:rPr>
                <w:lang w:val="lv-LV"/>
              </w:rPr>
              <w:t>iemaksāto</w:t>
            </w:r>
            <w:r w:rsidRPr="00562FB0">
              <w:rPr>
                <w:lang w:val="lv-LV"/>
              </w:rPr>
              <w:t xml:space="preserve"> valsts nodev</w:t>
            </w:r>
            <w:r w:rsidR="004A31BD" w:rsidRPr="00562FB0">
              <w:rPr>
                <w:lang w:val="lv-LV"/>
              </w:rPr>
              <w:t>u būtu iespējams identificēt</w:t>
            </w:r>
            <w:r w:rsidRPr="00562FB0">
              <w:rPr>
                <w:lang w:val="lv-LV"/>
              </w:rPr>
              <w:t>, nepi</w:t>
            </w:r>
            <w:r w:rsidR="000E001A" w:rsidRPr="00562FB0">
              <w:rPr>
                <w:lang w:val="lv-LV"/>
              </w:rPr>
              <w:t>e</w:t>
            </w:r>
            <w:r w:rsidRPr="00562FB0">
              <w:rPr>
                <w:lang w:val="lv-LV"/>
              </w:rPr>
              <w:t xml:space="preserve">ciešams noteikt, ka </w:t>
            </w:r>
            <w:r w:rsidR="004A31BD" w:rsidRPr="00562FB0">
              <w:rPr>
                <w:color w:val="000000"/>
                <w:lang w:val="lv-LV"/>
              </w:rPr>
              <w:t>persona,</w:t>
            </w:r>
            <w:r w:rsidR="004A31BD" w:rsidRPr="00562FB0">
              <w:rPr>
                <w:lang w:val="lv-LV"/>
              </w:rPr>
              <w:t xml:space="preserve"> </w:t>
            </w:r>
            <w:r w:rsidRPr="00562FB0">
              <w:rPr>
                <w:lang w:val="lv-LV"/>
              </w:rPr>
              <w:t>veicot</w:t>
            </w:r>
            <w:r w:rsidRPr="00562FB0">
              <w:rPr>
                <w:color w:val="000000"/>
                <w:lang w:val="lv-LV"/>
              </w:rPr>
              <w:t xml:space="preserve"> maksājumu kredītiestādē, maksājuma mērķī norāda attiecīgā uztura bagātinātāja nosaukumu</w:t>
            </w:r>
            <w:r w:rsidRPr="00562FB0">
              <w:rPr>
                <w:lang w:val="lv-LV"/>
              </w:rPr>
              <w:t>.</w:t>
            </w:r>
          </w:p>
        </w:tc>
      </w:tr>
      <w:tr w:rsidR="00296183" w:rsidRPr="00F145DA" w14:paraId="187EA7E7" w14:textId="77777777" w:rsidTr="00D141EC">
        <w:tc>
          <w:tcPr>
            <w:tcW w:w="254" w:type="pct"/>
          </w:tcPr>
          <w:p w14:paraId="335A8053" w14:textId="2D913F8E" w:rsidR="00296183" w:rsidRPr="00F145DA" w:rsidRDefault="00296183" w:rsidP="00F61DBC">
            <w:pPr>
              <w:ind w:left="57" w:right="57"/>
              <w:jc w:val="center"/>
              <w:rPr>
                <w:color w:val="000000" w:themeColor="text1"/>
                <w:lang w:val="lv-LV" w:eastAsia="lv-LV"/>
              </w:rPr>
            </w:pPr>
            <w:r w:rsidRPr="00F145DA">
              <w:rPr>
                <w:color w:val="000000" w:themeColor="text1"/>
                <w:lang w:val="lv-LV" w:eastAsia="lv-LV"/>
              </w:rPr>
              <w:lastRenderedPageBreak/>
              <w:t>3.</w:t>
            </w:r>
          </w:p>
        </w:tc>
        <w:tc>
          <w:tcPr>
            <w:tcW w:w="1424" w:type="pct"/>
          </w:tcPr>
          <w:p w14:paraId="31F9AF8B" w14:textId="77777777" w:rsidR="00296183" w:rsidRPr="001902D0" w:rsidRDefault="00296183" w:rsidP="00F61DBC">
            <w:pPr>
              <w:ind w:left="57" w:right="57"/>
              <w:jc w:val="both"/>
              <w:rPr>
                <w:color w:val="000000" w:themeColor="text1"/>
                <w:lang w:val="lv-LV" w:eastAsia="lv-LV"/>
              </w:rPr>
            </w:pPr>
            <w:r w:rsidRPr="00116911">
              <w:rPr>
                <w:color w:val="000000" w:themeColor="text1"/>
                <w:lang w:val="lv-LV" w:eastAsia="lv-LV"/>
              </w:rPr>
              <w:t>Projekta izstrādē iesaistītās institūcijas</w:t>
            </w:r>
          </w:p>
        </w:tc>
        <w:tc>
          <w:tcPr>
            <w:tcW w:w="3322" w:type="pct"/>
          </w:tcPr>
          <w:p w14:paraId="52D03499" w14:textId="77777777" w:rsidR="00296183" w:rsidRPr="001902D0" w:rsidRDefault="002F11E6" w:rsidP="002F11E6">
            <w:pPr>
              <w:ind w:left="57" w:right="57"/>
              <w:jc w:val="both"/>
              <w:rPr>
                <w:color w:val="000000" w:themeColor="text1"/>
                <w:highlight w:val="yellow"/>
                <w:lang w:val="lv-LV" w:eastAsia="lv-LV"/>
              </w:rPr>
            </w:pPr>
            <w:r>
              <w:rPr>
                <w:iCs/>
                <w:color w:val="000000" w:themeColor="text1"/>
                <w:lang w:val="lv-LV"/>
              </w:rPr>
              <w:t>D</w:t>
            </w:r>
            <w:r w:rsidR="00296183" w:rsidRPr="001902D0">
              <w:rPr>
                <w:iCs/>
                <w:color w:val="000000" w:themeColor="text1"/>
                <w:lang w:val="lv-LV"/>
              </w:rPr>
              <w:t xml:space="preserve">ienests </w:t>
            </w:r>
          </w:p>
        </w:tc>
      </w:tr>
      <w:tr w:rsidR="00296183" w:rsidRPr="00F145DA" w14:paraId="22AF2B87" w14:textId="77777777" w:rsidTr="00D141EC">
        <w:tc>
          <w:tcPr>
            <w:tcW w:w="254" w:type="pct"/>
          </w:tcPr>
          <w:p w14:paraId="4DFC05FC" w14:textId="77777777" w:rsidR="00296183" w:rsidRPr="00F145DA" w:rsidRDefault="00296183" w:rsidP="00F61DBC">
            <w:pPr>
              <w:ind w:left="57" w:right="57"/>
              <w:jc w:val="center"/>
              <w:rPr>
                <w:color w:val="000000" w:themeColor="text1"/>
                <w:lang w:val="lv-LV" w:eastAsia="lv-LV"/>
              </w:rPr>
            </w:pPr>
            <w:r w:rsidRPr="00F145DA">
              <w:rPr>
                <w:color w:val="000000" w:themeColor="text1"/>
                <w:lang w:val="lv-LV" w:eastAsia="lv-LV"/>
              </w:rPr>
              <w:t>4.</w:t>
            </w:r>
          </w:p>
        </w:tc>
        <w:tc>
          <w:tcPr>
            <w:tcW w:w="1424" w:type="pct"/>
          </w:tcPr>
          <w:p w14:paraId="587E6FCF" w14:textId="77777777" w:rsidR="00296183" w:rsidRPr="00116911" w:rsidRDefault="00296183" w:rsidP="00F61DBC">
            <w:pPr>
              <w:ind w:left="57" w:right="57"/>
              <w:jc w:val="both"/>
              <w:rPr>
                <w:color w:val="000000" w:themeColor="text1"/>
                <w:lang w:val="lv-LV" w:eastAsia="lv-LV"/>
              </w:rPr>
            </w:pPr>
            <w:r w:rsidRPr="00116911">
              <w:rPr>
                <w:color w:val="000000" w:themeColor="text1"/>
                <w:lang w:val="lv-LV" w:eastAsia="lv-LV"/>
              </w:rPr>
              <w:t>Cita informācija</w:t>
            </w:r>
          </w:p>
        </w:tc>
        <w:tc>
          <w:tcPr>
            <w:tcW w:w="3322" w:type="pct"/>
          </w:tcPr>
          <w:p w14:paraId="05943B2F" w14:textId="77777777" w:rsidR="00296183" w:rsidRPr="001902D0" w:rsidRDefault="00296183" w:rsidP="00F61DBC">
            <w:pPr>
              <w:ind w:left="57" w:right="57"/>
              <w:jc w:val="both"/>
              <w:rPr>
                <w:color w:val="000000" w:themeColor="text1"/>
                <w:lang w:val="lv-LV"/>
              </w:rPr>
            </w:pPr>
            <w:r w:rsidRPr="001902D0">
              <w:rPr>
                <w:color w:val="000000" w:themeColor="text1"/>
                <w:lang w:val="lv-LV"/>
              </w:rPr>
              <w:t>Nav.</w:t>
            </w:r>
          </w:p>
        </w:tc>
      </w:tr>
    </w:tbl>
    <w:p w14:paraId="3525AF63" w14:textId="77777777" w:rsidR="00296183" w:rsidRPr="00F145DA" w:rsidRDefault="00296183" w:rsidP="00296183">
      <w:pPr>
        <w:rPr>
          <w:color w:val="000000" w:themeColor="text1"/>
          <w:lang w:val="lv-LV"/>
        </w:rPr>
      </w:pPr>
    </w:p>
    <w:tbl>
      <w:tblPr>
        <w:tblW w:w="4944" w:type="pct"/>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79"/>
        <w:gridCol w:w="2125"/>
        <w:gridCol w:w="6573"/>
      </w:tblGrid>
      <w:tr w:rsidR="00296183" w:rsidRPr="000952F6" w14:paraId="2D59D1E1" w14:textId="77777777" w:rsidTr="00F61DBC">
        <w:trPr>
          <w:jc w:val="center"/>
        </w:trPr>
        <w:tc>
          <w:tcPr>
            <w:tcW w:w="5000" w:type="pct"/>
            <w:gridSpan w:val="3"/>
            <w:tcBorders>
              <w:top w:val="outset" w:sz="6" w:space="0" w:color="auto"/>
              <w:left w:val="outset" w:sz="6" w:space="0" w:color="auto"/>
              <w:bottom w:val="outset" w:sz="6" w:space="0" w:color="auto"/>
              <w:right w:val="outset" w:sz="6" w:space="0" w:color="auto"/>
            </w:tcBorders>
          </w:tcPr>
          <w:p w14:paraId="01C63E89" w14:textId="77777777" w:rsidR="00296183" w:rsidRPr="00F145DA" w:rsidRDefault="00296183" w:rsidP="0029502E">
            <w:pPr>
              <w:jc w:val="center"/>
              <w:rPr>
                <w:b/>
                <w:color w:val="000000" w:themeColor="text1"/>
                <w:lang w:val="lv-LV"/>
              </w:rPr>
            </w:pPr>
            <w:r w:rsidRPr="00E3702A">
              <w:rPr>
                <w:b/>
                <w:color w:val="000000" w:themeColor="text1"/>
                <w:lang w:val="lv-LV"/>
              </w:rPr>
              <w:t>II. Tiesību akta projekta ietekme uz sabiedrību,</w:t>
            </w:r>
            <w:r w:rsidRPr="00E3702A">
              <w:rPr>
                <w:b/>
                <w:bCs/>
                <w:color w:val="000000" w:themeColor="text1"/>
                <w:lang w:val="lv-LV"/>
              </w:rPr>
              <w:t xml:space="preserve"> tautsaimniecības attīstību un administratīvo slogu</w:t>
            </w:r>
          </w:p>
        </w:tc>
      </w:tr>
      <w:tr w:rsidR="00296183" w:rsidRPr="000952F6" w14:paraId="01581994" w14:textId="77777777" w:rsidTr="005A05A9">
        <w:trPr>
          <w:jc w:val="center"/>
        </w:trPr>
        <w:tc>
          <w:tcPr>
            <w:tcW w:w="261" w:type="pct"/>
            <w:tcBorders>
              <w:top w:val="outset" w:sz="6" w:space="0" w:color="auto"/>
              <w:left w:val="outset" w:sz="6" w:space="0" w:color="auto"/>
              <w:right w:val="outset" w:sz="6" w:space="0" w:color="auto"/>
            </w:tcBorders>
          </w:tcPr>
          <w:p w14:paraId="69D582D9" w14:textId="77777777" w:rsidR="00296183" w:rsidRPr="00F145DA" w:rsidRDefault="00296183" w:rsidP="0029502E">
            <w:pPr>
              <w:jc w:val="center"/>
              <w:rPr>
                <w:color w:val="000000" w:themeColor="text1"/>
                <w:lang w:val="lv-LV"/>
              </w:rPr>
            </w:pPr>
            <w:r w:rsidRPr="00F145DA">
              <w:rPr>
                <w:color w:val="000000" w:themeColor="text1"/>
                <w:lang w:val="lv-LV"/>
              </w:rPr>
              <w:t>1.</w:t>
            </w:r>
          </w:p>
        </w:tc>
        <w:tc>
          <w:tcPr>
            <w:tcW w:w="1158" w:type="pct"/>
            <w:tcBorders>
              <w:top w:val="outset" w:sz="6" w:space="0" w:color="auto"/>
              <w:left w:val="outset" w:sz="6" w:space="0" w:color="auto"/>
              <w:right w:val="outset" w:sz="6" w:space="0" w:color="auto"/>
            </w:tcBorders>
          </w:tcPr>
          <w:p w14:paraId="3F09B512" w14:textId="77777777" w:rsidR="00296183" w:rsidRPr="001902D0" w:rsidRDefault="00296183" w:rsidP="00F61DBC">
            <w:pPr>
              <w:rPr>
                <w:color w:val="000000" w:themeColor="text1"/>
                <w:lang w:val="lv-LV"/>
              </w:rPr>
            </w:pPr>
            <w:r w:rsidRPr="00116911">
              <w:rPr>
                <w:color w:val="000000" w:themeColor="text1"/>
                <w:lang w:val="lv-LV"/>
              </w:rPr>
              <w:t>Sabiedrības mērķgrupas, kuras tiesiskais regulējums ietekmē vai varētu ietekmēt</w:t>
            </w:r>
          </w:p>
        </w:tc>
        <w:tc>
          <w:tcPr>
            <w:tcW w:w="3581" w:type="pct"/>
            <w:tcBorders>
              <w:top w:val="outset" w:sz="6" w:space="0" w:color="auto"/>
              <w:left w:val="outset" w:sz="6" w:space="0" w:color="auto"/>
              <w:right w:val="outset" w:sz="6" w:space="0" w:color="auto"/>
            </w:tcBorders>
          </w:tcPr>
          <w:p w14:paraId="72743F24" w14:textId="77777777" w:rsidR="0072161F" w:rsidRDefault="0072161F" w:rsidP="0072161F">
            <w:pPr>
              <w:pStyle w:val="naiskr"/>
              <w:spacing w:before="0" w:beforeAutospacing="0" w:after="0" w:afterAutospacing="0"/>
              <w:jc w:val="both"/>
              <w:rPr>
                <w:color w:val="000000" w:themeColor="text1"/>
              </w:rPr>
            </w:pPr>
            <w:r>
              <w:rPr>
                <w:color w:val="000000" w:themeColor="text1"/>
              </w:rPr>
              <w:t>Noteikumu projekts attiecas uz:</w:t>
            </w:r>
          </w:p>
          <w:p w14:paraId="70A72C7B" w14:textId="77777777" w:rsidR="0072161F" w:rsidRDefault="0072161F" w:rsidP="0072161F">
            <w:pPr>
              <w:pStyle w:val="naiskr"/>
              <w:spacing w:before="0" w:beforeAutospacing="0" w:after="0" w:afterAutospacing="0"/>
              <w:jc w:val="both"/>
              <w:rPr>
                <w:color w:val="000000" w:themeColor="text1"/>
              </w:rPr>
            </w:pPr>
            <w:r>
              <w:rPr>
                <w:color w:val="000000" w:themeColor="text1"/>
              </w:rPr>
              <w:t>1) pārtikas uzņēmumiem, kas iesaistīti uztura bagātinātāju aprites jomā;</w:t>
            </w:r>
          </w:p>
          <w:p w14:paraId="586253CF" w14:textId="77777777" w:rsidR="0072161F" w:rsidRDefault="0072161F" w:rsidP="0072161F">
            <w:pPr>
              <w:pStyle w:val="naiskr"/>
              <w:spacing w:before="0" w:beforeAutospacing="0" w:after="0" w:afterAutospacing="0"/>
              <w:jc w:val="both"/>
              <w:rPr>
                <w:color w:val="000000" w:themeColor="text1"/>
              </w:rPr>
            </w:pPr>
            <w:r>
              <w:rPr>
                <w:color w:val="000000" w:themeColor="text1"/>
              </w:rPr>
              <w:t>2) patērētājiem, kas lieto uztura bagātinātājus;</w:t>
            </w:r>
          </w:p>
          <w:p w14:paraId="4F36000B" w14:textId="77777777" w:rsidR="0072161F" w:rsidRDefault="0072161F" w:rsidP="0072161F">
            <w:pPr>
              <w:pStyle w:val="naiskr"/>
              <w:spacing w:before="0" w:beforeAutospacing="0" w:after="0" w:afterAutospacing="0"/>
              <w:jc w:val="both"/>
              <w:rPr>
                <w:color w:val="000000" w:themeColor="text1"/>
              </w:rPr>
            </w:pPr>
            <w:r>
              <w:rPr>
                <w:color w:val="000000" w:themeColor="text1"/>
              </w:rPr>
              <w:t>3) dienestu, kura kompetencē ir uzraudzība pārtikas jomā;</w:t>
            </w:r>
          </w:p>
          <w:p w14:paraId="65AC89A6" w14:textId="77777777" w:rsidR="0072161F" w:rsidRDefault="0072161F" w:rsidP="0072161F">
            <w:pPr>
              <w:pStyle w:val="naiskr"/>
              <w:spacing w:before="0" w:beforeAutospacing="0" w:after="0" w:afterAutospacing="0"/>
              <w:jc w:val="both"/>
              <w:rPr>
                <w:color w:val="000000"/>
              </w:rPr>
            </w:pPr>
            <w:r>
              <w:rPr>
                <w:color w:val="000000"/>
              </w:rPr>
              <w:t>Patlaban Pārtikas un veterinārā dienestā reģistrā ir iekļauti 34 uzņēmumi, kas ražo uztura bagātinātājus, un vairāk nekā 200 uzņēmumu, kas nodarbojas ar dažādu produktu, tostarp uztura bagātinātāju, izplatīšanu.</w:t>
            </w:r>
          </w:p>
          <w:p w14:paraId="27299579" w14:textId="77777777" w:rsidR="0072161F" w:rsidRPr="001902D0" w:rsidRDefault="0072161F" w:rsidP="00C02116">
            <w:pPr>
              <w:pStyle w:val="naiskr"/>
              <w:spacing w:before="0" w:beforeAutospacing="0" w:after="0" w:afterAutospacing="0"/>
              <w:jc w:val="both"/>
              <w:rPr>
                <w:b/>
                <w:color w:val="000000" w:themeColor="text1"/>
                <w:highlight w:val="yellow"/>
              </w:rPr>
            </w:pPr>
            <w:r>
              <w:rPr>
                <w:color w:val="000000" w:themeColor="text1"/>
              </w:rPr>
              <w:t>To pārtikas uzņēmumu skaits, kas ražo uztura bagātinātājus, ir mainīgs, jo ir uzņēmumi, kas pārtrauc uzņēmējdarbību, un ir uzņēmumi, kas uzsāk uzņēmējdarbību. Mērķgrupas palielināšanās vai samazināšanās ir atkarīga no ekonomiskās attīstības valstī.</w:t>
            </w:r>
          </w:p>
        </w:tc>
      </w:tr>
      <w:tr w:rsidR="00296183" w:rsidRPr="000952F6" w14:paraId="428B7D59" w14:textId="77777777" w:rsidTr="005A05A9">
        <w:trPr>
          <w:jc w:val="center"/>
        </w:trPr>
        <w:tc>
          <w:tcPr>
            <w:tcW w:w="261" w:type="pct"/>
            <w:tcBorders>
              <w:top w:val="outset" w:sz="6" w:space="0" w:color="auto"/>
              <w:left w:val="outset" w:sz="6" w:space="0" w:color="auto"/>
              <w:right w:val="outset" w:sz="6" w:space="0" w:color="auto"/>
            </w:tcBorders>
          </w:tcPr>
          <w:p w14:paraId="2BD9F558" w14:textId="77777777" w:rsidR="00296183" w:rsidRPr="00F145DA" w:rsidRDefault="00296183" w:rsidP="0029502E">
            <w:pPr>
              <w:jc w:val="center"/>
              <w:rPr>
                <w:color w:val="000000" w:themeColor="text1"/>
                <w:lang w:val="lv-LV"/>
              </w:rPr>
            </w:pPr>
            <w:r w:rsidRPr="00F145DA">
              <w:rPr>
                <w:color w:val="000000" w:themeColor="text1"/>
                <w:lang w:val="lv-LV"/>
              </w:rPr>
              <w:t>2.</w:t>
            </w:r>
          </w:p>
        </w:tc>
        <w:tc>
          <w:tcPr>
            <w:tcW w:w="1158" w:type="pct"/>
            <w:tcBorders>
              <w:top w:val="outset" w:sz="6" w:space="0" w:color="auto"/>
              <w:left w:val="outset" w:sz="6" w:space="0" w:color="auto"/>
              <w:right w:val="outset" w:sz="6" w:space="0" w:color="auto"/>
            </w:tcBorders>
          </w:tcPr>
          <w:p w14:paraId="63A5FBBF" w14:textId="77777777" w:rsidR="00296183" w:rsidRPr="00BB6F4E" w:rsidRDefault="00296183" w:rsidP="0029502E">
            <w:pPr>
              <w:widowControl w:val="0"/>
              <w:jc w:val="both"/>
              <w:rPr>
                <w:color w:val="000000" w:themeColor="text1"/>
                <w:lang w:val="lv-LV"/>
              </w:rPr>
            </w:pPr>
            <w:r w:rsidRPr="00BB6F4E">
              <w:rPr>
                <w:color w:val="000000" w:themeColor="text1"/>
                <w:lang w:val="lv-LV"/>
              </w:rPr>
              <w:t>Tiesiskā regulējuma ietekme uz tautsaimniecību un administratīvo slogu</w:t>
            </w:r>
          </w:p>
        </w:tc>
        <w:tc>
          <w:tcPr>
            <w:tcW w:w="3581" w:type="pct"/>
            <w:tcBorders>
              <w:top w:val="outset" w:sz="6" w:space="0" w:color="auto"/>
              <w:left w:val="outset" w:sz="6" w:space="0" w:color="auto"/>
              <w:right w:val="outset" w:sz="6" w:space="0" w:color="auto"/>
            </w:tcBorders>
          </w:tcPr>
          <w:p w14:paraId="71B7BE5D" w14:textId="46723A62" w:rsidR="00BE2F26" w:rsidRPr="00A61A00" w:rsidRDefault="00296183" w:rsidP="0029502E">
            <w:pPr>
              <w:pStyle w:val="Paraststmeklis"/>
              <w:spacing w:before="0" w:beforeAutospacing="0" w:after="0" w:afterAutospacing="0"/>
              <w:jc w:val="both"/>
              <w:rPr>
                <w:color w:val="000000" w:themeColor="text1"/>
                <w:lang w:val="lv-LV"/>
              </w:rPr>
            </w:pPr>
            <w:r w:rsidRPr="00A61A00">
              <w:rPr>
                <w:color w:val="000000" w:themeColor="text1"/>
                <w:lang w:val="lv-LV"/>
              </w:rPr>
              <w:t>Salīdzinot noteikumu projektu ar noteikum</w:t>
            </w:r>
            <w:r w:rsidR="00904977" w:rsidRPr="00A61A00">
              <w:rPr>
                <w:color w:val="000000" w:themeColor="text1"/>
                <w:lang w:val="lv-LV"/>
              </w:rPr>
              <w:t>os</w:t>
            </w:r>
            <w:r w:rsidRPr="00A61A00">
              <w:rPr>
                <w:color w:val="000000" w:themeColor="text1"/>
                <w:lang w:val="lv-LV"/>
              </w:rPr>
              <w:t xml:space="preserve"> Nr.1145 noteikto </w:t>
            </w:r>
            <w:r w:rsidR="00BD4D08" w:rsidRPr="00A61A00">
              <w:rPr>
                <w:color w:val="000000" w:themeColor="text1"/>
                <w:lang w:val="lv-LV"/>
              </w:rPr>
              <w:t>valsts nodev</w:t>
            </w:r>
            <w:r w:rsidR="00DF2415" w:rsidRPr="00A61A00">
              <w:rPr>
                <w:color w:val="000000" w:themeColor="text1"/>
                <w:lang w:val="lv-LV"/>
              </w:rPr>
              <w:t>as</w:t>
            </w:r>
            <w:r w:rsidR="00BD4D08" w:rsidRPr="00A61A00">
              <w:rPr>
                <w:color w:val="000000" w:themeColor="text1"/>
                <w:lang w:val="lv-LV"/>
              </w:rPr>
              <w:t xml:space="preserve"> apmēr</w:t>
            </w:r>
            <w:r w:rsidR="00DF2415" w:rsidRPr="00A61A00">
              <w:rPr>
                <w:color w:val="000000" w:themeColor="text1"/>
                <w:lang w:val="lv-LV"/>
              </w:rPr>
              <w:t>u</w:t>
            </w:r>
            <w:r w:rsidR="005F190E" w:rsidRPr="00A61A00">
              <w:rPr>
                <w:color w:val="000000" w:themeColor="text1"/>
                <w:lang w:val="lv-LV"/>
              </w:rPr>
              <w:t>,</w:t>
            </w:r>
            <w:r w:rsidRPr="00A61A00">
              <w:rPr>
                <w:color w:val="000000" w:themeColor="text1"/>
                <w:lang w:val="lv-LV"/>
              </w:rPr>
              <w:t xml:space="preserve"> </w:t>
            </w:r>
            <w:r w:rsidR="00BD4D08" w:rsidRPr="00A61A00">
              <w:rPr>
                <w:color w:val="000000" w:themeColor="text1"/>
                <w:lang w:val="lv-LV"/>
              </w:rPr>
              <w:t xml:space="preserve">finansiālais </w:t>
            </w:r>
            <w:r w:rsidRPr="00A61A00">
              <w:rPr>
                <w:color w:val="000000" w:themeColor="text1"/>
                <w:lang w:val="lv-LV"/>
              </w:rPr>
              <w:t xml:space="preserve">slogs </w:t>
            </w:r>
            <w:r w:rsidR="00F330B8" w:rsidRPr="00A61A00">
              <w:rPr>
                <w:color w:val="000000" w:themeColor="text1"/>
                <w:lang w:val="lv-LV"/>
              </w:rPr>
              <w:t>palielinās</w:t>
            </w:r>
            <w:r w:rsidR="00015B3D" w:rsidRPr="00A61A00">
              <w:rPr>
                <w:color w:val="000000" w:themeColor="text1"/>
                <w:lang w:val="lv-LV"/>
              </w:rPr>
              <w:t xml:space="preserve">, jo trīs </w:t>
            </w:r>
            <w:r w:rsidR="0096069A" w:rsidRPr="00A61A00">
              <w:rPr>
                <w:color w:val="000000" w:themeColor="text1"/>
                <w:lang w:val="lv-LV"/>
              </w:rPr>
              <w:t xml:space="preserve">valsts </w:t>
            </w:r>
            <w:r w:rsidR="00015B3D" w:rsidRPr="00A61A00">
              <w:rPr>
                <w:color w:val="000000" w:themeColor="text1"/>
                <w:lang w:val="lv-LV"/>
              </w:rPr>
              <w:t xml:space="preserve">nodevu veidi tiek </w:t>
            </w:r>
            <w:r w:rsidR="002A3260" w:rsidRPr="00A61A00">
              <w:rPr>
                <w:color w:val="000000" w:themeColor="text1"/>
                <w:lang w:val="lv-LV"/>
              </w:rPr>
              <w:t xml:space="preserve">aizstāti ar </w:t>
            </w:r>
            <w:r w:rsidR="006824EF">
              <w:rPr>
                <w:color w:val="000000" w:themeColor="text1"/>
                <w:lang w:val="lv-LV"/>
              </w:rPr>
              <w:t>sešām</w:t>
            </w:r>
            <w:r w:rsidR="002A3260" w:rsidRPr="00A61A00">
              <w:rPr>
                <w:color w:val="000000" w:themeColor="text1"/>
                <w:lang w:val="lv-LV"/>
              </w:rPr>
              <w:t xml:space="preserve"> detalizētāk</w:t>
            </w:r>
            <w:r w:rsidR="00FE607B" w:rsidRPr="00A61A00">
              <w:rPr>
                <w:color w:val="000000" w:themeColor="text1"/>
                <w:lang w:val="lv-LV"/>
              </w:rPr>
              <w:t>ām</w:t>
            </w:r>
            <w:r w:rsidR="00D564A7" w:rsidRPr="00A61A00">
              <w:rPr>
                <w:color w:val="000000" w:themeColor="text1"/>
                <w:lang w:val="lv-LV"/>
              </w:rPr>
              <w:t xml:space="preserve"> noteikt</w:t>
            </w:r>
            <w:r w:rsidR="002A3260" w:rsidRPr="00A61A00">
              <w:rPr>
                <w:color w:val="000000" w:themeColor="text1"/>
                <w:lang w:val="lv-LV"/>
              </w:rPr>
              <w:t xml:space="preserve">ām </w:t>
            </w:r>
            <w:r w:rsidR="0096069A" w:rsidRPr="00A61A00">
              <w:rPr>
                <w:color w:val="000000" w:themeColor="text1"/>
                <w:lang w:val="lv-LV"/>
              </w:rPr>
              <w:t>valsts nodev</w:t>
            </w:r>
            <w:r w:rsidR="00185D95" w:rsidRPr="00A61A00">
              <w:rPr>
                <w:color w:val="000000" w:themeColor="text1"/>
                <w:lang w:val="lv-LV"/>
              </w:rPr>
              <w:t>u pozīcijām</w:t>
            </w:r>
            <w:r w:rsidR="0083326A" w:rsidRPr="00A61A00">
              <w:rPr>
                <w:color w:val="000000" w:themeColor="text1"/>
                <w:lang w:val="lv-LV"/>
              </w:rPr>
              <w:t>.</w:t>
            </w:r>
          </w:p>
          <w:p w14:paraId="310EF491" w14:textId="7DBAC53D" w:rsidR="00A61A00" w:rsidRPr="003806BD" w:rsidRDefault="00296183" w:rsidP="0029502E">
            <w:pPr>
              <w:pStyle w:val="Paraststmeklis"/>
              <w:spacing w:before="0" w:beforeAutospacing="0" w:after="0" w:afterAutospacing="0"/>
              <w:jc w:val="both"/>
              <w:rPr>
                <w:color w:val="000000" w:themeColor="text1"/>
                <w:lang w:val="lv-LV"/>
              </w:rPr>
            </w:pPr>
            <w:r w:rsidRPr="00A61A00">
              <w:rPr>
                <w:color w:val="000000" w:themeColor="text1"/>
                <w:lang w:val="lv-LV"/>
              </w:rPr>
              <w:t>1</w:t>
            </w:r>
            <w:r w:rsidR="00B30369" w:rsidRPr="003806BD">
              <w:rPr>
                <w:color w:val="000000" w:themeColor="text1"/>
                <w:lang w:val="lv-LV"/>
              </w:rPr>
              <w:t>.</w:t>
            </w:r>
            <w:r w:rsidRPr="003806BD">
              <w:rPr>
                <w:color w:val="000000" w:themeColor="text1"/>
                <w:lang w:val="lv-LV"/>
              </w:rPr>
              <w:t xml:space="preserve"> </w:t>
            </w:r>
            <w:r w:rsidR="00BE2F26" w:rsidRPr="003806BD">
              <w:rPr>
                <w:color w:val="000000" w:themeColor="text1"/>
                <w:lang w:val="lv-LV"/>
              </w:rPr>
              <w:t>Par Eiropas Ekonomikas zonas valstīs ražota uztura bagātinātāja reģistrāciju t</w:t>
            </w:r>
            <w:r w:rsidR="00BB6F4E" w:rsidRPr="003806BD">
              <w:rPr>
                <w:color w:val="000000" w:themeColor="text1"/>
                <w:lang w:val="lv-LV"/>
              </w:rPr>
              <w:t>iek</w:t>
            </w:r>
            <w:r w:rsidRPr="003806BD">
              <w:rPr>
                <w:color w:val="000000" w:themeColor="text1"/>
                <w:lang w:val="lv-LV"/>
              </w:rPr>
              <w:t xml:space="preserve"> piemērota </w:t>
            </w:r>
            <w:r w:rsidR="005133A0" w:rsidRPr="003806BD">
              <w:rPr>
                <w:color w:val="000000" w:themeColor="text1"/>
                <w:lang w:val="lv-LV"/>
              </w:rPr>
              <w:t xml:space="preserve">valsts </w:t>
            </w:r>
            <w:r w:rsidRPr="003806BD">
              <w:rPr>
                <w:color w:val="000000" w:themeColor="text1"/>
                <w:lang w:val="lv-LV"/>
              </w:rPr>
              <w:t>nodeva</w:t>
            </w:r>
            <w:r w:rsidR="00BE2F26" w:rsidRPr="003806BD">
              <w:rPr>
                <w:color w:val="000000" w:themeColor="text1"/>
                <w:lang w:val="lv-LV"/>
              </w:rPr>
              <w:t xml:space="preserve"> </w:t>
            </w:r>
            <w:r w:rsidR="001055B4" w:rsidRPr="003806BD">
              <w:rPr>
                <w:color w:val="000000" w:themeColor="text1"/>
                <w:lang w:val="lv-LV"/>
              </w:rPr>
              <w:t xml:space="preserve">– </w:t>
            </w:r>
            <w:r w:rsidR="001055B4" w:rsidRPr="00B96F1E">
              <w:rPr>
                <w:color w:val="000000" w:themeColor="text1"/>
                <w:lang w:val="lv-LV"/>
              </w:rPr>
              <w:t>1</w:t>
            </w:r>
            <w:r w:rsidR="00AF1FB6" w:rsidRPr="00B96F1E">
              <w:rPr>
                <w:color w:val="000000" w:themeColor="text1"/>
                <w:lang w:val="lv-LV"/>
              </w:rPr>
              <w:t>2</w:t>
            </w:r>
            <w:r w:rsidR="001055B4" w:rsidRPr="00B96F1E">
              <w:rPr>
                <w:color w:val="000000" w:themeColor="text1"/>
                <w:lang w:val="lv-LV"/>
              </w:rPr>
              <w:t>5,00</w:t>
            </w:r>
            <w:r w:rsidR="00BE4003" w:rsidRPr="003806BD">
              <w:rPr>
                <w:color w:val="000000" w:themeColor="text1"/>
                <w:lang w:val="lv-LV"/>
              </w:rPr>
              <w:t xml:space="preserve"> </w:t>
            </w:r>
            <w:r w:rsidRPr="003806BD">
              <w:rPr>
                <w:i/>
                <w:color w:val="000000" w:themeColor="text1"/>
                <w:lang w:val="lv-LV"/>
              </w:rPr>
              <w:t>euro</w:t>
            </w:r>
            <w:r w:rsidR="001C7BF9" w:rsidRPr="003806BD">
              <w:rPr>
                <w:i/>
                <w:color w:val="000000" w:themeColor="text1"/>
                <w:lang w:val="lv-LV"/>
              </w:rPr>
              <w:t>.</w:t>
            </w:r>
            <w:r w:rsidR="001C7BF9" w:rsidRPr="003806BD">
              <w:rPr>
                <w:color w:val="000000" w:themeColor="text1"/>
                <w:lang w:val="lv-LV"/>
              </w:rPr>
              <w:t xml:space="preserve"> </w:t>
            </w:r>
            <w:r w:rsidR="00A61A00" w:rsidRPr="003806BD">
              <w:rPr>
                <w:color w:val="000000" w:themeColor="text1"/>
                <w:lang w:val="lv-LV"/>
              </w:rPr>
              <w:t xml:space="preserve">Šī nodevas pozīcija vistiešākā veidā attiecās </w:t>
            </w:r>
            <w:r w:rsidR="006824EF" w:rsidRPr="003806BD">
              <w:rPr>
                <w:color w:val="000000" w:themeColor="text1"/>
                <w:lang w:val="lv-LV"/>
              </w:rPr>
              <w:t xml:space="preserve">arī </w:t>
            </w:r>
            <w:r w:rsidR="00A61A00" w:rsidRPr="003806BD">
              <w:rPr>
                <w:color w:val="000000" w:themeColor="text1"/>
                <w:lang w:val="lv-LV"/>
              </w:rPr>
              <w:t xml:space="preserve">uz Latvijas ražotāju, kas plāno laist tirgū jaunu uztura bagātinātāju. Tā kā </w:t>
            </w:r>
            <w:r w:rsidR="006824EF" w:rsidRPr="003806BD">
              <w:rPr>
                <w:color w:val="000000" w:themeColor="text1"/>
                <w:lang w:val="lv-LV"/>
              </w:rPr>
              <w:t>Eiropas Ekonomikas zonas valstu r</w:t>
            </w:r>
            <w:r w:rsidR="00A61A00" w:rsidRPr="003806BD">
              <w:rPr>
                <w:color w:val="000000" w:themeColor="text1"/>
                <w:lang w:val="lv-LV"/>
              </w:rPr>
              <w:t>ažotāji ir pastāvīgā dienest</w:t>
            </w:r>
            <w:r w:rsidR="006824EF" w:rsidRPr="003806BD">
              <w:rPr>
                <w:color w:val="000000" w:themeColor="text1"/>
                <w:lang w:val="lv-LV"/>
              </w:rPr>
              <w:t>u</w:t>
            </w:r>
            <w:r w:rsidR="00A61A00" w:rsidRPr="003806BD">
              <w:rPr>
                <w:color w:val="000000" w:themeColor="text1"/>
                <w:lang w:val="lv-LV"/>
              </w:rPr>
              <w:t xml:space="preserve"> uzraudzībā, kas ļauj būtiski samazināt risku attiecībā par neatbilstošu uztura bagātinātāju ražošanu, tiek piemērota mazāka nodeva, salīdzinot ar trešajās valstīs ražotiem uztura bagātinātājiem.</w:t>
            </w:r>
          </w:p>
          <w:p w14:paraId="2AB3F13D" w14:textId="08068274" w:rsidR="00B72CA2" w:rsidRDefault="00A5016E" w:rsidP="0029502E">
            <w:pPr>
              <w:pStyle w:val="Paraststmeklis"/>
              <w:spacing w:before="0" w:beforeAutospacing="0" w:after="0" w:afterAutospacing="0"/>
              <w:jc w:val="both"/>
              <w:rPr>
                <w:color w:val="000000" w:themeColor="text1"/>
                <w:lang w:val="lv-LV" w:eastAsia="lv-LV"/>
              </w:rPr>
            </w:pPr>
            <w:r w:rsidRPr="003806BD">
              <w:rPr>
                <w:color w:val="000000" w:themeColor="text1"/>
                <w:szCs w:val="28"/>
                <w:lang w:val="lv-LV" w:eastAsia="lv-LV"/>
              </w:rPr>
              <w:t xml:space="preserve">2. </w:t>
            </w:r>
            <w:r w:rsidR="001E408F" w:rsidRPr="00A61A00">
              <w:rPr>
                <w:color w:val="000000" w:themeColor="text1"/>
                <w:szCs w:val="28"/>
                <w:lang w:val="lv-LV" w:eastAsia="lv-LV"/>
              </w:rPr>
              <w:t>P</w:t>
            </w:r>
            <w:r w:rsidRPr="00A61A00">
              <w:rPr>
                <w:color w:val="000000" w:themeColor="text1"/>
                <w:szCs w:val="28"/>
                <w:lang w:val="lv-LV" w:eastAsia="lv-LV"/>
              </w:rPr>
              <w:t xml:space="preserve">ar </w:t>
            </w:r>
            <w:r w:rsidRPr="00E05D7F">
              <w:rPr>
                <w:color w:val="000000" w:themeColor="text1"/>
                <w:szCs w:val="28"/>
                <w:lang w:val="lv-LV" w:eastAsia="lv-LV"/>
              </w:rPr>
              <w:t>ārpus E</w:t>
            </w:r>
            <w:r w:rsidRPr="00A61A00">
              <w:rPr>
                <w:color w:val="000000" w:themeColor="text1"/>
                <w:szCs w:val="28"/>
                <w:lang w:val="lv-LV" w:eastAsia="lv-LV"/>
              </w:rPr>
              <w:t>iropas Ekonomikas zonas valstīm ražota uztura bagātinātāja reģistrāciju</w:t>
            </w:r>
            <w:r w:rsidRPr="00A61A00">
              <w:rPr>
                <w:color w:val="000000" w:themeColor="text1"/>
                <w:lang w:val="lv-LV"/>
              </w:rPr>
              <w:t xml:space="preserve">, ja tas jau iepriekš ir paziņots vai laists tirgū kādā no Eiropas Ekonomikas zonas valstīm – </w:t>
            </w:r>
            <w:r w:rsidR="00C30B57" w:rsidRPr="00B96F1E">
              <w:rPr>
                <w:color w:val="000000" w:themeColor="text1"/>
                <w:lang w:val="lv-LV"/>
              </w:rPr>
              <w:t>210</w:t>
            </w:r>
            <w:r w:rsidRPr="00B96F1E">
              <w:rPr>
                <w:color w:val="000000" w:themeColor="text1"/>
                <w:lang w:val="lv-LV"/>
              </w:rPr>
              <w:t xml:space="preserve">,00 </w:t>
            </w:r>
            <w:r w:rsidRPr="00B96F1E">
              <w:rPr>
                <w:i/>
                <w:color w:val="000000" w:themeColor="text1"/>
                <w:lang w:val="lv-LV"/>
              </w:rPr>
              <w:t>euro</w:t>
            </w:r>
            <w:r w:rsidR="00737D11">
              <w:rPr>
                <w:i/>
                <w:color w:val="000000" w:themeColor="text1"/>
                <w:lang w:val="lv-LV"/>
              </w:rPr>
              <w:t>.</w:t>
            </w:r>
            <w:r w:rsidR="00437236">
              <w:rPr>
                <w:i/>
                <w:color w:val="000000" w:themeColor="text1"/>
                <w:lang w:val="lv-LV"/>
              </w:rPr>
              <w:t xml:space="preserve"> </w:t>
            </w:r>
            <w:r w:rsidR="006824EF">
              <w:rPr>
                <w:color w:val="000000" w:themeColor="text1"/>
                <w:lang w:val="lv-LV" w:eastAsia="lv-LV"/>
              </w:rPr>
              <w:t>J</w:t>
            </w:r>
            <w:r w:rsidR="00A61A00" w:rsidRPr="00A61A00">
              <w:rPr>
                <w:color w:val="000000" w:themeColor="text1"/>
                <w:lang w:val="lv-LV" w:eastAsia="lv-LV"/>
              </w:rPr>
              <w:t xml:space="preserve">a </w:t>
            </w:r>
            <w:r w:rsidR="006824EF">
              <w:rPr>
                <w:color w:val="000000" w:themeColor="text1"/>
                <w:lang w:val="lv-LV" w:eastAsia="lv-LV"/>
              </w:rPr>
              <w:t>uztura bagātinātāji tiek</w:t>
            </w:r>
            <w:r w:rsidR="00A61A00" w:rsidRPr="00A61A00">
              <w:rPr>
                <w:color w:val="000000" w:themeColor="text1"/>
                <w:lang w:val="lv-LV" w:eastAsia="lv-LV"/>
              </w:rPr>
              <w:t xml:space="preserve"> ražoti trešajās valstīs, kurās nereti, atšķirībā no </w:t>
            </w:r>
            <w:r w:rsidR="00737D11" w:rsidRPr="00A61A00">
              <w:rPr>
                <w:color w:val="000000" w:themeColor="text1"/>
                <w:lang w:val="lv-LV" w:eastAsia="lv-LV"/>
              </w:rPr>
              <w:t>E</w:t>
            </w:r>
            <w:r w:rsidR="00737D11">
              <w:rPr>
                <w:color w:val="000000" w:themeColor="text1"/>
                <w:lang w:val="lv-LV" w:eastAsia="lv-LV"/>
              </w:rPr>
              <w:t xml:space="preserve">iropas </w:t>
            </w:r>
            <w:r w:rsidR="00737D11" w:rsidRPr="00A61A00">
              <w:rPr>
                <w:color w:val="000000" w:themeColor="text1"/>
                <w:lang w:val="lv-LV" w:eastAsia="lv-LV"/>
              </w:rPr>
              <w:t>S</w:t>
            </w:r>
            <w:r w:rsidR="00737D11">
              <w:rPr>
                <w:color w:val="000000" w:themeColor="text1"/>
                <w:lang w:val="lv-LV" w:eastAsia="lv-LV"/>
              </w:rPr>
              <w:t>avienības</w:t>
            </w:r>
            <w:r w:rsidR="00A61A00" w:rsidRPr="00A61A00">
              <w:rPr>
                <w:color w:val="000000" w:themeColor="text1"/>
                <w:lang w:val="lv-LV" w:eastAsia="lv-LV"/>
              </w:rPr>
              <w:t xml:space="preserve"> dalībvalstīm, tiek piemērot</w:t>
            </w:r>
            <w:r w:rsidR="007013C4">
              <w:rPr>
                <w:color w:val="000000" w:themeColor="text1"/>
                <w:lang w:val="lv-LV" w:eastAsia="lv-LV"/>
              </w:rPr>
              <w:t>as</w:t>
            </w:r>
            <w:r w:rsidR="00A61A00" w:rsidRPr="00A61A00">
              <w:rPr>
                <w:color w:val="000000" w:themeColor="text1"/>
                <w:lang w:val="lv-LV" w:eastAsia="lv-LV"/>
              </w:rPr>
              <w:t xml:space="preserve"> </w:t>
            </w:r>
            <w:r w:rsidR="007013C4">
              <w:rPr>
                <w:color w:val="000000" w:themeColor="text1"/>
                <w:lang w:val="lv-LV" w:eastAsia="lv-LV"/>
              </w:rPr>
              <w:t>citas pārtikas</w:t>
            </w:r>
            <w:r w:rsidR="00A61A00" w:rsidRPr="00A61A00">
              <w:rPr>
                <w:color w:val="000000" w:themeColor="text1"/>
                <w:lang w:val="lv-LV" w:eastAsia="lv-LV"/>
              </w:rPr>
              <w:t xml:space="preserve"> nekaitīguma </w:t>
            </w:r>
            <w:r w:rsidR="00737D11">
              <w:rPr>
                <w:color w:val="000000" w:themeColor="text1"/>
                <w:lang w:val="lv-LV" w:eastAsia="lv-LV"/>
              </w:rPr>
              <w:t>prasības</w:t>
            </w:r>
            <w:r w:rsidR="009F14EA">
              <w:rPr>
                <w:color w:val="000000" w:themeColor="text1"/>
                <w:lang w:val="lv-LV" w:eastAsia="lv-LV"/>
              </w:rPr>
              <w:t xml:space="preserve">, kas nav atbilstošas </w:t>
            </w:r>
            <w:r w:rsidR="009F14EA" w:rsidRPr="00A61A00">
              <w:rPr>
                <w:color w:val="000000" w:themeColor="text1"/>
                <w:lang w:val="lv-LV" w:eastAsia="lv-LV"/>
              </w:rPr>
              <w:t>E</w:t>
            </w:r>
            <w:r w:rsidR="009F14EA">
              <w:rPr>
                <w:color w:val="000000" w:themeColor="text1"/>
                <w:lang w:val="lv-LV" w:eastAsia="lv-LV"/>
              </w:rPr>
              <w:t xml:space="preserve">iropas </w:t>
            </w:r>
            <w:r w:rsidR="009F14EA" w:rsidRPr="00A61A00">
              <w:rPr>
                <w:color w:val="000000" w:themeColor="text1"/>
                <w:lang w:val="lv-LV" w:eastAsia="lv-LV"/>
              </w:rPr>
              <w:lastRenderedPageBreak/>
              <w:t>S</w:t>
            </w:r>
            <w:r w:rsidR="009F14EA">
              <w:rPr>
                <w:color w:val="000000" w:themeColor="text1"/>
                <w:lang w:val="lv-LV" w:eastAsia="lv-LV"/>
              </w:rPr>
              <w:t>avienības normatīvajiem aktiem</w:t>
            </w:r>
            <w:r w:rsidR="006824EF">
              <w:rPr>
                <w:color w:val="000000" w:themeColor="text1"/>
                <w:lang w:val="lv-LV" w:eastAsia="lv-LV"/>
              </w:rPr>
              <w:t xml:space="preserve">, </w:t>
            </w:r>
            <w:r w:rsidR="006824EF" w:rsidRPr="00A61A00">
              <w:rPr>
                <w:color w:val="000000" w:themeColor="text1"/>
                <w:lang w:val="lv-LV" w:eastAsia="lv-LV"/>
              </w:rPr>
              <w:t>ir īpaši jāizvērtē konkrēta uzt</w:t>
            </w:r>
            <w:r w:rsidR="006824EF">
              <w:rPr>
                <w:color w:val="000000" w:themeColor="text1"/>
                <w:lang w:val="lv-LV" w:eastAsia="lv-LV"/>
              </w:rPr>
              <w:t>ura bagātinātāja radītais risks.</w:t>
            </w:r>
            <w:r w:rsidR="007303D0">
              <w:rPr>
                <w:color w:val="000000" w:themeColor="text1"/>
                <w:lang w:val="lv-LV" w:eastAsia="lv-LV"/>
              </w:rPr>
              <w:t xml:space="preserve"> </w:t>
            </w:r>
            <w:r w:rsidR="00A61A00" w:rsidRPr="00A61A00">
              <w:rPr>
                <w:color w:val="000000" w:themeColor="text1"/>
                <w:lang w:val="lv-LV" w:eastAsia="lv-LV"/>
              </w:rPr>
              <w:t>Tādēļ š</w:t>
            </w:r>
            <w:r w:rsidR="00F47F7A">
              <w:rPr>
                <w:color w:val="000000" w:themeColor="text1"/>
                <w:lang w:val="lv-LV" w:eastAsia="lv-LV"/>
              </w:rPr>
              <w:t xml:space="preserve">ajā </w:t>
            </w:r>
            <w:r w:rsidR="00A61A00" w:rsidRPr="00A61A00">
              <w:rPr>
                <w:color w:val="000000" w:themeColor="text1"/>
                <w:lang w:val="lv-LV" w:eastAsia="lv-LV"/>
              </w:rPr>
              <w:t>gadījum</w:t>
            </w:r>
            <w:r w:rsidR="00F47F7A">
              <w:rPr>
                <w:color w:val="000000" w:themeColor="text1"/>
                <w:lang w:val="lv-LV" w:eastAsia="lv-LV"/>
              </w:rPr>
              <w:t>ā</w:t>
            </w:r>
            <w:r w:rsidR="00A61A00" w:rsidRPr="00A61A00">
              <w:rPr>
                <w:color w:val="000000" w:themeColor="text1"/>
                <w:lang w:val="lv-LV" w:eastAsia="lv-LV"/>
              </w:rPr>
              <w:t xml:space="preserve"> ir noteikta</w:t>
            </w:r>
            <w:r w:rsidR="006824EF">
              <w:rPr>
                <w:color w:val="000000" w:themeColor="text1"/>
                <w:lang w:val="lv-LV" w:eastAsia="lv-LV"/>
              </w:rPr>
              <w:t>s</w:t>
            </w:r>
            <w:r w:rsidR="00A61A00" w:rsidRPr="00A61A00">
              <w:rPr>
                <w:color w:val="000000" w:themeColor="text1"/>
                <w:lang w:val="lv-LV" w:eastAsia="lv-LV"/>
              </w:rPr>
              <w:t xml:space="preserve"> </w:t>
            </w:r>
            <w:r w:rsidR="00F47F7A" w:rsidRPr="00A61A00">
              <w:rPr>
                <w:color w:val="000000" w:themeColor="text1"/>
                <w:lang w:val="lv-LV" w:eastAsia="lv-LV"/>
              </w:rPr>
              <w:t>augstāk</w:t>
            </w:r>
            <w:r w:rsidR="00F47F7A">
              <w:rPr>
                <w:color w:val="000000" w:themeColor="text1"/>
                <w:lang w:val="lv-LV" w:eastAsia="lv-LV"/>
              </w:rPr>
              <w:t>a</w:t>
            </w:r>
            <w:r w:rsidR="006824EF">
              <w:rPr>
                <w:color w:val="000000" w:themeColor="text1"/>
                <w:lang w:val="lv-LV" w:eastAsia="lv-LV"/>
              </w:rPr>
              <w:t>s</w:t>
            </w:r>
            <w:r w:rsidR="00F47F7A">
              <w:rPr>
                <w:color w:val="000000" w:themeColor="text1"/>
                <w:lang w:val="lv-LV" w:eastAsia="lv-LV"/>
              </w:rPr>
              <w:t xml:space="preserve"> </w:t>
            </w:r>
            <w:r w:rsidR="00A61A00" w:rsidRPr="00A61A00">
              <w:rPr>
                <w:color w:val="000000" w:themeColor="text1"/>
                <w:lang w:val="lv-LV" w:eastAsia="lv-LV"/>
              </w:rPr>
              <w:t>valsts nodeva</w:t>
            </w:r>
            <w:r w:rsidR="006824EF">
              <w:rPr>
                <w:color w:val="000000" w:themeColor="text1"/>
                <w:lang w:val="lv-LV" w:eastAsia="lv-LV"/>
              </w:rPr>
              <w:t>s</w:t>
            </w:r>
            <w:r w:rsidR="00A61A00" w:rsidRPr="00A61A00">
              <w:rPr>
                <w:color w:val="000000" w:themeColor="text1"/>
                <w:lang w:val="lv-LV" w:eastAsia="lv-LV"/>
              </w:rPr>
              <w:t xml:space="preserve">, nekā noteikumu projekta 2.1. </w:t>
            </w:r>
            <w:r w:rsidR="00F47F7A">
              <w:rPr>
                <w:color w:val="000000" w:themeColor="text1"/>
                <w:lang w:val="lv-LV" w:eastAsia="lv-LV"/>
              </w:rPr>
              <w:t>apakš</w:t>
            </w:r>
            <w:r w:rsidR="00A61A00" w:rsidRPr="00A61A00">
              <w:rPr>
                <w:color w:val="000000" w:themeColor="text1"/>
                <w:lang w:val="lv-LV" w:eastAsia="lv-LV"/>
              </w:rPr>
              <w:t>punkt</w:t>
            </w:r>
            <w:r w:rsidR="006824EF">
              <w:rPr>
                <w:color w:val="000000" w:themeColor="text1"/>
                <w:lang w:val="lv-LV" w:eastAsia="lv-LV"/>
              </w:rPr>
              <w:t>ā</w:t>
            </w:r>
            <w:r w:rsidR="00A61A00" w:rsidRPr="00A61A00">
              <w:rPr>
                <w:color w:val="000000" w:themeColor="text1"/>
                <w:lang w:val="lv-LV" w:eastAsia="lv-LV"/>
              </w:rPr>
              <w:t xml:space="preserve"> noteiktā nodeva.</w:t>
            </w:r>
          </w:p>
          <w:p w14:paraId="543A8501" w14:textId="5C279A83" w:rsidR="00A5016E" w:rsidRPr="00A61A00" w:rsidRDefault="007303D0" w:rsidP="00A5016E">
            <w:pPr>
              <w:pStyle w:val="Bezatstarpm"/>
              <w:jc w:val="both"/>
              <w:rPr>
                <w:rFonts w:ascii="Times New Roman" w:hAnsi="Times New Roman"/>
                <w:color w:val="000000" w:themeColor="text1"/>
                <w:sz w:val="24"/>
                <w:szCs w:val="28"/>
                <w:lang w:eastAsia="lv-LV"/>
              </w:rPr>
            </w:pPr>
            <w:r>
              <w:rPr>
                <w:rFonts w:ascii="Times New Roman" w:hAnsi="Times New Roman"/>
                <w:color w:val="000000" w:themeColor="text1"/>
                <w:sz w:val="24"/>
                <w:szCs w:val="28"/>
                <w:lang w:eastAsia="lv-LV"/>
              </w:rPr>
              <w:t>3</w:t>
            </w:r>
            <w:r w:rsidR="00A5016E" w:rsidRPr="00A61A00">
              <w:rPr>
                <w:rFonts w:ascii="Times New Roman" w:hAnsi="Times New Roman"/>
                <w:color w:val="000000" w:themeColor="text1"/>
                <w:sz w:val="24"/>
                <w:szCs w:val="28"/>
                <w:lang w:eastAsia="lv-LV"/>
              </w:rPr>
              <w:t xml:space="preserve">. </w:t>
            </w:r>
            <w:r w:rsidR="001E408F" w:rsidRPr="00A61A00">
              <w:rPr>
                <w:rFonts w:ascii="Times New Roman" w:hAnsi="Times New Roman"/>
                <w:color w:val="000000" w:themeColor="text1"/>
                <w:sz w:val="24"/>
                <w:szCs w:val="28"/>
                <w:lang w:eastAsia="lv-LV"/>
              </w:rPr>
              <w:t>P</w:t>
            </w:r>
            <w:r w:rsidR="00A5016E" w:rsidRPr="00A61A00">
              <w:rPr>
                <w:rFonts w:ascii="Times New Roman" w:hAnsi="Times New Roman"/>
                <w:color w:val="000000" w:themeColor="text1"/>
                <w:sz w:val="24"/>
                <w:szCs w:val="28"/>
                <w:lang w:eastAsia="lv-LV"/>
              </w:rPr>
              <w:t>ar ārpus</w:t>
            </w:r>
            <w:r w:rsidR="00A5016E" w:rsidRPr="00A61A00">
              <w:rPr>
                <w:rFonts w:ascii="Times New Roman" w:hAnsi="Times New Roman"/>
                <w:b/>
                <w:color w:val="000000" w:themeColor="text1"/>
                <w:sz w:val="24"/>
                <w:szCs w:val="28"/>
                <w:lang w:eastAsia="lv-LV"/>
              </w:rPr>
              <w:t xml:space="preserve"> </w:t>
            </w:r>
            <w:r w:rsidR="00A5016E" w:rsidRPr="00A61A00">
              <w:rPr>
                <w:rFonts w:ascii="Times New Roman" w:hAnsi="Times New Roman"/>
                <w:color w:val="000000" w:themeColor="text1"/>
                <w:sz w:val="24"/>
                <w:szCs w:val="28"/>
                <w:lang w:eastAsia="lv-LV"/>
              </w:rPr>
              <w:t xml:space="preserve">Eiropas Ekonomikas zonas valstīm ražota uztura bagātinātāja pirmreizēju reģistrāciju – </w:t>
            </w:r>
            <w:r w:rsidR="00A5016E" w:rsidRPr="00B96F1E">
              <w:rPr>
                <w:rFonts w:ascii="Times New Roman" w:hAnsi="Times New Roman"/>
                <w:color w:val="000000" w:themeColor="text1"/>
                <w:sz w:val="24"/>
                <w:szCs w:val="28"/>
                <w:lang w:eastAsia="lv-LV"/>
              </w:rPr>
              <w:t>3</w:t>
            </w:r>
            <w:r w:rsidR="0070420B" w:rsidRPr="00B96F1E">
              <w:rPr>
                <w:rFonts w:ascii="Times New Roman" w:hAnsi="Times New Roman"/>
                <w:color w:val="000000" w:themeColor="text1"/>
                <w:sz w:val="24"/>
                <w:szCs w:val="28"/>
                <w:lang w:eastAsia="lv-LV"/>
              </w:rPr>
              <w:t>80</w:t>
            </w:r>
            <w:r w:rsidR="00A5016E" w:rsidRPr="00B96F1E">
              <w:rPr>
                <w:rFonts w:ascii="Times New Roman" w:hAnsi="Times New Roman"/>
                <w:color w:val="000000" w:themeColor="text1"/>
                <w:sz w:val="24"/>
                <w:szCs w:val="28"/>
                <w:lang w:eastAsia="lv-LV"/>
              </w:rPr>
              <w:t xml:space="preserve">,00 </w:t>
            </w:r>
            <w:r w:rsidR="00A5016E" w:rsidRPr="00B96F1E">
              <w:rPr>
                <w:rFonts w:ascii="Times New Roman" w:hAnsi="Times New Roman"/>
                <w:i/>
                <w:color w:val="000000" w:themeColor="text1"/>
                <w:sz w:val="24"/>
                <w:szCs w:val="28"/>
                <w:lang w:eastAsia="lv-LV"/>
              </w:rPr>
              <w:t>euro</w:t>
            </w:r>
            <w:r w:rsidR="00F47F7A" w:rsidRPr="00B96F1E">
              <w:rPr>
                <w:rFonts w:ascii="Times New Roman" w:hAnsi="Times New Roman"/>
                <w:color w:val="000000" w:themeColor="text1"/>
                <w:sz w:val="24"/>
                <w:szCs w:val="28"/>
                <w:lang w:eastAsia="lv-LV"/>
              </w:rPr>
              <w:t>.</w:t>
            </w:r>
          </w:p>
          <w:p w14:paraId="640D5B04" w14:textId="13B1290F" w:rsidR="00A61A00" w:rsidRPr="00A61A00" w:rsidRDefault="00A61A00" w:rsidP="00A61A00">
            <w:pPr>
              <w:pStyle w:val="Paraststmeklis"/>
              <w:spacing w:before="0" w:beforeAutospacing="0" w:after="0" w:afterAutospacing="0"/>
              <w:jc w:val="both"/>
              <w:rPr>
                <w:i/>
                <w:iCs/>
                <w:color w:val="000000"/>
                <w:lang w:val="lv-LV"/>
              </w:rPr>
            </w:pPr>
            <w:r w:rsidRPr="00A61A00">
              <w:rPr>
                <w:color w:val="000000" w:themeColor="text1"/>
                <w:lang w:val="lv-LV" w:eastAsia="lv-LV"/>
              </w:rPr>
              <w:t xml:space="preserve">Īpaši rūpīga konkrēta uztura bagātinātāja riska izvērtēšana dienestam jāveic, ja tas ir ražots kādā no trešajām valstīm un to pirms tam nav izvērtējusi kāda cita </w:t>
            </w:r>
            <w:r w:rsidR="00F47F7A" w:rsidRPr="00A61A00">
              <w:rPr>
                <w:color w:val="000000" w:themeColor="text1"/>
                <w:lang w:val="lv-LV" w:eastAsia="lv-LV"/>
              </w:rPr>
              <w:t>E</w:t>
            </w:r>
            <w:r w:rsidR="00F47F7A">
              <w:rPr>
                <w:color w:val="000000" w:themeColor="text1"/>
                <w:lang w:val="lv-LV" w:eastAsia="lv-LV"/>
              </w:rPr>
              <w:t xml:space="preserve">iropas </w:t>
            </w:r>
            <w:r w:rsidR="00F47F7A" w:rsidRPr="00A61A00">
              <w:rPr>
                <w:color w:val="000000" w:themeColor="text1"/>
                <w:lang w:val="lv-LV" w:eastAsia="lv-LV"/>
              </w:rPr>
              <w:t>S</w:t>
            </w:r>
            <w:r w:rsidR="00F47F7A">
              <w:rPr>
                <w:color w:val="000000" w:themeColor="text1"/>
                <w:lang w:val="lv-LV" w:eastAsia="lv-LV"/>
              </w:rPr>
              <w:t>avienības</w:t>
            </w:r>
            <w:r w:rsidRPr="00A61A00">
              <w:rPr>
                <w:color w:val="000000" w:themeColor="text1"/>
                <w:lang w:val="lv-LV" w:eastAsia="lv-LV"/>
              </w:rPr>
              <w:t xml:space="preserve"> dalībvalsts kompetentā institūcija. Tomēr, lai mazinātu finansiālo slogu uztura bagātinātāju importētājiem, šobrīd spēkā esošā </w:t>
            </w:r>
            <w:r w:rsidRPr="00A61A00">
              <w:rPr>
                <w:color w:val="000000" w:themeColor="text1"/>
                <w:lang w:val="lv-LV"/>
              </w:rPr>
              <w:t xml:space="preserve">valsts nodeva 426,86 </w:t>
            </w:r>
            <w:r w:rsidRPr="00A61A00">
              <w:rPr>
                <w:i/>
                <w:iCs/>
                <w:color w:val="000000" w:themeColor="text1"/>
                <w:lang w:val="lv-LV"/>
              </w:rPr>
              <w:t>euro</w:t>
            </w:r>
            <w:r w:rsidRPr="00A61A00">
              <w:rPr>
                <w:color w:val="000000" w:themeColor="text1"/>
                <w:lang w:val="lv-LV"/>
              </w:rPr>
              <w:t xml:space="preserve"> par trešajās valstīs ražota uztura bagātinātāja pirmreizēju reģistrāciju tiek aizstāta ar valsts nodevu </w:t>
            </w:r>
            <w:r w:rsidRPr="00B96F1E">
              <w:rPr>
                <w:color w:val="000000" w:themeColor="text1"/>
                <w:lang w:val="lv-LV"/>
              </w:rPr>
              <w:t>3</w:t>
            </w:r>
            <w:r w:rsidR="00B96F1E">
              <w:rPr>
                <w:color w:val="000000" w:themeColor="text1"/>
                <w:lang w:val="lv-LV"/>
              </w:rPr>
              <w:t>8</w:t>
            </w:r>
            <w:r w:rsidRPr="00B96F1E">
              <w:rPr>
                <w:color w:val="000000" w:themeColor="text1"/>
                <w:lang w:val="lv-LV"/>
              </w:rPr>
              <w:t xml:space="preserve">0,00 </w:t>
            </w:r>
            <w:r w:rsidRPr="00B96F1E">
              <w:rPr>
                <w:i/>
                <w:iCs/>
                <w:color w:val="000000" w:themeColor="text1"/>
                <w:lang w:val="lv-LV"/>
              </w:rPr>
              <w:t>eu</w:t>
            </w:r>
            <w:r w:rsidRPr="00B96F1E">
              <w:rPr>
                <w:i/>
                <w:iCs/>
                <w:color w:val="000000"/>
                <w:lang w:val="lv-LV"/>
              </w:rPr>
              <w:t>ro</w:t>
            </w:r>
            <w:r w:rsidRPr="00B96F1E">
              <w:rPr>
                <w:i/>
                <w:iCs/>
                <w:color w:val="1F497D"/>
                <w:lang w:val="lv-LV"/>
              </w:rPr>
              <w:t>.</w:t>
            </w:r>
          </w:p>
          <w:p w14:paraId="0C514AC7" w14:textId="796C3132" w:rsidR="00D46F41" w:rsidRDefault="00957C97" w:rsidP="0029502E">
            <w:pPr>
              <w:pStyle w:val="Paraststmeklis"/>
              <w:spacing w:before="0" w:beforeAutospacing="0" w:after="0" w:afterAutospacing="0"/>
              <w:jc w:val="both"/>
              <w:rPr>
                <w:color w:val="000000" w:themeColor="text1"/>
                <w:lang w:val="lv-LV" w:eastAsia="fr-FR"/>
              </w:rPr>
            </w:pPr>
            <w:r>
              <w:rPr>
                <w:color w:val="000000" w:themeColor="text1"/>
                <w:lang w:val="lv-LV"/>
              </w:rPr>
              <w:t>4.</w:t>
            </w:r>
            <w:r w:rsidR="0035404D" w:rsidRPr="00A61A00">
              <w:rPr>
                <w:color w:val="000000" w:themeColor="text1"/>
                <w:lang w:val="lv-LV"/>
              </w:rPr>
              <w:t xml:space="preserve"> </w:t>
            </w:r>
            <w:r w:rsidR="00171E41" w:rsidRPr="00A61A00">
              <w:rPr>
                <w:color w:val="000000" w:themeColor="text1"/>
                <w:lang w:val="lv-LV"/>
              </w:rPr>
              <w:t>T</w:t>
            </w:r>
            <w:r w:rsidR="00296183" w:rsidRPr="00A61A00">
              <w:rPr>
                <w:color w:val="000000" w:themeColor="text1"/>
                <w:lang w:val="lv-LV"/>
              </w:rPr>
              <w:t>i</w:t>
            </w:r>
            <w:r w:rsidR="00E24DE9" w:rsidRPr="00A61A00">
              <w:rPr>
                <w:color w:val="000000" w:themeColor="text1"/>
                <w:lang w:val="lv-LV"/>
              </w:rPr>
              <w:t>ek</w:t>
            </w:r>
            <w:r w:rsidR="00296183" w:rsidRPr="00A61A00">
              <w:rPr>
                <w:color w:val="000000" w:themeColor="text1"/>
                <w:lang w:val="lv-LV"/>
              </w:rPr>
              <w:t xml:space="preserve"> piemērota jauna </w:t>
            </w:r>
            <w:r w:rsidR="005133A0" w:rsidRPr="00A61A00">
              <w:rPr>
                <w:color w:val="000000" w:themeColor="text1"/>
                <w:lang w:val="lv-LV"/>
              </w:rPr>
              <w:t xml:space="preserve">valsts </w:t>
            </w:r>
            <w:r w:rsidR="00296183" w:rsidRPr="00A61A00">
              <w:rPr>
                <w:color w:val="000000" w:themeColor="text1"/>
                <w:lang w:val="lv-LV"/>
              </w:rPr>
              <w:t xml:space="preserve">nodeva </w:t>
            </w:r>
            <w:r w:rsidR="00112797" w:rsidRPr="00A61A00">
              <w:rPr>
                <w:color w:val="000000" w:themeColor="text1"/>
                <w:lang w:val="lv-LV" w:eastAsia="fr-FR"/>
              </w:rPr>
              <w:t>3</w:t>
            </w:r>
            <w:r w:rsidR="00F578AA">
              <w:rPr>
                <w:color w:val="000000" w:themeColor="text1"/>
                <w:lang w:val="lv-LV" w:eastAsia="fr-FR"/>
              </w:rPr>
              <w:t>5</w:t>
            </w:r>
            <w:r w:rsidR="00171E41" w:rsidRPr="00A61A00">
              <w:rPr>
                <w:color w:val="000000" w:themeColor="text1"/>
                <w:lang w:val="lv-LV" w:eastAsia="fr-FR"/>
              </w:rPr>
              <w:t xml:space="preserve">,00 </w:t>
            </w:r>
            <w:r w:rsidR="00171E41" w:rsidRPr="00A61A00">
              <w:rPr>
                <w:i/>
                <w:color w:val="000000" w:themeColor="text1"/>
                <w:lang w:val="lv-LV"/>
              </w:rPr>
              <w:t xml:space="preserve">euro </w:t>
            </w:r>
            <w:r w:rsidR="00296183" w:rsidRPr="00A61A00">
              <w:rPr>
                <w:color w:val="000000" w:themeColor="text1"/>
                <w:lang w:val="lv-LV"/>
              </w:rPr>
              <w:t xml:space="preserve">par katru uztura bagātinātāju ar </w:t>
            </w:r>
            <w:r w:rsidR="00296183" w:rsidRPr="00A61A00">
              <w:rPr>
                <w:color w:val="000000" w:themeColor="text1"/>
                <w:lang w:val="lv-LV" w:eastAsia="fr-FR"/>
              </w:rPr>
              <w:t>atšķirīgām organoleptiskajām īpašībām</w:t>
            </w:r>
            <w:r w:rsidR="00133909" w:rsidRPr="00A61A00">
              <w:rPr>
                <w:color w:val="000000" w:themeColor="text1"/>
                <w:lang w:val="lv-LV" w:eastAsia="fr-FR"/>
              </w:rPr>
              <w:t>,</w:t>
            </w:r>
            <w:r w:rsidR="00296183" w:rsidRPr="00A61A00">
              <w:rPr>
                <w:color w:val="000000" w:themeColor="text1"/>
                <w:lang w:val="lv-LV" w:eastAsia="fr-FR"/>
              </w:rPr>
              <w:t xml:space="preserve"> </w:t>
            </w:r>
            <w:r w:rsidR="00CA698E" w:rsidRPr="00A61A00">
              <w:rPr>
                <w:color w:val="000000" w:themeColor="text1"/>
                <w:lang w:val="lv-LV" w:eastAsia="fr-FR"/>
              </w:rPr>
              <w:t>piemēram, pēc garšas.</w:t>
            </w:r>
            <w:r w:rsidR="00D46F41">
              <w:rPr>
                <w:color w:val="000000" w:themeColor="text1"/>
                <w:lang w:val="lv-LV" w:eastAsia="fr-FR"/>
              </w:rPr>
              <w:t xml:space="preserve"> Šajā gadījumā d</w:t>
            </w:r>
            <w:r w:rsidR="00D46F41" w:rsidRPr="00562FB0">
              <w:rPr>
                <w:color w:val="000000"/>
                <w:lang w:val="lv-LV" w:eastAsia="fr-FR"/>
              </w:rPr>
              <w:t>ienests, izvērtējot katru uztura bagātinātāju</w:t>
            </w:r>
            <w:r w:rsidR="00D46F41" w:rsidRPr="00562FB0">
              <w:rPr>
                <w:color w:val="000000"/>
                <w:lang w:val="lv-LV"/>
              </w:rPr>
              <w:t xml:space="preserve"> ar dažādām organoleptiskām īpašībām, iegulda papildu laiku, tādēļ par šiem uztura bagātinātājiem tiek noteikta detalizētāka valsts nodeva.</w:t>
            </w:r>
          </w:p>
          <w:p w14:paraId="2FADBB7E" w14:textId="62811549" w:rsidR="003C0817" w:rsidRPr="00A61A00" w:rsidRDefault="00957C97" w:rsidP="0029502E">
            <w:pPr>
              <w:pStyle w:val="Paraststmeklis"/>
              <w:spacing w:before="0" w:beforeAutospacing="0" w:after="0" w:afterAutospacing="0"/>
              <w:jc w:val="both"/>
              <w:rPr>
                <w:color w:val="000000" w:themeColor="text1"/>
                <w:lang w:val="lv-LV"/>
              </w:rPr>
            </w:pPr>
            <w:r>
              <w:rPr>
                <w:color w:val="000000" w:themeColor="text1"/>
                <w:lang w:val="lv-LV"/>
              </w:rPr>
              <w:t>5</w:t>
            </w:r>
            <w:r w:rsidR="00E24DE9" w:rsidRPr="00A61A00">
              <w:rPr>
                <w:color w:val="000000" w:themeColor="text1"/>
                <w:lang w:val="lv-LV"/>
              </w:rPr>
              <w:t>.</w:t>
            </w:r>
            <w:r w:rsidR="00296183" w:rsidRPr="00A61A00">
              <w:rPr>
                <w:color w:val="000000" w:themeColor="text1"/>
                <w:lang w:val="lv-LV"/>
              </w:rPr>
              <w:t xml:space="preserve"> </w:t>
            </w:r>
            <w:r w:rsidR="003C0817" w:rsidRPr="00A61A00">
              <w:rPr>
                <w:color w:val="000000" w:themeColor="text1"/>
                <w:lang w:val="lv-LV"/>
              </w:rPr>
              <w:t xml:space="preserve">Valsts nodeva par izmaiņu reģistrēšanu reģistrā esošam uztura bagātinātājam diferencēta atkarībā no </w:t>
            </w:r>
            <w:r w:rsidR="00167CFA" w:rsidRPr="00A61A00">
              <w:rPr>
                <w:color w:val="000000" w:themeColor="text1"/>
                <w:lang w:val="lv-LV"/>
              </w:rPr>
              <w:t xml:space="preserve">tā, </w:t>
            </w:r>
            <w:r w:rsidR="003C0817" w:rsidRPr="00A61A00">
              <w:rPr>
                <w:color w:val="000000" w:themeColor="text1"/>
                <w:lang w:val="lv-LV"/>
              </w:rPr>
              <w:t xml:space="preserve">cik būtiskas ir izmaiņas: </w:t>
            </w:r>
          </w:p>
          <w:p w14:paraId="5EBC8A8E" w14:textId="4F82E426" w:rsidR="00296183" w:rsidRPr="00A61A00" w:rsidRDefault="00957C97" w:rsidP="0029502E">
            <w:pPr>
              <w:pStyle w:val="Paraststmeklis"/>
              <w:spacing w:before="0" w:beforeAutospacing="0" w:after="0" w:afterAutospacing="0"/>
              <w:jc w:val="both"/>
              <w:rPr>
                <w:color w:val="000000" w:themeColor="text1"/>
                <w:lang w:val="lv-LV"/>
              </w:rPr>
            </w:pPr>
            <w:r>
              <w:rPr>
                <w:color w:val="000000" w:themeColor="text1"/>
                <w:lang w:val="lv-LV"/>
              </w:rPr>
              <w:t>5</w:t>
            </w:r>
            <w:r w:rsidR="00712489" w:rsidRPr="00A61A00">
              <w:rPr>
                <w:color w:val="000000" w:themeColor="text1"/>
                <w:lang w:val="lv-LV"/>
              </w:rPr>
              <w:t>.</w:t>
            </w:r>
            <w:r w:rsidR="006824EF">
              <w:rPr>
                <w:color w:val="000000" w:themeColor="text1"/>
                <w:lang w:val="lv-LV"/>
              </w:rPr>
              <w:t>1</w:t>
            </w:r>
            <w:r w:rsidR="00712489" w:rsidRPr="00A61A00">
              <w:rPr>
                <w:color w:val="000000" w:themeColor="text1"/>
                <w:lang w:val="lv-LV"/>
              </w:rPr>
              <w:t>.</w:t>
            </w:r>
            <w:r w:rsidR="00296183" w:rsidRPr="00A61A00">
              <w:rPr>
                <w:color w:val="000000" w:themeColor="text1"/>
                <w:lang w:val="lv-LV"/>
              </w:rPr>
              <w:t xml:space="preserve"> </w:t>
            </w:r>
            <w:r w:rsidR="003C0817" w:rsidRPr="00A61A00">
              <w:rPr>
                <w:color w:val="000000" w:themeColor="text1"/>
                <w:lang w:val="lv-LV"/>
              </w:rPr>
              <w:t xml:space="preserve">valsts nodeva par izmaiņu reģistrēšanu palielinās no 42,69 </w:t>
            </w:r>
            <w:r w:rsidR="003C0817" w:rsidRPr="00A61A00">
              <w:rPr>
                <w:i/>
                <w:color w:val="000000" w:themeColor="text1"/>
                <w:lang w:val="lv-LV"/>
              </w:rPr>
              <w:t>euro</w:t>
            </w:r>
            <w:r w:rsidR="003C0817" w:rsidRPr="00A61A00">
              <w:rPr>
                <w:color w:val="000000" w:themeColor="text1"/>
                <w:lang w:val="lv-LV"/>
              </w:rPr>
              <w:t xml:space="preserve"> uz </w:t>
            </w:r>
            <w:r w:rsidR="006341B6" w:rsidRPr="001E1B19">
              <w:rPr>
                <w:color w:val="000000" w:themeColor="text1"/>
                <w:lang w:val="lv-LV"/>
              </w:rPr>
              <w:t>1</w:t>
            </w:r>
            <w:r w:rsidR="00687D2F" w:rsidRPr="001E1B19">
              <w:rPr>
                <w:color w:val="000000" w:themeColor="text1"/>
                <w:lang w:val="lv-LV"/>
              </w:rPr>
              <w:t>0</w:t>
            </w:r>
            <w:r w:rsidR="006341B6" w:rsidRPr="001E1B19">
              <w:rPr>
                <w:color w:val="000000" w:themeColor="text1"/>
                <w:lang w:val="lv-LV"/>
              </w:rPr>
              <w:t>0,00</w:t>
            </w:r>
            <w:r w:rsidR="00296183" w:rsidRPr="001E1B19">
              <w:rPr>
                <w:color w:val="000000" w:themeColor="text1"/>
                <w:lang w:val="lv-LV"/>
              </w:rPr>
              <w:t xml:space="preserve"> </w:t>
            </w:r>
            <w:r w:rsidR="00296183" w:rsidRPr="001E1B19">
              <w:rPr>
                <w:i/>
                <w:color w:val="000000" w:themeColor="text1"/>
                <w:lang w:val="lv-LV"/>
              </w:rPr>
              <w:t>euro</w:t>
            </w:r>
            <w:r w:rsidR="00296183" w:rsidRPr="001E1B19">
              <w:rPr>
                <w:color w:val="000000" w:themeColor="text1"/>
                <w:lang w:val="lv-LV"/>
              </w:rPr>
              <w:t>,</w:t>
            </w:r>
            <w:r w:rsidR="00296183" w:rsidRPr="00A61A00">
              <w:rPr>
                <w:color w:val="000000" w:themeColor="text1"/>
                <w:lang w:val="lv-LV"/>
              </w:rPr>
              <w:t xml:space="preserve"> ja </w:t>
            </w:r>
            <w:r w:rsidR="00871083" w:rsidRPr="00A61A00">
              <w:rPr>
                <w:color w:val="000000" w:themeColor="text1"/>
                <w:lang w:val="lv-LV"/>
              </w:rPr>
              <w:t xml:space="preserve">tiek </w:t>
            </w:r>
            <w:r w:rsidR="00296183" w:rsidRPr="00A61A00">
              <w:rPr>
                <w:color w:val="000000" w:themeColor="text1"/>
                <w:lang w:val="lv-LV"/>
              </w:rPr>
              <w:t>mainīts</w:t>
            </w:r>
            <w:r w:rsidR="00871083" w:rsidRPr="00A61A00">
              <w:rPr>
                <w:color w:val="000000" w:themeColor="text1"/>
                <w:lang w:val="lv-LV"/>
              </w:rPr>
              <w:t xml:space="preserve"> </w:t>
            </w:r>
            <w:r w:rsidR="00296183" w:rsidRPr="00A61A00">
              <w:rPr>
                <w:color w:val="000000" w:themeColor="text1"/>
                <w:lang w:val="lv-LV" w:eastAsia="fr-FR"/>
              </w:rPr>
              <w:t>u</w:t>
            </w:r>
            <w:r w:rsidR="00296183" w:rsidRPr="00A61A00">
              <w:rPr>
                <w:color w:val="000000" w:themeColor="text1"/>
                <w:lang w:val="lv-LV"/>
              </w:rPr>
              <w:t>ztura bagātinātāja pagatavojuma veids, fasējuma vienības lielums, ieteicamā dienas (diennakts</w:t>
            </w:r>
            <w:r w:rsidR="00AD3F5B" w:rsidRPr="00A61A00">
              <w:rPr>
                <w:color w:val="000000" w:themeColor="text1"/>
                <w:lang w:val="lv-LV"/>
              </w:rPr>
              <w:t>)</w:t>
            </w:r>
            <w:r w:rsidR="00296183" w:rsidRPr="00A61A00">
              <w:rPr>
                <w:color w:val="000000" w:themeColor="text1"/>
                <w:lang w:val="lv-LV"/>
              </w:rPr>
              <w:t xml:space="preserve"> deva</w:t>
            </w:r>
            <w:r w:rsidR="00296183" w:rsidRPr="00A61A00">
              <w:rPr>
                <w:color w:val="000000" w:themeColor="text1"/>
                <w:lang w:val="lv-LV" w:eastAsia="fr-FR"/>
              </w:rPr>
              <w:t>, s</w:t>
            </w:r>
            <w:r w:rsidR="00296183" w:rsidRPr="00A61A00">
              <w:rPr>
                <w:color w:val="000000" w:themeColor="text1"/>
                <w:lang w:val="lv-LV"/>
              </w:rPr>
              <w:t xml:space="preserve">astāvdaļas </w:t>
            </w:r>
            <w:r w:rsidR="00AD3F5B" w:rsidRPr="00A61A00">
              <w:rPr>
                <w:color w:val="000000" w:themeColor="text1"/>
                <w:lang w:val="lv-LV"/>
              </w:rPr>
              <w:t>vai</w:t>
            </w:r>
            <w:r w:rsidR="00296183" w:rsidRPr="00A61A00">
              <w:rPr>
                <w:color w:val="000000" w:themeColor="text1"/>
                <w:lang w:val="lv-LV"/>
              </w:rPr>
              <w:t xml:space="preserve"> sastāvdaļu daudzum</w:t>
            </w:r>
            <w:r w:rsidR="00FD0D9D" w:rsidRPr="00A61A00">
              <w:rPr>
                <w:color w:val="000000" w:themeColor="text1"/>
                <w:lang w:val="lv-LV"/>
              </w:rPr>
              <w:t>s</w:t>
            </w:r>
            <w:r w:rsidR="00116911" w:rsidRPr="00A61A00">
              <w:rPr>
                <w:color w:val="000000" w:themeColor="text1"/>
                <w:lang w:val="lv-LV"/>
              </w:rPr>
              <w:t>.</w:t>
            </w:r>
            <w:r w:rsidR="00360B65" w:rsidRPr="00A61A00">
              <w:rPr>
                <w:color w:val="000000" w:themeColor="text1"/>
                <w:lang w:val="lv-LV"/>
              </w:rPr>
              <w:t xml:space="preserve"> Šīs izmaiņas ir uzskatāmas par būtiskām, jo attiecas tieši uz informāciju, ko saņem patērētājs par produktu</w:t>
            </w:r>
            <w:r w:rsidR="003842D8" w:rsidRPr="00A61A00">
              <w:rPr>
                <w:color w:val="000000" w:themeColor="text1"/>
                <w:lang w:val="lv-LV"/>
              </w:rPr>
              <w:t>;</w:t>
            </w:r>
            <w:r w:rsidR="00360B65" w:rsidRPr="00A61A00">
              <w:rPr>
                <w:color w:val="000000" w:themeColor="text1"/>
                <w:lang w:val="lv-LV"/>
              </w:rPr>
              <w:t xml:space="preserve"> </w:t>
            </w:r>
          </w:p>
          <w:p w14:paraId="021C5F9A" w14:textId="367FAD1C" w:rsidR="003C0817" w:rsidRPr="00A61A00" w:rsidRDefault="00957C97" w:rsidP="0029502E">
            <w:pPr>
              <w:pStyle w:val="Paraststmeklis"/>
              <w:spacing w:before="0" w:beforeAutospacing="0" w:after="0" w:afterAutospacing="0"/>
              <w:jc w:val="both"/>
              <w:rPr>
                <w:color w:val="000000" w:themeColor="text1"/>
                <w:lang w:val="lv-LV"/>
              </w:rPr>
            </w:pPr>
            <w:r>
              <w:rPr>
                <w:color w:val="000000" w:themeColor="text1"/>
                <w:lang w:val="lv-LV"/>
              </w:rPr>
              <w:t>5</w:t>
            </w:r>
            <w:r w:rsidR="00712489" w:rsidRPr="00A61A00">
              <w:rPr>
                <w:color w:val="000000" w:themeColor="text1"/>
                <w:lang w:val="lv-LV"/>
              </w:rPr>
              <w:t>.</w:t>
            </w:r>
            <w:r w:rsidR="006824EF">
              <w:rPr>
                <w:color w:val="000000" w:themeColor="text1"/>
                <w:lang w:val="lv-LV"/>
              </w:rPr>
              <w:t>2</w:t>
            </w:r>
            <w:r w:rsidR="00712489" w:rsidRPr="00A61A00">
              <w:rPr>
                <w:color w:val="000000" w:themeColor="text1"/>
                <w:lang w:val="lv-LV"/>
              </w:rPr>
              <w:t>.</w:t>
            </w:r>
            <w:r w:rsidR="003C0817" w:rsidRPr="00A61A00">
              <w:rPr>
                <w:color w:val="000000" w:themeColor="text1"/>
                <w:lang w:val="lv-LV"/>
              </w:rPr>
              <w:t xml:space="preserve"> valsts nodeva par izmaiņu reģistrēšanu palielinās no 42,69 </w:t>
            </w:r>
            <w:r w:rsidR="003C0817" w:rsidRPr="00A61A00">
              <w:rPr>
                <w:i/>
                <w:color w:val="000000" w:themeColor="text1"/>
                <w:lang w:val="lv-LV"/>
              </w:rPr>
              <w:t>euro</w:t>
            </w:r>
            <w:r w:rsidR="00152511" w:rsidRPr="00A61A00">
              <w:rPr>
                <w:i/>
                <w:color w:val="000000" w:themeColor="text1"/>
                <w:lang w:val="lv-LV"/>
              </w:rPr>
              <w:t xml:space="preserve"> </w:t>
            </w:r>
            <w:r w:rsidR="003C0817" w:rsidRPr="00A61A00">
              <w:rPr>
                <w:color w:val="000000" w:themeColor="text1"/>
                <w:lang w:val="lv-LV"/>
              </w:rPr>
              <w:t>uz 50,00</w:t>
            </w:r>
            <w:r w:rsidR="003C0817" w:rsidRPr="00A61A00">
              <w:rPr>
                <w:i/>
                <w:color w:val="000000" w:themeColor="text1"/>
                <w:lang w:val="lv-LV"/>
              </w:rPr>
              <w:t xml:space="preserve"> euro, </w:t>
            </w:r>
            <w:r w:rsidR="003C0817" w:rsidRPr="00A61A00">
              <w:rPr>
                <w:color w:val="000000" w:themeColor="text1"/>
                <w:lang w:val="lv-LV"/>
              </w:rPr>
              <w:t xml:space="preserve">ja tiek </w:t>
            </w:r>
            <w:r w:rsidR="003842D8" w:rsidRPr="00A61A00">
              <w:rPr>
                <w:color w:val="000000" w:themeColor="text1"/>
                <w:lang w:val="lv-LV"/>
              </w:rPr>
              <w:t>veiktas citas izmaiņas</w:t>
            </w:r>
            <w:r w:rsidR="003C0817" w:rsidRPr="00A61A00">
              <w:rPr>
                <w:color w:val="000000" w:themeColor="text1"/>
                <w:lang w:val="lv-LV"/>
              </w:rPr>
              <w:t xml:space="preserve"> </w:t>
            </w:r>
            <w:r w:rsidR="003842D8" w:rsidRPr="00A61A00">
              <w:rPr>
                <w:color w:val="000000" w:themeColor="text1"/>
                <w:lang w:val="lv-LV"/>
              </w:rPr>
              <w:t xml:space="preserve">pievienotajā informācijā. </w:t>
            </w:r>
            <w:r w:rsidR="00494B70" w:rsidRPr="00A61A00">
              <w:rPr>
                <w:color w:val="000000" w:themeColor="text1"/>
                <w:lang w:val="lv-LV"/>
              </w:rPr>
              <w:t>Šīs</w:t>
            </w:r>
            <w:r w:rsidR="00F8599D">
              <w:rPr>
                <w:color w:val="000000" w:themeColor="text1"/>
                <w:lang w:val="lv-LV"/>
              </w:rPr>
              <w:t xml:space="preserve"> izmaiņas uzskatāmas </w:t>
            </w:r>
            <w:r w:rsidR="00494B70">
              <w:rPr>
                <w:color w:val="000000" w:themeColor="text1"/>
                <w:lang w:val="lv-LV"/>
              </w:rPr>
              <w:t>par mazāk būtiskām</w:t>
            </w:r>
            <w:r w:rsidR="007940D8">
              <w:rPr>
                <w:color w:val="000000" w:themeColor="text1"/>
                <w:lang w:val="lv-LV"/>
              </w:rPr>
              <w:t>, jo tieši neskar informāciju</w:t>
            </w:r>
            <w:r w:rsidR="008D6D30">
              <w:rPr>
                <w:color w:val="000000" w:themeColor="text1"/>
                <w:lang w:val="lv-LV"/>
              </w:rPr>
              <w:t>,</w:t>
            </w:r>
            <w:r w:rsidR="007940D8">
              <w:rPr>
                <w:color w:val="000000" w:themeColor="text1"/>
                <w:lang w:val="lv-LV"/>
              </w:rPr>
              <w:t xml:space="preserve"> </w:t>
            </w:r>
            <w:r w:rsidR="008D6D30" w:rsidRPr="00A61A00">
              <w:rPr>
                <w:color w:val="000000" w:themeColor="text1"/>
                <w:lang w:val="lv-LV"/>
              </w:rPr>
              <w:t>ko patērētājs</w:t>
            </w:r>
            <w:r w:rsidR="008D6D30">
              <w:rPr>
                <w:color w:val="000000" w:themeColor="text1"/>
                <w:lang w:val="lv-LV"/>
              </w:rPr>
              <w:t xml:space="preserve"> saņem </w:t>
            </w:r>
            <w:r w:rsidR="008D6D30" w:rsidRPr="00A61A00">
              <w:rPr>
                <w:color w:val="000000" w:themeColor="text1"/>
                <w:lang w:val="lv-LV"/>
              </w:rPr>
              <w:t>par produktu</w:t>
            </w:r>
            <w:r w:rsidR="009D1B09">
              <w:rPr>
                <w:color w:val="000000" w:themeColor="text1"/>
                <w:lang w:val="lv-LV"/>
              </w:rPr>
              <w:t>.</w:t>
            </w:r>
          </w:p>
          <w:p w14:paraId="158C4DA5" w14:textId="758AC091" w:rsidR="00044858" w:rsidRPr="00A777FC" w:rsidRDefault="00957C97" w:rsidP="009E6A47">
            <w:pPr>
              <w:pStyle w:val="Paraststmeklis"/>
              <w:spacing w:before="0" w:beforeAutospacing="0" w:after="0" w:afterAutospacing="0"/>
              <w:jc w:val="both"/>
              <w:rPr>
                <w:i/>
                <w:color w:val="FF0000"/>
                <w:highlight w:val="yellow"/>
                <w:lang w:val="lv-LV"/>
              </w:rPr>
            </w:pPr>
            <w:r>
              <w:rPr>
                <w:color w:val="000000" w:themeColor="text1"/>
                <w:lang w:val="lv-LV"/>
              </w:rPr>
              <w:t>6</w:t>
            </w:r>
            <w:r w:rsidR="00892FF7" w:rsidRPr="00A61A00">
              <w:rPr>
                <w:color w:val="000000" w:themeColor="text1"/>
                <w:lang w:val="lv-LV"/>
              </w:rPr>
              <w:t xml:space="preserve">. </w:t>
            </w:r>
            <w:r w:rsidR="00FD0D9D" w:rsidRPr="00A61A00">
              <w:rPr>
                <w:color w:val="000000" w:themeColor="text1"/>
                <w:lang w:val="lv-LV"/>
              </w:rPr>
              <w:t>T</w:t>
            </w:r>
            <w:r w:rsidR="00892FF7" w:rsidRPr="00A61A00">
              <w:rPr>
                <w:color w:val="000000" w:themeColor="text1"/>
                <w:lang w:val="lv-LV"/>
              </w:rPr>
              <w:t>iek svītrots noteikumu Nr.1145 6.punkts</w:t>
            </w:r>
            <w:r w:rsidR="005B49CD" w:rsidRPr="00A61A00">
              <w:rPr>
                <w:color w:val="000000" w:themeColor="text1"/>
                <w:lang w:val="lv-LV"/>
              </w:rPr>
              <w:t xml:space="preserve"> un jaunā redakcijā izteikts 5.punkts</w:t>
            </w:r>
            <w:r w:rsidR="00892FF7" w:rsidRPr="00A61A00">
              <w:rPr>
                <w:color w:val="000000" w:themeColor="text1"/>
                <w:lang w:val="lv-LV"/>
              </w:rPr>
              <w:t>, lai s</w:t>
            </w:r>
            <w:r w:rsidR="004D3DDF" w:rsidRPr="00A61A00">
              <w:rPr>
                <w:color w:val="000000" w:themeColor="text1"/>
                <w:lang w:val="lv-LV"/>
              </w:rPr>
              <w:t>amazināt</w:t>
            </w:r>
            <w:r w:rsidR="00892FF7" w:rsidRPr="00A61A00">
              <w:rPr>
                <w:color w:val="000000" w:themeColor="text1"/>
                <w:lang w:val="lv-LV"/>
              </w:rPr>
              <w:t>u</w:t>
            </w:r>
            <w:r w:rsidR="004D3DDF" w:rsidRPr="00A61A00">
              <w:rPr>
                <w:color w:val="000000" w:themeColor="text1"/>
                <w:lang w:val="lv-LV"/>
              </w:rPr>
              <w:t xml:space="preserve"> administratīv</w:t>
            </w:r>
            <w:r w:rsidR="00892FF7" w:rsidRPr="00A61A00">
              <w:rPr>
                <w:color w:val="000000" w:themeColor="text1"/>
                <w:lang w:val="lv-LV"/>
              </w:rPr>
              <w:t>o</w:t>
            </w:r>
            <w:r w:rsidR="004D3DDF" w:rsidRPr="00A61A00">
              <w:rPr>
                <w:color w:val="000000" w:themeColor="text1"/>
                <w:lang w:val="lv-LV"/>
              </w:rPr>
              <w:t xml:space="preserve"> slog</w:t>
            </w:r>
            <w:r w:rsidR="00892FF7" w:rsidRPr="00A61A00">
              <w:rPr>
                <w:color w:val="000000" w:themeColor="text1"/>
                <w:lang w:val="lv-LV"/>
              </w:rPr>
              <w:t>u</w:t>
            </w:r>
            <w:r w:rsidR="004D3DDF" w:rsidRPr="00A61A00">
              <w:rPr>
                <w:color w:val="000000" w:themeColor="text1"/>
                <w:lang w:val="lv-LV"/>
              </w:rPr>
              <w:t xml:space="preserve">, atceļot prasību </w:t>
            </w:r>
            <w:r w:rsidR="001D6C47" w:rsidRPr="00A61A00">
              <w:rPr>
                <w:color w:val="000000" w:themeColor="text1"/>
                <w:lang w:val="lv-LV"/>
              </w:rPr>
              <w:t xml:space="preserve">uzņēmumiem </w:t>
            </w:r>
            <w:r w:rsidR="004D3DDF" w:rsidRPr="00A61A00">
              <w:rPr>
                <w:color w:val="000000" w:themeColor="text1"/>
                <w:lang w:val="lv-LV"/>
              </w:rPr>
              <w:t xml:space="preserve">iesniegt </w:t>
            </w:r>
            <w:r w:rsidR="001D6C47" w:rsidRPr="00A61A00">
              <w:rPr>
                <w:color w:val="000000" w:themeColor="text1"/>
                <w:lang w:val="lv-LV"/>
              </w:rPr>
              <w:t>dienestā valsts nodevas samaksu apliecinoša dokumenta kopiju vai ar kredītiestādes internetbankas starpniecību veiktā maksājuma izdruku</w:t>
            </w:r>
            <w:r w:rsidR="00E818D3" w:rsidRPr="00A61A00">
              <w:rPr>
                <w:color w:val="000000" w:themeColor="text1"/>
                <w:lang w:val="lv-LV"/>
              </w:rPr>
              <w:t>.</w:t>
            </w:r>
            <w:r w:rsidR="00B30369" w:rsidRPr="00A61A00">
              <w:rPr>
                <w:color w:val="000000" w:themeColor="text1"/>
                <w:lang w:val="lv-LV"/>
              </w:rPr>
              <w:t xml:space="preserve"> </w:t>
            </w:r>
          </w:p>
        </w:tc>
      </w:tr>
      <w:tr w:rsidR="00296183" w:rsidRPr="000952F6" w14:paraId="64B54091" w14:textId="77777777" w:rsidTr="005A05A9">
        <w:trPr>
          <w:jc w:val="center"/>
        </w:trPr>
        <w:tc>
          <w:tcPr>
            <w:tcW w:w="261" w:type="pct"/>
            <w:tcBorders>
              <w:top w:val="outset" w:sz="6" w:space="0" w:color="auto"/>
              <w:left w:val="outset" w:sz="6" w:space="0" w:color="auto"/>
              <w:right w:val="outset" w:sz="6" w:space="0" w:color="auto"/>
            </w:tcBorders>
          </w:tcPr>
          <w:p w14:paraId="7C5497F8" w14:textId="12127B69" w:rsidR="00296183" w:rsidRPr="00F145DA" w:rsidRDefault="00296183" w:rsidP="0029502E">
            <w:pPr>
              <w:pStyle w:val="Paraststmeklis"/>
              <w:spacing w:before="0" w:beforeAutospacing="0" w:after="0" w:afterAutospacing="0"/>
              <w:rPr>
                <w:color w:val="000000" w:themeColor="text1"/>
                <w:lang w:val="lv-LV"/>
              </w:rPr>
            </w:pPr>
            <w:r w:rsidRPr="00F145DA">
              <w:rPr>
                <w:color w:val="000000" w:themeColor="text1"/>
                <w:lang w:val="lv-LV"/>
              </w:rPr>
              <w:lastRenderedPageBreak/>
              <w:t>3.</w:t>
            </w:r>
          </w:p>
        </w:tc>
        <w:tc>
          <w:tcPr>
            <w:tcW w:w="1158" w:type="pct"/>
            <w:tcBorders>
              <w:top w:val="outset" w:sz="6" w:space="0" w:color="auto"/>
              <w:left w:val="outset" w:sz="6" w:space="0" w:color="auto"/>
              <w:right w:val="outset" w:sz="6" w:space="0" w:color="auto"/>
            </w:tcBorders>
          </w:tcPr>
          <w:p w14:paraId="545700B9" w14:textId="77777777" w:rsidR="00296183" w:rsidRPr="001902D0" w:rsidRDefault="00296183" w:rsidP="0029502E">
            <w:pPr>
              <w:pStyle w:val="Paraststmeklis"/>
              <w:spacing w:before="0" w:beforeAutospacing="0" w:after="0" w:afterAutospacing="0"/>
              <w:jc w:val="both"/>
              <w:rPr>
                <w:color w:val="000000" w:themeColor="text1"/>
                <w:lang w:val="lv-LV"/>
              </w:rPr>
            </w:pPr>
            <w:r w:rsidRPr="00116911">
              <w:rPr>
                <w:color w:val="000000" w:themeColor="text1"/>
                <w:lang w:val="lv-LV"/>
              </w:rPr>
              <w:t>Administratīvo izmaksu monetārs novērtējums</w:t>
            </w:r>
          </w:p>
        </w:tc>
        <w:tc>
          <w:tcPr>
            <w:tcW w:w="3581" w:type="pct"/>
            <w:tcBorders>
              <w:top w:val="outset" w:sz="6" w:space="0" w:color="auto"/>
              <w:left w:val="outset" w:sz="6" w:space="0" w:color="auto"/>
              <w:right w:val="outset" w:sz="6" w:space="0" w:color="auto"/>
            </w:tcBorders>
          </w:tcPr>
          <w:p w14:paraId="28C3AE52" w14:textId="77777777" w:rsidR="00032345" w:rsidRDefault="00032345" w:rsidP="00073715">
            <w:pPr>
              <w:pStyle w:val="Bezatstarpm"/>
              <w:jc w:val="both"/>
              <w:rPr>
                <w:rFonts w:ascii="Times New Roman" w:hAnsi="Times New Roman"/>
                <w:color w:val="000000" w:themeColor="text1"/>
                <w:sz w:val="24"/>
                <w:szCs w:val="24"/>
              </w:rPr>
            </w:pPr>
            <w:r>
              <w:rPr>
                <w:rFonts w:ascii="Times New Roman" w:hAnsi="Times New Roman"/>
                <w:color w:val="000000" w:themeColor="text1"/>
                <w:sz w:val="24"/>
                <w:szCs w:val="24"/>
              </w:rPr>
              <w:t>Pēc dienest</w:t>
            </w:r>
            <w:r w:rsidR="00805086">
              <w:rPr>
                <w:rFonts w:ascii="Times New Roman" w:hAnsi="Times New Roman"/>
                <w:color w:val="000000" w:themeColor="text1"/>
                <w:sz w:val="24"/>
                <w:szCs w:val="24"/>
              </w:rPr>
              <w:t>a</w:t>
            </w:r>
            <w:r>
              <w:rPr>
                <w:rFonts w:ascii="Times New Roman" w:hAnsi="Times New Roman"/>
                <w:color w:val="000000" w:themeColor="text1"/>
                <w:sz w:val="24"/>
                <w:szCs w:val="24"/>
              </w:rPr>
              <w:t xml:space="preserve"> datiem:</w:t>
            </w:r>
          </w:p>
          <w:p w14:paraId="760355F4" w14:textId="77777777" w:rsidR="00032345" w:rsidRDefault="00032345" w:rsidP="00073715">
            <w:pPr>
              <w:pStyle w:val="Bezatstarpm"/>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rPr>
              <w:t xml:space="preserve">2014.gada laikā </w:t>
            </w:r>
            <w:r>
              <w:rPr>
                <w:rFonts w:ascii="Times New Roman" w:hAnsi="Times New Roman"/>
                <w:b/>
                <w:color w:val="000000" w:themeColor="text1"/>
                <w:sz w:val="24"/>
                <w:szCs w:val="24"/>
              </w:rPr>
              <w:t>125</w:t>
            </w:r>
            <w:r>
              <w:rPr>
                <w:rFonts w:ascii="Times New Roman" w:hAnsi="Times New Roman"/>
                <w:color w:val="000000" w:themeColor="text1"/>
                <w:sz w:val="24"/>
                <w:szCs w:val="24"/>
              </w:rPr>
              <w:t xml:space="preserve"> uzņēmumi iesniedza 1447 paziņojumus par uztura bagātinātāju laišanu tirgū. </w:t>
            </w:r>
            <w:r>
              <w:rPr>
                <w:rFonts w:ascii="Times New Roman" w:hAnsi="Times New Roman"/>
                <w:color w:val="000000" w:themeColor="text1"/>
                <w:sz w:val="24"/>
                <w:szCs w:val="24"/>
                <w:lang w:eastAsia="ar-SA"/>
              </w:rPr>
              <w:t xml:space="preserve">Aprēķinos ir izmantoti šādi </w:t>
            </w:r>
            <w:r w:rsidRPr="00BE6C1B">
              <w:rPr>
                <w:rFonts w:ascii="Times New Roman" w:hAnsi="Times New Roman"/>
                <w:color w:val="000000" w:themeColor="text1"/>
                <w:sz w:val="24"/>
                <w:szCs w:val="24"/>
                <w:lang w:eastAsia="ar-SA"/>
              </w:rPr>
              <w:t>pieņēmumi</w:t>
            </w:r>
            <w:r>
              <w:rPr>
                <w:rFonts w:ascii="Times New Roman" w:hAnsi="Times New Roman"/>
                <w:color w:val="000000" w:themeColor="text1"/>
                <w:sz w:val="24"/>
                <w:szCs w:val="24"/>
                <w:lang w:eastAsia="ar-SA"/>
              </w:rPr>
              <w:t>:</w:t>
            </w:r>
          </w:p>
          <w:p w14:paraId="79056D7E" w14:textId="77777777" w:rsidR="00032345" w:rsidRDefault="00032345" w:rsidP="00073715">
            <w:pPr>
              <w:jc w:val="both"/>
              <w:rPr>
                <w:color w:val="000000" w:themeColor="text1"/>
                <w:lang w:val="lv-LV"/>
              </w:rPr>
            </w:pPr>
            <w:r>
              <w:rPr>
                <w:color w:val="000000" w:themeColor="text1"/>
                <w:lang w:val="lv-LV"/>
              </w:rPr>
              <w:t xml:space="preserve">1.1. </w:t>
            </w:r>
            <w:r w:rsidR="00FD0D9D">
              <w:rPr>
                <w:color w:val="000000" w:themeColor="text1"/>
                <w:lang w:val="lv-LV"/>
              </w:rPr>
              <w:t>pēc</w:t>
            </w:r>
            <w:r w:rsidR="00FD0D9D">
              <w:rPr>
                <w:b/>
                <w:color w:val="000000" w:themeColor="text1"/>
                <w:lang w:val="lv-LV"/>
              </w:rPr>
              <w:t xml:space="preserve"> </w:t>
            </w:r>
            <w:hyperlink r:id="rId10" w:history="1">
              <w:r w:rsidR="00FD0D9D" w:rsidRPr="00032345">
                <w:rPr>
                  <w:rStyle w:val="Hipersaite"/>
                  <w:color w:val="000000" w:themeColor="text1"/>
                  <w:lang w:val="lv-LV"/>
                </w:rPr>
                <w:t>www.csb.gov.lv</w:t>
              </w:r>
            </w:hyperlink>
            <w:r w:rsidR="00FD0D9D">
              <w:rPr>
                <w:color w:val="000000" w:themeColor="text1"/>
                <w:lang w:val="lv-LV"/>
              </w:rPr>
              <w:t xml:space="preserve"> datiem, </w:t>
            </w:r>
            <w:r>
              <w:rPr>
                <w:color w:val="000000" w:themeColor="text1"/>
                <w:lang w:val="lv-LV"/>
              </w:rPr>
              <w:t>vidējā darba alga privātajā sektorā 2014.gadā bija EUR 740,00 mēnesī;</w:t>
            </w:r>
          </w:p>
          <w:p w14:paraId="604684B7" w14:textId="77777777" w:rsidR="00032345" w:rsidRDefault="00032345" w:rsidP="00073715">
            <w:pPr>
              <w:jc w:val="both"/>
              <w:rPr>
                <w:color w:val="000000" w:themeColor="text1"/>
                <w:lang w:val="lv-LV"/>
              </w:rPr>
            </w:pPr>
            <w:r>
              <w:rPr>
                <w:color w:val="000000" w:themeColor="text1"/>
                <w:lang w:val="lv-LV"/>
              </w:rPr>
              <w:t>1.2. mēnesī – 21 darbadiena;</w:t>
            </w:r>
          </w:p>
          <w:p w14:paraId="0C5E49C2" w14:textId="77777777" w:rsidR="00032345" w:rsidRDefault="00032345" w:rsidP="00073715">
            <w:pPr>
              <w:jc w:val="both"/>
              <w:rPr>
                <w:color w:val="000000" w:themeColor="text1"/>
                <w:lang w:val="lv-LV"/>
              </w:rPr>
            </w:pPr>
            <w:r>
              <w:rPr>
                <w:color w:val="000000" w:themeColor="text1"/>
                <w:lang w:val="lv-LV"/>
              </w:rPr>
              <w:t xml:space="preserve">1.3. vienas stundas likme – 4,40 </w:t>
            </w:r>
            <w:r>
              <w:rPr>
                <w:i/>
                <w:color w:val="000000" w:themeColor="text1"/>
                <w:lang w:val="lv-LV"/>
              </w:rPr>
              <w:t>euro</w:t>
            </w:r>
            <w:r>
              <w:rPr>
                <w:color w:val="000000" w:themeColor="text1"/>
                <w:lang w:val="lv-LV"/>
              </w:rPr>
              <w:t>;</w:t>
            </w:r>
          </w:p>
          <w:p w14:paraId="184052D3" w14:textId="77777777" w:rsidR="00032345" w:rsidRDefault="00032345" w:rsidP="00073715">
            <w:pPr>
              <w:jc w:val="both"/>
              <w:rPr>
                <w:color w:val="000000" w:themeColor="text1"/>
                <w:lang w:val="lv-LV"/>
              </w:rPr>
            </w:pPr>
            <w:r>
              <w:rPr>
                <w:color w:val="000000" w:themeColor="text1"/>
                <w:lang w:val="lv-LV"/>
              </w:rPr>
              <w:t>1.4. valsts nodevas samaksas apliecinoša dokumenta kopija vai maksājuma izdrukas (noteikumu Nr.1145 5.punkts) pievienošana iesniegumam par uztura bagātinātāja reģistrāciju un nosūtīšana dienestam varētu aizņemt 0,25</w:t>
            </w:r>
            <w:r w:rsidR="00FD0D9D">
              <w:rPr>
                <w:color w:val="000000" w:themeColor="text1"/>
                <w:lang w:val="lv-LV"/>
              </w:rPr>
              <w:t xml:space="preserve"> </w:t>
            </w:r>
            <w:r>
              <w:rPr>
                <w:color w:val="000000" w:themeColor="text1"/>
                <w:lang w:val="lv-LV"/>
              </w:rPr>
              <w:t>h (15 minūtes);</w:t>
            </w:r>
          </w:p>
          <w:p w14:paraId="76B616BB" w14:textId="77777777" w:rsidR="00032345" w:rsidRDefault="00032345" w:rsidP="00073715">
            <w:pPr>
              <w:jc w:val="both"/>
              <w:rPr>
                <w:color w:val="000000" w:themeColor="text1"/>
                <w:lang w:val="lv-LV"/>
              </w:rPr>
            </w:pPr>
            <w:r>
              <w:rPr>
                <w:color w:val="000000" w:themeColor="text1"/>
                <w:lang w:val="lv-LV"/>
              </w:rPr>
              <w:t>1.5. C</w:t>
            </w:r>
            <w:r>
              <w:rPr>
                <w:color w:val="000000" w:themeColor="text1"/>
                <w:vertAlign w:val="subscript"/>
                <w:lang w:val="lv-LV"/>
              </w:rPr>
              <w:t>1</w:t>
            </w:r>
            <w:r>
              <w:rPr>
                <w:color w:val="000000" w:themeColor="text1"/>
                <w:lang w:val="lv-LV"/>
              </w:rPr>
              <w:t xml:space="preserve"> = (4,40 x 0,25 h) x 1447 =1591,70 </w:t>
            </w:r>
            <w:r>
              <w:rPr>
                <w:i/>
                <w:iCs/>
                <w:color w:val="000000" w:themeColor="text1"/>
                <w:lang w:val="lv-LV" w:eastAsia="ar-SA"/>
              </w:rPr>
              <w:t>euro</w:t>
            </w:r>
            <w:r>
              <w:rPr>
                <w:color w:val="000000" w:themeColor="text1"/>
                <w:lang w:val="lv-LV"/>
              </w:rPr>
              <w:t xml:space="preserve"> (pieņemot, ka kopija vai izdruka dienestā tiek iesniegta elektroniski);</w:t>
            </w:r>
          </w:p>
          <w:p w14:paraId="4292F8F9" w14:textId="77777777" w:rsidR="00032345" w:rsidRDefault="00032345" w:rsidP="00073715">
            <w:pPr>
              <w:jc w:val="both"/>
              <w:rPr>
                <w:rFonts w:ascii="Calibri" w:hAnsi="Calibri"/>
                <w:color w:val="000000" w:themeColor="text1"/>
                <w:lang w:val="lv-LV"/>
              </w:rPr>
            </w:pPr>
            <w:r>
              <w:rPr>
                <w:color w:val="000000" w:themeColor="text1"/>
                <w:lang w:val="lv-LV"/>
              </w:rPr>
              <w:lastRenderedPageBreak/>
              <w:t xml:space="preserve">1.6. </w:t>
            </w:r>
            <w:r>
              <w:rPr>
                <w:bCs/>
                <w:color w:val="000000" w:themeColor="text1"/>
                <w:lang w:val="lv-LV" w:eastAsia="ar-SA"/>
              </w:rPr>
              <w:t>C</w:t>
            </w:r>
            <w:r>
              <w:rPr>
                <w:bCs/>
                <w:color w:val="000000" w:themeColor="text1"/>
                <w:vertAlign w:val="subscript"/>
                <w:lang w:val="lv-LV" w:eastAsia="ar-SA"/>
              </w:rPr>
              <w:t>vidējais</w:t>
            </w:r>
            <w:r>
              <w:rPr>
                <w:bCs/>
                <w:color w:val="000000" w:themeColor="text1"/>
                <w:lang w:val="lv-LV" w:eastAsia="ar-SA"/>
              </w:rPr>
              <w:t xml:space="preserve"> = 1591,70 </w:t>
            </w:r>
            <w:r>
              <w:rPr>
                <w:color w:val="000000" w:themeColor="text1"/>
                <w:lang w:val="lv-LV" w:eastAsia="ar-SA"/>
              </w:rPr>
              <w:t>/ 1447</w:t>
            </w:r>
            <w:r>
              <w:rPr>
                <w:bCs/>
                <w:color w:val="000000" w:themeColor="text1"/>
                <w:lang w:val="lv-LV" w:eastAsia="ar-SA"/>
              </w:rPr>
              <w:t xml:space="preserve"> = 1,10 </w:t>
            </w:r>
            <w:r>
              <w:rPr>
                <w:i/>
                <w:iCs/>
                <w:color w:val="000000" w:themeColor="text1"/>
                <w:lang w:val="lv-LV" w:eastAsia="ar-SA"/>
              </w:rPr>
              <w:t xml:space="preserve">euro </w:t>
            </w:r>
            <w:r>
              <w:rPr>
                <w:iCs/>
                <w:color w:val="000000" w:themeColor="text1"/>
                <w:lang w:val="lv-LV" w:eastAsia="ar-SA"/>
              </w:rPr>
              <w:t xml:space="preserve">(vienas </w:t>
            </w:r>
            <w:r>
              <w:rPr>
                <w:color w:val="000000" w:themeColor="text1"/>
                <w:lang w:val="lv-LV"/>
              </w:rPr>
              <w:t>valsts nodevas samaksas apliecinoša dokumenta kopijas vai maksājuma izdrukas</w:t>
            </w:r>
            <w:r>
              <w:rPr>
                <w:iCs/>
                <w:color w:val="000000" w:themeColor="text1"/>
                <w:lang w:val="lv-LV" w:eastAsia="ar-SA"/>
              </w:rPr>
              <w:t xml:space="preserve"> pievienošana iesniegumam </w:t>
            </w:r>
            <w:r>
              <w:rPr>
                <w:color w:val="000000" w:themeColor="text1"/>
                <w:lang w:val="lv-LV"/>
              </w:rPr>
              <w:t>par uztura bagātinātāja reģistrāciju</w:t>
            </w:r>
            <w:r>
              <w:rPr>
                <w:iCs/>
                <w:color w:val="000000" w:themeColor="text1"/>
                <w:lang w:val="lv-LV" w:eastAsia="ar-SA"/>
              </w:rPr>
              <w:t xml:space="preserve"> administratīvās izmaksas uzņēmējam).</w:t>
            </w:r>
          </w:p>
          <w:p w14:paraId="1B6637CF" w14:textId="77777777" w:rsidR="00032345" w:rsidRDefault="00032345" w:rsidP="00073715">
            <w:pPr>
              <w:jc w:val="both"/>
              <w:rPr>
                <w:color w:val="000000" w:themeColor="text1"/>
                <w:lang w:val="lv-LV"/>
              </w:rPr>
            </w:pPr>
          </w:p>
          <w:p w14:paraId="3B77C163" w14:textId="77777777" w:rsidR="00032345" w:rsidRDefault="00032345" w:rsidP="00073715">
            <w:pPr>
              <w:pStyle w:val="Bezatstarpm"/>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rPr>
              <w:t xml:space="preserve">2. Pēc dienesta datiem, 2014.gada laikā </w:t>
            </w:r>
            <w:r>
              <w:rPr>
                <w:rFonts w:ascii="Times New Roman" w:hAnsi="Times New Roman"/>
                <w:b/>
                <w:color w:val="000000" w:themeColor="text1"/>
                <w:sz w:val="24"/>
                <w:szCs w:val="24"/>
              </w:rPr>
              <w:t>97</w:t>
            </w:r>
            <w:r>
              <w:rPr>
                <w:rFonts w:ascii="Times New Roman" w:hAnsi="Times New Roman"/>
                <w:color w:val="000000" w:themeColor="text1"/>
                <w:sz w:val="24"/>
                <w:szCs w:val="24"/>
              </w:rPr>
              <w:t xml:space="preserve"> uzņēmumi iesniedza 582 paziņojumus par izmaiņu izdarīšanu jau reģistrētā uztura bagātinātāja marķējumā. A</w:t>
            </w:r>
            <w:r>
              <w:rPr>
                <w:rFonts w:ascii="Times New Roman" w:hAnsi="Times New Roman"/>
                <w:color w:val="000000" w:themeColor="text1"/>
                <w:sz w:val="24"/>
                <w:szCs w:val="24"/>
                <w:lang w:eastAsia="ar-SA"/>
              </w:rPr>
              <w:t>prēķinos ir izmantoti šādi pieņēmumi:</w:t>
            </w:r>
          </w:p>
          <w:p w14:paraId="7C42CDD9" w14:textId="77777777" w:rsidR="00032345" w:rsidRDefault="00032345" w:rsidP="00073715">
            <w:pPr>
              <w:jc w:val="both"/>
              <w:rPr>
                <w:color w:val="000000" w:themeColor="text1"/>
                <w:lang w:val="lv-LV"/>
              </w:rPr>
            </w:pPr>
            <w:r>
              <w:rPr>
                <w:color w:val="000000" w:themeColor="text1"/>
                <w:lang w:val="lv-LV"/>
              </w:rPr>
              <w:t xml:space="preserve">2.1. </w:t>
            </w:r>
            <w:r w:rsidR="00FD0D9D">
              <w:rPr>
                <w:color w:val="000000" w:themeColor="text1"/>
                <w:lang w:val="lv-LV"/>
              </w:rPr>
              <w:t>pēc</w:t>
            </w:r>
            <w:r w:rsidR="00FD0D9D">
              <w:rPr>
                <w:b/>
                <w:color w:val="000000" w:themeColor="text1"/>
                <w:lang w:val="lv-LV"/>
              </w:rPr>
              <w:t xml:space="preserve"> </w:t>
            </w:r>
            <w:hyperlink r:id="rId11" w:history="1">
              <w:r w:rsidR="00FD0D9D" w:rsidRPr="00032345">
                <w:rPr>
                  <w:rStyle w:val="Hipersaite"/>
                  <w:color w:val="000000" w:themeColor="text1"/>
                  <w:lang w:val="lv-LV"/>
                </w:rPr>
                <w:t>www.csb.gov.lv</w:t>
              </w:r>
            </w:hyperlink>
            <w:r w:rsidR="00FD0D9D">
              <w:rPr>
                <w:color w:val="000000" w:themeColor="text1"/>
                <w:lang w:val="lv-LV"/>
              </w:rPr>
              <w:t xml:space="preserve"> datiem, </w:t>
            </w:r>
            <w:r>
              <w:rPr>
                <w:color w:val="000000" w:themeColor="text1"/>
                <w:lang w:val="lv-LV"/>
              </w:rPr>
              <w:t>vidējā darba alga privātajā sektorā 2014.gadā bija EUR 740,00 mēnesī;</w:t>
            </w:r>
          </w:p>
          <w:p w14:paraId="29E00AB3" w14:textId="77777777" w:rsidR="00032345" w:rsidRDefault="00032345" w:rsidP="00073715">
            <w:pPr>
              <w:jc w:val="both"/>
              <w:rPr>
                <w:color w:val="000000" w:themeColor="text1"/>
                <w:lang w:val="lv-LV"/>
              </w:rPr>
            </w:pPr>
            <w:r>
              <w:rPr>
                <w:color w:val="000000" w:themeColor="text1"/>
                <w:lang w:val="lv-LV"/>
              </w:rPr>
              <w:t>2.2. mēnesī – 21 darbadiena;</w:t>
            </w:r>
          </w:p>
          <w:p w14:paraId="13073B17" w14:textId="77777777" w:rsidR="00032345" w:rsidRDefault="00032345" w:rsidP="00073715">
            <w:pPr>
              <w:jc w:val="both"/>
              <w:rPr>
                <w:color w:val="000000" w:themeColor="text1"/>
                <w:lang w:val="lv-LV"/>
              </w:rPr>
            </w:pPr>
            <w:r>
              <w:rPr>
                <w:color w:val="000000" w:themeColor="text1"/>
                <w:lang w:val="lv-LV"/>
              </w:rPr>
              <w:t xml:space="preserve">2.3. vienas stundas likme – 4,40 </w:t>
            </w:r>
            <w:r>
              <w:rPr>
                <w:i/>
                <w:color w:val="000000" w:themeColor="text1"/>
                <w:lang w:val="lv-LV"/>
              </w:rPr>
              <w:t>euro</w:t>
            </w:r>
            <w:r>
              <w:rPr>
                <w:color w:val="000000" w:themeColor="text1"/>
                <w:lang w:val="lv-LV"/>
              </w:rPr>
              <w:t>;</w:t>
            </w:r>
          </w:p>
          <w:p w14:paraId="17728E77" w14:textId="77777777" w:rsidR="00032345" w:rsidRDefault="00032345" w:rsidP="00073715">
            <w:pPr>
              <w:jc w:val="both"/>
              <w:rPr>
                <w:color w:val="000000" w:themeColor="text1"/>
                <w:lang w:val="lv-LV"/>
              </w:rPr>
            </w:pPr>
            <w:r>
              <w:rPr>
                <w:color w:val="000000" w:themeColor="text1"/>
                <w:lang w:val="lv-LV"/>
              </w:rPr>
              <w:t>2.4. valsts nodevas samaksas apliecinoša dokumenta kopija vai maksājuma izdrukas (noteikumu Nr.1145 5.punkts) pievienošana iesniegumam par izmaiņu izdarīšanu jau reģistrētā uztura bagātinātāja marķējumā nosūtīšana dienestam varētu aizņemt 0,25</w:t>
            </w:r>
            <w:r w:rsidR="00FD0D9D">
              <w:rPr>
                <w:color w:val="000000" w:themeColor="text1"/>
                <w:lang w:val="lv-LV"/>
              </w:rPr>
              <w:t xml:space="preserve"> </w:t>
            </w:r>
            <w:r>
              <w:rPr>
                <w:color w:val="000000" w:themeColor="text1"/>
                <w:lang w:val="lv-LV"/>
              </w:rPr>
              <w:t>h (15 minūtes);</w:t>
            </w:r>
          </w:p>
          <w:p w14:paraId="20D02C0C" w14:textId="77777777" w:rsidR="00032345" w:rsidRDefault="00032345" w:rsidP="00073715">
            <w:pPr>
              <w:jc w:val="both"/>
              <w:rPr>
                <w:color w:val="000000" w:themeColor="text1"/>
                <w:lang w:val="lv-LV"/>
              </w:rPr>
            </w:pPr>
            <w:r>
              <w:rPr>
                <w:color w:val="000000" w:themeColor="text1"/>
                <w:lang w:val="lv-LV"/>
              </w:rPr>
              <w:t>2.5. C</w:t>
            </w:r>
            <w:r>
              <w:rPr>
                <w:color w:val="000000" w:themeColor="text1"/>
                <w:vertAlign w:val="subscript"/>
                <w:lang w:val="lv-LV"/>
              </w:rPr>
              <w:t>1</w:t>
            </w:r>
            <w:r>
              <w:rPr>
                <w:color w:val="000000" w:themeColor="text1"/>
                <w:lang w:val="lv-LV"/>
              </w:rPr>
              <w:t xml:space="preserve"> = (4,40 x 0,25h) x 582 = 640,20 </w:t>
            </w:r>
            <w:r>
              <w:rPr>
                <w:i/>
                <w:iCs/>
                <w:color w:val="000000" w:themeColor="text1"/>
                <w:lang w:val="lv-LV" w:eastAsia="ar-SA"/>
              </w:rPr>
              <w:t>euro</w:t>
            </w:r>
            <w:r>
              <w:rPr>
                <w:color w:val="000000" w:themeColor="text1"/>
                <w:lang w:val="lv-LV"/>
              </w:rPr>
              <w:t xml:space="preserve"> (pieņemot, ka kopija vai izdruka dienestā tiek iesniegta elektroniski);</w:t>
            </w:r>
          </w:p>
          <w:p w14:paraId="6D368067" w14:textId="77777777" w:rsidR="00032345" w:rsidRDefault="00032345" w:rsidP="00073715">
            <w:pPr>
              <w:jc w:val="both"/>
              <w:rPr>
                <w:color w:val="000000" w:themeColor="text1"/>
                <w:lang w:val="lv-LV"/>
              </w:rPr>
            </w:pPr>
            <w:r>
              <w:rPr>
                <w:color w:val="000000" w:themeColor="text1"/>
                <w:lang w:val="lv-LV"/>
              </w:rPr>
              <w:t xml:space="preserve">2.6. </w:t>
            </w:r>
            <w:r>
              <w:rPr>
                <w:bCs/>
                <w:color w:val="000000" w:themeColor="text1"/>
                <w:lang w:val="lv-LV" w:eastAsia="ar-SA"/>
              </w:rPr>
              <w:t>C</w:t>
            </w:r>
            <w:r>
              <w:rPr>
                <w:bCs/>
                <w:color w:val="000000" w:themeColor="text1"/>
                <w:vertAlign w:val="subscript"/>
                <w:lang w:val="lv-LV" w:eastAsia="ar-SA"/>
              </w:rPr>
              <w:t>vidējais</w:t>
            </w:r>
            <w:r>
              <w:rPr>
                <w:bCs/>
                <w:color w:val="000000" w:themeColor="text1"/>
                <w:lang w:val="lv-LV" w:eastAsia="ar-SA"/>
              </w:rPr>
              <w:t xml:space="preserve"> = </w:t>
            </w:r>
            <w:r>
              <w:rPr>
                <w:color w:val="000000" w:themeColor="text1"/>
                <w:lang w:val="lv-LV"/>
              </w:rPr>
              <w:t xml:space="preserve">640,20 </w:t>
            </w:r>
            <w:r>
              <w:rPr>
                <w:color w:val="000000" w:themeColor="text1"/>
                <w:lang w:val="lv-LV" w:eastAsia="ar-SA"/>
              </w:rPr>
              <w:t>/ 582 =</w:t>
            </w:r>
            <w:r>
              <w:rPr>
                <w:bCs/>
                <w:color w:val="000000" w:themeColor="text1"/>
                <w:lang w:val="lv-LV" w:eastAsia="ar-SA"/>
              </w:rPr>
              <w:t xml:space="preserve"> </w:t>
            </w:r>
            <w:r>
              <w:rPr>
                <w:color w:val="000000" w:themeColor="text1"/>
                <w:lang w:val="lv-LV" w:eastAsia="ar-SA"/>
              </w:rPr>
              <w:t>1,10</w:t>
            </w:r>
            <w:r>
              <w:rPr>
                <w:i/>
                <w:iCs/>
                <w:color w:val="000000" w:themeColor="text1"/>
                <w:lang w:val="lv-LV" w:eastAsia="ar-SA"/>
              </w:rPr>
              <w:t xml:space="preserve"> euro </w:t>
            </w:r>
            <w:r>
              <w:rPr>
                <w:iCs/>
                <w:color w:val="000000" w:themeColor="text1"/>
                <w:lang w:val="lv-LV" w:eastAsia="ar-SA"/>
              </w:rPr>
              <w:t xml:space="preserve">(vienas </w:t>
            </w:r>
            <w:r>
              <w:rPr>
                <w:color w:val="000000" w:themeColor="text1"/>
                <w:lang w:val="lv-LV"/>
              </w:rPr>
              <w:t xml:space="preserve">valsts nodevas samaksas apliecinoša dokumenta kopijas vai maksājuma izdrukas </w:t>
            </w:r>
            <w:r>
              <w:rPr>
                <w:iCs/>
                <w:color w:val="000000" w:themeColor="text1"/>
                <w:lang w:val="lv-LV" w:eastAsia="ar-SA"/>
              </w:rPr>
              <w:t xml:space="preserve">pievienošana iesniegumam </w:t>
            </w:r>
            <w:r>
              <w:rPr>
                <w:color w:val="000000" w:themeColor="text1"/>
                <w:lang w:val="lv-LV"/>
              </w:rPr>
              <w:t>par uztura bagātinātāja reģistrāciju</w:t>
            </w:r>
            <w:r>
              <w:rPr>
                <w:iCs/>
                <w:color w:val="000000" w:themeColor="text1"/>
                <w:lang w:val="lv-LV" w:eastAsia="ar-SA"/>
              </w:rPr>
              <w:t xml:space="preserve"> administratīvās izmaksas uzņēmējam).</w:t>
            </w:r>
            <w:r>
              <w:rPr>
                <w:color w:val="000000" w:themeColor="text1"/>
                <w:lang w:val="lv-LV"/>
              </w:rPr>
              <w:t xml:space="preserve"> </w:t>
            </w:r>
          </w:p>
          <w:p w14:paraId="5EE8EA86" w14:textId="77777777" w:rsidR="00032345" w:rsidRDefault="00032345" w:rsidP="00073715">
            <w:pPr>
              <w:jc w:val="both"/>
              <w:rPr>
                <w:color w:val="000000" w:themeColor="text1"/>
                <w:lang w:val="lv-LV"/>
              </w:rPr>
            </w:pPr>
          </w:p>
          <w:p w14:paraId="287A014E" w14:textId="77777777" w:rsidR="00032345" w:rsidRDefault="00032345" w:rsidP="00073715">
            <w:pPr>
              <w:pStyle w:val="Bezatstarpm"/>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rPr>
              <w:t xml:space="preserve">3. Pēc dienesta datiem, 2014.gada laikā </w:t>
            </w:r>
            <w:r>
              <w:rPr>
                <w:rFonts w:ascii="Times New Roman" w:hAnsi="Times New Roman"/>
                <w:b/>
                <w:color w:val="000000" w:themeColor="text1"/>
                <w:sz w:val="24"/>
                <w:szCs w:val="24"/>
              </w:rPr>
              <w:t>125</w:t>
            </w:r>
            <w:r>
              <w:rPr>
                <w:rFonts w:ascii="Times New Roman" w:hAnsi="Times New Roman"/>
                <w:color w:val="000000" w:themeColor="text1"/>
                <w:sz w:val="24"/>
                <w:szCs w:val="24"/>
              </w:rPr>
              <w:t xml:space="preserve"> uzņēmumi iesniedza 1447 paziņojumus uztura bagātinātāju laišanu tirgū. </w:t>
            </w:r>
          </w:p>
          <w:p w14:paraId="6B90D304" w14:textId="77777777" w:rsidR="00032345" w:rsidRDefault="00032345" w:rsidP="00073715">
            <w:pPr>
              <w:pStyle w:val="Bezatstarpm"/>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Aprēķinos ir izmantoti šādi pieņēmumi:</w:t>
            </w:r>
          </w:p>
          <w:p w14:paraId="2DFC3DCF" w14:textId="77777777" w:rsidR="00032345" w:rsidRDefault="00032345" w:rsidP="00073715">
            <w:pPr>
              <w:pStyle w:val="Bezatstarpm"/>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3.1. </w:t>
            </w:r>
            <w:r w:rsidR="00FD0D9D" w:rsidRPr="00FD0D9D">
              <w:rPr>
                <w:rFonts w:ascii="Times New Roman" w:hAnsi="Times New Roman"/>
                <w:color w:val="000000" w:themeColor="text1"/>
                <w:sz w:val="24"/>
                <w:szCs w:val="24"/>
              </w:rPr>
              <w:t xml:space="preserve">pēc </w:t>
            </w:r>
            <w:hyperlink r:id="rId12" w:history="1">
              <w:r w:rsidR="00FD0D9D" w:rsidRPr="00BE6C1B">
                <w:rPr>
                  <w:rStyle w:val="Hipersaite"/>
                  <w:rFonts w:ascii="Times New Roman" w:hAnsi="Times New Roman"/>
                  <w:color w:val="000000" w:themeColor="text1"/>
                  <w:sz w:val="24"/>
                </w:rPr>
                <w:t>www.csb.gov.lv</w:t>
              </w:r>
            </w:hyperlink>
            <w:r w:rsidR="00FD0D9D" w:rsidRPr="00FD0D9D">
              <w:rPr>
                <w:rFonts w:ascii="Times New Roman" w:hAnsi="Times New Roman"/>
                <w:color w:val="000000" w:themeColor="text1"/>
                <w:sz w:val="24"/>
                <w:szCs w:val="24"/>
              </w:rPr>
              <w:t xml:space="preserve"> datiem</w:t>
            </w:r>
            <w:r w:rsidR="00FD0D9D">
              <w:rPr>
                <w:rFonts w:ascii="Times New Roman" w:hAnsi="Times New Roman"/>
                <w:color w:val="000000" w:themeColor="text1"/>
                <w:sz w:val="24"/>
                <w:szCs w:val="24"/>
              </w:rPr>
              <w:t>,</w:t>
            </w:r>
            <w:r w:rsidR="00FD0D9D" w:rsidRPr="00FD0D9D">
              <w:rPr>
                <w:rFonts w:ascii="Times New Roman" w:hAnsi="Times New Roman"/>
                <w:color w:val="000000" w:themeColor="text1"/>
                <w:sz w:val="24"/>
                <w:szCs w:val="24"/>
              </w:rPr>
              <w:t xml:space="preserve"> </w:t>
            </w:r>
            <w:r>
              <w:rPr>
                <w:rFonts w:ascii="Times New Roman" w:hAnsi="Times New Roman"/>
                <w:color w:val="000000" w:themeColor="text1"/>
                <w:sz w:val="24"/>
                <w:szCs w:val="24"/>
              </w:rPr>
              <w:t>vidējā alga sabiedriskajā sektorā</w:t>
            </w:r>
            <w:r w:rsidR="00FD0D9D">
              <w:rPr>
                <w:rFonts w:ascii="Times New Roman" w:hAnsi="Times New Roman"/>
                <w:color w:val="000000" w:themeColor="text1"/>
                <w:sz w:val="24"/>
                <w:szCs w:val="24"/>
              </w:rPr>
              <w:t xml:space="preserve"> </w:t>
            </w:r>
            <w:r>
              <w:rPr>
                <w:rFonts w:ascii="Times New Roman" w:hAnsi="Times New Roman"/>
                <w:color w:val="000000" w:themeColor="text1"/>
                <w:sz w:val="24"/>
                <w:szCs w:val="24"/>
              </w:rPr>
              <w:t>2014.gadā bija EUR 813,00 mēnesī;</w:t>
            </w:r>
          </w:p>
          <w:p w14:paraId="40DC03B1" w14:textId="77777777" w:rsidR="00032345" w:rsidRDefault="00032345" w:rsidP="00073715">
            <w:pPr>
              <w:pStyle w:val="Bezatstarpm"/>
              <w:jc w:val="both"/>
              <w:rPr>
                <w:rFonts w:ascii="Times New Roman" w:hAnsi="Times New Roman"/>
                <w:color w:val="000000" w:themeColor="text1"/>
                <w:sz w:val="24"/>
                <w:szCs w:val="24"/>
              </w:rPr>
            </w:pPr>
            <w:r>
              <w:rPr>
                <w:rFonts w:ascii="Times New Roman" w:hAnsi="Times New Roman"/>
                <w:color w:val="000000" w:themeColor="text1"/>
                <w:sz w:val="24"/>
                <w:szCs w:val="24"/>
              </w:rPr>
              <w:t>3.2. mēnesī – 21 darbadiena;</w:t>
            </w:r>
          </w:p>
          <w:p w14:paraId="538680CE" w14:textId="77777777" w:rsidR="00032345" w:rsidRDefault="00032345" w:rsidP="00073715">
            <w:pPr>
              <w:pStyle w:val="Bezatstarpm"/>
              <w:jc w:val="both"/>
              <w:rPr>
                <w:rFonts w:ascii="Times New Roman" w:hAnsi="Times New Roman"/>
                <w:i/>
                <w:iCs/>
                <w:color w:val="000000" w:themeColor="text1"/>
                <w:sz w:val="24"/>
                <w:szCs w:val="24"/>
                <w:lang w:eastAsia="ar-SA"/>
              </w:rPr>
            </w:pPr>
            <w:r>
              <w:rPr>
                <w:rFonts w:ascii="Times New Roman" w:hAnsi="Times New Roman"/>
                <w:color w:val="000000" w:themeColor="text1"/>
                <w:sz w:val="24"/>
                <w:szCs w:val="24"/>
              </w:rPr>
              <w:t xml:space="preserve">3.3. vidējā stundas likme – 4,84 </w:t>
            </w:r>
            <w:r>
              <w:rPr>
                <w:rFonts w:ascii="Times New Roman" w:hAnsi="Times New Roman"/>
                <w:i/>
                <w:iCs/>
                <w:color w:val="000000" w:themeColor="text1"/>
                <w:sz w:val="24"/>
                <w:szCs w:val="24"/>
                <w:lang w:eastAsia="ar-SA"/>
              </w:rPr>
              <w:t>euro;</w:t>
            </w:r>
          </w:p>
          <w:p w14:paraId="6A084111" w14:textId="77777777" w:rsidR="00032345" w:rsidRPr="00FD0D9D" w:rsidRDefault="00032345" w:rsidP="00073715">
            <w:pPr>
              <w:pStyle w:val="Bezatstarpm"/>
              <w:jc w:val="both"/>
              <w:rPr>
                <w:rFonts w:ascii="Times New Roman" w:hAnsi="Times New Roman"/>
                <w:color w:val="000000" w:themeColor="text1"/>
                <w:sz w:val="24"/>
                <w:szCs w:val="24"/>
              </w:rPr>
            </w:pPr>
            <w:r>
              <w:rPr>
                <w:rFonts w:ascii="Times New Roman" w:hAnsi="Times New Roman"/>
                <w:iCs/>
                <w:color w:val="000000" w:themeColor="text1"/>
                <w:sz w:val="24"/>
                <w:szCs w:val="24"/>
                <w:lang w:eastAsia="ar-SA"/>
              </w:rPr>
              <w:t xml:space="preserve">3.4. </w:t>
            </w:r>
            <w:r w:rsidRPr="00FD0D9D">
              <w:rPr>
                <w:rFonts w:ascii="Times New Roman" w:hAnsi="Times New Roman"/>
                <w:iCs/>
                <w:color w:val="000000" w:themeColor="text1"/>
                <w:sz w:val="24"/>
                <w:szCs w:val="24"/>
                <w:lang w:eastAsia="ar-SA"/>
              </w:rPr>
              <w:t xml:space="preserve">pārliecināšanās par </w:t>
            </w:r>
            <w:r w:rsidRPr="00BE6C1B">
              <w:rPr>
                <w:rFonts w:ascii="Times New Roman" w:hAnsi="Times New Roman"/>
                <w:color w:val="000000" w:themeColor="text1"/>
                <w:sz w:val="24"/>
                <w:szCs w:val="24"/>
              </w:rPr>
              <w:t>valsts nodevas samaksas apliecinoša dokumenta kopijas vai maksājuma izdrukas</w:t>
            </w:r>
            <w:r w:rsidRPr="00FD0D9D">
              <w:rPr>
                <w:rFonts w:ascii="Times New Roman" w:hAnsi="Times New Roman"/>
                <w:color w:val="000000" w:themeColor="text1"/>
                <w:sz w:val="24"/>
                <w:szCs w:val="24"/>
              </w:rPr>
              <w:t xml:space="preserve"> pievienošanu</w:t>
            </w:r>
            <w:r>
              <w:rPr>
                <w:rFonts w:ascii="Times New Roman" w:hAnsi="Times New Roman"/>
                <w:color w:val="000000" w:themeColor="text1"/>
                <w:sz w:val="24"/>
                <w:szCs w:val="24"/>
              </w:rPr>
              <w:t xml:space="preserve"> </w:t>
            </w:r>
            <w:r w:rsidRPr="00BE6C1B">
              <w:rPr>
                <w:rFonts w:ascii="Times New Roman" w:hAnsi="Times New Roman"/>
                <w:color w:val="000000" w:themeColor="text1"/>
                <w:sz w:val="24"/>
                <w:szCs w:val="24"/>
              </w:rPr>
              <w:t>iesniegumam par uztura bagātinātāja reģistrāciju dienestam varētu aizņemt 0,0333</w:t>
            </w:r>
            <w:r w:rsidR="00FD0D9D">
              <w:rPr>
                <w:rFonts w:ascii="Times New Roman" w:hAnsi="Times New Roman"/>
                <w:color w:val="000000" w:themeColor="text1"/>
                <w:sz w:val="24"/>
                <w:szCs w:val="24"/>
              </w:rPr>
              <w:t xml:space="preserve"> </w:t>
            </w:r>
            <w:r w:rsidRPr="00BE6C1B">
              <w:rPr>
                <w:rFonts w:ascii="Times New Roman" w:hAnsi="Times New Roman"/>
                <w:color w:val="000000" w:themeColor="text1"/>
                <w:sz w:val="24"/>
                <w:szCs w:val="24"/>
              </w:rPr>
              <w:t>h (2 minūtes);</w:t>
            </w:r>
            <w:r w:rsidRPr="00FD0D9D">
              <w:rPr>
                <w:rFonts w:ascii="Times New Roman" w:hAnsi="Times New Roman"/>
                <w:color w:val="000000" w:themeColor="text1"/>
                <w:sz w:val="24"/>
                <w:szCs w:val="24"/>
              </w:rPr>
              <w:t xml:space="preserve"> </w:t>
            </w:r>
          </w:p>
          <w:p w14:paraId="59B50809" w14:textId="77777777" w:rsidR="00032345" w:rsidRDefault="00032345" w:rsidP="00073715">
            <w:pPr>
              <w:pStyle w:val="Bezatstarpm"/>
              <w:jc w:val="both"/>
              <w:rPr>
                <w:rFonts w:ascii="Times New Roman" w:hAnsi="Times New Roman"/>
                <w:color w:val="000000" w:themeColor="text1"/>
                <w:sz w:val="24"/>
                <w:szCs w:val="24"/>
              </w:rPr>
            </w:pPr>
            <w:r>
              <w:rPr>
                <w:rFonts w:ascii="Times New Roman" w:hAnsi="Times New Roman"/>
                <w:color w:val="000000" w:themeColor="text1"/>
                <w:sz w:val="24"/>
                <w:szCs w:val="24"/>
              </w:rPr>
              <w:t>3.5. valsts pārvaldes administratīvās izmaksas ir šādas:</w:t>
            </w:r>
          </w:p>
          <w:p w14:paraId="11021977" w14:textId="77777777" w:rsidR="00032345" w:rsidRDefault="00032345" w:rsidP="00073715">
            <w:pPr>
              <w:jc w:val="both"/>
              <w:rPr>
                <w:i/>
                <w:iCs/>
                <w:color w:val="000000" w:themeColor="text1"/>
                <w:lang w:val="lv-LV" w:eastAsia="ar-SA"/>
              </w:rPr>
            </w:pPr>
            <w:r>
              <w:rPr>
                <w:color w:val="000000" w:themeColor="text1"/>
                <w:lang w:val="lv-LV"/>
              </w:rPr>
              <w:t xml:space="preserve">C = (4,84 x 0,0333 h) x 1447 = 233,21 </w:t>
            </w:r>
            <w:r>
              <w:rPr>
                <w:i/>
                <w:iCs/>
                <w:color w:val="000000" w:themeColor="text1"/>
                <w:lang w:val="lv-LV" w:eastAsia="ar-SA"/>
              </w:rPr>
              <w:t>euro;</w:t>
            </w:r>
          </w:p>
          <w:p w14:paraId="189795B1" w14:textId="77777777" w:rsidR="00032345" w:rsidRDefault="00032345" w:rsidP="00073715">
            <w:pPr>
              <w:jc w:val="both"/>
              <w:rPr>
                <w:color w:val="000000" w:themeColor="text1"/>
                <w:lang w:val="lv-LV" w:eastAsia="lv-LV"/>
              </w:rPr>
            </w:pPr>
            <w:r>
              <w:rPr>
                <w:color w:val="000000" w:themeColor="text1"/>
                <w:lang w:val="lv-LV"/>
              </w:rPr>
              <w:t xml:space="preserve">3.6. </w:t>
            </w:r>
            <w:r>
              <w:rPr>
                <w:bCs/>
                <w:color w:val="000000" w:themeColor="text1"/>
                <w:lang w:val="lv-LV" w:eastAsia="ar-SA"/>
              </w:rPr>
              <w:t>C</w:t>
            </w:r>
            <w:r>
              <w:rPr>
                <w:bCs/>
                <w:color w:val="000000" w:themeColor="text1"/>
                <w:vertAlign w:val="subscript"/>
                <w:lang w:val="lv-LV" w:eastAsia="ar-SA"/>
              </w:rPr>
              <w:t>vidējais</w:t>
            </w:r>
            <w:r>
              <w:rPr>
                <w:bCs/>
                <w:color w:val="000000" w:themeColor="text1"/>
                <w:lang w:val="lv-LV" w:eastAsia="ar-SA"/>
              </w:rPr>
              <w:t xml:space="preserve"> = </w:t>
            </w:r>
            <w:r>
              <w:rPr>
                <w:color w:val="000000" w:themeColor="text1"/>
                <w:lang w:val="lv-LV"/>
              </w:rPr>
              <w:t xml:space="preserve">233,21 </w:t>
            </w:r>
            <w:r>
              <w:rPr>
                <w:color w:val="000000" w:themeColor="text1"/>
                <w:lang w:val="lv-LV" w:eastAsia="ar-SA"/>
              </w:rPr>
              <w:t>/ 1447</w:t>
            </w:r>
            <w:r>
              <w:rPr>
                <w:bCs/>
                <w:color w:val="000000" w:themeColor="text1"/>
                <w:lang w:val="lv-LV" w:eastAsia="ar-SA"/>
              </w:rPr>
              <w:t xml:space="preserve">= </w:t>
            </w:r>
            <w:r>
              <w:rPr>
                <w:color w:val="000000" w:themeColor="text1"/>
                <w:lang w:val="lv-LV" w:eastAsia="ar-SA"/>
              </w:rPr>
              <w:t>0,16</w:t>
            </w:r>
            <w:r>
              <w:rPr>
                <w:i/>
                <w:iCs/>
                <w:color w:val="000000" w:themeColor="text1"/>
                <w:lang w:val="lv-LV" w:eastAsia="ar-SA"/>
              </w:rPr>
              <w:t xml:space="preserve"> euro </w:t>
            </w:r>
            <w:r>
              <w:rPr>
                <w:iCs/>
                <w:color w:val="000000" w:themeColor="text1"/>
                <w:lang w:val="lv-LV" w:eastAsia="ar-SA"/>
              </w:rPr>
              <w:t xml:space="preserve">(pārliecināšanās par </w:t>
            </w:r>
            <w:r>
              <w:rPr>
                <w:color w:val="000000" w:themeColor="text1"/>
                <w:lang w:val="lv-LV"/>
              </w:rPr>
              <w:t xml:space="preserve">valsts nodevas samaksas apliecinoša dokumenta kopijas vai maksājuma izdrukas pievienošanu iesniegumam par uztura bagātinātāja reģistrāciju </w:t>
            </w:r>
            <w:r>
              <w:rPr>
                <w:iCs/>
                <w:color w:val="000000" w:themeColor="text1"/>
                <w:lang w:val="lv-LV" w:eastAsia="ar-SA"/>
              </w:rPr>
              <w:t xml:space="preserve">administratīvās izmaksas </w:t>
            </w:r>
            <w:r>
              <w:rPr>
                <w:color w:val="000000" w:themeColor="text1"/>
                <w:lang w:val="lv-LV"/>
              </w:rPr>
              <w:t>dienestam)</w:t>
            </w:r>
            <w:r>
              <w:rPr>
                <w:iCs/>
                <w:color w:val="000000" w:themeColor="text1"/>
                <w:lang w:val="lv-LV" w:eastAsia="ar-SA"/>
              </w:rPr>
              <w:t>.</w:t>
            </w:r>
          </w:p>
          <w:p w14:paraId="0A566844" w14:textId="77777777" w:rsidR="00032345" w:rsidRDefault="00032345" w:rsidP="00073715">
            <w:pPr>
              <w:jc w:val="both"/>
              <w:rPr>
                <w:color w:val="000000" w:themeColor="text1"/>
                <w:lang w:val="lv-LV" w:eastAsia="lv-LV"/>
              </w:rPr>
            </w:pPr>
          </w:p>
          <w:p w14:paraId="2FEABEB0" w14:textId="77777777" w:rsidR="00032345" w:rsidRDefault="00032345" w:rsidP="00073715">
            <w:pPr>
              <w:pStyle w:val="Bezatstarpm"/>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rPr>
              <w:t xml:space="preserve">4. 2014.gada laikā 97 uzņēmumi iesniedza 582 paziņojumus par izmaiņu izdarīšanu jau reģistrētā uztura bagātinātāja marķējumā. </w:t>
            </w:r>
            <w:r>
              <w:rPr>
                <w:rFonts w:ascii="Times New Roman" w:hAnsi="Times New Roman"/>
                <w:color w:val="000000" w:themeColor="text1"/>
                <w:sz w:val="24"/>
                <w:szCs w:val="24"/>
                <w:lang w:eastAsia="ar-SA"/>
              </w:rPr>
              <w:t>Aprēķinos ir izmantoti šādi pieņēmumi:</w:t>
            </w:r>
          </w:p>
          <w:p w14:paraId="5BA23270" w14:textId="77777777" w:rsidR="00032345" w:rsidRDefault="00032345" w:rsidP="00073715">
            <w:pPr>
              <w:pStyle w:val="Bezatstarpm"/>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4.1. </w:t>
            </w:r>
            <w:r w:rsidR="00FD0D9D" w:rsidRPr="00FD0D9D">
              <w:rPr>
                <w:rFonts w:ascii="Times New Roman" w:hAnsi="Times New Roman"/>
                <w:color w:val="000000" w:themeColor="text1"/>
                <w:sz w:val="24"/>
                <w:szCs w:val="24"/>
              </w:rPr>
              <w:t xml:space="preserve">pēc </w:t>
            </w:r>
            <w:hyperlink r:id="rId13" w:history="1">
              <w:r w:rsidR="00FD0D9D" w:rsidRPr="00F70E09">
                <w:rPr>
                  <w:rStyle w:val="Hipersaite"/>
                  <w:rFonts w:ascii="Times New Roman" w:hAnsi="Times New Roman"/>
                  <w:color w:val="000000" w:themeColor="text1"/>
                  <w:sz w:val="24"/>
                </w:rPr>
                <w:t>www.csb.gov.lv</w:t>
              </w:r>
            </w:hyperlink>
            <w:r w:rsidR="00FD0D9D" w:rsidRPr="00FD0D9D">
              <w:rPr>
                <w:rFonts w:ascii="Times New Roman" w:hAnsi="Times New Roman"/>
                <w:color w:val="000000" w:themeColor="text1"/>
                <w:sz w:val="24"/>
                <w:szCs w:val="24"/>
              </w:rPr>
              <w:t xml:space="preserve"> datiem</w:t>
            </w:r>
            <w:r w:rsidR="00FD0D9D">
              <w:rPr>
                <w:rFonts w:ascii="Times New Roman" w:hAnsi="Times New Roman"/>
                <w:color w:val="000000" w:themeColor="text1"/>
                <w:sz w:val="24"/>
                <w:szCs w:val="24"/>
              </w:rPr>
              <w:t>,</w:t>
            </w:r>
            <w:r w:rsidR="00FD0D9D" w:rsidRPr="00FD0D9D">
              <w:rPr>
                <w:rFonts w:ascii="Times New Roman" w:hAnsi="Times New Roman"/>
                <w:color w:val="000000" w:themeColor="text1"/>
                <w:sz w:val="24"/>
                <w:szCs w:val="24"/>
              </w:rPr>
              <w:t xml:space="preserve"> </w:t>
            </w:r>
            <w:r>
              <w:rPr>
                <w:rFonts w:ascii="Times New Roman" w:hAnsi="Times New Roman"/>
                <w:color w:val="000000" w:themeColor="text1"/>
                <w:sz w:val="24"/>
                <w:szCs w:val="24"/>
              </w:rPr>
              <w:t>vidējā alga sabiedriskajā sektorā</w:t>
            </w:r>
            <w:r w:rsidR="00FD0D9D">
              <w:rPr>
                <w:rFonts w:ascii="Times New Roman" w:hAnsi="Times New Roman"/>
                <w:color w:val="000000" w:themeColor="text1"/>
                <w:sz w:val="24"/>
                <w:szCs w:val="24"/>
              </w:rPr>
              <w:t xml:space="preserve"> </w:t>
            </w:r>
            <w:r>
              <w:rPr>
                <w:rFonts w:ascii="Times New Roman" w:hAnsi="Times New Roman"/>
                <w:color w:val="000000" w:themeColor="text1"/>
                <w:sz w:val="24"/>
                <w:szCs w:val="24"/>
              </w:rPr>
              <w:t>2014.gadā bija EUR 813,00 mēnesī;</w:t>
            </w:r>
          </w:p>
          <w:p w14:paraId="7875DDFB" w14:textId="77777777" w:rsidR="00032345" w:rsidRDefault="00032345" w:rsidP="00073715">
            <w:pPr>
              <w:pStyle w:val="Bezatstarpm"/>
              <w:jc w:val="both"/>
              <w:rPr>
                <w:rFonts w:ascii="Times New Roman" w:hAnsi="Times New Roman"/>
                <w:color w:val="000000" w:themeColor="text1"/>
                <w:sz w:val="24"/>
                <w:szCs w:val="24"/>
              </w:rPr>
            </w:pPr>
            <w:r>
              <w:rPr>
                <w:rFonts w:ascii="Times New Roman" w:hAnsi="Times New Roman"/>
                <w:color w:val="000000" w:themeColor="text1"/>
                <w:sz w:val="24"/>
                <w:szCs w:val="24"/>
              </w:rPr>
              <w:t>4.2. mēnesī – 21 darbadiena;</w:t>
            </w:r>
          </w:p>
          <w:p w14:paraId="5CD1EA95" w14:textId="77777777" w:rsidR="00032345" w:rsidRDefault="00032345" w:rsidP="00073715">
            <w:pPr>
              <w:pStyle w:val="Bezatstarpm"/>
              <w:jc w:val="both"/>
              <w:rPr>
                <w:rFonts w:ascii="Times New Roman" w:hAnsi="Times New Roman"/>
                <w:i/>
                <w:iCs/>
                <w:color w:val="000000" w:themeColor="text1"/>
                <w:sz w:val="24"/>
                <w:szCs w:val="24"/>
                <w:lang w:eastAsia="ar-SA"/>
              </w:rPr>
            </w:pPr>
            <w:r>
              <w:rPr>
                <w:rFonts w:ascii="Times New Roman" w:hAnsi="Times New Roman"/>
                <w:color w:val="000000" w:themeColor="text1"/>
                <w:sz w:val="24"/>
                <w:szCs w:val="24"/>
              </w:rPr>
              <w:t xml:space="preserve">4.3. vidējā stundas likme – 4,84 </w:t>
            </w:r>
            <w:r>
              <w:rPr>
                <w:rFonts w:ascii="Times New Roman" w:hAnsi="Times New Roman"/>
                <w:i/>
                <w:iCs/>
                <w:color w:val="000000" w:themeColor="text1"/>
                <w:sz w:val="24"/>
                <w:szCs w:val="24"/>
                <w:lang w:eastAsia="ar-SA"/>
              </w:rPr>
              <w:t>euro;</w:t>
            </w:r>
          </w:p>
          <w:p w14:paraId="7C212E77" w14:textId="77777777" w:rsidR="00032345" w:rsidRPr="00FD0D9D" w:rsidRDefault="00032345" w:rsidP="00073715">
            <w:pPr>
              <w:pStyle w:val="Bezatstarpm"/>
              <w:jc w:val="both"/>
              <w:rPr>
                <w:rFonts w:ascii="Times New Roman" w:hAnsi="Times New Roman"/>
                <w:i/>
                <w:iCs/>
                <w:color w:val="000000" w:themeColor="text1"/>
                <w:sz w:val="24"/>
                <w:szCs w:val="24"/>
                <w:lang w:eastAsia="ar-SA"/>
              </w:rPr>
            </w:pPr>
            <w:r>
              <w:rPr>
                <w:rFonts w:ascii="Times New Roman" w:hAnsi="Times New Roman"/>
                <w:iCs/>
                <w:color w:val="000000" w:themeColor="text1"/>
                <w:sz w:val="24"/>
                <w:szCs w:val="24"/>
                <w:lang w:eastAsia="ar-SA"/>
              </w:rPr>
              <w:t>4.4.</w:t>
            </w:r>
            <w:r>
              <w:rPr>
                <w:rFonts w:ascii="Times New Roman" w:hAnsi="Times New Roman"/>
                <w:i/>
                <w:iCs/>
                <w:color w:val="000000" w:themeColor="text1"/>
                <w:sz w:val="24"/>
                <w:szCs w:val="24"/>
                <w:lang w:eastAsia="ar-SA"/>
              </w:rPr>
              <w:t xml:space="preserve"> </w:t>
            </w:r>
            <w:r w:rsidRPr="00FD0D9D">
              <w:rPr>
                <w:rFonts w:ascii="Times New Roman" w:hAnsi="Times New Roman"/>
                <w:iCs/>
                <w:color w:val="000000" w:themeColor="text1"/>
                <w:sz w:val="24"/>
                <w:szCs w:val="24"/>
                <w:lang w:eastAsia="ar-SA"/>
              </w:rPr>
              <w:t xml:space="preserve">pārliecināšanās par </w:t>
            </w:r>
            <w:r w:rsidRPr="00BE6C1B">
              <w:rPr>
                <w:rFonts w:ascii="Times New Roman" w:hAnsi="Times New Roman"/>
                <w:color w:val="000000" w:themeColor="text1"/>
                <w:sz w:val="24"/>
                <w:szCs w:val="24"/>
              </w:rPr>
              <w:t xml:space="preserve">valsts nodevas samaksas apliecinoša </w:t>
            </w:r>
            <w:r w:rsidRPr="00BE6C1B">
              <w:rPr>
                <w:rFonts w:ascii="Times New Roman" w:hAnsi="Times New Roman"/>
                <w:color w:val="000000" w:themeColor="text1"/>
                <w:sz w:val="24"/>
                <w:szCs w:val="24"/>
              </w:rPr>
              <w:lastRenderedPageBreak/>
              <w:t>dokumenta kopijas vai maksājuma izdrukas</w:t>
            </w:r>
            <w:r w:rsidRPr="00FD0D9D">
              <w:rPr>
                <w:rFonts w:ascii="Times New Roman" w:hAnsi="Times New Roman"/>
                <w:color w:val="000000" w:themeColor="text1"/>
                <w:sz w:val="24"/>
                <w:szCs w:val="24"/>
              </w:rPr>
              <w:t xml:space="preserve"> pievienošanu </w:t>
            </w:r>
            <w:r w:rsidRPr="00BE6C1B">
              <w:rPr>
                <w:rFonts w:ascii="Times New Roman" w:hAnsi="Times New Roman"/>
                <w:color w:val="000000" w:themeColor="text1"/>
                <w:sz w:val="24"/>
                <w:szCs w:val="24"/>
              </w:rPr>
              <w:t xml:space="preserve">iesniegumam </w:t>
            </w:r>
            <w:r w:rsidRPr="00FD0D9D">
              <w:rPr>
                <w:rFonts w:ascii="Times New Roman" w:hAnsi="Times New Roman"/>
                <w:color w:val="000000" w:themeColor="text1"/>
                <w:sz w:val="24"/>
                <w:szCs w:val="24"/>
              </w:rPr>
              <w:t>par izmaiņu izdarīšanu jau reģistrētā uztura bagātinātāja marķējumā</w:t>
            </w:r>
            <w:r w:rsidRPr="00BE6C1B">
              <w:rPr>
                <w:rFonts w:ascii="Times New Roman" w:hAnsi="Times New Roman"/>
                <w:color w:val="000000" w:themeColor="text1"/>
                <w:sz w:val="24"/>
                <w:szCs w:val="24"/>
              </w:rPr>
              <w:t xml:space="preserve"> dienestam varētu aizņemt 0,0333</w:t>
            </w:r>
            <w:r w:rsidR="00FD0D9D">
              <w:rPr>
                <w:rFonts w:ascii="Times New Roman" w:hAnsi="Times New Roman"/>
                <w:color w:val="000000" w:themeColor="text1"/>
                <w:sz w:val="24"/>
                <w:szCs w:val="24"/>
              </w:rPr>
              <w:t xml:space="preserve"> </w:t>
            </w:r>
            <w:r w:rsidRPr="00BE6C1B">
              <w:rPr>
                <w:rFonts w:ascii="Times New Roman" w:hAnsi="Times New Roman"/>
                <w:color w:val="000000" w:themeColor="text1"/>
                <w:sz w:val="24"/>
                <w:szCs w:val="24"/>
              </w:rPr>
              <w:t>h (2</w:t>
            </w:r>
            <w:r w:rsidR="00FD0D9D">
              <w:rPr>
                <w:rFonts w:ascii="Times New Roman" w:hAnsi="Times New Roman"/>
                <w:color w:val="000000" w:themeColor="text1"/>
                <w:sz w:val="24"/>
                <w:szCs w:val="24"/>
              </w:rPr>
              <w:t> </w:t>
            </w:r>
            <w:r w:rsidRPr="00BE6C1B">
              <w:rPr>
                <w:rFonts w:ascii="Times New Roman" w:hAnsi="Times New Roman"/>
                <w:color w:val="000000" w:themeColor="text1"/>
                <w:sz w:val="24"/>
                <w:szCs w:val="24"/>
              </w:rPr>
              <w:t>minūtes);</w:t>
            </w:r>
          </w:p>
          <w:p w14:paraId="2000915B" w14:textId="77777777" w:rsidR="00032345" w:rsidRDefault="00032345" w:rsidP="00073715">
            <w:pPr>
              <w:pStyle w:val="Bezatstarpm"/>
              <w:jc w:val="both"/>
              <w:rPr>
                <w:rFonts w:ascii="Times New Roman" w:hAnsi="Times New Roman"/>
                <w:color w:val="000000" w:themeColor="text1"/>
                <w:sz w:val="24"/>
                <w:szCs w:val="24"/>
              </w:rPr>
            </w:pPr>
            <w:r>
              <w:rPr>
                <w:rFonts w:ascii="Times New Roman" w:hAnsi="Times New Roman"/>
                <w:color w:val="000000" w:themeColor="text1"/>
                <w:sz w:val="24"/>
                <w:szCs w:val="24"/>
              </w:rPr>
              <w:t>4.5. valsts pārvaldes administratīvās izmaksas ir šādas:</w:t>
            </w:r>
          </w:p>
          <w:p w14:paraId="50D508EE" w14:textId="77777777" w:rsidR="00032345" w:rsidRDefault="00032345" w:rsidP="00073715">
            <w:pPr>
              <w:jc w:val="both"/>
              <w:rPr>
                <w:i/>
                <w:iCs/>
                <w:color w:val="000000" w:themeColor="text1"/>
                <w:lang w:val="lv-LV" w:eastAsia="ar-SA"/>
              </w:rPr>
            </w:pPr>
            <w:r>
              <w:rPr>
                <w:color w:val="000000" w:themeColor="text1"/>
                <w:lang w:val="lv-LV"/>
              </w:rPr>
              <w:t xml:space="preserve">C = (4,84 x 0,0333h) x 582 = 93,80 </w:t>
            </w:r>
            <w:r>
              <w:rPr>
                <w:i/>
                <w:iCs/>
                <w:color w:val="000000" w:themeColor="text1"/>
                <w:lang w:val="lv-LV" w:eastAsia="ar-SA"/>
              </w:rPr>
              <w:t>euro;</w:t>
            </w:r>
          </w:p>
          <w:p w14:paraId="17C46722" w14:textId="77777777" w:rsidR="00296183" w:rsidRPr="001902D0" w:rsidRDefault="00032345" w:rsidP="006D3FDF">
            <w:pPr>
              <w:jc w:val="both"/>
              <w:rPr>
                <w:color w:val="000000" w:themeColor="text1"/>
                <w:lang w:val="lv-LV"/>
              </w:rPr>
            </w:pPr>
            <w:r>
              <w:rPr>
                <w:color w:val="000000" w:themeColor="text1"/>
                <w:lang w:val="lv-LV"/>
              </w:rPr>
              <w:t xml:space="preserve">4.6. </w:t>
            </w:r>
            <w:r>
              <w:rPr>
                <w:bCs/>
                <w:color w:val="000000" w:themeColor="text1"/>
                <w:lang w:val="lv-LV" w:eastAsia="ar-SA"/>
              </w:rPr>
              <w:t>C</w:t>
            </w:r>
            <w:r>
              <w:rPr>
                <w:bCs/>
                <w:color w:val="000000" w:themeColor="text1"/>
                <w:vertAlign w:val="subscript"/>
                <w:lang w:val="lv-LV" w:eastAsia="ar-SA"/>
              </w:rPr>
              <w:t>vidējais</w:t>
            </w:r>
            <w:r>
              <w:rPr>
                <w:bCs/>
                <w:color w:val="000000" w:themeColor="text1"/>
                <w:lang w:val="lv-LV" w:eastAsia="ar-SA"/>
              </w:rPr>
              <w:t xml:space="preserve"> = </w:t>
            </w:r>
            <w:r>
              <w:rPr>
                <w:color w:val="000000" w:themeColor="text1"/>
                <w:lang w:val="lv-LV"/>
              </w:rPr>
              <w:t xml:space="preserve">93,80 </w:t>
            </w:r>
            <w:r>
              <w:rPr>
                <w:color w:val="000000" w:themeColor="text1"/>
                <w:lang w:val="lv-LV" w:eastAsia="ar-SA"/>
              </w:rPr>
              <w:t>/ 582</w:t>
            </w:r>
            <w:r>
              <w:rPr>
                <w:bCs/>
                <w:color w:val="000000" w:themeColor="text1"/>
                <w:lang w:val="lv-LV" w:eastAsia="ar-SA"/>
              </w:rPr>
              <w:t xml:space="preserve">= </w:t>
            </w:r>
            <w:r>
              <w:rPr>
                <w:color w:val="000000" w:themeColor="text1"/>
                <w:lang w:val="lv-LV" w:eastAsia="ar-SA"/>
              </w:rPr>
              <w:t>0,16</w:t>
            </w:r>
            <w:r>
              <w:rPr>
                <w:i/>
                <w:iCs/>
                <w:color w:val="000000" w:themeColor="text1"/>
                <w:lang w:val="lv-LV" w:eastAsia="ar-SA"/>
              </w:rPr>
              <w:t xml:space="preserve"> euro </w:t>
            </w:r>
            <w:r>
              <w:rPr>
                <w:iCs/>
                <w:color w:val="000000" w:themeColor="text1"/>
                <w:lang w:val="lv-LV" w:eastAsia="ar-SA"/>
              </w:rPr>
              <w:t xml:space="preserve">(pārliecināšanās par </w:t>
            </w:r>
            <w:r>
              <w:rPr>
                <w:color w:val="000000" w:themeColor="text1"/>
                <w:lang w:val="lv-LV"/>
              </w:rPr>
              <w:t xml:space="preserve">valsts nodevas samaksas apliecinoša dokumenta kopijas vai maksājuma izdrukas pievienošanu iesniegumam par uztura bagātinātāja reģistrāciju </w:t>
            </w:r>
            <w:r>
              <w:rPr>
                <w:iCs/>
                <w:color w:val="000000" w:themeColor="text1"/>
                <w:lang w:val="lv-LV" w:eastAsia="ar-SA"/>
              </w:rPr>
              <w:t xml:space="preserve">administratīvās izmaksas </w:t>
            </w:r>
            <w:r>
              <w:rPr>
                <w:color w:val="000000" w:themeColor="text1"/>
                <w:lang w:val="lv-LV"/>
              </w:rPr>
              <w:t>dienestam</w:t>
            </w:r>
            <w:r w:rsidR="00FD0D9D">
              <w:rPr>
                <w:color w:val="000000" w:themeColor="text1"/>
                <w:lang w:val="lv-LV"/>
              </w:rPr>
              <w:t>)</w:t>
            </w:r>
            <w:r>
              <w:rPr>
                <w:iCs/>
                <w:color w:val="000000" w:themeColor="text1"/>
                <w:lang w:val="lv-LV" w:eastAsia="ar-SA"/>
              </w:rPr>
              <w:t>.</w:t>
            </w:r>
          </w:p>
        </w:tc>
      </w:tr>
      <w:tr w:rsidR="00296183" w:rsidRPr="00A34864" w14:paraId="4382BBBF" w14:textId="77777777" w:rsidTr="005A05A9">
        <w:trPr>
          <w:jc w:val="center"/>
        </w:trPr>
        <w:tc>
          <w:tcPr>
            <w:tcW w:w="261" w:type="pct"/>
            <w:tcBorders>
              <w:top w:val="outset" w:sz="6" w:space="0" w:color="auto"/>
              <w:left w:val="outset" w:sz="6" w:space="0" w:color="auto"/>
              <w:right w:val="outset" w:sz="6" w:space="0" w:color="auto"/>
            </w:tcBorders>
          </w:tcPr>
          <w:p w14:paraId="187AE3E1" w14:textId="77777777" w:rsidR="00296183" w:rsidRPr="00A34864" w:rsidRDefault="00296183" w:rsidP="0029502E">
            <w:pPr>
              <w:pStyle w:val="Paraststmeklis"/>
              <w:spacing w:before="0" w:beforeAutospacing="0" w:after="0" w:afterAutospacing="0"/>
              <w:rPr>
                <w:color w:val="000000" w:themeColor="text1"/>
                <w:lang w:val="lv-LV"/>
              </w:rPr>
            </w:pPr>
            <w:r w:rsidRPr="00A34864">
              <w:rPr>
                <w:color w:val="000000" w:themeColor="text1"/>
                <w:lang w:val="lv-LV"/>
              </w:rPr>
              <w:lastRenderedPageBreak/>
              <w:t>4.</w:t>
            </w:r>
          </w:p>
        </w:tc>
        <w:tc>
          <w:tcPr>
            <w:tcW w:w="1158" w:type="pct"/>
            <w:tcBorders>
              <w:top w:val="outset" w:sz="6" w:space="0" w:color="auto"/>
              <w:left w:val="outset" w:sz="6" w:space="0" w:color="auto"/>
              <w:right w:val="outset" w:sz="6" w:space="0" w:color="auto"/>
            </w:tcBorders>
          </w:tcPr>
          <w:p w14:paraId="3D84E31D" w14:textId="77777777" w:rsidR="00296183" w:rsidRPr="00A34864" w:rsidRDefault="00296183" w:rsidP="0029502E">
            <w:pPr>
              <w:jc w:val="both"/>
              <w:rPr>
                <w:color w:val="000000" w:themeColor="text1"/>
                <w:lang w:val="lv-LV"/>
              </w:rPr>
            </w:pPr>
            <w:r w:rsidRPr="00A34864">
              <w:rPr>
                <w:color w:val="000000" w:themeColor="text1"/>
                <w:lang w:val="lv-LV"/>
              </w:rPr>
              <w:t>Cita informācija</w:t>
            </w:r>
          </w:p>
        </w:tc>
        <w:tc>
          <w:tcPr>
            <w:tcW w:w="3581" w:type="pct"/>
            <w:tcBorders>
              <w:top w:val="outset" w:sz="6" w:space="0" w:color="auto"/>
              <w:left w:val="outset" w:sz="6" w:space="0" w:color="auto"/>
              <w:right w:val="outset" w:sz="6" w:space="0" w:color="auto"/>
            </w:tcBorders>
            <w:shd w:val="clear" w:color="auto" w:fill="auto"/>
          </w:tcPr>
          <w:p w14:paraId="2E09A81A" w14:textId="77777777" w:rsidR="00296183" w:rsidRPr="00A34864" w:rsidRDefault="00296183" w:rsidP="0029502E">
            <w:pPr>
              <w:widowControl w:val="0"/>
              <w:jc w:val="both"/>
              <w:rPr>
                <w:color w:val="000000" w:themeColor="text1"/>
                <w:lang w:val="lv-LV"/>
              </w:rPr>
            </w:pPr>
            <w:r w:rsidRPr="00A34864">
              <w:rPr>
                <w:color w:val="000000" w:themeColor="text1"/>
                <w:lang w:val="lv-LV"/>
              </w:rPr>
              <w:t>Nav.</w:t>
            </w:r>
          </w:p>
        </w:tc>
      </w:tr>
    </w:tbl>
    <w:p w14:paraId="0969611C" w14:textId="77777777" w:rsidR="00296183" w:rsidRPr="00A34864" w:rsidRDefault="00296183" w:rsidP="00296183">
      <w:pPr>
        <w:jc w:val="both"/>
        <w:rPr>
          <w:color w:val="000000" w:themeColor="text1"/>
          <w:lang w:val="lv-LV" w:eastAsia="lv-LV"/>
        </w:rPr>
      </w:pPr>
    </w:p>
    <w:tbl>
      <w:tblPr>
        <w:tblW w:w="494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13"/>
        <w:gridCol w:w="1325"/>
        <w:gridCol w:w="1322"/>
        <w:gridCol w:w="1302"/>
        <w:gridCol w:w="1331"/>
        <w:gridCol w:w="1186"/>
      </w:tblGrid>
      <w:tr w:rsidR="004440E0" w:rsidRPr="000952F6" w14:paraId="04AEE8CE" w14:textId="77777777" w:rsidTr="0058357C">
        <w:trPr>
          <w:trHeight w:val="453"/>
          <w:jc w:val="center"/>
        </w:trPr>
        <w:tc>
          <w:tcPr>
            <w:tcW w:w="5000" w:type="pct"/>
            <w:gridSpan w:val="6"/>
            <w:tcBorders>
              <w:top w:val="single" w:sz="6" w:space="0" w:color="auto"/>
              <w:left w:val="single" w:sz="6" w:space="0" w:color="auto"/>
              <w:bottom w:val="nil"/>
              <w:right w:val="single" w:sz="6" w:space="0" w:color="auto"/>
            </w:tcBorders>
            <w:hideMark/>
          </w:tcPr>
          <w:p w14:paraId="2ABF3708" w14:textId="77777777" w:rsidR="004440E0" w:rsidRPr="00A34864" w:rsidRDefault="004440E0">
            <w:pPr>
              <w:pStyle w:val="naisnod"/>
              <w:spacing w:line="276" w:lineRule="auto"/>
              <w:rPr>
                <w:lang w:eastAsia="en-US"/>
              </w:rPr>
            </w:pPr>
            <w:r w:rsidRPr="00A34864">
              <w:t>III. Tiesību akta projekta ietekme uz valsts budžetu un pašvaldību budžetiem</w:t>
            </w:r>
          </w:p>
        </w:tc>
      </w:tr>
      <w:tr w:rsidR="004440E0" w:rsidRPr="00A34864" w14:paraId="6D3C073C" w14:textId="77777777" w:rsidTr="001073F5">
        <w:trPr>
          <w:cantSplit/>
          <w:jc w:val="center"/>
        </w:trPr>
        <w:tc>
          <w:tcPr>
            <w:tcW w:w="1478" w:type="pct"/>
            <w:vMerge w:val="restart"/>
            <w:tcBorders>
              <w:top w:val="single" w:sz="6" w:space="0" w:color="auto"/>
              <w:left w:val="single" w:sz="6" w:space="0" w:color="auto"/>
              <w:bottom w:val="single" w:sz="6" w:space="0" w:color="auto"/>
              <w:right w:val="single" w:sz="6" w:space="0" w:color="auto"/>
            </w:tcBorders>
            <w:vAlign w:val="center"/>
            <w:hideMark/>
          </w:tcPr>
          <w:p w14:paraId="4525D178" w14:textId="77777777" w:rsidR="004440E0" w:rsidRPr="00A34864" w:rsidRDefault="004440E0">
            <w:pPr>
              <w:pStyle w:val="Galvene"/>
              <w:tabs>
                <w:tab w:val="left" w:pos="720"/>
              </w:tabs>
              <w:spacing w:line="276" w:lineRule="auto"/>
              <w:jc w:val="center"/>
              <w:rPr>
                <w:b/>
                <w:lang w:val="lv-LV"/>
              </w:rPr>
            </w:pPr>
            <w:r w:rsidRPr="00A34864">
              <w:rPr>
                <w:b/>
                <w:lang w:val="lv-LV"/>
              </w:rPr>
              <w:t>Rādītāji</w:t>
            </w:r>
          </w:p>
        </w:tc>
        <w:tc>
          <w:tcPr>
            <w:tcW w:w="1442" w:type="pct"/>
            <w:gridSpan w:val="2"/>
            <w:vMerge w:val="restart"/>
            <w:tcBorders>
              <w:top w:val="single" w:sz="6" w:space="0" w:color="auto"/>
              <w:left w:val="single" w:sz="6" w:space="0" w:color="auto"/>
              <w:bottom w:val="single" w:sz="6" w:space="0" w:color="auto"/>
              <w:right w:val="single" w:sz="6" w:space="0" w:color="auto"/>
            </w:tcBorders>
            <w:vAlign w:val="center"/>
            <w:hideMark/>
          </w:tcPr>
          <w:p w14:paraId="56E1CFFE" w14:textId="77777777" w:rsidR="004440E0" w:rsidRPr="00A34864" w:rsidRDefault="004440E0">
            <w:pPr>
              <w:spacing w:line="276" w:lineRule="auto"/>
              <w:jc w:val="center"/>
              <w:rPr>
                <w:lang w:val="lv-LV"/>
              </w:rPr>
            </w:pPr>
            <w:r w:rsidRPr="00A34864">
              <w:rPr>
                <w:b/>
                <w:bCs/>
                <w:lang w:val="lv-LV"/>
              </w:rPr>
              <w:t>2015.gads</w:t>
            </w:r>
          </w:p>
        </w:tc>
        <w:tc>
          <w:tcPr>
            <w:tcW w:w="2080" w:type="pct"/>
            <w:gridSpan w:val="3"/>
            <w:tcBorders>
              <w:top w:val="single" w:sz="6" w:space="0" w:color="auto"/>
              <w:left w:val="nil"/>
              <w:bottom w:val="single" w:sz="6" w:space="0" w:color="auto"/>
              <w:right w:val="single" w:sz="6" w:space="0" w:color="auto"/>
            </w:tcBorders>
            <w:vAlign w:val="center"/>
            <w:hideMark/>
          </w:tcPr>
          <w:p w14:paraId="2FF53697" w14:textId="77777777" w:rsidR="004440E0" w:rsidRPr="00A34864" w:rsidRDefault="004440E0">
            <w:pPr>
              <w:spacing w:line="276" w:lineRule="auto"/>
              <w:jc w:val="center"/>
              <w:rPr>
                <w:lang w:val="lv-LV"/>
              </w:rPr>
            </w:pPr>
            <w:r w:rsidRPr="00A34864">
              <w:rPr>
                <w:lang w:val="lv-LV"/>
              </w:rPr>
              <w:t>Turpmākie trīs gadi (EUR)</w:t>
            </w:r>
          </w:p>
        </w:tc>
      </w:tr>
      <w:tr w:rsidR="004440E0" w:rsidRPr="00A34864" w14:paraId="59B34128" w14:textId="77777777" w:rsidTr="0058357C">
        <w:trPr>
          <w:cantSplit/>
          <w:jc w:val="center"/>
        </w:trPr>
        <w:tc>
          <w:tcPr>
            <w:tcW w:w="1478" w:type="pct"/>
            <w:vMerge/>
            <w:tcBorders>
              <w:top w:val="single" w:sz="6" w:space="0" w:color="auto"/>
              <w:left w:val="single" w:sz="6" w:space="0" w:color="auto"/>
              <w:bottom w:val="single" w:sz="6" w:space="0" w:color="auto"/>
              <w:right w:val="single" w:sz="6" w:space="0" w:color="auto"/>
            </w:tcBorders>
            <w:vAlign w:val="center"/>
            <w:hideMark/>
          </w:tcPr>
          <w:p w14:paraId="32EE7478" w14:textId="77777777" w:rsidR="004440E0" w:rsidRPr="00A34864" w:rsidRDefault="004440E0">
            <w:pPr>
              <w:rPr>
                <w:b/>
                <w:lang w:val="lv-LV"/>
              </w:rPr>
            </w:pPr>
          </w:p>
        </w:tc>
        <w:tc>
          <w:tcPr>
            <w:tcW w:w="1442" w:type="pct"/>
            <w:gridSpan w:val="2"/>
            <w:vMerge/>
            <w:tcBorders>
              <w:top w:val="single" w:sz="6" w:space="0" w:color="auto"/>
              <w:left w:val="single" w:sz="6" w:space="0" w:color="auto"/>
              <w:bottom w:val="single" w:sz="6" w:space="0" w:color="auto"/>
              <w:right w:val="single" w:sz="6" w:space="0" w:color="auto"/>
            </w:tcBorders>
            <w:vAlign w:val="center"/>
            <w:hideMark/>
          </w:tcPr>
          <w:p w14:paraId="00F6FA30" w14:textId="77777777" w:rsidR="004440E0" w:rsidRPr="00A34864" w:rsidRDefault="004440E0">
            <w:pPr>
              <w:rPr>
                <w:lang w:val="lv-LV"/>
              </w:rPr>
            </w:pPr>
          </w:p>
        </w:tc>
        <w:tc>
          <w:tcPr>
            <w:tcW w:w="709" w:type="pct"/>
            <w:tcBorders>
              <w:top w:val="single" w:sz="6" w:space="0" w:color="auto"/>
              <w:left w:val="nil"/>
              <w:bottom w:val="single" w:sz="6" w:space="0" w:color="auto"/>
              <w:right w:val="single" w:sz="6" w:space="0" w:color="auto"/>
            </w:tcBorders>
            <w:vAlign w:val="center"/>
            <w:hideMark/>
          </w:tcPr>
          <w:p w14:paraId="1DE8A7B5" w14:textId="77777777" w:rsidR="004440E0" w:rsidRPr="00A34864" w:rsidRDefault="004440E0">
            <w:pPr>
              <w:pStyle w:val="naisnod"/>
              <w:spacing w:line="276" w:lineRule="auto"/>
            </w:pPr>
            <w:r w:rsidRPr="00A34864">
              <w:rPr>
                <w:b w:val="0"/>
              </w:rPr>
              <w:t>2016.g.</w:t>
            </w:r>
          </w:p>
        </w:tc>
        <w:tc>
          <w:tcPr>
            <w:tcW w:w="725" w:type="pct"/>
            <w:tcBorders>
              <w:top w:val="single" w:sz="6" w:space="0" w:color="auto"/>
              <w:left w:val="nil"/>
              <w:bottom w:val="single" w:sz="6" w:space="0" w:color="auto"/>
              <w:right w:val="single" w:sz="6" w:space="0" w:color="auto"/>
            </w:tcBorders>
            <w:vAlign w:val="center"/>
            <w:hideMark/>
          </w:tcPr>
          <w:p w14:paraId="01767AF0" w14:textId="77777777" w:rsidR="004440E0" w:rsidRPr="00A34864" w:rsidRDefault="004440E0">
            <w:pPr>
              <w:pStyle w:val="naisnod"/>
              <w:spacing w:line="276" w:lineRule="auto"/>
            </w:pPr>
            <w:r w:rsidRPr="00A34864">
              <w:rPr>
                <w:b w:val="0"/>
              </w:rPr>
              <w:t>2017.g.</w:t>
            </w:r>
          </w:p>
        </w:tc>
        <w:tc>
          <w:tcPr>
            <w:tcW w:w="646" w:type="pct"/>
            <w:tcBorders>
              <w:top w:val="single" w:sz="6" w:space="0" w:color="auto"/>
              <w:left w:val="nil"/>
              <w:bottom w:val="single" w:sz="6" w:space="0" w:color="auto"/>
              <w:right w:val="single" w:sz="6" w:space="0" w:color="auto"/>
            </w:tcBorders>
            <w:vAlign w:val="center"/>
            <w:hideMark/>
          </w:tcPr>
          <w:p w14:paraId="3957004C" w14:textId="77777777" w:rsidR="004440E0" w:rsidRPr="00A34864" w:rsidRDefault="004440E0">
            <w:pPr>
              <w:spacing w:line="276" w:lineRule="auto"/>
              <w:jc w:val="center"/>
              <w:rPr>
                <w:lang w:val="lv-LV"/>
              </w:rPr>
            </w:pPr>
            <w:r w:rsidRPr="00A34864">
              <w:rPr>
                <w:lang w:val="lv-LV"/>
              </w:rPr>
              <w:t>2018.g</w:t>
            </w:r>
          </w:p>
        </w:tc>
      </w:tr>
      <w:tr w:rsidR="004440E0" w:rsidRPr="00075CEE" w14:paraId="557AD02E" w14:textId="77777777" w:rsidTr="001073F5">
        <w:trPr>
          <w:cantSplit/>
          <w:jc w:val="center"/>
        </w:trPr>
        <w:tc>
          <w:tcPr>
            <w:tcW w:w="1478" w:type="pct"/>
            <w:vMerge/>
            <w:tcBorders>
              <w:top w:val="single" w:sz="6" w:space="0" w:color="auto"/>
              <w:left w:val="single" w:sz="6" w:space="0" w:color="auto"/>
              <w:bottom w:val="single" w:sz="6" w:space="0" w:color="auto"/>
              <w:right w:val="single" w:sz="6" w:space="0" w:color="auto"/>
            </w:tcBorders>
            <w:vAlign w:val="center"/>
            <w:hideMark/>
          </w:tcPr>
          <w:p w14:paraId="4CD78B8C" w14:textId="77777777" w:rsidR="004440E0" w:rsidRPr="00A34864" w:rsidRDefault="004440E0">
            <w:pPr>
              <w:rPr>
                <w:b/>
                <w:lang w:val="lv-LV"/>
              </w:rPr>
            </w:pPr>
          </w:p>
        </w:tc>
        <w:tc>
          <w:tcPr>
            <w:tcW w:w="722" w:type="pct"/>
            <w:tcBorders>
              <w:top w:val="single" w:sz="6" w:space="0" w:color="auto"/>
              <w:left w:val="single" w:sz="6" w:space="0" w:color="auto"/>
              <w:bottom w:val="single" w:sz="6" w:space="0" w:color="auto"/>
              <w:right w:val="single" w:sz="6" w:space="0" w:color="auto"/>
            </w:tcBorders>
            <w:hideMark/>
          </w:tcPr>
          <w:p w14:paraId="041168E8" w14:textId="77777777" w:rsidR="004440E0" w:rsidRPr="00A34864" w:rsidRDefault="004440E0">
            <w:pPr>
              <w:spacing w:line="276" w:lineRule="auto"/>
              <w:jc w:val="center"/>
              <w:rPr>
                <w:lang w:val="lv-LV"/>
              </w:rPr>
            </w:pPr>
            <w:r w:rsidRPr="00A34864">
              <w:rPr>
                <w:lang w:val="lv-LV"/>
              </w:rPr>
              <w:t>Saskaņā ar valsts budžetu kārtējam gadam</w:t>
            </w:r>
          </w:p>
        </w:tc>
        <w:tc>
          <w:tcPr>
            <w:tcW w:w="720" w:type="pct"/>
            <w:tcBorders>
              <w:top w:val="single" w:sz="6" w:space="0" w:color="auto"/>
              <w:left w:val="nil"/>
              <w:bottom w:val="single" w:sz="6" w:space="0" w:color="auto"/>
              <w:right w:val="single" w:sz="6" w:space="0" w:color="auto"/>
            </w:tcBorders>
            <w:hideMark/>
          </w:tcPr>
          <w:p w14:paraId="2AF2471A" w14:textId="77777777" w:rsidR="004440E0" w:rsidRPr="00A34864" w:rsidRDefault="004440E0">
            <w:pPr>
              <w:pStyle w:val="Galvene"/>
              <w:tabs>
                <w:tab w:val="left" w:pos="720"/>
              </w:tabs>
              <w:spacing w:line="276" w:lineRule="auto"/>
              <w:jc w:val="center"/>
              <w:rPr>
                <w:lang w:val="lv-LV"/>
              </w:rPr>
            </w:pPr>
            <w:r w:rsidRPr="00A34864">
              <w:rPr>
                <w:lang w:val="lv-LV"/>
              </w:rPr>
              <w:t>Izmaiņas kārtējā gadā, salīdzinot ar budžetu kārtējam gadam</w:t>
            </w:r>
          </w:p>
        </w:tc>
        <w:tc>
          <w:tcPr>
            <w:tcW w:w="709" w:type="pct"/>
            <w:tcBorders>
              <w:top w:val="single" w:sz="6" w:space="0" w:color="auto"/>
              <w:left w:val="nil"/>
              <w:bottom w:val="single" w:sz="6" w:space="0" w:color="auto"/>
              <w:right w:val="single" w:sz="6" w:space="0" w:color="auto"/>
            </w:tcBorders>
            <w:hideMark/>
          </w:tcPr>
          <w:p w14:paraId="2B9E7A7A" w14:textId="77777777" w:rsidR="004440E0" w:rsidRPr="00A34864" w:rsidRDefault="004440E0">
            <w:pPr>
              <w:pStyle w:val="Galvene"/>
              <w:tabs>
                <w:tab w:val="left" w:pos="720"/>
              </w:tabs>
              <w:spacing w:line="276" w:lineRule="auto"/>
              <w:jc w:val="center"/>
              <w:rPr>
                <w:lang w:val="lv-LV"/>
              </w:rPr>
            </w:pPr>
            <w:r w:rsidRPr="00A34864">
              <w:rPr>
                <w:lang w:val="lv-LV"/>
              </w:rPr>
              <w:t>Izmaiņas, salīdzinot ar kārtējo (n) gadu</w:t>
            </w:r>
          </w:p>
        </w:tc>
        <w:tc>
          <w:tcPr>
            <w:tcW w:w="725" w:type="pct"/>
            <w:tcBorders>
              <w:top w:val="single" w:sz="6" w:space="0" w:color="auto"/>
              <w:left w:val="nil"/>
              <w:bottom w:val="single" w:sz="6" w:space="0" w:color="auto"/>
              <w:right w:val="single" w:sz="6" w:space="0" w:color="auto"/>
            </w:tcBorders>
          </w:tcPr>
          <w:p w14:paraId="79CD5F7A" w14:textId="77777777" w:rsidR="004440E0" w:rsidRPr="00A34864" w:rsidRDefault="004440E0">
            <w:pPr>
              <w:spacing w:before="100" w:beforeAutospacing="1" w:after="100" w:afterAutospacing="1" w:line="276" w:lineRule="auto"/>
              <w:jc w:val="center"/>
              <w:rPr>
                <w:lang w:val="lv-LV" w:eastAsia="lv-LV"/>
              </w:rPr>
            </w:pPr>
            <w:r w:rsidRPr="00A34864">
              <w:rPr>
                <w:lang w:val="lv-LV"/>
              </w:rPr>
              <w:t>Izmaiņas, salīdzinot ar kārtējo (n) gadu</w:t>
            </w:r>
          </w:p>
          <w:p w14:paraId="56D4BE42" w14:textId="77777777" w:rsidR="004440E0" w:rsidRPr="00A34864" w:rsidRDefault="004440E0">
            <w:pPr>
              <w:spacing w:line="276" w:lineRule="auto"/>
              <w:jc w:val="center"/>
              <w:rPr>
                <w:lang w:val="lv-LV"/>
              </w:rPr>
            </w:pPr>
          </w:p>
        </w:tc>
        <w:tc>
          <w:tcPr>
            <w:tcW w:w="646" w:type="pct"/>
            <w:tcBorders>
              <w:top w:val="single" w:sz="6" w:space="0" w:color="auto"/>
              <w:left w:val="nil"/>
              <w:bottom w:val="single" w:sz="6" w:space="0" w:color="auto"/>
              <w:right w:val="single" w:sz="6" w:space="0" w:color="auto"/>
            </w:tcBorders>
            <w:hideMark/>
          </w:tcPr>
          <w:p w14:paraId="3A93DC65" w14:textId="77777777" w:rsidR="004440E0" w:rsidRPr="00A34864" w:rsidRDefault="004440E0">
            <w:pPr>
              <w:spacing w:line="276" w:lineRule="auto"/>
              <w:jc w:val="center"/>
              <w:rPr>
                <w:lang w:val="lv-LV"/>
              </w:rPr>
            </w:pPr>
            <w:r w:rsidRPr="00A34864">
              <w:rPr>
                <w:lang w:val="lv-LV"/>
              </w:rPr>
              <w:t>Izmaiņas, salīdzinot ar kārtējo (n) gadu</w:t>
            </w:r>
          </w:p>
        </w:tc>
      </w:tr>
      <w:tr w:rsidR="004440E0" w:rsidRPr="00A34864" w14:paraId="0BE0B08F" w14:textId="77777777" w:rsidTr="001073F5">
        <w:trPr>
          <w:cantSplit/>
          <w:jc w:val="center"/>
        </w:trPr>
        <w:tc>
          <w:tcPr>
            <w:tcW w:w="1478" w:type="pct"/>
            <w:tcBorders>
              <w:top w:val="single" w:sz="6" w:space="0" w:color="auto"/>
              <w:left w:val="single" w:sz="6" w:space="0" w:color="auto"/>
              <w:bottom w:val="single" w:sz="6" w:space="0" w:color="auto"/>
              <w:right w:val="single" w:sz="6" w:space="0" w:color="auto"/>
            </w:tcBorders>
            <w:hideMark/>
          </w:tcPr>
          <w:p w14:paraId="6391451B" w14:textId="77777777" w:rsidR="004440E0" w:rsidRPr="00A34864" w:rsidRDefault="004440E0">
            <w:pPr>
              <w:spacing w:line="276" w:lineRule="auto"/>
              <w:jc w:val="center"/>
              <w:rPr>
                <w:lang w:val="lv-LV"/>
              </w:rPr>
            </w:pPr>
            <w:r w:rsidRPr="00A34864">
              <w:rPr>
                <w:lang w:val="lv-LV"/>
              </w:rPr>
              <w:t>1</w:t>
            </w:r>
          </w:p>
        </w:tc>
        <w:tc>
          <w:tcPr>
            <w:tcW w:w="722" w:type="pct"/>
            <w:tcBorders>
              <w:top w:val="single" w:sz="6" w:space="0" w:color="auto"/>
              <w:left w:val="single" w:sz="6" w:space="0" w:color="auto"/>
              <w:bottom w:val="single" w:sz="6" w:space="0" w:color="auto"/>
              <w:right w:val="single" w:sz="6" w:space="0" w:color="auto"/>
            </w:tcBorders>
            <w:hideMark/>
          </w:tcPr>
          <w:p w14:paraId="57151930" w14:textId="77777777" w:rsidR="004440E0" w:rsidRPr="00A34864" w:rsidRDefault="004440E0">
            <w:pPr>
              <w:spacing w:line="276" w:lineRule="auto"/>
              <w:jc w:val="center"/>
              <w:rPr>
                <w:lang w:val="lv-LV"/>
              </w:rPr>
            </w:pPr>
            <w:r w:rsidRPr="00A34864">
              <w:rPr>
                <w:lang w:val="lv-LV"/>
              </w:rPr>
              <w:t>2</w:t>
            </w:r>
          </w:p>
        </w:tc>
        <w:tc>
          <w:tcPr>
            <w:tcW w:w="720" w:type="pct"/>
            <w:tcBorders>
              <w:top w:val="single" w:sz="6" w:space="0" w:color="auto"/>
              <w:left w:val="nil"/>
              <w:bottom w:val="single" w:sz="6" w:space="0" w:color="auto"/>
              <w:right w:val="single" w:sz="6" w:space="0" w:color="auto"/>
            </w:tcBorders>
            <w:hideMark/>
          </w:tcPr>
          <w:p w14:paraId="5F74345B" w14:textId="77777777" w:rsidR="004440E0" w:rsidRPr="00A34864" w:rsidRDefault="004440E0">
            <w:pPr>
              <w:spacing w:line="276" w:lineRule="auto"/>
              <w:jc w:val="center"/>
              <w:rPr>
                <w:lang w:val="lv-LV"/>
              </w:rPr>
            </w:pPr>
            <w:r w:rsidRPr="00A34864">
              <w:rPr>
                <w:lang w:val="lv-LV"/>
              </w:rPr>
              <w:t>3</w:t>
            </w:r>
          </w:p>
        </w:tc>
        <w:tc>
          <w:tcPr>
            <w:tcW w:w="709" w:type="pct"/>
            <w:tcBorders>
              <w:top w:val="single" w:sz="6" w:space="0" w:color="auto"/>
              <w:left w:val="nil"/>
              <w:bottom w:val="single" w:sz="6" w:space="0" w:color="auto"/>
              <w:right w:val="single" w:sz="6" w:space="0" w:color="auto"/>
            </w:tcBorders>
            <w:hideMark/>
          </w:tcPr>
          <w:p w14:paraId="080972CF" w14:textId="77777777" w:rsidR="004440E0" w:rsidRPr="00A34864" w:rsidRDefault="004440E0">
            <w:pPr>
              <w:spacing w:line="276" w:lineRule="auto"/>
              <w:jc w:val="center"/>
              <w:rPr>
                <w:lang w:val="lv-LV"/>
              </w:rPr>
            </w:pPr>
            <w:r w:rsidRPr="00A34864">
              <w:rPr>
                <w:lang w:val="lv-LV"/>
              </w:rPr>
              <w:t>4</w:t>
            </w:r>
          </w:p>
        </w:tc>
        <w:tc>
          <w:tcPr>
            <w:tcW w:w="725" w:type="pct"/>
            <w:tcBorders>
              <w:top w:val="single" w:sz="6" w:space="0" w:color="auto"/>
              <w:left w:val="nil"/>
              <w:bottom w:val="single" w:sz="6" w:space="0" w:color="auto"/>
              <w:right w:val="single" w:sz="6" w:space="0" w:color="auto"/>
            </w:tcBorders>
            <w:hideMark/>
          </w:tcPr>
          <w:p w14:paraId="6D862A51" w14:textId="77777777" w:rsidR="004440E0" w:rsidRPr="00A34864" w:rsidRDefault="004440E0">
            <w:pPr>
              <w:spacing w:line="276" w:lineRule="auto"/>
              <w:jc w:val="center"/>
              <w:rPr>
                <w:lang w:val="lv-LV"/>
              </w:rPr>
            </w:pPr>
            <w:r w:rsidRPr="00A34864">
              <w:rPr>
                <w:lang w:val="lv-LV"/>
              </w:rPr>
              <w:t>5</w:t>
            </w:r>
          </w:p>
        </w:tc>
        <w:tc>
          <w:tcPr>
            <w:tcW w:w="646" w:type="pct"/>
            <w:tcBorders>
              <w:top w:val="single" w:sz="6" w:space="0" w:color="auto"/>
              <w:left w:val="nil"/>
              <w:bottom w:val="single" w:sz="6" w:space="0" w:color="auto"/>
              <w:right w:val="single" w:sz="6" w:space="0" w:color="auto"/>
            </w:tcBorders>
            <w:hideMark/>
          </w:tcPr>
          <w:p w14:paraId="4F124B54" w14:textId="77777777" w:rsidR="004440E0" w:rsidRPr="00A34864" w:rsidRDefault="004440E0">
            <w:pPr>
              <w:spacing w:line="276" w:lineRule="auto"/>
              <w:jc w:val="center"/>
              <w:rPr>
                <w:lang w:val="lv-LV"/>
              </w:rPr>
            </w:pPr>
            <w:r w:rsidRPr="00A34864">
              <w:rPr>
                <w:lang w:val="lv-LV"/>
              </w:rPr>
              <w:t>6</w:t>
            </w:r>
          </w:p>
        </w:tc>
      </w:tr>
      <w:tr w:rsidR="004440E0" w:rsidRPr="00A34864" w14:paraId="1AF673A5" w14:textId="77777777" w:rsidTr="001073F5">
        <w:trPr>
          <w:cantSplit/>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45E205A9" w14:textId="77777777" w:rsidR="004440E0" w:rsidRPr="00A34864" w:rsidRDefault="004440E0">
            <w:pPr>
              <w:spacing w:line="276" w:lineRule="auto"/>
              <w:jc w:val="both"/>
              <w:rPr>
                <w:lang w:val="lv-LV"/>
              </w:rPr>
            </w:pPr>
            <w:r w:rsidRPr="00A34864">
              <w:rPr>
                <w:lang w:val="lv-LV"/>
              </w:rPr>
              <w:t>1. Budžeta ieņēmumi:</w:t>
            </w:r>
          </w:p>
        </w:tc>
        <w:tc>
          <w:tcPr>
            <w:tcW w:w="722" w:type="pct"/>
            <w:tcBorders>
              <w:top w:val="single" w:sz="6" w:space="0" w:color="auto"/>
              <w:left w:val="single" w:sz="6" w:space="0" w:color="auto"/>
              <w:bottom w:val="single" w:sz="6" w:space="0" w:color="auto"/>
              <w:right w:val="single" w:sz="6" w:space="0" w:color="auto"/>
            </w:tcBorders>
            <w:vAlign w:val="center"/>
            <w:hideMark/>
          </w:tcPr>
          <w:p w14:paraId="0B000894" w14:textId="77777777" w:rsidR="004440E0" w:rsidRPr="009C2439" w:rsidRDefault="004440E0" w:rsidP="004440E0">
            <w:pPr>
              <w:pStyle w:val="naisf"/>
              <w:spacing w:line="276" w:lineRule="auto"/>
              <w:jc w:val="center"/>
              <w:rPr>
                <w:b/>
                <w:color w:val="000000" w:themeColor="text1"/>
                <w:lang w:val="lv-LV"/>
              </w:rPr>
            </w:pPr>
            <w:r w:rsidRPr="009C2439">
              <w:rPr>
                <w:b/>
                <w:color w:val="000000" w:themeColor="text1"/>
                <w:lang w:val="lv-LV"/>
              </w:rPr>
              <w:t>96 912</w:t>
            </w:r>
          </w:p>
        </w:tc>
        <w:tc>
          <w:tcPr>
            <w:tcW w:w="720" w:type="pct"/>
            <w:tcBorders>
              <w:top w:val="single" w:sz="6" w:space="0" w:color="auto"/>
              <w:left w:val="single" w:sz="6" w:space="0" w:color="auto"/>
              <w:bottom w:val="single" w:sz="6" w:space="0" w:color="auto"/>
              <w:right w:val="single" w:sz="6" w:space="0" w:color="auto"/>
            </w:tcBorders>
            <w:vAlign w:val="center"/>
            <w:hideMark/>
          </w:tcPr>
          <w:p w14:paraId="1B55C3A0" w14:textId="77777777" w:rsidR="004440E0" w:rsidRPr="009C2439" w:rsidRDefault="004440E0">
            <w:pPr>
              <w:pStyle w:val="naisf"/>
              <w:spacing w:line="276" w:lineRule="auto"/>
              <w:jc w:val="center"/>
              <w:rPr>
                <w:color w:val="000000" w:themeColor="text1"/>
                <w:lang w:val="lv-LV"/>
              </w:rPr>
            </w:pPr>
            <w:r w:rsidRPr="009C2439">
              <w:rPr>
                <w:color w:val="000000" w:themeColor="text1"/>
                <w:lang w:val="lv-LV"/>
              </w:rPr>
              <w:t>0,0</w:t>
            </w:r>
          </w:p>
        </w:tc>
        <w:tc>
          <w:tcPr>
            <w:tcW w:w="709" w:type="pct"/>
            <w:tcBorders>
              <w:top w:val="single" w:sz="6" w:space="0" w:color="auto"/>
              <w:left w:val="single" w:sz="6" w:space="0" w:color="auto"/>
              <w:bottom w:val="single" w:sz="6" w:space="0" w:color="auto"/>
              <w:right w:val="single" w:sz="6" w:space="0" w:color="auto"/>
            </w:tcBorders>
            <w:hideMark/>
          </w:tcPr>
          <w:p w14:paraId="443E8AE5" w14:textId="77777777" w:rsidR="004440E0" w:rsidRPr="009C2439" w:rsidRDefault="004440E0">
            <w:pPr>
              <w:spacing w:line="276" w:lineRule="auto"/>
              <w:jc w:val="center"/>
              <w:rPr>
                <w:color w:val="000000" w:themeColor="text1"/>
                <w:lang w:val="lv-LV"/>
              </w:rPr>
            </w:pPr>
            <w:r w:rsidRPr="009C2439">
              <w:rPr>
                <w:color w:val="000000" w:themeColor="text1"/>
                <w:lang w:val="lv-LV"/>
              </w:rPr>
              <w:t>0,0</w:t>
            </w:r>
          </w:p>
        </w:tc>
        <w:tc>
          <w:tcPr>
            <w:tcW w:w="725" w:type="pct"/>
            <w:tcBorders>
              <w:top w:val="single" w:sz="6" w:space="0" w:color="auto"/>
              <w:left w:val="single" w:sz="6" w:space="0" w:color="auto"/>
              <w:bottom w:val="single" w:sz="6" w:space="0" w:color="auto"/>
              <w:right w:val="single" w:sz="6" w:space="0" w:color="auto"/>
            </w:tcBorders>
            <w:hideMark/>
          </w:tcPr>
          <w:p w14:paraId="2E634EC1" w14:textId="03574372" w:rsidR="004440E0" w:rsidRPr="009C2439" w:rsidRDefault="004440E0" w:rsidP="00BA7488">
            <w:pPr>
              <w:spacing w:line="276" w:lineRule="auto"/>
              <w:jc w:val="center"/>
              <w:rPr>
                <w:b/>
                <w:color w:val="000000" w:themeColor="text1"/>
                <w:lang w:val="lv-LV"/>
              </w:rPr>
            </w:pPr>
            <w:r w:rsidRPr="009C2439">
              <w:rPr>
                <w:b/>
                <w:color w:val="000000" w:themeColor="text1"/>
                <w:lang w:val="lv-LV"/>
              </w:rPr>
              <w:t>7</w:t>
            </w:r>
            <w:r w:rsidR="00BA7488" w:rsidRPr="009C2439">
              <w:rPr>
                <w:b/>
                <w:color w:val="000000" w:themeColor="text1"/>
                <w:lang w:val="lv-LV"/>
              </w:rPr>
              <w:t>5</w:t>
            </w:r>
            <w:r w:rsidRPr="009C2439">
              <w:rPr>
                <w:b/>
                <w:color w:val="000000" w:themeColor="text1"/>
                <w:lang w:val="lv-LV"/>
              </w:rPr>
              <w:t> </w:t>
            </w:r>
            <w:r w:rsidR="00BA7488" w:rsidRPr="009C2439">
              <w:rPr>
                <w:b/>
                <w:color w:val="000000" w:themeColor="text1"/>
                <w:lang w:val="lv-LV"/>
              </w:rPr>
              <w:t>393</w:t>
            </w:r>
          </w:p>
        </w:tc>
        <w:tc>
          <w:tcPr>
            <w:tcW w:w="646" w:type="pct"/>
            <w:tcBorders>
              <w:top w:val="single" w:sz="6" w:space="0" w:color="auto"/>
              <w:left w:val="single" w:sz="6" w:space="0" w:color="auto"/>
              <w:bottom w:val="single" w:sz="6" w:space="0" w:color="auto"/>
              <w:right w:val="single" w:sz="6" w:space="0" w:color="auto"/>
            </w:tcBorders>
            <w:hideMark/>
          </w:tcPr>
          <w:p w14:paraId="32D11A9B" w14:textId="41E5DDDB" w:rsidR="004440E0" w:rsidRPr="009C2439" w:rsidRDefault="00BA7488" w:rsidP="00280A5C">
            <w:pPr>
              <w:spacing w:line="276" w:lineRule="auto"/>
              <w:jc w:val="center"/>
              <w:rPr>
                <w:b/>
                <w:color w:val="000000" w:themeColor="text1"/>
                <w:lang w:val="lv-LV"/>
              </w:rPr>
            </w:pPr>
            <w:r w:rsidRPr="009C2439">
              <w:rPr>
                <w:b/>
                <w:color w:val="000000" w:themeColor="text1"/>
                <w:lang w:val="lv-LV"/>
              </w:rPr>
              <w:t>75 393</w:t>
            </w:r>
          </w:p>
        </w:tc>
      </w:tr>
      <w:tr w:rsidR="004440E0" w:rsidRPr="00A34864" w14:paraId="33C3DF18" w14:textId="77777777" w:rsidTr="001073F5">
        <w:trPr>
          <w:cantSplit/>
          <w:trHeight w:val="1672"/>
          <w:jc w:val="center"/>
        </w:trPr>
        <w:tc>
          <w:tcPr>
            <w:tcW w:w="1478" w:type="pct"/>
            <w:tcBorders>
              <w:top w:val="single" w:sz="6" w:space="0" w:color="auto"/>
              <w:left w:val="single" w:sz="6" w:space="0" w:color="auto"/>
              <w:bottom w:val="single" w:sz="6" w:space="0" w:color="auto"/>
              <w:right w:val="single" w:sz="6" w:space="0" w:color="auto"/>
            </w:tcBorders>
            <w:hideMark/>
          </w:tcPr>
          <w:p w14:paraId="7BBF316B" w14:textId="77777777" w:rsidR="004440E0" w:rsidRPr="00A34864" w:rsidRDefault="004440E0" w:rsidP="004440E0">
            <w:pPr>
              <w:pStyle w:val="Sarakstarindkopa1"/>
              <w:numPr>
                <w:ilvl w:val="1"/>
                <w:numId w:val="19"/>
              </w:numPr>
              <w:spacing w:after="0" w:line="240" w:lineRule="auto"/>
              <w:ind w:left="0" w:firstLine="0"/>
              <w:rPr>
                <w:rFonts w:ascii="Times New Roman" w:hAnsi="Times New Roman"/>
                <w:sz w:val="24"/>
                <w:szCs w:val="24"/>
                <w:lang w:val="lv-LV"/>
              </w:rPr>
            </w:pPr>
            <w:r w:rsidRPr="00A34864">
              <w:rPr>
                <w:rFonts w:ascii="Times New Roman" w:hAnsi="Times New Roman"/>
                <w:sz w:val="24"/>
                <w:szCs w:val="24"/>
                <w:lang w:val="lv-LV"/>
              </w:rPr>
              <w:t>valsts pamatbudžets, tai skaitā ieņēmumi no maksas pakalpojumiem un citi pašu ieņēmumi</w:t>
            </w:r>
          </w:p>
          <w:p w14:paraId="70D7C3B7" w14:textId="77777777" w:rsidR="004440E0" w:rsidRPr="00A34864" w:rsidRDefault="004440E0">
            <w:pPr>
              <w:pStyle w:val="Sarakstarindkopa1"/>
              <w:spacing w:after="0" w:line="240" w:lineRule="auto"/>
              <w:ind w:left="0"/>
              <w:rPr>
                <w:rFonts w:ascii="Times New Roman" w:eastAsia="Times New Roman" w:hAnsi="Times New Roman"/>
                <w:sz w:val="24"/>
                <w:szCs w:val="24"/>
                <w:lang w:val="lv-LV"/>
              </w:rPr>
            </w:pPr>
            <w:r w:rsidRPr="00A34864">
              <w:rPr>
                <w:rFonts w:ascii="Times New Roman" w:hAnsi="Times New Roman"/>
                <w:sz w:val="24"/>
                <w:szCs w:val="24"/>
                <w:lang w:val="lv-LV"/>
              </w:rPr>
              <w:t>(sk.7.punktu)</w:t>
            </w:r>
          </w:p>
        </w:tc>
        <w:tc>
          <w:tcPr>
            <w:tcW w:w="722" w:type="pct"/>
            <w:tcBorders>
              <w:top w:val="single" w:sz="6" w:space="0" w:color="auto"/>
              <w:left w:val="single" w:sz="6" w:space="0" w:color="auto"/>
              <w:bottom w:val="single" w:sz="6" w:space="0" w:color="auto"/>
              <w:right w:val="single" w:sz="6" w:space="0" w:color="auto"/>
            </w:tcBorders>
            <w:vAlign w:val="center"/>
            <w:hideMark/>
          </w:tcPr>
          <w:p w14:paraId="207C2869" w14:textId="77777777" w:rsidR="004440E0" w:rsidRPr="00BB7E73" w:rsidRDefault="000A31F4">
            <w:pPr>
              <w:spacing w:line="276" w:lineRule="auto"/>
              <w:jc w:val="center"/>
              <w:rPr>
                <w:lang w:val="lv-LV"/>
              </w:rPr>
            </w:pPr>
            <w:r w:rsidRPr="00BB7E73">
              <w:rPr>
                <w:color w:val="000000" w:themeColor="text1"/>
                <w:lang w:val="lv-LV"/>
              </w:rPr>
              <w:t>96 912</w:t>
            </w:r>
          </w:p>
        </w:tc>
        <w:tc>
          <w:tcPr>
            <w:tcW w:w="720" w:type="pct"/>
            <w:tcBorders>
              <w:top w:val="single" w:sz="6" w:space="0" w:color="auto"/>
              <w:left w:val="single" w:sz="6" w:space="0" w:color="auto"/>
              <w:bottom w:val="single" w:sz="6" w:space="0" w:color="auto"/>
              <w:right w:val="single" w:sz="6" w:space="0" w:color="auto"/>
            </w:tcBorders>
            <w:vAlign w:val="center"/>
            <w:hideMark/>
          </w:tcPr>
          <w:p w14:paraId="56271165" w14:textId="77777777" w:rsidR="004440E0" w:rsidRPr="00BB7E73" w:rsidRDefault="004440E0">
            <w:pPr>
              <w:spacing w:line="276" w:lineRule="auto"/>
              <w:jc w:val="center"/>
              <w:rPr>
                <w:lang w:val="lv-LV"/>
              </w:rPr>
            </w:pPr>
            <w:r w:rsidRPr="00BB7E73">
              <w:rPr>
                <w:lang w:val="lv-LV"/>
              </w:rPr>
              <w:t>0,0</w:t>
            </w:r>
          </w:p>
        </w:tc>
        <w:tc>
          <w:tcPr>
            <w:tcW w:w="709" w:type="pct"/>
            <w:tcBorders>
              <w:top w:val="single" w:sz="6" w:space="0" w:color="auto"/>
              <w:left w:val="single" w:sz="6" w:space="0" w:color="auto"/>
              <w:bottom w:val="single" w:sz="6" w:space="0" w:color="auto"/>
              <w:right w:val="single" w:sz="6" w:space="0" w:color="auto"/>
            </w:tcBorders>
            <w:vAlign w:val="center"/>
          </w:tcPr>
          <w:p w14:paraId="33D333F2" w14:textId="77777777" w:rsidR="004440E0" w:rsidRPr="00BB7E73" w:rsidRDefault="004440E0">
            <w:pPr>
              <w:spacing w:line="276" w:lineRule="auto"/>
              <w:jc w:val="center"/>
              <w:rPr>
                <w:lang w:val="lv-LV"/>
              </w:rPr>
            </w:pPr>
            <w:r w:rsidRPr="00BB7E73">
              <w:rPr>
                <w:lang w:val="lv-LV"/>
              </w:rPr>
              <w:t>0,0</w:t>
            </w:r>
          </w:p>
          <w:p w14:paraId="487CA61A" w14:textId="77777777" w:rsidR="004440E0" w:rsidRPr="00BB7E73" w:rsidRDefault="004440E0">
            <w:pPr>
              <w:spacing w:line="276" w:lineRule="auto"/>
              <w:jc w:val="center"/>
              <w:rPr>
                <w:lang w:val="lv-LV"/>
              </w:rPr>
            </w:pPr>
          </w:p>
        </w:tc>
        <w:tc>
          <w:tcPr>
            <w:tcW w:w="725" w:type="pct"/>
            <w:tcBorders>
              <w:top w:val="single" w:sz="6" w:space="0" w:color="auto"/>
              <w:left w:val="single" w:sz="6" w:space="0" w:color="auto"/>
              <w:bottom w:val="single" w:sz="6" w:space="0" w:color="auto"/>
              <w:right w:val="single" w:sz="6" w:space="0" w:color="auto"/>
            </w:tcBorders>
            <w:vAlign w:val="center"/>
          </w:tcPr>
          <w:p w14:paraId="70FD0F74" w14:textId="15DE488F" w:rsidR="004440E0" w:rsidRPr="00BB7E73" w:rsidRDefault="00BA7488" w:rsidP="00280A5C">
            <w:pPr>
              <w:spacing w:line="276" w:lineRule="auto"/>
              <w:jc w:val="center"/>
              <w:rPr>
                <w:lang w:val="lv-LV"/>
              </w:rPr>
            </w:pPr>
            <w:r w:rsidRPr="00BB7E73">
              <w:rPr>
                <w:color w:val="000000" w:themeColor="text1"/>
                <w:lang w:val="lv-LV"/>
              </w:rPr>
              <w:t>75 393</w:t>
            </w:r>
          </w:p>
        </w:tc>
        <w:tc>
          <w:tcPr>
            <w:tcW w:w="646" w:type="pct"/>
            <w:tcBorders>
              <w:top w:val="single" w:sz="6" w:space="0" w:color="auto"/>
              <w:left w:val="single" w:sz="6" w:space="0" w:color="auto"/>
              <w:bottom w:val="single" w:sz="6" w:space="0" w:color="auto"/>
              <w:right w:val="single" w:sz="6" w:space="0" w:color="auto"/>
            </w:tcBorders>
            <w:vAlign w:val="center"/>
          </w:tcPr>
          <w:p w14:paraId="3746D771" w14:textId="06F7E230" w:rsidR="004440E0" w:rsidRPr="00BB7E73" w:rsidRDefault="00BA7488" w:rsidP="00280A5C">
            <w:pPr>
              <w:spacing w:line="276" w:lineRule="auto"/>
              <w:jc w:val="center"/>
              <w:rPr>
                <w:lang w:val="lv-LV"/>
              </w:rPr>
            </w:pPr>
            <w:r w:rsidRPr="00BB7E73">
              <w:rPr>
                <w:color w:val="000000" w:themeColor="text1"/>
                <w:lang w:val="lv-LV"/>
              </w:rPr>
              <w:t>75 393</w:t>
            </w:r>
          </w:p>
        </w:tc>
      </w:tr>
      <w:tr w:rsidR="004440E0" w:rsidRPr="00A34864" w14:paraId="1CBE37F7" w14:textId="77777777" w:rsidTr="001073F5">
        <w:trPr>
          <w:cantSplit/>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7FE6F431" w14:textId="77777777" w:rsidR="004440E0" w:rsidRPr="00A34864" w:rsidRDefault="004440E0">
            <w:pPr>
              <w:pStyle w:val="Sarakstarindkopa1"/>
              <w:spacing w:after="0" w:line="240" w:lineRule="auto"/>
              <w:ind w:left="0"/>
              <w:jc w:val="both"/>
              <w:rPr>
                <w:rFonts w:ascii="Times New Roman" w:eastAsia="Times New Roman" w:hAnsi="Times New Roman"/>
                <w:sz w:val="24"/>
                <w:szCs w:val="24"/>
                <w:lang w:val="lv-LV"/>
              </w:rPr>
            </w:pPr>
            <w:r w:rsidRPr="00A34864">
              <w:rPr>
                <w:rFonts w:ascii="Times New Roman" w:hAnsi="Times New Roman"/>
                <w:sz w:val="24"/>
                <w:szCs w:val="24"/>
                <w:lang w:val="lv-LV"/>
              </w:rPr>
              <w:t>1.2. valsts speciālais budžets</w:t>
            </w:r>
          </w:p>
        </w:tc>
        <w:tc>
          <w:tcPr>
            <w:tcW w:w="722" w:type="pct"/>
            <w:tcBorders>
              <w:top w:val="single" w:sz="6" w:space="0" w:color="auto"/>
              <w:left w:val="single" w:sz="6" w:space="0" w:color="auto"/>
              <w:bottom w:val="single" w:sz="6" w:space="0" w:color="auto"/>
              <w:right w:val="single" w:sz="6" w:space="0" w:color="auto"/>
            </w:tcBorders>
            <w:vAlign w:val="center"/>
            <w:hideMark/>
          </w:tcPr>
          <w:p w14:paraId="5A32EFCA" w14:textId="77777777" w:rsidR="004440E0" w:rsidRPr="00BB7E73" w:rsidRDefault="004440E0">
            <w:pPr>
              <w:pStyle w:val="naisf"/>
              <w:spacing w:line="276" w:lineRule="auto"/>
              <w:jc w:val="center"/>
              <w:rPr>
                <w:color w:val="000000" w:themeColor="text1"/>
                <w:lang w:val="lv-LV"/>
              </w:rPr>
            </w:pPr>
            <w:r w:rsidRPr="00BB7E73">
              <w:rPr>
                <w:color w:val="000000" w:themeColor="text1"/>
                <w:lang w:val="lv-LV"/>
              </w:rPr>
              <w:t>0,0</w:t>
            </w:r>
          </w:p>
        </w:tc>
        <w:tc>
          <w:tcPr>
            <w:tcW w:w="720" w:type="pct"/>
            <w:tcBorders>
              <w:top w:val="single" w:sz="6" w:space="0" w:color="auto"/>
              <w:left w:val="single" w:sz="6" w:space="0" w:color="auto"/>
              <w:bottom w:val="single" w:sz="6" w:space="0" w:color="auto"/>
              <w:right w:val="single" w:sz="6" w:space="0" w:color="auto"/>
            </w:tcBorders>
            <w:vAlign w:val="center"/>
            <w:hideMark/>
          </w:tcPr>
          <w:p w14:paraId="6F25F91D" w14:textId="77777777" w:rsidR="004440E0" w:rsidRPr="00BB7E73" w:rsidRDefault="004440E0">
            <w:pPr>
              <w:spacing w:line="276" w:lineRule="auto"/>
              <w:jc w:val="center"/>
              <w:rPr>
                <w:color w:val="000000" w:themeColor="text1"/>
                <w:lang w:val="lv-LV"/>
              </w:rPr>
            </w:pPr>
            <w:r w:rsidRPr="00BB7E73">
              <w:rPr>
                <w:color w:val="000000" w:themeColor="text1"/>
                <w:lang w:val="lv-LV"/>
              </w:rPr>
              <w:t>0,0</w:t>
            </w:r>
          </w:p>
        </w:tc>
        <w:tc>
          <w:tcPr>
            <w:tcW w:w="709" w:type="pct"/>
            <w:tcBorders>
              <w:top w:val="single" w:sz="6" w:space="0" w:color="auto"/>
              <w:left w:val="single" w:sz="6" w:space="0" w:color="auto"/>
              <w:bottom w:val="single" w:sz="6" w:space="0" w:color="auto"/>
              <w:right w:val="single" w:sz="6" w:space="0" w:color="auto"/>
            </w:tcBorders>
            <w:vAlign w:val="center"/>
            <w:hideMark/>
          </w:tcPr>
          <w:p w14:paraId="1ED2BA7C" w14:textId="77777777" w:rsidR="004440E0" w:rsidRPr="00BB7E73" w:rsidRDefault="004440E0">
            <w:pPr>
              <w:spacing w:line="276" w:lineRule="auto"/>
              <w:jc w:val="center"/>
              <w:rPr>
                <w:color w:val="000000" w:themeColor="text1"/>
                <w:lang w:val="lv-LV"/>
              </w:rPr>
            </w:pPr>
            <w:r w:rsidRPr="00BB7E73">
              <w:rPr>
                <w:color w:val="000000" w:themeColor="text1"/>
                <w:lang w:val="lv-LV"/>
              </w:rPr>
              <w:t>0,0</w:t>
            </w:r>
          </w:p>
        </w:tc>
        <w:tc>
          <w:tcPr>
            <w:tcW w:w="725" w:type="pct"/>
            <w:tcBorders>
              <w:top w:val="single" w:sz="6" w:space="0" w:color="auto"/>
              <w:left w:val="single" w:sz="6" w:space="0" w:color="auto"/>
              <w:bottom w:val="single" w:sz="6" w:space="0" w:color="auto"/>
              <w:right w:val="single" w:sz="6" w:space="0" w:color="auto"/>
            </w:tcBorders>
            <w:vAlign w:val="center"/>
            <w:hideMark/>
          </w:tcPr>
          <w:p w14:paraId="1548DEB9" w14:textId="77777777" w:rsidR="004440E0" w:rsidRPr="00BB7E73" w:rsidRDefault="004440E0">
            <w:pPr>
              <w:spacing w:line="276" w:lineRule="auto"/>
              <w:jc w:val="center"/>
              <w:rPr>
                <w:color w:val="000000" w:themeColor="text1"/>
                <w:lang w:val="lv-LV"/>
              </w:rPr>
            </w:pPr>
            <w:r w:rsidRPr="00BB7E73">
              <w:rPr>
                <w:color w:val="000000" w:themeColor="text1"/>
                <w:lang w:val="lv-LV"/>
              </w:rPr>
              <w:t>0,0</w:t>
            </w:r>
          </w:p>
        </w:tc>
        <w:tc>
          <w:tcPr>
            <w:tcW w:w="646" w:type="pct"/>
            <w:tcBorders>
              <w:top w:val="single" w:sz="6" w:space="0" w:color="auto"/>
              <w:left w:val="single" w:sz="6" w:space="0" w:color="auto"/>
              <w:bottom w:val="single" w:sz="6" w:space="0" w:color="auto"/>
              <w:right w:val="single" w:sz="6" w:space="0" w:color="auto"/>
            </w:tcBorders>
            <w:vAlign w:val="center"/>
            <w:hideMark/>
          </w:tcPr>
          <w:p w14:paraId="2795111C" w14:textId="77777777" w:rsidR="004440E0" w:rsidRPr="00BB7E73" w:rsidRDefault="004440E0">
            <w:pPr>
              <w:spacing w:line="276" w:lineRule="auto"/>
              <w:jc w:val="center"/>
              <w:rPr>
                <w:color w:val="000000" w:themeColor="text1"/>
                <w:lang w:val="lv-LV"/>
              </w:rPr>
            </w:pPr>
            <w:r w:rsidRPr="00BB7E73">
              <w:rPr>
                <w:color w:val="000000" w:themeColor="text1"/>
                <w:lang w:val="lv-LV"/>
              </w:rPr>
              <w:t>0,0</w:t>
            </w:r>
          </w:p>
        </w:tc>
      </w:tr>
      <w:tr w:rsidR="004440E0" w:rsidRPr="00A34864" w14:paraId="390DBC9F" w14:textId="77777777" w:rsidTr="001073F5">
        <w:trPr>
          <w:cantSplit/>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4875BB92" w14:textId="77777777" w:rsidR="004440E0" w:rsidRPr="00A34864" w:rsidRDefault="004440E0">
            <w:pPr>
              <w:pStyle w:val="Sarakstarindkopa1"/>
              <w:spacing w:after="0" w:line="240" w:lineRule="auto"/>
              <w:ind w:left="0"/>
              <w:jc w:val="both"/>
              <w:rPr>
                <w:rFonts w:ascii="Times New Roman" w:eastAsia="Times New Roman" w:hAnsi="Times New Roman"/>
                <w:sz w:val="24"/>
                <w:szCs w:val="24"/>
                <w:lang w:val="lv-LV"/>
              </w:rPr>
            </w:pPr>
            <w:r w:rsidRPr="00A34864">
              <w:rPr>
                <w:rFonts w:ascii="Times New Roman" w:hAnsi="Times New Roman"/>
                <w:sz w:val="24"/>
                <w:szCs w:val="24"/>
                <w:lang w:val="lv-LV"/>
              </w:rPr>
              <w:t>1.3. pašvaldību budžets</w:t>
            </w:r>
          </w:p>
        </w:tc>
        <w:tc>
          <w:tcPr>
            <w:tcW w:w="722" w:type="pct"/>
            <w:tcBorders>
              <w:top w:val="single" w:sz="6" w:space="0" w:color="auto"/>
              <w:left w:val="single" w:sz="6" w:space="0" w:color="auto"/>
              <w:bottom w:val="single" w:sz="6" w:space="0" w:color="auto"/>
              <w:right w:val="single" w:sz="6" w:space="0" w:color="auto"/>
            </w:tcBorders>
            <w:vAlign w:val="center"/>
            <w:hideMark/>
          </w:tcPr>
          <w:p w14:paraId="67A9BCC2" w14:textId="77777777" w:rsidR="004440E0" w:rsidRPr="00A34864" w:rsidRDefault="004440E0">
            <w:pPr>
              <w:pStyle w:val="naisf"/>
              <w:spacing w:line="276" w:lineRule="auto"/>
              <w:jc w:val="center"/>
              <w:rPr>
                <w:color w:val="000000" w:themeColor="text1"/>
                <w:lang w:val="lv-LV"/>
              </w:rPr>
            </w:pPr>
            <w:r w:rsidRPr="00A34864">
              <w:rPr>
                <w:color w:val="000000" w:themeColor="text1"/>
                <w:lang w:val="lv-LV"/>
              </w:rPr>
              <w:t>0,0</w:t>
            </w:r>
          </w:p>
        </w:tc>
        <w:tc>
          <w:tcPr>
            <w:tcW w:w="720" w:type="pct"/>
            <w:tcBorders>
              <w:top w:val="single" w:sz="6" w:space="0" w:color="auto"/>
              <w:left w:val="single" w:sz="6" w:space="0" w:color="auto"/>
              <w:bottom w:val="single" w:sz="6" w:space="0" w:color="auto"/>
              <w:right w:val="single" w:sz="6" w:space="0" w:color="auto"/>
            </w:tcBorders>
            <w:vAlign w:val="center"/>
            <w:hideMark/>
          </w:tcPr>
          <w:p w14:paraId="75BB4DD1" w14:textId="77777777" w:rsidR="004440E0" w:rsidRPr="00A34864" w:rsidRDefault="004440E0">
            <w:pPr>
              <w:spacing w:line="276" w:lineRule="auto"/>
              <w:jc w:val="center"/>
              <w:rPr>
                <w:color w:val="000000" w:themeColor="text1"/>
                <w:lang w:val="lv-LV"/>
              </w:rPr>
            </w:pPr>
            <w:r w:rsidRPr="00A34864">
              <w:rPr>
                <w:color w:val="000000" w:themeColor="text1"/>
                <w:lang w:val="lv-LV"/>
              </w:rPr>
              <w:t>0,0</w:t>
            </w:r>
          </w:p>
        </w:tc>
        <w:tc>
          <w:tcPr>
            <w:tcW w:w="709" w:type="pct"/>
            <w:tcBorders>
              <w:top w:val="single" w:sz="6" w:space="0" w:color="auto"/>
              <w:left w:val="single" w:sz="6" w:space="0" w:color="auto"/>
              <w:bottom w:val="single" w:sz="6" w:space="0" w:color="auto"/>
              <w:right w:val="single" w:sz="6" w:space="0" w:color="auto"/>
            </w:tcBorders>
            <w:vAlign w:val="center"/>
            <w:hideMark/>
          </w:tcPr>
          <w:p w14:paraId="2DA547FC" w14:textId="77777777" w:rsidR="004440E0" w:rsidRPr="00A34864" w:rsidRDefault="004440E0">
            <w:pPr>
              <w:spacing w:line="276" w:lineRule="auto"/>
              <w:jc w:val="center"/>
              <w:rPr>
                <w:color w:val="000000" w:themeColor="text1"/>
                <w:lang w:val="lv-LV"/>
              </w:rPr>
            </w:pPr>
            <w:r w:rsidRPr="00A34864">
              <w:rPr>
                <w:color w:val="000000" w:themeColor="text1"/>
                <w:lang w:val="lv-LV"/>
              </w:rPr>
              <w:t>0,0</w:t>
            </w:r>
          </w:p>
        </w:tc>
        <w:tc>
          <w:tcPr>
            <w:tcW w:w="725" w:type="pct"/>
            <w:tcBorders>
              <w:top w:val="single" w:sz="6" w:space="0" w:color="auto"/>
              <w:left w:val="single" w:sz="6" w:space="0" w:color="auto"/>
              <w:bottom w:val="single" w:sz="6" w:space="0" w:color="auto"/>
              <w:right w:val="single" w:sz="6" w:space="0" w:color="auto"/>
            </w:tcBorders>
            <w:vAlign w:val="center"/>
            <w:hideMark/>
          </w:tcPr>
          <w:p w14:paraId="38C7482B" w14:textId="77777777" w:rsidR="004440E0" w:rsidRPr="00A34864" w:rsidRDefault="004440E0">
            <w:pPr>
              <w:spacing w:line="276" w:lineRule="auto"/>
              <w:jc w:val="center"/>
              <w:rPr>
                <w:color w:val="000000" w:themeColor="text1"/>
                <w:lang w:val="lv-LV"/>
              </w:rPr>
            </w:pPr>
            <w:r w:rsidRPr="00A34864">
              <w:rPr>
                <w:color w:val="000000" w:themeColor="text1"/>
                <w:lang w:val="lv-LV"/>
              </w:rPr>
              <w:t>0,0</w:t>
            </w:r>
          </w:p>
        </w:tc>
        <w:tc>
          <w:tcPr>
            <w:tcW w:w="646" w:type="pct"/>
            <w:tcBorders>
              <w:top w:val="single" w:sz="6" w:space="0" w:color="auto"/>
              <w:left w:val="single" w:sz="6" w:space="0" w:color="auto"/>
              <w:bottom w:val="single" w:sz="6" w:space="0" w:color="auto"/>
              <w:right w:val="single" w:sz="6" w:space="0" w:color="auto"/>
            </w:tcBorders>
            <w:vAlign w:val="center"/>
            <w:hideMark/>
          </w:tcPr>
          <w:p w14:paraId="5028673F" w14:textId="77777777" w:rsidR="004440E0" w:rsidRPr="00A34864" w:rsidRDefault="004440E0">
            <w:pPr>
              <w:spacing w:line="276" w:lineRule="auto"/>
              <w:jc w:val="center"/>
              <w:rPr>
                <w:color w:val="000000" w:themeColor="text1"/>
                <w:lang w:val="lv-LV"/>
              </w:rPr>
            </w:pPr>
            <w:r w:rsidRPr="00A34864">
              <w:rPr>
                <w:color w:val="000000" w:themeColor="text1"/>
                <w:lang w:val="lv-LV"/>
              </w:rPr>
              <w:t>0,0</w:t>
            </w:r>
          </w:p>
        </w:tc>
      </w:tr>
      <w:tr w:rsidR="004440E0" w:rsidRPr="00A34864" w14:paraId="63C6A096" w14:textId="77777777" w:rsidTr="001073F5">
        <w:trPr>
          <w:cantSplit/>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5F09E658" w14:textId="77777777" w:rsidR="004440E0" w:rsidRPr="00A34864" w:rsidRDefault="004440E0">
            <w:pPr>
              <w:spacing w:line="276" w:lineRule="auto"/>
              <w:jc w:val="both"/>
              <w:rPr>
                <w:lang w:val="lv-LV"/>
              </w:rPr>
            </w:pPr>
            <w:r w:rsidRPr="00A34864">
              <w:rPr>
                <w:lang w:val="lv-LV"/>
              </w:rPr>
              <w:t>2. Budžeta izdevumi:</w:t>
            </w:r>
          </w:p>
        </w:tc>
        <w:tc>
          <w:tcPr>
            <w:tcW w:w="722" w:type="pct"/>
            <w:tcBorders>
              <w:top w:val="single" w:sz="6" w:space="0" w:color="auto"/>
              <w:left w:val="single" w:sz="6" w:space="0" w:color="auto"/>
              <w:bottom w:val="single" w:sz="6" w:space="0" w:color="auto"/>
              <w:right w:val="single" w:sz="6" w:space="0" w:color="auto"/>
            </w:tcBorders>
            <w:vAlign w:val="center"/>
            <w:hideMark/>
          </w:tcPr>
          <w:p w14:paraId="19D69BDB" w14:textId="77777777" w:rsidR="004440E0" w:rsidRPr="00BB7E73" w:rsidRDefault="004440E0" w:rsidP="004440E0">
            <w:pPr>
              <w:spacing w:line="276" w:lineRule="auto"/>
              <w:jc w:val="center"/>
              <w:rPr>
                <w:color w:val="000000" w:themeColor="text1"/>
                <w:lang w:val="lv-LV"/>
              </w:rPr>
            </w:pPr>
            <w:r w:rsidRPr="00BB7E73">
              <w:rPr>
                <w:color w:val="000000" w:themeColor="text1"/>
                <w:lang w:val="lv-LV"/>
              </w:rPr>
              <w:t>96 912</w:t>
            </w:r>
          </w:p>
        </w:tc>
        <w:tc>
          <w:tcPr>
            <w:tcW w:w="720" w:type="pct"/>
            <w:tcBorders>
              <w:top w:val="single" w:sz="6" w:space="0" w:color="auto"/>
              <w:left w:val="single" w:sz="6" w:space="0" w:color="auto"/>
              <w:bottom w:val="single" w:sz="6" w:space="0" w:color="auto"/>
              <w:right w:val="single" w:sz="6" w:space="0" w:color="auto"/>
            </w:tcBorders>
            <w:vAlign w:val="center"/>
            <w:hideMark/>
          </w:tcPr>
          <w:p w14:paraId="5925EAE3" w14:textId="77777777" w:rsidR="004440E0" w:rsidRPr="00BB7E73" w:rsidRDefault="004440E0">
            <w:pPr>
              <w:pStyle w:val="naisf"/>
              <w:spacing w:line="276" w:lineRule="auto"/>
              <w:jc w:val="center"/>
              <w:rPr>
                <w:color w:val="000000" w:themeColor="text1"/>
                <w:lang w:val="lv-LV"/>
              </w:rPr>
            </w:pPr>
            <w:r w:rsidRPr="00BB7E73">
              <w:rPr>
                <w:color w:val="000000" w:themeColor="text1"/>
                <w:lang w:val="lv-LV"/>
              </w:rPr>
              <w:t>0,0</w:t>
            </w:r>
          </w:p>
        </w:tc>
        <w:tc>
          <w:tcPr>
            <w:tcW w:w="709" w:type="pct"/>
            <w:tcBorders>
              <w:top w:val="single" w:sz="6" w:space="0" w:color="auto"/>
              <w:left w:val="single" w:sz="6" w:space="0" w:color="auto"/>
              <w:bottom w:val="single" w:sz="6" w:space="0" w:color="auto"/>
              <w:right w:val="single" w:sz="6" w:space="0" w:color="auto"/>
            </w:tcBorders>
            <w:hideMark/>
          </w:tcPr>
          <w:p w14:paraId="1EB0E780" w14:textId="77777777" w:rsidR="004440E0" w:rsidRPr="00BB7E73" w:rsidRDefault="004440E0">
            <w:pPr>
              <w:spacing w:line="276" w:lineRule="auto"/>
              <w:jc w:val="center"/>
              <w:rPr>
                <w:color w:val="000000" w:themeColor="text1"/>
                <w:lang w:val="lv-LV"/>
              </w:rPr>
            </w:pPr>
            <w:r w:rsidRPr="00BB7E73">
              <w:rPr>
                <w:color w:val="000000" w:themeColor="text1"/>
                <w:lang w:val="lv-LV"/>
              </w:rPr>
              <w:t>0,0</w:t>
            </w:r>
          </w:p>
        </w:tc>
        <w:tc>
          <w:tcPr>
            <w:tcW w:w="725" w:type="pct"/>
            <w:tcBorders>
              <w:top w:val="single" w:sz="6" w:space="0" w:color="auto"/>
              <w:left w:val="single" w:sz="6" w:space="0" w:color="auto"/>
              <w:bottom w:val="single" w:sz="6" w:space="0" w:color="auto"/>
              <w:right w:val="single" w:sz="6" w:space="0" w:color="auto"/>
            </w:tcBorders>
            <w:hideMark/>
          </w:tcPr>
          <w:p w14:paraId="03ADD599" w14:textId="6A25F03D" w:rsidR="004440E0" w:rsidRPr="00BB7E73" w:rsidRDefault="00BA7488" w:rsidP="00280A5C">
            <w:pPr>
              <w:spacing w:line="276" w:lineRule="auto"/>
              <w:jc w:val="center"/>
              <w:rPr>
                <w:color w:val="000000" w:themeColor="text1"/>
                <w:lang w:val="lv-LV"/>
              </w:rPr>
            </w:pPr>
            <w:r w:rsidRPr="00BB7E73">
              <w:rPr>
                <w:color w:val="000000" w:themeColor="text1"/>
                <w:lang w:val="lv-LV"/>
              </w:rPr>
              <w:t>75 393</w:t>
            </w:r>
          </w:p>
        </w:tc>
        <w:tc>
          <w:tcPr>
            <w:tcW w:w="646" w:type="pct"/>
            <w:tcBorders>
              <w:top w:val="single" w:sz="6" w:space="0" w:color="auto"/>
              <w:left w:val="single" w:sz="6" w:space="0" w:color="auto"/>
              <w:bottom w:val="single" w:sz="6" w:space="0" w:color="auto"/>
              <w:right w:val="single" w:sz="6" w:space="0" w:color="auto"/>
            </w:tcBorders>
            <w:hideMark/>
          </w:tcPr>
          <w:p w14:paraId="3EE7F59F" w14:textId="222D0B5A" w:rsidR="004440E0" w:rsidRPr="00BB7E73" w:rsidRDefault="00BA7488" w:rsidP="00280A5C">
            <w:pPr>
              <w:spacing w:line="276" w:lineRule="auto"/>
              <w:jc w:val="center"/>
              <w:rPr>
                <w:color w:val="000000" w:themeColor="text1"/>
                <w:lang w:val="lv-LV"/>
              </w:rPr>
            </w:pPr>
            <w:r w:rsidRPr="00BB7E73">
              <w:rPr>
                <w:color w:val="000000" w:themeColor="text1"/>
                <w:lang w:val="lv-LV"/>
              </w:rPr>
              <w:t>75 393</w:t>
            </w:r>
          </w:p>
        </w:tc>
      </w:tr>
      <w:tr w:rsidR="004440E0" w14:paraId="7BAAB56A" w14:textId="77777777" w:rsidTr="001073F5">
        <w:trPr>
          <w:cantSplit/>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560B93CD" w14:textId="77777777" w:rsidR="004440E0" w:rsidRPr="00A34864" w:rsidRDefault="004440E0">
            <w:pPr>
              <w:pStyle w:val="Sarakstarindkopa1"/>
              <w:spacing w:after="0" w:line="240" w:lineRule="auto"/>
              <w:ind w:left="0"/>
              <w:jc w:val="both"/>
              <w:rPr>
                <w:rFonts w:ascii="Times New Roman" w:hAnsi="Times New Roman"/>
                <w:sz w:val="24"/>
                <w:szCs w:val="24"/>
                <w:lang w:val="lv-LV"/>
              </w:rPr>
            </w:pPr>
            <w:r w:rsidRPr="00A34864">
              <w:rPr>
                <w:rFonts w:ascii="Times New Roman" w:hAnsi="Times New Roman"/>
                <w:sz w:val="24"/>
                <w:szCs w:val="24"/>
                <w:lang w:val="lv-LV"/>
              </w:rPr>
              <w:t>2.1. valsts pamatbudžets</w:t>
            </w:r>
          </w:p>
        </w:tc>
        <w:tc>
          <w:tcPr>
            <w:tcW w:w="722" w:type="pct"/>
            <w:tcBorders>
              <w:top w:val="single" w:sz="6" w:space="0" w:color="auto"/>
              <w:left w:val="single" w:sz="6" w:space="0" w:color="auto"/>
              <w:bottom w:val="single" w:sz="6" w:space="0" w:color="auto"/>
              <w:right w:val="single" w:sz="6" w:space="0" w:color="auto"/>
            </w:tcBorders>
            <w:vAlign w:val="center"/>
            <w:hideMark/>
          </w:tcPr>
          <w:p w14:paraId="1531FC3D" w14:textId="77777777" w:rsidR="004440E0" w:rsidRPr="00BB7E73" w:rsidRDefault="004440E0" w:rsidP="004440E0">
            <w:pPr>
              <w:spacing w:line="276" w:lineRule="auto"/>
              <w:jc w:val="center"/>
              <w:rPr>
                <w:color w:val="000000" w:themeColor="text1"/>
                <w:lang w:val="lv-LV"/>
              </w:rPr>
            </w:pPr>
            <w:r w:rsidRPr="00BB7E73">
              <w:rPr>
                <w:color w:val="000000" w:themeColor="text1"/>
                <w:lang w:val="lv-LV"/>
              </w:rPr>
              <w:t>96 912</w:t>
            </w:r>
          </w:p>
        </w:tc>
        <w:tc>
          <w:tcPr>
            <w:tcW w:w="720" w:type="pct"/>
            <w:tcBorders>
              <w:top w:val="single" w:sz="6" w:space="0" w:color="auto"/>
              <w:left w:val="single" w:sz="6" w:space="0" w:color="auto"/>
              <w:bottom w:val="single" w:sz="6" w:space="0" w:color="auto"/>
              <w:right w:val="single" w:sz="6" w:space="0" w:color="auto"/>
            </w:tcBorders>
            <w:vAlign w:val="center"/>
            <w:hideMark/>
          </w:tcPr>
          <w:p w14:paraId="39A65EB1" w14:textId="77777777" w:rsidR="004440E0" w:rsidRPr="00BB7E73" w:rsidRDefault="004440E0">
            <w:pPr>
              <w:spacing w:line="276" w:lineRule="auto"/>
              <w:jc w:val="center"/>
              <w:rPr>
                <w:color w:val="000000" w:themeColor="text1"/>
                <w:lang w:val="lv-LV"/>
              </w:rPr>
            </w:pPr>
            <w:r w:rsidRPr="00BB7E73">
              <w:rPr>
                <w:color w:val="000000" w:themeColor="text1"/>
                <w:lang w:val="lv-LV"/>
              </w:rPr>
              <w:t>0,0</w:t>
            </w:r>
          </w:p>
        </w:tc>
        <w:tc>
          <w:tcPr>
            <w:tcW w:w="709" w:type="pct"/>
            <w:tcBorders>
              <w:top w:val="single" w:sz="6" w:space="0" w:color="auto"/>
              <w:left w:val="single" w:sz="6" w:space="0" w:color="auto"/>
              <w:bottom w:val="single" w:sz="6" w:space="0" w:color="auto"/>
              <w:right w:val="single" w:sz="6" w:space="0" w:color="auto"/>
            </w:tcBorders>
            <w:vAlign w:val="center"/>
            <w:hideMark/>
          </w:tcPr>
          <w:p w14:paraId="3E8B7E6C" w14:textId="77777777" w:rsidR="004440E0" w:rsidRPr="00BB7E73" w:rsidRDefault="004440E0">
            <w:pPr>
              <w:spacing w:line="276" w:lineRule="auto"/>
              <w:jc w:val="center"/>
              <w:rPr>
                <w:color w:val="000000" w:themeColor="text1"/>
                <w:lang w:val="lv-LV"/>
              </w:rPr>
            </w:pPr>
            <w:r w:rsidRPr="00BB7E73">
              <w:rPr>
                <w:color w:val="000000" w:themeColor="text1"/>
                <w:lang w:val="lv-LV"/>
              </w:rPr>
              <w:t>0,0</w:t>
            </w:r>
          </w:p>
        </w:tc>
        <w:tc>
          <w:tcPr>
            <w:tcW w:w="725" w:type="pct"/>
            <w:tcBorders>
              <w:top w:val="single" w:sz="6" w:space="0" w:color="auto"/>
              <w:left w:val="single" w:sz="6" w:space="0" w:color="auto"/>
              <w:bottom w:val="single" w:sz="6" w:space="0" w:color="auto"/>
              <w:right w:val="single" w:sz="6" w:space="0" w:color="auto"/>
            </w:tcBorders>
            <w:vAlign w:val="center"/>
            <w:hideMark/>
          </w:tcPr>
          <w:p w14:paraId="087DD213" w14:textId="24DCBE02" w:rsidR="004440E0" w:rsidRPr="00BB7E73" w:rsidRDefault="00BA7488" w:rsidP="00280A5C">
            <w:pPr>
              <w:spacing w:line="276" w:lineRule="auto"/>
              <w:jc w:val="center"/>
              <w:rPr>
                <w:color w:val="000000" w:themeColor="text1"/>
                <w:lang w:val="lv-LV"/>
              </w:rPr>
            </w:pPr>
            <w:r w:rsidRPr="00BB7E73">
              <w:rPr>
                <w:color w:val="000000" w:themeColor="text1"/>
                <w:lang w:val="lv-LV"/>
              </w:rPr>
              <w:t>75 393</w:t>
            </w:r>
          </w:p>
        </w:tc>
        <w:tc>
          <w:tcPr>
            <w:tcW w:w="646" w:type="pct"/>
            <w:tcBorders>
              <w:top w:val="single" w:sz="6" w:space="0" w:color="auto"/>
              <w:left w:val="single" w:sz="6" w:space="0" w:color="auto"/>
              <w:bottom w:val="single" w:sz="6" w:space="0" w:color="auto"/>
              <w:right w:val="single" w:sz="6" w:space="0" w:color="auto"/>
            </w:tcBorders>
            <w:vAlign w:val="center"/>
            <w:hideMark/>
          </w:tcPr>
          <w:p w14:paraId="5DF0D866" w14:textId="0B6FC785" w:rsidR="004440E0" w:rsidRPr="00BB7E73" w:rsidRDefault="00BA7488" w:rsidP="00280A5C">
            <w:pPr>
              <w:spacing w:line="276" w:lineRule="auto"/>
              <w:jc w:val="center"/>
              <w:rPr>
                <w:color w:val="000000" w:themeColor="text1"/>
                <w:lang w:val="lv-LV"/>
              </w:rPr>
            </w:pPr>
            <w:r w:rsidRPr="00BB7E73">
              <w:rPr>
                <w:color w:val="000000" w:themeColor="text1"/>
                <w:lang w:val="lv-LV"/>
              </w:rPr>
              <w:t>75 393</w:t>
            </w:r>
          </w:p>
        </w:tc>
      </w:tr>
      <w:tr w:rsidR="004440E0" w14:paraId="7E2F15DB" w14:textId="77777777" w:rsidTr="001073F5">
        <w:trPr>
          <w:cantSplit/>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5EFEA715" w14:textId="77777777" w:rsidR="004440E0" w:rsidRPr="00896579" w:rsidRDefault="004440E0">
            <w:pPr>
              <w:pStyle w:val="Sarakstarindkopa1"/>
              <w:spacing w:after="0" w:line="240" w:lineRule="auto"/>
              <w:ind w:left="0"/>
              <w:jc w:val="both"/>
              <w:rPr>
                <w:rFonts w:ascii="Times New Roman" w:hAnsi="Times New Roman"/>
                <w:sz w:val="24"/>
                <w:szCs w:val="24"/>
                <w:lang w:val="lv-LV"/>
              </w:rPr>
            </w:pPr>
            <w:r w:rsidRPr="00896579">
              <w:rPr>
                <w:rFonts w:ascii="Times New Roman" w:hAnsi="Times New Roman"/>
                <w:sz w:val="24"/>
                <w:szCs w:val="24"/>
                <w:lang w:val="lv-LV"/>
              </w:rPr>
              <w:t>2.2. valsts speciālais budžets</w:t>
            </w:r>
          </w:p>
        </w:tc>
        <w:tc>
          <w:tcPr>
            <w:tcW w:w="722" w:type="pct"/>
            <w:tcBorders>
              <w:top w:val="single" w:sz="6" w:space="0" w:color="auto"/>
              <w:left w:val="single" w:sz="6" w:space="0" w:color="auto"/>
              <w:bottom w:val="single" w:sz="6" w:space="0" w:color="auto"/>
              <w:right w:val="single" w:sz="6" w:space="0" w:color="auto"/>
            </w:tcBorders>
            <w:vAlign w:val="center"/>
            <w:hideMark/>
          </w:tcPr>
          <w:p w14:paraId="6A5CA8F8" w14:textId="77777777" w:rsidR="004440E0" w:rsidRPr="00896579" w:rsidRDefault="004440E0">
            <w:pPr>
              <w:spacing w:line="276" w:lineRule="auto"/>
              <w:jc w:val="center"/>
              <w:rPr>
                <w:lang w:val="lv-LV"/>
              </w:rPr>
            </w:pPr>
            <w:r w:rsidRPr="00896579">
              <w:rPr>
                <w:lang w:val="lv-LV"/>
              </w:rPr>
              <w:t>0,0</w:t>
            </w:r>
          </w:p>
        </w:tc>
        <w:tc>
          <w:tcPr>
            <w:tcW w:w="720" w:type="pct"/>
            <w:tcBorders>
              <w:top w:val="single" w:sz="6" w:space="0" w:color="auto"/>
              <w:left w:val="single" w:sz="6" w:space="0" w:color="auto"/>
              <w:bottom w:val="single" w:sz="6" w:space="0" w:color="auto"/>
              <w:right w:val="single" w:sz="6" w:space="0" w:color="auto"/>
            </w:tcBorders>
            <w:vAlign w:val="center"/>
            <w:hideMark/>
          </w:tcPr>
          <w:p w14:paraId="7FCB11D9" w14:textId="77777777" w:rsidR="004440E0" w:rsidRPr="00896579" w:rsidRDefault="004440E0">
            <w:pPr>
              <w:spacing w:line="276" w:lineRule="auto"/>
              <w:jc w:val="center"/>
              <w:rPr>
                <w:lang w:val="lv-LV"/>
              </w:rPr>
            </w:pPr>
            <w:r w:rsidRPr="00896579">
              <w:rPr>
                <w:lang w:val="lv-LV"/>
              </w:rPr>
              <w:t>0,0</w:t>
            </w:r>
          </w:p>
        </w:tc>
        <w:tc>
          <w:tcPr>
            <w:tcW w:w="709" w:type="pct"/>
            <w:tcBorders>
              <w:top w:val="single" w:sz="6" w:space="0" w:color="auto"/>
              <w:left w:val="single" w:sz="6" w:space="0" w:color="auto"/>
              <w:bottom w:val="single" w:sz="6" w:space="0" w:color="auto"/>
              <w:right w:val="single" w:sz="6" w:space="0" w:color="auto"/>
            </w:tcBorders>
            <w:vAlign w:val="center"/>
            <w:hideMark/>
          </w:tcPr>
          <w:p w14:paraId="2C78B748" w14:textId="77777777" w:rsidR="004440E0" w:rsidRPr="00896579" w:rsidRDefault="004440E0">
            <w:pPr>
              <w:spacing w:line="276" w:lineRule="auto"/>
              <w:jc w:val="center"/>
              <w:rPr>
                <w:lang w:val="lv-LV"/>
              </w:rPr>
            </w:pPr>
            <w:r w:rsidRPr="00896579">
              <w:rPr>
                <w:lang w:val="lv-LV"/>
              </w:rPr>
              <w:t>0,0</w:t>
            </w:r>
          </w:p>
        </w:tc>
        <w:tc>
          <w:tcPr>
            <w:tcW w:w="725" w:type="pct"/>
            <w:tcBorders>
              <w:top w:val="single" w:sz="6" w:space="0" w:color="auto"/>
              <w:left w:val="single" w:sz="6" w:space="0" w:color="auto"/>
              <w:bottom w:val="single" w:sz="6" w:space="0" w:color="auto"/>
              <w:right w:val="single" w:sz="6" w:space="0" w:color="auto"/>
            </w:tcBorders>
            <w:vAlign w:val="center"/>
            <w:hideMark/>
          </w:tcPr>
          <w:p w14:paraId="2E1C0BF7" w14:textId="77777777" w:rsidR="004440E0" w:rsidRPr="00896579" w:rsidRDefault="004440E0">
            <w:pPr>
              <w:spacing w:line="276" w:lineRule="auto"/>
              <w:jc w:val="center"/>
              <w:rPr>
                <w:color w:val="000000" w:themeColor="text1"/>
                <w:lang w:val="lv-LV"/>
              </w:rPr>
            </w:pPr>
            <w:r w:rsidRPr="00896579">
              <w:rPr>
                <w:color w:val="000000" w:themeColor="text1"/>
                <w:lang w:val="lv-LV"/>
              </w:rPr>
              <w:t>0,0</w:t>
            </w:r>
          </w:p>
        </w:tc>
        <w:tc>
          <w:tcPr>
            <w:tcW w:w="646" w:type="pct"/>
            <w:tcBorders>
              <w:top w:val="single" w:sz="6" w:space="0" w:color="auto"/>
              <w:left w:val="single" w:sz="6" w:space="0" w:color="auto"/>
              <w:bottom w:val="single" w:sz="6" w:space="0" w:color="auto"/>
              <w:right w:val="single" w:sz="6" w:space="0" w:color="auto"/>
            </w:tcBorders>
            <w:vAlign w:val="center"/>
            <w:hideMark/>
          </w:tcPr>
          <w:p w14:paraId="0503CF29" w14:textId="77777777" w:rsidR="004440E0" w:rsidRPr="00896579" w:rsidRDefault="004440E0">
            <w:pPr>
              <w:spacing w:line="276" w:lineRule="auto"/>
              <w:jc w:val="center"/>
              <w:rPr>
                <w:color w:val="000000" w:themeColor="text1"/>
                <w:lang w:val="lv-LV"/>
              </w:rPr>
            </w:pPr>
            <w:r w:rsidRPr="00896579">
              <w:rPr>
                <w:color w:val="000000" w:themeColor="text1"/>
                <w:lang w:val="lv-LV"/>
              </w:rPr>
              <w:t>0,0</w:t>
            </w:r>
          </w:p>
        </w:tc>
      </w:tr>
      <w:tr w:rsidR="004440E0" w14:paraId="42CE5B9E" w14:textId="77777777" w:rsidTr="001073F5">
        <w:trPr>
          <w:cantSplit/>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6F667B13" w14:textId="77777777" w:rsidR="004440E0" w:rsidRPr="00896579" w:rsidRDefault="004440E0">
            <w:pPr>
              <w:pStyle w:val="Sarakstarindkopa1"/>
              <w:spacing w:after="0" w:line="240" w:lineRule="auto"/>
              <w:ind w:left="0"/>
              <w:jc w:val="both"/>
              <w:rPr>
                <w:rFonts w:ascii="Times New Roman" w:hAnsi="Times New Roman"/>
                <w:sz w:val="24"/>
                <w:szCs w:val="24"/>
                <w:lang w:val="lv-LV"/>
              </w:rPr>
            </w:pPr>
            <w:r w:rsidRPr="00896579">
              <w:rPr>
                <w:rFonts w:ascii="Times New Roman" w:hAnsi="Times New Roman"/>
                <w:sz w:val="24"/>
                <w:szCs w:val="24"/>
                <w:lang w:val="lv-LV"/>
              </w:rPr>
              <w:t>2.3. pašvaldību budžets</w:t>
            </w:r>
          </w:p>
        </w:tc>
        <w:tc>
          <w:tcPr>
            <w:tcW w:w="722" w:type="pct"/>
            <w:tcBorders>
              <w:top w:val="single" w:sz="6" w:space="0" w:color="auto"/>
              <w:left w:val="single" w:sz="6" w:space="0" w:color="auto"/>
              <w:bottom w:val="single" w:sz="6" w:space="0" w:color="auto"/>
              <w:right w:val="single" w:sz="6" w:space="0" w:color="auto"/>
            </w:tcBorders>
            <w:vAlign w:val="center"/>
            <w:hideMark/>
          </w:tcPr>
          <w:p w14:paraId="498C864E" w14:textId="77777777" w:rsidR="004440E0" w:rsidRPr="00896579" w:rsidRDefault="004440E0">
            <w:pPr>
              <w:spacing w:line="276" w:lineRule="auto"/>
              <w:jc w:val="center"/>
              <w:rPr>
                <w:lang w:val="lv-LV"/>
              </w:rPr>
            </w:pPr>
            <w:r w:rsidRPr="00896579">
              <w:rPr>
                <w:lang w:val="lv-LV"/>
              </w:rPr>
              <w:t>0,0</w:t>
            </w:r>
          </w:p>
        </w:tc>
        <w:tc>
          <w:tcPr>
            <w:tcW w:w="720" w:type="pct"/>
            <w:tcBorders>
              <w:top w:val="single" w:sz="6" w:space="0" w:color="auto"/>
              <w:left w:val="single" w:sz="6" w:space="0" w:color="auto"/>
              <w:bottom w:val="single" w:sz="6" w:space="0" w:color="auto"/>
              <w:right w:val="single" w:sz="6" w:space="0" w:color="auto"/>
            </w:tcBorders>
            <w:vAlign w:val="center"/>
            <w:hideMark/>
          </w:tcPr>
          <w:p w14:paraId="2F0948A9" w14:textId="77777777" w:rsidR="004440E0" w:rsidRPr="00896579" w:rsidRDefault="004440E0">
            <w:pPr>
              <w:spacing w:line="276" w:lineRule="auto"/>
              <w:jc w:val="center"/>
              <w:rPr>
                <w:lang w:val="lv-LV"/>
              </w:rPr>
            </w:pPr>
            <w:r w:rsidRPr="00896579">
              <w:rPr>
                <w:lang w:val="lv-LV"/>
              </w:rPr>
              <w:t>0,0</w:t>
            </w:r>
          </w:p>
        </w:tc>
        <w:tc>
          <w:tcPr>
            <w:tcW w:w="709" w:type="pct"/>
            <w:tcBorders>
              <w:top w:val="single" w:sz="6" w:space="0" w:color="auto"/>
              <w:left w:val="single" w:sz="6" w:space="0" w:color="auto"/>
              <w:bottom w:val="single" w:sz="6" w:space="0" w:color="auto"/>
              <w:right w:val="single" w:sz="6" w:space="0" w:color="auto"/>
            </w:tcBorders>
            <w:vAlign w:val="center"/>
            <w:hideMark/>
          </w:tcPr>
          <w:p w14:paraId="12354B92" w14:textId="77777777" w:rsidR="004440E0" w:rsidRPr="00896579" w:rsidRDefault="004440E0">
            <w:pPr>
              <w:spacing w:line="276" w:lineRule="auto"/>
              <w:jc w:val="center"/>
              <w:rPr>
                <w:lang w:val="lv-LV"/>
              </w:rPr>
            </w:pPr>
            <w:r w:rsidRPr="00896579">
              <w:rPr>
                <w:lang w:val="lv-LV"/>
              </w:rPr>
              <w:t>0,0</w:t>
            </w:r>
          </w:p>
        </w:tc>
        <w:tc>
          <w:tcPr>
            <w:tcW w:w="725" w:type="pct"/>
            <w:tcBorders>
              <w:top w:val="single" w:sz="6" w:space="0" w:color="auto"/>
              <w:left w:val="single" w:sz="6" w:space="0" w:color="auto"/>
              <w:bottom w:val="single" w:sz="6" w:space="0" w:color="auto"/>
              <w:right w:val="single" w:sz="6" w:space="0" w:color="auto"/>
            </w:tcBorders>
            <w:vAlign w:val="center"/>
            <w:hideMark/>
          </w:tcPr>
          <w:p w14:paraId="21A0E127" w14:textId="77777777" w:rsidR="004440E0" w:rsidRPr="00896579" w:rsidRDefault="004440E0">
            <w:pPr>
              <w:spacing w:line="276" w:lineRule="auto"/>
              <w:jc w:val="center"/>
              <w:rPr>
                <w:lang w:val="lv-LV"/>
              </w:rPr>
            </w:pPr>
            <w:r w:rsidRPr="00896579">
              <w:rPr>
                <w:lang w:val="lv-LV"/>
              </w:rPr>
              <w:t>0,0</w:t>
            </w:r>
          </w:p>
        </w:tc>
        <w:tc>
          <w:tcPr>
            <w:tcW w:w="646" w:type="pct"/>
            <w:tcBorders>
              <w:top w:val="single" w:sz="6" w:space="0" w:color="auto"/>
              <w:left w:val="single" w:sz="6" w:space="0" w:color="auto"/>
              <w:bottom w:val="single" w:sz="6" w:space="0" w:color="auto"/>
              <w:right w:val="single" w:sz="6" w:space="0" w:color="auto"/>
            </w:tcBorders>
            <w:vAlign w:val="center"/>
            <w:hideMark/>
          </w:tcPr>
          <w:p w14:paraId="33EA6917" w14:textId="77777777" w:rsidR="004440E0" w:rsidRPr="00896579" w:rsidRDefault="004440E0">
            <w:pPr>
              <w:spacing w:line="276" w:lineRule="auto"/>
              <w:jc w:val="center"/>
              <w:rPr>
                <w:lang w:val="lv-LV"/>
              </w:rPr>
            </w:pPr>
            <w:r w:rsidRPr="00896579">
              <w:rPr>
                <w:lang w:val="lv-LV"/>
              </w:rPr>
              <w:t>0,0</w:t>
            </w:r>
          </w:p>
        </w:tc>
      </w:tr>
      <w:tr w:rsidR="004440E0" w14:paraId="2490A6BA" w14:textId="77777777" w:rsidTr="001073F5">
        <w:trPr>
          <w:cantSplit/>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019D8216" w14:textId="77777777" w:rsidR="004440E0" w:rsidRPr="00896579" w:rsidRDefault="004440E0">
            <w:pPr>
              <w:pStyle w:val="Sarakstarindkopa1"/>
              <w:spacing w:after="0" w:line="240" w:lineRule="auto"/>
              <w:ind w:left="0"/>
              <w:jc w:val="both"/>
              <w:rPr>
                <w:rFonts w:ascii="Times New Roman" w:hAnsi="Times New Roman"/>
                <w:sz w:val="24"/>
                <w:szCs w:val="24"/>
                <w:lang w:val="lv-LV"/>
              </w:rPr>
            </w:pPr>
            <w:r w:rsidRPr="00896579">
              <w:rPr>
                <w:rFonts w:ascii="Times New Roman" w:hAnsi="Times New Roman"/>
                <w:sz w:val="24"/>
                <w:szCs w:val="24"/>
                <w:lang w:val="lv-LV"/>
              </w:rPr>
              <w:t>3. Finansiālā ietekme:</w:t>
            </w:r>
          </w:p>
        </w:tc>
        <w:tc>
          <w:tcPr>
            <w:tcW w:w="722" w:type="pct"/>
            <w:tcBorders>
              <w:top w:val="single" w:sz="6" w:space="0" w:color="auto"/>
              <w:left w:val="single" w:sz="6" w:space="0" w:color="auto"/>
              <w:bottom w:val="single" w:sz="6" w:space="0" w:color="auto"/>
              <w:right w:val="single" w:sz="6" w:space="0" w:color="auto"/>
            </w:tcBorders>
            <w:vAlign w:val="center"/>
            <w:hideMark/>
          </w:tcPr>
          <w:p w14:paraId="129436A0" w14:textId="77777777" w:rsidR="004440E0" w:rsidRPr="00896579" w:rsidRDefault="004440E0">
            <w:pPr>
              <w:spacing w:line="276" w:lineRule="auto"/>
              <w:jc w:val="center"/>
              <w:rPr>
                <w:lang w:val="lv-LV"/>
              </w:rPr>
            </w:pPr>
            <w:r w:rsidRPr="00896579">
              <w:rPr>
                <w:lang w:val="lv-LV"/>
              </w:rPr>
              <w:t>0,0</w:t>
            </w:r>
          </w:p>
        </w:tc>
        <w:tc>
          <w:tcPr>
            <w:tcW w:w="720" w:type="pct"/>
            <w:tcBorders>
              <w:top w:val="single" w:sz="6" w:space="0" w:color="auto"/>
              <w:left w:val="single" w:sz="6" w:space="0" w:color="auto"/>
              <w:bottom w:val="single" w:sz="6" w:space="0" w:color="auto"/>
              <w:right w:val="single" w:sz="6" w:space="0" w:color="auto"/>
            </w:tcBorders>
            <w:vAlign w:val="center"/>
            <w:hideMark/>
          </w:tcPr>
          <w:p w14:paraId="5B00472E" w14:textId="77777777" w:rsidR="004440E0" w:rsidRPr="00896579" w:rsidRDefault="004440E0">
            <w:pPr>
              <w:spacing w:line="276" w:lineRule="auto"/>
              <w:jc w:val="center"/>
              <w:rPr>
                <w:lang w:val="lv-LV"/>
              </w:rPr>
            </w:pPr>
            <w:r w:rsidRPr="00896579">
              <w:rPr>
                <w:lang w:val="lv-LV"/>
              </w:rPr>
              <w:t>0,0</w:t>
            </w:r>
          </w:p>
        </w:tc>
        <w:tc>
          <w:tcPr>
            <w:tcW w:w="709" w:type="pct"/>
            <w:tcBorders>
              <w:top w:val="single" w:sz="6" w:space="0" w:color="auto"/>
              <w:left w:val="single" w:sz="6" w:space="0" w:color="auto"/>
              <w:bottom w:val="single" w:sz="6" w:space="0" w:color="auto"/>
              <w:right w:val="single" w:sz="6" w:space="0" w:color="auto"/>
            </w:tcBorders>
            <w:vAlign w:val="center"/>
            <w:hideMark/>
          </w:tcPr>
          <w:p w14:paraId="34B797C0" w14:textId="77777777" w:rsidR="004440E0" w:rsidRPr="00896579" w:rsidRDefault="004440E0">
            <w:pPr>
              <w:spacing w:line="276" w:lineRule="auto"/>
              <w:jc w:val="center"/>
              <w:rPr>
                <w:lang w:val="lv-LV"/>
              </w:rPr>
            </w:pPr>
            <w:r w:rsidRPr="00896579">
              <w:rPr>
                <w:lang w:val="lv-LV"/>
              </w:rPr>
              <w:t>0,0</w:t>
            </w:r>
          </w:p>
        </w:tc>
        <w:tc>
          <w:tcPr>
            <w:tcW w:w="725" w:type="pct"/>
            <w:tcBorders>
              <w:top w:val="single" w:sz="6" w:space="0" w:color="auto"/>
              <w:left w:val="single" w:sz="6" w:space="0" w:color="auto"/>
              <w:bottom w:val="single" w:sz="6" w:space="0" w:color="auto"/>
              <w:right w:val="single" w:sz="6" w:space="0" w:color="auto"/>
            </w:tcBorders>
            <w:vAlign w:val="center"/>
            <w:hideMark/>
          </w:tcPr>
          <w:p w14:paraId="02456F6E" w14:textId="77777777" w:rsidR="004440E0" w:rsidRPr="00896579" w:rsidRDefault="004440E0">
            <w:pPr>
              <w:spacing w:line="276" w:lineRule="auto"/>
              <w:jc w:val="center"/>
              <w:rPr>
                <w:lang w:val="lv-LV"/>
              </w:rPr>
            </w:pPr>
            <w:r w:rsidRPr="00896579">
              <w:rPr>
                <w:lang w:val="lv-LV"/>
              </w:rPr>
              <w:t>0,0</w:t>
            </w:r>
          </w:p>
        </w:tc>
        <w:tc>
          <w:tcPr>
            <w:tcW w:w="646" w:type="pct"/>
            <w:tcBorders>
              <w:top w:val="single" w:sz="6" w:space="0" w:color="auto"/>
              <w:left w:val="single" w:sz="6" w:space="0" w:color="auto"/>
              <w:bottom w:val="single" w:sz="6" w:space="0" w:color="auto"/>
              <w:right w:val="single" w:sz="6" w:space="0" w:color="auto"/>
            </w:tcBorders>
            <w:vAlign w:val="center"/>
            <w:hideMark/>
          </w:tcPr>
          <w:p w14:paraId="3CD077CC" w14:textId="77777777" w:rsidR="004440E0" w:rsidRPr="00896579" w:rsidRDefault="004440E0">
            <w:pPr>
              <w:spacing w:line="276" w:lineRule="auto"/>
              <w:jc w:val="center"/>
              <w:rPr>
                <w:lang w:val="lv-LV"/>
              </w:rPr>
            </w:pPr>
            <w:r w:rsidRPr="00896579">
              <w:rPr>
                <w:lang w:val="lv-LV"/>
              </w:rPr>
              <w:t>0,0</w:t>
            </w:r>
          </w:p>
        </w:tc>
      </w:tr>
      <w:tr w:rsidR="004440E0" w14:paraId="1A8644FE" w14:textId="77777777" w:rsidTr="001073F5">
        <w:trPr>
          <w:cantSplit/>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5C590157" w14:textId="77777777" w:rsidR="004440E0" w:rsidRPr="00896579" w:rsidRDefault="004440E0">
            <w:pPr>
              <w:pStyle w:val="Sarakstarindkopa1"/>
              <w:spacing w:after="0" w:line="240" w:lineRule="auto"/>
              <w:ind w:left="0"/>
              <w:jc w:val="both"/>
              <w:rPr>
                <w:rFonts w:ascii="Times New Roman" w:hAnsi="Times New Roman"/>
                <w:sz w:val="24"/>
                <w:szCs w:val="24"/>
                <w:lang w:val="lv-LV"/>
              </w:rPr>
            </w:pPr>
            <w:r w:rsidRPr="00896579">
              <w:rPr>
                <w:rFonts w:ascii="Times New Roman" w:hAnsi="Times New Roman"/>
                <w:sz w:val="24"/>
                <w:szCs w:val="24"/>
                <w:lang w:val="lv-LV"/>
              </w:rPr>
              <w:t>3.1. valsts pamatbudžets</w:t>
            </w:r>
          </w:p>
        </w:tc>
        <w:tc>
          <w:tcPr>
            <w:tcW w:w="722" w:type="pct"/>
            <w:tcBorders>
              <w:top w:val="single" w:sz="6" w:space="0" w:color="auto"/>
              <w:left w:val="single" w:sz="6" w:space="0" w:color="auto"/>
              <w:bottom w:val="single" w:sz="6" w:space="0" w:color="auto"/>
              <w:right w:val="single" w:sz="6" w:space="0" w:color="auto"/>
            </w:tcBorders>
            <w:vAlign w:val="center"/>
            <w:hideMark/>
          </w:tcPr>
          <w:p w14:paraId="5D95434A" w14:textId="77777777" w:rsidR="004440E0" w:rsidRPr="00896579" w:rsidRDefault="004440E0">
            <w:pPr>
              <w:spacing w:line="276" w:lineRule="auto"/>
              <w:jc w:val="center"/>
              <w:rPr>
                <w:lang w:val="lv-LV"/>
              </w:rPr>
            </w:pPr>
            <w:r w:rsidRPr="00896579">
              <w:rPr>
                <w:lang w:val="lv-LV"/>
              </w:rPr>
              <w:t>0,0</w:t>
            </w:r>
          </w:p>
        </w:tc>
        <w:tc>
          <w:tcPr>
            <w:tcW w:w="720" w:type="pct"/>
            <w:tcBorders>
              <w:top w:val="single" w:sz="6" w:space="0" w:color="auto"/>
              <w:left w:val="single" w:sz="6" w:space="0" w:color="auto"/>
              <w:bottom w:val="single" w:sz="6" w:space="0" w:color="auto"/>
              <w:right w:val="single" w:sz="6" w:space="0" w:color="auto"/>
            </w:tcBorders>
            <w:vAlign w:val="center"/>
            <w:hideMark/>
          </w:tcPr>
          <w:p w14:paraId="4243622C" w14:textId="77777777" w:rsidR="004440E0" w:rsidRPr="00896579" w:rsidRDefault="004440E0">
            <w:pPr>
              <w:spacing w:line="276" w:lineRule="auto"/>
              <w:jc w:val="center"/>
              <w:rPr>
                <w:lang w:val="lv-LV"/>
              </w:rPr>
            </w:pPr>
            <w:r w:rsidRPr="00896579">
              <w:rPr>
                <w:lang w:val="lv-LV"/>
              </w:rPr>
              <w:t>0,0</w:t>
            </w:r>
          </w:p>
        </w:tc>
        <w:tc>
          <w:tcPr>
            <w:tcW w:w="709" w:type="pct"/>
            <w:tcBorders>
              <w:top w:val="single" w:sz="6" w:space="0" w:color="auto"/>
              <w:left w:val="single" w:sz="6" w:space="0" w:color="auto"/>
              <w:bottom w:val="single" w:sz="6" w:space="0" w:color="auto"/>
              <w:right w:val="single" w:sz="6" w:space="0" w:color="auto"/>
            </w:tcBorders>
            <w:vAlign w:val="center"/>
            <w:hideMark/>
          </w:tcPr>
          <w:p w14:paraId="2E1A083A" w14:textId="77777777" w:rsidR="004440E0" w:rsidRPr="00896579" w:rsidRDefault="004440E0">
            <w:pPr>
              <w:spacing w:line="276" w:lineRule="auto"/>
              <w:jc w:val="center"/>
              <w:rPr>
                <w:lang w:val="lv-LV"/>
              </w:rPr>
            </w:pPr>
            <w:r w:rsidRPr="00896579">
              <w:rPr>
                <w:lang w:val="lv-LV"/>
              </w:rPr>
              <w:t>0,0</w:t>
            </w:r>
          </w:p>
        </w:tc>
        <w:tc>
          <w:tcPr>
            <w:tcW w:w="725" w:type="pct"/>
            <w:tcBorders>
              <w:top w:val="single" w:sz="6" w:space="0" w:color="auto"/>
              <w:left w:val="single" w:sz="6" w:space="0" w:color="auto"/>
              <w:bottom w:val="single" w:sz="6" w:space="0" w:color="auto"/>
              <w:right w:val="single" w:sz="6" w:space="0" w:color="auto"/>
            </w:tcBorders>
            <w:vAlign w:val="center"/>
            <w:hideMark/>
          </w:tcPr>
          <w:p w14:paraId="37BA7588" w14:textId="77777777" w:rsidR="004440E0" w:rsidRPr="00896579" w:rsidRDefault="004440E0">
            <w:pPr>
              <w:spacing w:line="276" w:lineRule="auto"/>
              <w:jc w:val="center"/>
              <w:rPr>
                <w:lang w:val="lv-LV"/>
              </w:rPr>
            </w:pPr>
            <w:r w:rsidRPr="00896579">
              <w:rPr>
                <w:lang w:val="lv-LV"/>
              </w:rPr>
              <w:t>0,0</w:t>
            </w:r>
          </w:p>
        </w:tc>
        <w:tc>
          <w:tcPr>
            <w:tcW w:w="646" w:type="pct"/>
            <w:tcBorders>
              <w:top w:val="single" w:sz="6" w:space="0" w:color="auto"/>
              <w:left w:val="single" w:sz="6" w:space="0" w:color="auto"/>
              <w:bottom w:val="single" w:sz="6" w:space="0" w:color="auto"/>
              <w:right w:val="single" w:sz="6" w:space="0" w:color="auto"/>
            </w:tcBorders>
            <w:vAlign w:val="center"/>
            <w:hideMark/>
          </w:tcPr>
          <w:p w14:paraId="073BC1CB" w14:textId="77777777" w:rsidR="004440E0" w:rsidRPr="00896579" w:rsidRDefault="004440E0">
            <w:pPr>
              <w:spacing w:line="276" w:lineRule="auto"/>
              <w:jc w:val="center"/>
              <w:rPr>
                <w:lang w:val="lv-LV"/>
              </w:rPr>
            </w:pPr>
            <w:r w:rsidRPr="00896579">
              <w:rPr>
                <w:lang w:val="lv-LV"/>
              </w:rPr>
              <w:t>0,0</w:t>
            </w:r>
          </w:p>
        </w:tc>
      </w:tr>
      <w:tr w:rsidR="004440E0" w14:paraId="7F32BD3B" w14:textId="77777777" w:rsidTr="001073F5">
        <w:trPr>
          <w:cantSplit/>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2C117940" w14:textId="77777777" w:rsidR="004440E0" w:rsidRPr="00896579" w:rsidRDefault="004440E0">
            <w:pPr>
              <w:pStyle w:val="Sarakstarindkopa1"/>
              <w:spacing w:after="0" w:line="240" w:lineRule="auto"/>
              <w:ind w:left="0"/>
              <w:jc w:val="both"/>
              <w:rPr>
                <w:rFonts w:ascii="Times New Roman" w:hAnsi="Times New Roman"/>
                <w:sz w:val="24"/>
                <w:szCs w:val="24"/>
                <w:lang w:val="lv-LV"/>
              </w:rPr>
            </w:pPr>
            <w:r w:rsidRPr="00896579">
              <w:rPr>
                <w:rFonts w:ascii="Times New Roman" w:hAnsi="Times New Roman"/>
                <w:sz w:val="24"/>
                <w:szCs w:val="24"/>
                <w:lang w:val="lv-LV"/>
              </w:rPr>
              <w:t>3.2. speciālais budžets</w:t>
            </w:r>
          </w:p>
        </w:tc>
        <w:tc>
          <w:tcPr>
            <w:tcW w:w="722" w:type="pct"/>
            <w:tcBorders>
              <w:top w:val="single" w:sz="6" w:space="0" w:color="auto"/>
              <w:left w:val="single" w:sz="6" w:space="0" w:color="auto"/>
              <w:bottom w:val="single" w:sz="6" w:space="0" w:color="auto"/>
              <w:right w:val="single" w:sz="6" w:space="0" w:color="auto"/>
            </w:tcBorders>
            <w:vAlign w:val="center"/>
            <w:hideMark/>
          </w:tcPr>
          <w:p w14:paraId="35654FD6" w14:textId="77777777" w:rsidR="004440E0" w:rsidRPr="00896579" w:rsidRDefault="004440E0">
            <w:pPr>
              <w:spacing w:line="276" w:lineRule="auto"/>
              <w:jc w:val="center"/>
              <w:rPr>
                <w:lang w:val="lv-LV"/>
              </w:rPr>
            </w:pPr>
            <w:r w:rsidRPr="00896579">
              <w:rPr>
                <w:lang w:val="lv-LV"/>
              </w:rPr>
              <w:t>0,0</w:t>
            </w:r>
          </w:p>
        </w:tc>
        <w:tc>
          <w:tcPr>
            <w:tcW w:w="720" w:type="pct"/>
            <w:tcBorders>
              <w:top w:val="single" w:sz="6" w:space="0" w:color="auto"/>
              <w:left w:val="single" w:sz="6" w:space="0" w:color="auto"/>
              <w:bottom w:val="single" w:sz="6" w:space="0" w:color="auto"/>
              <w:right w:val="single" w:sz="6" w:space="0" w:color="auto"/>
            </w:tcBorders>
            <w:vAlign w:val="center"/>
            <w:hideMark/>
          </w:tcPr>
          <w:p w14:paraId="0AB49871" w14:textId="77777777" w:rsidR="004440E0" w:rsidRPr="00896579" w:rsidRDefault="004440E0">
            <w:pPr>
              <w:spacing w:line="276" w:lineRule="auto"/>
              <w:jc w:val="center"/>
              <w:rPr>
                <w:lang w:val="lv-LV"/>
              </w:rPr>
            </w:pPr>
            <w:r w:rsidRPr="00896579">
              <w:rPr>
                <w:lang w:val="lv-LV"/>
              </w:rPr>
              <w:t>0,0</w:t>
            </w:r>
          </w:p>
        </w:tc>
        <w:tc>
          <w:tcPr>
            <w:tcW w:w="709" w:type="pct"/>
            <w:tcBorders>
              <w:top w:val="single" w:sz="6" w:space="0" w:color="auto"/>
              <w:left w:val="single" w:sz="6" w:space="0" w:color="auto"/>
              <w:bottom w:val="single" w:sz="6" w:space="0" w:color="auto"/>
              <w:right w:val="single" w:sz="6" w:space="0" w:color="auto"/>
            </w:tcBorders>
            <w:vAlign w:val="center"/>
            <w:hideMark/>
          </w:tcPr>
          <w:p w14:paraId="4D48D668" w14:textId="77777777" w:rsidR="004440E0" w:rsidRPr="00896579" w:rsidRDefault="004440E0">
            <w:pPr>
              <w:spacing w:line="276" w:lineRule="auto"/>
              <w:jc w:val="center"/>
              <w:rPr>
                <w:lang w:val="lv-LV"/>
              </w:rPr>
            </w:pPr>
            <w:r w:rsidRPr="00896579">
              <w:rPr>
                <w:lang w:val="lv-LV"/>
              </w:rPr>
              <w:t>0,0</w:t>
            </w:r>
          </w:p>
        </w:tc>
        <w:tc>
          <w:tcPr>
            <w:tcW w:w="725" w:type="pct"/>
            <w:tcBorders>
              <w:top w:val="single" w:sz="6" w:space="0" w:color="auto"/>
              <w:left w:val="single" w:sz="6" w:space="0" w:color="auto"/>
              <w:bottom w:val="single" w:sz="6" w:space="0" w:color="auto"/>
              <w:right w:val="single" w:sz="6" w:space="0" w:color="auto"/>
            </w:tcBorders>
            <w:vAlign w:val="center"/>
            <w:hideMark/>
          </w:tcPr>
          <w:p w14:paraId="7E5625D3" w14:textId="77777777" w:rsidR="004440E0" w:rsidRPr="00896579" w:rsidRDefault="004440E0">
            <w:pPr>
              <w:spacing w:line="276" w:lineRule="auto"/>
              <w:jc w:val="center"/>
              <w:rPr>
                <w:lang w:val="lv-LV"/>
              </w:rPr>
            </w:pPr>
            <w:r w:rsidRPr="00896579">
              <w:rPr>
                <w:lang w:val="lv-LV"/>
              </w:rPr>
              <w:t>0,0</w:t>
            </w:r>
          </w:p>
        </w:tc>
        <w:tc>
          <w:tcPr>
            <w:tcW w:w="646" w:type="pct"/>
            <w:tcBorders>
              <w:top w:val="single" w:sz="6" w:space="0" w:color="auto"/>
              <w:left w:val="single" w:sz="6" w:space="0" w:color="auto"/>
              <w:bottom w:val="single" w:sz="6" w:space="0" w:color="auto"/>
              <w:right w:val="single" w:sz="6" w:space="0" w:color="auto"/>
            </w:tcBorders>
            <w:vAlign w:val="center"/>
            <w:hideMark/>
          </w:tcPr>
          <w:p w14:paraId="49F60BE2" w14:textId="77777777" w:rsidR="004440E0" w:rsidRPr="00896579" w:rsidRDefault="004440E0">
            <w:pPr>
              <w:spacing w:line="276" w:lineRule="auto"/>
              <w:jc w:val="center"/>
              <w:rPr>
                <w:lang w:val="lv-LV"/>
              </w:rPr>
            </w:pPr>
            <w:r w:rsidRPr="00896579">
              <w:rPr>
                <w:lang w:val="lv-LV"/>
              </w:rPr>
              <w:t>0,0</w:t>
            </w:r>
          </w:p>
        </w:tc>
      </w:tr>
      <w:tr w:rsidR="004440E0" w14:paraId="32FED188" w14:textId="77777777" w:rsidTr="001073F5">
        <w:trPr>
          <w:cantSplit/>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5892825C" w14:textId="77777777" w:rsidR="004440E0" w:rsidRPr="00896579" w:rsidRDefault="004440E0">
            <w:pPr>
              <w:pStyle w:val="Sarakstarindkopa1"/>
              <w:spacing w:after="0" w:line="240" w:lineRule="auto"/>
              <w:ind w:left="0"/>
              <w:jc w:val="both"/>
              <w:rPr>
                <w:rFonts w:ascii="Times New Roman" w:hAnsi="Times New Roman"/>
                <w:sz w:val="24"/>
                <w:szCs w:val="24"/>
                <w:lang w:val="lv-LV"/>
              </w:rPr>
            </w:pPr>
            <w:r w:rsidRPr="00896579">
              <w:rPr>
                <w:rFonts w:ascii="Times New Roman" w:hAnsi="Times New Roman"/>
                <w:sz w:val="24"/>
                <w:szCs w:val="24"/>
                <w:lang w:val="lv-LV"/>
              </w:rPr>
              <w:t>3.3. pašvaldību budžets</w:t>
            </w:r>
          </w:p>
        </w:tc>
        <w:tc>
          <w:tcPr>
            <w:tcW w:w="722" w:type="pct"/>
            <w:tcBorders>
              <w:top w:val="single" w:sz="6" w:space="0" w:color="auto"/>
              <w:left w:val="single" w:sz="6" w:space="0" w:color="auto"/>
              <w:bottom w:val="single" w:sz="6" w:space="0" w:color="auto"/>
              <w:right w:val="single" w:sz="6" w:space="0" w:color="auto"/>
            </w:tcBorders>
            <w:vAlign w:val="center"/>
            <w:hideMark/>
          </w:tcPr>
          <w:p w14:paraId="079FDC11" w14:textId="77777777" w:rsidR="004440E0" w:rsidRPr="00896579" w:rsidRDefault="004440E0">
            <w:pPr>
              <w:spacing w:line="276" w:lineRule="auto"/>
              <w:jc w:val="center"/>
              <w:rPr>
                <w:lang w:val="lv-LV"/>
              </w:rPr>
            </w:pPr>
            <w:r w:rsidRPr="00896579">
              <w:rPr>
                <w:lang w:val="lv-LV"/>
              </w:rPr>
              <w:t>0,0</w:t>
            </w:r>
          </w:p>
        </w:tc>
        <w:tc>
          <w:tcPr>
            <w:tcW w:w="720" w:type="pct"/>
            <w:tcBorders>
              <w:top w:val="single" w:sz="6" w:space="0" w:color="auto"/>
              <w:left w:val="single" w:sz="6" w:space="0" w:color="auto"/>
              <w:bottom w:val="single" w:sz="6" w:space="0" w:color="auto"/>
              <w:right w:val="single" w:sz="6" w:space="0" w:color="auto"/>
            </w:tcBorders>
            <w:vAlign w:val="center"/>
            <w:hideMark/>
          </w:tcPr>
          <w:p w14:paraId="1ACA2715" w14:textId="77777777" w:rsidR="004440E0" w:rsidRPr="00896579" w:rsidRDefault="004440E0">
            <w:pPr>
              <w:spacing w:line="276" w:lineRule="auto"/>
              <w:jc w:val="center"/>
              <w:rPr>
                <w:lang w:val="lv-LV"/>
              </w:rPr>
            </w:pPr>
            <w:r w:rsidRPr="00896579">
              <w:rPr>
                <w:lang w:val="lv-LV"/>
              </w:rPr>
              <w:t>0,0</w:t>
            </w:r>
          </w:p>
        </w:tc>
        <w:tc>
          <w:tcPr>
            <w:tcW w:w="709" w:type="pct"/>
            <w:tcBorders>
              <w:top w:val="single" w:sz="6" w:space="0" w:color="auto"/>
              <w:left w:val="single" w:sz="6" w:space="0" w:color="auto"/>
              <w:bottom w:val="single" w:sz="6" w:space="0" w:color="auto"/>
              <w:right w:val="single" w:sz="6" w:space="0" w:color="auto"/>
            </w:tcBorders>
            <w:vAlign w:val="center"/>
            <w:hideMark/>
          </w:tcPr>
          <w:p w14:paraId="584A1F3A" w14:textId="77777777" w:rsidR="004440E0" w:rsidRPr="00896579" w:rsidRDefault="004440E0">
            <w:pPr>
              <w:spacing w:line="276" w:lineRule="auto"/>
              <w:jc w:val="center"/>
              <w:rPr>
                <w:lang w:val="lv-LV"/>
              </w:rPr>
            </w:pPr>
            <w:r w:rsidRPr="00896579">
              <w:rPr>
                <w:lang w:val="lv-LV"/>
              </w:rPr>
              <w:t>0,0</w:t>
            </w:r>
          </w:p>
        </w:tc>
        <w:tc>
          <w:tcPr>
            <w:tcW w:w="725" w:type="pct"/>
            <w:tcBorders>
              <w:top w:val="single" w:sz="6" w:space="0" w:color="auto"/>
              <w:left w:val="single" w:sz="6" w:space="0" w:color="auto"/>
              <w:bottom w:val="single" w:sz="6" w:space="0" w:color="auto"/>
              <w:right w:val="single" w:sz="6" w:space="0" w:color="auto"/>
            </w:tcBorders>
            <w:vAlign w:val="center"/>
            <w:hideMark/>
          </w:tcPr>
          <w:p w14:paraId="2E9CE2AA" w14:textId="77777777" w:rsidR="004440E0" w:rsidRPr="00896579" w:rsidRDefault="004440E0">
            <w:pPr>
              <w:spacing w:line="276" w:lineRule="auto"/>
              <w:jc w:val="center"/>
              <w:rPr>
                <w:lang w:val="lv-LV"/>
              </w:rPr>
            </w:pPr>
            <w:r w:rsidRPr="00896579">
              <w:rPr>
                <w:lang w:val="lv-LV"/>
              </w:rPr>
              <w:t>0,0</w:t>
            </w:r>
          </w:p>
        </w:tc>
        <w:tc>
          <w:tcPr>
            <w:tcW w:w="646" w:type="pct"/>
            <w:tcBorders>
              <w:top w:val="single" w:sz="6" w:space="0" w:color="auto"/>
              <w:left w:val="single" w:sz="6" w:space="0" w:color="auto"/>
              <w:bottom w:val="single" w:sz="6" w:space="0" w:color="auto"/>
              <w:right w:val="single" w:sz="6" w:space="0" w:color="auto"/>
            </w:tcBorders>
            <w:vAlign w:val="center"/>
            <w:hideMark/>
          </w:tcPr>
          <w:p w14:paraId="53B0717E" w14:textId="77777777" w:rsidR="004440E0" w:rsidRPr="00896579" w:rsidRDefault="004440E0">
            <w:pPr>
              <w:spacing w:line="276" w:lineRule="auto"/>
              <w:jc w:val="center"/>
              <w:rPr>
                <w:lang w:val="lv-LV"/>
              </w:rPr>
            </w:pPr>
            <w:r w:rsidRPr="00896579">
              <w:rPr>
                <w:lang w:val="lv-LV"/>
              </w:rPr>
              <w:t>0,0</w:t>
            </w:r>
          </w:p>
        </w:tc>
      </w:tr>
      <w:tr w:rsidR="004440E0" w14:paraId="03DA8715" w14:textId="77777777" w:rsidTr="001073F5">
        <w:trPr>
          <w:cantSplit/>
          <w:trHeight w:val="420"/>
          <w:jc w:val="center"/>
        </w:trPr>
        <w:tc>
          <w:tcPr>
            <w:tcW w:w="1478" w:type="pct"/>
            <w:vMerge w:val="restart"/>
            <w:tcBorders>
              <w:top w:val="single" w:sz="6" w:space="0" w:color="auto"/>
              <w:left w:val="single" w:sz="6" w:space="0" w:color="auto"/>
              <w:bottom w:val="single" w:sz="6" w:space="0" w:color="auto"/>
              <w:right w:val="single" w:sz="6" w:space="0" w:color="auto"/>
            </w:tcBorders>
            <w:hideMark/>
          </w:tcPr>
          <w:p w14:paraId="74B91150" w14:textId="77777777" w:rsidR="004440E0" w:rsidRPr="00896579" w:rsidRDefault="004440E0">
            <w:pPr>
              <w:pStyle w:val="Sarakstarindkopa1"/>
              <w:spacing w:after="0" w:line="240" w:lineRule="auto"/>
              <w:ind w:left="0"/>
              <w:jc w:val="both"/>
              <w:rPr>
                <w:rFonts w:ascii="Times New Roman" w:hAnsi="Times New Roman"/>
                <w:sz w:val="24"/>
                <w:szCs w:val="24"/>
                <w:lang w:val="lv-LV"/>
              </w:rPr>
            </w:pPr>
            <w:r w:rsidRPr="00896579">
              <w:rPr>
                <w:rFonts w:ascii="Times New Roman" w:hAnsi="Times New Roman"/>
                <w:sz w:val="24"/>
                <w:szCs w:val="24"/>
                <w:lang w:val="lv-LV"/>
              </w:rPr>
              <w:t xml:space="preserve">4. Finanšu līdzekļi </w:t>
            </w:r>
            <w:r w:rsidRPr="00896579">
              <w:rPr>
                <w:rFonts w:ascii="Times New Roman" w:hAnsi="Times New Roman"/>
                <w:sz w:val="24"/>
                <w:szCs w:val="24"/>
                <w:lang w:val="lv-LV"/>
              </w:rPr>
              <w:lastRenderedPageBreak/>
              <w:t>papildu izde</w:t>
            </w:r>
            <w:r w:rsidRPr="00896579">
              <w:rPr>
                <w:rFonts w:ascii="Times New Roman" w:hAnsi="Times New Roman"/>
                <w:sz w:val="24"/>
                <w:szCs w:val="24"/>
                <w:lang w:val="lv-LV"/>
              </w:rPr>
              <w:softHyphen/>
              <w:t>vumu finansēšanai (kompensējošu izdevumu samazinājumu norāda ar "+" zīmi)</w:t>
            </w:r>
          </w:p>
        </w:tc>
        <w:tc>
          <w:tcPr>
            <w:tcW w:w="722" w:type="pct"/>
            <w:vMerge w:val="restart"/>
            <w:tcBorders>
              <w:top w:val="single" w:sz="6" w:space="0" w:color="auto"/>
              <w:left w:val="single" w:sz="6" w:space="0" w:color="auto"/>
              <w:bottom w:val="single" w:sz="6" w:space="0" w:color="auto"/>
              <w:right w:val="single" w:sz="6" w:space="0" w:color="auto"/>
            </w:tcBorders>
            <w:vAlign w:val="center"/>
            <w:hideMark/>
          </w:tcPr>
          <w:p w14:paraId="7ADA3221" w14:textId="77777777" w:rsidR="004440E0" w:rsidRPr="00896579" w:rsidRDefault="004440E0">
            <w:pPr>
              <w:spacing w:line="276" w:lineRule="auto"/>
              <w:jc w:val="center"/>
              <w:rPr>
                <w:lang w:val="lv-LV"/>
              </w:rPr>
            </w:pPr>
            <w:r w:rsidRPr="00896579">
              <w:rPr>
                <w:lang w:val="lv-LV"/>
              </w:rPr>
              <w:lastRenderedPageBreak/>
              <w:t>X</w:t>
            </w:r>
          </w:p>
        </w:tc>
        <w:tc>
          <w:tcPr>
            <w:tcW w:w="720" w:type="pct"/>
            <w:tcBorders>
              <w:top w:val="single" w:sz="6" w:space="0" w:color="auto"/>
              <w:left w:val="single" w:sz="6" w:space="0" w:color="auto"/>
              <w:bottom w:val="single" w:sz="6" w:space="0" w:color="auto"/>
              <w:right w:val="single" w:sz="6" w:space="0" w:color="auto"/>
            </w:tcBorders>
            <w:vAlign w:val="center"/>
            <w:hideMark/>
          </w:tcPr>
          <w:p w14:paraId="1FC216CC" w14:textId="77777777" w:rsidR="004440E0" w:rsidRPr="00896579" w:rsidRDefault="004440E0">
            <w:pPr>
              <w:spacing w:line="276" w:lineRule="auto"/>
              <w:jc w:val="center"/>
              <w:rPr>
                <w:lang w:val="lv-LV"/>
              </w:rPr>
            </w:pPr>
            <w:r w:rsidRPr="00896579">
              <w:rPr>
                <w:lang w:val="lv-LV"/>
              </w:rPr>
              <w:t>0,0</w:t>
            </w:r>
          </w:p>
        </w:tc>
        <w:tc>
          <w:tcPr>
            <w:tcW w:w="709" w:type="pct"/>
            <w:tcBorders>
              <w:top w:val="single" w:sz="6" w:space="0" w:color="auto"/>
              <w:left w:val="single" w:sz="6" w:space="0" w:color="auto"/>
              <w:bottom w:val="single" w:sz="6" w:space="0" w:color="auto"/>
              <w:right w:val="single" w:sz="6" w:space="0" w:color="auto"/>
            </w:tcBorders>
            <w:vAlign w:val="center"/>
            <w:hideMark/>
          </w:tcPr>
          <w:p w14:paraId="73F15EDB" w14:textId="77777777" w:rsidR="004440E0" w:rsidRPr="00896579" w:rsidRDefault="004440E0">
            <w:pPr>
              <w:spacing w:line="276" w:lineRule="auto"/>
              <w:jc w:val="center"/>
              <w:rPr>
                <w:lang w:val="lv-LV"/>
              </w:rPr>
            </w:pPr>
            <w:r w:rsidRPr="00896579">
              <w:rPr>
                <w:lang w:val="lv-LV"/>
              </w:rPr>
              <w:t>0,0</w:t>
            </w:r>
          </w:p>
        </w:tc>
        <w:tc>
          <w:tcPr>
            <w:tcW w:w="725" w:type="pct"/>
            <w:tcBorders>
              <w:top w:val="single" w:sz="6" w:space="0" w:color="auto"/>
              <w:left w:val="single" w:sz="6" w:space="0" w:color="auto"/>
              <w:bottom w:val="single" w:sz="6" w:space="0" w:color="auto"/>
              <w:right w:val="single" w:sz="6" w:space="0" w:color="auto"/>
            </w:tcBorders>
            <w:vAlign w:val="center"/>
            <w:hideMark/>
          </w:tcPr>
          <w:p w14:paraId="0DD0F418" w14:textId="77777777" w:rsidR="004440E0" w:rsidRPr="00896579" w:rsidRDefault="004440E0">
            <w:pPr>
              <w:spacing w:line="276" w:lineRule="auto"/>
              <w:jc w:val="center"/>
              <w:rPr>
                <w:lang w:val="lv-LV"/>
              </w:rPr>
            </w:pPr>
            <w:r w:rsidRPr="00896579">
              <w:rPr>
                <w:lang w:val="lv-LV"/>
              </w:rPr>
              <w:t>0,0</w:t>
            </w:r>
          </w:p>
        </w:tc>
        <w:tc>
          <w:tcPr>
            <w:tcW w:w="646" w:type="pct"/>
            <w:tcBorders>
              <w:top w:val="single" w:sz="6" w:space="0" w:color="auto"/>
              <w:left w:val="single" w:sz="6" w:space="0" w:color="auto"/>
              <w:bottom w:val="single" w:sz="6" w:space="0" w:color="auto"/>
              <w:right w:val="single" w:sz="6" w:space="0" w:color="auto"/>
            </w:tcBorders>
            <w:vAlign w:val="center"/>
            <w:hideMark/>
          </w:tcPr>
          <w:p w14:paraId="2430EC00" w14:textId="77777777" w:rsidR="004440E0" w:rsidRPr="00896579" w:rsidRDefault="004440E0">
            <w:pPr>
              <w:spacing w:line="276" w:lineRule="auto"/>
              <w:jc w:val="center"/>
              <w:rPr>
                <w:lang w:val="lv-LV"/>
              </w:rPr>
            </w:pPr>
            <w:r w:rsidRPr="00896579">
              <w:rPr>
                <w:lang w:val="lv-LV"/>
              </w:rPr>
              <w:t>0,0</w:t>
            </w:r>
          </w:p>
        </w:tc>
      </w:tr>
      <w:tr w:rsidR="004440E0" w14:paraId="368E9F10" w14:textId="77777777" w:rsidTr="001073F5">
        <w:trPr>
          <w:cantSplit/>
          <w:trHeight w:val="420"/>
          <w:jc w:val="center"/>
        </w:trPr>
        <w:tc>
          <w:tcPr>
            <w:tcW w:w="1478" w:type="pct"/>
            <w:vMerge/>
            <w:tcBorders>
              <w:top w:val="single" w:sz="6" w:space="0" w:color="auto"/>
              <w:left w:val="single" w:sz="6" w:space="0" w:color="auto"/>
              <w:bottom w:val="single" w:sz="6" w:space="0" w:color="auto"/>
              <w:right w:val="single" w:sz="6" w:space="0" w:color="auto"/>
            </w:tcBorders>
            <w:vAlign w:val="center"/>
            <w:hideMark/>
          </w:tcPr>
          <w:p w14:paraId="717CE440" w14:textId="77777777" w:rsidR="004440E0" w:rsidRPr="00896579" w:rsidRDefault="004440E0">
            <w:pPr>
              <w:rPr>
                <w:rFonts w:eastAsia="Calibri"/>
                <w:lang w:val="lv-LV"/>
              </w:rPr>
            </w:pPr>
          </w:p>
        </w:tc>
        <w:tc>
          <w:tcPr>
            <w:tcW w:w="722" w:type="pct"/>
            <w:vMerge/>
            <w:tcBorders>
              <w:top w:val="single" w:sz="6" w:space="0" w:color="auto"/>
              <w:left w:val="single" w:sz="6" w:space="0" w:color="auto"/>
              <w:bottom w:val="single" w:sz="6" w:space="0" w:color="auto"/>
              <w:right w:val="single" w:sz="6" w:space="0" w:color="auto"/>
            </w:tcBorders>
            <w:vAlign w:val="center"/>
            <w:hideMark/>
          </w:tcPr>
          <w:p w14:paraId="5F4D7138" w14:textId="77777777" w:rsidR="004440E0" w:rsidRPr="00896579" w:rsidRDefault="004440E0">
            <w:pPr>
              <w:rPr>
                <w:lang w:val="lv-LV"/>
              </w:rPr>
            </w:pPr>
          </w:p>
        </w:tc>
        <w:tc>
          <w:tcPr>
            <w:tcW w:w="720" w:type="pct"/>
            <w:tcBorders>
              <w:top w:val="single" w:sz="6" w:space="0" w:color="auto"/>
              <w:left w:val="single" w:sz="6" w:space="0" w:color="auto"/>
              <w:bottom w:val="single" w:sz="6" w:space="0" w:color="auto"/>
              <w:right w:val="single" w:sz="6" w:space="0" w:color="auto"/>
            </w:tcBorders>
            <w:vAlign w:val="center"/>
            <w:hideMark/>
          </w:tcPr>
          <w:p w14:paraId="38FD68DB" w14:textId="77777777" w:rsidR="004440E0" w:rsidRPr="00896579" w:rsidRDefault="004440E0">
            <w:pPr>
              <w:spacing w:line="276" w:lineRule="auto"/>
              <w:jc w:val="center"/>
              <w:rPr>
                <w:lang w:val="lv-LV"/>
              </w:rPr>
            </w:pPr>
            <w:r w:rsidRPr="00896579">
              <w:rPr>
                <w:lang w:val="lv-LV"/>
              </w:rPr>
              <w:t>0,0</w:t>
            </w:r>
          </w:p>
        </w:tc>
        <w:tc>
          <w:tcPr>
            <w:tcW w:w="709" w:type="pct"/>
            <w:tcBorders>
              <w:top w:val="single" w:sz="6" w:space="0" w:color="auto"/>
              <w:left w:val="single" w:sz="6" w:space="0" w:color="auto"/>
              <w:bottom w:val="single" w:sz="6" w:space="0" w:color="auto"/>
              <w:right w:val="single" w:sz="6" w:space="0" w:color="auto"/>
            </w:tcBorders>
            <w:vAlign w:val="center"/>
            <w:hideMark/>
          </w:tcPr>
          <w:p w14:paraId="6CAC6888" w14:textId="77777777" w:rsidR="004440E0" w:rsidRPr="00896579" w:rsidRDefault="004440E0">
            <w:pPr>
              <w:spacing w:line="276" w:lineRule="auto"/>
              <w:jc w:val="center"/>
              <w:rPr>
                <w:lang w:val="lv-LV"/>
              </w:rPr>
            </w:pPr>
            <w:r w:rsidRPr="00896579">
              <w:rPr>
                <w:lang w:val="lv-LV"/>
              </w:rPr>
              <w:t>0,0</w:t>
            </w:r>
          </w:p>
        </w:tc>
        <w:tc>
          <w:tcPr>
            <w:tcW w:w="725" w:type="pct"/>
            <w:tcBorders>
              <w:top w:val="single" w:sz="6" w:space="0" w:color="auto"/>
              <w:left w:val="single" w:sz="6" w:space="0" w:color="auto"/>
              <w:bottom w:val="single" w:sz="6" w:space="0" w:color="auto"/>
              <w:right w:val="single" w:sz="6" w:space="0" w:color="auto"/>
            </w:tcBorders>
            <w:vAlign w:val="center"/>
            <w:hideMark/>
          </w:tcPr>
          <w:p w14:paraId="2D33147B" w14:textId="77777777" w:rsidR="004440E0" w:rsidRPr="00896579" w:rsidRDefault="004440E0">
            <w:pPr>
              <w:spacing w:line="276" w:lineRule="auto"/>
              <w:jc w:val="center"/>
              <w:rPr>
                <w:lang w:val="lv-LV"/>
              </w:rPr>
            </w:pPr>
            <w:r w:rsidRPr="00896579">
              <w:rPr>
                <w:lang w:val="lv-LV"/>
              </w:rPr>
              <w:t>0,0</w:t>
            </w:r>
          </w:p>
        </w:tc>
        <w:tc>
          <w:tcPr>
            <w:tcW w:w="646" w:type="pct"/>
            <w:tcBorders>
              <w:top w:val="single" w:sz="6" w:space="0" w:color="auto"/>
              <w:left w:val="single" w:sz="6" w:space="0" w:color="auto"/>
              <w:bottom w:val="single" w:sz="6" w:space="0" w:color="auto"/>
              <w:right w:val="single" w:sz="6" w:space="0" w:color="auto"/>
            </w:tcBorders>
            <w:vAlign w:val="center"/>
            <w:hideMark/>
          </w:tcPr>
          <w:p w14:paraId="1BA57BE4" w14:textId="77777777" w:rsidR="004440E0" w:rsidRPr="00896579" w:rsidRDefault="004440E0">
            <w:pPr>
              <w:spacing w:line="276" w:lineRule="auto"/>
              <w:jc w:val="center"/>
              <w:rPr>
                <w:lang w:val="lv-LV"/>
              </w:rPr>
            </w:pPr>
            <w:r w:rsidRPr="00896579">
              <w:rPr>
                <w:lang w:val="lv-LV"/>
              </w:rPr>
              <w:t>0,0</w:t>
            </w:r>
          </w:p>
        </w:tc>
      </w:tr>
      <w:tr w:rsidR="004440E0" w14:paraId="6552A7AC" w14:textId="77777777" w:rsidTr="001073F5">
        <w:trPr>
          <w:cantSplit/>
          <w:trHeight w:val="420"/>
          <w:jc w:val="center"/>
        </w:trPr>
        <w:tc>
          <w:tcPr>
            <w:tcW w:w="1478" w:type="pct"/>
            <w:vMerge/>
            <w:tcBorders>
              <w:top w:val="single" w:sz="6" w:space="0" w:color="auto"/>
              <w:left w:val="single" w:sz="6" w:space="0" w:color="auto"/>
              <w:bottom w:val="single" w:sz="6" w:space="0" w:color="auto"/>
              <w:right w:val="single" w:sz="6" w:space="0" w:color="auto"/>
            </w:tcBorders>
            <w:vAlign w:val="center"/>
            <w:hideMark/>
          </w:tcPr>
          <w:p w14:paraId="1878FC5C" w14:textId="77777777" w:rsidR="004440E0" w:rsidRPr="00896579" w:rsidRDefault="004440E0">
            <w:pPr>
              <w:rPr>
                <w:rFonts w:eastAsia="Calibri"/>
                <w:lang w:val="lv-LV"/>
              </w:rPr>
            </w:pPr>
          </w:p>
        </w:tc>
        <w:tc>
          <w:tcPr>
            <w:tcW w:w="722" w:type="pct"/>
            <w:vMerge/>
            <w:tcBorders>
              <w:top w:val="single" w:sz="6" w:space="0" w:color="auto"/>
              <w:left w:val="single" w:sz="6" w:space="0" w:color="auto"/>
              <w:bottom w:val="single" w:sz="6" w:space="0" w:color="auto"/>
              <w:right w:val="single" w:sz="6" w:space="0" w:color="auto"/>
            </w:tcBorders>
            <w:vAlign w:val="center"/>
            <w:hideMark/>
          </w:tcPr>
          <w:p w14:paraId="74761D33" w14:textId="77777777" w:rsidR="004440E0" w:rsidRPr="00896579" w:rsidRDefault="004440E0">
            <w:pPr>
              <w:rPr>
                <w:lang w:val="lv-LV"/>
              </w:rPr>
            </w:pPr>
          </w:p>
        </w:tc>
        <w:tc>
          <w:tcPr>
            <w:tcW w:w="720" w:type="pct"/>
            <w:tcBorders>
              <w:top w:val="single" w:sz="6" w:space="0" w:color="auto"/>
              <w:left w:val="single" w:sz="6" w:space="0" w:color="auto"/>
              <w:bottom w:val="single" w:sz="6" w:space="0" w:color="auto"/>
              <w:right w:val="single" w:sz="6" w:space="0" w:color="auto"/>
            </w:tcBorders>
            <w:vAlign w:val="center"/>
            <w:hideMark/>
          </w:tcPr>
          <w:p w14:paraId="724B2E2D" w14:textId="77777777" w:rsidR="004440E0" w:rsidRPr="00896579" w:rsidRDefault="004440E0">
            <w:pPr>
              <w:spacing w:line="276" w:lineRule="auto"/>
              <w:jc w:val="center"/>
              <w:rPr>
                <w:lang w:val="lv-LV"/>
              </w:rPr>
            </w:pPr>
            <w:r w:rsidRPr="00896579">
              <w:rPr>
                <w:lang w:val="lv-LV"/>
              </w:rPr>
              <w:t>0,0</w:t>
            </w:r>
          </w:p>
        </w:tc>
        <w:tc>
          <w:tcPr>
            <w:tcW w:w="709" w:type="pct"/>
            <w:tcBorders>
              <w:top w:val="single" w:sz="6" w:space="0" w:color="auto"/>
              <w:left w:val="single" w:sz="6" w:space="0" w:color="auto"/>
              <w:bottom w:val="single" w:sz="6" w:space="0" w:color="auto"/>
              <w:right w:val="single" w:sz="6" w:space="0" w:color="auto"/>
            </w:tcBorders>
            <w:vAlign w:val="center"/>
            <w:hideMark/>
          </w:tcPr>
          <w:p w14:paraId="49376FE7" w14:textId="77777777" w:rsidR="004440E0" w:rsidRPr="00896579" w:rsidRDefault="004440E0">
            <w:pPr>
              <w:spacing w:line="276" w:lineRule="auto"/>
              <w:jc w:val="center"/>
              <w:rPr>
                <w:lang w:val="lv-LV"/>
              </w:rPr>
            </w:pPr>
            <w:r w:rsidRPr="00896579">
              <w:rPr>
                <w:lang w:val="lv-LV"/>
              </w:rPr>
              <w:t>0,0</w:t>
            </w:r>
          </w:p>
        </w:tc>
        <w:tc>
          <w:tcPr>
            <w:tcW w:w="725" w:type="pct"/>
            <w:tcBorders>
              <w:top w:val="single" w:sz="6" w:space="0" w:color="auto"/>
              <w:left w:val="single" w:sz="6" w:space="0" w:color="auto"/>
              <w:bottom w:val="single" w:sz="6" w:space="0" w:color="auto"/>
              <w:right w:val="single" w:sz="6" w:space="0" w:color="auto"/>
            </w:tcBorders>
            <w:vAlign w:val="center"/>
            <w:hideMark/>
          </w:tcPr>
          <w:p w14:paraId="6ECCDEFC" w14:textId="77777777" w:rsidR="004440E0" w:rsidRPr="00896579" w:rsidRDefault="004440E0">
            <w:pPr>
              <w:spacing w:line="276" w:lineRule="auto"/>
              <w:jc w:val="center"/>
              <w:rPr>
                <w:lang w:val="lv-LV"/>
              </w:rPr>
            </w:pPr>
            <w:r w:rsidRPr="00896579">
              <w:rPr>
                <w:lang w:val="lv-LV"/>
              </w:rPr>
              <w:t>0,0</w:t>
            </w:r>
          </w:p>
        </w:tc>
        <w:tc>
          <w:tcPr>
            <w:tcW w:w="646" w:type="pct"/>
            <w:tcBorders>
              <w:top w:val="single" w:sz="6" w:space="0" w:color="auto"/>
              <w:left w:val="single" w:sz="6" w:space="0" w:color="auto"/>
              <w:bottom w:val="single" w:sz="6" w:space="0" w:color="auto"/>
              <w:right w:val="single" w:sz="6" w:space="0" w:color="auto"/>
            </w:tcBorders>
            <w:vAlign w:val="center"/>
            <w:hideMark/>
          </w:tcPr>
          <w:p w14:paraId="4493633B" w14:textId="77777777" w:rsidR="004440E0" w:rsidRPr="00896579" w:rsidRDefault="004440E0">
            <w:pPr>
              <w:spacing w:line="276" w:lineRule="auto"/>
              <w:jc w:val="center"/>
              <w:rPr>
                <w:lang w:val="lv-LV"/>
              </w:rPr>
            </w:pPr>
            <w:r w:rsidRPr="00896579">
              <w:rPr>
                <w:lang w:val="lv-LV"/>
              </w:rPr>
              <w:t>0,0</w:t>
            </w:r>
          </w:p>
        </w:tc>
      </w:tr>
      <w:tr w:rsidR="004440E0" w14:paraId="2C282DC4" w14:textId="77777777" w:rsidTr="001073F5">
        <w:trPr>
          <w:cantSplit/>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2EF75823" w14:textId="77777777" w:rsidR="004440E0" w:rsidRPr="00896579" w:rsidRDefault="004440E0">
            <w:pPr>
              <w:pStyle w:val="Sarakstarindkopa1"/>
              <w:spacing w:after="0" w:line="240" w:lineRule="auto"/>
              <w:ind w:left="0"/>
              <w:jc w:val="both"/>
              <w:rPr>
                <w:rFonts w:ascii="Times New Roman" w:hAnsi="Times New Roman"/>
                <w:sz w:val="24"/>
                <w:szCs w:val="24"/>
                <w:lang w:val="lv-LV"/>
              </w:rPr>
            </w:pPr>
            <w:r w:rsidRPr="00896579">
              <w:rPr>
                <w:rFonts w:ascii="Times New Roman" w:hAnsi="Times New Roman"/>
                <w:sz w:val="24"/>
                <w:szCs w:val="24"/>
                <w:lang w:val="lv-LV"/>
              </w:rPr>
              <w:t>5. Precizēta finansiālā ietekme:</w:t>
            </w:r>
          </w:p>
        </w:tc>
        <w:tc>
          <w:tcPr>
            <w:tcW w:w="722" w:type="pct"/>
            <w:vMerge w:val="restart"/>
            <w:tcBorders>
              <w:top w:val="single" w:sz="6" w:space="0" w:color="auto"/>
              <w:left w:val="single" w:sz="6" w:space="0" w:color="auto"/>
              <w:bottom w:val="single" w:sz="6" w:space="0" w:color="auto"/>
              <w:right w:val="single" w:sz="6" w:space="0" w:color="auto"/>
            </w:tcBorders>
            <w:vAlign w:val="center"/>
            <w:hideMark/>
          </w:tcPr>
          <w:p w14:paraId="61FD0AB5" w14:textId="77777777" w:rsidR="004440E0" w:rsidRPr="00896579" w:rsidRDefault="004440E0">
            <w:pPr>
              <w:spacing w:line="276" w:lineRule="auto"/>
              <w:jc w:val="center"/>
              <w:rPr>
                <w:lang w:val="lv-LV"/>
              </w:rPr>
            </w:pPr>
            <w:r w:rsidRPr="00896579">
              <w:rPr>
                <w:lang w:val="lv-LV"/>
              </w:rPr>
              <w:t>X</w:t>
            </w:r>
          </w:p>
        </w:tc>
        <w:tc>
          <w:tcPr>
            <w:tcW w:w="720" w:type="pct"/>
            <w:tcBorders>
              <w:top w:val="single" w:sz="6" w:space="0" w:color="auto"/>
              <w:left w:val="single" w:sz="6" w:space="0" w:color="auto"/>
              <w:bottom w:val="single" w:sz="6" w:space="0" w:color="auto"/>
              <w:right w:val="single" w:sz="6" w:space="0" w:color="auto"/>
            </w:tcBorders>
            <w:vAlign w:val="center"/>
            <w:hideMark/>
          </w:tcPr>
          <w:p w14:paraId="4390B358" w14:textId="77777777" w:rsidR="004440E0" w:rsidRPr="00896579" w:rsidRDefault="004440E0">
            <w:pPr>
              <w:spacing w:line="276" w:lineRule="auto"/>
              <w:jc w:val="center"/>
              <w:rPr>
                <w:lang w:val="lv-LV"/>
              </w:rPr>
            </w:pPr>
            <w:r w:rsidRPr="00896579">
              <w:rPr>
                <w:lang w:val="lv-LV"/>
              </w:rPr>
              <w:t>0,0</w:t>
            </w:r>
          </w:p>
        </w:tc>
        <w:tc>
          <w:tcPr>
            <w:tcW w:w="709" w:type="pct"/>
            <w:tcBorders>
              <w:top w:val="single" w:sz="6" w:space="0" w:color="auto"/>
              <w:left w:val="single" w:sz="6" w:space="0" w:color="auto"/>
              <w:bottom w:val="single" w:sz="6" w:space="0" w:color="auto"/>
              <w:right w:val="single" w:sz="6" w:space="0" w:color="auto"/>
            </w:tcBorders>
            <w:vAlign w:val="center"/>
            <w:hideMark/>
          </w:tcPr>
          <w:p w14:paraId="213D1EE6" w14:textId="77777777" w:rsidR="004440E0" w:rsidRPr="00896579" w:rsidRDefault="004440E0">
            <w:pPr>
              <w:spacing w:line="276" w:lineRule="auto"/>
              <w:jc w:val="center"/>
              <w:rPr>
                <w:lang w:val="lv-LV"/>
              </w:rPr>
            </w:pPr>
            <w:r w:rsidRPr="00896579">
              <w:rPr>
                <w:lang w:val="lv-LV"/>
              </w:rPr>
              <w:t>0,0</w:t>
            </w:r>
          </w:p>
        </w:tc>
        <w:tc>
          <w:tcPr>
            <w:tcW w:w="725" w:type="pct"/>
            <w:tcBorders>
              <w:top w:val="single" w:sz="6" w:space="0" w:color="auto"/>
              <w:left w:val="single" w:sz="6" w:space="0" w:color="auto"/>
              <w:bottom w:val="single" w:sz="6" w:space="0" w:color="auto"/>
              <w:right w:val="single" w:sz="6" w:space="0" w:color="auto"/>
            </w:tcBorders>
            <w:vAlign w:val="center"/>
            <w:hideMark/>
          </w:tcPr>
          <w:p w14:paraId="40D70E8F" w14:textId="77777777" w:rsidR="004440E0" w:rsidRPr="00896579" w:rsidRDefault="004440E0">
            <w:pPr>
              <w:spacing w:line="276" w:lineRule="auto"/>
              <w:jc w:val="center"/>
              <w:rPr>
                <w:lang w:val="lv-LV"/>
              </w:rPr>
            </w:pPr>
            <w:r w:rsidRPr="00896579">
              <w:rPr>
                <w:lang w:val="lv-LV"/>
              </w:rPr>
              <w:t>0,0</w:t>
            </w:r>
          </w:p>
        </w:tc>
        <w:tc>
          <w:tcPr>
            <w:tcW w:w="646" w:type="pct"/>
            <w:tcBorders>
              <w:top w:val="single" w:sz="6" w:space="0" w:color="auto"/>
              <w:left w:val="single" w:sz="6" w:space="0" w:color="auto"/>
              <w:bottom w:val="single" w:sz="6" w:space="0" w:color="auto"/>
              <w:right w:val="single" w:sz="6" w:space="0" w:color="auto"/>
            </w:tcBorders>
            <w:vAlign w:val="center"/>
            <w:hideMark/>
          </w:tcPr>
          <w:p w14:paraId="155655D9" w14:textId="77777777" w:rsidR="004440E0" w:rsidRPr="00896579" w:rsidRDefault="004440E0">
            <w:pPr>
              <w:spacing w:line="276" w:lineRule="auto"/>
              <w:jc w:val="center"/>
              <w:rPr>
                <w:lang w:val="lv-LV"/>
              </w:rPr>
            </w:pPr>
            <w:r w:rsidRPr="00896579">
              <w:rPr>
                <w:lang w:val="lv-LV"/>
              </w:rPr>
              <w:t>0,0</w:t>
            </w:r>
          </w:p>
        </w:tc>
      </w:tr>
      <w:tr w:rsidR="004440E0" w14:paraId="334109E5" w14:textId="77777777" w:rsidTr="001073F5">
        <w:trPr>
          <w:cantSplit/>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1C707A11" w14:textId="77777777" w:rsidR="004440E0" w:rsidRPr="00896579" w:rsidRDefault="004440E0">
            <w:pPr>
              <w:pStyle w:val="Sarakstarindkopa1"/>
              <w:spacing w:after="0" w:line="240" w:lineRule="auto"/>
              <w:ind w:left="0"/>
              <w:jc w:val="both"/>
              <w:rPr>
                <w:rFonts w:ascii="Times New Roman" w:hAnsi="Times New Roman"/>
                <w:sz w:val="24"/>
                <w:szCs w:val="24"/>
                <w:lang w:val="lv-LV"/>
              </w:rPr>
            </w:pPr>
            <w:r w:rsidRPr="00896579">
              <w:rPr>
                <w:rFonts w:ascii="Times New Roman" w:hAnsi="Times New Roman"/>
                <w:sz w:val="24"/>
                <w:szCs w:val="24"/>
                <w:lang w:val="lv-LV"/>
              </w:rPr>
              <w:t>5.1. valsts pamatbudžets</w:t>
            </w:r>
          </w:p>
        </w:tc>
        <w:tc>
          <w:tcPr>
            <w:tcW w:w="722" w:type="pct"/>
            <w:vMerge/>
            <w:tcBorders>
              <w:top w:val="single" w:sz="6" w:space="0" w:color="auto"/>
              <w:left w:val="single" w:sz="6" w:space="0" w:color="auto"/>
              <w:bottom w:val="single" w:sz="6" w:space="0" w:color="auto"/>
              <w:right w:val="single" w:sz="6" w:space="0" w:color="auto"/>
            </w:tcBorders>
            <w:vAlign w:val="center"/>
            <w:hideMark/>
          </w:tcPr>
          <w:p w14:paraId="2207AB0E" w14:textId="77777777" w:rsidR="004440E0" w:rsidRPr="00896579" w:rsidRDefault="004440E0">
            <w:pPr>
              <w:rPr>
                <w:lang w:val="lv-LV"/>
              </w:rPr>
            </w:pPr>
          </w:p>
        </w:tc>
        <w:tc>
          <w:tcPr>
            <w:tcW w:w="720" w:type="pct"/>
            <w:tcBorders>
              <w:top w:val="single" w:sz="6" w:space="0" w:color="auto"/>
              <w:left w:val="single" w:sz="6" w:space="0" w:color="auto"/>
              <w:bottom w:val="single" w:sz="6" w:space="0" w:color="auto"/>
              <w:right w:val="single" w:sz="6" w:space="0" w:color="auto"/>
            </w:tcBorders>
            <w:vAlign w:val="center"/>
            <w:hideMark/>
          </w:tcPr>
          <w:p w14:paraId="1B39F980" w14:textId="77777777" w:rsidR="004440E0" w:rsidRPr="00896579" w:rsidRDefault="004440E0">
            <w:pPr>
              <w:spacing w:line="276" w:lineRule="auto"/>
              <w:jc w:val="center"/>
              <w:rPr>
                <w:lang w:val="lv-LV"/>
              </w:rPr>
            </w:pPr>
            <w:r w:rsidRPr="00896579">
              <w:rPr>
                <w:lang w:val="lv-LV"/>
              </w:rPr>
              <w:t>0,0</w:t>
            </w:r>
          </w:p>
        </w:tc>
        <w:tc>
          <w:tcPr>
            <w:tcW w:w="709" w:type="pct"/>
            <w:tcBorders>
              <w:top w:val="single" w:sz="6" w:space="0" w:color="auto"/>
              <w:left w:val="single" w:sz="6" w:space="0" w:color="auto"/>
              <w:bottom w:val="single" w:sz="6" w:space="0" w:color="auto"/>
              <w:right w:val="single" w:sz="6" w:space="0" w:color="auto"/>
            </w:tcBorders>
            <w:vAlign w:val="center"/>
            <w:hideMark/>
          </w:tcPr>
          <w:p w14:paraId="1A256CEF" w14:textId="77777777" w:rsidR="004440E0" w:rsidRPr="00896579" w:rsidRDefault="004440E0">
            <w:pPr>
              <w:spacing w:line="276" w:lineRule="auto"/>
              <w:jc w:val="center"/>
              <w:rPr>
                <w:lang w:val="lv-LV"/>
              </w:rPr>
            </w:pPr>
            <w:r w:rsidRPr="00896579">
              <w:rPr>
                <w:lang w:val="lv-LV"/>
              </w:rPr>
              <w:t>0,0</w:t>
            </w:r>
          </w:p>
        </w:tc>
        <w:tc>
          <w:tcPr>
            <w:tcW w:w="725" w:type="pct"/>
            <w:tcBorders>
              <w:top w:val="single" w:sz="6" w:space="0" w:color="auto"/>
              <w:left w:val="single" w:sz="6" w:space="0" w:color="auto"/>
              <w:bottom w:val="single" w:sz="6" w:space="0" w:color="auto"/>
              <w:right w:val="single" w:sz="6" w:space="0" w:color="auto"/>
            </w:tcBorders>
            <w:vAlign w:val="center"/>
            <w:hideMark/>
          </w:tcPr>
          <w:p w14:paraId="28D0C09A" w14:textId="77777777" w:rsidR="004440E0" w:rsidRPr="00896579" w:rsidRDefault="004440E0">
            <w:pPr>
              <w:spacing w:line="276" w:lineRule="auto"/>
              <w:jc w:val="center"/>
              <w:rPr>
                <w:lang w:val="lv-LV"/>
              </w:rPr>
            </w:pPr>
            <w:r w:rsidRPr="00896579">
              <w:rPr>
                <w:lang w:val="lv-LV"/>
              </w:rPr>
              <w:t>0,0</w:t>
            </w:r>
          </w:p>
        </w:tc>
        <w:tc>
          <w:tcPr>
            <w:tcW w:w="646" w:type="pct"/>
            <w:tcBorders>
              <w:top w:val="single" w:sz="6" w:space="0" w:color="auto"/>
              <w:left w:val="single" w:sz="6" w:space="0" w:color="auto"/>
              <w:bottom w:val="single" w:sz="6" w:space="0" w:color="auto"/>
              <w:right w:val="single" w:sz="6" w:space="0" w:color="auto"/>
            </w:tcBorders>
            <w:vAlign w:val="center"/>
            <w:hideMark/>
          </w:tcPr>
          <w:p w14:paraId="6B799B20" w14:textId="77777777" w:rsidR="004440E0" w:rsidRPr="00896579" w:rsidRDefault="004440E0">
            <w:pPr>
              <w:spacing w:line="276" w:lineRule="auto"/>
              <w:jc w:val="center"/>
              <w:rPr>
                <w:lang w:val="lv-LV"/>
              </w:rPr>
            </w:pPr>
            <w:r w:rsidRPr="00896579">
              <w:rPr>
                <w:lang w:val="lv-LV"/>
              </w:rPr>
              <w:t>0,0</w:t>
            </w:r>
          </w:p>
        </w:tc>
      </w:tr>
      <w:tr w:rsidR="004440E0" w14:paraId="3E1EF446" w14:textId="77777777" w:rsidTr="001073F5">
        <w:trPr>
          <w:cantSplit/>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612565FD" w14:textId="77777777" w:rsidR="004440E0" w:rsidRPr="00896579" w:rsidRDefault="004440E0">
            <w:pPr>
              <w:pStyle w:val="Sarakstarindkopa1"/>
              <w:spacing w:after="0" w:line="240" w:lineRule="auto"/>
              <w:ind w:left="0"/>
              <w:jc w:val="both"/>
              <w:rPr>
                <w:rFonts w:ascii="Times New Roman" w:hAnsi="Times New Roman"/>
                <w:sz w:val="24"/>
                <w:szCs w:val="24"/>
                <w:lang w:val="lv-LV"/>
              </w:rPr>
            </w:pPr>
            <w:r w:rsidRPr="00896579">
              <w:rPr>
                <w:rFonts w:ascii="Times New Roman" w:hAnsi="Times New Roman"/>
                <w:sz w:val="24"/>
                <w:szCs w:val="24"/>
                <w:lang w:val="lv-LV"/>
              </w:rPr>
              <w:t>5.2. speciālais budžets</w:t>
            </w:r>
          </w:p>
        </w:tc>
        <w:tc>
          <w:tcPr>
            <w:tcW w:w="722" w:type="pct"/>
            <w:vMerge/>
            <w:tcBorders>
              <w:top w:val="single" w:sz="6" w:space="0" w:color="auto"/>
              <w:left w:val="single" w:sz="6" w:space="0" w:color="auto"/>
              <w:bottom w:val="single" w:sz="6" w:space="0" w:color="auto"/>
              <w:right w:val="single" w:sz="6" w:space="0" w:color="auto"/>
            </w:tcBorders>
            <w:vAlign w:val="center"/>
            <w:hideMark/>
          </w:tcPr>
          <w:p w14:paraId="72C685E8" w14:textId="77777777" w:rsidR="004440E0" w:rsidRPr="00896579" w:rsidRDefault="004440E0">
            <w:pPr>
              <w:rPr>
                <w:lang w:val="lv-LV"/>
              </w:rPr>
            </w:pPr>
          </w:p>
        </w:tc>
        <w:tc>
          <w:tcPr>
            <w:tcW w:w="720" w:type="pct"/>
            <w:tcBorders>
              <w:top w:val="single" w:sz="6" w:space="0" w:color="auto"/>
              <w:left w:val="single" w:sz="6" w:space="0" w:color="auto"/>
              <w:bottom w:val="single" w:sz="6" w:space="0" w:color="auto"/>
              <w:right w:val="single" w:sz="6" w:space="0" w:color="auto"/>
            </w:tcBorders>
            <w:vAlign w:val="center"/>
            <w:hideMark/>
          </w:tcPr>
          <w:p w14:paraId="450BFDCE" w14:textId="77777777" w:rsidR="004440E0" w:rsidRPr="00896579" w:rsidRDefault="004440E0">
            <w:pPr>
              <w:spacing w:line="276" w:lineRule="auto"/>
              <w:jc w:val="center"/>
              <w:rPr>
                <w:lang w:val="lv-LV"/>
              </w:rPr>
            </w:pPr>
            <w:r w:rsidRPr="00896579">
              <w:rPr>
                <w:lang w:val="lv-LV"/>
              </w:rPr>
              <w:t>0,0</w:t>
            </w:r>
          </w:p>
        </w:tc>
        <w:tc>
          <w:tcPr>
            <w:tcW w:w="709" w:type="pct"/>
            <w:tcBorders>
              <w:top w:val="single" w:sz="6" w:space="0" w:color="auto"/>
              <w:left w:val="single" w:sz="6" w:space="0" w:color="auto"/>
              <w:bottom w:val="single" w:sz="6" w:space="0" w:color="auto"/>
              <w:right w:val="single" w:sz="6" w:space="0" w:color="auto"/>
            </w:tcBorders>
            <w:vAlign w:val="center"/>
            <w:hideMark/>
          </w:tcPr>
          <w:p w14:paraId="7814B0A8" w14:textId="77777777" w:rsidR="004440E0" w:rsidRPr="00896579" w:rsidRDefault="004440E0">
            <w:pPr>
              <w:spacing w:line="276" w:lineRule="auto"/>
              <w:jc w:val="center"/>
              <w:rPr>
                <w:lang w:val="lv-LV"/>
              </w:rPr>
            </w:pPr>
            <w:r w:rsidRPr="00896579">
              <w:rPr>
                <w:lang w:val="lv-LV"/>
              </w:rPr>
              <w:t>0,0</w:t>
            </w:r>
          </w:p>
        </w:tc>
        <w:tc>
          <w:tcPr>
            <w:tcW w:w="725" w:type="pct"/>
            <w:tcBorders>
              <w:top w:val="single" w:sz="6" w:space="0" w:color="auto"/>
              <w:left w:val="single" w:sz="6" w:space="0" w:color="auto"/>
              <w:bottom w:val="single" w:sz="6" w:space="0" w:color="auto"/>
              <w:right w:val="single" w:sz="6" w:space="0" w:color="auto"/>
            </w:tcBorders>
            <w:vAlign w:val="center"/>
            <w:hideMark/>
          </w:tcPr>
          <w:p w14:paraId="4CCA21A7" w14:textId="77777777" w:rsidR="004440E0" w:rsidRPr="00896579" w:rsidRDefault="004440E0">
            <w:pPr>
              <w:spacing w:line="276" w:lineRule="auto"/>
              <w:jc w:val="center"/>
              <w:rPr>
                <w:lang w:val="lv-LV"/>
              </w:rPr>
            </w:pPr>
            <w:r w:rsidRPr="00896579">
              <w:rPr>
                <w:lang w:val="lv-LV"/>
              </w:rPr>
              <w:t>0,0</w:t>
            </w:r>
          </w:p>
        </w:tc>
        <w:tc>
          <w:tcPr>
            <w:tcW w:w="646" w:type="pct"/>
            <w:tcBorders>
              <w:top w:val="single" w:sz="6" w:space="0" w:color="auto"/>
              <w:left w:val="single" w:sz="6" w:space="0" w:color="auto"/>
              <w:bottom w:val="single" w:sz="6" w:space="0" w:color="auto"/>
              <w:right w:val="single" w:sz="6" w:space="0" w:color="auto"/>
            </w:tcBorders>
            <w:vAlign w:val="center"/>
            <w:hideMark/>
          </w:tcPr>
          <w:p w14:paraId="0179F0FE" w14:textId="77777777" w:rsidR="004440E0" w:rsidRPr="00896579" w:rsidRDefault="004440E0">
            <w:pPr>
              <w:spacing w:line="276" w:lineRule="auto"/>
              <w:jc w:val="center"/>
              <w:rPr>
                <w:lang w:val="lv-LV"/>
              </w:rPr>
            </w:pPr>
            <w:r w:rsidRPr="00896579">
              <w:rPr>
                <w:lang w:val="lv-LV"/>
              </w:rPr>
              <w:t>0,0</w:t>
            </w:r>
          </w:p>
        </w:tc>
      </w:tr>
      <w:tr w:rsidR="004440E0" w14:paraId="723E2360" w14:textId="77777777" w:rsidTr="001073F5">
        <w:trPr>
          <w:cantSplit/>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448DFD85" w14:textId="77777777" w:rsidR="004440E0" w:rsidRPr="00896579" w:rsidRDefault="004440E0">
            <w:pPr>
              <w:pStyle w:val="naiskr"/>
              <w:spacing w:line="276" w:lineRule="auto"/>
            </w:pPr>
            <w:r w:rsidRPr="00896579">
              <w:t> 5.3. pašvaldību budžets</w:t>
            </w:r>
          </w:p>
        </w:tc>
        <w:tc>
          <w:tcPr>
            <w:tcW w:w="722" w:type="pct"/>
            <w:vMerge/>
            <w:tcBorders>
              <w:top w:val="single" w:sz="6" w:space="0" w:color="auto"/>
              <w:left w:val="single" w:sz="6" w:space="0" w:color="auto"/>
              <w:bottom w:val="single" w:sz="6" w:space="0" w:color="auto"/>
              <w:right w:val="single" w:sz="6" w:space="0" w:color="auto"/>
            </w:tcBorders>
            <w:vAlign w:val="center"/>
            <w:hideMark/>
          </w:tcPr>
          <w:p w14:paraId="16439F53" w14:textId="77777777" w:rsidR="004440E0" w:rsidRPr="00896579" w:rsidRDefault="004440E0">
            <w:pPr>
              <w:rPr>
                <w:lang w:val="lv-LV"/>
              </w:rPr>
            </w:pPr>
          </w:p>
        </w:tc>
        <w:tc>
          <w:tcPr>
            <w:tcW w:w="720" w:type="pct"/>
            <w:tcBorders>
              <w:top w:val="single" w:sz="6" w:space="0" w:color="auto"/>
              <w:left w:val="single" w:sz="6" w:space="0" w:color="auto"/>
              <w:bottom w:val="single" w:sz="6" w:space="0" w:color="auto"/>
              <w:right w:val="single" w:sz="6" w:space="0" w:color="auto"/>
            </w:tcBorders>
            <w:vAlign w:val="center"/>
            <w:hideMark/>
          </w:tcPr>
          <w:p w14:paraId="3B43FBFC" w14:textId="77777777" w:rsidR="004440E0" w:rsidRPr="00896579" w:rsidRDefault="004440E0">
            <w:pPr>
              <w:spacing w:line="276" w:lineRule="auto"/>
              <w:jc w:val="center"/>
              <w:rPr>
                <w:lang w:val="lv-LV"/>
              </w:rPr>
            </w:pPr>
            <w:r w:rsidRPr="00896579">
              <w:rPr>
                <w:lang w:val="lv-LV"/>
              </w:rPr>
              <w:t>0,0</w:t>
            </w:r>
          </w:p>
        </w:tc>
        <w:tc>
          <w:tcPr>
            <w:tcW w:w="709" w:type="pct"/>
            <w:tcBorders>
              <w:top w:val="single" w:sz="6" w:space="0" w:color="auto"/>
              <w:left w:val="single" w:sz="6" w:space="0" w:color="auto"/>
              <w:bottom w:val="single" w:sz="6" w:space="0" w:color="auto"/>
              <w:right w:val="single" w:sz="6" w:space="0" w:color="auto"/>
            </w:tcBorders>
            <w:vAlign w:val="center"/>
            <w:hideMark/>
          </w:tcPr>
          <w:p w14:paraId="3A26BB4E" w14:textId="77777777" w:rsidR="004440E0" w:rsidRPr="00896579" w:rsidRDefault="004440E0">
            <w:pPr>
              <w:spacing w:line="276" w:lineRule="auto"/>
              <w:jc w:val="center"/>
              <w:rPr>
                <w:lang w:val="lv-LV"/>
              </w:rPr>
            </w:pPr>
            <w:r w:rsidRPr="00896579">
              <w:rPr>
                <w:lang w:val="lv-LV"/>
              </w:rPr>
              <w:t>0,0</w:t>
            </w:r>
          </w:p>
        </w:tc>
        <w:tc>
          <w:tcPr>
            <w:tcW w:w="725" w:type="pct"/>
            <w:tcBorders>
              <w:top w:val="single" w:sz="6" w:space="0" w:color="auto"/>
              <w:left w:val="single" w:sz="6" w:space="0" w:color="auto"/>
              <w:bottom w:val="single" w:sz="6" w:space="0" w:color="auto"/>
              <w:right w:val="single" w:sz="6" w:space="0" w:color="auto"/>
            </w:tcBorders>
            <w:vAlign w:val="center"/>
            <w:hideMark/>
          </w:tcPr>
          <w:p w14:paraId="7AEC611F" w14:textId="77777777" w:rsidR="004440E0" w:rsidRPr="00896579" w:rsidRDefault="004440E0">
            <w:pPr>
              <w:spacing w:line="276" w:lineRule="auto"/>
              <w:jc w:val="center"/>
              <w:rPr>
                <w:lang w:val="lv-LV"/>
              </w:rPr>
            </w:pPr>
            <w:r w:rsidRPr="00896579">
              <w:rPr>
                <w:lang w:val="lv-LV"/>
              </w:rPr>
              <w:t>0,0</w:t>
            </w:r>
          </w:p>
        </w:tc>
        <w:tc>
          <w:tcPr>
            <w:tcW w:w="646" w:type="pct"/>
            <w:tcBorders>
              <w:top w:val="single" w:sz="6" w:space="0" w:color="auto"/>
              <w:left w:val="single" w:sz="6" w:space="0" w:color="auto"/>
              <w:bottom w:val="single" w:sz="6" w:space="0" w:color="auto"/>
              <w:right w:val="single" w:sz="6" w:space="0" w:color="auto"/>
            </w:tcBorders>
            <w:vAlign w:val="center"/>
            <w:hideMark/>
          </w:tcPr>
          <w:p w14:paraId="5956CE88" w14:textId="77777777" w:rsidR="004440E0" w:rsidRPr="00896579" w:rsidRDefault="004440E0">
            <w:pPr>
              <w:spacing w:line="276" w:lineRule="auto"/>
              <w:jc w:val="center"/>
              <w:rPr>
                <w:lang w:val="lv-LV"/>
              </w:rPr>
            </w:pPr>
            <w:r w:rsidRPr="00896579">
              <w:rPr>
                <w:lang w:val="lv-LV"/>
              </w:rPr>
              <w:t>0,0</w:t>
            </w:r>
          </w:p>
        </w:tc>
      </w:tr>
      <w:tr w:rsidR="004440E0" w14:paraId="0BAB7FF8" w14:textId="77777777" w:rsidTr="001073F5">
        <w:trPr>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54E01043" w14:textId="77777777" w:rsidR="004440E0" w:rsidRPr="00896579" w:rsidRDefault="004440E0">
            <w:pPr>
              <w:pStyle w:val="Sarakstarindkopa1"/>
              <w:spacing w:after="0" w:line="240" w:lineRule="auto"/>
              <w:ind w:left="0"/>
              <w:jc w:val="both"/>
              <w:rPr>
                <w:rFonts w:ascii="Times New Roman" w:hAnsi="Times New Roman"/>
                <w:sz w:val="24"/>
                <w:szCs w:val="24"/>
                <w:lang w:val="lv-LV"/>
              </w:rPr>
            </w:pPr>
            <w:r w:rsidRPr="00896579">
              <w:rPr>
                <w:rFonts w:ascii="Times New Roman" w:hAnsi="Times New Roman"/>
                <w:color w:val="000000" w:themeColor="text1"/>
                <w:sz w:val="24"/>
                <w:szCs w:val="24"/>
                <w:lang w:val="lv-LV"/>
              </w:rPr>
              <w:t>6. Detalizēts ieņēmumu un izdevumu aprēķins:</w:t>
            </w:r>
          </w:p>
        </w:tc>
        <w:tc>
          <w:tcPr>
            <w:tcW w:w="722" w:type="pct"/>
            <w:tcBorders>
              <w:top w:val="single" w:sz="6" w:space="0" w:color="auto"/>
              <w:left w:val="single" w:sz="6" w:space="0" w:color="auto"/>
              <w:bottom w:val="single" w:sz="6" w:space="0" w:color="auto"/>
              <w:right w:val="single" w:sz="6" w:space="0" w:color="auto"/>
            </w:tcBorders>
            <w:vAlign w:val="center"/>
          </w:tcPr>
          <w:p w14:paraId="32DCB3E1" w14:textId="77777777" w:rsidR="004440E0" w:rsidRPr="00896579" w:rsidRDefault="004440E0">
            <w:pPr>
              <w:spacing w:line="276" w:lineRule="auto"/>
              <w:jc w:val="center"/>
              <w:rPr>
                <w:lang w:val="lv-LV"/>
              </w:rPr>
            </w:pPr>
          </w:p>
        </w:tc>
        <w:tc>
          <w:tcPr>
            <w:tcW w:w="720" w:type="pct"/>
            <w:tcBorders>
              <w:top w:val="single" w:sz="6" w:space="0" w:color="auto"/>
              <w:left w:val="single" w:sz="6" w:space="0" w:color="auto"/>
              <w:bottom w:val="single" w:sz="6" w:space="0" w:color="auto"/>
              <w:right w:val="single" w:sz="6" w:space="0" w:color="auto"/>
            </w:tcBorders>
            <w:vAlign w:val="center"/>
          </w:tcPr>
          <w:p w14:paraId="57ED9AE6" w14:textId="77777777" w:rsidR="004440E0" w:rsidRPr="00896579" w:rsidRDefault="004440E0">
            <w:pPr>
              <w:spacing w:line="276" w:lineRule="auto"/>
              <w:jc w:val="center"/>
              <w:rPr>
                <w:lang w:val="lv-LV"/>
              </w:rPr>
            </w:pPr>
          </w:p>
        </w:tc>
        <w:tc>
          <w:tcPr>
            <w:tcW w:w="709" w:type="pct"/>
            <w:tcBorders>
              <w:top w:val="single" w:sz="6" w:space="0" w:color="auto"/>
              <w:left w:val="single" w:sz="6" w:space="0" w:color="auto"/>
              <w:bottom w:val="single" w:sz="6" w:space="0" w:color="auto"/>
              <w:right w:val="single" w:sz="6" w:space="0" w:color="auto"/>
            </w:tcBorders>
            <w:vAlign w:val="center"/>
          </w:tcPr>
          <w:p w14:paraId="515C536D" w14:textId="77777777" w:rsidR="004440E0" w:rsidRPr="00896579" w:rsidRDefault="004440E0">
            <w:pPr>
              <w:spacing w:line="276" w:lineRule="auto"/>
              <w:jc w:val="center"/>
              <w:rPr>
                <w:lang w:val="lv-LV"/>
              </w:rPr>
            </w:pPr>
          </w:p>
        </w:tc>
        <w:tc>
          <w:tcPr>
            <w:tcW w:w="725" w:type="pct"/>
            <w:tcBorders>
              <w:top w:val="single" w:sz="6" w:space="0" w:color="auto"/>
              <w:left w:val="single" w:sz="6" w:space="0" w:color="auto"/>
              <w:bottom w:val="single" w:sz="6" w:space="0" w:color="auto"/>
              <w:right w:val="single" w:sz="6" w:space="0" w:color="auto"/>
            </w:tcBorders>
            <w:vAlign w:val="center"/>
          </w:tcPr>
          <w:p w14:paraId="5DF96FB0" w14:textId="77777777" w:rsidR="004440E0" w:rsidRPr="00896579" w:rsidRDefault="004440E0">
            <w:pPr>
              <w:spacing w:line="276" w:lineRule="auto"/>
              <w:jc w:val="center"/>
              <w:rPr>
                <w:lang w:val="lv-LV"/>
              </w:rPr>
            </w:pPr>
          </w:p>
        </w:tc>
        <w:tc>
          <w:tcPr>
            <w:tcW w:w="646" w:type="pct"/>
            <w:tcBorders>
              <w:top w:val="single" w:sz="6" w:space="0" w:color="auto"/>
              <w:left w:val="single" w:sz="6" w:space="0" w:color="auto"/>
              <w:bottom w:val="single" w:sz="6" w:space="0" w:color="auto"/>
              <w:right w:val="single" w:sz="6" w:space="0" w:color="auto"/>
            </w:tcBorders>
            <w:vAlign w:val="center"/>
          </w:tcPr>
          <w:p w14:paraId="453E8CC7" w14:textId="77777777" w:rsidR="004440E0" w:rsidRPr="00896579" w:rsidRDefault="004440E0">
            <w:pPr>
              <w:spacing w:line="276" w:lineRule="auto"/>
              <w:jc w:val="center"/>
              <w:rPr>
                <w:lang w:val="lv-LV"/>
              </w:rPr>
            </w:pPr>
          </w:p>
        </w:tc>
      </w:tr>
      <w:tr w:rsidR="0058357C" w14:paraId="27E50982" w14:textId="77777777" w:rsidTr="005305CA">
        <w:trPr>
          <w:trHeight w:val="65"/>
          <w:jc w:val="center"/>
        </w:trPr>
        <w:tc>
          <w:tcPr>
            <w:tcW w:w="1478" w:type="pct"/>
            <w:tcBorders>
              <w:top w:val="single" w:sz="6" w:space="0" w:color="auto"/>
              <w:left w:val="single" w:sz="6" w:space="0" w:color="auto"/>
              <w:bottom w:val="single" w:sz="6" w:space="0" w:color="auto"/>
              <w:right w:val="single" w:sz="6" w:space="0" w:color="auto"/>
            </w:tcBorders>
            <w:shd w:val="clear" w:color="auto" w:fill="auto"/>
          </w:tcPr>
          <w:p w14:paraId="4D59001F" w14:textId="77777777" w:rsidR="0058357C" w:rsidRPr="00896579" w:rsidRDefault="0058357C">
            <w:pPr>
              <w:pStyle w:val="Sarakstarindkopa1"/>
              <w:spacing w:after="0" w:line="240" w:lineRule="auto"/>
              <w:ind w:left="0"/>
              <w:jc w:val="both"/>
              <w:rPr>
                <w:rFonts w:ascii="Times New Roman" w:hAnsi="Times New Roman"/>
                <w:sz w:val="24"/>
                <w:szCs w:val="24"/>
                <w:lang w:val="lv-LV"/>
              </w:rPr>
            </w:pPr>
            <w:r w:rsidRPr="00896579">
              <w:rPr>
                <w:rFonts w:ascii="Times New Roman" w:hAnsi="Times New Roman"/>
                <w:b/>
                <w:sz w:val="24"/>
                <w:szCs w:val="24"/>
                <w:lang w:val="lv-LV"/>
              </w:rPr>
              <w:t>6.1.</w:t>
            </w:r>
            <w:r w:rsidRPr="00896579">
              <w:rPr>
                <w:rFonts w:ascii="Times New Roman" w:hAnsi="Times New Roman"/>
                <w:sz w:val="24"/>
                <w:szCs w:val="24"/>
                <w:lang w:val="lv-LV"/>
              </w:rPr>
              <w:t> </w:t>
            </w:r>
            <w:r w:rsidRPr="00896579">
              <w:rPr>
                <w:rFonts w:ascii="Times New Roman" w:hAnsi="Times New Roman"/>
                <w:sz w:val="24"/>
                <w:szCs w:val="24"/>
                <w:u w:val="single"/>
                <w:lang w:val="lv-LV"/>
              </w:rPr>
              <w:t>detalizēts ieņēmumu aprēķins par uztura bagātinātāju reģistrāciju:</w:t>
            </w:r>
          </w:p>
        </w:tc>
        <w:tc>
          <w:tcPr>
            <w:tcW w:w="722" w:type="pct"/>
            <w:tcBorders>
              <w:top w:val="single" w:sz="6" w:space="0" w:color="auto"/>
              <w:left w:val="single" w:sz="6" w:space="0" w:color="auto"/>
              <w:bottom w:val="single" w:sz="6" w:space="0" w:color="auto"/>
              <w:right w:val="single" w:sz="6" w:space="0" w:color="auto"/>
            </w:tcBorders>
            <w:shd w:val="clear" w:color="auto" w:fill="auto"/>
            <w:vAlign w:val="center"/>
          </w:tcPr>
          <w:p w14:paraId="6A66737C" w14:textId="77777777" w:rsidR="0058357C" w:rsidRPr="00BB7E73" w:rsidRDefault="0058357C" w:rsidP="0058357C">
            <w:pPr>
              <w:spacing w:line="276" w:lineRule="auto"/>
              <w:jc w:val="center"/>
              <w:rPr>
                <w:i/>
                <w:color w:val="000000" w:themeColor="text1"/>
                <w:lang w:val="lv-LV"/>
              </w:rPr>
            </w:pPr>
            <w:r w:rsidRPr="00BB7E73">
              <w:rPr>
                <w:i/>
                <w:color w:val="000000" w:themeColor="text1"/>
                <w:lang w:val="lv-LV"/>
              </w:rPr>
              <w:t>96 912</w:t>
            </w:r>
          </w:p>
        </w:tc>
        <w:tc>
          <w:tcPr>
            <w:tcW w:w="720" w:type="pct"/>
            <w:tcBorders>
              <w:top w:val="single" w:sz="6" w:space="0" w:color="auto"/>
              <w:left w:val="single" w:sz="6" w:space="0" w:color="auto"/>
              <w:bottom w:val="single" w:sz="6" w:space="0" w:color="auto"/>
              <w:right w:val="single" w:sz="6" w:space="0" w:color="auto"/>
            </w:tcBorders>
            <w:shd w:val="clear" w:color="auto" w:fill="auto"/>
            <w:vAlign w:val="center"/>
          </w:tcPr>
          <w:p w14:paraId="77694E29" w14:textId="77777777" w:rsidR="0058357C" w:rsidRPr="00BB7E73" w:rsidRDefault="0058357C" w:rsidP="0058357C">
            <w:pPr>
              <w:spacing w:line="276" w:lineRule="auto"/>
              <w:jc w:val="center"/>
              <w:rPr>
                <w:i/>
                <w:color w:val="000000" w:themeColor="text1"/>
                <w:lang w:val="lv-LV"/>
              </w:rPr>
            </w:pPr>
            <w:r w:rsidRPr="00BB7E73">
              <w:rPr>
                <w:i/>
                <w:color w:val="000000" w:themeColor="text1"/>
                <w:lang w:val="lv-LV"/>
              </w:rPr>
              <w:t>0,0</w:t>
            </w:r>
          </w:p>
        </w:tc>
        <w:tc>
          <w:tcPr>
            <w:tcW w:w="709" w:type="pct"/>
            <w:tcBorders>
              <w:top w:val="single" w:sz="6" w:space="0" w:color="auto"/>
              <w:left w:val="single" w:sz="6" w:space="0" w:color="auto"/>
              <w:bottom w:val="single" w:sz="6" w:space="0" w:color="auto"/>
              <w:right w:val="single" w:sz="6" w:space="0" w:color="auto"/>
            </w:tcBorders>
            <w:shd w:val="clear" w:color="auto" w:fill="auto"/>
            <w:vAlign w:val="center"/>
          </w:tcPr>
          <w:p w14:paraId="1DE86D3D" w14:textId="77777777" w:rsidR="0058357C" w:rsidRPr="00BB7E73" w:rsidRDefault="0058357C" w:rsidP="0058357C">
            <w:pPr>
              <w:spacing w:line="276" w:lineRule="auto"/>
              <w:jc w:val="center"/>
              <w:rPr>
                <w:i/>
                <w:color w:val="000000" w:themeColor="text1"/>
                <w:lang w:val="lv-LV"/>
              </w:rPr>
            </w:pPr>
            <w:r w:rsidRPr="00BB7E73">
              <w:rPr>
                <w:i/>
                <w:color w:val="000000" w:themeColor="text1"/>
                <w:lang w:val="lv-LV"/>
              </w:rPr>
              <w:t>0,0</w:t>
            </w:r>
          </w:p>
        </w:tc>
        <w:tc>
          <w:tcPr>
            <w:tcW w:w="725" w:type="pct"/>
            <w:tcBorders>
              <w:top w:val="single" w:sz="6" w:space="0" w:color="auto"/>
              <w:left w:val="single" w:sz="6" w:space="0" w:color="auto"/>
              <w:bottom w:val="single" w:sz="6" w:space="0" w:color="auto"/>
              <w:right w:val="single" w:sz="6" w:space="0" w:color="auto"/>
            </w:tcBorders>
            <w:shd w:val="clear" w:color="auto" w:fill="auto"/>
            <w:vAlign w:val="center"/>
          </w:tcPr>
          <w:p w14:paraId="78B377D3" w14:textId="5B79ACB8" w:rsidR="0058357C" w:rsidRPr="00BB7E73" w:rsidRDefault="0058357C" w:rsidP="009141B1">
            <w:pPr>
              <w:spacing w:line="276" w:lineRule="auto"/>
              <w:jc w:val="center"/>
              <w:rPr>
                <w:i/>
                <w:color w:val="000000" w:themeColor="text1"/>
                <w:lang w:val="lv-LV"/>
              </w:rPr>
            </w:pPr>
            <w:r w:rsidRPr="00BB7E73">
              <w:rPr>
                <w:i/>
                <w:color w:val="000000" w:themeColor="text1"/>
                <w:lang w:val="lv-LV"/>
              </w:rPr>
              <w:t>7</w:t>
            </w:r>
            <w:r w:rsidR="009141B1" w:rsidRPr="00BB7E73">
              <w:rPr>
                <w:i/>
                <w:color w:val="000000" w:themeColor="text1"/>
                <w:lang w:val="lv-LV"/>
              </w:rPr>
              <w:t>5</w:t>
            </w:r>
            <w:r w:rsidRPr="00BB7E73">
              <w:rPr>
                <w:i/>
                <w:color w:val="000000" w:themeColor="text1"/>
                <w:lang w:val="lv-LV"/>
              </w:rPr>
              <w:t> </w:t>
            </w:r>
            <w:r w:rsidR="009141B1" w:rsidRPr="00BB7E73">
              <w:rPr>
                <w:i/>
                <w:color w:val="000000" w:themeColor="text1"/>
                <w:lang w:val="lv-LV"/>
              </w:rPr>
              <w:t>393</w:t>
            </w:r>
          </w:p>
        </w:tc>
        <w:tc>
          <w:tcPr>
            <w:tcW w:w="646" w:type="pct"/>
            <w:tcBorders>
              <w:top w:val="single" w:sz="6" w:space="0" w:color="auto"/>
              <w:left w:val="single" w:sz="6" w:space="0" w:color="auto"/>
              <w:bottom w:val="single" w:sz="6" w:space="0" w:color="auto"/>
              <w:right w:val="single" w:sz="6" w:space="0" w:color="auto"/>
            </w:tcBorders>
            <w:shd w:val="clear" w:color="auto" w:fill="auto"/>
            <w:vAlign w:val="center"/>
          </w:tcPr>
          <w:p w14:paraId="1808E279" w14:textId="0EF3F966" w:rsidR="0058357C" w:rsidRPr="00BB7E73" w:rsidRDefault="009141B1" w:rsidP="00280A5C">
            <w:pPr>
              <w:spacing w:line="276" w:lineRule="auto"/>
              <w:jc w:val="center"/>
              <w:rPr>
                <w:i/>
                <w:color w:val="000000" w:themeColor="text1"/>
                <w:lang w:val="lv-LV"/>
              </w:rPr>
            </w:pPr>
            <w:r w:rsidRPr="00BB7E73">
              <w:rPr>
                <w:i/>
                <w:color w:val="000000" w:themeColor="text1"/>
                <w:lang w:val="lv-LV"/>
              </w:rPr>
              <w:t>75 393</w:t>
            </w:r>
          </w:p>
        </w:tc>
      </w:tr>
      <w:tr w:rsidR="005305CA" w14:paraId="4F21EFF7" w14:textId="77777777" w:rsidTr="00D24B0E">
        <w:trPr>
          <w:trHeight w:val="65"/>
          <w:jc w:val="center"/>
        </w:trPr>
        <w:tc>
          <w:tcPr>
            <w:tcW w:w="1478" w:type="pct"/>
            <w:tcBorders>
              <w:top w:val="single" w:sz="6" w:space="0" w:color="auto"/>
              <w:left w:val="single" w:sz="6" w:space="0" w:color="auto"/>
              <w:bottom w:val="nil"/>
              <w:right w:val="single" w:sz="6" w:space="0" w:color="auto"/>
            </w:tcBorders>
            <w:shd w:val="clear" w:color="auto" w:fill="auto"/>
          </w:tcPr>
          <w:p w14:paraId="18AA99FE" w14:textId="77777777" w:rsidR="005305CA" w:rsidRPr="00896579" w:rsidRDefault="005305CA" w:rsidP="005305CA">
            <w:pPr>
              <w:pStyle w:val="Sarakstarindkopa1"/>
              <w:spacing w:after="0" w:line="240" w:lineRule="auto"/>
              <w:ind w:left="0"/>
              <w:jc w:val="both"/>
              <w:rPr>
                <w:rFonts w:ascii="Times New Roman" w:hAnsi="Times New Roman"/>
                <w:b/>
                <w:sz w:val="24"/>
                <w:szCs w:val="24"/>
                <w:lang w:val="lv-LV"/>
              </w:rPr>
            </w:pPr>
            <w:r w:rsidRPr="00896579">
              <w:rPr>
                <w:rFonts w:ascii="Times New Roman" w:hAnsi="Times New Roman"/>
                <w:b/>
                <w:sz w:val="24"/>
                <w:szCs w:val="24"/>
                <w:lang w:val="lv-LV"/>
              </w:rPr>
              <w:t xml:space="preserve">6.1.1. </w:t>
            </w:r>
            <w:r w:rsidRPr="00896579">
              <w:rPr>
                <w:rFonts w:ascii="Times New Roman" w:hAnsi="Times New Roman"/>
                <w:sz w:val="24"/>
                <w:szCs w:val="24"/>
                <w:lang w:val="lv-LV"/>
              </w:rPr>
              <w:t>par Eiropas Ekonomikas zonas valstīs ražota uztura bagātinātāja reģistrāciju;</w:t>
            </w:r>
          </w:p>
        </w:tc>
        <w:tc>
          <w:tcPr>
            <w:tcW w:w="722" w:type="pct"/>
            <w:tcBorders>
              <w:top w:val="single" w:sz="6" w:space="0" w:color="auto"/>
              <w:left w:val="single" w:sz="6" w:space="0" w:color="auto"/>
              <w:bottom w:val="nil"/>
              <w:right w:val="single" w:sz="6" w:space="0" w:color="auto"/>
            </w:tcBorders>
            <w:shd w:val="clear" w:color="auto" w:fill="auto"/>
            <w:vAlign w:val="center"/>
          </w:tcPr>
          <w:p w14:paraId="63E26FFA" w14:textId="77777777" w:rsidR="005305CA" w:rsidRPr="00A34864" w:rsidRDefault="005305CA" w:rsidP="0058357C">
            <w:pPr>
              <w:spacing w:line="276" w:lineRule="auto"/>
              <w:jc w:val="center"/>
              <w:rPr>
                <w:b/>
                <w:i/>
                <w:color w:val="000000" w:themeColor="text1"/>
                <w:lang w:val="lv-LV"/>
              </w:rPr>
            </w:pPr>
            <w:r w:rsidRPr="00A34864">
              <w:rPr>
                <w:i/>
                <w:color w:val="000000" w:themeColor="text1"/>
                <w:lang w:val="lv-LV"/>
              </w:rPr>
              <w:t>68 567</w:t>
            </w:r>
          </w:p>
        </w:tc>
        <w:tc>
          <w:tcPr>
            <w:tcW w:w="720" w:type="pct"/>
            <w:tcBorders>
              <w:top w:val="single" w:sz="6" w:space="0" w:color="auto"/>
              <w:left w:val="single" w:sz="6" w:space="0" w:color="auto"/>
              <w:bottom w:val="nil"/>
              <w:right w:val="single" w:sz="6" w:space="0" w:color="auto"/>
            </w:tcBorders>
            <w:shd w:val="clear" w:color="auto" w:fill="auto"/>
            <w:vAlign w:val="center"/>
          </w:tcPr>
          <w:p w14:paraId="00EEA756" w14:textId="77777777" w:rsidR="005305CA" w:rsidRPr="00A34864" w:rsidRDefault="005305CA" w:rsidP="0058357C">
            <w:pPr>
              <w:spacing w:line="276" w:lineRule="auto"/>
              <w:jc w:val="center"/>
              <w:rPr>
                <w:b/>
                <w:i/>
                <w:color w:val="000000" w:themeColor="text1"/>
                <w:lang w:val="lv-LV"/>
              </w:rPr>
            </w:pPr>
            <w:r w:rsidRPr="00A34864">
              <w:rPr>
                <w:i/>
                <w:color w:val="000000" w:themeColor="text1"/>
                <w:lang w:val="lv-LV"/>
              </w:rPr>
              <w:t>0,0</w:t>
            </w:r>
          </w:p>
        </w:tc>
        <w:tc>
          <w:tcPr>
            <w:tcW w:w="709" w:type="pct"/>
            <w:tcBorders>
              <w:top w:val="single" w:sz="6" w:space="0" w:color="auto"/>
              <w:left w:val="single" w:sz="6" w:space="0" w:color="auto"/>
              <w:bottom w:val="nil"/>
              <w:right w:val="single" w:sz="6" w:space="0" w:color="auto"/>
            </w:tcBorders>
            <w:shd w:val="clear" w:color="auto" w:fill="auto"/>
            <w:vAlign w:val="center"/>
          </w:tcPr>
          <w:p w14:paraId="5E9635BA" w14:textId="77777777" w:rsidR="005305CA" w:rsidRPr="00A34864" w:rsidRDefault="005305CA" w:rsidP="0058357C">
            <w:pPr>
              <w:spacing w:line="276" w:lineRule="auto"/>
              <w:jc w:val="center"/>
              <w:rPr>
                <w:b/>
                <w:i/>
                <w:color w:val="000000" w:themeColor="text1"/>
                <w:lang w:val="lv-LV"/>
              </w:rPr>
            </w:pPr>
            <w:r w:rsidRPr="00A34864">
              <w:rPr>
                <w:i/>
                <w:color w:val="000000" w:themeColor="text1"/>
                <w:lang w:val="lv-LV"/>
              </w:rPr>
              <w:t>0,0</w:t>
            </w:r>
          </w:p>
        </w:tc>
        <w:tc>
          <w:tcPr>
            <w:tcW w:w="725" w:type="pct"/>
            <w:tcBorders>
              <w:top w:val="single" w:sz="6" w:space="0" w:color="auto"/>
              <w:left w:val="single" w:sz="6" w:space="0" w:color="auto"/>
              <w:bottom w:val="nil"/>
              <w:right w:val="single" w:sz="6" w:space="0" w:color="auto"/>
            </w:tcBorders>
            <w:shd w:val="clear" w:color="auto" w:fill="auto"/>
            <w:vAlign w:val="center"/>
          </w:tcPr>
          <w:p w14:paraId="43981636" w14:textId="1A77E204" w:rsidR="005305CA" w:rsidRPr="00A34864" w:rsidRDefault="009141B1" w:rsidP="009141B1">
            <w:pPr>
              <w:spacing w:line="276" w:lineRule="auto"/>
              <w:jc w:val="center"/>
              <w:rPr>
                <w:i/>
                <w:color w:val="000000" w:themeColor="text1"/>
                <w:lang w:val="lv-LV"/>
              </w:rPr>
            </w:pPr>
            <w:r w:rsidRPr="00A34864">
              <w:rPr>
                <w:i/>
                <w:color w:val="000000" w:themeColor="text1"/>
                <w:lang w:val="lv-LV"/>
              </w:rPr>
              <w:t>2 058</w:t>
            </w:r>
          </w:p>
        </w:tc>
        <w:tc>
          <w:tcPr>
            <w:tcW w:w="646" w:type="pct"/>
            <w:tcBorders>
              <w:top w:val="single" w:sz="6" w:space="0" w:color="auto"/>
              <w:left w:val="single" w:sz="6" w:space="0" w:color="auto"/>
              <w:bottom w:val="nil"/>
              <w:right w:val="single" w:sz="6" w:space="0" w:color="auto"/>
            </w:tcBorders>
            <w:shd w:val="clear" w:color="auto" w:fill="auto"/>
            <w:vAlign w:val="center"/>
          </w:tcPr>
          <w:p w14:paraId="3C98DB4D" w14:textId="3AEC49DC" w:rsidR="005305CA" w:rsidRPr="00A34864" w:rsidRDefault="009141B1" w:rsidP="009141B1">
            <w:pPr>
              <w:spacing w:line="276" w:lineRule="auto"/>
              <w:jc w:val="center"/>
              <w:rPr>
                <w:i/>
                <w:color w:val="000000" w:themeColor="text1"/>
                <w:lang w:val="lv-LV"/>
              </w:rPr>
            </w:pPr>
            <w:r w:rsidRPr="00A34864">
              <w:rPr>
                <w:i/>
                <w:color w:val="000000" w:themeColor="text1"/>
                <w:lang w:val="lv-LV"/>
              </w:rPr>
              <w:t>2 058</w:t>
            </w:r>
          </w:p>
        </w:tc>
      </w:tr>
      <w:tr w:rsidR="005305CA" w14:paraId="65539D63" w14:textId="77777777" w:rsidTr="005305CA">
        <w:trPr>
          <w:trHeight w:val="65"/>
          <w:jc w:val="center"/>
        </w:trPr>
        <w:tc>
          <w:tcPr>
            <w:tcW w:w="1478" w:type="pct"/>
            <w:tcBorders>
              <w:top w:val="nil"/>
              <w:left w:val="single" w:sz="6" w:space="0" w:color="auto"/>
              <w:bottom w:val="nil"/>
              <w:right w:val="single" w:sz="6" w:space="0" w:color="auto"/>
            </w:tcBorders>
            <w:shd w:val="clear" w:color="auto" w:fill="auto"/>
          </w:tcPr>
          <w:p w14:paraId="63FFAC26" w14:textId="1F1DE358" w:rsidR="005305CA" w:rsidRPr="00896579" w:rsidRDefault="005305CA" w:rsidP="002C1F10">
            <w:pPr>
              <w:pStyle w:val="Sarakstarindkopa1"/>
              <w:spacing w:after="0" w:line="240" w:lineRule="auto"/>
              <w:ind w:left="0"/>
              <w:jc w:val="both"/>
              <w:rPr>
                <w:rFonts w:ascii="Times New Roman" w:hAnsi="Times New Roman"/>
                <w:b/>
                <w:sz w:val="24"/>
                <w:szCs w:val="24"/>
                <w:lang w:val="lv-LV"/>
              </w:rPr>
            </w:pPr>
            <w:r w:rsidRPr="00896579">
              <w:rPr>
                <w:rFonts w:ascii="Times New Roman" w:hAnsi="Times New Roman"/>
                <w:b/>
                <w:sz w:val="24"/>
                <w:szCs w:val="24"/>
                <w:lang w:val="lv-LV"/>
              </w:rPr>
              <w:t xml:space="preserve">6.1.2. </w:t>
            </w:r>
            <w:r w:rsidR="009141B1" w:rsidRPr="008446F9">
              <w:rPr>
                <w:rFonts w:ascii="Times New Roman" w:hAnsi="Times New Roman"/>
                <w:color w:val="000000"/>
                <w:sz w:val="24"/>
                <w:szCs w:val="24"/>
                <w:lang w:eastAsia="lv-LV"/>
              </w:rPr>
              <w:t>par ārpus</w:t>
            </w:r>
            <w:r w:rsidR="009141B1" w:rsidRPr="008446F9">
              <w:rPr>
                <w:rFonts w:ascii="Times New Roman" w:hAnsi="Times New Roman"/>
                <w:b/>
                <w:bCs/>
                <w:color w:val="000000"/>
                <w:sz w:val="24"/>
                <w:szCs w:val="24"/>
                <w:lang w:eastAsia="lv-LV"/>
              </w:rPr>
              <w:t xml:space="preserve"> </w:t>
            </w:r>
            <w:r w:rsidR="009141B1" w:rsidRPr="008446F9">
              <w:rPr>
                <w:rFonts w:ascii="Times New Roman" w:hAnsi="Times New Roman"/>
                <w:color w:val="000000"/>
                <w:sz w:val="24"/>
                <w:szCs w:val="24"/>
                <w:lang w:eastAsia="lv-LV"/>
              </w:rPr>
              <w:t>Eiropas Ekonomikas zonas valstīm ražota uztura bagātinātāja reģistrāciju</w:t>
            </w:r>
            <w:r w:rsidR="009141B1" w:rsidRPr="008446F9">
              <w:rPr>
                <w:rFonts w:ascii="Times New Roman" w:hAnsi="Times New Roman"/>
                <w:sz w:val="24"/>
                <w:szCs w:val="24"/>
              </w:rPr>
              <w:t xml:space="preserve">, ja tas jau iepriekš ir paziņots vai laists tirgū kādā no Eiropas Ekonomikas zonas valstīm un Pārtikas un veterinārajā dienestā tiek iesniegta </w:t>
            </w:r>
            <w:r w:rsidR="009141B1" w:rsidRPr="008446F9">
              <w:rPr>
                <w:rFonts w:ascii="Times New Roman" w:hAnsi="Times New Roman"/>
                <w:color w:val="000000"/>
                <w:sz w:val="24"/>
                <w:szCs w:val="24"/>
                <w:lang w:eastAsia="fr-FR"/>
              </w:rPr>
              <w:t>attiecīgās dalībvalsts kompetentās iestādes izsniegta informācija par to, ka trešajā valstī ražots uztura bagātinātājs ir izplatīts kādā no Eiropas Ekonomikas zonas dalībvalstīm, vai šo faktu apliecinoša izdruka no publiski pieejama šīs dalībvalsts uztura bagātinātāju reģistra, saraksta vai datubāzes</w:t>
            </w:r>
            <w:r w:rsidR="009141B1">
              <w:rPr>
                <w:rFonts w:ascii="Times New Roman" w:hAnsi="Times New Roman"/>
                <w:color w:val="000000"/>
                <w:sz w:val="24"/>
                <w:szCs w:val="24"/>
                <w:lang w:eastAsia="fr-FR"/>
              </w:rPr>
              <w:t>;</w:t>
            </w:r>
          </w:p>
        </w:tc>
        <w:tc>
          <w:tcPr>
            <w:tcW w:w="722" w:type="pct"/>
            <w:tcBorders>
              <w:top w:val="nil"/>
              <w:left w:val="single" w:sz="6" w:space="0" w:color="auto"/>
              <w:bottom w:val="nil"/>
              <w:right w:val="single" w:sz="6" w:space="0" w:color="auto"/>
            </w:tcBorders>
            <w:shd w:val="clear" w:color="auto" w:fill="auto"/>
            <w:vAlign w:val="center"/>
          </w:tcPr>
          <w:p w14:paraId="627C0A57" w14:textId="4E21AE00" w:rsidR="005305CA" w:rsidRPr="00A34864" w:rsidRDefault="005305CA" w:rsidP="0058357C">
            <w:pPr>
              <w:spacing w:line="276" w:lineRule="auto"/>
              <w:jc w:val="center"/>
              <w:rPr>
                <w:i/>
                <w:color w:val="000000" w:themeColor="text1"/>
                <w:lang w:val="lv-LV"/>
              </w:rPr>
            </w:pPr>
            <w:r w:rsidRPr="00A34864">
              <w:rPr>
                <w:i/>
                <w:color w:val="000000" w:themeColor="text1"/>
                <w:lang w:val="lv-LV"/>
              </w:rPr>
              <w:t>0</w:t>
            </w:r>
            <w:r w:rsidR="002C1F10" w:rsidRPr="00A34864">
              <w:rPr>
                <w:i/>
                <w:color w:val="000000" w:themeColor="text1"/>
                <w:lang w:val="lv-LV"/>
              </w:rPr>
              <w:t>,0</w:t>
            </w:r>
          </w:p>
        </w:tc>
        <w:tc>
          <w:tcPr>
            <w:tcW w:w="720" w:type="pct"/>
            <w:tcBorders>
              <w:top w:val="nil"/>
              <w:left w:val="single" w:sz="6" w:space="0" w:color="auto"/>
              <w:bottom w:val="nil"/>
              <w:right w:val="single" w:sz="6" w:space="0" w:color="auto"/>
            </w:tcBorders>
            <w:shd w:val="clear" w:color="auto" w:fill="auto"/>
            <w:vAlign w:val="center"/>
          </w:tcPr>
          <w:p w14:paraId="4BA591F5" w14:textId="77777777" w:rsidR="005305CA" w:rsidRPr="00A34864" w:rsidRDefault="005305CA" w:rsidP="0058357C">
            <w:pPr>
              <w:spacing w:line="276" w:lineRule="auto"/>
              <w:jc w:val="center"/>
              <w:rPr>
                <w:i/>
                <w:color w:val="000000" w:themeColor="text1"/>
                <w:lang w:val="lv-LV"/>
              </w:rPr>
            </w:pPr>
            <w:r w:rsidRPr="00A34864">
              <w:rPr>
                <w:i/>
                <w:color w:val="000000" w:themeColor="text1"/>
                <w:lang w:val="lv-LV"/>
              </w:rPr>
              <w:t>0,0</w:t>
            </w:r>
          </w:p>
        </w:tc>
        <w:tc>
          <w:tcPr>
            <w:tcW w:w="709" w:type="pct"/>
            <w:tcBorders>
              <w:top w:val="nil"/>
              <w:left w:val="single" w:sz="6" w:space="0" w:color="auto"/>
              <w:bottom w:val="nil"/>
              <w:right w:val="single" w:sz="6" w:space="0" w:color="auto"/>
            </w:tcBorders>
            <w:shd w:val="clear" w:color="auto" w:fill="auto"/>
            <w:vAlign w:val="center"/>
          </w:tcPr>
          <w:p w14:paraId="29DD427D" w14:textId="77777777" w:rsidR="005305CA" w:rsidRPr="00A34864" w:rsidRDefault="005305CA" w:rsidP="0058357C">
            <w:pPr>
              <w:spacing w:line="276" w:lineRule="auto"/>
              <w:jc w:val="center"/>
              <w:rPr>
                <w:i/>
                <w:color w:val="000000" w:themeColor="text1"/>
                <w:lang w:val="lv-LV"/>
              </w:rPr>
            </w:pPr>
            <w:r w:rsidRPr="00A34864">
              <w:rPr>
                <w:i/>
                <w:color w:val="000000" w:themeColor="text1"/>
                <w:lang w:val="lv-LV"/>
              </w:rPr>
              <w:t>0,0</w:t>
            </w:r>
          </w:p>
        </w:tc>
        <w:tc>
          <w:tcPr>
            <w:tcW w:w="725" w:type="pct"/>
            <w:tcBorders>
              <w:top w:val="nil"/>
              <w:left w:val="single" w:sz="6" w:space="0" w:color="auto"/>
              <w:bottom w:val="nil"/>
              <w:right w:val="single" w:sz="6" w:space="0" w:color="auto"/>
            </w:tcBorders>
            <w:shd w:val="clear" w:color="auto" w:fill="auto"/>
            <w:vAlign w:val="center"/>
          </w:tcPr>
          <w:p w14:paraId="284C9120" w14:textId="7037C499" w:rsidR="005305CA" w:rsidRPr="00BB7E73" w:rsidRDefault="009141B1" w:rsidP="009141B1">
            <w:pPr>
              <w:spacing w:line="276" w:lineRule="auto"/>
              <w:jc w:val="center"/>
              <w:rPr>
                <w:i/>
                <w:color w:val="000000" w:themeColor="text1"/>
                <w:lang w:val="lv-LV"/>
              </w:rPr>
            </w:pPr>
            <w:r w:rsidRPr="00BB7E73">
              <w:rPr>
                <w:i/>
                <w:color w:val="000000" w:themeColor="text1"/>
                <w:lang w:val="lv-LV"/>
              </w:rPr>
              <w:t>42 630</w:t>
            </w:r>
          </w:p>
        </w:tc>
        <w:tc>
          <w:tcPr>
            <w:tcW w:w="646" w:type="pct"/>
            <w:tcBorders>
              <w:top w:val="nil"/>
              <w:left w:val="single" w:sz="6" w:space="0" w:color="auto"/>
              <w:bottom w:val="nil"/>
              <w:right w:val="single" w:sz="6" w:space="0" w:color="auto"/>
            </w:tcBorders>
            <w:shd w:val="clear" w:color="auto" w:fill="auto"/>
            <w:vAlign w:val="center"/>
          </w:tcPr>
          <w:p w14:paraId="1C6838B1" w14:textId="400486E2" w:rsidR="005305CA" w:rsidRPr="00BB7E73" w:rsidRDefault="009141B1" w:rsidP="009141B1">
            <w:pPr>
              <w:spacing w:line="276" w:lineRule="auto"/>
              <w:jc w:val="center"/>
              <w:rPr>
                <w:i/>
                <w:color w:val="000000" w:themeColor="text1"/>
                <w:lang w:val="lv-LV"/>
              </w:rPr>
            </w:pPr>
            <w:r w:rsidRPr="00BB7E73">
              <w:rPr>
                <w:i/>
                <w:color w:val="000000" w:themeColor="text1"/>
                <w:lang w:val="lv-LV"/>
              </w:rPr>
              <w:t>42 630</w:t>
            </w:r>
          </w:p>
        </w:tc>
      </w:tr>
      <w:tr w:rsidR="005305CA" w14:paraId="67363B51" w14:textId="77777777" w:rsidTr="00D24B0E">
        <w:trPr>
          <w:trHeight w:val="65"/>
          <w:jc w:val="center"/>
        </w:trPr>
        <w:tc>
          <w:tcPr>
            <w:tcW w:w="1478" w:type="pct"/>
            <w:tcBorders>
              <w:top w:val="nil"/>
              <w:left w:val="single" w:sz="6" w:space="0" w:color="auto"/>
              <w:bottom w:val="nil"/>
              <w:right w:val="single" w:sz="4" w:space="0" w:color="auto"/>
            </w:tcBorders>
            <w:shd w:val="clear" w:color="auto" w:fill="auto"/>
          </w:tcPr>
          <w:p w14:paraId="53C9DCEB" w14:textId="77777777" w:rsidR="005305CA" w:rsidRPr="00896579" w:rsidRDefault="005305CA" w:rsidP="005305CA">
            <w:pPr>
              <w:pStyle w:val="Sarakstarindkopa1"/>
              <w:spacing w:after="0" w:line="240" w:lineRule="auto"/>
              <w:ind w:left="0"/>
              <w:jc w:val="both"/>
              <w:rPr>
                <w:rFonts w:ascii="Times New Roman" w:hAnsi="Times New Roman"/>
                <w:color w:val="000000" w:themeColor="text1"/>
                <w:sz w:val="24"/>
                <w:szCs w:val="24"/>
                <w:lang w:val="lv-LV"/>
              </w:rPr>
            </w:pPr>
            <w:r w:rsidRPr="00896579">
              <w:rPr>
                <w:rFonts w:ascii="Times New Roman" w:hAnsi="Times New Roman"/>
                <w:b/>
                <w:sz w:val="24"/>
                <w:szCs w:val="24"/>
                <w:lang w:val="lv-LV"/>
              </w:rPr>
              <w:t>6.1.3.</w:t>
            </w:r>
            <w:r w:rsidRPr="00896579">
              <w:rPr>
                <w:rFonts w:ascii="Times New Roman" w:hAnsi="Times New Roman"/>
                <w:sz w:val="24"/>
                <w:szCs w:val="24"/>
                <w:lang w:val="lv-LV"/>
              </w:rPr>
              <w:t xml:space="preserve"> par ārpus Eiropas Ekonomikas zonas valstīm ražota uztura bagātinātāja pirmreizēju reģistrāciju</w:t>
            </w:r>
            <w:r w:rsidRPr="00896579">
              <w:rPr>
                <w:rFonts w:ascii="Times New Roman" w:hAnsi="Times New Roman"/>
                <w:color w:val="000000" w:themeColor="text1"/>
                <w:sz w:val="24"/>
                <w:szCs w:val="24"/>
                <w:lang w:val="lv-LV"/>
              </w:rPr>
              <w:t>;</w:t>
            </w:r>
          </w:p>
        </w:tc>
        <w:tc>
          <w:tcPr>
            <w:tcW w:w="722" w:type="pct"/>
            <w:tcBorders>
              <w:top w:val="nil"/>
              <w:left w:val="single" w:sz="4" w:space="0" w:color="auto"/>
              <w:bottom w:val="nil"/>
              <w:right w:val="single" w:sz="4" w:space="0" w:color="auto"/>
            </w:tcBorders>
            <w:shd w:val="clear" w:color="auto" w:fill="auto"/>
            <w:vAlign w:val="center"/>
          </w:tcPr>
          <w:p w14:paraId="022D0A2D" w14:textId="77777777" w:rsidR="005305CA" w:rsidRPr="00A34864" w:rsidRDefault="005305CA" w:rsidP="00985DF7">
            <w:pPr>
              <w:spacing w:line="276" w:lineRule="auto"/>
              <w:jc w:val="center"/>
              <w:rPr>
                <w:i/>
                <w:color w:val="000000" w:themeColor="text1"/>
                <w:lang w:val="lv-LV"/>
              </w:rPr>
            </w:pPr>
            <w:r w:rsidRPr="00A34864">
              <w:rPr>
                <w:i/>
                <w:color w:val="000000" w:themeColor="text1"/>
                <w:lang w:val="lv-LV"/>
              </w:rPr>
              <w:t>15 367</w:t>
            </w:r>
          </w:p>
        </w:tc>
        <w:tc>
          <w:tcPr>
            <w:tcW w:w="720" w:type="pct"/>
            <w:tcBorders>
              <w:top w:val="nil"/>
              <w:left w:val="single" w:sz="4" w:space="0" w:color="auto"/>
              <w:bottom w:val="nil"/>
              <w:right w:val="single" w:sz="4" w:space="0" w:color="auto"/>
            </w:tcBorders>
            <w:shd w:val="clear" w:color="auto" w:fill="auto"/>
            <w:vAlign w:val="center"/>
          </w:tcPr>
          <w:p w14:paraId="14EC1BEB" w14:textId="77777777" w:rsidR="005305CA" w:rsidRPr="00A34864" w:rsidRDefault="005305CA" w:rsidP="00985DF7">
            <w:pPr>
              <w:spacing w:line="276" w:lineRule="auto"/>
              <w:jc w:val="center"/>
              <w:rPr>
                <w:i/>
                <w:color w:val="000000" w:themeColor="text1"/>
                <w:lang w:val="lv-LV"/>
              </w:rPr>
            </w:pPr>
            <w:r w:rsidRPr="00A34864">
              <w:rPr>
                <w:i/>
                <w:color w:val="000000" w:themeColor="text1"/>
                <w:lang w:val="lv-LV"/>
              </w:rPr>
              <w:t>0,0</w:t>
            </w:r>
          </w:p>
        </w:tc>
        <w:tc>
          <w:tcPr>
            <w:tcW w:w="709" w:type="pct"/>
            <w:tcBorders>
              <w:top w:val="nil"/>
              <w:left w:val="single" w:sz="4" w:space="0" w:color="auto"/>
              <w:bottom w:val="nil"/>
              <w:right w:val="single" w:sz="4" w:space="0" w:color="auto"/>
            </w:tcBorders>
            <w:shd w:val="clear" w:color="auto" w:fill="auto"/>
            <w:vAlign w:val="center"/>
          </w:tcPr>
          <w:p w14:paraId="40F7C95C" w14:textId="77777777" w:rsidR="005305CA" w:rsidRPr="00A34864" w:rsidRDefault="005305CA" w:rsidP="00985DF7">
            <w:pPr>
              <w:spacing w:line="276" w:lineRule="auto"/>
              <w:jc w:val="center"/>
              <w:rPr>
                <w:i/>
                <w:color w:val="000000" w:themeColor="text1"/>
                <w:lang w:val="lv-LV"/>
              </w:rPr>
            </w:pPr>
            <w:r w:rsidRPr="00A34864">
              <w:rPr>
                <w:i/>
                <w:color w:val="000000" w:themeColor="text1"/>
                <w:lang w:val="lv-LV"/>
              </w:rPr>
              <w:t>0,0</w:t>
            </w:r>
          </w:p>
        </w:tc>
        <w:tc>
          <w:tcPr>
            <w:tcW w:w="725" w:type="pct"/>
            <w:tcBorders>
              <w:top w:val="nil"/>
              <w:left w:val="single" w:sz="4" w:space="0" w:color="auto"/>
              <w:bottom w:val="nil"/>
              <w:right w:val="single" w:sz="4" w:space="0" w:color="auto"/>
            </w:tcBorders>
            <w:shd w:val="clear" w:color="auto" w:fill="auto"/>
            <w:vAlign w:val="center"/>
          </w:tcPr>
          <w:p w14:paraId="7CF4A7BC" w14:textId="40D4B6A2" w:rsidR="005305CA" w:rsidRPr="00A34864" w:rsidRDefault="005305CA" w:rsidP="006334A9">
            <w:pPr>
              <w:spacing w:line="276" w:lineRule="auto"/>
              <w:jc w:val="center"/>
              <w:rPr>
                <w:i/>
                <w:color w:val="000000" w:themeColor="text1"/>
                <w:lang w:val="lv-LV"/>
              </w:rPr>
            </w:pPr>
            <w:r w:rsidRPr="00A34864">
              <w:rPr>
                <w:i/>
                <w:color w:val="000000" w:themeColor="text1"/>
                <w:lang w:val="lv-LV"/>
              </w:rPr>
              <w:t>–</w:t>
            </w:r>
            <w:r w:rsidR="001D435A" w:rsidRPr="00A34864">
              <w:rPr>
                <w:i/>
                <w:color w:val="000000" w:themeColor="text1"/>
                <w:lang w:val="lv-LV"/>
              </w:rPr>
              <w:t xml:space="preserve">2 </w:t>
            </w:r>
            <w:r w:rsidR="006334A9" w:rsidRPr="00A34864">
              <w:rPr>
                <w:i/>
                <w:color w:val="000000" w:themeColor="text1"/>
                <w:lang w:val="lv-LV"/>
              </w:rPr>
              <w:t>067</w:t>
            </w:r>
          </w:p>
        </w:tc>
        <w:tc>
          <w:tcPr>
            <w:tcW w:w="646" w:type="pct"/>
            <w:tcBorders>
              <w:top w:val="nil"/>
              <w:left w:val="single" w:sz="4" w:space="0" w:color="auto"/>
              <w:bottom w:val="nil"/>
              <w:right w:val="single" w:sz="4" w:space="0" w:color="auto"/>
            </w:tcBorders>
            <w:shd w:val="clear" w:color="auto" w:fill="auto"/>
            <w:vAlign w:val="center"/>
          </w:tcPr>
          <w:p w14:paraId="50D3C4EB" w14:textId="7BAD6282" w:rsidR="005305CA" w:rsidRPr="00A34864" w:rsidRDefault="005305CA" w:rsidP="006334A9">
            <w:pPr>
              <w:spacing w:line="276" w:lineRule="auto"/>
              <w:jc w:val="center"/>
              <w:rPr>
                <w:i/>
                <w:color w:val="000000" w:themeColor="text1"/>
                <w:lang w:val="lv-LV"/>
              </w:rPr>
            </w:pPr>
            <w:r w:rsidRPr="00A34864">
              <w:rPr>
                <w:i/>
                <w:color w:val="000000" w:themeColor="text1"/>
                <w:lang w:val="lv-LV"/>
              </w:rPr>
              <w:t>–</w:t>
            </w:r>
            <w:r w:rsidR="001D435A" w:rsidRPr="00A34864">
              <w:rPr>
                <w:i/>
                <w:color w:val="000000" w:themeColor="text1"/>
                <w:lang w:val="lv-LV"/>
              </w:rPr>
              <w:t xml:space="preserve">2 </w:t>
            </w:r>
            <w:r w:rsidR="006334A9" w:rsidRPr="00A34864">
              <w:rPr>
                <w:i/>
                <w:color w:val="000000" w:themeColor="text1"/>
                <w:lang w:val="lv-LV"/>
              </w:rPr>
              <w:t>067</w:t>
            </w:r>
          </w:p>
        </w:tc>
      </w:tr>
      <w:tr w:rsidR="005305CA" w14:paraId="1DAA5AFD" w14:textId="77777777" w:rsidTr="00D24B0E">
        <w:trPr>
          <w:trHeight w:val="65"/>
          <w:jc w:val="center"/>
        </w:trPr>
        <w:tc>
          <w:tcPr>
            <w:tcW w:w="1478" w:type="pct"/>
            <w:tcBorders>
              <w:top w:val="nil"/>
              <w:left w:val="single" w:sz="6" w:space="0" w:color="auto"/>
              <w:bottom w:val="nil"/>
              <w:right w:val="single" w:sz="4" w:space="0" w:color="auto"/>
            </w:tcBorders>
            <w:shd w:val="clear" w:color="auto" w:fill="auto"/>
          </w:tcPr>
          <w:p w14:paraId="268E8B5D" w14:textId="77777777" w:rsidR="005305CA" w:rsidRPr="00896579" w:rsidRDefault="005305CA" w:rsidP="001D435A">
            <w:pPr>
              <w:pStyle w:val="Sarakstarindkopa1"/>
              <w:spacing w:after="0" w:line="240" w:lineRule="auto"/>
              <w:ind w:left="0"/>
              <w:jc w:val="both"/>
              <w:rPr>
                <w:rFonts w:ascii="Times New Roman" w:hAnsi="Times New Roman"/>
                <w:sz w:val="24"/>
                <w:szCs w:val="24"/>
                <w:lang w:val="lv-LV"/>
              </w:rPr>
            </w:pPr>
            <w:r w:rsidRPr="00896579">
              <w:rPr>
                <w:rFonts w:ascii="Times New Roman" w:hAnsi="Times New Roman"/>
                <w:b/>
                <w:sz w:val="24"/>
                <w:szCs w:val="24"/>
                <w:lang w:val="lv-LV"/>
              </w:rPr>
              <w:t xml:space="preserve">6.1.4. </w:t>
            </w:r>
            <w:r w:rsidR="001D435A" w:rsidRPr="00896579">
              <w:rPr>
                <w:rFonts w:ascii="Times New Roman" w:hAnsi="Times New Roman"/>
                <w:sz w:val="24"/>
                <w:szCs w:val="24"/>
                <w:lang w:val="lv-LV"/>
              </w:rPr>
              <w:t>p</w:t>
            </w:r>
            <w:r w:rsidRPr="00896579">
              <w:rPr>
                <w:rFonts w:ascii="Times New Roman" w:hAnsi="Times New Roman"/>
                <w:sz w:val="24"/>
                <w:szCs w:val="24"/>
                <w:lang w:val="lv-LV"/>
              </w:rPr>
              <w:t xml:space="preserve">ar katra papildu uztura bagātinātāja ar </w:t>
            </w:r>
            <w:r w:rsidRPr="00896579">
              <w:rPr>
                <w:rFonts w:ascii="Times New Roman" w:hAnsi="Times New Roman"/>
                <w:sz w:val="24"/>
                <w:szCs w:val="24"/>
                <w:lang w:val="lv-LV"/>
              </w:rPr>
              <w:lastRenderedPageBreak/>
              <w:t>atšķirīgām organoleptiskajām īpašībām (piemēram, garšu, smaržu);</w:t>
            </w:r>
          </w:p>
        </w:tc>
        <w:tc>
          <w:tcPr>
            <w:tcW w:w="722" w:type="pct"/>
            <w:tcBorders>
              <w:top w:val="nil"/>
              <w:left w:val="single" w:sz="4" w:space="0" w:color="auto"/>
              <w:bottom w:val="nil"/>
              <w:right w:val="single" w:sz="4" w:space="0" w:color="auto"/>
            </w:tcBorders>
            <w:shd w:val="clear" w:color="auto" w:fill="auto"/>
            <w:vAlign w:val="center"/>
          </w:tcPr>
          <w:p w14:paraId="458528B4" w14:textId="77777777" w:rsidR="005305CA" w:rsidRPr="00A34864" w:rsidRDefault="005305CA" w:rsidP="00985DF7">
            <w:pPr>
              <w:spacing w:line="276" w:lineRule="auto"/>
              <w:jc w:val="center"/>
              <w:rPr>
                <w:i/>
                <w:color w:val="000000" w:themeColor="text1"/>
                <w:lang w:val="lv-LV"/>
              </w:rPr>
            </w:pPr>
            <w:r w:rsidRPr="00A34864">
              <w:rPr>
                <w:i/>
                <w:color w:val="000000" w:themeColor="text1"/>
                <w:lang w:val="lv-LV"/>
              </w:rPr>
              <w:lastRenderedPageBreak/>
              <w:t>0,0</w:t>
            </w:r>
          </w:p>
        </w:tc>
        <w:tc>
          <w:tcPr>
            <w:tcW w:w="720" w:type="pct"/>
            <w:tcBorders>
              <w:top w:val="nil"/>
              <w:left w:val="single" w:sz="4" w:space="0" w:color="auto"/>
              <w:bottom w:val="nil"/>
              <w:right w:val="single" w:sz="4" w:space="0" w:color="auto"/>
            </w:tcBorders>
            <w:shd w:val="clear" w:color="auto" w:fill="auto"/>
            <w:vAlign w:val="center"/>
          </w:tcPr>
          <w:p w14:paraId="20776AE4" w14:textId="77777777" w:rsidR="005305CA" w:rsidRPr="00A34864" w:rsidRDefault="005305CA" w:rsidP="00985DF7">
            <w:pPr>
              <w:spacing w:line="276" w:lineRule="auto"/>
              <w:jc w:val="center"/>
              <w:rPr>
                <w:i/>
                <w:color w:val="000000" w:themeColor="text1"/>
                <w:lang w:val="lv-LV"/>
              </w:rPr>
            </w:pPr>
            <w:r w:rsidRPr="00A34864">
              <w:rPr>
                <w:i/>
                <w:color w:val="000000" w:themeColor="text1"/>
                <w:lang w:val="lv-LV"/>
              </w:rPr>
              <w:t>0,0</w:t>
            </w:r>
          </w:p>
        </w:tc>
        <w:tc>
          <w:tcPr>
            <w:tcW w:w="709" w:type="pct"/>
            <w:tcBorders>
              <w:top w:val="nil"/>
              <w:left w:val="single" w:sz="4" w:space="0" w:color="auto"/>
              <w:bottom w:val="nil"/>
              <w:right w:val="single" w:sz="4" w:space="0" w:color="auto"/>
            </w:tcBorders>
            <w:shd w:val="clear" w:color="auto" w:fill="auto"/>
            <w:vAlign w:val="center"/>
          </w:tcPr>
          <w:p w14:paraId="204C7D14" w14:textId="77777777" w:rsidR="005305CA" w:rsidRPr="00A34864" w:rsidRDefault="005305CA" w:rsidP="00985DF7">
            <w:pPr>
              <w:spacing w:line="276" w:lineRule="auto"/>
              <w:jc w:val="center"/>
              <w:rPr>
                <w:i/>
                <w:color w:val="000000" w:themeColor="text1"/>
                <w:lang w:val="lv-LV"/>
              </w:rPr>
            </w:pPr>
            <w:r w:rsidRPr="00A34864">
              <w:rPr>
                <w:i/>
                <w:color w:val="000000" w:themeColor="text1"/>
                <w:lang w:val="lv-LV"/>
              </w:rPr>
              <w:t>0,0</w:t>
            </w:r>
          </w:p>
        </w:tc>
        <w:tc>
          <w:tcPr>
            <w:tcW w:w="725" w:type="pct"/>
            <w:tcBorders>
              <w:top w:val="nil"/>
              <w:left w:val="single" w:sz="4" w:space="0" w:color="auto"/>
              <w:bottom w:val="nil"/>
              <w:right w:val="single" w:sz="4" w:space="0" w:color="auto"/>
            </w:tcBorders>
            <w:shd w:val="clear" w:color="auto" w:fill="auto"/>
            <w:vAlign w:val="center"/>
          </w:tcPr>
          <w:p w14:paraId="31673059" w14:textId="3CFD9777" w:rsidR="005305CA" w:rsidRPr="00A34864" w:rsidRDefault="005305CA" w:rsidP="006334A9">
            <w:pPr>
              <w:spacing w:line="276" w:lineRule="auto"/>
              <w:jc w:val="center"/>
              <w:rPr>
                <w:i/>
                <w:color w:val="000000" w:themeColor="text1"/>
                <w:lang w:val="lv-LV"/>
              </w:rPr>
            </w:pPr>
            <w:r w:rsidRPr="00A34864">
              <w:rPr>
                <w:i/>
                <w:color w:val="000000" w:themeColor="text1"/>
                <w:lang w:val="lv-LV"/>
              </w:rPr>
              <w:t xml:space="preserve">1 </w:t>
            </w:r>
            <w:r w:rsidR="006334A9" w:rsidRPr="00A34864">
              <w:rPr>
                <w:i/>
                <w:color w:val="000000" w:themeColor="text1"/>
                <w:lang w:val="lv-LV"/>
              </w:rPr>
              <w:t>750</w:t>
            </w:r>
          </w:p>
        </w:tc>
        <w:tc>
          <w:tcPr>
            <w:tcW w:w="646" w:type="pct"/>
            <w:tcBorders>
              <w:top w:val="nil"/>
              <w:left w:val="single" w:sz="4" w:space="0" w:color="auto"/>
              <w:bottom w:val="nil"/>
              <w:right w:val="single" w:sz="4" w:space="0" w:color="auto"/>
            </w:tcBorders>
            <w:shd w:val="clear" w:color="auto" w:fill="auto"/>
            <w:vAlign w:val="center"/>
          </w:tcPr>
          <w:p w14:paraId="5EB69621" w14:textId="19EE8024" w:rsidR="005305CA" w:rsidRPr="00A34864" w:rsidRDefault="005305CA" w:rsidP="006334A9">
            <w:pPr>
              <w:spacing w:line="276" w:lineRule="auto"/>
              <w:jc w:val="center"/>
              <w:rPr>
                <w:i/>
                <w:color w:val="000000" w:themeColor="text1"/>
                <w:lang w:val="lv-LV"/>
              </w:rPr>
            </w:pPr>
            <w:r w:rsidRPr="00A34864">
              <w:rPr>
                <w:i/>
                <w:color w:val="000000" w:themeColor="text1"/>
                <w:lang w:val="lv-LV"/>
              </w:rPr>
              <w:t xml:space="preserve">1 </w:t>
            </w:r>
            <w:r w:rsidR="006334A9" w:rsidRPr="00A34864">
              <w:rPr>
                <w:i/>
                <w:color w:val="000000" w:themeColor="text1"/>
                <w:lang w:val="lv-LV"/>
              </w:rPr>
              <w:t>750</w:t>
            </w:r>
          </w:p>
        </w:tc>
      </w:tr>
      <w:tr w:rsidR="005305CA" w14:paraId="58B65730" w14:textId="77777777" w:rsidTr="00D24B0E">
        <w:trPr>
          <w:trHeight w:val="65"/>
          <w:jc w:val="center"/>
        </w:trPr>
        <w:tc>
          <w:tcPr>
            <w:tcW w:w="1478" w:type="pct"/>
            <w:tcBorders>
              <w:top w:val="nil"/>
              <w:left w:val="single" w:sz="6" w:space="0" w:color="auto"/>
              <w:bottom w:val="nil"/>
              <w:right w:val="single" w:sz="4" w:space="0" w:color="auto"/>
            </w:tcBorders>
            <w:shd w:val="clear" w:color="auto" w:fill="auto"/>
          </w:tcPr>
          <w:p w14:paraId="2B715E13" w14:textId="77777777" w:rsidR="005305CA" w:rsidRPr="00896579" w:rsidRDefault="005305CA" w:rsidP="005305CA">
            <w:pPr>
              <w:pStyle w:val="Sarakstarindkopa1"/>
              <w:spacing w:after="0" w:line="240" w:lineRule="auto"/>
              <w:ind w:left="0"/>
              <w:jc w:val="both"/>
              <w:rPr>
                <w:rFonts w:ascii="Times New Roman" w:hAnsi="Times New Roman"/>
                <w:color w:val="000000" w:themeColor="text1"/>
                <w:sz w:val="24"/>
                <w:szCs w:val="24"/>
                <w:lang w:val="lv-LV"/>
              </w:rPr>
            </w:pPr>
            <w:r w:rsidRPr="00896579">
              <w:rPr>
                <w:rFonts w:ascii="Times New Roman" w:hAnsi="Times New Roman"/>
                <w:b/>
                <w:sz w:val="24"/>
                <w:szCs w:val="24"/>
                <w:lang w:val="lv-LV"/>
              </w:rPr>
              <w:lastRenderedPageBreak/>
              <w:t>6.1.5.</w:t>
            </w:r>
            <w:r w:rsidRPr="00896579">
              <w:rPr>
                <w:rFonts w:ascii="Times New Roman" w:hAnsi="Times New Roman"/>
                <w:sz w:val="24"/>
                <w:szCs w:val="24"/>
                <w:lang w:val="lv-LV"/>
              </w:rPr>
              <w:t xml:space="preserve"> valsts nodeva par izmaiņu reģistrēšanu uztura bagātinātāju reģistrā esošam uztura bagātinātājam:</w:t>
            </w:r>
          </w:p>
        </w:tc>
        <w:tc>
          <w:tcPr>
            <w:tcW w:w="722" w:type="pct"/>
            <w:tcBorders>
              <w:top w:val="nil"/>
              <w:left w:val="single" w:sz="4" w:space="0" w:color="auto"/>
              <w:bottom w:val="nil"/>
              <w:right w:val="single" w:sz="4" w:space="0" w:color="auto"/>
            </w:tcBorders>
            <w:shd w:val="clear" w:color="auto" w:fill="auto"/>
            <w:vAlign w:val="center"/>
          </w:tcPr>
          <w:p w14:paraId="3732C14A" w14:textId="77777777" w:rsidR="005305CA" w:rsidRPr="00A34864" w:rsidRDefault="005305CA" w:rsidP="00985DF7">
            <w:pPr>
              <w:spacing w:line="276" w:lineRule="auto"/>
              <w:jc w:val="center"/>
              <w:rPr>
                <w:i/>
                <w:color w:val="000000" w:themeColor="text1"/>
                <w:lang w:val="lv-LV"/>
              </w:rPr>
            </w:pPr>
            <w:r w:rsidRPr="00A34864">
              <w:rPr>
                <w:i/>
                <w:color w:val="000000" w:themeColor="text1"/>
                <w:lang w:val="lv-LV"/>
              </w:rPr>
              <w:t>12 978</w:t>
            </w:r>
          </w:p>
        </w:tc>
        <w:tc>
          <w:tcPr>
            <w:tcW w:w="720" w:type="pct"/>
            <w:tcBorders>
              <w:top w:val="nil"/>
              <w:left w:val="single" w:sz="4" w:space="0" w:color="auto"/>
              <w:bottom w:val="nil"/>
              <w:right w:val="single" w:sz="4" w:space="0" w:color="auto"/>
            </w:tcBorders>
            <w:shd w:val="clear" w:color="auto" w:fill="auto"/>
            <w:vAlign w:val="center"/>
          </w:tcPr>
          <w:p w14:paraId="312E0B2D" w14:textId="77777777" w:rsidR="005305CA" w:rsidRPr="00A34864" w:rsidRDefault="005305CA" w:rsidP="00985DF7">
            <w:pPr>
              <w:spacing w:line="276" w:lineRule="auto"/>
              <w:jc w:val="center"/>
              <w:rPr>
                <w:i/>
                <w:color w:val="000000" w:themeColor="text1"/>
                <w:lang w:val="lv-LV"/>
              </w:rPr>
            </w:pPr>
            <w:r w:rsidRPr="00A34864">
              <w:rPr>
                <w:i/>
                <w:color w:val="000000" w:themeColor="text1"/>
                <w:lang w:val="lv-LV"/>
              </w:rPr>
              <w:t>0,0</w:t>
            </w:r>
          </w:p>
        </w:tc>
        <w:tc>
          <w:tcPr>
            <w:tcW w:w="709" w:type="pct"/>
            <w:tcBorders>
              <w:top w:val="nil"/>
              <w:left w:val="single" w:sz="4" w:space="0" w:color="auto"/>
              <w:bottom w:val="nil"/>
              <w:right w:val="single" w:sz="4" w:space="0" w:color="auto"/>
            </w:tcBorders>
            <w:shd w:val="clear" w:color="auto" w:fill="auto"/>
            <w:vAlign w:val="center"/>
          </w:tcPr>
          <w:p w14:paraId="4E6F8847" w14:textId="77777777" w:rsidR="005305CA" w:rsidRPr="00A34864" w:rsidRDefault="005305CA" w:rsidP="00985DF7">
            <w:pPr>
              <w:spacing w:line="276" w:lineRule="auto"/>
              <w:jc w:val="center"/>
              <w:rPr>
                <w:i/>
                <w:color w:val="000000" w:themeColor="text1"/>
                <w:lang w:val="lv-LV"/>
              </w:rPr>
            </w:pPr>
            <w:r w:rsidRPr="00A34864">
              <w:rPr>
                <w:i/>
                <w:color w:val="000000" w:themeColor="text1"/>
                <w:lang w:val="lv-LV"/>
              </w:rPr>
              <w:t>0,0</w:t>
            </w:r>
          </w:p>
        </w:tc>
        <w:tc>
          <w:tcPr>
            <w:tcW w:w="725" w:type="pct"/>
            <w:tcBorders>
              <w:top w:val="nil"/>
              <w:left w:val="single" w:sz="4" w:space="0" w:color="auto"/>
              <w:bottom w:val="nil"/>
              <w:right w:val="single" w:sz="4" w:space="0" w:color="auto"/>
            </w:tcBorders>
            <w:shd w:val="clear" w:color="auto" w:fill="auto"/>
            <w:vAlign w:val="center"/>
          </w:tcPr>
          <w:p w14:paraId="27CBD7D9" w14:textId="76712E73" w:rsidR="005305CA" w:rsidRPr="00A34864" w:rsidRDefault="006334A9" w:rsidP="006334A9">
            <w:pPr>
              <w:spacing w:line="276" w:lineRule="auto"/>
              <w:jc w:val="center"/>
              <w:rPr>
                <w:i/>
                <w:color w:val="000000" w:themeColor="text1"/>
                <w:lang w:val="lv-LV"/>
              </w:rPr>
            </w:pPr>
            <w:r w:rsidRPr="00A34864">
              <w:rPr>
                <w:i/>
                <w:color w:val="000000" w:themeColor="text1"/>
                <w:lang w:val="lv-LV"/>
              </w:rPr>
              <w:t>31</w:t>
            </w:r>
            <w:r w:rsidR="005305CA" w:rsidRPr="00A34864">
              <w:rPr>
                <w:i/>
                <w:color w:val="000000" w:themeColor="text1"/>
                <w:lang w:val="lv-LV"/>
              </w:rPr>
              <w:t> </w:t>
            </w:r>
            <w:r w:rsidRPr="00A34864">
              <w:rPr>
                <w:i/>
                <w:color w:val="000000" w:themeColor="text1"/>
                <w:lang w:val="lv-LV"/>
              </w:rPr>
              <w:t>022</w:t>
            </w:r>
          </w:p>
        </w:tc>
        <w:tc>
          <w:tcPr>
            <w:tcW w:w="646" w:type="pct"/>
            <w:tcBorders>
              <w:top w:val="nil"/>
              <w:left w:val="single" w:sz="4" w:space="0" w:color="auto"/>
              <w:bottom w:val="nil"/>
              <w:right w:val="single" w:sz="4" w:space="0" w:color="auto"/>
            </w:tcBorders>
            <w:shd w:val="clear" w:color="auto" w:fill="auto"/>
            <w:vAlign w:val="center"/>
          </w:tcPr>
          <w:p w14:paraId="52246152" w14:textId="0A6DDF0D" w:rsidR="005305CA" w:rsidRPr="00A34864" w:rsidRDefault="006334A9" w:rsidP="006334A9">
            <w:pPr>
              <w:spacing w:line="276" w:lineRule="auto"/>
              <w:jc w:val="center"/>
              <w:rPr>
                <w:i/>
                <w:color w:val="000000" w:themeColor="text1"/>
                <w:lang w:val="lv-LV"/>
              </w:rPr>
            </w:pPr>
            <w:r w:rsidRPr="00A34864">
              <w:rPr>
                <w:i/>
                <w:color w:val="000000" w:themeColor="text1"/>
                <w:lang w:val="lv-LV"/>
              </w:rPr>
              <w:t>31</w:t>
            </w:r>
            <w:r w:rsidR="005305CA" w:rsidRPr="00A34864">
              <w:rPr>
                <w:i/>
                <w:color w:val="000000" w:themeColor="text1"/>
                <w:lang w:val="lv-LV"/>
              </w:rPr>
              <w:t> </w:t>
            </w:r>
            <w:r w:rsidRPr="00A34864">
              <w:rPr>
                <w:i/>
                <w:color w:val="000000" w:themeColor="text1"/>
                <w:lang w:val="lv-LV"/>
              </w:rPr>
              <w:t>022</w:t>
            </w:r>
          </w:p>
        </w:tc>
      </w:tr>
      <w:tr w:rsidR="005305CA" w14:paraId="4BFD1433" w14:textId="77777777" w:rsidTr="00D24B0E">
        <w:trPr>
          <w:trHeight w:val="65"/>
          <w:jc w:val="center"/>
        </w:trPr>
        <w:tc>
          <w:tcPr>
            <w:tcW w:w="1478" w:type="pct"/>
            <w:tcBorders>
              <w:top w:val="nil"/>
              <w:left w:val="single" w:sz="6" w:space="0" w:color="auto"/>
              <w:bottom w:val="nil"/>
              <w:right w:val="single" w:sz="4" w:space="0" w:color="auto"/>
            </w:tcBorders>
            <w:shd w:val="clear" w:color="auto" w:fill="auto"/>
          </w:tcPr>
          <w:p w14:paraId="663BA274" w14:textId="77777777" w:rsidR="005305CA" w:rsidRPr="00896579" w:rsidRDefault="005305CA" w:rsidP="00CD5331">
            <w:pPr>
              <w:pStyle w:val="Sarakstarindkopa1"/>
              <w:spacing w:after="0" w:line="240" w:lineRule="auto"/>
              <w:ind w:left="0"/>
              <w:jc w:val="both"/>
              <w:rPr>
                <w:rFonts w:ascii="Times New Roman" w:hAnsi="Times New Roman"/>
                <w:sz w:val="24"/>
                <w:szCs w:val="24"/>
                <w:lang w:val="lv-LV"/>
              </w:rPr>
            </w:pPr>
            <w:r w:rsidRPr="00896579">
              <w:rPr>
                <w:rFonts w:ascii="Times New Roman" w:hAnsi="Times New Roman"/>
                <w:b/>
                <w:sz w:val="24"/>
                <w:szCs w:val="24"/>
                <w:lang w:val="lv-LV"/>
              </w:rPr>
              <w:t>6.1.5.1.</w:t>
            </w:r>
            <w:r w:rsidRPr="00896579">
              <w:rPr>
                <w:rFonts w:ascii="Times New Roman" w:hAnsi="Times New Roman"/>
                <w:sz w:val="24"/>
                <w:szCs w:val="24"/>
                <w:lang w:val="lv-LV"/>
              </w:rPr>
              <w:t xml:space="preserve"> </w:t>
            </w:r>
            <w:r w:rsidRPr="00896579">
              <w:rPr>
                <w:rFonts w:ascii="Times New Roman" w:hAnsi="Times New Roman"/>
                <w:color w:val="000000" w:themeColor="text1"/>
                <w:sz w:val="24"/>
                <w:szCs w:val="24"/>
                <w:lang w:val="lv-LV" w:eastAsia="fr-FR"/>
              </w:rPr>
              <w:t>mainot uztura bagātinātāja pagatavojuma veidu, fasējuma vienības lielumu, ieteicamo dienas (diennakts) devu, sastāvdaļas vai sastāvdaļu daudzumu</w:t>
            </w:r>
            <w:r w:rsidRPr="00896579">
              <w:rPr>
                <w:rFonts w:ascii="Times New Roman" w:hAnsi="Times New Roman"/>
                <w:sz w:val="24"/>
                <w:szCs w:val="24"/>
                <w:lang w:val="lv-LV"/>
              </w:rPr>
              <w:t>;</w:t>
            </w:r>
          </w:p>
        </w:tc>
        <w:tc>
          <w:tcPr>
            <w:tcW w:w="722" w:type="pct"/>
            <w:tcBorders>
              <w:top w:val="nil"/>
              <w:left w:val="single" w:sz="4" w:space="0" w:color="auto"/>
              <w:bottom w:val="nil"/>
              <w:right w:val="single" w:sz="4" w:space="0" w:color="auto"/>
            </w:tcBorders>
            <w:shd w:val="clear" w:color="auto" w:fill="auto"/>
            <w:vAlign w:val="center"/>
          </w:tcPr>
          <w:p w14:paraId="5942B7D8" w14:textId="77777777" w:rsidR="005305CA" w:rsidRPr="00A34864" w:rsidRDefault="005305CA" w:rsidP="001073F5">
            <w:pPr>
              <w:spacing w:line="276" w:lineRule="auto"/>
              <w:jc w:val="center"/>
              <w:rPr>
                <w:i/>
                <w:color w:val="000000" w:themeColor="text1"/>
                <w:lang w:val="lv-LV"/>
              </w:rPr>
            </w:pPr>
            <w:r w:rsidRPr="00A34864">
              <w:rPr>
                <w:i/>
                <w:color w:val="000000" w:themeColor="text1"/>
                <w:lang w:val="lv-LV"/>
              </w:rPr>
              <w:t>12 978</w:t>
            </w:r>
          </w:p>
          <w:p w14:paraId="6F93B481" w14:textId="77777777" w:rsidR="005305CA" w:rsidRPr="00A34864" w:rsidRDefault="005305CA" w:rsidP="001073F5">
            <w:pPr>
              <w:spacing w:line="276" w:lineRule="auto"/>
              <w:jc w:val="center"/>
              <w:rPr>
                <w:i/>
                <w:color w:val="000000" w:themeColor="text1"/>
                <w:lang w:val="lv-LV"/>
              </w:rPr>
            </w:pPr>
          </w:p>
        </w:tc>
        <w:tc>
          <w:tcPr>
            <w:tcW w:w="720" w:type="pct"/>
            <w:tcBorders>
              <w:top w:val="nil"/>
              <w:left w:val="single" w:sz="4" w:space="0" w:color="auto"/>
              <w:bottom w:val="nil"/>
              <w:right w:val="single" w:sz="4" w:space="0" w:color="auto"/>
            </w:tcBorders>
            <w:shd w:val="clear" w:color="auto" w:fill="auto"/>
            <w:vAlign w:val="center"/>
          </w:tcPr>
          <w:p w14:paraId="6508C4E1" w14:textId="77777777" w:rsidR="005305CA" w:rsidRPr="00A34864" w:rsidRDefault="005305CA" w:rsidP="001073F5">
            <w:pPr>
              <w:spacing w:line="276" w:lineRule="auto"/>
              <w:jc w:val="center"/>
              <w:rPr>
                <w:i/>
                <w:color w:val="000000" w:themeColor="text1"/>
                <w:lang w:val="lv-LV"/>
              </w:rPr>
            </w:pPr>
            <w:r w:rsidRPr="00A34864">
              <w:rPr>
                <w:i/>
                <w:color w:val="000000" w:themeColor="text1"/>
                <w:lang w:val="lv-LV"/>
              </w:rPr>
              <w:t>0,0</w:t>
            </w:r>
          </w:p>
          <w:p w14:paraId="1C75C80D" w14:textId="77777777" w:rsidR="005305CA" w:rsidRPr="00A34864" w:rsidRDefault="005305CA" w:rsidP="001073F5">
            <w:pPr>
              <w:spacing w:line="276" w:lineRule="auto"/>
              <w:jc w:val="center"/>
              <w:rPr>
                <w:i/>
                <w:color w:val="000000" w:themeColor="text1"/>
                <w:lang w:val="lv-LV"/>
              </w:rPr>
            </w:pPr>
          </w:p>
        </w:tc>
        <w:tc>
          <w:tcPr>
            <w:tcW w:w="709" w:type="pct"/>
            <w:tcBorders>
              <w:top w:val="nil"/>
              <w:left w:val="single" w:sz="4" w:space="0" w:color="auto"/>
              <w:bottom w:val="nil"/>
              <w:right w:val="single" w:sz="4" w:space="0" w:color="auto"/>
            </w:tcBorders>
            <w:shd w:val="clear" w:color="auto" w:fill="auto"/>
            <w:vAlign w:val="center"/>
          </w:tcPr>
          <w:p w14:paraId="763AAB71" w14:textId="77777777" w:rsidR="005305CA" w:rsidRPr="00A34864" w:rsidRDefault="005305CA" w:rsidP="001073F5">
            <w:pPr>
              <w:spacing w:line="276" w:lineRule="auto"/>
              <w:jc w:val="center"/>
              <w:rPr>
                <w:i/>
                <w:color w:val="000000" w:themeColor="text1"/>
                <w:lang w:val="lv-LV"/>
              </w:rPr>
            </w:pPr>
            <w:r w:rsidRPr="00A34864">
              <w:rPr>
                <w:i/>
                <w:color w:val="000000" w:themeColor="text1"/>
                <w:lang w:val="lv-LV"/>
              </w:rPr>
              <w:t>0,0</w:t>
            </w:r>
          </w:p>
          <w:p w14:paraId="43D002B7" w14:textId="77777777" w:rsidR="005305CA" w:rsidRPr="00A34864" w:rsidRDefault="005305CA" w:rsidP="001073F5">
            <w:pPr>
              <w:spacing w:line="276" w:lineRule="auto"/>
              <w:jc w:val="center"/>
              <w:rPr>
                <w:i/>
                <w:color w:val="000000" w:themeColor="text1"/>
                <w:lang w:val="lv-LV"/>
              </w:rPr>
            </w:pPr>
          </w:p>
        </w:tc>
        <w:tc>
          <w:tcPr>
            <w:tcW w:w="725" w:type="pct"/>
            <w:tcBorders>
              <w:top w:val="nil"/>
              <w:left w:val="single" w:sz="4" w:space="0" w:color="auto"/>
              <w:bottom w:val="nil"/>
              <w:right w:val="single" w:sz="4" w:space="0" w:color="auto"/>
            </w:tcBorders>
            <w:shd w:val="clear" w:color="auto" w:fill="auto"/>
            <w:vAlign w:val="center"/>
          </w:tcPr>
          <w:p w14:paraId="3A16DA24" w14:textId="01086AC5" w:rsidR="005305CA" w:rsidRPr="00A34864" w:rsidRDefault="005305CA" w:rsidP="001073F5">
            <w:pPr>
              <w:spacing w:line="276" w:lineRule="auto"/>
              <w:jc w:val="center"/>
              <w:rPr>
                <w:i/>
                <w:color w:val="000000" w:themeColor="text1"/>
                <w:lang w:val="lv-LV"/>
              </w:rPr>
            </w:pPr>
            <w:r w:rsidRPr="00A34864">
              <w:rPr>
                <w:i/>
                <w:color w:val="000000" w:themeColor="text1"/>
                <w:lang w:val="lv-LV"/>
              </w:rPr>
              <w:t>2</w:t>
            </w:r>
            <w:r w:rsidR="006334A9" w:rsidRPr="00A34864">
              <w:rPr>
                <w:i/>
                <w:color w:val="000000" w:themeColor="text1"/>
                <w:lang w:val="lv-LV"/>
              </w:rPr>
              <w:t>9 52</w:t>
            </w:r>
            <w:r w:rsidRPr="00A34864">
              <w:rPr>
                <w:i/>
                <w:color w:val="000000" w:themeColor="text1"/>
                <w:lang w:val="lv-LV"/>
              </w:rPr>
              <w:t>2</w:t>
            </w:r>
          </w:p>
          <w:p w14:paraId="19BB7B1C" w14:textId="77777777" w:rsidR="005305CA" w:rsidRPr="00A34864" w:rsidRDefault="005305CA" w:rsidP="001073F5">
            <w:pPr>
              <w:spacing w:line="276" w:lineRule="auto"/>
              <w:jc w:val="center"/>
              <w:rPr>
                <w:i/>
                <w:color w:val="000000" w:themeColor="text1"/>
                <w:lang w:val="lv-LV"/>
              </w:rPr>
            </w:pPr>
          </w:p>
        </w:tc>
        <w:tc>
          <w:tcPr>
            <w:tcW w:w="646" w:type="pct"/>
            <w:tcBorders>
              <w:top w:val="nil"/>
              <w:left w:val="single" w:sz="4" w:space="0" w:color="auto"/>
              <w:bottom w:val="nil"/>
              <w:right w:val="single" w:sz="4" w:space="0" w:color="auto"/>
            </w:tcBorders>
            <w:shd w:val="clear" w:color="auto" w:fill="auto"/>
            <w:vAlign w:val="center"/>
          </w:tcPr>
          <w:p w14:paraId="2D1C75BD" w14:textId="162429E8" w:rsidR="005305CA" w:rsidRPr="00A34864" w:rsidRDefault="005305CA" w:rsidP="001073F5">
            <w:pPr>
              <w:spacing w:line="276" w:lineRule="auto"/>
              <w:jc w:val="center"/>
              <w:rPr>
                <w:i/>
                <w:color w:val="000000" w:themeColor="text1"/>
                <w:lang w:val="lv-LV"/>
              </w:rPr>
            </w:pPr>
            <w:r w:rsidRPr="00A34864">
              <w:rPr>
                <w:i/>
                <w:color w:val="000000" w:themeColor="text1"/>
                <w:lang w:val="lv-LV"/>
              </w:rPr>
              <w:t>2</w:t>
            </w:r>
            <w:r w:rsidR="006334A9" w:rsidRPr="00A34864">
              <w:rPr>
                <w:i/>
                <w:color w:val="000000" w:themeColor="text1"/>
                <w:lang w:val="lv-LV"/>
              </w:rPr>
              <w:t>9</w:t>
            </w:r>
            <w:r w:rsidR="001D435A" w:rsidRPr="00A34864">
              <w:rPr>
                <w:i/>
                <w:color w:val="000000" w:themeColor="text1"/>
                <w:lang w:val="lv-LV"/>
              </w:rPr>
              <w:t xml:space="preserve"> </w:t>
            </w:r>
            <w:r w:rsidR="006334A9" w:rsidRPr="00A34864">
              <w:rPr>
                <w:i/>
                <w:color w:val="000000" w:themeColor="text1"/>
                <w:lang w:val="lv-LV"/>
              </w:rPr>
              <w:t>5</w:t>
            </w:r>
            <w:r w:rsidRPr="00A34864">
              <w:rPr>
                <w:i/>
                <w:color w:val="000000" w:themeColor="text1"/>
                <w:lang w:val="lv-LV"/>
              </w:rPr>
              <w:t>22</w:t>
            </w:r>
          </w:p>
          <w:p w14:paraId="37DD9DD7" w14:textId="77777777" w:rsidR="005305CA" w:rsidRPr="00A34864" w:rsidRDefault="005305CA" w:rsidP="001073F5">
            <w:pPr>
              <w:spacing w:line="276" w:lineRule="auto"/>
              <w:jc w:val="center"/>
              <w:rPr>
                <w:i/>
                <w:color w:val="000000" w:themeColor="text1"/>
                <w:lang w:val="lv-LV"/>
              </w:rPr>
            </w:pPr>
          </w:p>
        </w:tc>
      </w:tr>
      <w:tr w:rsidR="005305CA" w14:paraId="5A729FBB" w14:textId="77777777" w:rsidTr="00D24B0E">
        <w:trPr>
          <w:cantSplit/>
          <w:trHeight w:val="2252"/>
          <w:jc w:val="center"/>
        </w:trPr>
        <w:tc>
          <w:tcPr>
            <w:tcW w:w="1478" w:type="pct"/>
            <w:tcBorders>
              <w:top w:val="nil"/>
              <w:left w:val="single" w:sz="4" w:space="0" w:color="auto"/>
              <w:bottom w:val="single" w:sz="4" w:space="0" w:color="auto"/>
              <w:right w:val="single" w:sz="4" w:space="0" w:color="auto"/>
            </w:tcBorders>
            <w:shd w:val="clear" w:color="auto" w:fill="auto"/>
            <w:hideMark/>
          </w:tcPr>
          <w:p w14:paraId="46FCD33A" w14:textId="77777777" w:rsidR="005305CA" w:rsidRPr="00165411" w:rsidRDefault="005305CA" w:rsidP="001D435A">
            <w:pPr>
              <w:pStyle w:val="Sarakstarindkopa1"/>
              <w:spacing w:after="0" w:line="240" w:lineRule="auto"/>
              <w:ind w:left="0"/>
              <w:jc w:val="both"/>
              <w:rPr>
                <w:rFonts w:ascii="Times New Roman" w:hAnsi="Times New Roman"/>
                <w:color w:val="000000" w:themeColor="text1"/>
                <w:sz w:val="28"/>
                <w:szCs w:val="28"/>
                <w:lang w:val="lv-LV"/>
              </w:rPr>
            </w:pPr>
            <w:r w:rsidRPr="00896579">
              <w:rPr>
                <w:rFonts w:ascii="Times New Roman" w:hAnsi="Times New Roman"/>
                <w:b/>
                <w:color w:val="000000" w:themeColor="text1"/>
                <w:sz w:val="24"/>
                <w:szCs w:val="24"/>
                <w:lang w:val="lv-LV"/>
              </w:rPr>
              <w:t>6.1.</w:t>
            </w:r>
            <w:r w:rsidR="001D435A" w:rsidRPr="00896579">
              <w:rPr>
                <w:rFonts w:ascii="Times New Roman" w:hAnsi="Times New Roman"/>
                <w:b/>
                <w:color w:val="000000" w:themeColor="text1"/>
                <w:sz w:val="24"/>
                <w:szCs w:val="24"/>
                <w:lang w:val="lv-LV"/>
              </w:rPr>
              <w:t>5.2</w:t>
            </w:r>
            <w:r w:rsidRPr="00896579">
              <w:rPr>
                <w:rFonts w:ascii="Times New Roman" w:hAnsi="Times New Roman"/>
                <w:b/>
                <w:color w:val="000000" w:themeColor="text1"/>
                <w:sz w:val="24"/>
                <w:szCs w:val="24"/>
                <w:lang w:val="lv-LV"/>
              </w:rPr>
              <w:t xml:space="preserve">. </w:t>
            </w:r>
            <w:r w:rsidRPr="00896579">
              <w:rPr>
                <w:rFonts w:ascii="Times New Roman" w:hAnsi="Times New Roman"/>
                <w:color w:val="000000" w:themeColor="text1"/>
                <w:sz w:val="24"/>
                <w:szCs w:val="24"/>
                <w:lang w:val="lv-LV"/>
              </w:rPr>
              <w:t>ja tiek izdarītas izmaiņas marķējumā vai citā pievienotajā informācijā, piemēram, lietošanas pamācīb</w:t>
            </w:r>
            <w:r w:rsidR="001D435A" w:rsidRPr="00896579">
              <w:rPr>
                <w:rFonts w:ascii="Times New Roman" w:hAnsi="Times New Roman"/>
                <w:color w:val="000000" w:themeColor="text1"/>
                <w:sz w:val="24"/>
                <w:szCs w:val="24"/>
                <w:lang w:val="lv-LV"/>
              </w:rPr>
              <w:t>ā, ja tās nav saistītas ar 6.1.5</w:t>
            </w:r>
            <w:r w:rsidRPr="00896579">
              <w:rPr>
                <w:rFonts w:ascii="Times New Roman" w:hAnsi="Times New Roman"/>
                <w:color w:val="000000" w:themeColor="text1"/>
                <w:sz w:val="24"/>
                <w:szCs w:val="24"/>
                <w:lang w:val="lv-LV"/>
              </w:rPr>
              <w:t>.1.</w:t>
            </w:r>
            <w:r w:rsidR="001D435A" w:rsidRPr="00896579">
              <w:rPr>
                <w:rFonts w:ascii="Times New Roman" w:hAnsi="Times New Roman"/>
                <w:color w:val="000000" w:themeColor="text1"/>
                <w:sz w:val="24"/>
                <w:szCs w:val="24"/>
                <w:lang w:val="lv-LV"/>
              </w:rPr>
              <w:t xml:space="preserve"> </w:t>
            </w:r>
            <w:r w:rsidRPr="00896579">
              <w:rPr>
                <w:rFonts w:ascii="Times New Roman" w:hAnsi="Times New Roman"/>
                <w:color w:val="000000" w:themeColor="text1"/>
                <w:sz w:val="24"/>
                <w:szCs w:val="24"/>
                <w:lang w:val="lv-LV"/>
              </w:rPr>
              <w:t>apakšpunktā minētajām izmaiņām</w:t>
            </w:r>
            <w:r w:rsidR="001D435A" w:rsidRPr="00896579">
              <w:rPr>
                <w:rFonts w:ascii="Times New Roman" w:hAnsi="Times New Roman"/>
                <w:color w:val="000000" w:themeColor="text1"/>
                <w:sz w:val="24"/>
                <w:szCs w:val="24"/>
                <w:lang w:val="lv-LV"/>
              </w:rPr>
              <w:t>.</w:t>
            </w:r>
          </w:p>
        </w:tc>
        <w:tc>
          <w:tcPr>
            <w:tcW w:w="722" w:type="pct"/>
            <w:tcBorders>
              <w:top w:val="nil"/>
              <w:left w:val="single" w:sz="4" w:space="0" w:color="auto"/>
              <w:bottom w:val="single" w:sz="4" w:space="0" w:color="auto"/>
              <w:right w:val="single" w:sz="4" w:space="0" w:color="auto"/>
            </w:tcBorders>
            <w:shd w:val="clear" w:color="auto" w:fill="auto"/>
            <w:hideMark/>
          </w:tcPr>
          <w:p w14:paraId="6C4024B8" w14:textId="77777777" w:rsidR="005305CA" w:rsidRPr="00A34864" w:rsidRDefault="005305CA" w:rsidP="00264A8E">
            <w:pPr>
              <w:spacing w:line="276" w:lineRule="auto"/>
              <w:jc w:val="center"/>
              <w:rPr>
                <w:i/>
                <w:color w:val="000000" w:themeColor="text1"/>
                <w:lang w:val="lv-LV"/>
              </w:rPr>
            </w:pPr>
          </w:p>
          <w:p w14:paraId="6D212C75" w14:textId="77777777" w:rsidR="00585483" w:rsidRPr="00A34864" w:rsidRDefault="00585483" w:rsidP="00264A8E">
            <w:pPr>
              <w:spacing w:line="276" w:lineRule="auto"/>
              <w:jc w:val="center"/>
              <w:rPr>
                <w:i/>
                <w:color w:val="000000" w:themeColor="text1"/>
                <w:lang w:val="lv-LV"/>
              </w:rPr>
            </w:pPr>
          </w:p>
          <w:p w14:paraId="73CDA013" w14:textId="77777777" w:rsidR="005305CA" w:rsidRPr="00A34864" w:rsidRDefault="005305CA" w:rsidP="00264A8E">
            <w:pPr>
              <w:spacing w:line="276" w:lineRule="auto"/>
              <w:jc w:val="center"/>
              <w:rPr>
                <w:b/>
                <w:i/>
                <w:color w:val="000000" w:themeColor="text1"/>
                <w:lang w:val="lv-LV"/>
              </w:rPr>
            </w:pPr>
            <w:r w:rsidRPr="00A34864">
              <w:rPr>
                <w:i/>
                <w:color w:val="000000" w:themeColor="text1"/>
                <w:lang w:val="lv-LV"/>
              </w:rPr>
              <w:t>0,0</w:t>
            </w:r>
          </w:p>
        </w:tc>
        <w:tc>
          <w:tcPr>
            <w:tcW w:w="720" w:type="pct"/>
            <w:tcBorders>
              <w:top w:val="nil"/>
              <w:left w:val="single" w:sz="4" w:space="0" w:color="auto"/>
              <w:bottom w:val="single" w:sz="4" w:space="0" w:color="auto"/>
              <w:right w:val="single" w:sz="4" w:space="0" w:color="auto"/>
            </w:tcBorders>
            <w:shd w:val="clear" w:color="auto" w:fill="auto"/>
            <w:hideMark/>
          </w:tcPr>
          <w:p w14:paraId="3282F536" w14:textId="77777777" w:rsidR="005305CA" w:rsidRPr="00A34864" w:rsidRDefault="005305CA">
            <w:pPr>
              <w:spacing w:line="276" w:lineRule="auto"/>
              <w:jc w:val="center"/>
              <w:rPr>
                <w:i/>
                <w:color w:val="000000" w:themeColor="text1"/>
                <w:lang w:val="lv-LV"/>
              </w:rPr>
            </w:pPr>
          </w:p>
          <w:p w14:paraId="2CB373D9" w14:textId="77777777" w:rsidR="00585483" w:rsidRPr="00A34864" w:rsidRDefault="00585483">
            <w:pPr>
              <w:spacing w:line="276" w:lineRule="auto"/>
              <w:jc w:val="center"/>
              <w:rPr>
                <w:i/>
                <w:color w:val="000000" w:themeColor="text1"/>
                <w:lang w:val="lv-LV"/>
              </w:rPr>
            </w:pPr>
          </w:p>
          <w:p w14:paraId="6505D947" w14:textId="77777777" w:rsidR="005305CA" w:rsidRPr="00A34864" w:rsidRDefault="005305CA">
            <w:pPr>
              <w:spacing w:line="276" w:lineRule="auto"/>
              <w:jc w:val="center"/>
              <w:rPr>
                <w:b/>
                <w:i/>
                <w:color w:val="000000" w:themeColor="text1"/>
                <w:lang w:val="lv-LV"/>
              </w:rPr>
            </w:pPr>
            <w:r w:rsidRPr="00A34864">
              <w:rPr>
                <w:i/>
                <w:color w:val="000000" w:themeColor="text1"/>
                <w:lang w:val="lv-LV"/>
              </w:rPr>
              <w:t>0,0</w:t>
            </w:r>
          </w:p>
        </w:tc>
        <w:tc>
          <w:tcPr>
            <w:tcW w:w="709" w:type="pct"/>
            <w:tcBorders>
              <w:top w:val="nil"/>
              <w:left w:val="single" w:sz="4" w:space="0" w:color="auto"/>
              <w:bottom w:val="single" w:sz="4" w:space="0" w:color="auto"/>
              <w:right w:val="single" w:sz="4" w:space="0" w:color="auto"/>
            </w:tcBorders>
            <w:shd w:val="clear" w:color="auto" w:fill="auto"/>
            <w:hideMark/>
          </w:tcPr>
          <w:p w14:paraId="2C6D6FA1" w14:textId="77777777" w:rsidR="005305CA" w:rsidRPr="00A34864" w:rsidRDefault="005305CA">
            <w:pPr>
              <w:spacing w:line="276" w:lineRule="auto"/>
              <w:jc w:val="center"/>
              <w:rPr>
                <w:i/>
                <w:color w:val="000000" w:themeColor="text1"/>
                <w:lang w:val="lv-LV"/>
              </w:rPr>
            </w:pPr>
          </w:p>
          <w:p w14:paraId="7B702285" w14:textId="77777777" w:rsidR="00585483" w:rsidRPr="00A34864" w:rsidRDefault="00585483">
            <w:pPr>
              <w:spacing w:line="276" w:lineRule="auto"/>
              <w:jc w:val="center"/>
              <w:rPr>
                <w:i/>
                <w:color w:val="000000" w:themeColor="text1"/>
                <w:lang w:val="lv-LV"/>
              </w:rPr>
            </w:pPr>
          </w:p>
          <w:p w14:paraId="7D605079" w14:textId="77777777" w:rsidR="005305CA" w:rsidRPr="00A34864" w:rsidRDefault="005305CA">
            <w:pPr>
              <w:spacing w:line="276" w:lineRule="auto"/>
              <w:jc w:val="center"/>
              <w:rPr>
                <w:b/>
                <w:i/>
                <w:color w:val="000000" w:themeColor="text1"/>
                <w:lang w:val="lv-LV"/>
              </w:rPr>
            </w:pPr>
            <w:r w:rsidRPr="00A34864">
              <w:rPr>
                <w:i/>
                <w:color w:val="000000" w:themeColor="text1"/>
                <w:lang w:val="lv-LV"/>
              </w:rPr>
              <w:t>0,0</w:t>
            </w:r>
          </w:p>
        </w:tc>
        <w:tc>
          <w:tcPr>
            <w:tcW w:w="725" w:type="pct"/>
            <w:tcBorders>
              <w:top w:val="nil"/>
              <w:left w:val="single" w:sz="4" w:space="0" w:color="auto"/>
              <w:bottom w:val="single" w:sz="4" w:space="0" w:color="auto"/>
              <w:right w:val="single" w:sz="4" w:space="0" w:color="auto"/>
            </w:tcBorders>
            <w:shd w:val="clear" w:color="auto" w:fill="auto"/>
            <w:hideMark/>
          </w:tcPr>
          <w:p w14:paraId="72FC1BC1" w14:textId="77777777" w:rsidR="005305CA" w:rsidRPr="00A34864" w:rsidRDefault="005305CA" w:rsidP="00264A8E">
            <w:pPr>
              <w:spacing w:line="276" w:lineRule="auto"/>
              <w:jc w:val="center"/>
              <w:rPr>
                <w:i/>
                <w:color w:val="000000" w:themeColor="text1"/>
                <w:lang w:val="lv-LV"/>
              </w:rPr>
            </w:pPr>
          </w:p>
          <w:p w14:paraId="17E94E97" w14:textId="77777777" w:rsidR="00585483" w:rsidRPr="00A34864" w:rsidRDefault="00585483" w:rsidP="00264A8E">
            <w:pPr>
              <w:spacing w:line="276" w:lineRule="auto"/>
              <w:jc w:val="center"/>
              <w:rPr>
                <w:i/>
                <w:color w:val="000000" w:themeColor="text1"/>
                <w:lang w:val="lv-LV"/>
              </w:rPr>
            </w:pPr>
          </w:p>
          <w:p w14:paraId="4CC1A73C" w14:textId="6F0B2F71" w:rsidR="005305CA" w:rsidRPr="00A34864" w:rsidRDefault="001D435A" w:rsidP="00264A8E">
            <w:pPr>
              <w:spacing w:line="276" w:lineRule="auto"/>
              <w:jc w:val="center"/>
              <w:rPr>
                <w:b/>
                <w:i/>
                <w:color w:val="000000" w:themeColor="text1"/>
                <w:lang w:val="lv-LV"/>
              </w:rPr>
            </w:pPr>
            <w:r w:rsidRPr="00A34864">
              <w:rPr>
                <w:i/>
                <w:color w:val="000000" w:themeColor="text1"/>
                <w:lang w:val="lv-LV"/>
              </w:rPr>
              <w:t>1</w:t>
            </w:r>
            <w:r w:rsidR="00585483" w:rsidRPr="00A34864">
              <w:rPr>
                <w:i/>
                <w:color w:val="000000" w:themeColor="text1"/>
                <w:lang w:val="lv-LV"/>
              </w:rPr>
              <w:t> </w:t>
            </w:r>
            <w:r w:rsidRPr="00A34864">
              <w:rPr>
                <w:i/>
                <w:color w:val="000000" w:themeColor="text1"/>
                <w:lang w:val="lv-LV"/>
              </w:rPr>
              <w:t>500</w:t>
            </w:r>
          </w:p>
        </w:tc>
        <w:tc>
          <w:tcPr>
            <w:tcW w:w="646" w:type="pct"/>
            <w:tcBorders>
              <w:top w:val="nil"/>
              <w:left w:val="single" w:sz="4" w:space="0" w:color="auto"/>
              <w:bottom w:val="single" w:sz="4" w:space="0" w:color="auto"/>
              <w:right w:val="single" w:sz="4" w:space="0" w:color="auto"/>
            </w:tcBorders>
            <w:shd w:val="clear" w:color="auto" w:fill="auto"/>
            <w:hideMark/>
          </w:tcPr>
          <w:p w14:paraId="3C3986D5" w14:textId="77777777" w:rsidR="005305CA" w:rsidRPr="00A34864" w:rsidRDefault="005305CA" w:rsidP="00264A8E">
            <w:pPr>
              <w:spacing w:line="276" w:lineRule="auto"/>
              <w:jc w:val="center"/>
              <w:rPr>
                <w:i/>
                <w:color w:val="000000" w:themeColor="text1"/>
                <w:lang w:val="lv-LV"/>
              </w:rPr>
            </w:pPr>
          </w:p>
          <w:p w14:paraId="1B27EEA0" w14:textId="77777777" w:rsidR="00585483" w:rsidRPr="00A34864" w:rsidRDefault="00585483" w:rsidP="00264A8E">
            <w:pPr>
              <w:spacing w:line="276" w:lineRule="auto"/>
              <w:jc w:val="center"/>
              <w:rPr>
                <w:i/>
                <w:color w:val="000000" w:themeColor="text1"/>
                <w:lang w:val="lv-LV"/>
              </w:rPr>
            </w:pPr>
          </w:p>
          <w:p w14:paraId="05F671A6" w14:textId="77777777" w:rsidR="005305CA" w:rsidRPr="00A34864" w:rsidRDefault="001D435A" w:rsidP="00264A8E">
            <w:pPr>
              <w:spacing w:line="276" w:lineRule="auto"/>
              <w:jc w:val="center"/>
              <w:rPr>
                <w:i/>
                <w:color w:val="000000" w:themeColor="text1"/>
                <w:lang w:val="lv-LV"/>
              </w:rPr>
            </w:pPr>
            <w:r w:rsidRPr="00A34864">
              <w:rPr>
                <w:i/>
                <w:color w:val="000000" w:themeColor="text1"/>
                <w:lang w:val="lv-LV"/>
              </w:rPr>
              <w:t>1 500</w:t>
            </w:r>
          </w:p>
        </w:tc>
      </w:tr>
      <w:tr w:rsidR="005305CA" w14:paraId="2A498264" w14:textId="77777777" w:rsidTr="00FC3E4C">
        <w:trPr>
          <w:jc w:val="center"/>
        </w:trPr>
        <w:tc>
          <w:tcPr>
            <w:tcW w:w="1478" w:type="pct"/>
            <w:tcBorders>
              <w:top w:val="single" w:sz="4" w:space="0" w:color="auto"/>
              <w:left w:val="single" w:sz="6" w:space="0" w:color="auto"/>
              <w:bottom w:val="single" w:sz="6" w:space="0" w:color="auto"/>
              <w:right w:val="single" w:sz="6" w:space="0" w:color="auto"/>
            </w:tcBorders>
            <w:hideMark/>
          </w:tcPr>
          <w:p w14:paraId="7A66AC23" w14:textId="77777777" w:rsidR="005305CA" w:rsidRPr="00896579" w:rsidRDefault="005305CA">
            <w:pPr>
              <w:pStyle w:val="Sarakstarindkopa1"/>
              <w:spacing w:after="0" w:line="240" w:lineRule="auto"/>
              <w:ind w:left="0"/>
              <w:jc w:val="both"/>
              <w:rPr>
                <w:rFonts w:ascii="Times New Roman" w:hAnsi="Times New Roman"/>
                <w:color w:val="000000" w:themeColor="text1"/>
                <w:sz w:val="24"/>
                <w:szCs w:val="24"/>
                <w:u w:val="single"/>
                <w:lang w:val="lv-LV"/>
              </w:rPr>
            </w:pPr>
            <w:r w:rsidRPr="00896579">
              <w:rPr>
                <w:rFonts w:ascii="Times New Roman" w:hAnsi="Times New Roman"/>
                <w:b/>
                <w:color w:val="000000" w:themeColor="text1"/>
                <w:sz w:val="24"/>
                <w:szCs w:val="24"/>
                <w:lang w:val="lv-LV"/>
              </w:rPr>
              <w:t>6.2.</w:t>
            </w:r>
            <w:r w:rsidRPr="00896579">
              <w:rPr>
                <w:rFonts w:ascii="Times New Roman" w:hAnsi="Times New Roman"/>
                <w:color w:val="000000" w:themeColor="text1"/>
                <w:sz w:val="24"/>
                <w:szCs w:val="24"/>
                <w:lang w:val="lv-LV"/>
              </w:rPr>
              <w:t xml:space="preserve"> </w:t>
            </w:r>
            <w:r w:rsidRPr="00896579">
              <w:rPr>
                <w:rFonts w:ascii="Times New Roman" w:hAnsi="Times New Roman"/>
                <w:color w:val="000000" w:themeColor="text1"/>
                <w:sz w:val="24"/>
                <w:szCs w:val="24"/>
                <w:u w:val="single"/>
                <w:lang w:val="lv-LV"/>
              </w:rPr>
              <w:t>detalizēts izdevumu aprēķins par Uztura bagātinātāju reģistrāciju:</w:t>
            </w:r>
          </w:p>
          <w:p w14:paraId="4FE6A76F" w14:textId="3B1DF562" w:rsidR="002F4E08" w:rsidRPr="00896579" w:rsidRDefault="002F4E08" w:rsidP="002F4E08">
            <w:pPr>
              <w:pStyle w:val="Sarakstarindkopa1"/>
              <w:spacing w:after="0" w:line="240" w:lineRule="auto"/>
              <w:ind w:left="0"/>
              <w:jc w:val="both"/>
              <w:rPr>
                <w:rFonts w:ascii="Times New Roman" w:hAnsi="Times New Roman"/>
                <w:color w:val="000000" w:themeColor="text1"/>
                <w:sz w:val="24"/>
                <w:szCs w:val="24"/>
                <w:lang w:val="lv-LV"/>
              </w:rPr>
            </w:pPr>
            <w:r w:rsidRPr="000A2CC8">
              <w:rPr>
                <w:rFonts w:ascii="Times New Roman" w:hAnsi="Times New Roman"/>
                <w:b/>
                <w:color w:val="000000" w:themeColor="text1"/>
                <w:sz w:val="24"/>
                <w:szCs w:val="24"/>
                <w:lang w:val="lv-LV"/>
              </w:rPr>
              <w:t>6.2.1.</w:t>
            </w:r>
            <w:r w:rsidRPr="000B40CE">
              <w:rPr>
                <w:rFonts w:ascii="Times New Roman" w:hAnsi="Times New Roman"/>
                <w:color w:val="000000" w:themeColor="text1"/>
                <w:sz w:val="24"/>
                <w:szCs w:val="24"/>
                <w:lang w:val="lv-LV"/>
              </w:rPr>
              <w:t xml:space="preserve"> </w:t>
            </w:r>
            <w:r w:rsidR="00C10825" w:rsidRPr="000B40CE">
              <w:rPr>
                <w:rFonts w:ascii="Times New Roman" w:hAnsi="Times New Roman"/>
                <w:color w:val="000000" w:themeColor="text1"/>
                <w:sz w:val="24"/>
                <w:szCs w:val="24"/>
                <w:lang w:val="lv-LV"/>
              </w:rPr>
              <w:t>valsts</w:t>
            </w:r>
            <w:r w:rsidR="00C10825" w:rsidRPr="00165411">
              <w:rPr>
                <w:rFonts w:ascii="Times New Roman" w:hAnsi="Times New Roman"/>
                <w:color w:val="000000" w:themeColor="text1"/>
                <w:sz w:val="24"/>
                <w:szCs w:val="24"/>
                <w:lang w:val="lv-LV"/>
              </w:rPr>
              <w:t xml:space="preserve"> nodeva </w:t>
            </w:r>
            <w:r w:rsidRPr="00165411">
              <w:rPr>
                <w:rFonts w:ascii="Times New Roman" w:hAnsi="Times New Roman"/>
                <w:sz w:val="24"/>
                <w:szCs w:val="24"/>
                <w:lang w:val="lv-LV"/>
              </w:rPr>
              <w:t>par Eiropas Ekonomikas zonas valstīs ražota uztura bagātinātāja reģistrāciju</w:t>
            </w:r>
            <w:r w:rsidRPr="00165411">
              <w:rPr>
                <w:rFonts w:ascii="Times New Roman" w:hAnsi="Times New Roman"/>
                <w:color w:val="000000" w:themeColor="text1"/>
                <w:sz w:val="24"/>
                <w:szCs w:val="24"/>
                <w:lang w:val="lv-LV"/>
              </w:rPr>
              <w:t xml:space="preserve"> – izdevumu sadalījums pa EKK 2015.gadam: </w:t>
            </w:r>
            <w:r w:rsidRPr="00A34864">
              <w:rPr>
                <w:rFonts w:ascii="Times New Roman" w:hAnsi="Times New Roman"/>
                <w:color w:val="000000" w:themeColor="text1"/>
                <w:sz w:val="24"/>
                <w:szCs w:val="24"/>
                <w:lang w:val="lv-LV"/>
              </w:rPr>
              <w:t xml:space="preserve">EKK 1100 – EUR 47 019,6 , EKK 1200 – EUR 10 773,9 ; EKK 2000 – EUR 10 773,9. 2017.gada un turpmāko gadu izdevumu </w:t>
            </w:r>
            <w:r w:rsidR="00C10825" w:rsidRPr="00A34864">
              <w:rPr>
                <w:rFonts w:ascii="Times New Roman" w:hAnsi="Times New Roman"/>
                <w:color w:val="000000" w:themeColor="text1"/>
                <w:sz w:val="24"/>
                <w:szCs w:val="24"/>
                <w:lang w:val="lv-LV"/>
              </w:rPr>
              <w:t>izmaiņas</w:t>
            </w:r>
            <w:r w:rsidRPr="00A34864">
              <w:rPr>
                <w:rFonts w:ascii="Times New Roman" w:hAnsi="Times New Roman"/>
                <w:color w:val="000000" w:themeColor="text1"/>
                <w:sz w:val="24"/>
                <w:szCs w:val="24"/>
                <w:lang w:val="lv-LV"/>
              </w:rPr>
              <w:t xml:space="preserve"> pa EKK: </w:t>
            </w:r>
            <w:r w:rsidR="00C10825" w:rsidRPr="00A34864">
              <w:rPr>
                <w:rFonts w:ascii="Times New Roman" w:hAnsi="Times New Roman"/>
                <w:color w:val="000000" w:themeColor="text1"/>
                <w:sz w:val="24"/>
                <w:szCs w:val="24"/>
                <w:lang w:val="lv-LV"/>
              </w:rPr>
              <w:t xml:space="preserve">samazinājums </w:t>
            </w:r>
            <w:r w:rsidRPr="00A34864">
              <w:rPr>
                <w:rFonts w:ascii="Times New Roman" w:hAnsi="Times New Roman"/>
                <w:color w:val="000000" w:themeColor="text1"/>
                <w:sz w:val="24"/>
                <w:szCs w:val="24"/>
                <w:lang w:val="lv-LV"/>
              </w:rPr>
              <w:t xml:space="preserve">EKK 1100 </w:t>
            </w:r>
            <w:r w:rsidR="00075CEE">
              <w:rPr>
                <w:rFonts w:ascii="Times New Roman" w:hAnsi="Times New Roman"/>
                <w:color w:val="000000" w:themeColor="text1"/>
                <w:sz w:val="24"/>
                <w:szCs w:val="24"/>
                <w:lang w:val="lv-LV"/>
              </w:rPr>
              <w:t>„</w:t>
            </w:r>
            <w:r w:rsidR="00075CEE" w:rsidRPr="00A34864">
              <w:rPr>
                <w:rFonts w:ascii="Times New Roman" w:hAnsi="Times New Roman"/>
                <w:color w:val="000000" w:themeColor="text1"/>
                <w:sz w:val="24"/>
                <w:szCs w:val="24"/>
                <w:lang w:val="lv-LV"/>
              </w:rPr>
              <w:t>–</w:t>
            </w:r>
            <w:r w:rsidR="00075CEE">
              <w:rPr>
                <w:rFonts w:ascii="Times New Roman" w:hAnsi="Times New Roman"/>
                <w:color w:val="000000" w:themeColor="text1"/>
                <w:sz w:val="24"/>
                <w:szCs w:val="24"/>
                <w:lang w:val="lv-LV"/>
              </w:rPr>
              <w:t xml:space="preserve">” </w:t>
            </w:r>
            <w:r w:rsidR="00DA7ADE" w:rsidRPr="00A34864">
              <w:rPr>
                <w:rFonts w:ascii="Times New Roman" w:hAnsi="Times New Roman"/>
                <w:color w:val="000000" w:themeColor="text1"/>
                <w:sz w:val="24"/>
                <w:szCs w:val="24"/>
                <w:lang w:val="lv-LV"/>
              </w:rPr>
              <w:t>8</w:t>
            </w:r>
            <w:r w:rsidR="00C10825" w:rsidRPr="00A34864">
              <w:rPr>
                <w:rFonts w:ascii="Times New Roman" w:hAnsi="Times New Roman"/>
                <w:color w:val="000000" w:themeColor="text1"/>
                <w:sz w:val="24"/>
                <w:szCs w:val="24"/>
                <w:lang w:val="lv-LV"/>
              </w:rPr>
              <w:t> </w:t>
            </w:r>
            <w:r w:rsidR="00DA7ADE" w:rsidRPr="00A34864">
              <w:rPr>
                <w:rFonts w:ascii="Times New Roman" w:hAnsi="Times New Roman"/>
                <w:color w:val="000000" w:themeColor="text1"/>
                <w:sz w:val="24"/>
                <w:szCs w:val="24"/>
                <w:lang w:val="lv-LV"/>
              </w:rPr>
              <w:t>260</w:t>
            </w:r>
            <w:r w:rsidR="00C10825" w:rsidRPr="00A34864">
              <w:rPr>
                <w:rFonts w:ascii="Times New Roman" w:hAnsi="Times New Roman"/>
                <w:color w:val="000000" w:themeColor="text1"/>
                <w:sz w:val="24"/>
                <w:szCs w:val="24"/>
                <w:lang w:val="lv-LV"/>
              </w:rPr>
              <w:t>,</w:t>
            </w:r>
            <w:r w:rsidR="00DA7ADE" w:rsidRPr="00A34864">
              <w:rPr>
                <w:rFonts w:ascii="Times New Roman" w:hAnsi="Times New Roman"/>
                <w:color w:val="000000" w:themeColor="text1"/>
                <w:sz w:val="24"/>
                <w:szCs w:val="24"/>
                <w:lang w:val="lv-LV"/>
              </w:rPr>
              <w:t>6</w:t>
            </w:r>
            <w:r w:rsidRPr="00A34864">
              <w:rPr>
                <w:rFonts w:ascii="Times New Roman" w:hAnsi="Times New Roman"/>
                <w:color w:val="000000" w:themeColor="text1"/>
                <w:sz w:val="24"/>
                <w:szCs w:val="24"/>
                <w:lang w:val="lv-LV"/>
              </w:rPr>
              <w:t> </w:t>
            </w:r>
            <w:r w:rsidR="00075CEE" w:rsidRPr="00A34864">
              <w:rPr>
                <w:rFonts w:ascii="Times New Roman" w:hAnsi="Times New Roman"/>
                <w:color w:val="000000" w:themeColor="text1"/>
                <w:sz w:val="24"/>
                <w:szCs w:val="24"/>
                <w:lang w:val="lv-LV"/>
              </w:rPr>
              <w:t>EUR</w:t>
            </w:r>
            <w:r w:rsidRPr="00A34864">
              <w:rPr>
                <w:rFonts w:ascii="Times New Roman" w:hAnsi="Times New Roman"/>
                <w:color w:val="000000" w:themeColor="text1"/>
                <w:sz w:val="24"/>
                <w:szCs w:val="24"/>
                <w:lang w:val="lv-LV"/>
              </w:rPr>
              <w:t xml:space="preserve"> EKK 1200 </w:t>
            </w:r>
            <w:r w:rsidR="00075CEE">
              <w:rPr>
                <w:rFonts w:ascii="Times New Roman" w:hAnsi="Times New Roman"/>
                <w:color w:val="000000" w:themeColor="text1"/>
                <w:sz w:val="24"/>
                <w:szCs w:val="24"/>
                <w:lang w:val="lv-LV"/>
              </w:rPr>
              <w:t>„</w:t>
            </w:r>
            <w:r w:rsidR="00075CEE" w:rsidRPr="00A34864">
              <w:rPr>
                <w:rFonts w:ascii="Times New Roman" w:hAnsi="Times New Roman"/>
                <w:color w:val="000000" w:themeColor="text1"/>
                <w:sz w:val="24"/>
                <w:szCs w:val="24"/>
                <w:lang w:val="lv-LV"/>
              </w:rPr>
              <w:t>–</w:t>
            </w:r>
            <w:r w:rsidR="00075CEE">
              <w:rPr>
                <w:rFonts w:ascii="Times New Roman" w:hAnsi="Times New Roman"/>
                <w:color w:val="000000" w:themeColor="text1"/>
                <w:sz w:val="24"/>
                <w:szCs w:val="24"/>
                <w:lang w:val="lv-LV"/>
              </w:rPr>
              <w:t>”</w:t>
            </w:r>
            <w:r w:rsidRPr="00A34864">
              <w:rPr>
                <w:rFonts w:ascii="Times New Roman" w:hAnsi="Times New Roman"/>
                <w:color w:val="000000" w:themeColor="text1"/>
                <w:sz w:val="24"/>
                <w:szCs w:val="24"/>
                <w:lang w:val="lv-LV"/>
              </w:rPr>
              <w:t> </w:t>
            </w:r>
            <w:r w:rsidR="00C10825" w:rsidRPr="00A34864">
              <w:rPr>
                <w:rFonts w:ascii="Times New Roman" w:hAnsi="Times New Roman"/>
                <w:color w:val="000000" w:themeColor="text1"/>
                <w:sz w:val="24"/>
                <w:szCs w:val="24"/>
                <w:lang w:val="lv-LV"/>
              </w:rPr>
              <w:t>1</w:t>
            </w:r>
            <w:r w:rsidR="00DA7ADE" w:rsidRPr="00A34864">
              <w:rPr>
                <w:rFonts w:ascii="Times New Roman" w:hAnsi="Times New Roman"/>
                <w:color w:val="000000" w:themeColor="text1"/>
                <w:sz w:val="24"/>
                <w:szCs w:val="24"/>
                <w:lang w:val="lv-LV"/>
              </w:rPr>
              <w:t>630,6</w:t>
            </w:r>
            <w:r w:rsidRPr="00A34864">
              <w:rPr>
                <w:rFonts w:ascii="Times New Roman" w:hAnsi="Times New Roman"/>
                <w:color w:val="000000" w:themeColor="text1"/>
                <w:sz w:val="24"/>
                <w:szCs w:val="24"/>
                <w:lang w:val="lv-LV"/>
              </w:rPr>
              <w:t>,</w:t>
            </w:r>
            <w:r w:rsidR="00075CEE" w:rsidRPr="00A34864">
              <w:rPr>
                <w:rFonts w:ascii="Times New Roman" w:hAnsi="Times New Roman"/>
                <w:color w:val="000000" w:themeColor="text1"/>
                <w:sz w:val="24"/>
                <w:szCs w:val="24"/>
                <w:lang w:val="lv-LV"/>
              </w:rPr>
              <w:t xml:space="preserve"> EUR</w:t>
            </w:r>
            <w:r w:rsidR="00C10825" w:rsidRPr="00A34864">
              <w:rPr>
                <w:rFonts w:ascii="Times New Roman" w:hAnsi="Times New Roman"/>
                <w:color w:val="000000" w:themeColor="text1"/>
                <w:sz w:val="24"/>
                <w:szCs w:val="24"/>
                <w:lang w:val="lv-LV"/>
              </w:rPr>
              <w:t xml:space="preserve"> un izdevumu palielinājums</w:t>
            </w:r>
            <w:r w:rsidRPr="00A34864">
              <w:rPr>
                <w:rFonts w:ascii="Times New Roman" w:hAnsi="Times New Roman"/>
                <w:color w:val="000000" w:themeColor="text1"/>
                <w:sz w:val="24"/>
                <w:szCs w:val="24"/>
                <w:lang w:val="lv-LV"/>
              </w:rPr>
              <w:t xml:space="preserve"> EKK 2000  </w:t>
            </w:r>
            <w:r w:rsidR="00075CEE">
              <w:rPr>
                <w:rFonts w:ascii="Times New Roman" w:hAnsi="Times New Roman"/>
                <w:color w:val="000000" w:themeColor="text1"/>
                <w:sz w:val="24"/>
                <w:szCs w:val="24"/>
                <w:lang w:val="lv-LV"/>
              </w:rPr>
              <w:t>„+”</w:t>
            </w:r>
            <w:r w:rsidR="00C10825" w:rsidRPr="00A34864">
              <w:rPr>
                <w:rFonts w:ascii="Times New Roman" w:hAnsi="Times New Roman"/>
                <w:color w:val="000000" w:themeColor="text1"/>
                <w:sz w:val="24"/>
                <w:szCs w:val="24"/>
                <w:lang w:val="lv-LV"/>
              </w:rPr>
              <w:t>1</w:t>
            </w:r>
            <w:r w:rsidR="00DA7ADE" w:rsidRPr="00A34864">
              <w:rPr>
                <w:rFonts w:ascii="Times New Roman" w:hAnsi="Times New Roman"/>
                <w:color w:val="000000" w:themeColor="text1"/>
                <w:sz w:val="24"/>
                <w:szCs w:val="24"/>
                <w:lang w:val="lv-LV"/>
              </w:rPr>
              <w:t>1</w:t>
            </w:r>
            <w:r w:rsidR="00C10825" w:rsidRPr="00A34864">
              <w:rPr>
                <w:rFonts w:ascii="Times New Roman" w:hAnsi="Times New Roman"/>
                <w:color w:val="000000" w:themeColor="text1"/>
                <w:sz w:val="24"/>
                <w:szCs w:val="24"/>
                <w:lang w:val="lv-LV"/>
              </w:rPr>
              <w:t> </w:t>
            </w:r>
            <w:r w:rsidR="00DA7ADE" w:rsidRPr="00A34864">
              <w:rPr>
                <w:rFonts w:ascii="Times New Roman" w:hAnsi="Times New Roman"/>
                <w:color w:val="000000" w:themeColor="text1"/>
                <w:sz w:val="24"/>
                <w:szCs w:val="24"/>
                <w:lang w:val="lv-LV"/>
              </w:rPr>
              <w:t>948</w:t>
            </w:r>
            <w:r w:rsidR="00C10825" w:rsidRPr="00A34864">
              <w:rPr>
                <w:rFonts w:ascii="Times New Roman" w:hAnsi="Times New Roman"/>
                <w:color w:val="000000" w:themeColor="text1"/>
                <w:sz w:val="24"/>
                <w:szCs w:val="24"/>
                <w:lang w:val="lv-LV"/>
              </w:rPr>
              <w:t>,</w:t>
            </w:r>
            <w:r w:rsidR="00DA7ADE" w:rsidRPr="00A34864">
              <w:rPr>
                <w:rFonts w:ascii="Times New Roman" w:hAnsi="Times New Roman"/>
                <w:color w:val="000000" w:themeColor="text1"/>
                <w:sz w:val="24"/>
                <w:szCs w:val="24"/>
                <w:lang w:val="lv-LV"/>
              </w:rPr>
              <w:t>8</w:t>
            </w:r>
            <w:r w:rsidRPr="00A34864">
              <w:rPr>
                <w:rFonts w:ascii="Times New Roman" w:hAnsi="Times New Roman"/>
                <w:color w:val="000000" w:themeColor="text1"/>
                <w:sz w:val="24"/>
                <w:szCs w:val="24"/>
                <w:lang w:val="lv-LV"/>
              </w:rPr>
              <w:t>.</w:t>
            </w:r>
            <w:r w:rsidR="00075CEE" w:rsidRPr="00A34864">
              <w:rPr>
                <w:rFonts w:ascii="Times New Roman" w:hAnsi="Times New Roman"/>
                <w:color w:val="000000" w:themeColor="text1"/>
                <w:sz w:val="24"/>
                <w:szCs w:val="24"/>
                <w:lang w:val="lv-LV"/>
              </w:rPr>
              <w:t xml:space="preserve"> EUR</w:t>
            </w:r>
          </w:p>
          <w:p w14:paraId="5EB23CBE" w14:textId="3EB9FEAF" w:rsidR="00C10825" w:rsidRPr="00896579" w:rsidRDefault="00C10825">
            <w:pPr>
              <w:pStyle w:val="Sarakstarindkopa1"/>
              <w:spacing w:after="0" w:line="240" w:lineRule="auto"/>
              <w:ind w:left="0"/>
              <w:jc w:val="both"/>
              <w:rPr>
                <w:rFonts w:ascii="Times New Roman" w:hAnsi="Times New Roman"/>
                <w:sz w:val="24"/>
                <w:szCs w:val="24"/>
                <w:lang w:val="lv-LV"/>
              </w:rPr>
            </w:pPr>
            <w:r w:rsidRPr="00165411">
              <w:rPr>
                <w:rFonts w:ascii="Times New Roman" w:hAnsi="Times New Roman"/>
                <w:b/>
                <w:sz w:val="24"/>
                <w:szCs w:val="24"/>
                <w:lang w:val="lv-LV"/>
              </w:rPr>
              <w:t>6.2.2.</w:t>
            </w:r>
            <w:r w:rsidRPr="00165411">
              <w:rPr>
                <w:rFonts w:ascii="Times New Roman" w:hAnsi="Times New Roman"/>
                <w:sz w:val="24"/>
                <w:szCs w:val="24"/>
                <w:lang w:val="lv-LV"/>
              </w:rPr>
              <w:t xml:space="preserve"> </w:t>
            </w:r>
            <w:r w:rsidR="009141B1" w:rsidRPr="009141B1">
              <w:rPr>
                <w:rFonts w:ascii="Times New Roman" w:hAnsi="Times New Roman"/>
                <w:color w:val="000000"/>
                <w:sz w:val="24"/>
                <w:szCs w:val="24"/>
                <w:lang w:val="lv-LV" w:eastAsia="lv-LV"/>
              </w:rPr>
              <w:t>par ārpus</w:t>
            </w:r>
            <w:r w:rsidR="009141B1" w:rsidRPr="009141B1">
              <w:rPr>
                <w:rFonts w:ascii="Times New Roman" w:hAnsi="Times New Roman"/>
                <w:b/>
                <w:bCs/>
                <w:color w:val="000000"/>
                <w:sz w:val="24"/>
                <w:szCs w:val="24"/>
                <w:lang w:val="lv-LV" w:eastAsia="lv-LV"/>
              </w:rPr>
              <w:t xml:space="preserve"> </w:t>
            </w:r>
            <w:r w:rsidR="009141B1" w:rsidRPr="009141B1">
              <w:rPr>
                <w:rFonts w:ascii="Times New Roman" w:hAnsi="Times New Roman"/>
                <w:color w:val="000000"/>
                <w:sz w:val="24"/>
                <w:szCs w:val="24"/>
                <w:lang w:val="lv-LV" w:eastAsia="lv-LV"/>
              </w:rPr>
              <w:t>Eiropas Ekonomikas zonas valstīm ražota uztura bagātinātāja reģistrāciju</w:t>
            </w:r>
            <w:r w:rsidR="009141B1" w:rsidRPr="009141B1">
              <w:rPr>
                <w:rFonts w:ascii="Times New Roman" w:hAnsi="Times New Roman"/>
                <w:sz w:val="24"/>
                <w:szCs w:val="24"/>
                <w:lang w:val="lv-LV"/>
              </w:rPr>
              <w:t xml:space="preserve">, </w:t>
            </w:r>
            <w:r w:rsidR="009141B1" w:rsidRPr="009141B1">
              <w:rPr>
                <w:rFonts w:ascii="Times New Roman" w:hAnsi="Times New Roman"/>
                <w:sz w:val="24"/>
                <w:szCs w:val="24"/>
                <w:lang w:val="lv-LV"/>
              </w:rPr>
              <w:lastRenderedPageBreak/>
              <w:t xml:space="preserve">ja tas jau iepriekš ir paziņots vai laists tirgū kādā no Eiropas Ekonomikas zonas valstīm un Pārtikas un veterinārajā dienestā tiek iesniegta </w:t>
            </w:r>
            <w:r w:rsidR="009141B1" w:rsidRPr="009141B1">
              <w:rPr>
                <w:rFonts w:ascii="Times New Roman" w:hAnsi="Times New Roman"/>
                <w:color w:val="000000"/>
                <w:sz w:val="24"/>
                <w:szCs w:val="24"/>
                <w:lang w:val="lv-LV" w:eastAsia="fr-FR"/>
              </w:rPr>
              <w:t>attiecīgās dalībvalsts kompetentās iestādes izsniegta informācija par to, ka trešajā valstī ražots uztura bagātinātājs ir izplatīts kādā no Eiropas Ekonomikas zonas dalībvalstīm, vai šo faktu apliecinoša izdruka no publiski pieejama šīs dalībvalsts uztura bagātinātāju reģistra, saraksta vai datubāzes</w:t>
            </w:r>
            <w:r w:rsidR="00F95743" w:rsidRPr="00165411">
              <w:rPr>
                <w:rFonts w:ascii="Times New Roman" w:hAnsi="Times New Roman"/>
                <w:sz w:val="24"/>
                <w:szCs w:val="24"/>
                <w:lang w:val="lv-LV"/>
              </w:rPr>
              <w:t xml:space="preserve"> </w:t>
            </w:r>
            <w:r w:rsidRPr="00165411">
              <w:rPr>
                <w:rFonts w:ascii="Times New Roman" w:hAnsi="Times New Roman"/>
                <w:sz w:val="24"/>
                <w:szCs w:val="24"/>
                <w:lang w:val="lv-LV"/>
              </w:rPr>
              <w:t xml:space="preserve">– </w:t>
            </w:r>
            <w:r w:rsidR="00F95743" w:rsidRPr="00165411">
              <w:rPr>
                <w:rFonts w:ascii="Times New Roman" w:hAnsi="Times New Roman"/>
                <w:color w:val="000000" w:themeColor="text1"/>
                <w:sz w:val="24"/>
                <w:szCs w:val="24"/>
                <w:lang w:val="lv-LV"/>
              </w:rPr>
              <w:t xml:space="preserve">izdevumu sadalījums pa EKK 2017.gadam un turpmākajiem gadiem: EKK 1100 – EUR </w:t>
            </w:r>
            <w:r w:rsidR="00381CEC">
              <w:rPr>
                <w:rFonts w:ascii="Times New Roman" w:hAnsi="Times New Roman"/>
                <w:color w:val="000000" w:themeColor="text1"/>
                <w:sz w:val="24"/>
                <w:szCs w:val="24"/>
                <w:lang w:val="lv-LV"/>
              </w:rPr>
              <w:t>19496</w:t>
            </w:r>
            <w:r w:rsidR="00F95743" w:rsidRPr="00165411">
              <w:rPr>
                <w:rFonts w:ascii="Times New Roman" w:hAnsi="Times New Roman"/>
                <w:color w:val="000000" w:themeColor="text1"/>
                <w:sz w:val="24"/>
                <w:szCs w:val="24"/>
                <w:lang w:val="lv-LV"/>
              </w:rPr>
              <w:t>,</w:t>
            </w:r>
            <w:r w:rsidR="00381CEC">
              <w:rPr>
                <w:rFonts w:ascii="Times New Roman" w:hAnsi="Times New Roman"/>
                <w:color w:val="000000" w:themeColor="text1"/>
                <w:sz w:val="24"/>
                <w:szCs w:val="24"/>
                <w:lang w:val="lv-LV"/>
              </w:rPr>
              <w:t>1</w:t>
            </w:r>
            <w:r w:rsidR="00F95743" w:rsidRPr="00165411">
              <w:rPr>
                <w:rFonts w:ascii="Times New Roman" w:hAnsi="Times New Roman"/>
                <w:color w:val="000000" w:themeColor="text1"/>
                <w:sz w:val="24"/>
                <w:szCs w:val="24"/>
                <w:lang w:val="lv-LV"/>
              </w:rPr>
              <w:t xml:space="preserve">, EKK 1200 – EUR </w:t>
            </w:r>
            <w:r w:rsidR="00381CEC">
              <w:rPr>
                <w:rFonts w:ascii="Times New Roman" w:hAnsi="Times New Roman"/>
                <w:color w:val="000000" w:themeColor="text1"/>
                <w:sz w:val="24"/>
                <w:szCs w:val="24"/>
                <w:lang w:val="lv-LV"/>
              </w:rPr>
              <w:t>4599,1</w:t>
            </w:r>
            <w:r w:rsidR="00F95743" w:rsidRPr="00165411">
              <w:rPr>
                <w:rFonts w:ascii="Times New Roman" w:hAnsi="Times New Roman"/>
                <w:color w:val="000000" w:themeColor="text1"/>
                <w:sz w:val="24"/>
                <w:szCs w:val="24"/>
                <w:lang w:val="lv-LV"/>
              </w:rPr>
              <w:t>, EKK 2000 – EUR 1</w:t>
            </w:r>
            <w:r w:rsidR="00381CEC">
              <w:rPr>
                <w:rFonts w:ascii="Times New Roman" w:hAnsi="Times New Roman"/>
                <w:color w:val="000000" w:themeColor="text1"/>
                <w:sz w:val="24"/>
                <w:szCs w:val="24"/>
                <w:lang w:val="lv-LV"/>
              </w:rPr>
              <w:t>8</w:t>
            </w:r>
            <w:r w:rsidR="00F95743" w:rsidRPr="00165411">
              <w:rPr>
                <w:rFonts w:ascii="Times New Roman" w:hAnsi="Times New Roman"/>
                <w:color w:val="000000" w:themeColor="text1"/>
                <w:sz w:val="24"/>
                <w:szCs w:val="24"/>
                <w:lang w:val="lv-LV"/>
              </w:rPr>
              <w:t> </w:t>
            </w:r>
            <w:r w:rsidR="00381CEC">
              <w:rPr>
                <w:rFonts w:ascii="Times New Roman" w:hAnsi="Times New Roman"/>
                <w:color w:val="000000" w:themeColor="text1"/>
                <w:sz w:val="24"/>
                <w:szCs w:val="24"/>
                <w:lang w:val="lv-LV"/>
              </w:rPr>
              <w:t>534</w:t>
            </w:r>
            <w:r w:rsidR="00F95743" w:rsidRPr="00165411">
              <w:rPr>
                <w:rFonts w:ascii="Times New Roman" w:hAnsi="Times New Roman"/>
                <w:color w:val="000000" w:themeColor="text1"/>
                <w:sz w:val="24"/>
                <w:szCs w:val="24"/>
                <w:lang w:val="lv-LV"/>
              </w:rPr>
              <w:t>,</w:t>
            </w:r>
            <w:r w:rsidR="00381CEC">
              <w:rPr>
                <w:rFonts w:ascii="Times New Roman" w:hAnsi="Times New Roman"/>
                <w:color w:val="000000" w:themeColor="text1"/>
                <w:sz w:val="24"/>
                <w:szCs w:val="24"/>
                <w:lang w:val="lv-LV"/>
              </w:rPr>
              <w:t>8</w:t>
            </w:r>
            <w:r w:rsidR="00F95743" w:rsidRPr="00165411">
              <w:rPr>
                <w:rFonts w:ascii="Times New Roman" w:hAnsi="Times New Roman"/>
                <w:color w:val="000000" w:themeColor="text1"/>
                <w:sz w:val="24"/>
                <w:szCs w:val="24"/>
                <w:lang w:val="lv-LV"/>
              </w:rPr>
              <w:t>;</w:t>
            </w:r>
          </w:p>
          <w:p w14:paraId="76D122AE" w14:textId="7E6B7B26" w:rsidR="00C10825" w:rsidRPr="00896579" w:rsidRDefault="005305CA">
            <w:pPr>
              <w:pStyle w:val="Sarakstarindkopa1"/>
              <w:spacing w:after="0" w:line="240" w:lineRule="auto"/>
              <w:ind w:left="0"/>
              <w:jc w:val="both"/>
              <w:rPr>
                <w:rFonts w:ascii="Times New Roman" w:hAnsi="Times New Roman"/>
                <w:color w:val="000000" w:themeColor="text1"/>
                <w:sz w:val="24"/>
                <w:szCs w:val="24"/>
                <w:lang w:val="lv-LV"/>
              </w:rPr>
            </w:pPr>
            <w:r w:rsidRPr="000A2CC8">
              <w:rPr>
                <w:rFonts w:ascii="Times New Roman" w:hAnsi="Times New Roman"/>
                <w:b/>
                <w:color w:val="000000" w:themeColor="text1"/>
                <w:sz w:val="24"/>
                <w:szCs w:val="24"/>
                <w:lang w:val="lv-LV"/>
              </w:rPr>
              <w:t>6.2.</w:t>
            </w:r>
            <w:r w:rsidR="00E44BAF" w:rsidRPr="000A2CC8">
              <w:rPr>
                <w:rFonts w:ascii="Times New Roman" w:hAnsi="Times New Roman"/>
                <w:b/>
                <w:color w:val="000000" w:themeColor="text1"/>
                <w:sz w:val="24"/>
                <w:szCs w:val="24"/>
                <w:lang w:val="lv-LV"/>
              </w:rPr>
              <w:t>3</w:t>
            </w:r>
            <w:r w:rsidRPr="000A2CC8">
              <w:rPr>
                <w:rFonts w:ascii="Times New Roman" w:hAnsi="Times New Roman"/>
                <w:color w:val="000000" w:themeColor="text1"/>
                <w:sz w:val="24"/>
                <w:szCs w:val="24"/>
                <w:lang w:val="lv-LV"/>
              </w:rPr>
              <w:t>.</w:t>
            </w:r>
            <w:r w:rsidRPr="00165411">
              <w:rPr>
                <w:rFonts w:ascii="Times New Roman" w:hAnsi="Times New Roman"/>
                <w:color w:val="000000" w:themeColor="text1"/>
                <w:sz w:val="24"/>
                <w:szCs w:val="24"/>
                <w:lang w:val="lv-LV"/>
              </w:rPr>
              <w:t xml:space="preserve"> valsts nodeva </w:t>
            </w:r>
            <w:r w:rsidR="00E44BAF" w:rsidRPr="00165411">
              <w:rPr>
                <w:rFonts w:ascii="Times New Roman" w:hAnsi="Times New Roman"/>
                <w:sz w:val="24"/>
                <w:szCs w:val="24"/>
                <w:lang w:val="lv-LV"/>
              </w:rPr>
              <w:t>par ārpus Eiropas Ekonomikas zonas valstīm ražota uztura bagātinātāja pirmreizēju reģistrāciju</w:t>
            </w:r>
            <w:r w:rsidRPr="00165411">
              <w:rPr>
                <w:rFonts w:ascii="Times New Roman" w:hAnsi="Times New Roman"/>
                <w:color w:val="000000" w:themeColor="text1"/>
                <w:sz w:val="24"/>
                <w:szCs w:val="24"/>
                <w:lang w:val="lv-LV"/>
              </w:rPr>
              <w:t xml:space="preserve"> – izdevumu sadalījums pa EKK 2015.gadam EKK 1100 – EUR 10 347,1</w:t>
            </w:r>
            <w:r w:rsidR="00F07E73" w:rsidRPr="00165411">
              <w:rPr>
                <w:rFonts w:ascii="Times New Roman" w:hAnsi="Times New Roman"/>
                <w:color w:val="000000" w:themeColor="text1"/>
                <w:sz w:val="24"/>
                <w:szCs w:val="24"/>
                <w:lang w:val="lv-LV"/>
              </w:rPr>
              <w:t>;</w:t>
            </w:r>
            <w:r w:rsidRPr="00165411">
              <w:rPr>
                <w:rFonts w:ascii="Times New Roman" w:hAnsi="Times New Roman"/>
                <w:color w:val="000000" w:themeColor="text1"/>
                <w:sz w:val="24"/>
                <w:szCs w:val="24"/>
                <w:lang w:val="lv-LV"/>
              </w:rPr>
              <w:t xml:space="preserve"> EKK 1200 – EUR 2</w:t>
            </w:r>
            <w:r w:rsidR="00F07E73" w:rsidRPr="00165411">
              <w:rPr>
                <w:rFonts w:ascii="Times New Roman" w:hAnsi="Times New Roman"/>
                <w:color w:val="000000" w:themeColor="text1"/>
                <w:sz w:val="24"/>
                <w:szCs w:val="24"/>
                <w:lang w:val="lv-LV"/>
              </w:rPr>
              <w:t xml:space="preserve"> </w:t>
            </w:r>
            <w:r w:rsidRPr="00165411">
              <w:rPr>
                <w:rFonts w:ascii="Times New Roman" w:hAnsi="Times New Roman"/>
                <w:color w:val="000000" w:themeColor="text1"/>
                <w:sz w:val="24"/>
                <w:szCs w:val="24"/>
                <w:lang w:val="lv-LV"/>
              </w:rPr>
              <w:t>509,9, EKK 2000 EUR – 2</w:t>
            </w:r>
            <w:r w:rsidR="00F07E73" w:rsidRPr="00165411">
              <w:rPr>
                <w:rFonts w:ascii="Times New Roman" w:hAnsi="Times New Roman"/>
                <w:color w:val="000000" w:themeColor="text1"/>
                <w:sz w:val="24"/>
                <w:szCs w:val="24"/>
                <w:lang w:val="lv-LV"/>
              </w:rPr>
              <w:t> 509,9</w:t>
            </w:r>
            <w:r w:rsidRPr="00165411">
              <w:rPr>
                <w:rFonts w:ascii="Times New Roman" w:hAnsi="Times New Roman"/>
                <w:color w:val="000000" w:themeColor="text1"/>
                <w:sz w:val="24"/>
                <w:szCs w:val="24"/>
                <w:lang w:val="lv-LV"/>
              </w:rPr>
              <w:t xml:space="preserve">. </w:t>
            </w:r>
            <w:r w:rsidR="00F07E73" w:rsidRPr="00165411">
              <w:rPr>
                <w:rFonts w:ascii="Times New Roman" w:hAnsi="Times New Roman"/>
                <w:color w:val="000000" w:themeColor="text1"/>
                <w:sz w:val="24"/>
                <w:szCs w:val="24"/>
                <w:lang w:val="lv-LV"/>
              </w:rPr>
              <w:t>2017.gada un turpmāko gadu izdevumu</w:t>
            </w:r>
            <w:r w:rsidR="00C10825" w:rsidRPr="00165411">
              <w:rPr>
                <w:rFonts w:ascii="Times New Roman" w:hAnsi="Times New Roman"/>
                <w:color w:val="000000" w:themeColor="text1"/>
                <w:sz w:val="24"/>
                <w:szCs w:val="24"/>
                <w:lang w:val="lv-LV"/>
              </w:rPr>
              <w:t xml:space="preserve"> izmaiņas:</w:t>
            </w:r>
            <w:r w:rsidR="00F07E73" w:rsidRPr="00165411">
              <w:rPr>
                <w:rFonts w:ascii="Times New Roman" w:hAnsi="Times New Roman"/>
                <w:color w:val="000000" w:themeColor="text1"/>
                <w:sz w:val="24"/>
                <w:szCs w:val="24"/>
                <w:lang w:val="lv-LV"/>
              </w:rPr>
              <w:t xml:space="preserve"> samazinājums pa EKK: EKK 1100 </w:t>
            </w:r>
            <w:r w:rsidR="00ED30A8">
              <w:rPr>
                <w:rFonts w:ascii="Times New Roman" w:hAnsi="Times New Roman"/>
                <w:color w:val="000000" w:themeColor="text1"/>
                <w:sz w:val="24"/>
                <w:szCs w:val="24"/>
                <w:lang w:val="lv-LV"/>
              </w:rPr>
              <w:t>„</w:t>
            </w:r>
            <w:r w:rsidR="00ED30A8" w:rsidRPr="00A34864">
              <w:rPr>
                <w:rFonts w:ascii="Times New Roman" w:hAnsi="Times New Roman"/>
                <w:color w:val="000000" w:themeColor="text1"/>
                <w:sz w:val="24"/>
                <w:szCs w:val="24"/>
                <w:lang w:val="lv-LV"/>
              </w:rPr>
              <w:t>–</w:t>
            </w:r>
            <w:r w:rsidR="00ED30A8">
              <w:rPr>
                <w:rFonts w:ascii="Times New Roman" w:hAnsi="Times New Roman"/>
                <w:color w:val="000000" w:themeColor="text1"/>
                <w:sz w:val="24"/>
                <w:szCs w:val="24"/>
                <w:lang w:val="lv-LV"/>
              </w:rPr>
              <w:t>”</w:t>
            </w:r>
            <w:r w:rsidR="00584508">
              <w:rPr>
                <w:rFonts w:ascii="Times New Roman" w:hAnsi="Times New Roman"/>
                <w:color w:val="000000" w:themeColor="text1"/>
                <w:sz w:val="24"/>
                <w:szCs w:val="24"/>
                <w:lang w:val="lv-LV"/>
              </w:rPr>
              <w:t xml:space="preserve"> </w:t>
            </w:r>
            <w:r w:rsidR="00EB1C88">
              <w:rPr>
                <w:rFonts w:ascii="Times New Roman" w:hAnsi="Times New Roman"/>
                <w:color w:val="000000" w:themeColor="text1"/>
                <w:sz w:val="24"/>
                <w:szCs w:val="24"/>
                <w:lang w:val="lv-LV"/>
              </w:rPr>
              <w:t>5305,0</w:t>
            </w:r>
            <w:r w:rsidR="00584508" w:rsidRPr="00165411">
              <w:rPr>
                <w:rFonts w:ascii="Times New Roman" w:hAnsi="Times New Roman"/>
                <w:color w:val="000000" w:themeColor="text1"/>
                <w:sz w:val="24"/>
                <w:szCs w:val="24"/>
                <w:lang w:val="lv-LV"/>
              </w:rPr>
              <w:t xml:space="preserve"> EUR</w:t>
            </w:r>
            <w:r w:rsidR="00584508">
              <w:rPr>
                <w:rFonts w:ascii="Times New Roman" w:hAnsi="Times New Roman"/>
                <w:color w:val="000000" w:themeColor="text1"/>
                <w:sz w:val="24"/>
                <w:szCs w:val="24"/>
                <w:lang w:val="lv-LV"/>
              </w:rPr>
              <w:t>;</w:t>
            </w:r>
            <w:r w:rsidR="00F07E73" w:rsidRPr="00165411">
              <w:rPr>
                <w:rFonts w:ascii="Times New Roman" w:hAnsi="Times New Roman"/>
                <w:color w:val="000000" w:themeColor="text1"/>
                <w:sz w:val="24"/>
                <w:szCs w:val="24"/>
                <w:lang w:val="lv-LV"/>
              </w:rPr>
              <w:t xml:space="preserve"> EKK 1200 </w:t>
            </w:r>
            <w:r w:rsidR="00ED30A8">
              <w:rPr>
                <w:rFonts w:ascii="Times New Roman" w:hAnsi="Times New Roman"/>
                <w:color w:val="000000" w:themeColor="text1"/>
                <w:sz w:val="24"/>
                <w:szCs w:val="24"/>
                <w:lang w:val="lv-LV"/>
              </w:rPr>
              <w:t>„</w:t>
            </w:r>
            <w:r w:rsidR="00ED30A8" w:rsidRPr="00A34864">
              <w:rPr>
                <w:rFonts w:ascii="Times New Roman" w:hAnsi="Times New Roman"/>
                <w:color w:val="000000" w:themeColor="text1"/>
                <w:sz w:val="24"/>
                <w:szCs w:val="24"/>
                <w:lang w:val="lv-LV"/>
              </w:rPr>
              <w:t>–</w:t>
            </w:r>
            <w:r w:rsidR="00ED30A8">
              <w:rPr>
                <w:rFonts w:ascii="Times New Roman" w:hAnsi="Times New Roman"/>
                <w:color w:val="000000" w:themeColor="text1"/>
                <w:sz w:val="24"/>
                <w:szCs w:val="24"/>
                <w:lang w:val="lv-LV"/>
              </w:rPr>
              <w:t>”</w:t>
            </w:r>
            <w:r w:rsidR="00F07E73" w:rsidRPr="00165411">
              <w:rPr>
                <w:rFonts w:ascii="Times New Roman" w:hAnsi="Times New Roman"/>
                <w:color w:val="000000" w:themeColor="text1"/>
                <w:sz w:val="24"/>
                <w:szCs w:val="24"/>
                <w:lang w:val="lv-LV"/>
              </w:rPr>
              <w:t> </w:t>
            </w:r>
            <w:r w:rsidR="00EB1C88">
              <w:rPr>
                <w:rFonts w:ascii="Times New Roman" w:hAnsi="Times New Roman"/>
                <w:color w:val="000000" w:themeColor="text1"/>
                <w:sz w:val="24"/>
                <w:szCs w:val="24"/>
                <w:lang w:val="lv-LV"/>
              </w:rPr>
              <w:t>1320,5</w:t>
            </w:r>
            <w:r w:rsidR="00584508" w:rsidRPr="00165411">
              <w:rPr>
                <w:rFonts w:ascii="Times New Roman" w:hAnsi="Times New Roman"/>
                <w:color w:val="000000" w:themeColor="text1"/>
                <w:sz w:val="24"/>
                <w:szCs w:val="24"/>
                <w:lang w:val="lv-LV"/>
              </w:rPr>
              <w:t xml:space="preserve"> EUR </w:t>
            </w:r>
            <w:r w:rsidR="00F07E73" w:rsidRPr="00165411">
              <w:rPr>
                <w:rFonts w:ascii="Times New Roman" w:hAnsi="Times New Roman"/>
                <w:color w:val="000000" w:themeColor="text1"/>
                <w:sz w:val="24"/>
                <w:szCs w:val="24"/>
                <w:lang w:val="lv-LV"/>
              </w:rPr>
              <w:t xml:space="preserve"> un palielinājums EKK 2000 </w:t>
            </w:r>
            <w:r w:rsidR="00ED30A8">
              <w:rPr>
                <w:rFonts w:ascii="Times New Roman" w:hAnsi="Times New Roman"/>
                <w:color w:val="000000" w:themeColor="text1"/>
                <w:sz w:val="24"/>
                <w:szCs w:val="24"/>
                <w:lang w:val="lv-LV"/>
              </w:rPr>
              <w:t xml:space="preserve"> </w:t>
            </w:r>
            <w:r w:rsidR="00584508">
              <w:rPr>
                <w:rFonts w:ascii="Times New Roman" w:hAnsi="Times New Roman"/>
                <w:color w:val="000000" w:themeColor="text1"/>
                <w:sz w:val="24"/>
                <w:szCs w:val="24"/>
                <w:lang w:val="lv-LV"/>
              </w:rPr>
              <w:t xml:space="preserve">„+” </w:t>
            </w:r>
            <w:r w:rsidR="00EB1C88">
              <w:rPr>
                <w:rFonts w:ascii="Times New Roman" w:hAnsi="Times New Roman"/>
                <w:color w:val="000000" w:themeColor="text1"/>
                <w:sz w:val="24"/>
                <w:szCs w:val="24"/>
                <w:lang w:val="lv-LV"/>
              </w:rPr>
              <w:t>4 </w:t>
            </w:r>
            <w:r w:rsidR="00F07E73" w:rsidRPr="00165411">
              <w:rPr>
                <w:rFonts w:ascii="Times New Roman" w:hAnsi="Times New Roman"/>
                <w:color w:val="000000" w:themeColor="text1"/>
                <w:sz w:val="24"/>
                <w:szCs w:val="24"/>
                <w:lang w:val="lv-LV"/>
              </w:rPr>
              <w:t>5</w:t>
            </w:r>
            <w:r w:rsidR="00EB1C88">
              <w:rPr>
                <w:rFonts w:ascii="Times New Roman" w:hAnsi="Times New Roman"/>
                <w:color w:val="000000" w:themeColor="text1"/>
                <w:sz w:val="24"/>
                <w:szCs w:val="24"/>
                <w:lang w:val="lv-LV"/>
              </w:rPr>
              <w:t>58,6</w:t>
            </w:r>
            <w:r w:rsidR="00584508" w:rsidRPr="00165411">
              <w:rPr>
                <w:rFonts w:ascii="Times New Roman" w:hAnsi="Times New Roman"/>
                <w:color w:val="000000" w:themeColor="text1"/>
                <w:sz w:val="24"/>
                <w:szCs w:val="24"/>
                <w:lang w:val="lv-LV"/>
              </w:rPr>
              <w:t xml:space="preserve"> EUR</w:t>
            </w:r>
            <w:r w:rsidRPr="00165411">
              <w:rPr>
                <w:rFonts w:ascii="Times New Roman" w:hAnsi="Times New Roman"/>
                <w:color w:val="000000" w:themeColor="text1"/>
                <w:sz w:val="24"/>
                <w:szCs w:val="24"/>
                <w:lang w:val="lv-LV"/>
              </w:rPr>
              <w:t>;</w:t>
            </w:r>
          </w:p>
          <w:p w14:paraId="502C6F5C" w14:textId="7E126A36" w:rsidR="005305CA" w:rsidRPr="00896579" w:rsidRDefault="005305CA">
            <w:pPr>
              <w:pStyle w:val="Sarakstarindkopa1"/>
              <w:spacing w:after="0" w:line="240" w:lineRule="auto"/>
              <w:ind w:left="0"/>
              <w:jc w:val="both"/>
              <w:rPr>
                <w:rFonts w:ascii="Times New Roman" w:hAnsi="Times New Roman"/>
                <w:color w:val="000000" w:themeColor="text1"/>
                <w:sz w:val="24"/>
                <w:szCs w:val="24"/>
                <w:lang w:val="lv-LV"/>
              </w:rPr>
            </w:pPr>
            <w:r w:rsidRPr="00165411">
              <w:rPr>
                <w:rFonts w:ascii="Times New Roman" w:hAnsi="Times New Roman"/>
                <w:b/>
                <w:color w:val="000000" w:themeColor="text1"/>
                <w:sz w:val="24"/>
                <w:szCs w:val="24"/>
                <w:lang w:val="lv-LV"/>
              </w:rPr>
              <w:t>6.2.</w:t>
            </w:r>
            <w:r w:rsidR="00F95743" w:rsidRPr="00165411">
              <w:rPr>
                <w:rFonts w:ascii="Times New Roman" w:hAnsi="Times New Roman"/>
                <w:b/>
                <w:color w:val="000000" w:themeColor="text1"/>
                <w:sz w:val="24"/>
                <w:szCs w:val="24"/>
                <w:lang w:val="lv-LV"/>
              </w:rPr>
              <w:t>4.</w:t>
            </w:r>
            <w:r w:rsidRPr="00165411">
              <w:rPr>
                <w:rFonts w:ascii="Times New Roman" w:hAnsi="Times New Roman"/>
                <w:color w:val="000000" w:themeColor="text1"/>
                <w:sz w:val="24"/>
                <w:szCs w:val="24"/>
                <w:lang w:val="lv-LV"/>
              </w:rPr>
              <w:t xml:space="preserve"> </w:t>
            </w:r>
            <w:r w:rsidR="00F95743" w:rsidRPr="00165411">
              <w:rPr>
                <w:rFonts w:ascii="Times New Roman" w:hAnsi="Times New Roman"/>
                <w:color w:val="000000" w:themeColor="text1"/>
                <w:sz w:val="24"/>
                <w:szCs w:val="24"/>
                <w:lang w:val="lv-LV"/>
              </w:rPr>
              <w:t xml:space="preserve">valsts nodeva par katra papildu uztura bagātinātāja ar atšķirīgām organoleptiskajām īpašībām (piemēram, </w:t>
            </w:r>
            <w:r w:rsidR="00F95743" w:rsidRPr="00165411">
              <w:rPr>
                <w:rFonts w:ascii="Times New Roman" w:hAnsi="Times New Roman"/>
                <w:color w:val="000000" w:themeColor="text1"/>
                <w:sz w:val="24"/>
                <w:szCs w:val="24"/>
                <w:lang w:val="lv-LV"/>
              </w:rPr>
              <w:lastRenderedPageBreak/>
              <w:t>garšu, smaržu)</w:t>
            </w:r>
            <w:r w:rsidRPr="00165411">
              <w:rPr>
                <w:rFonts w:ascii="Times New Roman" w:hAnsi="Times New Roman"/>
                <w:color w:val="000000" w:themeColor="text1"/>
                <w:sz w:val="24"/>
                <w:szCs w:val="24"/>
                <w:lang w:val="lv-LV"/>
              </w:rPr>
              <w:t xml:space="preserve"> – izdevumu sadalījums pa EKK 2017.gadam un turpmākajiem gadiem: EKK 1100 – EUR 6</w:t>
            </w:r>
            <w:r w:rsidR="00EB1C88">
              <w:rPr>
                <w:rFonts w:ascii="Times New Roman" w:hAnsi="Times New Roman"/>
                <w:color w:val="000000" w:themeColor="text1"/>
                <w:sz w:val="24"/>
                <w:szCs w:val="24"/>
                <w:lang w:val="lv-LV"/>
              </w:rPr>
              <w:t>86</w:t>
            </w:r>
            <w:r w:rsidR="00F95743" w:rsidRPr="00165411">
              <w:rPr>
                <w:rFonts w:ascii="Times New Roman" w:hAnsi="Times New Roman"/>
                <w:color w:val="000000" w:themeColor="text1"/>
                <w:sz w:val="24"/>
                <w:szCs w:val="24"/>
                <w:lang w:val="lv-LV"/>
              </w:rPr>
              <w:t>,</w:t>
            </w:r>
            <w:r w:rsidR="00EB1C88">
              <w:rPr>
                <w:rFonts w:ascii="Times New Roman" w:hAnsi="Times New Roman"/>
                <w:color w:val="000000" w:themeColor="text1"/>
                <w:sz w:val="24"/>
                <w:szCs w:val="24"/>
                <w:lang w:val="lv-LV"/>
              </w:rPr>
              <w:t>0</w:t>
            </w:r>
            <w:r w:rsidRPr="00165411">
              <w:rPr>
                <w:rFonts w:ascii="Times New Roman" w:hAnsi="Times New Roman"/>
                <w:color w:val="000000" w:themeColor="text1"/>
                <w:sz w:val="24"/>
                <w:szCs w:val="24"/>
                <w:lang w:val="lv-LV"/>
              </w:rPr>
              <w:t>, EKK 1200 – EUR 1</w:t>
            </w:r>
            <w:r w:rsidR="00EB1C88">
              <w:rPr>
                <w:rFonts w:ascii="Times New Roman" w:hAnsi="Times New Roman"/>
                <w:color w:val="000000" w:themeColor="text1"/>
                <w:sz w:val="24"/>
                <w:szCs w:val="24"/>
                <w:lang w:val="lv-LV"/>
              </w:rPr>
              <w:t>61</w:t>
            </w:r>
            <w:r w:rsidRPr="00165411">
              <w:rPr>
                <w:rFonts w:ascii="Times New Roman" w:hAnsi="Times New Roman"/>
                <w:color w:val="000000" w:themeColor="text1"/>
                <w:sz w:val="24"/>
                <w:szCs w:val="24"/>
                <w:lang w:val="lv-LV"/>
              </w:rPr>
              <w:t>,</w:t>
            </w:r>
            <w:r w:rsidR="00EB1C88">
              <w:rPr>
                <w:rFonts w:ascii="Times New Roman" w:hAnsi="Times New Roman"/>
                <w:color w:val="000000" w:themeColor="text1"/>
                <w:sz w:val="24"/>
                <w:szCs w:val="24"/>
                <w:lang w:val="lv-LV"/>
              </w:rPr>
              <w:t>8</w:t>
            </w:r>
            <w:r w:rsidRPr="00165411">
              <w:rPr>
                <w:rFonts w:ascii="Times New Roman" w:hAnsi="Times New Roman"/>
                <w:color w:val="000000" w:themeColor="text1"/>
                <w:sz w:val="24"/>
                <w:szCs w:val="24"/>
                <w:lang w:val="lv-LV"/>
              </w:rPr>
              <w:t xml:space="preserve">, EKK 2000 – EUR </w:t>
            </w:r>
            <w:r w:rsidR="00EB1C88">
              <w:rPr>
                <w:rFonts w:ascii="Times New Roman" w:hAnsi="Times New Roman"/>
                <w:color w:val="000000" w:themeColor="text1"/>
                <w:sz w:val="24"/>
                <w:szCs w:val="24"/>
                <w:lang w:val="lv-LV"/>
              </w:rPr>
              <w:t>902</w:t>
            </w:r>
            <w:r w:rsidRPr="00165411">
              <w:rPr>
                <w:rFonts w:ascii="Times New Roman" w:hAnsi="Times New Roman"/>
                <w:color w:val="000000" w:themeColor="text1"/>
                <w:sz w:val="24"/>
                <w:szCs w:val="24"/>
                <w:lang w:val="lv-LV"/>
              </w:rPr>
              <w:t>,</w:t>
            </w:r>
            <w:r w:rsidR="00EB1C88">
              <w:rPr>
                <w:rFonts w:ascii="Times New Roman" w:hAnsi="Times New Roman"/>
                <w:color w:val="000000" w:themeColor="text1"/>
                <w:sz w:val="24"/>
                <w:szCs w:val="24"/>
                <w:lang w:val="lv-LV"/>
              </w:rPr>
              <w:t>2</w:t>
            </w:r>
            <w:r w:rsidRPr="00165411">
              <w:rPr>
                <w:rFonts w:ascii="Times New Roman" w:hAnsi="Times New Roman"/>
                <w:color w:val="000000" w:themeColor="text1"/>
                <w:sz w:val="24"/>
                <w:szCs w:val="24"/>
                <w:lang w:val="lv-LV"/>
              </w:rPr>
              <w:t>;</w:t>
            </w:r>
          </w:p>
          <w:p w14:paraId="53B909E4" w14:textId="77777777" w:rsidR="005305CA" w:rsidRPr="00896579" w:rsidRDefault="00F95743">
            <w:pPr>
              <w:pStyle w:val="Sarakstarindkopa1"/>
              <w:spacing w:after="0" w:line="240" w:lineRule="auto"/>
              <w:ind w:left="0"/>
              <w:jc w:val="both"/>
              <w:rPr>
                <w:rFonts w:ascii="Times New Roman" w:hAnsi="Times New Roman"/>
                <w:color w:val="000000" w:themeColor="text1"/>
                <w:sz w:val="24"/>
                <w:szCs w:val="24"/>
                <w:lang w:val="lv-LV"/>
              </w:rPr>
            </w:pPr>
            <w:r w:rsidRPr="00896579">
              <w:rPr>
                <w:rFonts w:ascii="Times New Roman" w:hAnsi="Times New Roman"/>
                <w:b/>
                <w:color w:val="000000" w:themeColor="text1"/>
                <w:sz w:val="24"/>
                <w:szCs w:val="24"/>
                <w:lang w:val="lv-LV"/>
              </w:rPr>
              <w:t>6.2.5</w:t>
            </w:r>
            <w:r w:rsidR="005305CA" w:rsidRPr="00896579">
              <w:rPr>
                <w:rFonts w:ascii="Times New Roman" w:hAnsi="Times New Roman"/>
                <w:b/>
                <w:color w:val="000000" w:themeColor="text1"/>
                <w:sz w:val="24"/>
                <w:szCs w:val="24"/>
                <w:lang w:val="lv-LV"/>
              </w:rPr>
              <w:t>.</w:t>
            </w:r>
            <w:r w:rsidR="005305CA" w:rsidRPr="00896579">
              <w:rPr>
                <w:rFonts w:ascii="Times New Roman" w:hAnsi="Times New Roman"/>
                <w:color w:val="000000" w:themeColor="text1"/>
                <w:sz w:val="24"/>
                <w:szCs w:val="24"/>
                <w:lang w:val="lv-LV"/>
              </w:rPr>
              <w:t xml:space="preserve"> valsts nodeva par izmaiņu reģistrēšanu uztura bagātinātāju reģistrā esošam uztura bagātinātājam: </w:t>
            </w:r>
          </w:p>
          <w:p w14:paraId="7CBD5820" w14:textId="73530CAD" w:rsidR="005305CA" w:rsidRPr="00896579" w:rsidRDefault="005305CA" w:rsidP="002502F2">
            <w:pPr>
              <w:pStyle w:val="Sarakstarindkopa1"/>
              <w:spacing w:after="0" w:line="240" w:lineRule="auto"/>
              <w:ind w:left="0"/>
              <w:jc w:val="both"/>
              <w:rPr>
                <w:rFonts w:ascii="Times New Roman" w:hAnsi="Times New Roman"/>
                <w:color w:val="000000" w:themeColor="text1"/>
                <w:sz w:val="24"/>
                <w:szCs w:val="24"/>
                <w:lang w:val="lv-LV"/>
              </w:rPr>
            </w:pPr>
            <w:r w:rsidRPr="00896579">
              <w:rPr>
                <w:rFonts w:ascii="Times New Roman" w:hAnsi="Times New Roman"/>
                <w:b/>
                <w:color w:val="000000" w:themeColor="text1"/>
                <w:sz w:val="24"/>
                <w:szCs w:val="24"/>
                <w:lang w:val="lv-LV"/>
              </w:rPr>
              <w:t>6.2.</w:t>
            </w:r>
            <w:r w:rsidR="00F95743" w:rsidRPr="00896579">
              <w:rPr>
                <w:rFonts w:ascii="Times New Roman" w:hAnsi="Times New Roman"/>
                <w:b/>
                <w:color w:val="000000" w:themeColor="text1"/>
                <w:sz w:val="24"/>
                <w:szCs w:val="24"/>
                <w:lang w:val="lv-LV"/>
              </w:rPr>
              <w:t>5.1</w:t>
            </w:r>
            <w:r w:rsidRPr="00896579">
              <w:rPr>
                <w:rFonts w:ascii="Times New Roman" w:hAnsi="Times New Roman"/>
                <w:b/>
                <w:color w:val="000000" w:themeColor="text1"/>
                <w:sz w:val="24"/>
                <w:szCs w:val="24"/>
                <w:lang w:val="lv-LV"/>
              </w:rPr>
              <w:t>.</w:t>
            </w:r>
            <w:r w:rsidRPr="00896579">
              <w:rPr>
                <w:rFonts w:ascii="Times New Roman" w:hAnsi="Times New Roman"/>
                <w:color w:val="000000" w:themeColor="text1"/>
                <w:sz w:val="24"/>
                <w:szCs w:val="24"/>
                <w:lang w:val="lv-LV"/>
              </w:rPr>
              <w:t xml:space="preserve"> </w:t>
            </w:r>
            <w:r w:rsidRPr="00896579">
              <w:rPr>
                <w:rFonts w:ascii="Times New Roman" w:hAnsi="Times New Roman"/>
                <w:color w:val="000000" w:themeColor="text1"/>
                <w:sz w:val="24"/>
                <w:szCs w:val="24"/>
                <w:lang w:val="lv-LV" w:eastAsia="fr-FR"/>
              </w:rPr>
              <w:t>ja tiek mainīts u</w:t>
            </w:r>
            <w:r w:rsidRPr="00896579">
              <w:rPr>
                <w:rFonts w:ascii="Times New Roman" w:hAnsi="Times New Roman"/>
                <w:color w:val="000000" w:themeColor="text1"/>
                <w:sz w:val="24"/>
                <w:szCs w:val="24"/>
                <w:lang w:val="lv-LV"/>
              </w:rPr>
              <w:t>ztura bagātinātāja pagatavojuma veids, fasējuma vienības lielums, ieteicamā dienas (diennakts) deva</w:t>
            </w:r>
            <w:r w:rsidRPr="00896579">
              <w:rPr>
                <w:rFonts w:ascii="Times New Roman" w:hAnsi="Times New Roman"/>
                <w:color w:val="000000" w:themeColor="text1"/>
                <w:sz w:val="24"/>
                <w:szCs w:val="24"/>
                <w:lang w:val="lv-LV" w:eastAsia="fr-FR"/>
              </w:rPr>
              <w:t>, s</w:t>
            </w:r>
            <w:r w:rsidRPr="00896579">
              <w:rPr>
                <w:rFonts w:ascii="Times New Roman" w:hAnsi="Times New Roman"/>
                <w:color w:val="000000" w:themeColor="text1"/>
                <w:sz w:val="24"/>
                <w:szCs w:val="24"/>
                <w:lang w:val="lv-LV"/>
              </w:rPr>
              <w:t>astāvdaļas vai sastāvdaļu daudzums – izdevumu sadalījums pa EKK 2015.gadam EKK 1100 – EUR 9518,2, EKK 1200 – EUR 2161,5, EKK 2000 – EUR 1298,1. Izdevumu palielinājuma sadalījums pa EKK 2017.gadā un turpmāk ik gadu pēc cenas izmaiņām un plānotajām izmaiņām izskatāmo iesniegumu skaitā: EKK 1100 – EUR 1</w:t>
            </w:r>
            <w:r w:rsidR="001C7BD8">
              <w:rPr>
                <w:rFonts w:ascii="Times New Roman" w:hAnsi="Times New Roman"/>
                <w:color w:val="000000" w:themeColor="text1"/>
                <w:sz w:val="24"/>
                <w:szCs w:val="24"/>
                <w:lang w:val="lv-LV"/>
              </w:rPr>
              <w:t>3</w:t>
            </w:r>
            <w:r w:rsidRPr="00896579">
              <w:rPr>
                <w:rFonts w:ascii="Times New Roman" w:hAnsi="Times New Roman"/>
                <w:color w:val="000000" w:themeColor="text1"/>
                <w:sz w:val="24"/>
                <w:szCs w:val="24"/>
                <w:lang w:val="lv-LV"/>
              </w:rPr>
              <w:t> </w:t>
            </w:r>
            <w:r w:rsidR="001C7BD8">
              <w:rPr>
                <w:rFonts w:ascii="Times New Roman" w:hAnsi="Times New Roman"/>
                <w:color w:val="000000" w:themeColor="text1"/>
                <w:sz w:val="24"/>
                <w:szCs w:val="24"/>
                <w:lang w:val="lv-LV"/>
              </w:rPr>
              <w:t>805</w:t>
            </w:r>
            <w:r w:rsidRPr="00896579">
              <w:rPr>
                <w:rFonts w:ascii="Times New Roman" w:hAnsi="Times New Roman"/>
                <w:color w:val="000000" w:themeColor="text1"/>
                <w:sz w:val="24"/>
                <w:szCs w:val="24"/>
                <w:lang w:val="lv-LV"/>
              </w:rPr>
              <w:t xml:space="preserve">,8, EKK 1200 – EUR </w:t>
            </w:r>
            <w:r w:rsidR="001C7BD8">
              <w:rPr>
                <w:rFonts w:ascii="Times New Roman" w:hAnsi="Times New Roman"/>
                <w:color w:val="000000" w:themeColor="text1"/>
                <w:sz w:val="24"/>
                <w:szCs w:val="24"/>
                <w:lang w:val="lv-LV"/>
              </w:rPr>
              <w:t>3340</w:t>
            </w:r>
            <w:r w:rsidRPr="00896579">
              <w:rPr>
                <w:rFonts w:ascii="Times New Roman" w:hAnsi="Times New Roman"/>
                <w:color w:val="000000" w:themeColor="text1"/>
                <w:sz w:val="24"/>
                <w:szCs w:val="24"/>
                <w:lang w:val="lv-LV"/>
              </w:rPr>
              <w:t>,</w:t>
            </w:r>
            <w:r w:rsidR="001C7BD8">
              <w:rPr>
                <w:rFonts w:ascii="Times New Roman" w:hAnsi="Times New Roman"/>
                <w:color w:val="000000" w:themeColor="text1"/>
                <w:sz w:val="24"/>
                <w:szCs w:val="24"/>
                <w:lang w:val="lv-LV"/>
              </w:rPr>
              <w:t>6</w:t>
            </w:r>
            <w:r w:rsidRPr="00896579">
              <w:rPr>
                <w:rFonts w:ascii="Times New Roman" w:hAnsi="Times New Roman"/>
                <w:color w:val="000000" w:themeColor="text1"/>
                <w:sz w:val="24"/>
                <w:szCs w:val="24"/>
                <w:lang w:val="lv-LV"/>
              </w:rPr>
              <w:t xml:space="preserve">, EKK 2000 – EUR </w:t>
            </w:r>
            <w:r w:rsidR="001C7BD8">
              <w:rPr>
                <w:rFonts w:ascii="Times New Roman" w:hAnsi="Times New Roman"/>
                <w:color w:val="000000" w:themeColor="text1"/>
                <w:sz w:val="24"/>
                <w:szCs w:val="24"/>
                <w:lang w:val="lv-LV"/>
              </w:rPr>
              <w:t>1</w:t>
            </w:r>
            <w:r w:rsidRPr="00896579">
              <w:rPr>
                <w:rFonts w:ascii="Times New Roman" w:hAnsi="Times New Roman"/>
                <w:color w:val="000000" w:themeColor="text1"/>
                <w:sz w:val="24"/>
                <w:szCs w:val="24"/>
                <w:lang w:val="lv-LV"/>
              </w:rPr>
              <w:t>2</w:t>
            </w:r>
            <w:r w:rsidR="001C7BD8">
              <w:rPr>
                <w:rFonts w:ascii="Times New Roman" w:hAnsi="Times New Roman"/>
                <w:color w:val="000000" w:themeColor="text1"/>
                <w:sz w:val="24"/>
                <w:szCs w:val="24"/>
                <w:lang w:val="lv-LV"/>
              </w:rPr>
              <w:t>375,8</w:t>
            </w:r>
            <w:r w:rsidRPr="00896579">
              <w:rPr>
                <w:rFonts w:ascii="Times New Roman" w:hAnsi="Times New Roman"/>
                <w:color w:val="000000" w:themeColor="text1"/>
                <w:sz w:val="24"/>
                <w:szCs w:val="24"/>
                <w:lang w:val="lv-LV"/>
              </w:rPr>
              <w:t>;</w:t>
            </w:r>
          </w:p>
          <w:p w14:paraId="06EABDD6" w14:textId="667B8D6C" w:rsidR="005305CA" w:rsidRPr="00896579" w:rsidRDefault="00E530AF" w:rsidP="00667DFC">
            <w:pPr>
              <w:pStyle w:val="Sarakstarindkopa1"/>
              <w:spacing w:after="0" w:line="240" w:lineRule="auto"/>
              <w:ind w:left="0"/>
              <w:jc w:val="both"/>
              <w:rPr>
                <w:rFonts w:ascii="Times New Roman" w:hAnsi="Times New Roman"/>
                <w:color w:val="000000" w:themeColor="text1"/>
                <w:sz w:val="24"/>
                <w:szCs w:val="24"/>
                <w:lang w:val="lv-LV"/>
              </w:rPr>
            </w:pPr>
            <w:r w:rsidRPr="00896579">
              <w:rPr>
                <w:rFonts w:ascii="Times New Roman" w:hAnsi="Times New Roman"/>
                <w:b/>
                <w:color w:val="000000" w:themeColor="text1"/>
                <w:sz w:val="24"/>
                <w:szCs w:val="24"/>
                <w:lang w:val="lv-LV"/>
              </w:rPr>
              <w:t>6.2.5.2</w:t>
            </w:r>
            <w:r w:rsidR="005305CA" w:rsidRPr="00896579">
              <w:rPr>
                <w:rFonts w:ascii="Times New Roman" w:hAnsi="Times New Roman"/>
                <w:b/>
                <w:color w:val="000000" w:themeColor="text1"/>
                <w:sz w:val="24"/>
                <w:szCs w:val="24"/>
                <w:lang w:val="lv-LV"/>
              </w:rPr>
              <w:t xml:space="preserve">. </w:t>
            </w:r>
            <w:r w:rsidRPr="00896579">
              <w:rPr>
                <w:rFonts w:ascii="Times New Roman" w:hAnsi="Times New Roman"/>
                <w:color w:val="000000" w:themeColor="text1"/>
                <w:sz w:val="24"/>
                <w:szCs w:val="24"/>
                <w:lang w:val="lv-LV"/>
              </w:rPr>
              <w:t xml:space="preserve">ja tiek izdarītas izmaiņas marķējumā vai citā pievienotajā informācijā, piemēram, lietošanas pamācībā, ja tās nav saistītas ar 6.1.5.1. apakšpunktā minētajām izmaiņām - </w:t>
            </w:r>
            <w:r w:rsidR="005305CA" w:rsidRPr="00896579">
              <w:rPr>
                <w:rFonts w:ascii="Times New Roman" w:hAnsi="Times New Roman"/>
                <w:color w:val="000000" w:themeColor="text1"/>
                <w:sz w:val="24"/>
                <w:szCs w:val="24"/>
                <w:lang w:val="lv-LV"/>
              </w:rPr>
              <w:t xml:space="preserve"> izdevumu sadalījums pa EKK 2017.gadam un turpmākajiem gadiem; EKK 1100 – EUR </w:t>
            </w:r>
            <w:r w:rsidR="00667DFC">
              <w:rPr>
                <w:rFonts w:ascii="Times New Roman" w:hAnsi="Times New Roman"/>
                <w:color w:val="000000" w:themeColor="text1"/>
                <w:sz w:val="24"/>
                <w:szCs w:val="24"/>
                <w:lang w:val="lv-LV"/>
              </w:rPr>
              <w:t>617</w:t>
            </w:r>
            <w:r w:rsidRPr="00896579">
              <w:rPr>
                <w:rFonts w:ascii="Times New Roman" w:hAnsi="Times New Roman"/>
                <w:color w:val="000000" w:themeColor="text1"/>
                <w:sz w:val="24"/>
                <w:szCs w:val="24"/>
                <w:lang w:val="lv-LV"/>
              </w:rPr>
              <w:t>,</w:t>
            </w:r>
            <w:r w:rsidR="00667DFC">
              <w:rPr>
                <w:rFonts w:ascii="Times New Roman" w:hAnsi="Times New Roman"/>
                <w:color w:val="000000" w:themeColor="text1"/>
                <w:sz w:val="24"/>
                <w:szCs w:val="24"/>
                <w:lang w:val="lv-LV"/>
              </w:rPr>
              <w:t>4</w:t>
            </w:r>
            <w:r w:rsidRPr="00896579">
              <w:rPr>
                <w:rFonts w:ascii="Times New Roman" w:hAnsi="Times New Roman"/>
                <w:color w:val="000000" w:themeColor="text1"/>
                <w:sz w:val="24"/>
                <w:szCs w:val="24"/>
                <w:lang w:val="lv-LV"/>
              </w:rPr>
              <w:t>;</w:t>
            </w:r>
            <w:r w:rsidR="005305CA" w:rsidRPr="00896579">
              <w:rPr>
                <w:rFonts w:ascii="Times New Roman" w:hAnsi="Times New Roman"/>
                <w:color w:val="000000" w:themeColor="text1"/>
                <w:sz w:val="24"/>
                <w:szCs w:val="24"/>
                <w:lang w:val="lv-LV"/>
              </w:rPr>
              <w:t xml:space="preserve"> EKK 1200 – EUR </w:t>
            </w:r>
            <w:r w:rsidR="00667DFC">
              <w:rPr>
                <w:rFonts w:ascii="Times New Roman" w:hAnsi="Times New Roman"/>
                <w:color w:val="000000" w:themeColor="text1"/>
                <w:sz w:val="24"/>
                <w:szCs w:val="24"/>
                <w:lang w:val="lv-LV"/>
              </w:rPr>
              <w:t>145</w:t>
            </w:r>
            <w:r w:rsidRPr="00896579">
              <w:rPr>
                <w:rFonts w:ascii="Times New Roman" w:hAnsi="Times New Roman"/>
                <w:color w:val="000000" w:themeColor="text1"/>
                <w:sz w:val="24"/>
                <w:szCs w:val="24"/>
                <w:lang w:val="lv-LV"/>
              </w:rPr>
              <w:t>,</w:t>
            </w:r>
            <w:r w:rsidR="00667DFC">
              <w:rPr>
                <w:rFonts w:ascii="Times New Roman" w:hAnsi="Times New Roman"/>
                <w:color w:val="000000" w:themeColor="text1"/>
                <w:sz w:val="24"/>
                <w:szCs w:val="24"/>
                <w:lang w:val="lv-LV"/>
              </w:rPr>
              <w:t>6</w:t>
            </w:r>
            <w:r w:rsidR="005305CA" w:rsidRPr="00896579">
              <w:rPr>
                <w:rFonts w:ascii="Times New Roman" w:hAnsi="Times New Roman"/>
                <w:color w:val="000000" w:themeColor="text1"/>
                <w:sz w:val="24"/>
                <w:szCs w:val="24"/>
                <w:lang w:val="lv-LV"/>
              </w:rPr>
              <w:t xml:space="preserve">, EKK 2000 – EUR </w:t>
            </w:r>
            <w:r w:rsidR="00667DFC">
              <w:rPr>
                <w:rFonts w:ascii="Times New Roman" w:hAnsi="Times New Roman"/>
                <w:color w:val="000000" w:themeColor="text1"/>
                <w:sz w:val="24"/>
                <w:szCs w:val="24"/>
                <w:lang w:val="lv-LV"/>
              </w:rPr>
              <w:t>737</w:t>
            </w:r>
            <w:r w:rsidRPr="00896579">
              <w:rPr>
                <w:rFonts w:ascii="Times New Roman" w:hAnsi="Times New Roman"/>
                <w:color w:val="000000" w:themeColor="text1"/>
                <w:sz w:val="24"/>
                <w:szCs w:val="24"/>
                <w:lang w:val="lv-LV"/>
              </w:rPr>
              <w:t>,</w:t>
            </w:r>
            <w:r w:rsidR="00667DFC">
              <w:rPr>
                <w:rFonts w:ascii="Times New Roman" w:hAnsi="Times New Roman"/>
                <w:color w:val="000000" w:themeColor="text1"/>
                <w:sz w:val="24"/>
                <w:szCs w:val="24"/>
                <w:lang w:val="lv-LV"/>
              </w:rPr>
              <w:t>0</w:t>
            </w:r>
            <w:r w:rsidR="005305CA" w:rsidRPr="00896579">
              <w:rPr>
                <w:rFonts w:ascii="Times New Roman" w:hAnsi="Times New Roman"/>
                <w:color w:val="000000" w:themeColor="text1"/>
                <w:sz w:val="24"/>
                <w:szCs w:val="24"/>
                <w:lang w:val="lv-LV"/>
              </w:rPr>
              <w:t>.</w:t>
            </w:r>
          </w:p>
        </w:tc>
        <w:tc>
          <w:tcPr>
            <w:tcW w:w="722" w:type="pct"/>
            <w:tcBorders>
              <w:top w:val="single" w:sz="4" w:space="0" w:color="auto"/>
              <w:left w:val="single" w:sz="6" w:space="0" w:color="auto"/>
              <w:bottom w:val="single" w:sz="6" w:space="0" w:color="auto"/>
              <w:right w:val="single" w:sz="6" w:space="0" w:color="auto"/>
            </w:tcBorders>
          </w:tcPr>
          <w:p w14:paraId="7681781B" w14:textId="77777777" w:rsidR="005305CA" w:rsidRPr="00A34864" w:rsidRDefault="005305CA">
            <w:pPr>
              <w:spacing w:line="276" w:lineRule="auto"/>
              <w:jc w:val="center"/>
              <w:rPr>
                <w:color w:val="000000" w:themeColor="text1"/>
                <w:lang w:val="lv-LV"/>
              </w:rPr>
            </w:pPr>
            <w:r w:rsidRPr="00A34864">
              <w:rPr>
                <w:b/>
                <w:color w:val="000000" w:themeColor="text1"/>
                <w:lang w:val="lv-LV"/>
              </w:rPr>
              <w:lastRenderedPageBreak/>
              <w:t>96 912</w:t>
            </w:r>
          </w:p>
          <w:p w14:paraId="5FE99AF1" w14:textId="77777777" w:rsidR="005305CA" w:rsidRPr="00A34864" w:rsidRDefault="005305CA">
            <w:pPr>
              <w:spacing w:line="276" w:lineRule="auto"/>
              <w:jc w:val="center"/>
              <w:rPr>
                <w:color w:val="000000" w:themeColor="text1"/>
                <w:lang w:val="lv-LV"/>
              </w:rPr>
            </w:pPr>
          </w:p>
          <w:p w14:paraId="1FEA0890" w14:textId="77777777" w:rsidR="005305CA" w:rsidRPr="00A34864" w:rsidRDefault="005305CA">
            <w:pPr>
              <w:spacing w:line="276" w:lineRule="auto"/>
              <w:jc w:val="center"/>
              <w:rPr>
                <w:color w:val="000000" w:themeColor="text1"/>
                <w:lang w:val="lv-LV"/>
              </w:rPr>
            </w:pPr>
          </w:p>
          <w:p w14:paraId="70573D33" w14:textId="77777777" w:rsidR="002F4E08" w:rsidRPr="00A34864" w:rsidRDefault="002F4E08">
            <w:pPr>
              <w:spacing w:line="276" w:lineRule="auto"/>
              <w:jc w:val="center"/>
              <w:rPr>
                <w:color w:val="000000" w:themeColor="text1"/>
                <w:lang w:val="lv-LV"/>
              </w:rPr>
            </w:pPr>
          </w:p>
          <w:p w14:paraId="1D833EFB" w14:textId="77777777" w:rsidR="002F4E08" w:rsidRPr="00A34864" w:rsidRDefault="002F4E08" w:rsidP="002F4E08">
            <w:pPr>
              <w:spacing w:line="276" w:lineRule="auto"/>
              <w:jc w:val="center"/>
              <w:rPr>
                <w:i/>
                <w:color w:val="000000" w:themeColor="text1"/>
                <w:lang w:val="lv-LV"/>
              </w:rPr>
            </w:pPr>
            <w:r w:rsidRPr="00A34864">
              <w:rPr>
                <w:i/>
                <w:color w:val="000000" w:themeColor="text1"/>
                <w:lang w:val="lv-LV"/>
              </w:rPr>
              <w:t>68 567</w:t>
            </w:r>
          </w:p>
          <w:p w14:paraId="4F13EEB6" w14:textId="77777777" w:rsidR="002F4E08" w:rsidRPr="00A34864" w:rsidRDefault="002F4E08">
            <w:pPr>
              <w:spacing w:line="276" w:lineRule="auto"/>
              <w:jc w:val="center"/>
              <w:rPr>
                <w:color w:val="000000" w:themeColor="text1"/>
                <w:lang w:val="lv-LV"/>
              </w:rPr>
            </w:pPr>
          </w:p>
          <w:p w14:paraId="4AB9998D" w14:textId="77777777" w:rsidR="002F4E08" w:rsidRPr="00A34864" w:rsidRDefault="002F4E08">
            <w:pPr>
              <w:spacing w:line="276" w:lineRule="auto"/>
              <w:jc w:val="center"/>
              <w:rPr>
                <w:color w:val="000000" w:themeColor="text1"/>
                <w:lang w:val="lv-LV"/>
              </w:rPr>
            </w:pPr>
          </w:p>
          <w:p w14:paraId="4D44A378" w14:textId="77777777" w:rsidR="002F4E08" w:rsidRPr="00A34864" w:rsidRDefault="002F4E08">
            <w:pPr>
              <w:spacing w:line="276" w:lineRule="auto"/>
              <w:jc w:val="center"/>
              <w:rPr>
                <w:color w:val="000000" w:themeColor="text1"/>
                <w:lang w:val="lv-LV"/>
              </w:rPr>
            </w:pPr>
          </w:p>
          <w:p w14:paraId="5D4005FD" w14:textId="77777777" w:rsidR="002F4E08" w:rsidRPr="00A34864" w:rsidRDefault="002F4E08">
            <w:pPr>
              <w:spacing w:line="276" w:lineRule="auto"/>
              <w:jc w:val="center"/>
              <w:rPr>
                <w:color w:val="000000" w:themeColor="text1"/>
                <w:lang w:val="lv-LV"/>
              </w:rPr>
            </w:pPr>
          </w:p>
          <w:p w14:paraId="7C329B1D" w14:textId="77777777" w:rsidR="002F4E08" w:rsidRPr="00A34864" w:rsidRDefault="002F4E08">
            <w:pPr>
              <w:spacing w:line="276" w:lineRule="auto"/>
              <w:jc w:val="center"/>
              <w:rPr>
                <w:color w:val="000000" w:themeColor="text1"/>
                <w:lang w:val="lv-LV"/>
              </w:rPr>
            </w:pPr>
          </w:p>
          <w:p w14:paraId="3C75B06E" w14:textId="77777777" w:rsidR="002F4E08" w:rsidRPr="00A34864" w:rsidRDefault="002F4E08">
            <w:pPr>
              <w:spacing w:line="276" w:lineRule="auto"/>
              <w:jc w:val="center"/>
              <w:rPr>
                <w:color w:val="000000" w:themeColor="text1"/>
                <w:lang w:val="lv-LV"/>
              </w:rPr>
            </w:pPr>
          </w:p>
          <w:p w14:paraId="09FE4069" w14:textId="77777777" w:rsidR="002F4E08" w:rsidRPr="00A34864" w:rsidRDefault="002F4E08">
            <w:pPr>
              <w:spacing w:line="276" w:lineRule="auto"/>
              <w:jc w:val="center"/>
              <w:rPr>
                <w:color w:val="000000" w:themeColor="text1"/>
                <w:lang w:val="lv-LV"/>
              </w:rPr>
            </w:pPr>
          </w:p>
          <w:p w14:paraId="79F9A474" w14:textId="77777777" w:rsidR="002F4E08" w:rsidRPr="00A34864" w:rsidRDefault="002F4E08">
            <w:pPr>
              <w:spacing w:line="276" w:lineRule="auto"/>
              <w:jc w:val="center"/>
              <w:rPr>
                <w:color w:val="000000" w:themeColor="text1"/>
                <w:lang w:val="lv-LV"/>
              </w:rPr>
            </w:pPr>
          </w:p>
          <w:p w14:paraId="7926EBB3" w14:textId="77777777" w:rsidR="00C10825" w:rsidRPr="00A34864" w:rsidRDefault="00C10825">
            <w:pPr>
              <w:spacing w:line="276" w:lineRule="auto"/>
              <w:jc w:val="center"/>
              <w:rPr>
                <w:color w:val="000000" w:themeColor="text1"/>
                <w:lang w:val="lv-LV"/>
              </w:rPr>
            </w:pPr>
          </w:p>
          <w:p w14:paraId="652D3214" w14:textId="77777777" w:rsidR="00C10825" w:rsidRPr="00A34864" w:rsidRDefault="00C10825">
            <w:pPr>
              <w:spacing w:line="276" w:lineRule="auto"/>
              <w:jc w:val="center"/>
              <w:rPr>
                <w:color w:val="000000" w:themeColor="text1"/>
                <w:lang w:val="lv-LV"/>
              </w:rPr>
            </w:pPr>
          </w:p>
          <w:p w14:paraId="11E71371" w14:textId="77777777" w:rsidR="00C10825" w:rsidRPr="00A34864" w:rsidRDefault="00C10825">
            <w:pPr>
              <w:spacing w:line="276" w:lineRule="auto"/>
              <w:jc w:val="center"/>
              <w:rPr>
                <w:color w:val="000000" w:themeColor="text1"/>
                <w:lang w:val="lv-LV"/>
              </w:rPr>
            </w:pPr>
          </w:p>
          <w:p w14:paraId="68E19849" w14:textId="77777777" w:rsidR="00C10825" w:rsidRPr="00A34864" w:rsidRDefault="00C10825">
            <w:pPr>
              <w:spacing w:line="276" w:lineRule="auto"/>
              <w:jc w:val="center"/>
              <w:rPr>
                <w:color w:val="000000" w:themeColor="text1"/>
                <w:lang w:val="lv-LV"/>
              </w:rPr>
            </w:pPr>
          </w:p>
          <w:p w14:paraId="319C183D" w14:textId="77777777" w:rsidR="00C10825" w:rsidRPr="00A34864" w:rsidRDefault="00C10825">
            <w:pPr>
              <w:spacing w:line="276" w:lineRule="auto"/>
              <w:jc w:val="center"/>
              <w:rPr>
                <w:color w:val="000000" w:themeColor="text1"/>
                <w:lang w:val="lv-LV"/>
              </w:rPr>
            </w:pPr>
          </w:p>
          <w:p w14:paraId="4C5AAF55" w14:textId="77777777" w:rsidR="00C10825" w:rsidRPr="00A34864" w:rsidRDefault="00C10825">
            <w:pPr>
              <w:spacing w:line="276" w:lineRule="auto"/>
              <w:jc w:val="center"/>
              <w:rPr>
                <w:color w:val="000000" w:themeColor="text1"/>
                <w:lang w:val="lv-LV"/>
              </w:rPr>
            </w:pPr>
          </w:p>
          <w:p w14:paraId="4E051B2E" w14:textId="77777777" w:rsidR="00C10825" w:rsidRPr="00A34864" w:rsidRDefault="00C10825">
            <w:pPr>
              <w:spacing w:line="276" w:lineRule="auto"/>
              <w:jc w:val="center"/>
              <w:rPr>
                <w:color w:val="000000" w:themeColor="text1"/>
                <w:lang w:val="lv-LV"/>
              </w:rPr>
            </w:pPr>
          </w:p>
          <w:p w14:paraId="34F0A29B" w14:textId="77777777" w:rsidR="00C10825" w:rsidRPr="00A34864" w:rsidRDefault="00C10825">
            <w:pPr>
              <w:spacing w:line="276" w:lineRule="auto"/>
              <w:jc w:val="center"/>
              <w:rPr>
                <w:color w:val="000000" w:themeColor="text1"/>
                <w:lang w:val="lv-LV"/>
              </w:rPr>
            </w:pPr>
          </w:p>
          <w:p w14:paraId="4979B32E" w14:textId="77777777" w:rsidR="004F1DC8" w:rsidRPr="00A34864" w:rsidRDefault="004F1DC8">
            <w:pPr>
              <w:spacing w:line="276" w:lineRule="auto"/>
              <w:jc w:val="center"/>
              <w:rPr>
                <w:color w:val="000000" w:themeColor="text1"/>
                <w:lang w:val="lv-LV"/>
              </w:rPr>
            </w:pPr>
          </w:p>
          <w:p w14:paraId="49FE42C9" w14:textId="77777777" w:rsidR="00FC0E85" w:rsidRPr="00A34864" w:rsidRDefault="00FC0E85">
            <w:pPr>
              <w:spacing w:line="276" w:lineRule="auto"/>
              <w:jc w:val="center"/>
              <w:rPr>
                <w:color w:val="000000" w:themeColor="text1"/>
                <w:lang w:val="lv-LV"/>
              </w:rPr>
            </w:pPr>
          </w:p>
          <w:p w14:paraId="3A54F5DB" w14:textId="77777777" w:rsidR="00FC0E85" w:rsidRPr="00A34864" w:rsidRDefault="00FC0E85">
            <w:pPr>
              <w:spacing w:line="276" w:lineRule="auto"/>
              <w:jc w:val="center"/>
              <w:rPr>
                <w:color w:val="000000" w:themeColor="text1"/>
                <w:lang w:val="lv-LV"/>
              </w:rPr>
            </w:pPr>
          </w:p>
          <w:p w14:paraId="0E9AE78F" w14:textId="77777777" w:rsidR="00C10825" w:rsidRPr="00A34864" w:rsidRDefault="00F95743">
            <w:pPr>
              <w:spacing w:line="276" w:lineRule="auto"/>
              <w:jc w:val="center"/>
              <w:rPr>
                <w:i/>
                <w:color w:val="000000" w:themeColor="text1"/>
                <w:lang w:val="lv-LV"/>
              </w:rPr>
            </w:pPr>
            <w:r w:rsidRPr="00A34864">
              <w:rPr>
                <w:i/>
                <w:color w:val="000000" w:themeColor="text1"/>
                <w:lang w:val="lv-LV"/>
              </w:rPr>
              <w:t>0,0</w:t>
            </w:r>
          </w:p>
          <w:p w14:paraId="67B204DB" w14:textId="77777777" w:rsidR="00C10825" w:rsidRPr="00A34864" w:rsidRDefault="00C10825">
            <w:pPr>
              <w:spacing w:line="276" w:lineRule="auto"/>
              <w:jc w:val="center"/>
              <w:rPr>
                <w:color w:val="000000" w:themeColor="text1"/>
                <w:lang w:val="lv-LV"/>
              </w:rPr>
            </w:pPr>
          </w:p>
          <w:p w14:paraId="33713055" w14:textId="77777777" w:rsidR="002F4E08" w:rsidRPr="00A34864" w:rsidRDefault="002F4E08">
            <w:pPr>
              <w:spacing w:line="276" w:lineRule="auto"/>
              <w:jc w:val="center"/>
              <w:rPr>
                <w:color w:val="000000" w:themeColor="text1"/>
                <w:lang w:val="lv-LV"/>
              </w:rPr>
            </w:pPr>
          </w:p>
          <w:p w14:paraId="18580080" w14:textId="77777777" w:rsidR="002F4E08" w:rsidRPr="00A34864" w:rsidRDefault="002F4E08">
            <w:pPr>
              <w:spacing w:line="276" w:lineRule="auto"/>
              <w:jc w:val="center"/>
              <w:rPr>
                <w:color w:val="000000" w:themeColor="text1"/>
                <w:lang w:val="lv-LV"/>
              </w:rPr>
            </w:pPr>
          </w:p>
          <w:p w14:paraId="0317FD41" w14:textId="77777777" w:rsidR="002F4E08" w:rsidRPr="00A34864" w:rsidRDefault="002F4E08">
            <w:pPr>
              <w:spacing w:line="276" w:lineRule="auto"/>
              <w:jc w:val="center"/>
              <w:rPr>
                <w:color w:val="000000" w:themeColor="text1"/>
                <w:lang w:val="lv-LV"/>
              </w:rPr>
            </w:pPr>
          </w:p>
          <w:p w14:paraId="4A5B566B" w14:textId="77777777" w:rsidR="002F4E08" w:rsidRPr="00A34864" w:rsidRDefault="002F4E08">
            <w:pPr>
              <w:spacing w:line="276" w:lineRule="auto"/>
              <w:jc w:val="center"/>
              <w:rPr>
                <w:color w:val="000000" w:themeColor="text1"/>
                <w:lang w:val="lv-LV"/>
              </w:rPr>
            </w:pPr>
          </w:p>
          <w:p w14:paraId="2D0F1C5E" w14:textId="77777777" w:rsidR="005305CA" w:rsidRPr="00A34864" w:rsidRDefault="005305CA">
            <w:pPr>
              <w:spacing w:line="276" w:lineRule="auto"/>
              <w:jc w:val="center"/>
              <w:rPr>
                <w:color w:val="000000" w:themeColor="text1"/>
                <w:lang w:val="lv-LV"/>
              </w:rPr>
            </w:pPr>
          </w:p>
          <w:p w14:paraId="37C0164B" w14:textId="77777777" w:rsidR="005305CA" w:rsidRPr="00A34864" w:rsidRDefault="005305CA">
            <w:pPr>
              <w:spacing w:line="276" w:lineRule="auto"/>
              <w:jc w:val="center"/>
              <w:rPr>
                <w:color w:val="000000" w:themeColor="text1"/>
                <w:lang w:val="lv-LV"/>
              </w:rPr>
            </w:pPr>
          </w:p>
          <w:p w14:paraId="5F241469" w14:textId="77777777" w:rsidR="00F95743" w:rsidRPr="00A34864" w:rsidRDefault="00F95743">
            <w:pPr>
              <w:spacing w:line="276" w:lineRule="auto"/>
              <w:jc w:val="center"/>
              <w:rPr>
                <w:color w:val="000000" w:themeColor="text1"/>
                <w:lang w:val="lv-LV"/>
              </w:rPr>
            </w:pPr>
          </w:p>
          <w:p w14:paraId="062FDFD5" w14:textId="77777777" w:rsidR="00F95743" w:rsidRPr="00A34864" w:rsidRDefault="00F95743">
            <w:pPr>
              <w:spacing w:line="276" w:lineRule="auto"/>
              <w:jc w:val="center"/>
              <w:rPr>
                <w:color w:val="000000" w:themeColor="text1"/>
                <w:lang w:val="lv-LV"/>
              </w:rPr>
            </w:pPr>
          </w:p>
          <w:p w14:paraId="75AAA021" w14:textId="77777777" w:rsidR="00F95743" w:rsidRPr="00A34864" w:rsidRDefault="00F95743">
            <w:pPr>
              <w:spacing w:line="276" w:lineRule="auto"/>
              <w:jc w:val="center"/>
              <w:rPr>
                <w:color w:val="000000" w:themeColor="text1"/>
                <w:lang w:val="lv-LV"/>
              </w:rPr>
            </w:pPr>
          </w:p>
          <w:p w14:paraId="2DCE0335" w14:textId="77777777" w:rsidR="00F95743" w:rsidRPr="00A34864" w:rsidRDefault="00F95743">
            <w:pPr>
              <w:spacing w:line="276" w:lineRule="auto"/>
              <w:jc w:val="center"/>
              <w:rPr>
                <w:color w:val="000000" w:themeColor="text1"/>
                <w:lang w:val="lv-LV"/>
              </w:rPr>
            </w:pPr>
          </w:p>
          <w:p w14:paraId="535DCD69" w14:textId="77777777" w:rsidR="00F95743" w:rsidRPr="00A34864" w:rsidRDefault="00F95743">
            <w:pPr>
              <w:spacing w:line="276" w:lineRule="auto"/>
              <w:jc w:val="center"/>
              <w:rPr>
                <w:color w:val="000000" w:themeColor="text1"/>
                <w:lang w:val="lv-LV"/>
              </w:rPr>
            </w:pPr>
          </w:p>
          <w:p w14:paraId="5E749FE5" w14:textId="77777777" w:rsidR="00F95743" w:rsidRPr="00A34864" w:rsidRDefault="00F95743">
            <w:pPr>
              <w:spacing w:line="276" w:lineRule="auto"/>
              <w:jc w:val="center"/>
              <w:rPr>
                <w:color w:val="000000" w:themeColor="text1"/>
                <w:lang w:val="lv-LV"/>
              </w:rPr>
            </w:pPr>
          </w:p>
          <w:p w14:paraId="3DF1ADC1" w14:textId="77777777" w:rsidR="00ED534B" w:rsidRPr="00A34864" w:rsidRDefault="00ED534B">
            <w:pPr>
              <w:spacing w:line="276" w:lineRule="auto"/>
              <w:jc w:val="center"/>
              <w:rPr>
                <w:color w:val="000000" w:themeColor="text1"/>
                <w:lang w:val="lv-LV"/>
              </w:rPr>
            </w:pPr>
          </w:p>
          <w:p w14:paraId="7BA3A791" w14:textId="77777777" w:rsidR="00ED534B" w:rsidRPr="00A34864" w:rsidRDefault="00ED534B">
            <w:pPr>
              <w:spacing w:line="276" w:lineRule="auto"/>
              <w:jc w:val="center"/>
              <w:rPr>
                <w:color w:val="000000" w:themeColor="text1"/>
                <w:lang w:val="lv-LV"/>
              </w:rPr>
            </w:pPr>
          </w:p>
          <w:p w14:paraId="50605970" w14:textId="77777777" w:rsidR="00ED534B" w:rsidRPr="00A34864" w:rsidRDefault="00ED534B">
            <w:pPr>
              <w:spacing w:line="276" w:lineRule="auto"/>
              <w:jc w:val="center"/>
              <w:rPr>
                <w:color w:val="000000" w:themeColor="text1"/>
                <w:lang w:val="lv-LV"/>
              </w:rPr>
            </w:pPr>
          </w:p>
          <w:p w14:paraId="1B540FF5" w14:textId="77777777" w:rsidR="00ED534B" w:rsidRPr="00A34864" w:rsidRDefault="00ED534B">
            <w:pPr>
              <w:spacing w:line="276" w:lineRule="auto"/>
              <w:jc w:val="center"/>
              <w:rPr>
                <w:color w:val="000000" w:themeColor="text1"/>
                <w:lang w:val="lv-LV"/>
              </w:rPr>
            </w:pPr>
          </w:p>
          <w:p w14:paraId="02F4DD8F" w14:textId="77777777" w:rsidR="00ED534B" w:rsidRPr="00A34864" w:rsidRDefault="00ED534B">
            <w:pPr>
              <w:spacing w:line="276" w:lineRule="auto"/>
              <w:jc w:val="center"/>
              <w:rPr>
                <w:color w:val="000000" w:themeColor="text1"/>
                <w:lang w:val="lv-LV"/>
              </w:rPr>
            </w:pPr>
          </w:p>
          <w:p w14:paraId="06E4693B" w14:textId="77777777" w:rsidR="00ED534B" w:rsidRPr="00A34864" w:rsidRDefault="00ED534B">
            <w:pPr>
              <w:spacing w:line="276" w:lineRule="auto"/>
              <w:jc w:val="center"/>
              <w:rPr>
                <w:color w:val="000000" w:themeColor="text1"/>
                <w:lang w:val="lv-LV"/>
              </w:rPr>
            </w:pPr>
          </w:p>
          <w:p w14:paraId="03A5AB58" w14:textId="77777777" w:rsidR="00ED534B" w:rsidRPr="00A34864" w:rsidRDefault="00ED534B">
            <w:pPr>
              <w:spacing w:line="276" w:lineRule="auto"/>
              <w:jc w:val="center"/>
              <w:rPr>
                <w:color w:val="000000" w:themeColor="text1"/>
                <w:lang w:val="lv-LV"/>
              </w:rPr>
            </w:pPr>
          </w:p>
          <w:p w14:paraId="05AB0E34" w14:textId="77777777" w:rsidR="00ED534B" w:rsidRPr="00A34864" w:rsidRDefault="00ED534B">
            <w:pPr>
              <w:spacing w:line="276" w:lineRule="auto"/>
              <w:jc w:val="center"/>
              <w:rPr>
                <w:color w:val="000000" w:themeColor="text1"/>
                <w:lang w:val="lv-LV"/>
              </w:rPr>
            </w:pPr>
          </w:p>
          <w:p w14:paraId="0E4C90CD" w14:textId="77777777" w:rsidR="00ED534B" w:rsidRPr="00A34864" w:rsidRDefault="00ED534B">
            <w:pPr>
              <w:spacing w:line="276" w:lineRule="auto"/>
              <w:jc w:val="center"/>
              <w:rPr>
                <w:color w:val="000000" w:themeColor="text1"/>
                <w:lang w:val="lv-LV"/>
              </w:rPr>
            </w:pPr>
          </w:p>
          <w:p w14:paraId="2A5BC5FB" w14:textId="77777777" w:rsidR="00ED534B" w:rsidRPr="00A34864" w:rsidRDefault="00ED534B">
            <w:pPr>
              <w:spacing w:line="276" w:lineRule="auto"/>
              <w:jc w:val="center"/>
              <w:rPr>
                <w:color w:val="000000" w:themeColor="text1"/>
                <w:lang w:val="lv-LV"/>
              </w:rPr>
            </w:pPr>
          </w:p>
          <w:p w14:paraId="1DC6FDA6" w14:textId="77777777" w:rsidR="00ED534B" w:rsidRPr="00A34864" w:rsidRDefault="00ED534B">
            <w:pPr>
              <w:spacing w:line="276" w:lineRule="auto"/>
              <w:jc w:val="center"/>
              <w:rPr>
                <w:color w:val="000000" w:themeColor="text1"/>
                <w:lang w:val="lv-LV"/>
              </w:rPr>
            </w:pPr>
          </w:p>
          <w:p w14:paraId="0AB0C776" w14:textId="77777777" w:rsidR="004810DC" w:rsidRPr="00A34864" w:rsidRDefault="004810DC">
            <w:pPr>
              <w:spacing w:line="276" w:lineRule="auto"/>
              <w:jc w:val="center"/>
              <w:rPr>
                <w:color w:val="000000" w:themeColor="text1"/>
                <w:lang w:val="lv-LV"/>
              </w:rPr>
            </w:pPr>
          </w:p>
          <w:p w14:paraId="3AE0B2E3" w14:textId="77777777" w:rsidR="004810DC" w:rsidRPr="00A34864" w:rsidRDefault="004810DC">
            <w:pPr>
              <w:spacing w:line="276" w:lineRule="auto"/>
              <w:jc w:val="center"/>
              <w:rPr>
                <w:color w:val="000000" w:themeColor="text1"/>
                <w:lang w:val="lv-LV"/>
              </w:rPr>
            </w:pPr>
          </w:p>
          <w:p w14:paraId="593B9112" w14:textId="77777777" w:rsidR="004810DC" w:rsidRPr="00A34864" w:rsidRDefault="004810DC">
            <w:pPr>
              <w:spacing w:line="276" w:lineRule="auto"/>
              <w:jc w:val="center"/>
              <w:rPr>
                <w:color w:val="000000" w:themeColor="text1"/>
                <w:lang w:val="lv-LV"/>
              </w:rPr>
            </w:pPr>
          </w:p>
          <w:p w14:paraId="79FAEF43" w14:textId="77777777" w:rsidR="00F95743" w:rsidRPr="00A34864" w:rsidRDefault="00F95743">
            <w:pPr>
              <w:spacing w:line="276" w:lineRule="auto"/>
              <w:jc w:val="center"/>
              <w:rPr>
                <w:color w:val="000000" w:themeColor="text1"/>
                <w:lang w:val="lv-LV"/>
              </w:rPr>
            </w:pPr>
          </w:p>
          <w:p w14:paraId="2AB9E6D6" w14:textId="77777777" w:rsidR="005305CA" w:rsidRPr="00A34864" w:rsidRDefault="005305CA">
            <w:pPr>
              <w:spacing w:line="276" w:lineRule="auto"/>
              <w:jc w:val="center"/>
              <w:rPr>
                <w:i/>
                <w:color w:val="000000" w:themeColor="text1"/>
                <w:lang w:val="lv-LV"/>
              </w:rPr>
            </w:pPr>
            <w:r w:rsidRPr="00A34864">
              <w:rPr>
                <w:i/>
                <w:color w:val="000000" w:themeColor="text1"/>
                <w:lang w:val="lv-LV"/>
              </w:rPr>
              <w:t>15 367</w:t>
            </w:r>
          </w:p>
          <w:p w14:paraId="38D95F35" w14:textId="77777777" w:rsidR="005305CA" w:rsidRPr="00A34864" w:rsidRDefault="005305CA">
            <w:pPr>
              <w:spacing w:line="276" w:lineRule="auto"/>
              <w:jc w:val="center"/>
              <w:rPr>
                <w:color w:val="000000" w:themeColor="text1"/>
                <w:lang w:val="lv-LV"/>
              </w:rPr>
            </w:pPr>
          </w:p>
          <w:p w14:paraId="06264854" w14:textId="77777777" w:rsidR="005305CA" w:rsidRPr="00A34864" w:rsidRDefault="005305CA">
            <w:pPr>
              <w:spacing w:line="276" w:lineRule="auto"/>
              <w:jc w:val="center"/>
              <w:rPr>
                <w:color w:val="000000" w:themeColor="text1"/>
                <w:lang w:val="lv-LV"/>
              </w:rPr>
            </w:pPr>
          </w:p>
          <w:p w14:paraId="05B16A5A" w14:textId="77777777" w:rsidR="005305CA" w:rsidRPr="00A34864" w:rsidRDefault="005305CA">
            <w:pPr>
              <w:spacing w:line="276" w:lineRule="auto"/>
              <w:jc w:val="center"/>
              <w:rPr>
                <w:color w:val="000000" w:themeColor="text1"/>
                <w:lang w:val="lv-LV"/>
              </w:rPr>
            </w:pPr>
          </w:p>
          <w:p w14:paraId="0249BC24" w14:textId="77777777" w:rsidR="005305CA" w:rsidRPr="00A34864" w:rsidRDefault="005305CA">
            <w:pPr>
              <w:spacing w:line="276" w:lineRule="auto"/>
              <w:jc w:val="center"/>
              <w:rPr>
                <w:color w:val="000000" w:themeColor="text1"/>
                <w:lang w:val="lv-LV"/>
              </w:rPr>
            </w:pPr>
          </w:p>
          <w:p w14:paraId="61C36274" w14:textId="77777777" w:rsidR="005305CA" w:rsidRPr="00A34864" w:rsidRDefault="005305CA">
            <w:pPr>
              <w:spacing w:line="276" w:lineRule="auto"/>
              <w:jc w:val="center"/>
              <w:rPr>
                <w:color w:val="000000" w:themeColor="text1"/>
                <w:lang w:val="lv-LV"/>
              </w:rPr>
            </w:pPr>
          </w:p>
          <w:p w14:paraId="1FA4F0E2" w14:textId="77777777" w:rsidR="005305CA" w:rsidRPr="00A34864" w:rsidRDefault="005305CA">
            <w:pPr>
              <w:spacing w:line="276" w:lineRule="auto"/>
              <w:jc w:val="center"/>
              <w:rPr>
                <w:color w:val="000000" w:themeColor="text1"/>
                <w:lang w:val="lv-LV"/>
              </w:rPr>
            </w:pPr>
          </w:p>
          <w:p w14:paraId="15B9D86F" w14:textId="77777777" w:rsidR="005305CA" w:rsidRPr="00A34864" w:rsidRDefault="005305CA">
            <w:pPr>
              <w:spacing w:line="276" w:lineRule="auto"/>
              <w:jc w:val="center"/>
              <w:rPr>
                <w:color w:val="000000" w:themeColor="text1"/>
                <w:lang w:val="lv-LV"/>
              </w:rPr>
            </w:pPr>
          </w:p>
          <w:p w14:paraId="15B0D4FF" w14:textId="77777777" w:rsidR="005305CA" w:rsidRPr="00A34864" w:rsidRDefault="005305CA">
            <w:pPr>
              <w:spacing w:line="276" w:lineRule="auto"/>
              <w:jc w:val="center"/>
              <w:rPr>
                <w:color w:val="000000" w:themeColor="text1"/>
                <w:lang w:val="lv-LV"/>
              </w:rPr>
            </w:pPr>
          </w:p>
          <w:p w14:paraId="3BE7F6BB" w14:textId="77777777" w:rsidR="005305CA" w:rsidRPr="00A34864" w:rsidRDefault="005305CA">
            <w:pPr>
              <w:spacing w:line="276" w:lineRule="auto"/>
              <w:jc w:val="center"/>
              <w:rPr>
                <w:color w:val="000000" w:themeColor="text1"/>
                <w:lang w:val="lv-LV"/>
              </w:rPr>
            </w:pPr>
          </w:p>
          <w:p w14:paraId="4CF13156" w14:textId="77777777" w:rsidR="005305CA" w:rsidRPr="00A34864" w:rsidRDefault="005305CA">
            <w:pPr>
              <w:spacing w:line="276" w:lineRule="auto"/>
              <w:jc w:val="center"/>
              <w:rPr>
                <w:color w:val="000000" w:themeColor="text1"/>
                <w:lang w:val="lv-LV"/>
              </w:rPr>
            </w:pPr>
          </w:p>
          <w:p w14:paraId="5BFE7C11" w14:textId="77777777" w:rsidR="005305CA" w:rsidRPr="00A34864" w:rsidRDefault="005305CA">
            <w:pPr>
              <w:spacing w:line="276" w:lineRule="auto"/>
              <w:jc w:val="center"/>
              <w:rPr>
                <w:color w:val="000000" w:themeColor="text1"/>
                <w:lang w:val="lv-LV"/>
              </w:rPr>
            </w:pPr>
          </w:p>
          <w:p w14:paraId="4CEA917C" w14:textId="77777777" w:rsidR="005305CA" w:rsidRPr="00A34864" w:rsidRDefault="005305CA">
            <w:pPr>
              <w:spacing w:line="276" w:lineRule="auto"/>
              <w:jc w:val="center"/>
              <w:rPr>
                <w:color w:val="000000" w:themeColor="text1"/>
                <w:lang w:val="lv-LV"/>
              </w:rPr>
            </w:pPr>
          </w:p>
          <w:p w14:paraId="5DDC1ECE" w14:textId="77777777" w:rsidR="005305CA" w:rsidRPr="00A34864" w:rsidRDefault="005305CA">
            <w:pPr>
              <w:spacing w:line="276" w:lineRule="auto"/>
              <w:jc w:val="center"/>
              <w:rPr>
                <w:color w:val="000000" w:themeColor="text1"/>
                <w:lang w:val="lv-LV"/>
              </w:rPr>
            </w:pPr>
          </w:p>
          <w:p w14:paraId="6096C017" w14:textId="77777777" w:rsidR="005305CA" w:rsidRPr="00A34864" w:rsidRDefault="005305CA">
            <w:pPr>
              <w:spacing w:line="276" w:lineRule="auto"/>
              <w:jc w:val="center"/>
              <w:rPr>
                <w:color w:val="000000" w:themeColor="text1"/>
                <w:lang w:val="lv-LV"/>
              </w:rPr>
            </w:pPr>
          </w:p>
          <w:p w14:paraId="08A0376B" w14:textId="77777777" w:rsidR="005305CA" w:rsidRPr="00A34864" w:rsidRDefault="005305CA">
            <w:pPr>
              <w:spacing w:line="276" w:lineRule="auto"/>
              <w:jc w:val="center"/>
              <w:rPr>
                <w:color w:val="000000" w:themeColor="text1"/>
                <w:lang w:val="lv-LV"/>
              </w:rPr>
            </w:pPr>
          </w:p>
          <w:p w14:paraId="44A45DCF" w14:textId="77777777" w:rsidR="004F1DC8" w:rsidRPr="00A34864" w:rsidRDefault="004F1DC8">
            <w:pPr>
              <w:spacing w:line="276" w:lineRule="auto"/>
              <w:jc w:val="center"/>
              <w:rPr>
                <w:color w:val="000000" w:themeColor="text1"/>
                <w:lang w:val="lv-LV"/>
              </w:rPr>
            </w:pPr>
          </w:p>
          <w:p w14:paraId="057AAB83" w14:textId="77777777" w:rsidR="005305CA" w:rsidRPr="00A34864" w:rsidRDefault="00F95743">
            <w:pPr>
              <w:spacing w:line="276" w:lineRule="auto"/>
              <w:jc w:val="center"/>
              <w:rPr>
                <w:i/>
                <w:color w:val="000000" w:themeColor="text1"/>
                <w:lang w:val="lv-LV"/>
              </w:rPr>
            </w:pPr>
            <w:r w:rsidRPr="00A34864">
              <w:rPr>
                <w:i/>
                <w:color w:val="000000" w:themeColor="text1"/>
                <w:lang w:val="lv-LV"/>
              </w:rPr>
              <w:t>0,0</w:t>
            </w:r>
          </w:p>
          <w:p w14:paraId="4E127770" w14:textId="77777777" w:rsidR="005305CA" w:rsidRPr="00A34864" w:rsidRDefault="005305CA">
            <w:pPr>
              <w:spacing w:line="276" w:lineRule="auto"/>
              <w:jc w:val="center"/>
              <w:rPr>
                <w:color w:val="000000" w:themeColor="text1"/>
                <w:lang w:val="lv-LV"/>
              </w:rPr>
            </w:pPr>
          </w:p>
          <w:p w14:paraId="357CDC07" w14:textId="77777777" w:rsidR="005305CA" w:rsidRPr="00A34864" w:rsidRDefault="005305CA">
            <w:pPr>
              <w:spacing w:line="276" w:lineRule="auto"/>
              <w:jc w:val="center"/>
              <w:rPr>
                <w:color w:val="000000" w:themeColor="text1"/>
                <w:lang w:val="lv-LV"/>
              </w:rPr>
            </w:pPr>
          </w:p>
          <w:p w14:paraId="2035A789" w14:textId="77777777" w:rsidR="005305CA" w:rsidRPr="00A34864" w:rsidRDefault="005305CA">
            <w:pPr>
              <w:spacing w:line="276" w:lineRule="auto"/>
              <w:jc w:val="center"/>
              <w:rPr>
                <w:color w:val="000000" w:themeColor="text1"/>
                <w:lang w:val="lv-LV"/>
              </w:rPr>
            </w:pPr>
          </w:p>
          <w:p w14:paraId="66865757" w14:textId="77777777" w:rsidR="005305CA" w:rsidRPr="00A34864" w:rsidRDefault="005305CA">
            <w:pPr>
              <w:spacing w:line="276" w:lineRule="auto"/>
              <w:jc w:val="center"/>
              <w:rPr>
                <w:color w:val="000000" w:themeColor="text1"/>
                <w:lang w:val="lv-LV"/>
              </w:rPr>
            </w:pPr>
          </w:p>
          <w:p w14:paraId="5E0445D5" w14:textId="77777777" w:rsidR="004F1DC8" w:rsidRPr="00A34864" w:rsidRDefault="004F1DC8">
            <w:pPr>
              <w:spacing w:line="276" w:lineRule="auto"/>
              <w:jc w:val="center"/>
              <w:rPr>
                <w:color w:val="000000" w:themeColor="text1"/>
                <w:lang w:val="lv-LV"/>
              </w:rPr>
            </w:pPr>
          </w:p>
          <w:p w14:paraId="4AD18005" w14:textId="77777777" w:rsidR="005305CA" w:rsidRPr="00A34864" w:rsidRDefault="005305CA">
            <w:pPr>
              <w:spacing w:line="276" w:lineRule="auto"/>
              <w:jc w:val="center"/>
              <w:rPr>
                <w:i/>
                <w:color w:val="000000" w:themeColor="text1"/>
                <w:lang w:val="lv-LV"/>
              </w:rPr>
            </w:pPr>
            <w:r w:rsidRPr="00A34864">
              <w:rPr>
                <w:i/>
                <w:color w:val="000000" w:themeColor="text1"/>
                <w:lang w:val="lv-LV"/>
              </w:rPr>
              <w:t>12 978</w:t>
            </w:r>
          </w:p>
          <w:p w14:paraId="62290A5E" w14:textId="77777777" w:rsidR="005305CA" w:rsidRPr="00A34864" w:rsidRDefault="005305CA">
            <w:pPr>
              <w:spacing w:line="276" w:lineRule="auto"/>
              <w:jc w:val="center"/>
              <w:rPr>
                <w:color w:val="000000" w:themeColor="text1"/>
                <w:lang w:val="lv-LV"/>
              </w:rPr>
            </w:pPr>
          </w:p>
          <w:p w14:paraId="5B7FAE16" w14:textId="77777777" w:rsidR="005305CA" w:rsidRPr="00A34864" w:rsidRDefault="005305CA">
            <w:pPr>
              <w:spacing w:line="276" w:lineRule="auto"/>
              <w:jc w:val="center"/>
              <w:rPr>
                <w:color w:val="000000" w:themeColor="text1"/>
                <w:lang w:val="lv-LV"/>
              </w:rPr>
            </w:pPr>
          </w:p>
          <w:p w14:paraId="4C465816" w14:textId="77777777" w:rsidR="005305CA" w:rsidRPr="00A34864" w:rsidRDefault="005305CA">
            <w:pPr>
              <w:spacing w:line="276" w:lineRule="auto"/>
              <w:jc w:val="center"/>
              <w:rPr>
                <w:color w:val="000000" w:themeColor="text1"/>
                <w:lang w:val="lv-LV"/>
              </w:rPr>
            </w:pPr>
          </w:p>
          <w:p w14:paraId="41AE1284" w14:textId="77777777" w:rsidR="005305CA" w:rsidRPr="00A34864" w:rsidRDefault="005305CA">
            <w:pPr>
              <w:spacing w:line="276" w:lineRule="auto"/>
              <w:jc w:val="center"/>
              <w:rPr>
                <w:color w:val="000000" w:themeColor="text1"/>
                <w:lang w:val="lv-LV"/>
              </w:rPr>
            </w:pPr>
          </w:p>
          <w:p w14:paraId="4E093994" w14:textId="77777777" w:rsidR="005305CA" w:rsidRPr="00A34864" w:rsidRDefault="00E530AF">
            <w:pPr>
              <w:spacing w:line="276" w:lineRule="auto"/>
              <w:jc w:val="center"/>
              <w:rPr>
                <w:color w:val="000000" w:themeColor="text1"/>
                <w:lang w:val="lv-LV"/>
              </w:rPr>
            </w:pPr>
            <w:r w:rsidRPr="00A34864">
              <w:rPr>
                <w:color w:val="000000" w:themeColor="text1"/>
                <w:lang w:val="lv-LV"/>
              </w:rPr>
              <w:t>12 978</w:t>
            </w:r>
          </w:p>
          <w:p w14:paraId="52F2C49F" w14:textId="77777777" w:rsidR="005305CA" w:rsidRPr="00A34864" w:rsidRDefault="005305CA">
            <w:pPr>
              <w:spacing w:line="276" w:lineRule="auto"/>
              <w:jc w:val="center"/>
              <w:rPr>
                <w:color w:val="000000" w:themeColor="text1"/>
                <w:lang w:val="lv-LV"/>
              </w:rPr>
            </w:pPr>
          </w:p>
          <w:p w14:paraId="466DEA24" w14:textId="77777777" w:rsidR="005305CA" w:rsidRPr="00A34864" w:rsidRDefault="005305CA">
            <w:pPr>
              <w:spacing w:line="276" w:lineRule="auto"/>
              <w:jc w:val="center"/>
              <w:rPr>
                <w:color w:val="000000" w:themeColor="text1"/>
                <w:lang w:val="lv-LV"/>
              </w:rPr>
            </w:pPr>
          </w:p>
          <w:p w14:paraId="01BC53E1" w14:textId="77777777" w:rsidR="005305CA" w:rsidRPr="00A34864" w:rsidRDefault="005305CA">
            <w:pPr>
              <w:spacing w:line="276" w:lineRule="auto"/>
              <w:jc w:val="center"/>
              <w:rPr>
                <w:color w:val="000000" w:themeColor="text1"/>
                <w:lang w:val="lv-LV"/>
              </w:rPr>
            </w:pPr>
          </w:p>
          <w:p w14:paraId="30EA8853" w14:textId="77777777" w:rsidR="005305CA" w:rsidRPr="00A34864" w:rsidRDefault="005305CA">
            <w:pPr>
              <w:spacing w:line="276" w:lineRule="auto"/>
              <w:jc w:val="center"/>
              <w:rPr>
                <w:color w:val="000000" w:themeColor="text1"/>
                <w:lang w:val="lv-LV"/>
              </w:rPr>
            </w:pPr>
          </w:p>
          <w:p w14:paraId="307CAABA" w14:textId="77777777" w:rsidR="005305CA" w:rsidRPr="00A34864" w:rsidRDefault="005305CA">
            <w:pPr>
              <w:spacing w:line="276" w:lineRule="auto"/>
              <w:jc w:val="center"/>
              <w:rPr>
                <w:color w:val="000000" w:themeColor="text1"/>
                <w:lang w:val="lv-LV"/>
              </w:rPr>
            </w:pPr>
          </w:p>
          <w:p w14:paraId="39AE727E" w14:textId="77777777" w:rsidR="005305CA" w:rsidRPr="00A34864" w:rsidRDefault="005305CA">
            <w:pPr>
              <w:spacing w:line="276" w:lineRule="auto"/>
              <w:jc w:val="center"/>
              <w:rPr>
                <w:color w:val="000000" w:themeColor="text1"/>
                <w:lang w:val="lv-LV"/>
              </w:rPr>
            </w:pPr>
          </w:p>
          <w:p w14:paraId="746B2C34" w14:textId="77777777" w:rsidR="005305CA" w:rsidRPr="00A34864" w:rsidRDefault="005305CA">
            <w:pPr>
              <w:spacing w:line="276" w:lineRule="auto"/>
              <w:jc w:val="center"/>
              <w:rPr>
                <w:color w:val="000000" w:themeColor="text1"/>
                <w:lang w:val="lv-LV"/>
              </w:rPr>
            </w:pPr>
          </w:p>
          <w:p w14:paraId="4E8BBE53" w14:textId="77777777" w:rsidR="005305CA" w:rsidRPr="00A34864" w:rsidRDefault="005305CA">
            <w:pPr>
              <w:spacing w:line="276" w:lineRule="auto"/>
              <w:jc w:val="center"/>
              <w:rPr>
                <w:color w:val="000000" w:themeColor="text1"/>
                <w:lang w:val="lv-LV"/>
              </w:rPr>
            </w:pPr>
          </w:p>
          <w:p w14:paraId="621164AB" w14:textId="77777777" w:rsidR="005305CA" w:rsidRPr="00A34864" w:rsidRDefault="005305CA">
            <w:pPr>
              <w:spacing w:line="276" w:lineRule="auto"/>
              <w:jc w:val="center"/>
              <w:rPr>
                <w:color w:val="000000" w:themeColor="text1"/>
                <w:lang w:val="lv-LV"/>
              </w:rPr>
            </w:pPr>
          </w:p>
          <w:p w14:paraId="504FF140" w14:textId="77777777" w:rsidR="005305CA" w:rsidRPr="00A34864" w:rsidRDefault="005305CA">
            <w:pPr>
              <w:spacing w:line="276" w:lineRule="auto"/>
              <w:jc w:val="center"/>
              <w:rPr>
                <w:color w:val="000000" w:themeColor="text1"/>
                <w:lang w:val="lv-LV"/>
              </w:rPr>
            </w:pPr>
          </w:p>
          <w:p w14:paraId="25E70B21" w14:textId="77777777" w:rsidR="005305CA" w:rsidRPr="00A34864" w:rsidRDefault="005305CA">
            <w:pPr>
              <w:spacing w:line="276" w:lineRule="auto"/>
              <w:jc w:val="center"/>
              <w:rPr>
                <w:color w:val="000000" w:themeColor="text1"/>
                <w:lang w:val="lv-LV"/>
              </w:rPr>
            </w:pPr>
          </w:p>
          <w:p w14:paraId="2BA2B387" w14:textId="77777777" w:rsidR="005305CA" w:rsidRPr="00A34864" w:rsidRDefault="005305CA">
            <w:pPr>
              <w:spacing w:line="276" w:lineRule="auto"/>
              <w:jc w:val="center"/>
              <w:rPr>
                <w:color w:val="000000" w:themeColor="text1"/>
                <w:lang w:val="lv-LV"/>
              </w:rPr>
            </w:pPr>
          </w:p>
          <w:p w14:paraId="1BCE00E9" w14:textId="77777777" w:rsidR="005305CA" w:rsidRPr="00A34864" w:rsidRDefault="005305CA">
            <w:pPr>
              <w:spacing w:line="276" w:lineRule="auto"/>
              <w:jc w:val="center"/>
              <w:rPr>
                <w:color w:val="000000" w:themeColor="text1"/>
                <w:lang w:val="lv-LV"/>
              </w:rPr>
            </w:pPr>
          </w:p>
          <w:p w14:paraId="4905AD55" w14:textId="77777777" w:rsidR="005305CA" w:rsidRPr="00A34864" w:rsidRDefault="005305CA">
            <w:pPr>
              <w:spacing w:line="276" w:lineRule="auto"/>
              <w:jc w:val="center"/>
              <w:rPr>
                <w:color w:val="000000" w:themeColor="text1"/>
                <w:lang w:val="lv-LV"/>
              </w:rPr>
            </w:pPr>
          </w:p>
          <w:p w14:paraId="79D762AD" w14:textId="77777777" w:rsidR="005305CA" w:rsidRPr="00A34864" w:rsidRDefault="005305CA" w:rsidP="00944CA7">
            <w:pPr>
              <w:spacing w:line="276" w:lineRule="auto"/>
              <w:jc w:val="center"/>
              <w:rPr>
                <w:color w:val="000000" w:themeColor="text1"/>
                <w:lang w:val="lv-LV"/>
              </w:rPr>
            </w:pPr>
          </w:p>
          <w:p w14:paraId="56F18E04" w14:textId="77777777" w:rsidR="005305CA" w:rsidRPr="00A34864" w:rsidRDefault="005305CA" w:rsidP="00944CA7">
            <w:pPr>
              <w:spacing w:line="276" w:lineRule="auto"/>
              <w:jc w:val="center"/>
              <w:rPr>
                <w:color w:val="000000" w:themeColor="text1"/>
                <w:lang w:val="lv-LV"/>
              </w:rPr>
            </w:pPr>
          </w:p>
          <w:p w14:paraId="0BE2235F" w14:textId="77777777" w:rsidR="005305CA" w:rsidRPr="00A34864" w:rsidRDefault="005305CA" w:rsidP="00944CA7">
            <w:pPr>
              <w:spacing w:line="276" w:lineRule="auto"/>
              <w:jc w:val="center"/>
              <w:rPr>
                <w:color w:val="000000" w:themeColor="text1"/>
                <w:lang w:val="lv-LV"/>
              </w:rPr>
            </w:pPr>
          </w:p>
          <w:p w14:paraId="7D73A6E9" w14:textId="77777777" w:rsidR="005305CA" w:rsidRPr="00A34864" w:rsidRDefault="005305CA" w:rsidP="00944CA7">
            <w:pPr>
              <w:spacing w:line="276" w:lineRule="auto"/>
              <w:jc w:val="center"/>
              <w:rPr>
                <w:color w:val="000000" w:themeColor="text1"/>
                <w:lang w:val="lv-LV"/>
              </w:rPr>
            </w:pPr>
          </w:p>
          <w:p w14:paraId="58D729B6" w14:textId="77777777" w:rsidR="005305CA" w:rsidRPr="00A34864" w:rsidRDefault="005305CA" w:rsidP="00944CA7">
            <w:pPr>
              <w:spacing w:line="276" w:lineRule="auto"/>
              <w:jc w:val="center"/>
              <w:rPr>
                <w:color w:val="000000" w:themeColor="text1"/>
                <w:lang w:val="lv-LV"/>
              </w:rPr>
            </w:pPr>
          </w:p>
          <w:p w14:paraId="516808B4" w14:textId="77777777" w:rsidR="005305CA" w:rsidRPr="00A34864" w:rsidRDefault="005305CA" w:rsidP="00944CA7">
            <w:pPr>
              <w:spacing w:line="276" w:lineRule="auto"/>
              <w:jc w:val="center"/>
              <w:rPr>
                <w:color w:val="000000" w:themeColor="text1"/>
                <w:lang w:val="lv-LV"/>
              </w:rPr>
            </w:pPr>
          </w:p>
          <w:p w14:paraId="1F22B636" w14:textId="77777777" w:rsidR="005305CA" w:rsidRDefault="005305CA" w:rsidP="00944CA7">
            <w:pPr>
              <w:spacing w:line="276" w:lineRule="auto"/>
              <w:jc w:val="center"/>
              <w:rPr>
                <w:color w:val="000000" w:themeColor="text1"/>
                <w:lang w:val="lv-LV"/>
              </w:rPr>
            </w:pPr>
          </w:p>
          <w:p w14:paraId="1D6752D8" w14:textId="77777777" w:rsidR="00907F9A" w:rsidRPr="00A34864" w:rsidRDefault="00907F9A" w:rsidP="00944CA7">
            <w:pPr>
              <w:spacing w:line="276" w:lineRule="auto"/>
              <w:jc w:val="center"/>
              <w:rPr>
                <w:color w:val="000000" w:themeColor="text1"/>
                <w:lang w:val="lv-LV"/>
              </w:rPr>
            </w:pPr>
          </w:p>
          <w:p w14:paraId="11B500C6" w14:textId="77777777" w:rsidR="005305CA" w:rsidRPr="00A34864" w:rsidRDefault="005305CA" w:rsidP="00944CA7">
            <w:pPr>
              <w:spacing w:line="276" w:lineRule="auto"/>
              <w:jc w:val="center"/>
              <w:rPr>
                <w:color w:val="000000" w:themeColor="text1"/>
                <w:lang w:val="lv-LV"/>
              </w:rPr>
            </w:pPr>
            <w:r w:rsidRPr="00A34864">
              <w:rPr>
                <w:color w:val="000000" w:themeColor="text1"/>
                <w:lang w:val="lv-LV"/>
              </w:rPr>
              <w:t>0,0</w:t>
            </w:r>
          </w:p>
        </w:tc>
        <w:tc>
          <w:tcPr>
            <w:tcW w:w="720" w:type="pct"/>
            <w:tcBorders>
              <w:top w:val="single" w:sz="4" w:space="0" w:color="auto"/>
              <w:left w:val="single" w:sz="6" w:space="0" w:color="auto"/>
              <w:bottom w:val="single" w:sz="6" w:space="0" w:color="auto"/>
              <w:right w:val="single" w:sz="6" w:space="0" w:color="auto"/>
            </w:tcBorders>
          </w:tcPr>
          <w:p w14:paraId="67EB6686" w14:textId="77777777" w:rsidR="005305CA" w:rsidRPr="00A34864" w:rsidRDefault="005305CA">
            <w:pPr>
              <w:spacing w:line="276" w:lineRule="auto"/>
              <w:jc w:val="center"/>
              <w:rPr>
                <w:b/>
                <w:color w:val="000000" w:themeColor="text1"/>
                <w:lang w:val="lv-LV"/>
              </w:rPr>
            </w:pPr>
            <w:r w:rsidRPr="00A34864">
              <w:rPr>
                <w:b/>
                <w:color w:val="000000" w:themeColor="text1"/>
                <w:lang w:val="lv-LV"/>
              </w:rPr>
              <w:lastRenderedPageBreak/>
              <w:t>0,0</w:t>
            </w:r>
          </w:p>
          <w:p w14:paraId="4CC8FE2B" w14:textId="77777777" w:rsidR="005305CA" w:rsidRPr="00A34864" w:rsidRDefault="005305CA">
            <w:pPr>
              <w:spacing w:line="276" w:lineRule="auto"/>
              <w:jc w:val="center"/>
              <w:rPr>
                <w:color w:val="000000" w:themeColor="text1"/>
                <w:lang w:val="lv-LV"/>
              </w:rPr>
            </w:pPr>
          </w:p>
          <w:p w14:paraId="55CB8924" w14:textId="77777777" w:rsidR="005305CA" w:rsidRPr="00A34864" w:rsidRDefault="005305CA">
            <w:pPr>
              <w:spacing w:line="276" w:lineRule="auto"/>
              <w:jc w:val="center"/>
              <w:rPr>
                <w:color w:val="000000" w:themeColor="text1"/>
                <w:lang w:val="lv-LV"/>
              </w:rPr>
            </w:pPr>
          </w:p>
          <w:p w14:paraId="7C591BE4" w14:textId="77777777" w:rsidR="005305CA" w:rsidRPr="00A34864" w:rsidRDefault="005305CA">
            <w:pPr>
              <w:spacing w:line="276" w:lineRule="auto"/>
              <w:jc w:val="center"/>
              <w:rPr>
                <w:color w:val="000000" w:themeColor="text1"/>
                <w:lang w:val="lv-LV"/>
              </w:rPr>
            </w:pPr>
          </w:p>
          <w:p w14:paraId="0AF67C8D" w14:textId="77777777" w:rsidR="002F4E08" w:rsidRPr="00A34864" w:rsidRDefault="002F4E08">
            <w:pPr>
              <w:spacing w:line="276" w:lineRule="auto"/>
              <w:jc w:val="center"/>
              <w:rPr>
                <w:i/>
                <w:color w:val="000000" w:themeColor="text1"/>
                <w:lang w:val="lv-LV"/>
              </w:rPr>
            </w:pPr>
            <w:r w:rsidRPr="00A34864">
              <w:rPr>
                <w:i/>
                <w:color w:val="000000" w:themeColor="text1"/>
                <w:lang w:val="lv-LV"/>
              </w:rPr>
              <w:t>0,0</w:t>
            </w:r>
          </w:p>
          <w:p w14:paraId="2D14E7D2" w14:textId="77777777" w:rsidR="002F4E08" w:rsidRPr="00A34864" w:rsidRDefault="002F4E08">
            <w:pPr>
              <w:spacing w:line="276" w:lineRule="auto"/>
              <w:jc w:val="center"/>
              <w:rPr>
                <w:color w:val="000000" w:themeColor="text1"/>
                <w:lang w:val="lv-LV"/>
              </w:rPr>
            </w:pPr>
          </w:p>
          <w:p w14:paraId="160E23EB" w14:textId="77777777" w:rsidR="002F4E08" w:rsidRPr="00A34864" w:rsidRDefault="002F4E08">
            <w:pPr>
              <w:spacing w:line="276" w:lineRule="auto"/>
              <w:jc w:val="center"/>
              <w:rPr>
                <w:color w:val="000000" w:themeColor="text1"/>
                <w:lang w:val="lv-LV"/>
              </w:rPr>
            </w:pPr>
          </w:p>
          <w:p w14:paraId="3784A82E" w14:textId="77777777" w:rsidR="002F4E08" w:rsidRPr="00A34864" w:rsidRDefault="002F4E08">
            <w:pPr>
              <w:spacing w:line="276" w:lineRule="auto"/>
              <w:jc w:val="center"/>
              <w:rPr>
                <w:color w:val="000000" w:themeColor="text1"/>
                <w:lang w:val="lv-LV"/>
              </w:rPr>
            </w:pPr>
          </w:p>
          <w:p w14:paraId="7734B893" w14:textId="77777777" w:rsidR="002F4E08" w:rsidRPr="00A34864" w:rsidRDefault="002F4E08">
            <w:pPr>
              <w:spacing w:line="276" w:lineRule="auto"/>
              <w:jc w:val="center"/>
              <w:rPr>
                <w:color w:val="000000" w:themeColor="text1"/>
                <w:lang w:val="lv-LV"/>
              </w:rPr>
            </w:pPr>
          </w:p>
          <w:p w14:paraId="3C99C90D" w14:textId="77777777" w:rsidR="002F4E08" w:rsidRPr="00A34864" w:rsidRDefault="002F4E08">
            <w:pPr>
              <w:spacing w:line="276" w:lineRule="auto"/>
              <w:jc w:val="center"/>
              <w:rPr>
                <w:color w:val="000000" w:themeColor="text1"/>
                <w:lang w:val="lv-LV"/>
              </w:rPr>
            </w:pPr>
          </w:p>
          <w:p w14:paraId="72C2D60E" w14:textId="77777777" w:rsidR="002F4E08" w:rsidRPr="00A34864" w:rsidRDefault="002F4E08">
            <w:pPr>
              <w:spacing w:line="276" w:lineRule="auto"/>
              <w:jc w:val="center"/>
              <w:rPr>
                <w:color w:val="000000" w:themeColor="text1"/>
                <w:lang w:val="lv-LV"/>
              </w:rPr>
            </w:pPr>
          </w:p>
          <w:p w14:paraId="379ACB3A" w14:textId="77777777" w:rsidR="002F4E08" w:rsidRPr="00A34864" w:rsidRDefault="002F4E08">
            <w:pPr>
              <w:spacing w:line="276" w:lineRule="auto"/>
              <w:jc w:val="center"/>
              <w:rPr>
                <w:color w:val="000000" w:themeColor="text1"/>
                <w:lang w:val="lv-LV"/>
              </w:rPr>
            </w:pPr>
          </w:p>
          <w:p w14:paraId="48733887" w14:textId="77777777" w:rsidR="002F4E08" w:rsidRPr="00A34864" w:rsidRDefault="002F4E08">
            <w:pPr>
              <w:spacing w:line="276" w:lineRule="auto"/>
              <w:jc w:val="center"/>
              <w:rPr>
                <w:color w:val="000000" w:themeColor="text1"/>
                <w:lang w:val="lv-LV"/>
              </w:rPr>
            </w:pPr>
          </w:p>
          <w:p w14:paraId="074C5F53" w14:textId="77777777" w:rsidR="002F4E08" w:rsidRPr="00A34864" w:rsidRDefault="002F4E08">
            <w:pPr>
              <w:spacing w:line="276" w:lineRule="auto"/>
              <w:jc w:val="center"/>
              <w:rPr>
                <w:color w:val="000000" w:themeColor="text1"/>
                <w:lang w:val="lv-LV"/>
              </w:rPr>
            </w:pPr>
          </w:p>
          <w:p w14:paraId="17F1A32F" w14:textId="77777777" w:rsidR="00C10825" w:rsidRPr="00A34864" w:rsidRDefault="00C10825">
            <w:pPr>
              <w:spacing w:line="276" w:lineRule="auto"/>
              <w:jc w:val="center"/>
              <w:rPr>
                <w:color w:val="000000" w:themeColor="text1"/>
                <w:lang w:val="lv-LV"/>
              </w:rPr>
            </w:pPr>
          </w:p>
          <w:p w14:paraId="2C0E061C" w14:textId="77777777" w:rsidR="00C10825" w:rsidRPr="00A34864" w:rsidRDefault="00C10825">
            <w:pPr>
              <w:spacing w:line="276" w:lineRule="auto"/>
              <w:jc w:val="center"/>
              <w:rPr>
                <w:color w:val="000000" w:themeColor="text1"/>
                <w:lang w:val="lv-LV"/>
              </w:rPr>
            </w:pPr>
          </w:p>
          <w:p w14:paraId="310D3751" w14:textId="77777777" w:rsidR="00C10825" w:rsidRPr="00A34864" w:rsidRDefault="00C10825">
            <w:pPr>
              <w:spacing w:line="276" w:lineRule="auto"/>
              <w:jc w:val="center"/>
              <w:rPr>
                <w:color w:val="000000" w:themeColor="text1"/>
                <w:lang w:val="lv-LV"/>
              </w:rPr>
            </w:pPr>
          </w:p>
          <w:p w14:paraId="630FDB6A" w14:textId="77777777" w:rsidR="00C10825" w:rsidRPr="00A34864" w:rsidRDefault="00C10825">
            <w:pPr>
              <w:spacing w:line="276" w:lineRule="auto"/>
              <w:jc w:val="center"/>
              <w:rPr>
                <w:color w:val="000000" w:themeColor="text1"/>
                <w:lang w:val="lv-LV"/>
              </w:rPr>
            </w:pPr>
          </w:p>
          <w:p w14:paraId="72616C2A" w14:textId="77777777" w:rsidR="00C10825" w:rsidRPr="00A34864" w:rsidRDefault="00C10825">
            <w:pPr>
              <w:spacing w:line="276" w:lineRule="auto"/>
              <w:jc w:val="center"/>
              <w:rPr>
                <w:color w:val="000000" w:themeColor="text1"/>
                <w:lang w:val="lv-LV"/>
              </w:rPr>
            </w:pPr>
          </w:p>
          <w:p w14:paraId="1E7F6E5D" w14:textId="77777777" w:rsidR="00C10825" w:rsidRPr="00A34864" w:rsidRDefault="00C10825">
            <w:pPr>
              <w:spacing w:line="276" w:lineRule="auto"/>
              <w:jc w:val="center"/>
              <w:rPr>
                <w:color w:val="000000" w:themeColor="text1"/>
                <w:lang w:val="lv-LV"/>
              </w:rPr>
            </w:pPr>
          </w:p>
          <w:p w14:paraId="19B996DE" w14:textId="77777777" w:rsidR="00C10825" w:rsidRPr="00A34864" w:rsidRDefault="00C10825">
            <w:pPr>
              <w:spacing w:line="276" w:lineRule="auto"/>
              <w:jc w:val="center"/>
              <w:rPr>
                <w:color w:val="000000" w:themeColor="text1"/>
                <w:lang w:val="lv-LV"/>
              </w:rPr>
            </w:pPr>
          </w:p>
          <w:p w14:paraId="5CDBBA9C" w14:textId="77777777" w:rsidR="004F1DC8" w:rsidRPr="00A34864" w:rsidRDefault="004F1DC8">
            <w:pPr>
              <w:spacing w:line="276" w:lineRule="auto"/>
              <w:jc w:val="center"/>
              <w:rPr>
                <w:color w:val="000000" w:themeColor="text1"/>
                <w:lang w:val="lv-LV"/>
              </w:rPr>
            </w:pPr>
          </w:p>
          <w:p w14:paraId="6868AE6B" w14:textId="77777777" w:rsidR="00FC0E85" w:rsidRPr="00A34864" w:rsidRDefault="00FC0E85">
            <w:pPr>
              <w:spacing w:line="276" w:lineRule="auto"/>
              <w:jc w:val="center"/>
              <w:rPr>
                <w:color w:val="000000" w:themeColor="text1"/>
                <w:lang w:val="lv-LV"/>
              </w:rPr>
            </w:pPr>
          </w:p>
          <w:p w14:paraId="12F8333D" w14:textId="77777777" w:rsidR="00FC0E85" w:rsidRPr="00A34864" w:rsidRDefault="00FC0E85">
            <w:pPr>
              <w:spacing w:line="276" w:lineRule="auto"/>
              <w:jc w:val="center"/>
              <w:rPr>
                <w:color w:val="000000" w:themeColor="text1"/>
                <w:lang w:val="lv-LV"/>
              </w:rPr>
            </w:pPr>
          </w:p>
          <w:p w14:paraId="7FDD7526" w14:textId="77777777" w:rsidR="00C10825" w:rsidRPr="00A34864" w:rsidRDefault="00F95743">
            <w:pPr>
              <w:spacing w:line="276" w:lineRule="auto"/>
              <w:jc w:val="center"/>
              <w:rPr>
                <w:i/>
                <w:color w:val="000000" w:themeColor="text1"/>
                <w:lang w:val="lv-LV"/>
              </w:rPr>
            </w:pPr>
            <w:r w:rsidRPr="00A34864">
              <w:rPr>
                <w:i/>
                <w:color w:val="000000" w:themeColor="text1"/>
                <w:lang w:val="lv-LV"/>
              </w:rPr>
              <w:t>0,0</w:t>
            </w:r>
          </w:p>
          <w:p w14:paraId="6DE41CFA" w14:textId="77777777" w:rsidR="00C10825" w:rsidRPr="00A34864" w:rsidRDefault="00C10825">
            <w:pPr>
              <w:spacing w:line="276" w:lineRule="auto"/>
              <w:jc w:val="center"/>
              <w:rPr>
                <w:color w:val="000000" w:themeColor="text1"/>
                <w:lang w:val="lv-LV"/>
              </w:rPr>
            </w:pPr>
          </w:p>
          <w:p w14:paraId="63388B7E" w14:textId="77777777" w:rsidR="00C10825" w:rsidRPr="00A34864" w:rsidRDefault="00C10825">
            <w:pPr>
              <w:spacing w:line="276" w:lineRule="auto"/>
              <w:jc w:val="center"/>
              <w:rPr>
                <w:color w:val="000000" w:themeColor="text1"/>
                <w:lang w:val="lv-LV"/>
              </w:rPr>
            </w:pPr>
          </w:p>
          <w:p w14:paraId="0B4C578A" w14:textId="77777777" w:rsidR="002F4E08" w:rsidRPr="00A34864" w:rsidRDefault="002F4E08">
            <w:pPr>
              <w:spacing w:line="276" w:lineRule="auto"/>
              <w:jc w:val="center"/>
              <w:rPr>
                <w:color w:val="000000" w:themeColor="text1"/>
                <w:lang w:val="lv-LV"/>
              </w:rPr>
            </w:pPr>
          </w:p>
          <w:p w14:paraId="0AC6F8CA" w14:textId="77777777" w:rsidR="002F4E08" w:rsidRPr="00A34864" w:rsidRDefault="002F4E08">
            <w:pPr>
              <w:spacing w:line="276" w:lineRule="auto"/>
              <w:jc w:val="center"/>
              <w:rPr>
                <w:color w:val="000000" w:themeColor="text1"/>
                <w:lang w:val="lv-LV"/>
              </w:rPr>
            </w:pPr>
          </w:p>
          <w:p w14:paraId="0E4324F1" w14:textId="77777777" w:rsidR="002F4E08" w:rsidRPr="00A34864" w:rsidRDefault="002F4E08">
            <w:pPr>
              <w:spacing w:line="276" w:lineRule="auto"/>
              <w:jc w:val="center"/>
              <w:rPr>
                <w:color w:val="000000" w:themeColor="text1"/>
                <w:lang w:val="lv-LV"/>
              </w:rPr>
            </w:pPr>
          </w:p>
          <w:p w14:paraId="40ECF6EF" w14:textId="77777777" w:rsidR="00F95743" w:rsidRPr="00A34864" w:rsidRDefault="00F95743">
            <w:pPr>
              <w:spacing w:line="276" w:lineRule="auto"/>
              <w:jc w:val="center"/>
              <w:rPr>
                <w:color w:val="000000" w:themeColor="text1"/>
                <w:lang w:val="lv-LV"/>
              </w:rPr>
            </w:pPr>
          </w:p>
          <w:p w14:paraId="5DCA104E" w14:textId="77777777" w:rsidR="00F95743" w:rsidRPr="00A34864" w:rsidRDefault="00F95743">
            <w:pPr>
              <w:spacing w:line="276" w:lineRule="auto"/>
              <w:jc w:val="center"/>
              <w:rPr>
                <w:color w:val="000000" w:themeColor="text1"/>
                <w:lang w:val="lv-LV"/>
              </w:rPr>
            </w:pPr>
          </w:p>
          <w:p w14:paraId="2BE0663D" w14:textId="77777777" w:rsidR="00F95743" w:rsidRPr="00A34864" w:rsidRDefault="00F95743">
            <w:pPr>
              <w:spacing w:line="276" w:lineRule="auto"/>
              <w:jc w:val="center"/>
              <w:rPr>
                <w:color w:val="000000" w:themeColor="text1"/>
                <w:lang w:val="lv-LV"/>
              </w:rPr>
            </w:pPr>
          </w:p>
          <w:p w14:paraId="5ABF0D32" w14:textId="77777777" w:rsidR="00F95743" w:rsidRPr="00A34864" w:rsidRDefault="00F95743">
            <w:pPr>
              <w:spacing w:line="276" w:lineRule="auto"/>
              <w:jc w:val="center"/>
              <w:rPr>
                <w:color w:val="000000" w:themeColor="text1"/>
                <w:lang w:val="lv-LV"/>
              </w:rPr>
            </w:pPr>
          </w:p>
          <w:p w14:paraId="6E6A2B9A" w14:textId="77777777" w:rsidR="00F95743" w:rsidRPr="00A34864" w:rsidRDefault="00F95743">
            <w:pPr>
              <w:spacing w:line="276" w:lineRule="auto"/>
              <w:jc w:val="center"/>
              <w:rPr>
                <w:color w:val="000000" w:themeColor="text1"/>
                <w:lang w:val="lv-LV"/>
              </w:rPr>
            </w:pPr>
          </w:p>
          <w:p w14:paraId="7A17971F" w14:textId="77777777" w:rsidR="00F95743" w:rsidRPr="00A34864" w:rsidRDefault="00F95743">
            <w:pPr>
              <w:spacing w:line="276" w:lineRule="auto"/>
              <w:jc w:val="center"/>
              <w:rPr>
                <w:color w:val="000000" w:themeColor="text1"/>
                <w:lang w:val="lv-LV"/>
              </w:rPr>
            </w:pPr>
          </w:p>
          <w:p w14:paraId="760D7AEB" w14:textId="77777777" w:rsidR="00F95743" w:rsidRPr="00A34864" w:rsidRDefault="00F95743">
            <w:pPr>
              <w:spacing w:line="276" w:lineRule="auto"/>
              <w:jc w:val="center"/>
              <w:rPr>
                <w:color w:val="000000" w:themeColor="text1"/>
                <w:lang w:val="lv-LV"/>
              </w:rPr>
            </w:pPr>
          </w:p>
          <w:p w14:paraId="37CAF059" w14:textId="3CBC625F" w:rsidR="00F95743" w:rsidRPr="00A34864" w:rsidRDefault="00F95743">
            <w:pPr>
              <w:spacing w:line="276" w:lineRule="auto"/>
              <w:jc w:val="center"/>
              <w:rPr>
                <w:color w:val="000000" w:themeColor="text1"/>
                <w:lang w:val="lv-LV"/>
              </w:rPr>
            </w:pPr>
          </w:p>
          <w:p w14:paraId="75FD81C3" w14:textId="77777777" w:rsidR="00ED534B" w:rsidRPr="00A34864" w:rsidRDefault="00ED534B">
            <w:pPr>
              <w:spacing w:line="276" w:lineRule="auto"/>
              <w:jc w:val="center"/>
              <w:rPr>
                <w:color w:val="000000" w:themeColor="text1"/>
                <w:lang w:val="lv-LV"/>
              </w:rPr>
            </w:pPr>
          </w:p>
          <w:p w14:paraId="1967FDBB" w14:textId="77777777" w:rsidR="00ED534B" w:rsidRPr="00A34864" w:rsidRDefault="00ED534B">
            <w:pPr>
              <w:spacing w:line="276" w:lineRule="auto"/>
              <w:jc w:val="center"/>
              <w:rPr>
                <w:color w:val="000000" w:themeColor="text1"/>
                <w:lang w:val="lv-LV"/>
              </w:rPr>
            </w:pPr>
          </w:p>
          <w:p w14:paraId="457DAF99" w14:textId="77777777" w:rsidR="00ED534B" w:rsidRPr="00A34864" w:rsidRDefault="00ED534B">
            <w:pPr>
              <w:spacing w:line="276" w:lineRule="auto"/>
              <w:jc w:val="center"/>
              <w:rPr>
                <w:color w:val="000000" w:themeColor="text1"/>
                <w:lang w:val="lv-LV"/>
              </w:rPr>
            </w:pPr>
          </w:p>
          <w:p w14:paraId="01C6510F" w14:textId="77777777" w:rsidR="00ED534B" w:rsidRPr="00A34864" w:rsidRDefault="00ED534B">
            <w:pPr>
              <w:spacing w:line="276" w:lineRule="auto"/>
              <w:jc w:val="center"/>
              <w:rPr>
                <w:color w:val="000000" w:themeColor="text1"/>
                <w:lang w:val="lv-LV"/>
              </w:rPr>
            </w:pPr>
          </w:p>
          <w:p w14:paraId="30206313" w14:textId="77777777" w:rsidR="00ED534B" w:rsidRPr="00A34864" w:rsidRDefault="00ED534B">
            <w:pPr>
              <w:spacing w:line="276" w:lineRule="auto"/>
              <w:jc w:val="center"/>
              <w:rPr>
                <w:color w:val="000000" w:themeColor="text1"/>
                <w:lang w:val="lv-LV"/>
              </w:rPr>
            </w:pPr>
          </w:p>
          <w:p w14:paraId="65859357" w14:textId="77777777" w:rsidR="00ED534B" w:rsidRPr="00A34864" w:rsidRDefault="00ED534B">
            <w:pPr>
              <w:spacing w:line="276" w:lineRule="auto"/>
              <w:jc w:val="center"/>
              <w:rPr>
                <w:color w:val="000000" w:themeColor="text1"/>
                <w:lang w:val="lv-LV"/>
              </w:rPr>
            </w:pPr>
          </w:p>
          <w:p w14:paraId="50724D5E" w14:textId="77777777" w:rsidR="00ED534B" w:rsidRPr="00A34864" w:rsidRDefault="00ED534B">
            <w:pPr>
              <w:spacing w:line="276" w:lineRule="auto"/>
              <w:jc w:val="center"/>
              <w:rPr>
                <w:color w:val="000000" w:themeColor="text1"/>
                <w:lang w:val="lv-LV"/>
              </w:rPr>
            </w:pPr>
          </w:p>
          <w:p w14:paraId="4C0EE40B" w14:textId="77777777" w:rsidR="00ED534B" w:rsidRPr="00A34864" w:rsidRDefault="00ED534B">
            <w:pPr>
              <w:spacing w:line="276" w:lineRule="auto"/>
              <w:jc w:val="center"/>
              <w:rPr>
                <w:color w:val="000000" w:themeColor="text1"/>
                <w:lang w:val="lv-LV"/>
              </w:rPr>
            </w:pPr>
          </w:p>
          <w:p w14:paraId="724F4C1D" w14:textId="77777777" w:rsidR="00ED534B" w:rsidRPr="00A34864" w:rsidRDefault="00ED534B">
            <w:pPr>
              <w:spacing w:line="276" w:lineRule="auto"/>
              <w:jc w:val="center"/>
              <w:rPr>
                <w:color w:val="000000" w:themeColor="text1"/>
                <w:lang w:val="lv-LV"/>
              </w:rPr>
            </w:pPr>
          </w:p>
          <w:p w14:paraId="6727F7BC" w14:textId="77777777" w:rsidR="00ED534B" w:rsidRPr="00A34864" w:rsidRDefault="00ED534B">
            <w:pPr>
              <w:spacing w:line="276" w:lineRule="auto"/>
              <w:jc w:val="center"/>
              <w:rPr>
                <w:color w:val="000000" w:themeColor="text1"/>
                <w:lang w:val="lv-LV"/>
              </w:rPr>
            </w:pPr>
          </w:p>
          <w:p w14:paraId="0357C33D" w14:textId="77777777" w:rsidR="00ED534B" w:rsidRPr="00A34864" w:rsidRDefault="00ED534B">
            <w:pPr>
              <w:spacing w:line="276" w:lineRule="auto"/>
              <w:jc w:val="center"/>
              <w:rPr>
                <w:color w:val="000000" w:themeColor="text1"/>
                <w:lang w:val="lv-LV"/>
              </w:rPr>
            </w:pPr>
          </w:p>
          <w:p w14:paraId="5D393AE0" w14:textId="77777777" w:rsidR="004810DC" w:rsidRPr="00A34864" w:rsidRDefault="004810DC">
            <w:pPr>
              <w:spacing w:line="276" w:lineRule="auto"/>
              <w:jc w:val="center"/>
              <w:rPr>
                <w:color w:val="000000" w:themeColor="text1"/>
                <w:lang w:val="lv-LV"/>
              </w:rPr>
            </w:pPr>
          </w:p>
          <w:p w14:paraId="77948D52" w14:textId="77777777" w:rsidR="004810DC" w:rsidRPr="00A34864" w:rsidRDefault="004810DC">
            <w:pPr>
              <w:spacing w:line="276" w:lineRule="auto"/>
              <w:jc w:val="center"/>
              <w:rPr>
                <w:color w:val="000000" w:themeColor="text1"/>
                <w:lang w:val="lv-LV"/>
              </w:rPr>
            </w:pPr>
          </w:p>
          <w:p w14:paraId="18FE7CDA" w14:textId="77777777" w:rsidR="004810DC" w:rsidRPr="00A34864" w:rsidRDefault="004810DC">
            <w:pPr>
              <w:spacing w:line="276" w:lineRule="auto"/>
              <w:jc w:val="center"/>
              <w:rPr>
                <w:color w:val="000000" w:themeColor="text1"/>
                <w:lang w:val="lv-LV"/>
              </w:rPr>
            </w:pPr>
          </w:p>
          <w:p w14:paraId="2216BAD8" w14:textId="77777777" w:rsidR="004F1DC8" w:rsidRPr="00A34864" w:rsidRDefault="004F1DC8">
            <w:pPr>
              <w:spacing w:line="276" w:lineRule="auto"/>
              <w:jc w:val="center"/>
              <w:rPr>
                <w:color w:val="000000" w:themeColor="text1"/>
                <w:lang w:val="lv-LV"/>
              </w:rPr>
            </w:pPr>
          </w:p>
          <w:p w14:paraId="7F735454" w14:textId="77777777" w:rsidR="005305CA" w:rsidRPr="00A34864" w:rsidRDefault="005305CA">
            <w:pPr>
              <w:spacing w:line="276" w:lineRule="auto"/>
              <w:jc w:val="center"/>
              <w:rPr>
                <w:i/>
                <w:color w:val="000000" w:themeColor="text1"/>
                <w:lang w:val="lv-LV"/>
              </w:rPr>
            </w:pPr>
            <w:r w:rsidRPr="00A34864">
              <w:rPr>
                <w:i/>
                <w:color w:val="000000" w:themeColor="text1"/>
                <w:lang w:val="lv-LV"/>
              </w:rPr>
              <w:t>0,0</w:t>
            </w:r>
          </w:p>
          <w:p w14:paraId="06771E18" w14:textId="77777777" w:rsidR="005305CA" w:rsidRPr="00A34864" w:rsidRDefault="005305CA">
            <w:pPr>
              <w:spacing w:line="276" w:lineRule="auto"/>
              <w:jc w:val="center"/>
              <w:rPr>
                <w:color w:val="000000" w:themeColor="text1"/>
                <w:lang w:val="lv-LV"/>
              </w:rPr>
            </w:pPr>
          </w:p>
          <w:p w14:paraId="22CA30B3" w14:textId="77777777" w:rsidR="005305CA" w:rsidRPr="00A34864" w:rsidRDefault="005305CA">
            <w:pPr>
              <w:spacing w:line="276" w:lineRule="auto"/>
              <w:jc w:val="center"/>
              <w:rPr>
                <w:color w:val="000000" w:themeColor="text1"/>
                <w:lang w:val="lv-LV"/>
              </w:rPr>
            </w:pPr>
          </w:p>
          <w:p w14:paraId="41BAFC6C" w14:textId="77777777" w:rsidR="005305CA" w:rsidRPr="00A34864" w:rsidRDefault="005305CA">
            <w:pPr>
              <w:spacing w:line="276" w:lineRule="auto"/>
              <w:jc w:val="center"/>
              <w:rPr>
                <w:color w:val="000000" w:themeColor="text1"/>
                <w:lang w:val="lv-LV"/>
              </w:rPr>
            </w:pPr>
          </w:p>
          <w:p w14:paraId="3D729A52" w14:textId="77777777" w:rsidR="005305CA" w:rsidRPr="00A34864" w:rsidRDefault="005305CA">
            <w:pPr>
              <w:spacing w:line="276" w:lineRule="auto"/>
              <w:jc w:val="center"/>
              <w:rPr>
                <w:color w:val="000000" w:themeColor="text1"/>
                <w:lang w:val="lv-LV"/>
              </w:rPr>
            </w:pPr>
          </w:p>
          <w:p w14:paraId="70970285" w14:textId="77777777" w:rsidR="005305CA" w:rsidRPr="00A34864" w:rsidRDefault="005305CA">
            <w:pPr>
              <w:spacing w:line="276" w:lineRule="auto"/>
              <w:jc w:val="center"/>
              <w:rPr>
                <w:color w:val="000000" w:themeColor="text1"/>
                <w:lang w:val="lv-LV"/>
              </w:rPr>
            </w:pPr>
          </w:p>
          <w:p w14:paraId="6C489423" w14:textId="77777777" w:rsidR="005305CA" w:rsidRPr="00A34864" w:rsidRDefault="005305CA">
            <w:pPr>
              <w:spacing w:line="276" w:lineRule="auto"/>
              <w:jc w:val="center"/>
              <w:rPr>
                <w:color w:val="000000" w:themeColor="text1"/>
                <w:lang w:val="lv-LV"/>
              </w:rPr>
            </w:pPr>
          </w:p>
          <w:p w14:paraId="3767EB3E" w14:textId="77777777" w:rsidR="005305CA" w:rsidRPr="00A34864" w:rsidRDefault="005305CA">
            <w:pPr>
              <w:spacing w:line="276" w:lineRule="auto"/>
              <w:jc w:val="center"/>
              <w:rPr>
                <w:color w:val="000000" w:themeColor="text1"/>
                <w:lang w:val="lv-LV"/>
              </w:rPr>
            </w:pPr>
          </w:p>
          <w:p w14:paraId="28B86BFD" w14:textId="77777777" w:rsidR="005305CA" w:rsidRPr="00A34864" w:rsidRDefault="005305CA">
            <w:pPr>
              <w:spacing w:line="276" w:lineRule="auto"/>
              <w:jc w:val="center"/>
              <w:rPr>
                <w:color w:val="000000" w:themeColor="text1"/>
                <w:lang w:val="lv-LV"/>
              </w:rPr>
            </w:pPr>
          </w:p>
          <w:p w14:paraId="461380CE" w14:textId="77777777" w:rsidR="005305CA" w:rsidRPr="00A34864" w:rsidRDefault="005305CA">
            <w:pPr>
              <w:spacing w:line="276" w:lineRule="auto"/>
              <w:jc w:val="center"/>
              <w:rPr>
                <w:color w:val="000000" w:themeColor="text1"/>
                <w:lang w:val="lv-LV"/>
              </w:rPr>
            </w:pPr>
          </w:p>
          <w:p w14:paraId="75414C01" w14:textId="77777777" w:rsidR="005305CA" w:rsidRPr="00A34864" w:rsidRDefault="005305CA">
            <w:pPr>
              <w:spacing w:line="276" w:lineRule="auto"/>
              <w:jc w:val="center"/>
              <w:rPr>
                <w:color w:val="000000" w:themeColor="text1"/>
                <w:lang w:val="lv-LV"/>
              </w:rPr>
            </w:pPr>
          </w:p>
          <w:p w14:paraId="650DB527" w14:textId="77777777" w:rsidR="005305CA" w:rsidRPr="00A34864" w:rsidRDefault="005305CA">
            <w:pPr>
              <w:spacing w:line="276" w:lineRule="auto"/>
              <w:jc w:val="center"/>
              <w:rPr>
                <w:color w:val="000000" w:themeColor="text1"/>
                <w:lang w:val="lv-LV"/>
              </w:rPr>
            </w:pPr>
          </w:p>
          <w:p w14:paraId="59EB7D7F" w14:textId="77777777" w:rsidR="005305CA" w:rsidRPr="00A34864" w:rsidRDefault="005305CA">
            <w:pPr>
              <w:spacing w:line="276" w:lineRule="auto"/>
              <w:jc w:val="center"/>
              <w:rPr>
                <w:color w:val="000000" w:themeColor="text1"/>
                <w:lang w:val="lv-LV"/>
              </w:rPr>
            </w:pPr>
          </w:p>
          <w:p w14:paraId="3A3A534B" w14:textId="77777777" w:rsidR="005305CA" w:rsidRPr="00A34864" w:rsidRDefault="005305CA">
            <w:pPr>
              <w:spacing w:line="276" w:lineRule="auto"/>
              <w:jc w:val="center"/>
              <w:rPr>
                <w:color w:val="000000" w:themeColor="text1"/>
                <w:lang w:val="lv-LV"/>
              </w:rPr>
            </w:pPr>
          </w:p>
          <w:p w14:paraId="6A9A3C22" w14:textId="77777777" w:rsidR="005305CA" w:rsidRPr="00A34864" w:rsidRDefault="005305CA">
            <w:pPr>
              <w:spacing w:line="276" w:lineRule="auto"/>
              <w:jc w:val="center"/>
              <w:rPr>
                <w:color w:val="000000" w:themeColor="text1"/>
                <w:lang w:val="lv-LV"/>
              </w:rPr>
            </w:pPr>
          </w:p>
          <w:p w14:paraId="4A137CC2" w14:textId="77777777" w:rsidR="005305CA" w:rsidRPr="00A34864" w:rsidRDefault="005305CA">
            <w:pPr>
              <w:spacing w:line="276" w:lineRule="auto"/>
              <w:jc w:val="center"/>
              <w:rPr>
                <w:color w:val="000000" w:themeColor="text1"/>
                <w:lang w:val="lv-LV"/>
              </w:rPr>
            </w:pPr>
          </w:p>
          <w:p w14:paraId="70AFA616" w14:textId="77777777" w:rsidR="004F1DC8" w:rsidRPr="00A34864" w:rsidRDefault="004F1DC8">
            <w:pPr>
              <w:spacing w:line="276" w:lineRule="auto"/>
              <w:jc w:val="center"/>
              <w:rPr>
                <w:color w:val="000000" w:themeColor="text1"/>
                <w:lang w:val="lv-LV"/>
              </w:rPr>
            </w:pPr>
          </w:p>
          <w:p w14:paraId="68A5F936" w14:textId="77777777" w:rsidR="00F95743" w:rsidRPr="00A34864" w:rsidRDefault="00F95743" w:rsidP="00F95743">
            <w:pPr>
              <w:spacing w:line="276" w:lineRule="auto"/>
              <w:jc w:val="center"/>
              <w:rPr>
                <w:i/>
                <w:color w:val="000000" w:themeColor="text1"/>
                <w:lang w:val="lv-LV"/>
              </w:rPr>
            </w:pPr>
            <w:r w:rsidRPr="00A34864">
              <w:rPr>
                <w:i/>
                <w:color w:val="000000" w:themeColor="text1"/>
                <w:lang w:val="lv-LV"/>
              </w:rPr>
              <w:t>0,0</w:t>
            </w:r>
          </w:p>
          <w:p w14:paraId="42568B8C" w14:textId="77777777" w:rsidR="005305CA" w:rsidRPr="00A34864" w:rsidRDefault="005305CA">
            <w:pPr>
              <w:spacing w:line="276" w:lineRule="auto"/>
              <w:jc w:val="center"/>
              <w:rPr>
                <w:color w:val="000000" w:themeColor="text1"/>
                <w:lang w:val="lv-LV"/>
              </w:rPr>
            </w:pPr>
          </w:p>
          <w:p w14:paraId="0D34482A" w14:textId="77777777" w:rsidR="005305CA" w:rsidRPr="00A34864" w:rsidRDefault="005305CA">
            <w:pPr>
              <w:spacing w:line="276" w:lineRule="auto"/>
              <w:jc w:val="center"/>
              <w:rPr>
                <w:color w:val="000000" w:themeColor="text1"/>
                <w:lang w:val="lv-LV"/>
              </w:rPr>
            </w:pPr>
          </w:p>
          <w:p w14:paraId="29C11F9E" w14:textId="77777777" w:rsidR="005305CA" w:rsidRPr="00A34864" w:rsidRDefault="005305CA">
            <w:pPr>
              <w:spacing w:line="276" w:lineRule="auto"/>
              <w:jc w:val="center"/>
              <w:rPr>
                <w:color w:val="000000" w:themeColor="text1"/>
                <w:lang w:val="lv-LV"/>
              </w:rPr>
            </w:pPr>
          </w:p>
          <w:p w14:paraId="6C00E0B8" w14:textId="77777777" w:rsidR="005305CA" w:rsidRPr="00A34864" w:rsidRDefault="005305CA">
            <w:pPr>
              <w:spacing w:line="276" w:lineRule="auto"/>
              <w:jc w:val="center"/>
              <w:rPr>
                <w:color w:val="000000" w:themeColor="text1"/>
                <w:lang w:val="lv-LV"/>
              </w:rPr>
            </w:pPr>
          </w:p>
          <w:p w14:paraId="64F7E73A" w14:textId="77777777" w:rsidR="004F1DC8" w:rsidRPr="00A34864" w:rsidRDefault="004F1DC8">
            <w:pPr>
              <w:spacing w:line="276" w:lineRule="auto"/>
              <w:jc w:val="center"/>
              <w:rPr>
                <w:color w:val="000000" w:themeColor="text1"/>
                <w:lang w:val="lv-LV"/>
              </w:rPr>
            </w:pPr>
          </w:p>
          <w:p w14:paraId="78B9E255" w14:textId="77777777" w:rsidR="005305CA" w:rsidRPr="00A34864" w:rsidRDefault="005305CA">
            <w:pPr>
              <w:spacing w:line="276" w:lineRule="auto"/>
              <w:jc w:val="center"/>
              <w:rPr>
                <w:i/>
                <w:color w:val="000000" w:themeColor="text1"/>
                <w:lang w:val="lv-LV"/>
              </w:rPr>
            </w:pPr>
            <w:r w:rsidRPr="00A34864">
              <w:rPr>
                <w:i/>
                <w:color w:val="000000" w:themeColor="text1"/>
                <w:lang w:val="lv-LV"/>
              </w:rPr>
              <w:t>0,0</w:t>
            </w:r>
          </w:p>
          <w:p w14:paraId="0E2CE1E0" w14:textId="77777777" w:rsidR="005305CA" w:rsidRPr="00A34864" w:rsidRDefault="005305CA">
            <w:pPr>
              <w:spacing w:line="276" w:lineRule="auto"/>
              <w:jc w:val="center"/>
              <w:rPr>
                <w:color w:val="000000" w:themeColor="text1"/>
                <w:lang w:val="lv-LV"/>
              </w:rPr>
            </w:pPr>
          </w:p>
          <w:p w14:paraId="6AE1FFC0" w14:textId="77777777" w:rsidR="005305CA" w:rsidRPr="00A34864" w:rsidRDefault="005305CA">
            <w:pPr>
              <w:spacing w:line="276" w:lineRule="auto"/>
              <w:jc w:val="center"/>
              <w:rPr>
                <w:color w:val="000000" w:themeColor="text1"/>
                <w:lang w:val="lv-LV"/>
              </w:rPr>
            </w:pPr>
          </w:p>
          <w:p w14:paraId="7B1D5D7C" w14:textId="77777777" w:rsidR="005305CA" w:rsidRPr="00A34864" w:rsidRDefault="005305CA">
            <w:pPr>
              <w:spacing w:line="276" w:lineRule="auto"/>
              <w:jc w:val="center"/>
              <w:rPr>
                <w:color w:val="000000" w:themeColor="text1"/>
                <w:lang w:val="lv-LV"/>
              </w:rPr>
            </w:pPr>
          </w:p>
          <w:p w14:paraId="30985E40" w14:textId="77777777" w:rsidR="005305CA" w:rsidRPr="00A34864" w:rsidRDefault="005305CA">
            <w:pPr>
              <w:spacing w:line="276" w:lineRule="auto"/>
              <w:jc w:val="center"/>
              <w:rPr>
                <w:color w:val="000000" w:themeColor="text1"/>
                <w:lang w:val="lv-LV"/>
              </w:rPr>
            </w:pPr>
          </w:p>
          <w:p w14:paraId="60648EFF" w14:textId="77777777" w:rsidR="005305CA" w:rsidRPr="00A34864" w:rsidRDefault="005305CA">
            <w:pPr>
              <w:spacing w:line="276" w:lineRule="auto"/>
              <w:jc w:val="center"/>
              <w:rPr>
                <w:color w:val="000000" w:themeColor="text1"/>
                <w:lang w:val="lv-LV"/>
              </w:rPr>
            </w:pPr>
            <w:r w:rsidRPr="00A34864">
              <w:rPr>
                <w:color w:val="000000" w:themeColor="text1"/>
                <w:lang w:val="lv-LV"/>
              </w:rPr>
              <w:t>0,0</w:t>
            </w:r>
          </w:p>
          <w:p w14:paraId="0CCEACFF" w14:textId="77777777" w:rsidR="005305CA" w:rsidRPr="00A34864" w:rsidRDefault="005305CA">
            <w:pPr>
              <w:spacing w:line="276" w:lineRule="auto"/>
              <w:jc w:val="center"/>
              <w:rPr>
                <w:color w:val="000000" w:themeColor="text1"/>
                <w:lang w:val="lv-LV"/>
              </w:rPr>
            </w:pPr>
          </w:p>
          <w:p w14:paraId="6FCF7CBD" w14:textId="77777777" w:rsidR="005305CA" w:rsidRPr="00A34864" w:rsidRDefault="005305CA">
            <w:pPr>
              <w:spacing w:line="276" w:lineRule="auto"/>
              <w:jc w:val="center"/>
              <w:rPr>
                <w:color w:val="000000" w:themeColor="text1"/>
                <w:lang w:val="lv-LV"/>
              </w:rPr>
            </w:pPr>
          </w:p>
          <w:p w14:paraId="05F15128" w14:textId="77777777" w:rsidR="005305CA" w:rsidRPr="00A34864" w:rsidRDefault="005305CA">
            <w:pPr>
              <w:spacing w:line="276" w:lineRule="auto"/>
              <w:jc w:val="center"/>
              <w:rPr>
                <w:color w:val="000000" w:themeColor="text1"/>
                <w:lang w:val="lv-LV"/>
              </w:rPr>
            </w:pPr>
          </w:p>
          <w:p w14:paraId="15C30DA0" w14:textId="77777777" w:rsidR="005305CA" w:rsidRPr="00A34864" w:rsidRDefault="005305CA">
            <w:pPr>
              <w:spacing w:line="276" w:lineRule="auto"/>
              <w:jc w:val="center"/>
              <w:rPr>
                <w:color w:val="000000" w:themeColor="text1"/>
                <w:lang w:val="lv-LV"/>
              </w:rPr>
            </w:pPr>
          </w:p>
          <w:p w14:paraId="76EE7F66" w14:textId="77777777" w:rsidR="005305CA" w:rsidRPr="00A34864" w:rsidRDefault="005305CA">
            <w:pPr>
              <w:spacing w:line="276" w:lineRule="auto"/>
              <w:jc w:val="center"/>
              <w:rPr>
                <w:color w:val="000000" w:themeColor="text1"/>
                <w:lang w:val="lv-LV"/>
              </w:rPr>
            </w:pPr>
          </w:p>
          <w:p w14:paraId="369A68D0" w14:textId="77777777" w:rsidR="005305CA" w:rsidRPr="00A34864" w:rsidRDefault="005305CA">
            <w:pPr>
              <w:spacing w:line="276" w:lineRule="auto"/>
              <w:jc w:val="center"/>
              <w:rPr>
                <w:color w:val="000000" w:themeColor="text1"/>
                <w:lang w:val="lv-LV"/>
              </w:rPr>
            </w:pPr>
          </w:p>
          <w:p w14:paraId="5CB3B7AC" w14:textId="77777777" w:rsidR="005305CA" w:rsidRPr="00A34864" w:rsidRDefault="005305CA">
            <w:pPr>
              <w:spacing w:line="276" w:lineRule="auto"/>
              <w:jc w:val="center"/>
              <w:rPr>
                <w:color w:val="000000" w:themeColor="text1"/>
                <w:lang w:val="lv-LV"/>
              </w:rPr>
            </w:pPr>
          </w:p>
          <w:p w14:paraId="759A1F97" w14:textId="77777777" w:rsidR="005305CA" w:rsidRPr="00A34864" w:rsidRDefault="005305CA">
            <w:pPr>
              <w:spacing w:line="276" w:lineRule="auto"/>
              <w:jc w:val="center"/>
              <w:rPr>
                <w:color w:val="000000" w:themeColor="text1"/>
                <w:lang w:val="lv-LV"/>
              </w:rPr>
            </w:pPr>
          </w:p>
          <w:p w14:paraId="34BAE974" w14:textId="77777777" w:rsidR="005305CA" w:rsidRPr="00A34864" w:rsidRDefault="005305CA">
            <w:pPr>
              <w:spacing w:line="276" w:lineRule="auto"/>
              <w:jc w:val="center"/>
              <w:rPr>
                <w:color w:val="000000" w:themeColor="text1"/>
                <w:lang w:val="lv-LV"/>
              </w:rPr>
            </w:pPr>
          </w:p>
          <w:p w14:paraId="019ADBE3" w14:textId="77777777" w:rsidR="005305CA" w:rsidRPr="00A34864" w:rsidRDefault="005305CA">
            <w:pPr>
              <w:spacing w:line="276" w:lineRule="auto"/>
              <w:jc w:val="center"/>
              <w:rPr>
                <w:color w:val="000000" w:themeColor="text1"/>
                <w:lang w:val="lv-LV"/>
              </w:rPr>
            </w:pPr>
          </w:p>
          <w:p w14:paraId="2CF257A7" w14:textId="77777777" w:rsidR="005305CA" w:rsidRPr="00A34864" w:rsidRDefault="005305CA">
            <w:pPr>
              <w:spacing w:line="276" w:lineRule="auto"/>
              <w:jc w:val="center"/>
              <w:rPr>
                <w:color w:val="000000" w:themeColor="text1"/>
                <w:lang w:val="lv-LV"/>
              </w:rPr>
            </w:pPr>
          </w:p>
          <w:p w14:paraId="68196062" w14:textId="77777777" w:rsidR="005305CA" w:rsidRPr="00A34864" w:rsidRDefault="005305CA">
            <w:pPr>
              <w:spacing w:line="276" w:lineRule="auto"/>
              <w:jc w:val="center"/>
              <w:rPr>
                <w:color w:val="000000" w:themeColor="text1"/>
                <w:lang w:val="lv-LV"/>
              </w:rPr>
            </w:pPr>
          </w:p>
          <w:p w14:paraId="30937638" w14:textId="77777777" w:rsidR="005305CA" w:rsidRPr="00A34864" w:rsidRDefault="005305CA">
            <w:pPr>
              <w:spacing w:line="276" w:lineRule="auto"/>
              <w:jc w:val="center"/>
              <w:rPr>
                <w:color w:val="000000" w:themeColor="text1"/>
                <w:lang w:val="lv-LV"/>
              </w:rPr>
            </w:pPr>
          </w:p>
          <w:p w14:paraId="242AFFA3" w14:textId="77777777" w:rsidR="005305CA" w:rsidRPr="00A34864" w:rsidRDefault="005305CA">
            <w:pPr>
              <w:spacing w:line="276" w:lineRule="auto"/>
              <w:jc w:val="center"/>
              <w:rPr>
                <w:color w:val="000000" w:themeColor="text1"/>
                <w:lang w:val="lv-LV"/>
              </w:rPr>
            </w:pPr>
          </w:p>
          <w:p w14:paraId="209DDA05" w14:textId="77777777" w:rsidR="005305CA" w:rsidRPr="00A34864" w:rsidRDefault="005305CA">
            <w:pPr>
              <w:spacing w:line="276" w:lineRule="auto"/>
              <w:jc w:val="center"/>
              <w:rPr>
                <w:color w:val="000000" w:themeColor="text1"/>
                <w:lang w:val="lv-LV"/>
              </w:rPr>
            </w:pPr>
          </w:p>
          <w:p w14:paraId="62C1C86F" w14:textId="77777777" w:rsidR="005305CA" w:rsidRPr="00A34864" w:rsidRDefault="005305CA">
            <w:pPr>
              <w:spacing w:line="276" w:lineRule="auto"/>
              <w:jc w:val="center"/>
              <w:rPr>
                <w:color w:val="000000" w:themeColor="text1"/>
                <w:lang w:val="lv-LV"/>
              </w:rPr>
            </w:pPr>
          </w:p>
          <w:p w14:paraId="3F332344" w14:textId="77777777" w:rsidR="005305CA" w:rsidRPr="00A34864" w:rsidRDefault="005305CA">
            <w:pPr>
              <w:spacing w:line="276" w:lineRule="auto"/>
              <w:jc w:val="center"/>
              <w:rPr>
                <w:color w:val="000000" w:themeColor="text1"/>
                <w:lang w:val="lv-LV"/>
              </w:rPr>
            </w:pPr>
          </w:p>
          <w:p w14:paraId="27DCB27C" w14:textId="77777777" w:rsidR="005305CA" w:rsidRPr="00A34864" w:rsidRDefault="005305CA">
            <w:pPr>
              <w:spacing w:line="276" w:lineRule="auto"/>
              <w:jc w:val="center"/>
              <w:rPr>
                <w:color w:val="000000" w:themeColor="text1"/>
                <w:lang w:val="lv-LV"/>
              </w:rPr>
            </w:pPr>
          </w:p>
          <w:p w14:paraId="58B7FD29" w14:textId="77777777" w:rsidR="005305CA" w:rsidRPr="00A34864" w:rsidRDefault="005305CA">
            <w:pPr>
              <w:spacing w:line="276" w:lineRule="auto"/>
              <w:jc w:val="center"/>
              <w:rPr>
                <w:color w:val="000000" w:themeColor="text1"/>
                <w:lang w:val="lv-LV"/>
              </w:rPr>
            </w:pPr>
          </w:p>
          <w:p w14:paraId="2577FDFD" w14:textId="77777777" w:rsidR="005305CA" w:rsidRPr="00A34864" w:rsidRDefault="005305CA">
            <w:pPr>
              <w:spacing w:line="276" w:lineRule="auto"/>
              <w:jc w:val="center"/>
              <w:rPr>
                <w:color w:val="000000" w:themeColor="text1"/>
                <w:lang w:val="lv-LV"/>
              </w:rPr>
            </w:pPr>
          </w:p>
          <w:p w14:paraId="0757A290" w14:textId="77777777" w:rsidR="005305CA" w:rsidRDefault="005305CA">
            <w:pPr>
              <w:spacing w:line="276" w:lineRule="auto"/>
              <w:jc w:val="center"/>
              <w:rPr>
                <w:color w:val="000000" w:themeColor="text1"/>
                <w:lang w:val="lv-LV"/>
              </w:rPr>
            </w:pPr>
          </w:p>
          <w:p w14:paraId="1FE1F0ED" w14:textId="77777777" w:rsidR="00907F9A" w:rsidRPr="00A34864" w:rsidRDefault="00907F9A">
            <w:pPr>
              <w:spacing w:line="276" w:lineRule="auto"/>
              <w:jc w:val="center"/>
              <w:rPr>
                <w:color w:val="000000" w:themeColor="text1"/>
                <w:lang w:val="lv-LV"/>
              </w:rPr>
            </w:pPr>
          </w:p>
          <w:p w14:paraId="48042503" w14:textId="77777777" w:rsidR="005305CA" w:rsidRPr="00A34864" w:rsidRDefault="005305CA" w:rsidP="00432A0A">
            <w:pPr>
              <w:spacing w:line="276" w:lineRule="auto"/>
              <w:jc w:val="center"/>
              <w:rPr>
                <w:color w:val="000000" w:themeColor="text1"/>
                <w:lang w:val="lv-LV"/>
              </w:rPr>
            </w:pPr>
            <w:r w:rsidRPr="00A34864">
              <w:rPr>
                <w:color w:val="000000" w:themeColor="text1"/>
                <w:lang w:val="lv-LV"/>
              </w:rPr>
              <w:t>0,0</w:t>
            </w:r>
          </w:p>
        </w:tc>
        <w:tc>
          <w:tcPr>
            <w:tcW w:w="709" w:type="pct"/>
            <w:tcBorders>
              <w:top w:val="single" w:sz="4" w:space="0" w:color="auto"/>
              <w:left w:val="single" w:sz="6" w:space="0" w:color="auto"/>
              <w:bottom w:val="single" w:sz="6" w:space="0" w:color="auto"/>
              <w:right w:val="single" w:sz="6" w:space="0" w:color="auto"/>
            </w:tcBorders>
          </w:tcPr>
          <w:p w14:paraId="620CAE7E" w14:textId="77777777" w:rsidR="005305CA" w:rsidRPr="00A34864" w:rsidRDefault="005305CA">
            <w:pPr>
              <w:spacing w:line="276" w:lineRule="auto"/>
              <w:jc w:val="center"/>
              <w:rPr>
                <w:b/>
                <w:color w:val="000000" w:themeColor="text1"/>
                <w:lang w:val="lv-LV"/>
              </w:rPr>
            </w:pPr>
            <w:r w:rsidRPr="00A34864">
              <w:rPr>
                <w:b/>
                <w:color w:val="000000" w:themeColor="text1"/>
                <w:lang w:val="lv-LV"/>
              </w:rPr>
              <w:lastRenderedPageBreak/>
              <w:t>0,0</w:t>
            </w:r>
          </w:p>
          <w:p w14:paraId="1B8EFFC7" w14:textId="77777777" w:rsidR="005305CA" w:rsidRPr="00A34864" w:rsidRDefault="005305CA">
            <w:pPr>
              <w:spacing w:line="276" w:lineRule="auto"/>
              <w:jc w:val="center"/>
              <w:rPr>
                <w:color w:val="000000" w:themeColor="text1"/>
                <w:lang w:val="lv-LV"/>
              </w:rPr>
            </w:pPr>
          </w:p>
          <w:p w14:paraId="57F72D43" w14:textId="77777777" w:rsidR="005305CA" w:rsidRPr="00A34864" w:rsidRDefault="005305CA">
            <w:pPr>
              <w:spacing w:line="276" w:lineRule="auto"/>
              <w:jc w:val="center"/>
              <w:rPr>
                <w:color w:val="000000" w:themeColor="text1"/>
                <w:lang w:val="lv-LV"/>
              </w:rPr>
            </w:pPr>
          </w:p>
          <w:p w14:paraId="4090577B" w14:textId="77777777" w:rsidR="005305CA" w:rsidRPr="00A34864" w:rsidRDefault="005305CA">
            <w:pPr>
              <w:spacing w:line="276" w:lineRule="auto"/>
              <w:jc w:val="center"/>
              <w:rPr>
                <w:color w:val="000000" w:themeColor="text1"/>
                <w:lang w:val="lv-LV"/>
              </w:rPr>
            </w:pPr>
          </w:p>
          <w:p w14:paraId="421CBB9D" w14:textId="77777777" w:rsidR="002F4E08" w:rsidRPr="00A34864" w:rsidRDefault="002F4E08">
            <w:pPr>
              <w:spacing w:line="276" w:lineRule="auto"/>
              <w:jc w:val="center"/>
              <w:rPr>
                <w:i/>
                <w:color w:val="000000" w:themeColor="text1"/>
                <w:lang w:val="lv-LV"/>
              </w:rPr>
            </w:pPr>
            <w:r w:rsidRPr="00A34864">
              <w:rPr>
                <w:i/>
                <w:color w:val="000000" w:themeColor="text1"/>
                <w:lang w:val="lv-LV"/>
              </w:rPr>
              <w:t>0,0</w:t>
            </w:r>
          </w:p>
          <w:p w14:paraId="635654AB" w14:textId="77777777" w:rsidR="002F4E08" w:rsidRPr="00A34864" w:rsidRDefault="002F4E08">
            <w:pPr>
              <w:spacing w:line="276" w:lineRule="auto"/>
              <w:jc w:val="center"/>
              <w:rPr>
                <w:color w:val="000000" w:themeColor="text1"/>
                <w:lang w:val="lv-LV"/>
              </w:rPr>
            </w:pPr>
          </w:p>
          <w:p w14:paraId="01FB0DC6" w14:textId="77777777" w:rsidR="002F4E08" w:rsidRPr="00A34864" w:rsidRDefault="002F4E08">
            <w:pPr>
              <w:spacing w:line="276" w:lineRule="auto"/>
              <w:jc w:val="center"/>
              <w:rPr>
                <w:color w:val="000000" w:themeColor="text1"/>
                <w:lang w:val="lv-LV"/>
              </w:rPr>
            </w:pPr>
          </w:p>
          <w:p w14:paraId="174C1CC1" w14:textId="77777777" w:rsidR="002F4E08" w:rsidRPr="00A34864" w:rsidRDefault="002F4E08">
            <w:pPr>
              <w:spacing w:line="276" w:lineRule="auto"/>
              <w:jc w:val="center"/>
              <w:rPr>
                <w:color w:val="000000" w:themeColor="text1"/>
                <w:lang w:val="lv-LV"/>
              </w:rPr>
            </w:pPr>
          </w:p>
          <w:p w14:paraId="5DF7D7F4" w14:textId="77777777" w:rsidR="002F4E08" w:rsidRPr="00A34864" w:rsidRDefault="002F4E08">
            <w:pPr>
              <w:spacing w:line="276" w:lineRule="auto"/>
              <w:jc w:val="center"/>
              <w:rPr>
                <w:color w:val="000000" w:themeColor="text1"/>
                <w:lang w:val="lv-LV"/>
              </w:rPr>
            </w:pPr>
          </w:p>
          <w:p w14:paraId="08249332" w14:textId="77777777" w:rsidR="002F4E08" w:rsidRPr="00A34864" w:rsidRDefault="002F4E08">
            <w:pPr>
              <w:spacing w:line="276" w:lineRule="auto"/>
              <w:jc w:val="center"/>
              <w:rPr>
                <w:color w:val="000000" w:themeColor="text1"/>
                <w:lang w:val="lv-LV"/>
              </w:rPr>
            </w:pPr>
          </w:p>
          <w:p w14:paraId="7E2F99AF" w14:textId="77777777" w:rsidR="002F4E08" w:rsidRPr="00A34864" w:rsidRDefault="002F4E08">
            <w:pPr>
              <w:spacing w:line="276" w:lineRule="auto"/>
              <w:jc w:val="center"/>
              <w:rPr>
                <w:color w:val="000000" w:themeColor="text1"/>
                <w:lang w:val="lv-LV"/>
              </w:rPr>
            </w:pPr>
          </w:p>
          <w:p w14:paraId="0327DB72" w14:textId="77777777" w:rsidR="002F4E08" w:rsidRPr="00A34864" w:rsidRDefault="002F4E08">
            <w:pPr>
              <w:spacing w:line="276" w:lineRule="auto"/>
              <w:jc w:val="center"/>
              <w:rPr>
                <w:color w:val="000000" w:themeColor="text1"/>
                <w:lang w:val="lv-LV"/>
              </w:rPr>
            </w:pPr>
          </w:p>
          <w:p w14:paraId="2B1A441C" w14:textId="77777777" w:rsidR="002F4E08" w:rsidRPr="00A34864" w:rsidRDefault="002F4E08">
            <w:pPr>
              <w:spacing w:line="276" w:lineRule="auto"/>
              <w:jc w:val="center"/>
              <w:rPr>
                <w:color w:val="000000" w:themeColor="text1"/>
                <w:lang w:val="lv-LV"/>
              </w:rPr>
            </w:pPr>
          </w:p>
          <w:p w14:paraId="29B3B9A5" w14:textId="77777777" w:rsidR="002F4E08" w:rsidRPr="00A34864" w:rsidRDefault="002F4E08">
            <w:pPr>
              <w:spacing w:line="276" w:lineRule="auto"/>
              <w:jc w:val="center"/>
              <w:rPr>
                <w:color w:val="000000" w:themeColor="text1"/>
                <w:lang w:val="lv-LV"/>
              </w:rPr>
            </w:pPr>
          </w:p>
          <w:p w14:paraId="6EE5C6C1" w14:textId="77777777" w:rsidR="00C10825" w:rsidRPr="00A34864" w:rsidRDefault="00C10825">
            <w:pPr>
              <w:spacing w:line="276" w:lineRule="auto"/>
              <w:jc w:val="center"/>
              <w:rPr>
                <w:color w:val="000000" w:themeColor="text1"/>
                <w:lang w:val="lv-LV"/>
              </w:rPr>
            </w:pPr>
          </w:p>
          <w:p w14:paraId="0006D5D3" w14:textId="77777777" w:rsidR="00C10825" w:rsidRPr="00A34864" w:rsidRDefault="00C10825">
            <w:pPr>
              <w:spacing w:line="276" w:lineRule="auto"/>
              <w:jc w:val="center"/>
              <w:rPr>
                <w:color w:val="000000" w:themeColor="text1"/>
                <w:lang w:val="lv-LV"/>
              </w:rPr>
            </w:pPr>
          </w:p>
          <w:p w14:paraId="2145AEEF" w14:textId="77777777" w:rsidR="00C10825" w:rsidRPr="00A34864" w:rsidRDefault="00C10825">
            <w:pPr>
              <w:spacing w:line="276" w:lineRule="auto"/>
              <w:jc w:val="center"/>
              <w:rPr>
                <w:color w:val="000000" w:themeColor="text1"/>
                <w:lang w:val="lv-LV"/>
              </w:rPr>
            </w:pPr>
          </w:p>
          <w:p w14:paraId="0954D1E8" w14:textId="77777777" w:rsidR="00C10825" w:rsidRPr="00A34864" w:rsidRDefault="00C10825">
            <w:pPr>
              <w:spacing w:line="276" w:lineRule="auto"/>
              <w:jc w:val="center"/>
              <w:rPr>
                <w:color w:val="000000" w:themeColor="text1"/>
                <w:lang w:val="lv-LV"/>
              </w:rPr>
            </w:pPr>
          </w:p>
          <w:p w14:paraId="1605728C" w14:textId="77777777" w:rsidR="00C10825" w:rsidRPr="00A34864" w:rsidRDefault="00C10825">
            <w:pPr>
              <w:spacing w:line="276" w:lineRule="auto"/>
              <w:jc w:val="center"/>
              <w:rPr>
                <w:color w:val="000000" w:themeColor="text1"/>
                <w:lang w:val="lv-LV"/>
              </w:rPr>
            </w:pPr>
          </w:p>
          <w:p w14:paraId="6A08205A" w14:textId="77777777" w:rsidR="00C10825" w:rsidRPr="00A34864" w:rsidRDefault="00C10825">
            <w:pPr>
              <w:spacing w:line="276" w:lineRule="auto"/>
              <w:jc w:val="center"/>
              <w:rPr>
                <w:color w:val="000000" w:themeColor="text1"/>
                <w:lang w:val="lv-LV"/>
              </w:rPr>
            </w:pPr>
          </w:p>
          <w:p w14:paraId="54CDFF13" w14:textId="77777777" w:rsidR="00C10825" w:rsidRPr="00A34864" w:rsidRDefault="00C10825">
            <w:pPr>
              <w:spacing w:line="276" w:lineRule="auto"/>
              <w:jc w:val="center"/>
              <w:rPr>
                <w:color w:val="000000" w:themeColor="text1"/>
                <w:lang w:val="lv-LV"/>
              </w:rPr>
            </w:pPr>
          </w:p>
          <w:p w14:paraId="56D26202" w14:textId="77777777" w:rsidR="00FC0E85" w:rsidRPr="00A34864" w:rsidRDefault="00FC0E85">
            <w:pPr>
              <w:spacing w:line="276" w:lineRule="auto"/>
              <w:jc w:val="center"/>
              <w:rPr>
                <w:color w:val="000000" w:themeColor="text1"/>
                <w:lang w:val="lv-LV"/>
              </w:rPr>
            </w:pPr>
          </w:p>
          <w:p w14:paraId="6006BF11" w14:textId="77777777" w:rsidR="00FC0E85" w:rsidRPr="00A34864" w:rsidRDefault="00FC0E85">
            <w:pPr>
              <w:spacing w:line="276" w:lineRule="auto"/>
              <w:jc w:val="center"/>
              <w:rPr>
                <w:color w:val="000000" w:themeColor="text1"/>
                <w:lang w:val="lv-LV"/>
              </w:rPr>
            </w:pPr>
          </w:p>
          <w:p w14:paraId="7492D6C6" w14:textId="77777777" w:rsidR="004F1DC8" w:rsidRPr="00A34864" w:rsidRDefault="004F1DC8">
            <w:pPr>
              <w:spacing w:line="276" w:lineRule="auto"/>
              <w:jc w:val="center"/>
              <w:rPr>
                <w:color w:val="000000" w:themeColor="text1"/>
                <w:lang w:val="lv-LV"/>
              </w:rPr>
            </w:pPr>
          </w:p>
          <w:p w14:paraId="7DBF68B2" w14:textId="77777777" w:rsidR="00C10825" w:rsidRPr="00A34864" w:rsidRDefault="00F95743">
            <w:pPr>
              <w:spacing w:line="276" w:lineRule="auto"/>
              <w:jc w:val="center"/>
              <w:rPr>
                <w:i/>
                <w:color w:val="000000" w:themeColor="text1"/>
                <w:lang w:val="lv-LV"/>
              </w:rPr>
            </w:pPr>
            <w:r w:rsidRPr="00A34864">
              <w:rPr>
                <w:i/>
                <w:color w:val="000000" w:themeColor="text1"/>
                <w:lang w:val="lv-LV"/>
              </w:rPr>
              <w:t>0,0</w:t>
            </w:r>
          </w:p>
          <w:p w14:paraId="33206AFA" w14:textId="77777777" w:rsidR="00C10825" w:rsidRPr="00A34864" w:rsidRDefault="00C10825">
            <w:pPr>
              <w:spacing w:line="276" w:lineRule="auto"/>
              <w:jc w:val="center"/>
              <w:rPr>
                <w:color w:val="000000" w:themeColor="text1"/>
                <w:lang w:val="lv-LV"/>
              </w:rPr>
            </w:pPr>
          </w:p>
          <w:p w14:paraId="7DB4CB76" w14:textId="77777777" w:rsidR="00C10825" w:rsidRPr="00A34864" w:rsidRDefault="00C10825">
            <w:pPr>
              <w:spacing w:line="276" w:lineRule="auto"/>
              <w:jc w:val="center"/>
              <w:rPr>
                <w:color w:val="000000" w:themeColor="text1"/>
                <w:lang w:val="lv-LV"/>
              </w:rPr>
            </w:pPr>
          </w:p>
          <w:p w14:paraId="1BEE7B7C" w14:textId="77777777" w:rsidR="002F4E08" w:rsidRPr="00A34864" w:rsidRDefault="002F4E08">
            <w:pPr>
              <w:spacing w:line="276" w:lineRule="auto"/>
              <w:jc w:val="center"/>
              <w:rPr>
                <w:color w:val="000000" w:themeColor="text1"/>
                <w:lang w:val="lv-LV"/>
              </w:rPr>
            </w:pPr>
          </w:p>
          <w:p w14:paraId="27040337" w14:textId="77777777" w:rsidR="002F4E08" w:rsidRPr="00A34864" w:rsidRDefault="002F4E08">
            <w:pPr>
              <w:spacing w:line="276" w:lineRule="auto"/>
              <w:jc w:val="center"/>
              <w:rPr>
                <w:color w:val="000000" w:themeColor="text1"/>
                <w:lang w:val="lv-LV"/>
              </w:rPr>
            </w:pPr>
          </w:p>
          <w:p w14:paraId="5FFC0D2D" w14:textId="77777777" w:rsidR="002F4E08" w:rsidRPr="00A34864" w:rsidRDefault="002F4E08">
            <w:pPr>
              <w:spacing w:line="276" w:lineRule="auto"/>
              <w:jc w:val="center"/>
              <w:rPr>
                <w:color w:val="000000" w:themeColor="text1"/>
                <w:lang w:val="lv-LV"/>
              </w:rPr>
            </w:pPr>
          </w:p>
          <w:p w14:paraId="63925A07" w14:textId="77777777" w:rsidR="00F95743" w:rsidRPr="00A34864" w:rsidRDefault="00F95743">
            <w:pPr>
              <w:spacing w:line="276" w:lineRule="auto"/>
              <w:jc w:val="center"/>
              <w:rPr>
                <w:color w:val="000000" w:themeColor="text1"/>
                <w:lang w:val="lv-LV"/>
              </w:rPr>
            </w:pPr>
          </w:p>
          <w:p w14:paraId="0094A0DA" w14:textId="77777777" w:rsidR="00F95743" w:rsidRPr="00A34864" w:rsidRDefault="00F95743">
            <w:pPr>
              <w:spacing w:line="276" w:lineRule="auto"/>
              <w:jc w:val="center"/>
              <w:rPr>
                <w:color w:val="000000" w:themeColor="text1"/>
                <w:lang w:val="lv-LV"/>
              </w:rPr>
            </w:pPr>
          </w:p>
          <w:p w14:paraId="60EB8AA8" w14:textId="77777777" w:rsidR="00F95743" w:rsidRPr="00A34864" w:rsidRDefault="00F95743">
            <w:pPr>
              <w:spacing w:line="276" w:lineRule="auto"/>
              <w:jc w:val="center"/>
              <w:rPr>
                <w:color w:val="000000" w:themeColor="text1"/>
                <w:lang w:val="lv-LV"/>
              </w:rPr>
            </w:pPr>
          </w:p>
          <w:p w14:paraId="47334977" w14:textId="77777777" w:rsidR="00F95743" w:rsidRPr="00A34864" w:rsidRDefault="00F95743">
            <w:pPr>
              <w:spacing w:line="276" w:lineRule="auto"/>
              <w:jc w:val="center"/>
              <w:rPr>
                <w:color w:val="000000" w:themeColor="text1"/>
                <w:lang w:val="lv-LV"/>
              </w:rPr>
            </w:pPr>
          </w:p>
          <w:p w14:paraId="159637E5" w14:textId="77777777" w:rsidR="00F95743" w:rsidRPr="00A34864" w:rsidRDefault="00F95743">
            <w:pPr>
              <w:spacing w:line="276" w:lineRule="auto"/>
              <w:jc w:val="center"/>
              <w:rPr>
                <w:color w:val="000000" w:themeColor="text1"/>
                <w:lang w:val="lv-LV"/>
              </w:rPr>
            </w:pPr>
          </w:p>
          <w:p w14:paraId="3EEB019E" w14:textId="77777777" w:rsidR="00F95743" w:rsidRPr="00A34864" w:rsidRDefault="00F95743">
            <w:pPr>
              <w:spacing w:line="276" w:lineRule="auto"/>
              <w:jc w:val="center"/>
              <w:rPr>
                <w:color w:val="000000" w:themeColor="text1"/>
                <w:lang w:val="lv-LV"/>
              </w:rPr>
            </w:pPr>
          </w:p>
          <w:p w14:paraId="58A9D16E" w14:textId="77777777" w:rsidR="00F95743" w:rsidRPr="00A34864" w:rsidRDefault="00F95743">
            <w:pPr>
              <w:spacing w:line="276" w:lineRule="auto"/>
              <w:jc w:val="center"/>
              <w:rPr>
                <w:color w:val="000000" w:themeColor="text1"/>
                <w:lang w:val="lv-LV"/>
              </w:rPr>
            </w:pPr>
          </w:p>
          <w:p w14:paraId="05D44A4C" w14:textId="77777777" w:rsidR="00F95743" w:rsidRPr="00A34864" w:rsidRDefault="00F95743">
            <w:pPr>
              <w:spacing w:line="276" w:lineRule="auto"/>
              <w:jc w:val="center"/>
              <w:rPr>
                <w:color w:val="000000" w:themeColor="text1"/>
                <w:lang w:val="lv-LV"/>
              </w:rPr>
            </w:pPr>
          </w:p>
          <w:p w14:paraId="3C32F736" w14:textId="77777777" w:rsidR="00F95743" w:rsidRPr="00A34864" w:rsidRDefault="00F95743">
            <w:pPr>
              <w:spacing w:line="276" w:lineRule="auto"/>
              <w:jc w:val="center"/>
              <w:rPr>
                <w:color w:val="000000" w:themeColor="text1"/>
                <w:lang w:val="lv-LV"/>
              </w:rPr>
            </w:pPr>
          </w:p>
          <w:p w14:paraId="58E9A9C4" w14:textId="77777777" w:rsidR="00ED534B" w:rsidRPr="00A34864" w:rsidRDefault="00ED534B">
            <w:pPr>
              <w:spacing w:line="276" w:lineRule="auto"/>
              <w:jc w:val="center"/>
              <w:rPr>
                <w:color w:val="000000" w:themeColor="text1"/>
                <w:lang w:val="lv-LV"/>
              </w:rPr>
            </w:pPr>
          </w:p>
          <w:p w14:paraId="17229D4C" w14:textId="77777777" w:rsidR="00ED534B" w:rsidRPr="00A34864" w:rsidRDefault="00ED534B">
            <w:pPr>
              <w:spacing w:line="276" w:lineRule="auto"/>
              <w:jc w:val="center"/>
              <w:rPr>
                <w:color w:val="000000" w:themeColor="text1"/>
                <w:lang w:val="lv-LV"/>
              </w:rPr>
            </w:pPr>
          </w:p>
          <w:p w14:paraId="25F91EF7" w14:textId="77777777" w:rsidR="00ED534B" w:rsidRPr="00A34864" w:rsidRDefault="00ED534B">
            <w:pPr>
              <w:spacing w:line="276" w:lineRule="auto"/>
              <w:jc w:val="center"/>
              <w:rPr>
                <w:color w:val="000000" w:themeColor="text1"/>
                <w:lang w:val="lv-LV"/>
              </w:rPr>
            </w:pPr>
          </w:p>
          <w:p w14:paraId="61259F9A" w14:textId="77777777" w:rsidR="00ED534B" w:rsidRPr="00A34864" w:rsidRDefault="00ED534B">
            <w:pPr>
              <w:spacing w:line="276" w:lineRule="auto"/>
              <w:jc w:val="center"/>
              <w:rPr>
                <w:color w:val="000000" w:themeColor="text1"/>
                <w:lang w:val="lv-LV"/>
              </w:rPr>
            </w:pPr>
          </w:p>
          <w:p w14:paraId="7B68C7C9" w14:textId="77777777" w:rsidR="00ED534B" w:rsidRPr="00A34864" w:rsidRDefault="00ED534B">
            <w:pPr>
              <w:spacing w:line="276" w:lineRule="auto"/>
              <w:jc w:val="center"/>
              <w:rPr>
                <w:color w:val="000000" w:themeColor="text1"/>
                <w:lang w:val="lv-LV"/>
              </w:rPr>
            </w:pPr>
          </w:p>
          <w:p w14:paraId="7DC558FC" w14:textId="77777777" w:rsidR="00ED534B" w:rsidRPr="00A34864" w:rsidRDefault="00ED534B">
            <w:pPr>
              <w:spacing w:line="276" w:lineRule="auto"/>
              <w:jc w:val="center"/>
              <w:rPr>
                <w:color w:val="000000" w:themeColor="text1"/>
                <w:lang w:val="lv-LV"/>
              </w:rPr>
            </w:pPr>
          </w:p>
          <w:p w14:paraId="16F3BC34" w14:textId="77777777" w:rsidR="00ED534B" w:rsidRPr="00A34864" w:rsidRDefault="00ED534B">
            <w:pPr>
              <w:spacing w:line="276" w:lineRule="auto"/>
              <w:jc w:val="center"/>
              <w:rPr>
                <w:color w:val="000000" w:themeColor="text1"/>
                <w:lang w:val="lv-LV"/>
              </w:rPr>
            </w:pPr>
          </w:p>
          <w:p w14:paraId="1F87C5B9" w14:textId="77777777" w:rsidR="00ED534B" w:rsidRPr="00A34864" w:rsidRDefault="00ED534B">
            <w:pPr>
              <w:spacing w:line="276" w:lineRule="auto"/>
              <w:jc w:val="center"/>
              <w:rPr>
                <w:color w:val="000000" w:themeColor="text1"/>
                <w:lang w:val="lv-LV"/>
              </w:rPr>
            </w:pPr>
          </w:p>
          <w:p w14:paraId="36B911D7" w14:textId="77777777" w:rsidR="00ED534B" w:rsidRPr="00A34864" w:rsidRDefault="00ED534B">
            <w:pPr>
              <w:spacing w:line="276" w:lineRule="auto"/>
              <w:jc w:val="center"/>
              <w:rPr>
                <w:color w:val="000000" w:themeColor="text1"/>
                <w:lang w:val="lv-LV"/>
              </w:rPr>
            </w:pPr>
          </w:p>
          <w:p w14:paraId="74EE3174" w14:textId="77777777" w:rsidR="00ED534B" w:rsidRPr="00A34864" w:rsidRDefault="00ED534B">
            <w:pPr>
              <w:spacing w:line="276" w:lineRule="auto"/>
              <w:jc w:val="center"/>
              <w:rPr>
                <w:color w:val="000000" w:themeColor="text1"/>
                <w:lang w:val="lv-LV"/>
              </w:rPr>
            </w:pPr>
          </w:p>
          <w:p w14:paraId="70EC32DD" w14:textId="77777777" w:rsidR="00ED534B" w:rsidRPr="00A34864" w:rsidRDefault="00ED534B">
            <w:pPr>
              <w:spacing w:line="276" w:lineRule="auto"/>
              <w:jc w:val="center"/>
              <w:rPr>
                <w:color w:val="000000" w:themeColor="text1"/>
                <w:lang w:val="lv-LV"/>
              </w:rPr>
            </w:pPr>
          </w:p>
          <w:p w14:paraId="7608669F" w14:textId="77777777" w:rsidR="004810DC" w:rsidRPr="00A34864" w:rsidRDefault="004810DC">
            <w:pPr>
              <w:spacing w:line="276" w:lineRule="auto"/>
              <w:jc w:val="center"/>
              <w:rPr>
                <w:color w:val="000000" w:themeColor="text1"/>
                <w:lang w:val="lv-LV"/>
              </w:rPr>
            </w:pPr>
          </w:p>
          <w:p w14:paraId="3B55E124" w14:textId="77777777" w:rsidR="004810DC" w:rsidRPr="00A34864" w:rsidRDefault="004810DC">
            <w:pPr>
              <w:spacing w:line="276" w:lineRule="auto"/>
              <w:jc w:val="center"/>
              <w:rPr>
                <w:color w:val="000000" w:themeColor="text1"/>
                <w:lang w:val="lv-LV"/>
              </w:rPr>
            </w:pPr>
          </w:p>
          <w:p w14:paraId="68AAF3D3" w14:textId="77777777" w:rsidR="004810DC" w:rsidRPr="00A34864" w:rsidRDefault="004810DC">
            <w:pPr>
              <w:spacing w:line="276" w:lineRule="auto"/>
              <w:jc w:val="center"/>
              <w:rPr>
                <w:color w:val="000000" w:themeColor="text1"/>
                <w:lang w:val="lv-LV"/>
              </w:rPr>
            </w:pPr>
          </w:p>
          <w:p w14:paraId="4E03806C" w14:textId="77777777" w:rsidR="005305CA" w:rsidRPr="00A34864" w:rsidRDefault="005305CA">
            <w:pPr>
              <w:spacing w:line="276" w:lineRule="auto"/>
              <w:jc w:val="center"/>
              <w:rPr>
                <w:i/>
                <w:color w:val="000000" w:themeColor="text1"/>
                <w:lang w:val="lv-LV"/>
              </w:rPr>
            </w:pPr>
            <w:r w:rsidRPr="00A34864">
              <w:rPr>
                <w:i/>
                <w:color w:val="000000" w:themeColor="text1"/>
                <w:lang w:val="lv-LV"/>
              </w:rPr>
              <w:t>0,0</w:t>
            </w:r>
          </w:p>
          <w:p w14:paraId="77628F24" w14:textId="77777777" w:rsidR="005305CA" w:rsidRPr="00A34864" w:rsidRDefault="005305CA">
            <w:pPr>
              <w:spacing w:line="276" w:lineRule="auto"/>
              <w:jc w:val="center"/>
              <w:rPr>
                <w:i/>
                <w:color w:val="000000" w:themeColor="text1"/>
                <w:lang w:val="lv-LV"/>
              </w:rPr>
            </w:pPr>
          </w:p>
          <w:p w14:paraId="1B1A451A" w14:textId="77777777" w:rsidR="005305CA" w:rsidRPr="00A34864" w:rsidRDefault="005305CA">
            <w:pPr>
              <w:spacing w:line="276" w:lineRule="auto"/>
              <w:jc w:val="center"/>
              <w:rPr>
                <w:color w:val="000000" w:themeColor="text1"/>
                <w:lang w:val="lv-LV"/>
              </w:rPr>
            </w:pPr>
          </w:p>
          <w:p w14:paraId="59D9B502" w14:textId="77777777" w:rsidR="005305CA" w:rsidRPr="00A34864" w:rsidRDefault="005305CA">
            <w:pPr>
              <w:spacing w:line="276" w:lineRule="auto"/>
              <w:jc w:val="center"/>
              <w:rPr>
                <w:color w:val="000000" w:themeColor="text1"/>
                <w:lang w:val="lv-LV"/>
              </w:rPr>
            </w:pPr>
          </w:p>
          <w:p w14:paraId="10020145" w14:textId="77777777" w:rsidR="005305CA" w:rsidRPr="00A34864" w:rsidRDefault="005305CA">
            <w:pPr>
              <w:spacing w:line="276" w:lineRule="auto"/>
              <w:jc w:val="center"/>
              <w:rPr>
                <w:color w:val="000000" w:themeColor="text1"/>
                <w:lang w:val="lv-LV"/>
              </w:rPr>
            </w:pPr>
          </w:p>
          <w:p w14:paraId="37F76AFD" w14:textId="77777777" w:rsidR="005305CA" w:rsidRPr="00A34864" w:rsidRDefault="005305CA">
            <w:pPr>
              <w:spacing w:line="276" w:lineRule="auto"/>
              <w:jc w:val="center"/>
              <w:rPr>
                <w:color w:val="000000" w:themeColor="text1"/>
                <w:lang w:val="lv-LV"/>
              </w:rPr>
            </w:pPr>
          </w:p>
          <w:p w14:paraId="29D04B38" w14:textId="77777777" w:rsidR="005305CA" w:rsidRPr="00A34864" w:rsidRDefault="005305CA">
            <w:pPr>
              <w:spacing w:line="276" w:lineRule="auto"/>
              <w:jc w:val="center"/>
              <w:rPr>
                <w:color w:val="000000" w:themeColor="text1"/>
                <w:lang w:val="lv-LV"/>
              </w:rPr>
            </w:pPr>
          </w:p>
          <w:p w14:paraId="36E27EFB" w14:textId="77777777" w:rsidR="005305CA" w:rsidRPr="00A34864" w:rsidRDefault="005305CA">
            <w:pPr>
              <w:spacing w:line="276" w:lineRule="auto"/>
              <w:jc w:val="center"/>
              <w:rPr>
                <w:color w:val="000000" w:themeColor="text1"/>
                <w:lang w:val="lv-LV"/>
              </w:rPr>
            </w:pPr>
          </w:p>
          <w:p w14:paraId="2A2E42A5" w14:textId="77777777" w:rsidR="005305CA" w:rsidRPr="00A34864" w:rsidRDefault="005305CA">
            <w:pPr>
              <w:spacing w:line="276" w:lineRule="auto"/>
              <w:jc w:val="center"/>
              <w:rPr>
                <w:color w:val="000000" w:themeColor="text1"/>
                <w:lang w:val="lv-LV"/>
              </w:rPr>
            </w:pPr>
          </w:p>
          <w:p w14:paraId="4BBF7727" w14:textId="77777777" w:rsidR="005305CA" w:rsidRPr="00A34864" w:rsidRDefault="005305CA">
            <w:pPr>
              <w:spacing w:line="276" w:lineRule="auto"/>
              <w:jc w:val="center"/>
              <w:rPr>
                <w:color w:val="000000" w:themeColor="text1"/>
                <w:lang w:val="lv-LV"/>
              </w:rPr>
            </w:pPr>
          </w:p>
          <w:p w14:paraId="0B4AEA63" w14:textId="77777777" w:rsidR="005305CA" w:rsidRPr="00A34864" w:rsidRDefault="005305CA">
            <w:pPr>
              <w:spacing w:line="276" w:lineRule="auto"/>
              <w:jc w:val="center"/>
              <w:rPr>
                <w:color w:val="000000" w:themeColor="text1"/>
                <w:lang w:val="lv-LV"/>
              </w:rPr>
            </w:pPr>
          </w:p>
          <w:p w14:paraId="540E9BED" w14:textId="77777777" w:rsidR="005305CA" w:rsidRPr="00A34864" w:rsidRDefault="005305CA">
            <w:pPr>
              <w:spacing w:line="276" w:lineRule="auto"/>
              <w:jc w:val="center"/>
              <w:rPr>
                <w:color w:val="000000" w:themeColor="text1"/>
                <w:lang w:val="lv-LV"/>
              </w:rPr>
            </w:pPr>
          </w:p>
          <w:p w14:paraId="4F80A345" w14:textId="77777777" w:rsidR="005305CA" w:rsidRPr="00A34864" w:rsidRDefault="005305CA">
            <w:pPr>
              <w:spacing w:line="276" w:lineRule="auto"/>
              <w:jc w:val="center"/>
              <w:rPr>
                <w:color w:val="000000" w:themeColor="text1"/>
                <w:lang w:val="lv-LV"/>
              </w:rPr>
            </w:pPr>
          </w:p>
          <w:p w14:paraId="1504758C" w14:textId="77777777" w:rsidR="005305CA" w:rsidRPr="00A34864" w:rsidRDefault="005305CA">
            <w:pPr>
              <w:spacing w:line="276" w:lineRule="auto"/>
              <w:jc w:val="center"/>
              <w:rPr>
                <w:color w:val="000000" w:themeColor="text1"/>
                <w:lang w:val="lv-LV"/>
              </w:rPr>
            </w:pPr>
          </w:p>
          <w:p w14:paraId="671E296A" w14:textId="77777777" w:rsidR="005305CA" w:rsidRPr="00A34864" w:rsidRDefault="005305CA">
            <w:pPr>
              <w:spacing w:line="276" w:lineRule="auto"/>
              <w:jc w:val="center"/>
              <w:rPr>
                <w:color w:val="000000" w:themeColor="text1"/>
                <w:lang w:val="lv-LV"/>
              </w:rPr>
            </w:pPr>
          </w:p>
          <w:p w14:paraId="76149842" w14:textId="77777777" w:rsidR="005305CA" w:rsidRPr="00A34864" w:rsidRDefault="005305CA">
            <w:pPr>
              <w:spacing w:line="276" w:lineRule="auto"/>
              <w:jc w:val="center"/>
              <w:rPr>
                <w:color w:val="000000" w:themeColor="text1"/>
                <w:lang w:val="lv-LV"/>
              </w:rPr>
            </w:pPr>
          </w:p>
          <w:p w14:paraId="1D839CAB" w14:textId="77777777" w:rsidR="004F1DC8" w:rsidRPr="00A34864" w:rsidRDefault="004F1DC8">
            <w:pPr>
              <w:spacing w:line="276" w:lineRule="auto"/>
              <w:jc w:val="center"/>
              <w:rPr>
                <w:color w:val="000000" w:themeColor="text1"/>
                <w:lang w:val="lv-LV"/>
              </w:rPr>
            </w:pPr>
          </w:p>
          <w:p w14:paraId="0F2217C3" w14:textId="77777777" w:rsidR="00F95743" w:rsidRPr="00A34864" w:rsidRDefault="00F95743" w:rsidP="00F95743">
            <w:pPr>
              <w:spacing w:line="276" w:lineRule="auto"/>
              <w:jc w:val="center"/>
              <w:rPr>
                <w:i/>
                <w:color w:val="000000" w:themeColor="text1"/>
                <w:lang w:val="lv-LV"/>
              </w:rPr>
            </w:pPr>
            <w:r w:rsidRPr="00A34864">
              <w:rPr>
                <w:i/>
                <w:color w:val="000000" w:themeColor="text1"/>
                <w:lang w:val="lv-LV"/>
              </w:rPr>
              <w:t>0,0</w:t>
            </w:r>
          </w:p>
          <w:p w14:paraId="29F64A04" w14:textId="77777777" w:rsidR="005305CA" w:rsidRPr="00A34864" w:rsidRDefault="005305CA">
            <w:pPr>
              <w:spacing w:line="276" w:lineRule="auto"/>
              <w:jc w:val="center"/>
              <w:rPr>
                <w:color w:val="000000" w:themeColor="text1"/>
                <w:lang w:val="lv-LV"/>
              </w:rPr>
            </w:pPr>
          </w:p>
          <w:p w14:paraId="68823B71" w14:textId="77777777" w:rsidR="005305CA" w:rsidRPr="00A34864" w:rsidRDefault="005305CA">
            <w:pPr>
              <w:spacing w:line="276" w:lineRule="auto"/>
              <w:jc w:val="center"/>
              <w:rPr>
                <w:color w:val="000000" w:themeColor="text1"/>
                <w:lang w:val="lv-LV"/>
              </w:rPr>
            </w:pPr>
          </w:p>
          <w:p w14:paraId="672F3C89" w14:textId="77777777" w:rsidR="005305CA" w:rsidRPr="00A34864" w:rsidRDefault="005305CA">
            <w:pPr>
              <w:spacing w:line="276" w:lineRule="auto"/>
              <w:jc w:val="center"/>
              <w:rPr>
                <w:color w:val="000000" w:themeColor="text1"/>
                <w:lang w:val="lv-LV"/>
              </w:rPr>
            </w:pPr>
          </w:p>
          <w:p w14:paraId="1254681D" w14:textId="77777777" w:rsidR="005305CA" w:rsidRPr="00A34864" w:rsidRDefault="005305CA">
            <w:pPr>
              <w:spacing w:line="276" w:lineRule="auto"/>
              <w:jc w:val="center"/>
              <w:rPr>
                <w:color w:val="000000" w:themeColor="text1"/>
                <w:lang w:val="lv-LV"/>
              </w:rPr>
            </w:pPr>
          </w:p>
          <w:p w14:paraId="4B2ADFA0" w14:textId="77777777" w:rsidR="005305CA" w:rsidRPr="00A34864" w:rsidRDefault="005305CA">
            <w:pPr>
              <w:spacing w:line="276" w:lineRule="auto"/>
              <w:jc w:val="center"/>
              <w:rPr>
                <w:color w:val="000000" w:themeColor="text1"/>
                <w:lang w:val="lv-LV"/>
              </w:rPr>
            </w:pPr>
          </w:p>
          <w:p w14:paraId="25534717" w14:textId="77777777" w:rsidR="005305CA" w:rsidRPr="00A34864" w:rsidRDefault="005305CA">
            <w:pPr>
              <w:spacing w:line="276" w:lineRule="auto"/>
              <w:jc w:val="center"/>
              <w:rPr>
                <w:i/>
                <w:color w:val="000000" w:themeColor="text1"/>
                <w:lang w:val="lv-LV"/>
              </w:rPr>
            </w:pPr>
            <w:r w:rsidRPr="00A34864">
              <w:rPr>
                <w:i/>
                <w:color w:val="000000" w:themeColor="text1"/>
                <w:lang w:val="lv-LV"/>
              </w:rPr>
              <w:t>0,0</w:t>
            </w:r>
          </w:p>
          <w:p w14:paraId="06DB006C" w14:textId="77777777" w:rsidR="005305CA" w:rsidRPr="00A34864" w:rsidRDefault="005305CA">
            <w:pPr>
              <w:spacing w:line="276" w:lineRule="auto"/>
              <w:jc w:val="center"/>
              <w:rPr>
                <w:color w:val="000000" w:themeColor="text1"/>
                <w:lang w:val="lv-LV"/>
              </w:rPr>
            </w:pPr>
          </w:p>
          <w:p w14:paraId="1AABD227" w14:textId="77777777" w:rsidR="005305CA" w:rsidRPr="00A34864" w:rsidRDefault="005305CA">
            <w:pPr>
              <w:spacing w:line="276" w:lineRule="auto"/>
              <w:jc w:val="center"/>
              <w:rPr>
                <w:color w:val="000000" w:themeColor="text1"/>
                <w:lang w:val="lv-LV"/>
              </w:rPr>
            </w:pPr>
          </w:p>
          <w:p w14:paraId="4CA9EE5F" w14:textId="77777777" w:rsidR="005305CA" w:rsidRPr="00A34864" w:rsidRDefault="005305CA">
            <w:pPr>
              <w:spacing w:line="276" w:lineRule="auto"/>
              <w:jc w:val="center"/>
              <w:rPr>
                <w:color w:val="000000" w:themeColor="text1"/>
                <w:lang w:val="lv-LV"/>
              </w:rPr>
            </w:pPr>
          </w:p>
          <w:p w14:paraId="2E2A81F0" w14:textId="77777777" w:rsidR="005305CA" w:rsidRPr="00A34864" w:rsidRDefault="005305CA">
            <w:pPr>
              <w:spacing w:line="276" w:lineRule="auto"/>
              <w:jc w:val="center"/>
              <w:rPr>
                <w:color w:val="000000" w:themeColor="text1"/>
                <w:lang w:val="lv-LV"/>
              </w:rPr>
            </w:pPr>
          </w:p>
          <w:p w14:paraId="2FC79C58" w14:textId="77777777" w:rsidR="005305CA" w:rsidRPr="00A34864" w:rsidRDefault="005305CA">
            <w:pPr>
              <w:spacing w:line="276" w:lineRule="auto"/>
              <w:jc w:val="center"/>
              <w:rPr>
                <w:color w:val="000000" w:themeColor="text1"/>
                <w:lang w:val="lv-LV"/>
              </w:rPr>
            </w:pPr>
            <w:r w:rsidRPr="00A34864">
              <w:rPr>
                <w:color w:val="000000" w:themeColor="text1"/>
                <w:lang w:val="lv-LV"/>
              </w:rPr>
              <w:t>0,0</w:t>
            </w:r>
          </w:p>
          <w:p w14:paraId="17C5B2BD" w14:textId="77777777" w:rsidR="005305CA" w:rsidRPr="00A34864" w:rsidRDefault="005305CA">
            <w:pPr>
              <w:spacing w:line="276" w:lineRule="auto"/>
              <w:jc w:val="center"/>
              <w:rPr>
                <w:color w:val="000000" w:themeColor="text1"/>
                <w:lang w:val="lv-LV"/>
              </w:rPr>
            </w:pPr>
          </w:p>
          <w:p w14:paraId="1666BD2D" w14:textId="77777777" w:rsidR="005305CA" w:rsidRPr="00A34864" w:rsidRDefault="005305CA">
            <w:pPr>
              <w:spacing w:line="276" w:lineRule="auto"/>
              <w:jc w:val="center"/>
              <w:rPr>
                <w:color w:val="000000" w:themeColor="text1"/>
                <w:lang w:val="lv-LV"/>
              </w:rPr>
            </w:pPr>
          </w:p>
          <w:p w14:paraId="7E7429E1" w14:textId="77777777" w:rsidR="005305CA" w:rsidRPr="00A34864" w:rsidRDefault="005305CA">
            <w:pPr>
              <w:spacing w:line="276" w:lineRule="auto"/>
              <w:jc w:val="center"/>
              <w:rPr>
                <w:color w:val="000000" w:themeColor="text1"/>
                <w:lang w:val="lv-LV"/>
              </w:rPr>
            </w:pPr>
          </w:p>
          <w:p w14:paraId="4977A854" w14:textId="77777777" w:rsidR="005305CA" w:rsidRPr="00A34864" w:rsidRDefault="005305CA">
            <w:pPr>
              <w:spacing w:line="276" w:lineRule="auto"/>
              <w:jc w:val="center"/>
              <w:rPr>
                <w:color w:val="000000" w:themeColor="text1"/>
                <w:lang w:val="lv-LV"/>
              </w:rPr>
            </w:pPr>
          </w:p>
          <w:p w14:paraId="0E8187A5" w14:textId="77777777" w:rsidR="005305CA" w:rsidRPr="00A34864" w:rsidRDefault="005305CA">
            <w:pPr>
              <w:spacing w:line="276" w:lineRule="auto"/>
              <w:jc w:val="center"/>
              <w:rPr>
                <w:color w:val="000000" w:themeColor="text1"/>
                <w:lang w:val="lv-LV"/>
              </w:rPr>
            </w:pPr>
          </w:p>
          <w:p w14:paraId="1A3D725A" w14:textId="77777777" w:rsidR="005305CA" w:rsidRPr="00A34864" w:rsidRDefault="005305CA">
            <w:pPr>
              <w:spacing w:line="276" w:lineRule="auto"/>
              <w:jc w:val="center"/>
              <w:rPr>
                <w:color w:val="000000" w:themeColor="text1"/>
                <w:lang w:val="lv-LV"/>
              </w:rPr>
            </w:pPr>
          </w:p>
          <w:p w14:paraId="42589D05" w14:textId="77777777" w:rsidR="005305CA" w:rsidRPr="00A34864" w:rsidRDefault="005305CA">
            <w:pPr>
              <w:spacing w:line="276" w:lineRule="auto"/>
              <w:jc w:val="center"/>
              <w:rPr>
                <w:color w:val="000000" w:themeColor="text1"/>
                <w:lang w:val="lv-LV"/>
              </w:rPr>
            </w:pPr>
          </w:p>
          <w:p w14:paraId="5C8C96BE" w14:textId="77777777" w:rsidR="005305CA" w:rsidRPr="00A34864" w:rsidRDefault="005305CA">
            <w:pPr>
              <w:spacing w:line="276" w:lineRule="auto"/>
              <w:jc w:val="center"/>
              <w:rPr>
                <w:color w:val="000000" w:themeColor="text1"/>
                <w:lang w:val="lv-LV"/>
              </w:rPr>
            </w:pPr>
          </w:p>
          <w:p w14:paraId="187FCD45" w14:textId="77777777" w:rsidR="005305CA" w:rsidRPr="00A34864" w:rsidRDefault="005305CA">
            <w:pPr>
              <w:spacing w:line="276" w:lineRule="auto"/>
              <w:jc w:val="center"/>
              <w:rPr>
                <w:color w:val="000000" w:themeColor="text1"/>
                <w:lang w:val="lv-LV"/>
              </w:rPr>
            </w:pPr>
          </w:p>
          <w:p w14:paraId="79F28629" w14:textId="77777777" w:rsidR="005305CA" w:rsidRPr="00A34864" w:rsidRDefault="005305CA">
            <w:pPr>
              <w:spacing w:line="276" w:lineRule="auto"/>
              <w:jc w:val="center"/>
              <w:rPr>
                <w:color w:val="000000" w:themeColor="text1"/>
                <w:lang w:val="lv-LV"/>
              </w:rPr>
            </w:pPr>
          </w:p>
          <w:p w14:paraId="6811D8A4" w14:textId="77777777" w:rsidR="005305CA" w:rsidRPr="00A34864" w:rsidRDefault="005305CA">
            <w:pPr>
              <w:spacing w:line="276" w:lineRule="auto"/>
              <w:jc w:val="center"/>
              <w:rPr>
                <w:color w:val="000000" w:themeColor="text1"/>
                <w:lang w:val="lv-LV"/>
              </w:rPr>
            </w:pPr>
          </w:p>
          <w:p w14:paraId="0FB0EE43" w14:textId="77777777" w:rsidR="005305CA" w:rsidRPr="00A34864" w:rsidRDefault="005305CA">
            <w:pPr>
              <w:spacing w:line="276" w:lineRule="auto"/>
              <w:jc w:val="center"/>
              <w:rPr>
                <w:color w:val="000000" w:themeColor="text1"/>
                <w:lang w:val="lv-LV"/>
              </w:rPr>
            </w:pPr>
          </w:p>
          <w:p w14:paraId="11B13C49" w14:textId="77777777" w:rsidR="005305CA" w:rsidRPr="00A34864" w:rsidRDefault="005305CA">
            <w:pPr>
              <w:spacing w:line="276" w:lineRule="auto"/>
              <w:jc w:val="center"/>
              <w:rPr>
                <w:color w:val="000000" w:themeColor="text1"/>
                <w:lang w:val="lv-LV"/>
              </w:rPr>
            </w:pPr>
          </w:p>
          <w:p w14:paraId="57627BFC" w14:textId="77777777" w:rsidR="005305CA" w:rsidRPr="00A34864" w:rsidRDefault="005305CA">
            <w:pPr>
              <w:spacing w:line="276" w:lineRule="auto"/>
              <w:jc w:val="center"/>
              <w:rPr>
                <w:color w:val="000000" w:themeColor="text1"/>
                <w:lang w:val="lv-LV"/>
              </w:rPr>
            </w:pPr>
          </w:p>
          <w:p w14:paraId="783B469D" w14:textId="77777777" w:rsidR="005305CA" w:rsidRPr="00A34864" w:rsidRDefault="005305CA">
            <w:pPr>
              <w:spacing w:line="276" w:lineRule="auto"/>
              <w:jc w:val="center"/>
              <w:rPr>
                <w:color w:val="000000" w:themeColor="text1"/>
                <w:lang w:val="lv-LV"/>
              </w:rPr>
            </w:pPr>
          </w:p>
          <w:p w14:paraId="1510ED99" w14:textId="77777777" w:rsidR="005305CA" w:rsidRPr="00A34864" w:rsidRDefault="005305CA">
            <w:pPr>
              <w:spacing w:line="276" w:lineRule="auto"/>
              <w:jc w:val="center"/>
              <w:rPr>
                <w:color w:val="000000" w:themeColor="text1"/>
                <w:lang w:val="lv-LV"/>
              </w:rPr>
            </w:pPr>
          </w:p>
          <w:p w14:paraId="4577C419" w14:textId="77777777" w:rsidR="005305CA" w:rsidRPr="00A34864" w:rsidRDefault="005305CA">
            <w:pPr>
              <w:spacing w:line="276" w:lineRule="auto"/>
              <w:jc w:val="center"/>
              <w:rPr>
                <w:color w:val="000000" w:themeColor="text1"/>
                <w:lang w:val="lv-LV"/>
              </w:rPr>
            </w:pPr>
          </w:p>
          <w:p w14:paraId="1EAAD1CB" w14:textId="77777777" w:rsidR="005305CA" w:rsidRPr="00A34864" w:rsidRDefault="005305CA">
            <w:pPr>
              <w:spacing w:line="276" w:lineRule="auto"/>
              <w:jc w:val="center"/>
              <w:rPr>
                <w:color w:val="000000" w:themeColor="text1"/>
                <w:lang w:val="lv-LV"/>
              </w:rPr>
            </w:pPr>
          </w:p>
          <w:p w14:paraId="1A3F2301" w14:textId="77777777" w:rsidR="005305CA" w:rsidRPr="00A34864" w:rsidRDefault="005305CA">
            <w:pPr>
              <w:spacing w:line="276" w:lineRule="auto"/>
              <w:jc w:val="center"/>
              <w:rPr>
                <w:color w:val="000000" w:themeColor="text1"/>
                <w:lang w:val="lv-LV"/>
              </w:rPr>
            </w:pPr>
          </w:p>
          <w:p w14:paraId="032E9111" w14:textId="77777777" w:rsidR="005305CA" w:rsidRPr="00A34864" w:rsidRDefault="005305CA">
            <w:pPr>
              <w:spacing w:line="276" w:lineRule="auto"/>
              <w:jc w:val="center"/>
              <w:rPr>
                <w:color w:val="000000" w:themeColor="text1"/>
                <w:lang w:val="lv-LV"/>
              </w:rPr>
            </w:pPr>
          </w:p>
          <w:p w14:paraId="2C7FF964" w14:textId="77777777" w:rsidR="005305CA" w:rsidRDefault="005305CA">
            <w:pPr>
              <w:spacing w:line="276" w:lineRule="auto"/>
              <w:jc w:val="center"/>
              <w:rPr>
                <w:color w:val="000000" w:themeColor="text1"/>
                <w:lang w:val="lv-LV"/>
              </w:rPr>
            </w:pPr>
          </w:p>
          <w:p w14:paraId="39E48060" w14:textId="77777777" w:rsidR="00907F9A" w:rsidRPr="00A34864" w:rsidRDefault="00907F9A">
            <w:pPr>
              <w:spacing w:line="276" w:lineRule="auto"/>
              <w:jc w:val="center"/>
              <w:rPr>
                <w:color w:val="000000" w:themeColor="text1"/>
                <w:lang w:val="lv-LV"/>
              </w:rPr>
            </w:pPr>
          </w:p>
          <w:p w14:paraId="448F3E5B" w14:textId="77777777" w:rsidR="005305CA" w:rsidRPr="00A34864" w:rsidRDefault="005305CA">
            <w:pPr>
              <w:spacing w:line="276" w:lineRule="auto"/>
              <w:jc w:val="center"/>
              <w:rPr>
                <w:strike/>
                <w:color w:val="000000" w:themeColor="text1"/>
                <w:lang w:val="lv-LV"/>
              </w:rPr>
            </w:pPr>
            <w:r w:rsidRPr="00A34864">
              <w:rPr>
                <w:color w:val="000000" w:themeColor="text1"/>
                <w:lang w:val="lv-LV"/>
              </w:rPr>
              <w:t>0,0</w:t>
            </w:r>
          </w:p>
        </w:tc>
        <w:tc>
          <w:tcPr>
            <w:tcW w:w="725" w:type="pct"/>
            <w:tcBorders>
              <w:top w:val="single" w:sz="4" w:space="0" w:color="auto"/>
              <w:left w:val="single" w:sz="6" w:space="0" w:color="auto"/>
              <w:bottom w:val="single" w:sz="6" w:space="0" w:color="auto"/>
              <w:right w:val="single" w:sz="6" w:space="0" w:color="auto"/>
            </w:tcBorders>
          </w:tcPr>
          <w:p w14:paraId="3B540DA1" w14:textId="26EC75AD" w:rsidR="005305CA" w:rsidRPr="00A34864" w:rsidRDefault="0064680F">
            <w:pPr>
              <w:spacing w:line="276" w:lineRule="auto"/>
              <w:jc w:val="center"/>
              <w:rPr>
                <w:color w:val="000000" w:themeColor="text1"/>
                <w:lang w:val="lv-LV"/>
              </w:rPr>
            </w:pPr>
            <w:r w:rsidRPr="00A34864">
              <w:rPr>
                <w:b/>
                <w:i/>
                <w:color w:val="000000" w:themeColor="text1"/>
                <w:lang w:val="lv-LV"/>
              </w:rPr>
              <w:lastRenderedPageBreak/>
              <w:t>75 393</w:t>
            </w:r>
          </w:p>
          <w:p w14:paraId="229BB534" w14:textId="77777777" w:rsidR="005305CA" w:rsidRPr="00A34864" w:rsidRDefault="005305CA">
            <w:pPr>
              <w:spacing w:line="276" w:lineRule="auto"/>
              <w:jc w:val="center"/>
              <w:rPr>
                <w:color w:val="000000" w:themeColor="text1"/>
                <w:lang w:val="lv-LV"/>
              </w:rPr>
            </w:pPr>
          </w:p>
          <w:p w14:paraId="4A834BF4" w14:textId="77777777" w:rsidR="005305CA" w:rsidRPr="00A34864" w:rsidRDefault="005305CA">
            <w:pPr>
              <w:spacing w:line="276" w:lineRule="auto"/>
              <w:jc w:val="center"/>
              <w:rPr>
                <w:color w:val="000000" w:themeColor="text1"/>
                <w:lang w:val="lv-LV"/>
              </w:rPr>
            </w:pPr>
          </w:p>
          <w:p w14:paraId="25932928" w14:textId="77777777" w:rsidR="0064680F" w:rsidRPr="00A34864" w:rsidRDefault="0064680F">
            <w:pPr>
              <w:spacing w:line="276" w:lineRule="auto"/>
              <w:jc w:val="center"/>
              <w:rPr>
                <w:color w:val="000000" w:themeColor="text1"/>
                <w:lang w:val="lv-LV"/>
              </w:rPr>
            </w:pPr>
          </w:p>
          <w:p w14:paraId="20CD8A81" w14:textId="7C333904" w:rsidR="002F4E08" w:rsidRPr="00A34864" w:rsidRDefault="0064680F">
            <w:pPr>
              <w:spacing w:line="276" w:lineRule="auto"/>
              <w:jc w:val="center"/>
              <w:rPr>
                <w:color w:val="000000" w:themeColor="text1"/>
                <w:lang w:val="lv-LV"/>
              </w:rPr>
            </w:pPr>
            <w:r w:rsidRPr="00A34864">
              <w:rPr>
                <w:i/>
                <w:color w:val="000000" w:themeColor="text1"/>
                <w:lang w:val="lv-LV"/>
              </w:rPr>
              <w:t>2 058</w:t>
            </w:r>
          </w:p>
          <w:p w14:paraId="0847326F" w14:textId="77777777" w:rsidR="002F4E08" w:rsidRPr="00A34864" w:rsidRDefault="002F4E08">
            <w:pPr>
              <w:spacing w:line="276" w:lineRule="auto"/>
              <w:jc w:val="center"/>
              <w:rPr>
                <w:color w:val="000000" w:themeColor="text1"/>
                <w:lang w:val="lv-LV"/>
              </w:rPr>
            </w:pPr>
          </w:p>
          <w:p w14:paraId="2E668F50" w14:textId="77777777" w:rsidR="002F4E08" w:rsidRPr="00A34864" w:rsidRDefault="002F4E08">
            <w:pPr>
              <w:spacing w:line="276" w:lineRule="auto"/>
              <w:jc w:val="center"/>
              <w:rPr>
                <w:color w:val="000000" w:themeColor="text1"/>
                <w:lang w:val="lv-LV"/>
              </w:rPr>
            </w:pPr>
          </w:p>
          <w:p w14:paraId="2F94B260" w14:textId="77777777" w:rsidR="002F4E08" w:rsidRPr="00A34864" w:rsidRDefault="002F4E08">
            <w:pPr>
              <w:spacing w:line="276" w:lineRule="auto"/>
              <w:jc w:val="center"/>
              <w:rPr>
                <w:color w:val="000000" w:themeColor="text1"/>
                <w:lang w:val="lv-LV"/>
              </w:rPr>
            </w:pPr>
          </w:p>
          <w:p w14:paraId="768BDD32" w14:textId="77777777" w:rsidR="002F4E08" w:rsidRPr="00A34864" w:rsidRDefault="002F4E08">
            <w:pPr>
              <w:spacing w:line="276" w:lineRule="auto"/>
              <w:jc w:val="center"/>
              <w:rPr>
                <w:color w:val="000000" w:themeColor="text1"/>
                <w:lang w:val="lv-LV"/>
              </w:rPr>
            </w:pPr>
          </w:p>
          <w:p w14:paraId="6EB1BC93" w14:textId="77777777" w:rsidR="002F4E08" w:rsidRPr="00A34864" w:rsidRDefault="002F4E08">
            <w:pPr>
              <w:spacing w:line="276" w:lineRule="auto"/>
              <w:jc w:val="center"/>
              <w:rPr>
                <w:color w:val="000000" w:themeColor="text1"/>
                <w:lang w:val="lv-LV"/>
              </w:rPr>
            </w:pPr>
          </w:p>
          <w:p w14:paraId="339C4585" w14:textId="77777777" w:rsidR="002F4E08" w:rsidRPr="00A34864" w:rsidRDefault="002F4E08">
            <w:pPr>
              <w:spacing w:line="276" w:lineRule="auto"/>
              <w:jc w:val="center"/>
              <w:rPr>
                <w:color w:val="000000" w:themeColor="text1"/>
                <w:lang w:val="lv-LV"/>
              </w:rPr>
            </w:pPr>
          </w:p>
          <w:p w14:paraId="0D23CB5F" w14:textId="77777777" w:rsidR="002F4E08" w:rsidRPr="00A34864" w:rsidRDefault="002F4E08">
            <w:pPr>
              <w:spacing w:line="276" w:lineRule="auto"/>
              <w:jc w:val="center"/>
              <w:rPr>
                <w:color w:val="000000" w:themeColor="text1"/>
                <w:lang w:val="lv-LV"/>
              </w:rPr>
            </w:pPr>
          </w:p>
          <w:p w14:paraId="313DBD00" w14:textId="77777777" w:rsidR="002F4E08" w:rsidRPr="00A34864" w:rsidRDefault="002F4E08">
            <w:pPr>
              <w:spacing w:line="276" w:lineRule="auto"/>
              <w:jc w:val="center"/>
              <w:rPr>
                <w:color w:val="000000" w:themeColor="text1"/>
                <w:lang w:val="lv-LV"/>
              </w:rPr>
            </w:pPr>
          </w:p>
          <w:p w14:paraId="28887966" w14:textId="77777777" w:rsidR="002F4E08" w:rsidRPr="00A34864" w:rsidRDefault="002F4E08">
            <w:pPr>
              <w:spacing w:line="276" w:lineRule="auto"/>
              <w:jc w:val="center"/>
              <w:rPr>
                <w:color w:val="000000" w:themeColor="text1"/>
                <w:lang w:val="lv-LV"/>
              </w:rPr>
            </w:pPr>
          </w:p>
          <w:p w14:paraId="16A61413" w14:textId="77777777" w:rsidR="002F4E08" w:rsidRPr="00A34864" w:rsidRDefault="002F4E08">
            <w:pPr>
              <w:spacing w:line="276" w:lineRule="auto"/>
              <w:jc w:val="center"/>
              <w:rPr>
                <w:color w:val="000000" w:themeColor="text1"/>
                <w:lang w:val="lv-LV"/>
              </w:rPr>
            </w:pPr>
          </w:p>
          <w:p w14:paraId="7C5CE475" w14:textId="77777777" w:rsidR="00C10825" w:rsidRPr="00A34864" w:rsidRDefault="00C10825">
            <w:pPr>
              <w:spacing w:line="276" w:lineRule="auto"/>
              <w:jc w:val="center"/>
              <w:rPr>
                <w:color w:val="000000" w:themeColor="text1"/>
                <w:lang w:val="lv-LV"/>
              </w:rPr>
            </w:pPr>
          </w:p>
          <w:p w14:paraId="12B54841" w14:textId="77777777" w:rsidR="00C10825" w:rsidRPr="00A34864" w:rsidRDefault="00C10825">
            <w:pPr>
              <w:spacing w:line="276" w:lineRule="auto"/>
              <w:jc w:val="center"/>
              <w:rPr>
                <w:color w:val="000000" w:themeColor="text1"/>
                <w:lang w:val="lv-LV"/>
              </w:rPr>
            </w:pPr>
          </w:p>
          <w:p w14:paraId="4FA1A0E2" w14:textId="77777777" w:rsidR="00C10825" w:rsidRPr="00A34864" w:rsidRDefault="00C10825">
            <w:pPr>
              <w:spacing w:line="276" w:lineRule="auto"/>
              <w:jc w:val="center"/>
              <w:rPr>
                <w:color w:val="000000" w:themeColor="text1"/>
                <w:lang w:val="lv-LV"/>
              </w:rPr>
            </w:pPr>
          </w:p>
          <w:p w14:paraId="06A5CB95" w14:textId="77777777" w:rsidR="00C10825" w:rsidRPr="00A34864" w:rsidRDefault="00C10825">
            <w:pPr>
              <w:spacing w:line="276" w:lineRule="auto"/>
              <w:jc w:val="center"/>
              <w:rPr>
                <w:color w:val="000000" w:themeColor="text1"/>
                <w:lang w:val="lv-LV"/>
              </w:rPr>
            </w:pPr>
          </w:p>
          <w:p w14:paraId="217FBF90" w14:textId="77777777" w:rsidR="00C10825" w:rsidRPr="00A34864" w:rsidRDefault="00C10825">
            <w:pPr>
              <w:spacing w:line="276" w:lineRule="auto"/>
              <w:jc w:val="center"/>
              <w:rPr>
                <w:color w:val="000000" w:themeColor="text1"/>
                <w:lang w:val="lv-LV"/>
              </w:rPr>
            </w:pPr>
          </w:p>
          <w:p w14:paraId="40465D8B" w14:textId="77777777" w:rsidR="004F1DC8" w:rsidRPr="00A34864" w:rsidRDefault="004F1DC8">
            <w:pPr>
              <w:spacing w:line="276" w:lineRule="auto"/>
              <w:jc w:val="center"/>
              <w:rPr>
                <w:color w:val="000000" w:themeColor="text1"/>
                <w:lang w:val="lv-LV"/>
              </w:rPr>
            </w:pPr>
          </w:p>
          <w:p w14:paraId="3BA645EC" w14:textId="77777777" w:rsidR="00FC0E85" w:rsidRPr="00A34864" w:rsidRDefault="00FC0E85">
            <w:pPr>
              <w:spacing w:line="276" w:lineRule="auto"/>
              <w:jc w:val="center"/>
              <w:rPr>
                <w:color w:val="000000" w:themeColor="text1"/>
                <w:lang w:val="lv-LV"/>
              </w:rPr>
            </w:pPr>
          </w:p>
          <w:p w14:paraId="7DDCCEEE" w14:textId="77777777" w:rsidR="00FC0E85" w:rsidRPr="00A34864" w:rsidRDefault="00FC0E85">
            <w:pPr>
              <w:spacing w:line="276" w:lineRule="auto"/>
              <w:jc w:val="center"/>
              <w:rPr>
                <w:color w:val="000000" w:themeColor="text1"/>
                <w:lang w:val="lv-LV"/>
              </w:rPr>
            </w:pPr>
          </w:p>
          <w:p w14:paraId="1AFB85E9" w14:textId="77777777" w:rsidR="00FC0E85" w:rsidRPr="00A34864" w:rsidRDefault="00FC0E85">
            <w:pPr>
              <w:spacing w:line="276" w:lineRule="auto"/>
              <w:jc w:val="center"/>
              <w:rPr>
                <w:color w:val="000000" w:themeColor="text1"/>
                <w:lang w:val="lv-LV"/>
              </w:rPr>
            </w:pPr>
          </w:p>
          <w:p w14:paraId="3CE4C623" w14:textId="53C6247C" w:rsidR="00C10825" w:rsidRPr="00A34864" w:rsidRDefault="00F95743">
            <w:pPr>
              <w:spacing w:line="276" w:lineRule="auto"/>
              <w:jc w:val="center"/>
              <w:rPr>
                <w:i/>
                <w:color w:val="000000" w:themeColor="text1"/>
                <w:lang w:val="lv-LV"/>
              </w:rPr>
            </w:pPr>
            <w:r w:rsidRPr="00A34864">
              <w:rPr>
                <w:i/>
                <w:color w:val="000000" w:themeColor="text1"/>
                <w:lang w:val="lv-LV"/>
              </w:rPr>
              <w:t>4</w:t>
            </w:r>
            <w:r w:rsidR="00FC0E85" w:rsidRPr="00A34864">
              <w:rPr>
                <w:i/>
                <w:color w:val="000000" w:themeColor="text1"/>
                <w:lang w:val="lv-LV"/>
              </w:rPr>
              <w:t>2</w:t>
            </w:r>
            <w:r w:rsidRPr="00A34864">
              <w:rPr>
                <w:i/>
                <w:color w:val="000000" w:themeColor="text1"/>
                <w:lang w:val="lv-LV"/>
              </w:rPr>
              <w:t xml:space="preserve"> </w:t>
            </w:r>
            <w:r w:rsidR="00FC0E85" w:rsidRPr="00A34864">
              <w:rPr>
                <w:i/>
                <w:color w:val="000000" w:themeColor="text1"/>
                <w:lang w:val="lv-LV"/>
              </w:rPr>
              <w:t>630</w:t>
            </w:r>
          </w:p>
          <w:p w14:paraId="2F9209DA" w14:textId="77777777" w:rsidR="00C10825" w:rsidRPr="00A34864" w:rsidRDefault="00C10825">
            <w:pPr>
              <w:spacing w:line="276" w:lineRule="auto"/>
              <w:jc w:val="center"/>
              <w:rPr>
                <w:color w:val="000000" w:themeColor="text1"/>
                <w:lang w:val="lv-LV"/>
              </w:rPr>
            </w:pPr>
          </w:p>
          <w:p w14:paraId="1090C192" w14:textId="77777777" w:rsidR="00C10825" w:rsidRPr="00A34864" w:rsidRDefault="00C10825">
            <w:pPr>
              <w:spacing w:line="276" w:lineRule="auto"/>
              <w:jc w:val="center"/>
              <w:rPr>
                <w:color w:val="000000" w:themeColor="text1"/>
                <w:lang w:val="lv-LV"/>
              </w:rPr>
            </w:pPr>
          </w:p>
          <w:p w14:paraId="1C5EBB8F" w14:textId="77777777" w:rsidR="00C10825" w:rsidRPr="00A34864" w:rsidRDefault="00C10825">
            <w:pPr>
              <w:spacing w:line="276" w:lineRule="auto"/>
              <w:jc w:val="center"/>
              <w:rPr>
                <w:color w:val="000000" w:themeColor="text1"/>
                <w:lang w:val="lv-LV"/>
              </w:rPr>
            </w:pPr>
          </w:p>
          <w:p w14:paraId="794E154B" w14:textId="77777777" w:rsidR="00C10825" w:rsidRPr="00A34864" w:rsidRDefault="00C10825">
            <w:pPr>
              <w:spacing w:line="276" w:lineRule="auto"/>
              <w:jc w:val="center"/>
              <w:rPr>
                <w:color w:val="000000" w:themeColor="text1"/>
                <w:lang w:val="lv-LV"/>
              </w:rPr>
            </w:pPr>
          </w:p>
          <w:p w14:paraId="4393CEDD" w14:textId="77777777" w:rsidR="002F4E08" w:rsidRPr="00A34864" w:rsidRDefault="002F4E08">
            <w:pPr>
              <w:spacing w:line="276" w:lineRule="auto"/>
              <w:jc w:val="center"/>
              <w:rPr>
                <w:color w:val="000000" w:themeColor="text1"/>
                <w:lang w:val="lv-LV"/>
              </w:rPr>
            </w:pPr>
          </w:p>
          <w:p w14:paraId="1873CE6D" w14:textId="77777777" w:rsidR="002F4E08" w:rsidRPr="00A34864" w:rsidRDefault="002F4E08">
            <w:pPr>
              <w:spacing w:line="276" w:lineRule="auto"/>
              <w:jc w:val="center"/>
              <w:rPr>
                <w:color w:val="000000" w:themeColor="text1"/>
                <w:lang w:val="lv-LV"/>
              </w:rPr>
            </w:pPr>
          </w:p>
          <w:p w14:paraId="2DC2F2C8" w14:textId="77777777" w:rsidR="00F95743" w:rsidRPr="00A34864" w:rsidRDefault="00F95743">
            <w:pPr>
              <w:spacing w:line="276" w:lineRule="auto"/>
              <w:jc w:val="center"/>
              <w:rPr>
                <w:color w:val="000000" w:themeColor="text1"/>
                <w:lang w:val="lv-LV"/>
              </w:rPr>
            </w:pPr>
          </w:p>
          <w:p w14:paraId="2AE8AB90" w14:textId="77777777" w:rsidR="00F95743" w:rsidRPr="00A34864" w:rsidRDefault="00F95743">
            <w:pPr>
              <w:spacing w:line="276" w:lineRule="auto"/>
              <w:jc w:val="center"/>
              <w:rPr>
                <w:color w:val="000000" w:themeColor="text1"/>
                <w:lang w:val="lv-LV"/>
              </w:rPr>
            </w:pPr>
          </w:p>
          <w:p w14:paraId="3B0A8309" w14:textId="77777777" w:rsidR="00F95743" w:rsidRPr="00A34864" w:rsidRDefault="00F95743">
            <w:pPr>
              <w:spacing w:line="276" w:lineRule="auto"/>
              <w:jc w:val="center"/>
              <w:rPr>
                <w:color w:val="000000" w:themeColor="text1"/>
                <w:lang w:val="lv-LV"/>
              </w:rPr>
            </w:pPr>
          </w:p>
          <w:p w14:paraId="1D51D44D" w14:textId="77777777" w:rsidR="00F95743" w:rsidRPr="00A34864" w:rsidRDefault="00F95743">
            <w:pPr>
              <w:spacing w:line="276" w:lineRule="auto"/>
              <w:jc w:val="center"/>
              <w:rPr>
                <w:color w:val="000000" w:themeColor="text1"/>
                <w:lang w:val="lv-LV"/>
              </w:rPr>
            </w:pPr>
          </w:p>
          <w:p w14:paraId="674A5441" w14:textId="77777777" w:rsidR="00F95743" w:rsidRPr="00A34864" w:rsidRDefault="00F95743">
            <w:pPr>
              <w:spacing w:line="276" w:lineRule="auto"/>
              <w:jc w:val="center"/>
              <w:rPr>
                <w:color w:val="000000" w:themeColor="text1"/>
                <w:lang w:val="lv-LV"/>
              </w:rPr>
            </w:pPr>
          </w:p>
          <w:p w14:paraId="298F29FD" w14:textId="77777777" w:rsidR="00F95743" w:rsidRPr="00A34864" w:rsidRDefault="00F95743">
            <w:pPr>
              <w:spacing w:line="276" w:lineRule="auto"/>
              <w:jc w:val="center"/>
              <w:rPr>
                <w:color w:val="000000" w:themeColor="text1"/>
                <w:lang w:val="lv-LV"/>
              </w:rPr>
            </w:pPr>
          </w:p>
          <w:p w14:paraId="6F5DFDBD" w14:textId="77777777" w:rsidR="00F95743" w:rsidRPr="00A34864" w:rsidRDefault="00F95743">
            <w:pPr>
              <w:spacing w:line="276" w:lineRule="auto"/>
              <w:jc w:val="center"/>
              <w:rPr>
                <w:color w:val="000000" w:themeColor="text1"/>
                <w:lang w:val="lv-LV"/>
              </w:rPr>
            </w:pPr>
          </w:p>
          <w:p w14:paraId="30682E90" w14:textId="77777777" w:rsidR="00ED534B" w:rsidRPr="00A34864" w:rsidRDefault="00ED534B">
            <w:pPr>
              <w:spacing w:line="276" w:lineRule="auto"/>
              <w:jc w:val="center"/>
              <w:rPr>
                <w:color w:val="000000" w:themeColor="text1"/>
                <w:lang w:val="lv-LV"/>
              </w:rPr>
            </w:pPr>
          </w:p>
          <w:p w14:paraId="27CF21E8" w14:textId="77777777" w:rsidR="00ED534B" w:rsidRPr="00A34864" w:rsidRDefault="00ED534B">
            <w:pPr>
              <w:spacing w:line="276" w:lineRule="auto"/>
              <w:jc w:val="center"/>
              <w:rPr>
                <w:color w:val="000000" w:themeColor="text1"/>
                <w:lang w:val="lv-LV"/>
              </w:rPr>
            </w:pPr>
          </w:p>
          <w:p w14:paraId="505481B8" w14:textId="77777777" w:rsidR="00ED534B" w:rsidRPr="00A34864" w:rsidRDefault="00ED534B">
            <w:pPr>
              <w:spacing w:line="276" w:lineRule="auto"/>
              <w:jc w:val="center"/>
              <w:rPr>
                <w:color w:val="000000" w:themeColor="text1"/>
                <w:lang w:val="lv-LV"/>
              </w:rPr>
            </w:pPr>
          </w:p>
          <w:p w14:paraId="550151C6" w14:textId="77777777" w:rsidR="00ED534B" w:rsidRPr="00A34864" w:rsidRDefault="00ED534B">
            <w:pPr>
              <w:spacing w:line="276" w:lineRule="auto"/>
              <w:jc w:val="center"/>
              <w:rPr>
                <w:color w:val="000000" w:themeColor="text1"/>
                <w:lang w:val="lv-LV"/>
              </w:rPr>
            </w:pPr>
          </w:p>
          <w:p w14:paraId="2EAB0248" w14:textId="77777777" w:rsidR="00ED534B" w:rsidRPr="00A34864" w:rsidRDefault="00ED534B">
            <w:pPr>
              <w:spacing w:line="276" w:lineRule="auto"/>
              <w:jc w:val="center"/>
              <w:rPr>
                <w:color w:val="000000" w:themeColor="text1"/>
                <w:lang w:val="lv-LV"/>
              </w:rPr>
            </w:pPr>
          </w:p>
          <w:p w14:paraId="71834677" w14:textId="77777777" w:rsidR="00ED534B" w:rsidRPr="00A34864" w:rsidRDefault="00ED534B">
            <w:pPr>
              <w:spacing w:line="276" w:lineRule="auto"/>
              <w:jc w:val="center"/>
              <w:rPr>
                <w:color w:val="000000" w:themeColor="text1"/>
                <w:lang w:val="lv-LV"/>
              </w:rPr>
            </w:pPr>
          </w:p>
          <w:p w14:paraId="543339EA" w14:textId="77777777" w:rsidR="00ED534B" w:rsidRPr="00A34864" w:rsidRDefault="00ED534B">
            <w:pPr>
              <w:spacing w:line="276" w:lineRule="auto"/>
              <w:jc w:val="center"/>
              <w:rPr>
                <w:color w:val="000000" w:themeColor="text1"/>
                <w:lang w:val="lv-LV"/>
              </w:rPr>
            </w:pPr>
          </w:p>
          <w:p w14:paraId="4C41BB6C" w14:textId="77777777" w:rsidR="00ED534B" w:rsidRPr="00A34864" w:rsidRDefault="00ED534B">
            <w:pPr>
              <w:spacing w:line="276" w:lineRule="auto"/>
              <w:jc w:val="center"/>
              <w:rPr>
                <w:color w:val="000000" w:themeColor="text1"/>
                <w:lang w:val="lv-LV"/>
              </w:rPr>
            </w:pPr>
          </w:p>
          <w:p w14:paraId="10BFE9EA" w14:textId="77777777" w:rsidR="00ED534B" w:rsidRPr="00A34864" w:rsidRDefault="00ED534B">
            <w:pPr>
              <w:spacing w:line="276" w:lineRule="auto"/>
              <w:jc w:val="center"/>
              <w:rPr>
                <w:color w:val="000000" w:themeColor="text1"/>
                <w:lang w:val="lv-LV"/>
              </w:rPr>
            </w:pPr>
          </w:p>
          <w:p w14:paraId="2D7D7B05" w14:textId="77777777" w:rsidR="00ED534B" w:rsidRPr="00A34864" w:rsidRDefault="00ED534B">
            <w:pPr>
              <w:spacing w:line="276" w:lineRule="auto"/>
              <w:jc w:val="center"/>
              <w:rPr>
                <w:color w:val="000000" w:themeColor="text1"/>
                <w:lang w:val="lv-LV"/>
              </w:rPr>
            </w:pPr>
          </w:p>
          <w:p w14:paraId="41E52D75" w14:textId="77777777" w:rsidR="00ED534B" w:rsidRPr="00A34864" w:rsidRDefault="00ED534B">
            <w:pPr>
              <w:spacing w:line="276" w:lineRule="auto"/>
              <w:jc w:val="center"/>
              <w:rPr>
                <w:color w:val="000000" w:themeColor="text1"/>
                <w:lang w:val="lv-LV"/>
              </w:rPr>
            </w:pPr>
          </w:p>
          <w:p w14:paraId="100DB5A7" w14:textId="77777777" w:rsidR="00ED534B" w:rsidRPr="00A34864" w:rsidRDefault="00ED534B">
            <w:pPr>
              <w:spacing w:line="276" w:lineRule="auto"/>
              <w:jc w:val="center"/>
              <w:rPr>
                <w:color w:val="000000" w:themeColor="text1"/>
                <w:lang w:val="lv-LV"/>
              </w:rPr>
            </w:pPr>
          </w:p>
          <w:p w14:paraId="0158C604" w14:textId="77777777" w:rsidR="004810DC" w:rsidRPr="00A34864" w:rsidRDefault="004810DC">
            <w:pPr>
              <w:spacing w:line="276" w:lineRule="auto"/>
              <w:jc w:val="center"/>
              <w:rPr>
                <w:color w:val="000000" w:themeColor="text1"/>
                <w:lang w:val="lv-LV"/>
              </w:rPr>
            </w:pPr>
          </w:p>
          <w:p w14:paraId="45B12B32" w14:textId="77777777" w:rsidR="004810DC" w:rsidRPr="00A34864" w:rsidRDefault="004810DC">
            <w:pPr>
              <w:spacing w:line="276" w:lineRule="auto"/>
              <w:jc w:val="center"/>
              <w:rPr>
                <w:color w:val="000000" w:themeColor="text1"/>
                <w:lang w:val="lv-LV"/>
              </w:rPr>
            </w:pPr>
          </w:p>
          <w:p w14:paraId="38D2E94B" w14:textId="77777777" w:rsidR="004810DC" w:rsidRPr="00A34864" w:rsidRDefault="004810DC">
            <w:pPr>
              <w:spacing w:line="276" w:lineRule="auto"/>
              <w:jc w:val="center"/>
              <w:rPr>
                <w:color w:val="000000" w:themeColor="text1"/>
                <w:lang w:val="lv-LV"/>
              </w:rPr>
            </w:pPr>
          </w:p>
          <w:p w14:paraId="4A6EA759" w14:textId="09EE77A3" w:rsidR="005305CA" w:rsidRPr="00A34864" w:rsidRDefault="005305CA">
            <w:pPr>
              <w:spacing w:line="276" w:lineRule="auto"/>
              <w:jc w:val="center"/>
              <w:rPr>
                <w:i/>
                <w:color w:val="000000" w:themeColor="text1"/>
                <w:lang w:val="lv-LV"/>
              </w:rPr>
            </w:pPr>
            <w:r w:rsidRPr="00A34864">
              <w:rPr>
                <w:i/>
                <w:color w:val="000000" w:themeColor="text1"/>
                <w:lang w:val="lv-LV"/>
              </w:rPr>
              <w:t>–</w:t>
            </w:r>
            <w:r w:rsidR="00F07E73" w:rsidRPr="00A34864">
              <w:rPr>
                <w:i/>
                <w:color w:val="000000" w:themeColor="text1"/>
                <w:lang w:val="lv-LV"/>
              </w:rPr>
              <w:t xml:space="preserve">2 </w:t>
            </w:r>
            <w:r w:rsidR="004810DC" w:rsidRPr="00A34864">
              <w:rPr>
                <w:i/>
                <w:color w:val="000000" w:themeColor="text1"/>
                <w:lang w:val="lv-LV"/>
              </w:rPr>
              <w:t>067</w:t>
            </w:r>
          </w:p>
          <w:p w14:paraId="1216CF7C" w14:textId="77777777" w:rsidR="005305CA" w:rsidRPr="00A34864" w:rsidRDefault="005305CA">
            <w:pPr>
              <w:spacing w:line="276" w:lineRule="auto"/>
              <w:jc w:val="center"/>
              <w:rPr>
                <w:color w:val="000000" w:themeColor="text1"/>
                <w:lang w:val="lv-LV"/>
              </w:rPr>
            </w:pPr>
          </w:p>
          <w:p w14:paraId="10228CD6" w14:textId="77777777" w:rsidR="005305CA" w:rsidRPr="00A34864" w:rsidRDefault="005305CA">
            <w:pPr>
              <w:spacing w:line="276" w:lineRule="auto"/>
              <w:jc w:val="center"/>
              <w:rPr>
                <w:color w:val="000000" w:themeColor="text1"/>
                <w:lang w:val="lv-LV"/>
              </w:rPr>
            </w:pPr>
          </w:p>
          <w:p w14:paraId="1881977B" w14:textId="77777777" w:rsidR="005305CA" w:rsidRPr="00A34864" w:rsidRDefault="005305CA">
            <w:pPr>
              <w:spacing w:line="276" w:lineRule="auto"/>
              <w:jc w:val="center"/>
              <w:rPr>
                <w:color w:val="000000" w:themeColor="text1"/>
                <w:lang w:val="lv-LV"/>
              </w:rPr>
            </w:pPr>
          </w:p>
          <w:p w14:paraId="3E9D03D4" w14:textId="77777777" w:rsidR="005305CA" w:rsidRPr="00A34864" w:rsidRDefault="005305CA">
            <w:pPr>
              <w:spacing w:line="276" w:lineRule="auto"/>
              <w:jc w:val="center"/>
              <w:rPr>
                <w:color w:val="000000" w:themeColor="text1"/>
                <w:lang w:val="lv-LV"/>
              </w:rPr>
            </w:pPr>
          </w:p>
          <w:p w14:paraId="28A8B40F" w14:textId="77777777" w:rsidR="005305CA" w:rsidRPr="00A34864" w:rsidRDefault="005305CA">
            <w:pPr>
              <w:spacing w:line="276" w:lineRule="auto"/>
              <w:jc w:val="center"/>
              <w:rPr>
                <w:color w:val="000000" w:themeColor="text1"/>
                <w:lang w:val="lv-LV"/>
              </w:rPr>
            </w:pPr>
          </w:p>
          <w:p w14:paraId="6B106755" w14:textId="77777777" w:rsidR="005305CA" w:rsidRPr="00A34864" w:rsidRDefault="005305CA">
            <w:pPr>
              <w:spacing w:line="276" w:lineRule="auto"/>
              <w:jc w:val="center"/>
              <w:rPr>
                <w:color w:val="000000" w:themeColor="text1"/>
                <w:lang w:val="lv-LV"/>
              </w:rPr>
            </w:pPr>
          </w:p>
          <w:p w14:paraId="6F591772" w14:textId="77777777" w:rsidR="005305CA" w:rsidRPr="00A34864" w:rsidRDefault="005305CA">
            <w:pPr>
              <w:spacing w:line="276" w:lineRule="auto"/>
              <w:jc w:val="center"/>
              <w:rPr>
                <w:color w:val="000000" w:themeColor="text1"/>
                <w:lang w:val="lv-LV"/>
              </w:rPr>
            </w:pPr>
          </w:p>
          <w:p w14:paraId="47E55C16" w14:textId="77777777" w:rsidR="005305CA" w:rsidRPr="00A34864" w:rsidRDefault="005305CA">
            <w:pPr>
              <w:spacing w:line="276" w:lineRule="auto"/>
              <w:jc w:val="center"/>
              <w:rPr>
                <w:color w:val="000000" w:themeColor="text1"/>
                <w:lang w:val="lv-LV"/>
              </w:rPr>
            </w:pPr>
          </w:p>
          <w:p w14:paraId="450A9295" w14:textId="77777777" w:rsidR="005305CA" w:rsidRPr="00A34864" w:rsidRDefault="005305CA">
            <w:pPr>
              <w:spacing w:line="276" w:lineRule="auto"/>
              <w:jc w:val="center"/>
              <w:rPr>
                <w:color w:val="000000" w:themeColor="text1"/>
                <w:lang w:val="lv-LV"/>
              </w:rPr>
            </w:pPr>
          </w:p>
          <w:p w14:paraId="41A628C2" w14:textId="77777777" w:rsidR="005305CA" w:rsidRPr="00A34864" w:rsidRDefault="005305CA">
            <w:pPr>
              <w:spacing w:line="276" w:lineRule="auto"/>
              <w:jc w:val="center"/>
              <w:rPr>
                <w:color w:val="000000" w:themeColor="text1"/>
                <w:lang w:val="lv-LV"/>
              </w:rPr>
            </w:pPr>
          </w:p>
          <w:p w14:paraId="1E767105" w14:textId="77777777" w:rsidR="005305CA" w:rsidRPr="00A34864" w:rsidRDefault="005305CA">
            <w:pPr>
              <w:spacing w:line="276" w:lineRule="auto"/>
              <w:jc w:val="center"/>
              <w:rPr>
                <w:color w:val="000000" w:themeColor="text1"/>
                <w:lang w:val="lv-LV"/>
              </w:rPr>
            </w:pPr>
          </w:p>
          <w:p w14:paraId="40DA9ECA" w14:textId="77777777" w:rsidR="005305CA" w:rsidRPr="00A34864" w:rsidRDefault="005305CA">
            <w:pPr>
              <w:spacing w:line="276" w:lineRule="auto"/>
              <w:jc w:val="center"/>
              <w:rPr>
                <w:color w:val="000000" w:themeColor="text1"/>
                <w:lang w:val="lv-LV"/>
              </w:rPr>
            </w:pPr>
          </w:p>
          <w:p w14:paraId="1E0A7A49" w14:textId="77777777" w:rsidR="005305CA" w:rsidRPr="00A34864" w:rsidRDefault="005305CA">
            <w:pPr>
              <w:spacing w:line="276" w:lineRule="auto"/>
              <w:jc w:val="center"/>
              <w:rPr>
                <w:color w:val="000000" w:themeColor="text1"/>
                <w:lang w:val="lv-LV"/>
              </w:rPr>
            </w:pPr>
          </w:p>
          <w:p w14:paraId="13020043" w14:textId="77777777" w:rsidR="005305CA" w:rsidRPr="00A34864" w:rsidRDefault="005305CA">
            <w:pPr>
              <w:spacing w:line="276" w:lineRule="auto"/>
              <w:jc w:val="center"/>
              <w:rPr>
                <w:color w:val="000000" w:themeColor="text1"/>
                <w:lang w:val="lv-LV"/>
              </w:rPr>
            </w:pPr>
          </w:p>
          <w:p w14:paraId="366A2D5C" w14:textId="77777777" w:rsidR="005305CA" w:rsidRPr="00A34864" w:rsidRDefault="005305CA">
            <w:pPr>
              <w:spacing w:line="276" w:lineRule="auto"/>
              <w:jc w:val="center"/>
              <w:rPr>
                <w:color w:val="000000" w:themeColor="text1"/>
                <w:lang w:val="lv-LV"/>
              </w:rPr>
            </w:pPr>
          </w:p>
          <w:p w14:paraId="5D1E1D91" w14:textId="77777777" w:rsidR="004F1DC8" w:rsidRPr="00A34864" w:rsidRDefault="004F1DC8">
            <w:pPr>
              <w:spacing w:line="276" w:lineRule="auto"/>
              <w:jc w:val="center"/>
              <w:rPr>
                <w:color w:val="000000" w:themeColor="text1"/>
                <w:lang w:val="lv-LV"/>
              </w:rPr>
            </w:pPr>
          </w:p>
          <w:p w14:paraId="225AFE70" w14:textId="2F3B146C" w:rsidR="005305CA" w:rsidRPr="00A34864" w:rsidRDefault="00F95743">
            <w:pPr>
              <w:spacing w:line="276" w:lineRule="auto"/>
              <w:jc w:val="center"/>
              <w:rPr>
                <w:i/>
                <w:color w:val="000000" w:themeColor="text1"/>
                <w:lang w:val="lv-LV"/>
              </w:rPr>
            </w:pPr>
            <w:r w:rsidRPr="00A34864">
              <w:rPr>
                <w:i/>
                <w:color w:val="000000" w:themeColor="text1"/>
                <w:lang w:val="lv-LV"/>
              </w:rPr>
              <w:t xml:space="preserve">1 </w:t>
            </w:r>
            <w:r w:rsidR="0076308F" w:rsidRPr="00A34864">
              <w:rPr>
                <w:i/>
                <w:color w:val="000000" w:themeColor="text1"/>
                <w:lang w:val="lv-LV"/>
              </w:rPr>
              <w:t>750</w:t>
            </w:r>
          </w:p>
          <w:p w14:paraId="17DFC444" w14:textId="77777777" w:rsidR="005305CA" w:rsidRPr="00A34864" w:rsidRDefault="005305CA">
            <w:pPr>
              <w:spacing w:line="276" w:lineRule="auto"/>
              <w:jc w:val="center"/>
              <w:rPr>
                <w:color w:val="000000" w:themeColor="text1"/>
                <w:lang w:val="lv-LV"/>
              </w:rPr>
            </w:pPr>
          </w:p>
          <w:p w14:paraId="7E79134E" w14:textId="77777777" w:rsidR="005305CA" w:rsidRPr="00A34864" w:rsidRDefault="005305CA">
            <w:pPr>
              <w:spacing w:line="276" w:lineRule="auto"/>
              <w:jc w:val="center"/>
              <w:rPr>
                <w:color w:val="000000" w:themeColor="text1"/>
                <w:lang w:val="lv-LV"/>
              </w:rPr>
            </w:pPr>
          </w:p>
          <w:p w14:paraId="05E696CB" w14:textId="77777777" w:rsidR="005305CA" w:rsidRPr="00A34864" w:rsidRDefault="005305CA">
            <w:pPr>
              <w:spacing w:line="276" w:lineRule="auto"/>
              <w:jc w:val="center"/>
              <w:rPr>
                <w:color w:val="000000" w:themeColor="text1"/>
                <w:lang w:val="lv-LV"/>
              </w:rPr>
            </w:pPr>
          </w:p>
          <w:p w14:paraId="28FB2731" w14:textId="77777777" w:rsidR="005305CA" w:rsidRPr="00A34864" w:rsidRDefault="005305CA">
            <w:pPr>
              <w:spacing w:line="276" w:lineRule="auto"/>
              <w:jc w:val="center"/>
              <w:rPr>
                <w:color w:val="000000" w:themeColor="text1"/>
                <w:lang w:val="lv-LV"/>
              </w:rPr>
            </w:pPr>
          </w:p>
          <w:p w14:paraId="461B4929" w14:textId="77777777" w:rsidR="005305CA" w:rsidRPr="00A34864" w:rsidRDefault="005305CA">
            <w:pPr>
              <w:spacing w:line="276" w:lineRule="auto"/>
              <w:jc w:val="center"/>
              <w:rPr>
                <w:color w:val="000000" w:themeColor="text1"/>
                <w:lang w:val="lv-LV"/>
              </w:rPr>
            </w:pPr>
          </w:p>
          <w:p w14:paraId="46C0B615" w14:textId="5ED9CB1B" w:rsidR="005305CA" w:rsidRPr="00A34864" w:rsidRDefault="0076308F">
            <w:pPr>
              <w:spacing w:line="276" w:lineRule="auto"/>
              <w:jc w:val="center"/>
              <w:rPr>
                <w:i/>
                <w:color w:val="000000" w:themeColor="text1"/>
                <w:lang w:val="lv-LV"/>
              </w:rPr>
            </w:pPr>
            <w:r w:rsidRPr="00A34864">
              <w:rPr>
                <w:i/>
                <w:color w:val="000000" w:themeColor="text1"/>
                <w:lang w:val="lv-LV"/>
              </w:rPr>
              <w:t>31</w:t>
            </w:r>
            <w:r w:rsidR="005305CA" w:rsidRPr="00A34864">
              <w:rPr>
                <w:i/>
                <w:color w:val="000000" w:themeColor="text1"/>
                <w:lang w:val="lv-LV"/>
              </w:rPr>
              <w:t> </w:t>
            </w:r>
            <w:r w:rsidRPr="00A34864">
              <w:rPr>
                <w:i/>
                <w:color w:val="000000" w:themeColor="text1"/>
                <w:lang w:val="lv-LV"/>
              </w:rPr>
              <w:t>0</w:t>
            </w:r>
            <w:r w:rsidR="005305CA" w:rsidRPr="00A34864">
              <w:rPr>
                <w:i/>
                <w:color w:val="000000" w:themeColor="text1"/>
                <w:lang w:val="lv-LV"/>
              </w:rPr>
              <w:t>22</w:t>
            </w:r>
          </w:p>
          <w:p w14:paraId="6A1630A6" w14:textId="77777777" w:rsidR="005305CA" w:rsidRPr="00A34864" w:rsidRDefault="005305CA">
            <w:pPr>
              <w:spacing w:line="276" w:lineRule="auto"/>
              <w:jc w:val="center"/>
              <w:rPr>
                <w:color w:val="000000" w:themeColor="text1"/>
                <w:lang w:val="lv-LV"/>
              </w:rPr>
            </w:pPr>
          </w:p>
          <w:p w14:paraId="70553528" w14:textId="77777777" w:rsidR="005305CA" w:rsidRPr="00A34864" w:rsidRDefault="005305CA">
            <w:pPr>
              <w:spacing w:line="276" w:lineRule="auto"/>
              <w:jc w:val="center"/>
              <w:rPr>
                <w:color w:val="000000" w:themeColor="text1"/>
                <w:lang w:val="lv-LV"/>
              </w:rPr>
            </w:pPr>
          </w:p>
          <w:p w14:paraId="0FE52C1B" w14:textId="77777777" w:rsidR="005305CA" w:rsidRPr="00A34864" w:rsidRDefault="005305CA">
            <w:pPr>
              <w:spacing w:line="276" w:lineRule="auto"/>
              <w:jc w:val="center"/>
              <w:rPr>
                <w:color w:val="000000" w:themeColor="text1"/>
                <w:lang w:val="lv-LV"/>
              </w:rPr>
            </w:pPr>
          </w:p>
          <w:p w14:paraId="65D9C2ED" w14:textId="77777777" w:rsidR="005305CA" w:rsidRPr="00A34864" w:rsidRDefault="005305CA">
            <w:pPr>
              <w:spacing w:line="276" w:lineRule="auto"/>
              <w:jc w:val="center"/>
              <w:rPr>
                <w:color w:val="000000" w:themeColor="text1"/>
                <w:lang w:val="lv-LV"/>
              </w:rPr>
            </w:pPr>
          </w:p>
          <w:p w14:paraId="6E17E3FF" w14:textId="72711298" w:rsidR="005305CA" w:rsidRPr="00A34864" w:rsidRDefault="00E530AF">
            <w:pPr>
              <w:spacing w:line="276" w:lineRule="auto"/>
              <w:jc w:val="center"/>
              <w:rPr>
                <w:color w:val="000000" w:themeColor="text1"/>
                <w:lang w:val="lv-LV"/>
              </w:rPr>
            </w:pPr>
            <w:r w:rsidRPr="00A34864">
              <w:rPr>
                <w:color w:val="000000" w:themeColor="text1"/>
                <w:lang w:val="lv-LV"/>
              </w:rPr>
              <w:t>2</w:t>
            </w:r>
            <w:r w:rsidR="0076308F" w:rsidRPr="00A34864">
              <w:rPr>
                <w:color w:val="000000" w:themeColor="text1"/>
                <w:lang w:val="lv-LV"/>
              </w:rPr>
              <w:t>9</w:t>
            </w:r>
            <w:r w:rsidRPr="00A34864">
              <w:rPr>
                <w:color w:val="000000" w:themeColor="text1"/>
                <w:lang w:val="lv-LV"/>
              </w:rPr>
              <w:t xml:space="preserve"> </w:t>
            </w:r>
            <w:r w:rsidR="0076308F" w:rsidRPr="00A34864">
              <w:rPr>
                <w:color w:val="000000" w:themeColor="text1"/>
                <w:lang w:val="lv-LV"/>
              </w:rPr>
              <w:t>5</w:t>
            </w:r>
            <w:r w:rsidRPr="00A34864">
              <w:rPr>
                <w:color w:val="000000" w:themeColor="text1"/>
                <w:lang w:val="lv-LV"/>
              </w:rPr>
              <w:t>22</w:t>
            </w:r>
          </w:p>
          <w:p w14:paraId="2592AF0A" w14:textId="77777777" w:rsidR="005305CA" w:rsidRPr="00A34864" w:rsidRDefault="005305CA">
            <w:pPr>
              <w:spacing w:line="276" w:lineRule="auto"/>
              <w:jc w:val="center"/>
              <w:rPr>
                <w:color w:val="000000" w:themeColor="text1"/>
                <w:lang w:val="lv-LV"/>
              </w:rPr>
            </w:pPr>
          </w:p>
          <w:p w14:paraId="0751E0C9" w14:textId="77777777" w:rsidR="005305CA" w:rsidRPr="00A34864" w:rsidRDefault="005305CA">
            <w:pPr>
              <w:spacing w:line="276" w:lineRule="auto"/>
              <w:jc w:val="center"/>
              <w:rPr>
                <w:color w:val="000000" w:themeColor="text1"/>
                <w:lang w:val="lv-LV"/>
              </w:rPr>
            </w:pPr>
          </w:p>
          <w:p w14:paraId="6B2943CD" w14:textId="77777777" w:rsidR="005305CA" w:rsidRPr="00A34864" w:rsidRDefault="005305CA">
            <w:pPr>
              <w:spacing w:line="276" w:lineRule="auto"/>
              <w:jc w:val="center"/>
              <w:rPr>
                <w:color w:val="000000" w:themeColor="text1"/>
                <w:lang w:val="lv-LV"/>
              </w:rPr>
            </w:pPr>
          </w:p>
          <w:p w14:paraId="291B05F0" w14:textId="77777777" w:rsidR="005305CA" w:rsidRPr="00A34864" w:rsidRDefault="005305CA">
            <w:pPr>
              <w:spacing w:line="276" w:lineRule="auto"/>
              <w:jc w:val="center"/>
              <w:rPr>
                <w:color w:val="000000" w:themeColor="text1"/>
                <w:lang w:val="lv-LV"/>
              </w:rPr>
            </w:pPr>
          </w:p>
          <w:p w14:paraId="0CBF8269" w14:textId="77777777" w:rsidR="005305CA" w:rsidRPr="00A34864" w:rsidRDefault="005305CA">
            <w:pPr>
              <w:spacing w:line="276" w:lineRule="auto"/>
              <w:jc w:val="center"/>
              <w:rPr>
                <w:color w:val="000000" w:themeColor="text1"/>
                <w:lang w:val="lv-LV"/>
              </w:rPr>
            </w:pPr>
          </w:p>
          <w:p w14:paraId="29FAAECB" w14:textId="77777777" w:rsidR="005305CA" w:rsidRPr="00A34864" w:rsidRDefault="005305CA">
            <w:pPr>
              <w:spacing w:line="276" w:lineRule="auto"/>
              <w:jc w:val="center"/>
              <w:rPr>
                <w:color w:val="000000" w:themeColor="text1"/>
                <w:lang w:val="lv-LV"/>
              </w:rPr>
            </w:pPr>
          </w:p>
          <w:p w14:paraId="11106183" w14:textId="77777777" w:rsidR="005305CA" w:rsidRPr="00A34864" w:rsidRDefault="005305CA">
            <w:pPr>
              <w:spacing w:line="276" w:lineRule="auto"/>
              <w:jc w:val="center"/>
              <w:rPr>
                <w:color w:val="000000" w:themeColor="text1"/>
                <w:lang w:val="lv-LV"/>
              </w:rPr>
            </w:pPr>
          </w:p>
          <w:p w14:paraId="3C79A82C" w14:textId="77777777" w:rsidR="005305CA" w:rsidRPr="00A34864" w:rsidRDefault="005305CA">
            <w:pPr>
              <w:spacing w:line="276" w:lineRule="auto"/>
              <w:jc w:val="center"/>
              <w:rPr>
                <w:color w:val="000000" w:themeColor="text1"/>
                <w:lang w:val="lv-LV"/>
              </w:rPr>
            </w:pPr>
          </w:p>
          <w:p w14:paraId="223561B3" w14:textId="77777777" w:rsidR="005305CA" w:rsidRPr="00A34864" w:rsidRDefault="005305CA">
            <w:pPr>
              <w:spacing w:line="276" w:lineRule="auto"/>
              <w:jc w:val="center"/>
              <w:rPr>
                <w:color w:val="000000" w:themeColor="text1"/>
                <w:lang w:val="lv-LV"/>
              </w:rPr>
            </w:pPr>
          </w:p>
          <w:p w14:paraId="74F1CEF7" w14:textId="77777777" w:rsidR="005305CA" w:rsidRPr="00A34864" w:rsidRDefault="005305CA">
            <w:pPr>
              <w:spacing w:line="276" w:lineRule="auto"/>
              <w:jc w:val="center"/>
              <w:rPr>
                <w:color w:val="000000" w:themeColor="text1"/>
                <w:lang w:val="lv-LV"/>
              </w:rPr>
            </w:pPr>
          </w:p>
          <w:p w14:paraId="7B9DC9BF" w14:textId="77777777" w:rsidR="005305CA" w:rsidRPr="00A34864" w:rsidRDefault="005305CA">
            <w:pPr>
              <w:spacing w:line="276" w:lineRule="auto"/>
              <w:jc w:val="center"/>
              <w:rPr>
                <w:color w:val="000000" w:themeColor="text1"/>
                <w:lang w:val="lv-LV"/>
              </w:rPr>
            </w:pPr>
          </w:p>
          <w:p w14:paraId="6F519381" w14:textId="77777777" w:rsidR="005305CA" w:rsidRPr="00A34864" w:rsidRDefault="005305CA">
            <w:pPr>
              <w:spacing w:line="276" w:lineRule="auto"/>
              <w:jc w:val="center"/>
              <w:rPr>
                <w:color w:val="000000" w:themeColor="text1"/>
                <w:lang w:val="lv-LV"/>
              </w:rPr>
            </w:pPr>
          </w:p>
          <w:p w14:paraId="2794A417" w14:textId="77777777" w:rsidR="005305CA" w:rsidRPr="00A34864" w:rsidRDefault="005305CA">
            <w:pPr>
              <w:spacing w:line="276" w:lineRule="auto"/>
              <w:jc w:val="center"/>
              <w:rPr>
                <w:color w:val="000000" w:themeColor="text1"/>
                <w:lang w:val="lv-LV"/>
              </w:rPr>
            </w:pPr>
          </w:p>
          <w:p w14:paraId="0C67D34F" w14:textId="77777777" w:rsidR="005305CA" w:rsidRPr="00A34864" w:rsidRDefault="005305CA">
            <w:pPr>
              <w:spacing w:line="276" w:lineRule="auto"/>
              <w:jc w:val="center"/>
              <w:rPr>
                <w:color w:val="000000" w:themeColor="text1"/>
                <w:lang w:val="lv-LV"/>
              </w:rPr>
            </w:pPr>
          </w:p>
          <w:p w14:paraId="06224615" w14:textId="77777777" w:rsidR="005305CA" w:rsidRPr="00A34864" w:rsidRDefault="005305CA">
            <w:pPr>
              <w:spacing w:line="276" w:lineRule="auto"/>
              <w:jc w:val="center"/>
              <w:rPr>
                <w:color w:val="000000" w:themeColor="text1"/>
                <w:lang w:val="lv-LV"/>
              </w:rPr>
            </w:pPr>
          </w:p>
          <w:p w14:paraId="6BE758EF" w14:textId="77777777" w:rsidR="005305CA" w:rsidRPr="00A34864" w:rsidRDefault="005305CA" w:rsidP="00944CA7">
            <w:pPr>
              <w:spacing w:line="276" w:lineRule="auto"/>
              <w:jc w:val="center"/>
              <w:rPr>
                <w:color w:val="000000" w:themeColor="text1"/>
                <w:lang w:val="lv-LV"/>
              </w:rPr>
            </w:pPr>
          </w:p>
          <w:p w14:paraId="254BC9B4" w14:textId="77777777" w:rsidR="005305CA" w:rsidRPr="00A34864" w:rsidRDefault="005305CA" w:rsidP="00944CA7">
            <w:pPr>
              <w:spacing w:line="276" w:lineRule="auto"/>
              <w:jc w:val="center"/>
              <w:rPr>
                <w:color w:val="000000" w:themeColor="text1"/>
                <w:lang w:val="lv-LV"/>
              </w:rPr>
            </w:pPr>
          </w:p>
          <w:p w14:paraId="6785C20C" w14:textId="77777777" w:rsidR="005305CA" w:rsidRPr="00A34864" w:rsidRDefault="005305CA" w:rsidP="00944CA7">
            <w:pPr>
              <w:spacing w:line="276" w:lineRule="auto"/>
              <w:jc w:val="center"/>
              <w:rPr>
                <w:color w:val="000000" w:themeColor="text1"/>
                <w:lang w:val="lv-LV"/>
              </w:rPr>
            </w:pPr>
          </w:p>
          <w:p w14:paraId="11724764" w14:textId="77777777" w:rsidR="005305CA" w:rsidRPr="00A34864" w:rsidRDefault="005305CA" w:rsidP="00944CA7">
            <w:pPr>
              <w:spacing w:line="276" w:lineRule="auto"/>
              <w:jc w:val="center"/>
              <w:rPr>
                <w:color w:val="000000" w:themeColor="text1"/>
                <w:lang w:val="lv-LV"/>
              </w:rPr>
            </w:pPr>
          </w:p>
          <w:p w14:paraId="6829728F" w14:textId="77777777" w:rsidR="005305CA" w:rsidRPr="00A34864" w:rsidRDefault="005305CA" w:rsidP="00944CA7">
            <w:pPr>
              <w:spacing w:line="276" w:lineRule="auto"/>
              <w:jc w:val="center"/>
              <w:rPr>
                <w:color w:val="000000" w:themeColor="text1"/>
                <w:lang w:val="lv-LV"/>
              </w:rPr>
            </w:pPr>
          </w:p>
          <w:p w14:paraId="191CD0BC" w14:textId="77777777" w:rsidR="005305CA" w:rsidRDefault="005305CA" w:rsidP="00944CA7">
            <w:pPr>
              <w:spacing w:line="276" w:lineRule="auto"/>
              <w:jc w:val="center"/>
              <w:rPr>
                <w:color w:val="000000" w:themeColor="text1"/>
                <w:lang w:val="lv-LV"/>
              </w:rPr>
            </w:pPr>
          </w:p>
          <w:p w14:paraId="0E1DB945" w14:textId="77777777" w:rsidR="00907F9A" w:rsidRPr="00A34864" w:rsidRDefault="00907F9A" w:rsidP="00944CA7">
            <w:pPr>
              <w:spacing w:line="276" w:lineRule="auto"/>
              <w:jc w:val="center"/>
              <w:rPr>
                <w:color w:val="000000" w:themeColor="text1"/>
                <w:lang w:val="lv-LV"/>
              </w:rPr>
            </w:pPr>
          </w:p>
          <w:p w14:paraId="01808EA6" w14:textId="77777777" w:rsidR="005305CA" w:rsidRPr="00A34864" w:rsidRDefault="00E530AF" w:rsidP="00944CA7">
            <w:pPr>
              <w:spacing w:line="276" w:lineRule="auto"/>
              <w:jc w:val="center"/>
              <w:rPr>
                <w:color w:val="000000" w:themeColor="text1"/>
                <w:lang w:val="lv-LV"/>
              </w:rPr>
            </w:pPr>
            <w:r w:rsidRPr="00A34864">
              <w:rPr>
                <w:color w:val="000000" w:themeColor="text1"/>
                <w:lang w:val="lv-LV"/>
              </w:rPr>
              <w:t>1 500</w:t>
            </w:r>
          </w:p>
        </w:tc>
        <w:tc>
          <w:tcPr>
            <w:tcW w:w="646" w:type="pct"/>
            <w:tcBorders>
              <w:top w:val="single" w:sz="4" w:space="0" w:color="auto"/>
              <w:left w:val="single" w:sz="6" w:space="0" w:color="auto"/>
              <w:bottom w:val="single" w:sz="6" w:space="0" w:color="auto"/>
              <w:right w:val="single" w:sz="6" w:space="0" w:color="auto"/>
            </w:tcBorders>
            <w:shd w:val="clear" w:color="auto" w:fill="auto"/>
          </w:tcPr>
          <w:p w14:paraId="123DE84B" w14:textId="586B406B" w:rsidR="005305CA" w:rsidRPr="00A34864" w:rsidRDefault="0064680F">
            <w:pPr>
              <w:spacing w:line="276" w:lineRule="auto"/>
              <w:jc w:val="center"/>
              <w:rPr>
                <w:color w:val="000000" w:themeColor="text1"/>
                <w:lang w:val="lv-LV"/>
              </w:rPr>
            </w:pPr>
            <w:r w:rsidRPr="00A34864">
              <w:rPr>
                <w:b/>
                <w:i/>
                <w:color w:val="000000" w:themeColor="text1"/>
                <w:lang w:val="lv-LV"/>
              </w:rPr>
              <w:lastRenderedPageBreak/>
              <w:t>75 393</w:t>
            </w:r>
          </w:p>
          <w:p w14:paraId="6C053978" w14:textId="77777777" w:rsidR="005305CA" w:rsidRPr="00A34864" w:rsidRDefault="005305CA">
            <w:pPr>
              <w:spacing w:line="276" w:lineRule="auto"/>
              <w:jc w:val="center"/>
              <w:rPr>
                <w:color w:val="000000" w:themeColor="text1"/>
                <w:lang w:val="lv-LV"/>
              </w:rPr>
            </w:pPr>
          </w:p>
          <w:p w14:paraId="1F7AA197" w14:textId="77777777" w:rsidR="002F4E08" w:rsidRPr="00A34864" w:rsidRDefault="002F4E08">
            <w:pPr>
              <w:spacing w:line="276" w:lineRule="auto"/>
              <w:jc w:val="center"/>
              <w:rPr>
                <w:color w:val="000000" w:themeColor="text1"/>
                <w:lang w:val="lv-LV"/>
              </w:rPr>
            </w:pPr>
          </w:p>
          <w:p w14:paraId="199EA6AB" w14:textId="77777777" w:rsidR="0064680F" w:rsidRPr="00A34864" w:rsidRDefault="0064680F">
            <w:pPr>
              <w:spacing w:line="276" w:lineRule="auto"/>
              <w:jc w:val="center"/>
              <w:rPr>
                <w:color w:val="000000" w:themeColor="text1"/>
                <w:lang w:val="lv-LV"/>
              </w:rPr>
            </w:pPr>
          </w:p>
          <w:p w14:paraId="7852766B" w14:textId="541F3973" w:rsidR="002F4E08" w:rsidRPr="00A34864" w:rsidRDefault="0064680F">
            <w:pPr>
              <w:spacing w:line="276" w:lineRule="auto"/>
              <w:jc w:val="center"/>
              <w:rPr>
                <w:color w:val="000000" w:themeColor="text1"/>
                <w:lang w:val="lv-LV"/>
              </w:rPr>
            </w:pPr>
            <w:r w:rsidRPr="00A34864">
              <w:rPr>
                <w:i/>
                <w:color w:val="000000" w:themeColor="text1"/>
                <w:lang w:val="lv-LV"/>
              </w:rPr>
              <w:t>2 058</w:t>
            </w:r>
          </w:p>
          <w:p w14:paraId="0E95F158" w14:textId="77777777" w:rsidR="002F4E08" w:rsidRPr="00A34864" w:rsidRDefault="002F4E08">
            <w:pPr>
              <w:spacing w:line="276" w:lineRule="auto"/>
              <w:jc w:val="center"/>
              <w:rPr>
                <w:color w:val="000000" w:themeColor="text1"/>
                <w:lang w:val="lv-LV"/>
              </w:rPr>
            </w:pPr>
          </w:p>
          <w:p w14:paraId="295863DC" w14:textId="77777777" w:rsidR="002F4E08" w:rsidRPr="00A34864" w:rsidRDefault="002F4E08">
            <w:pPr>
              <w:spacing w:line="276" w:lineRule="auto"/>
              <w:jc w:val="center"/>
              <w:rPr>
                <w:color w:val="000000" w:themeColor="text1"/>
                <w:lang w:val="lv-LV"/>
              </w:rPr>
            </w:pPr>
          </w:p>
          <w:p w14:paraId="3EFBACD0" w14:textId="77777777" w:rsidR="002F4E08" w:rsidRPr="00A34864" w:rsidRDefault="002F4E08">
            <w:pPr>
              <w:spacing w:line="276" w:lineRule="auto"/>
              <w:jc w:val="center"/>
              <w:rPr>
                <w:color w:val="000000" w:themeColor="text1"/>
                <w:lang w:val="lv-LV"/>
              </w:rPr>
            </w:pPr>
          </w:p>
          <w:p w14:paraId="582182C0" w14:textId="77777777" w:rsidR="002F4E08" w:rsidRPr="00A34864" w:rsidRDefault="002F4E08">
            <w:pPr>
              <w:spacing w:line="276" w:lineRule="auto"/>
              <w:jc w:val="center"/>
              <w:rPr>
                <w:color w:val="000000" w:themeColor="text1"/>
                <w:lang w:val="lv-LV"/>
              </w:rPr>
            </w:pPr>
          </w:p>
          <w:p w14:paraId="18A1DBC4" w14:textId="77777777" w:rsidR="002F4E08" w:rsidRPr="00A34864" w:rsidRDefault="002F4E08">
            <w:pPr>
              <w:spacing w:line="276" w:lineRule="auto"/>
              <w:jc w:val="center"/>
              <w:rPr>
                <w:color w:val="000000" w:themeColor="text1"/>
                <w:lang w:val="lv-LV"/>
              </w:rPr>
            </w:pPr>
          </w:p>
          <w:p w14:paraId="1478A3C8" w14:textId="77777777" w:rsidR="002F4E08" w:rsidRPr="00A34864" w:rsidRDefault="002F4E08">
            <w:pPr>
              <w:spacing w:line="276" w:lineRule="auto"/>
              <w:jc w:val="center"/>
              <w:rPr>
                <w:color w:val="000000" w:themeColor="text1"/>
                <w:lang w:val="lv-LV"/>
              </w:rPr>
            </w:pPr>
          </w:p>
          <w:p w14:paraId="732FDE42" w14:textId="77777777" w:rsidR="002F4E08" w:rsidRPr="00A34864" w:rsidRDefault="002F4E08">
            <w:pPr>
              <w:spacing w:line="276" w:lineRule="auto"/>
              <w:jc w:val="center"/>
              <w:rPr>
                <w:color w:val="000000" w:themeColor="text1"/>
                <w:lang w:val="lv-LV"/>
              </w:rPr>
            </w:pPr>
          </w:p>
          <w:p w14:paraId="0E6E896F" w14:textId="77777777" w:rsidR="002F4E08" w:rsidRPr="00A34864" w:rsidRDefault="002F4E08">
            <w:pPr>
              <w:spacing w:line="276" w:lineRule="auto"/>
              <w:jc w:val="center"/>
              <w:rPr>
                <w:color w:val="000000" w:themeColor="text1"/>
                <w:lang w:val="lv-LV"/>
              </w:rPr>
            </w:pPr>
          </w:p>
          <w:p w14:paraId="419B19C0" w14:textId="77777777" w:rsidR="002F4E08" w:rsidRPr="00A34864" w:rsidRDefault="002F4E08">
            <w:pPr>
              <w:spacing w:line="276" w:lineRule="auto"/>
              <w:jc w:val="center"/>
              <w:rPr>
                <w:color w:val="000000" w:themeColor="text1"/>
                <w:lang w:val="lv-LV"/>
              </w:rPr>
            </w:pPr>
          </w:p>
          <w:p w14:paraId="7637BDF4" w14:textId="77777777" w:rsidR="002F4E08" w:rsidRPr="00A34864" w:rsidRDefault="002F4E08">
            <w:pPr>
              <w:spacing w:line="276" w:lineRule="auto"/>
              <w:jc w:val="center"/>
              <w:rPr>
                <w:color w:val="000000" w:themeColor="text1"/>
                <w:lang w:val="lv-LV"/>
              </w:rPr>
            </w:pPr>
          </w:p>
          <w:p w14:paraId="537F265C" w14:textId="77777777" w:rsidR="002F4E08" w:rsidRPr="00A34864" w:rsidRDefault="002F4E08">
            <w:pPr>
              <w:spacing w:line="276" w:lineRule="auto"/>
              <w:jc w:val="center"/>
              <w:rPr>
                <w:color w:val="000000" w:themeColor="text1"/>
                <w:lang w:val="lv-LV"/>
              </w:rPr>
            </w:pPr>
          </w:p>
          <w:p w14:paraId="4FEF86D7" w14:textId="77777777" w:rsidR="002F4E08" w:rsidRPr="00A34864" w:rsidRDefault="002F4E08">
            <w:pPr>
              <w:spacing w:line="276" w:lineRule="auto"/>
              <w:jc w:val="center"/>
              <w:rPr>
                <w:color w:val="000000" w:themeColor="text1"/>
                <w:lang w:val="lv-LV"/>
              </w:rPr>
            </w:pPr>
          </w:p>
          <w:p w14:paraId="3314C3C4" w14:textId="77777777" w:rsidR="00C10825" w:rsidRPr="00A34864" w:rsidRDefault="00C10825">
            <w:pPr>
              <w:spacing w:line="276" w:lineRule="auto"/>
              <w:jc w:val="center"/>
              <w:rPr>
                <w:color w:val="000000" w:themeColor="text1"/>
                <w:lang w:val="lv-LV"/>
              </w:rPr>
            </w:pPr>
          </w:p>
          <w:p w14:paraId="3EA711FE" w14:textId="77777777" w:rsidR="00C10825" w:rsidRPr="00A34864" w:rsidRDefault="00C10825">
            <w:pPr>
              <w:spacing w:line="276" w:lineRule="auto"/>
              <w:jc w:val="center"/>
              <w:rPr>
                <w:color w:val="000000" w:themeColor="text1"/>
                <w:lang w:val="lv-LV"/>
              </w:rPr>
            </w:pPr>
          </w:p>
          <w:p w14:paraId="2A6A044F" w14:textId="77777777" w:rsidR="00C10825" w:rsidRPr="00A34864" w:rsidRDefault="00C10825">
            <w:pPr>
              <w:spacing w:line="276" w:lineRule="auto"/>
              <w:jc w:val="center"/>
              <w:rPr>
                <w:color w:val="000000" w:themeColor="text1"/>
                <w:lang w:val="lv-LV"/>
              </w:rPr>
            </w:pPr>
          </w:p>
          <w:p w14:paraId="667F81D3" w14:textId="77777777" w:rsidR="004F1DC8" w:rsidRPr="00A34864" w:rsidRDefault="004F1DC8">
            <w:pPr>
              <w:spacing w:line="276" w:lineRule="auto"/>
              <w:jc w:val="center"/>
              <w:rPr>
                <w:color w:val="000000" w:themeColor="text1"/>
                <w:lang w:val="lv-LV"/>
              </w:rPr>
            </w:pPr>
          </w:p>
          <w:p w14:paraId="74D54F77" w14:textId="77777777" w:rsidR="00FC0E85" w:rsidRPr="00A34864" w:rsidRDefault="00FC0E85">
            <w:pPr>
              <w:spacing w:line="276" w:lineRule="auto"/>
              <w:jc w:val="center"/>
              <w:rPr>
                <w:color w:val="000000" w:themeColor="text1"/>
                <w:lang w:val="lv-LV"/>
              </w:rPr>
            </w:pPr>
          </w:p>
          <w:p w14:paraId="3E4D0274" w14:textId="77777777" w:rsidR="00FC0E85" w:rsidRPr="00A34864" w:rsidRDefault="00FC0E85">
            <w:pPr>
              <w:spacing w:line="276" w:lineRule="auto"/>
              <w:jc w:val="center"/>
              <w:rPr>
                <w:color w:val="000000" w:themeColor="text1"/>
                <w:lang w:val="lv-LV"/>
              </w:rPr>
            </w:pPr>
          </w:p>
          <w:p w14:paraId="2B63E892" w14:textId="77777777" w:rsidR="00FC0E85" w:rsidRPr="00A34864" w:rsidRDefault="00FC0E85">
            <w:pPr>
              <w:spacing w:line="276" w:lineRule="auto"/>
              <w:jc w:val="center"/>
              <w:rPr>
                <w:color w:val="000000" w:themeColor="text1"/>
                <w:lang w:val="lv-LV"/>
              </w:rPr>
            </w:pPr>
          </w:p>
          <w:p w14:paraId="26E70647" w14:textId="7EBD94B1" w:rsidR="00FC0E85" w:rsidRPr="00A34864" w:rsidRDefault="00FC0E85" w:rsidP="00FC0E85">
            <w:pPr>
              <w:spacing w:line="276" w:lineRule="auto"/>
              <w:jc w:val="center"/>
              <w:rPr>
                <w:i/>
                <w:color w:val="000000" w:themeColor="text1"/>
                <w:lang w:val="lv-LV"/>
              </w:rPr>
            </w:pPr>
            <w:r w:rsidRPr="00A34864">
              <w:rPr>
                <w:i/>
                <w:color w:val="000000" w:themeColor="text1"/>
                <w:lang w:val="lv-LV"/>
              </w:rPr>
              <w:t>42 630</w:t>
            </w:r>
          </w:p>
          <w:p w14:paraId="26CA4917" w14:textId="77777777" w:rsidR="00C10825" w:rsidRPr="00A34864" w:rsidRDefault="00C10825">
            <w:pPr>
              <w:spacing w:line="276" w:lineRule="auto"/>
              <w:jc w:val="center"/>
              <w:rPr>
                <w:color w:val="000000" w:themeColor="text1"/>
                <w:lang w:val="lv-LV"/>
              </w:rPr>
            </w:pPr>
          </w:p>
          <w:p w14:paraId="3962B446" w14:textId="77777777" w:rsidR="00C10825" w:rsidRPr="00A34864" w:rsidRDefault="00C10825">
            <w:pPr>
              <w:spacing w:line="276" w:lineRule="auto"/>
              <w:jc w:val="center"/>
              <w:rPr>
                <w:color w:val="000000" w:themeColor="text1"/>
                <w:lang w:val="lv-LV"/>
              </w:rPr>
            </w:pPr>
          </w:p>
          <w:p w14:paraId="1AAAAEC2" w14:textId="77777777" w:rsidR="00C10825" w:rsidRPr="00A34864" w:rsidRDefault="00C10825">
            <w:pPr>
              <w:spacing w:line="276" w:lineRule="auto"/>
              <w:jc w:val="center"/>
              <w:rPr>
                <w:color w:val="000000" w:themeColor="text1"/>
                <w:lang w:val="lv-LV"/>
              </w:rPr>
            </w:pPr>
          </w:p>
          <w:p w14:paraId="20FF0D56" w14:textId="77777777" w:rsidR="00C10825" w:rsidRPr="00A34864" w:rsidRDefault="00C10825">
            <w:pPr>
              <w:spacing w:line="276" w:lineRule="auto"/>
              <w:jc w:val="center"/>
              <w:rPr>
                <w:color w:val="000000" w:themeColor="text1"/>
                <w:lang w:val="lv-LV"/>
              </w:rPr>
            </w:pPr>
          </w:p>
          <w:p w14:paraId="73AF734E" w14:textId="77777777" w:rsidR="00C10825" w:rsidRPr="00A34864" w:rsidRDefault="00C10825">
            <w:pPr>
              <w:spacing w:line="276" w:lineRule="auto"/>
              <w:jc w:val="center"/>
              <w:rPr>
                <w:color w:val="000000" w:themeColor="text1"/>
                <w:lang w:val="lv-LV"/>
              </w:rPr>
            </w:pPr>
          </w:p>
          <w:p w14:paraId="2CE77A16" w14:textId="77777777" w:rsidR="00C10825" w:rsidRPr="00A34864" w:rsidRDefault="00C10825">
            <w:pPr>
              <w:spacing w:line="276" w:lineRule="auto"/>
              <w:jc w:val="center"/>
              <w:rPr>
                <w:color w:val="000000" w:themeColor="text1"/>
                <w:lang w:val="lv-LV"/>
              </w:rPr>
            </w:pPr>
          </w:p>
          <w:p w14:paraId="4743767B" w14:textId="77777777" w:rsidR="00F95743" w:rsidRPr="00A34864" w:rsidRDefault="00F95743">
            <w:pPr>
              <w:spacing w:line="276" w:lineRule="auto"/>
              <w:jc w:val="center"/>
              <w:rPr>
                <w:color w:val="000000" w:themeColor="text1"/>
                <w:lang w:val="lv-LV"/>
              </w:rPr>
            </w:pPr>
          </w:p>
          <w:p w14:paraId="02253A62" w14:textId="77777777" w:rsidR="00F95743" w:rsidRPr="00A34864" w:rsidRDefault="00F95743">
            <w:pPr>
              <w:spacing w:line="276" w:lineRule="auto"/>
              <w:jc w:val="center"/>
              <w:rPr>
                <w:color w:val="000000" w:themeColor="text1"/>
                <w:lang w:val="lv-LV"/>
              </w:rPr>
            </w:pPr>
          </w:p>
          <w:p w14:paraId="693D7214" w14:textId="77777777" w:rsidR="00F95743" w:rsidRPr="00A34864" w:rsidRDefault="00F95743">
            <w:pPr>
              <w:spacing w:line="276" w:lineRule="auto"/>
              <w:jc w:val="center"/>
              <w:rPr>
                <w:color w:val="000000" w:themeColor="text1"/>
                <w:lang w:val="lv-LV"/>
              </w:rPr>
            </w:pPr>
          </w:p>
          <w:p w14:paraId="754E571C" w14:textId="77777777" w:rsidR="00F95743" w:rsidRPr="00A34864" w:rsidRDefault="00F95743">
            <w:pPr>
              <w:spacing w:line="276" w:lineRule="auto"/>
              <w:jc w:val="center"/>
              <w:rPr>
                <w:color w:val="000000" w:themeColor="text1"/>
                <w:lang w:val="lv-LV"/>
              </w:rPr>
            </w:pPr>
          </w:p>
          <w:p w14:paraId="5970C8F4" w14:textId="77777777" w:rsidR="00F95743" w:rsidRPr="00A34864" w:rsidRDefault="00F95743">
            <w:pPr>
              <w:spacing w:line="276" w:lineRule="auto"/>
              <w:jc w:val="center"/>
              <w:rPr>
                <w:color w:val="000000" w:themeColor="text1"/>
                <w:lang w:val="lv-LV"/>
              </w:rPr>
            </w:pPr>
          </w:p>
          <w:p w14:paraId="56DA152D" w14:textId="77777777" w:rsidR="00F95743" w:rsidRPr="00A34864" w:rsidRDefault="00F95743">
            <w:pPr>
              <w:spacing w:line="276" w:lineRule="auto"/>
              <w:jc w:val="center"/>
              <w:rPr>
                <w:color w:val="000000" w:themeColor="text1"/>
                <w:lang w:val="lv-LV"/>
              </w:rPr>
            </w:pPr>
          </w:p>
          <w:p w14:paraId="076B45B4" w14:textId="77777777" w:rsidR="00F95743" w:rsidRPr="00A34864" w:rsidRDefault="00F95743">
            <w:pPr>
              <w:spacing w:line="276" w:lineRule="auto"/>
              <w:jc w:val="center"/>
              <w:rPr>
                <w:color w:val="000000" w:themeColor="text1"/>
                <w:lang w:val="lv-LV"/>
              </w:rPr>
            </w:pPr>
          </w:p>
          <w:p w14:paraId="395DC283" w14:textId="77777777" w:rsidR="00F95743" w:rsidRPr="00A34864" w:rsidRDefault="00F95743">
            <w:pPr>
              <w:spacing w:line="276" w:lineRule="auto"/>
              <w:jc w:val="center"/>
              <w:rPr>
                <w:color w:val="000000" w:themeColor="text1"/>
                <w:lang w:val="lv-LV"/>
              </w:rPr>
            </w:pPr>
          </w:p>
          <w:p w14:paraId="55AD2D47" w14:textId="77777777" w:rsidR="00ED534B" w:rsidRPr="00A34864" w:rsidRDefault="00ED534B">
            <w:pPr>
              <w:spacing w:line="276" w:lineRule="auto"/>
              <w:jc w:val="center"/>
              <w:rPr>
                <w:color w:val="000000" w:themeColor="text1"/>
                <w:lang w:val="lv-LV"/>
              </w:rPr>
            </w:pPr>
          </w:p>
          <w:p w14:paraId="6FAED4FB" w14:textId="77777777" w:rsidR="00ED534B" w:rsidRPr="00A34864" w:rsidRDefault="00ED534B">
            <w:pPr>
              <w:spacing w:line="276" w:lineRule="auto"/>
              <w:jc w:val="center"/>
              <w:rPr>
                <w:color w:val="000000" w:themeColor="text1"/>
                <w:lang w:val="lv-LV"/>
              </w:rPr>
            </w:pPr>
          </w:p>
          <w:p w14:paraId="212D995F" w14:textId="77777777" w:rsidR="00ED534B" w:rsidRPr="00A34864" w:rsidRDefault="00ED534B">
            <w:pPr>
              <w:spacing w:line="276" w:lineRule="auto"/>
              <w:jc w:val="center"/>
              <w:rPr>
                <w:color w:val="000000" w:themeColor="text1"/>
                <w:lang w:val="lv-LV"/>
              </w:rPr>
            </w:pPr>
          </w:p>
          <w:p w14:paraId="6D619279" w14:textId="77777777" w:rsidR="00ED534B" w:rsidRPr="00A34864" w:rsidRDefault="00ED534B">
            <w:pPr>
              <w:spacing w:line="276" w:lineRule="auto"/>
              <w:jc w:val="center"/>
              <w:rPr>
                <w:color w:val="000000" w:themeColor="text1"/>
                <w:lang w:val="lv-LV"/>
              </w:rPr>
            </w:pPr>
          </w:p>
          <w:p w14:paraId="533D184D" w14:textId="77777777" w:rsidR="00ED534B" w:rsidRPr="00A34864" w:rsidRDefault="00ED534B">
            <w:pPr>
              <w:spacing w:line="276" w:lineRule="auto"/>
              <w:jc w:val="center"/>
              <w:rPr>
                <w:color w:val="000000" w:themeColor="text1"/>
                <w:lang w:val="lv-LV"/>
              </w:rPr>
            </w:pPr>
          </w:p>
          <w:p w14:paraId="69DA34D6" w14:textId="77777777" w:rsidR="00ED534B" w:rsidRPr="00A34864" w:rsidRDefault="00ED534B">
            <w:pPr>
              <w:spacing w:line="276" w:lineRule="auto"/>
              <w:jc w:val="center"/>
              <w:rPr>
                <w:color w:val="000000" w:themeColor="text1"/>
                <w:lang w:val="lv-LV"/>
              </w:rPr>
            </w:pPr>
          </w:p>
          <w:p w14:paraId="7329E109" w14:textId="77777777" w:rsidR="00ED534B" w:rsidRPr="00A34864" w:rsidRDefault="00ED534B">
            <w:pPr>
              <w:spacing w:line="276" w:lineRule="auto"/>
              <w:jc w:val="center"/>
              <w:rPr>
                <w:color w:val="000000" w:themeColor="text1"/>
                <w:lang w:val="lv-LV"/>
              </w:rPr>
            </w:pPr>
          </w:p>
          <w:p w14:paraId="28AB1AAB" w14:textId="77777777" w:rsidR="00ED534B" w:rsidRPr="00A34864" w:rsidRDefault="00ED534B">
            <w:pPr>
              <w:spacing w:line="276" w:lineRule="auto"/>
              <w:jc w:val="center"/>
              <w:rPr>
                <w:color w:val="000000" w:themeColor="text1"/>
                <w:lang w:val="lv-LV"/>
              </w:rPr>
            </w:pPr>
          </w:p>
          <w:p w14:paraId="472AEA76" w14:textId="77777777" w:rsidR="00ED534B" w:rsidRPr="00A34864" w:rsidRDefault="00ED534B">
            <w:pPr>
              <w:spacing w:line="276" w:lineRule="auto"/>
              <w:jc w:val="center"/>
              <w:rPr>
                <w:color w:val="000000" w:themeColor="text1"/>
                <w:lang w:val="lv-LV"/>
              </w:rPr>
            </w:pPr>
          </w:p>
          <w:p w14:paraId="547190A0" w14:textId="77777777" w:rsidR="00ED534B" w:rsidRPr="00A34864" w:rsidRDefault="00ED534B">
            <w:pPr>
              <w:spacing w:line="276" w:lineRule="auto"/>
              <w:jc w:val="center"/>
              <w:rPr>
                <w:color w:val="000000" w:themeColor="text1"/>
                <w:lang w:val="lv-LV"/>
              </w:rPr>
            </w:pPr>
          </w:p>
          <w:p w14:paraId="23C62936" w14:textId="77777777" w:rsidR="00ED534B" w:rsidRPr="00A34864" w:rsidRDefault="00ED534B">
            <w:pPr>
              <w:spacing w:line="276" w:lineRule="auto"/>
              <w:jc w:val="center"/>
              <w:rPr>
                <w:color w:val="000000" w:themeColor="text1"/>
                <w:lang w:val="lv-LV"/>
              </w:rPr>
            </w:pPr>
          </w:p>
          <w:p w14:paraId="0E4CB62B" w14:textId="77777777" w:rsidR="004810DC" w:rsidRPr="00A34864" w:rsidRDefault="004810DC">
            <w:pPr>
              <w:spacing w:line="276" w:lineRule="auto"/>
              <w:jc w:val="center"/>
              <w:rPr>
                <w:color w:val="000000" w:themeColor="text1"/>
                <w:lang w:val="lv-LV"/>
              </w:rPr>
            </w:pPr>
          </w:p>
          <w:p w14:paraId="2FF553E2" w14:textId="77777777" w:rsidR="004810DC" w:rsidRPr="00A34864" w:rsidRDefault="004810DC">
            <w:pPr>
              <w:spacing w:line="276" w:lineRule="auto"/>
              <w:jc w:val="center"/>
              <w:rPr>
                <w:color w:val="000000" w:themeColor="text1"/>
                <w:lang w:val="lv-LV"/>
              </w:rPr>
            </w:pPr>
          </w:p>
          <w:p w14:paraId="719FCAC8" w14:textId="77777777" w:rsidR="004810DC" w:rsidRPr="00A34864" w:rsidRDefault="004810DC">
            <w:pPr>
              <w:spacing w:line="276" w:lineRule="auto"/>
              <w:jc w:val="center"/>
              <w:rPr>
                <w:color w:val="000000" w:themeColor="text1"/>
                <w:lang w:val="lv-LV"/>
              </w:rPr>
            </w:pPr>
          </w:p>
          <w:p w14:paraId="1BB984A1" w14:textId="3A9B8B9A" w:rsidR="005305CA" w:rsidRPr="00A34864" w:rsidRDefault="005305CA">
            <w:pPr>
              <w:spacing w:line="276" w:lineRule="auto"/>
              <w:jc w:val="center"/>
              <w:rPr>
                <w:i/>
                <w:color w:val="000000" w:themeColor="text1"/>
                <w:lang w:val="lv-LV"/>
              </w:rPr>
            </w:pPr>
            <w:r w:rsidRPr="00A34864">
              <w:rPr>
                <w:i/>
                <w:color w:val="000000" w:themeColor="text1"/>
                <w:lang w:val="lv-LV"/>
              </w:rPr>
              <w:t>–</w:t>
            </w:r>
            <w:r w:rsidR="00F07E73" w:rsidRPr="00A34864">
              <w:rPr>
                <w:i/>
                <w:color w:val="000000" w:themeColor="text1"/>
                <w:lang w:val="lv-LV"/>
              </w:rPr>
              <w:t xml:space="preserve">2 </w:t>
            </w:r>
            <w:r w:rsidR="004810DC" w:rsidRPr="00A34864">
              <w:rPr>
                <w:i/>
                <w:color w:val="000000" w:themeColor="text1"/>
                <w:lang w:val="lv-LV"/>
              </w:rPr>
              <w:t>067</w:t>
            </w:r>
          </w:p>
          <w:p w14:paraId="3721C74A" w14:textId="77777777" w:rsidR="005305CA" w:rsidRPr="00A34864" w:rsidRDefault="005305CA">
            <w:pPr>
              <w:spacing w:line="276" w:lineRule="auto"/>
              <w:jc w:val="center"/>
              <w:rPr>
                <w:color w:val="000000" w:themeColor="text1"/>
                <w:lang w:val="lv-LV"/>
              </w:rPr>
            </w:pPr>
          </w:p>
          <w:p w14:paraId="25E74191" w14:textId="77777777" w:rsidR="005305CA" w:rsidRPr="00A34864" w:rsidRDefault="005305CA">
            <w:pPr>
              <w:spacing w:line="276" w:lineRule="auto"/>
              <w:jc w:val="center"/>
              <w:rPr>
                <w:color w:val="000000" w:themeColor="text1"/>
                <w:lang w:val="lv-LV"/>
              </w:rPr>
            </w:pPr>
          </w:p>
          <w:p w14:paraId="33CB2FCB" w14:textId="77777777" w:rsidR="005305CA" w:rsidRPr="00A34864" w:rsidRDefault="005305CA">
            <w:pPr>
              <w:spacing w:line="276" w:lineRule="auto"/>
              <w:jc w:val="center"/>
              <w:rPr>
                <w:color w:val="000000" w:themeColor="text1"/>
                <w:lang w:val="lv-LV"/>
              </w:rPr>
            </w:pPr>
          </w:p>
          <w:p w14:paraId="14F5499A" w14:textId="77777777" w:rsidR="005305CA" w:rsidRPr="00A34864" w:rsidRDefault="005305CA">
            <w:pPr>
              <w:spacing w:line="276" w:lineRule="auto"/>
              <w:jc w:val="center"/>
              <w:rPr>
                <w:color w:val="000000" w:themeColor="text1"/>
                <w:lang w:val="lv-LV"/>
              </w:rPr>
            </w:pPr>
          </w:p>
          <w:p w14:paraId="21155E08" w14:textId="77777777" w:rsidR="005305CA" w:rsidRPr="00A34864" w:rsidRDefault="005305CA">
            <w:pPr>
              <w:spacing w:line="276" w:lineRule="auto"/>
              <w:jc w:val="center"/>
              <w:rPr>
                <w:color w:val="000000" w:themeColor="text1"/>
                <w:lang w:val="lv-LV"/>
              </w:rPr>
            </w:pPr>
          </w:p>
          <w:p w14:paraId="4BC51E84" w14:textId="77777777" w:rsidR="005305CA" w:rsidRPr="00A34864" w:rsidRDefault="005305CA">
            <w:pPr>
              <w:spacing w:line="276" w:lineRule="auto"/>
              <w:jc w:val="center"/>
              <w:rPr>
                <w:color w:val="000000" w:themeColor="text1"/>
                <w:lang w:val="lv-LV"/>
              </w:rPr>
            </w:pPr>
          </w:p>
          <w:p w14:paraId="64307DFA" w14:textId="77777777" w:rsidR="005305CA" w:rsidRPr="00A34864" w:rsidRDefault="005305CA">
            <w:pPr>
              <w:spacing w:line="276" w:lineRule="auto"/>
              <w:jc w:val="center"/>
              <w:rPr>
                <w:color w:val="000000" w:themeColor="text1"/>
                <w:lang w:val="lv-LV"/>
              </w:rPr>
            </w:pPr>
          </w:p>
          <w:p w14:paraId="335DB95C" w14:textId="77777777" w:rsidR="005305CA" w:rsidRPr="00A34864" w:rsidRDefault="005305CA">
            <w:pPr>
              <w:spacing w:line="276" w:lineRule="auto"/>
              <w:jc w:val="center"/>
              <w:rPr>
                <w:color w:val="000000" w:themeColor="text1"/>
                <w:lang w:val="lv-LV"/>
              </w:rPr>
            </w:pPr>
          </w:p>
          <w:p w14:paraId="2D9CDA96" w14:textId="77777777" w:rsidR="005305CA" w:rsidRPr="00A34864" w:rsidRDefault="005305CA">
            <w:pPr>
              <w:spacing w:line="276" w:lineRule="auto"/>
              <w:jc w:val="center"/>
              <w:rPr>
                <w:color w:val="000000" w:themeColor="text1"/>
                <w:lang w:val="lv-LV"/>
              </w:rPr>
            </w:pPr>
          </w:p>
          <w:p w14:paraId="757A7000" w14:textId="77777777" w:rsidR="005305CA" w:rsidRPr="00A34864" w:rsidRDefault="005305CA">
            <w:pPr>
              <w:spacing w:line="276" w:lineRule="auto"/>
              <w:jc w:val="center"/>
              <w:rPr>
                <w:color w:val="000000" w:themeColor="text1"/>
                <w:lang w:val="lv-LV"/>
              </w:rPr>
            </w:pPr>
          </w:p>
          <w:p w14:paraId="7527A316" w14:textId="77777777" w:rsidR="005305CA" w:rsidRPr="00A34864" w:rsidRDefault="005305CA">
            <w:pPr>
              <w:spacing w:line="276" w:lineRule="auto"/>
              <w:jc w:val="center"/>
              <w:rPr>
                <w:color w:val="000000" w:themeColor="text1"/>
                <w:lang w:val="lv-LV"/>
              </w:rPr>
            </w:pPr>
          </w:p>
          <w:p w14:paraId="0CA88333" w14:textId="77777777" w:rsidR="005305CA" w:rsidRPr="00A34864" w:rsidRDefault="005305CA">
            <w:pPr>
              <w:spacing w:line="276" w:lineRule="auto"/>
              <w:jc w:val="center"/>
              <w:rPr>
                <w:color w:val="000000" w:themeColor="text1"/>
                <w:lang w:val="lv-LV"/>
              </w:rPr>
            </w:pPr>
          </w:p>
          <w:p w14:paraId="37BDE6E9" w14:textId="77777777" w:rsidR="005305CA" w:rsidRPr="00A34864" w:rsidRDefault="005305CA">
            <w:pPr>
              <w:spacing w:line="276" w:lineRule="auto"/>
              <w:jc w:val="center"/>
              <w:rPr>
                <w:color w:val="000000" w:themeColor="text1"/>
                <w:lang w:val="lv-LV"/>
              </w:rPr>
            </w:pPr>
          </w:p>
          <w:p w14:paraId="0B505901" w14:textId="77777777" w:rsidR="005305CA" w:rsidRPr="00A34864" w:rsidRDefault="005305CA">
            <w:pPr>
              <w:spacing w:line="276" w:lineRule="auto"/>
              <w:jc w:val="center"/>
              <w:rPr>
                <w:color w:val="000000" w:themeColor="text1"/>
                <w:lang w:val="lv-LV"/>
              </w:rPr>
            </w:pPr>
          </w:p>
          <w:p w14:paraId="3A52F9AA" w14:textId="77777777" w:rsidR="005305CA" w:rsidRPr="00A34864" w:rsidRDefault="005305CA">
            <w:pPr>
              <w:spacing w:line="276" w:lineRule="auto"/>
              <w:jc w:val="center"/>
              <w:rPr>
                <w:color w:val="000000" w:themeColor="text1"/>
                <w:lang w:val="lv-LV"/>
              </w:rPr>
            </w:pPr>
          </w:p>
          <w:p w14:paraId="67612E85" w14:textId="77777777" w:rsidR="004F1DC8" w:rsidRPr="00A34864" w:rsidRDefault="004F1DC8">
            <w:pPr>
              <w:spacing w:line="276" w:lineRule="auto"/>
              <w:jc w:val="center"/>
              <w:rPr>
                <w:color w:val="000000" w:themeColor="text1"/>
                <w:lang w:val="lv-LV"/>
              </w:rPr>
            </w:pPr>
          </w:p>
          <w:p w14:paraId="1C40BB1D" w14:textId="4DE29213" w:rsidR="00F95743" w:rsidRPr="00A34864" w:rsidRDefault="00F95743" w:rsidP="00F95743">
            <w:pPr>
              <w:spacing w:line="276" w:lineRule="auto"/>
              <w:jc w:val="center"/>
              <w:rPr>
                <w:i/>
                <w:color w:val="000000" w:themeColor="text1"/>
                <w:lang w:val="lv-LV"/>
              </w:rPr>
            </w:pPr>
            <w:r w:rsidRPr="00A34864">
              <w:rPr>
                <w:i/>
                <w:color w:val="000000" w:themeColor="text1"/>
                <w:lang w:val="lv-LV"/>
              </w:rPr>
              <w:t>1 </w:t>
            </w:r>
            <w:r w:rsidR="0076308F" w:rsidRPr="00A34864">
              <w:rPr>
                <w:i/>
                <w:color w:val="000000" w:themeColor="text1"/>
                <w:lang w:val="lv-LV"/>
              </w:rPr>
              <w:t>750</w:t>
            </w:r>
          </w:p>
          <w:p w14:paraId="7A56FE87" w14:textId="77777777" w:rsidR="005305CA" w:rsidRPr="00A34864" w:rsidRDefault="005305CA">
            <w:pPr>
              <w:spacing w:line="276" w:lineRule="auto"/>
              <w:jc w:val="center"/>
              <w:rPr>
                <w:color w:val="000000" w:themeColor="text1"/>
                <w:lang w:val="lv-LV"/>
              </w:rPr>
            </w:pPr>
          </w:p>
          <w:p w14:paraId="766F8DAE" w14:textId="77777777" w:rsidR="005305CA" w:rsidRPr="00A34864" w:rsidRDefault="005305CA">
            <w:pPr>
              <w:spacing w:line="276" w:lineRule="auto"/>
              <w:jc w:val="center"/>
              <w:rPr>
                <w:color w:val="000000" w:themeColor="text1"/>
                <w:lang w:val="lv-LV"/>
              </w:rPr>
            </w:pPr>
          </w:p>
          <w:p w14:paraId="309B4A2B" w14:textId="77777777" w:rsidR="005305CA" w:rsidRPr="00A34864" w:rsidRDefault="005305CA">
            <w:pPr>
              <w:spacing w:line="276" w:lineRule="auto"/>
              <w:jc w:val="center"/>
              <w:rPr>
                <w:color w:val="000000" w:themeColor="text1"/>
                <w:lang w:val="lv-LV"/>
              </w:rPr>
            </w:pPr>
          </w:p>
          <w:p w14:paraId="50064540" w14:textId="77777777" w:rsidR="005305CA" w:rsidRPr="00A34864" w:rsidRDefault="005305CA">
            <w:pPr>
              <w:spacing w:line="276" w:lineRule="auto"/>
              <w:jc w:val="center"/>
              <w:rPr>
                <w:color w:val="000000" w:themeColor="text1"/>
                <w:lang w:val="lv-LV"/>
              </w:rPr>
            </w:pPr>
          </w:p>
          <w:p w14:paraId="1B9B8D7B" w14:textId="77777777" w:rsidR="005305CA" w:rsidRPr="00A34864" w:rsidRDefault="005305CA">
            <w:pPr>
              <w:spacing w:line="276" w:lineRule="auto"/>
              <w:jc w:val="center"/>
              <w:rPr>
                <w:color w:val="000000" w:themeColor="text1"/>
                <w:lang w:val="lv-LV"/>
              </w:rPr>
            </w:pPr>
          </w:p>
          <w:p w14:paraId="201D5CDF" w14:textId="76C1DEC4" w:rsidR="005305CA" w:rsidRPr="00A34864" w:rsidRDefault="0076308F">
            <w:pPr>
              <w:spacing w:line="276" w:lineRule="auto"/>
              <w:jc w:val="center"/>
              <w:rPr>
                <w:i/>
                <w:color w:val="000000" w:themeColor="text1"/>
                <w:lang w:val="lv-LV"/>
              </w:rPr>
            </w:pPr>
            <w:r w:rsidRPr="00A34864">
              <w:rPr>
                <w:i/>
                <w:color w:val="000000" w:themeColor="text1"/>
                <w:lang w:val="lv-LV"/>
              </w:rPr>
              <w:t>31</w:t>
            </w:r>
            <w:r w:rsidR="005305CA" w:rsidRPr="00A34864">
              <w:rPr>
                <w:i/>
                <w:color w:val="000000" w:themeColor="text1"/>
                <w:lang w:val="lv-LV"/>
              </w:rPr>
              <w:t> </w:t>
            </w:r>
            <w:r w:rsidRPr="00A34864">
              <w:rPr>
                <w:i/>
                <w:color w:val="000000" w:themeColor="text1"/>
                <w:lang w:val="lv-LV"/>
              </w:rPr>
              <w:t>0</w:t>
            </w:r>
            <w:r w:rsidR="005305CA" w:rsidRPr="00A34864">
              <w:rPr>
                <w:i/>
                <w:color w:val="000000" w:themeColor="text1"/>
                <w:lang w:val="lv-LV"/>
              </w:rPr>
              <w:t>22</w:t>
            </w:r>
          </w:p>
          <w:p w14:paraId="2180A491" w14:textId="77777777" w:rsidR="005305CA" w:rsidRPr="00A34864" w:rsidRDefault="005305CA">
            <w:pPr>
              <w:spacing w:line="276" w:lineRule="auto"/>
              <w:jc w:val="center"/>
              <w:rPr>
                <w:color w:val="000000" w:themeColor="text1"/>
                <w:lang w:val="lv-LV"/>
              </w:rPr>
            </w:pPr>
          </w:p>
          <w:p w14:paraId="5F360213" w14:textId="77777777" w:rsidR="005305CA" w:rsidRPr="00A34864" w:rsidRDefault="005305CA">
            <w:pPr>
              <w:spacing w:line="276" w:lineRule="auto"/>
              <w:jc w:val="center"/>
              <w:rPr>
                <w:color w:val="000000" w:themeColor="text1"/>
                <w:lang w:val="lv-LV"/>
              </w:rPr>
            </w:pPr>
          </w:p>
          <w:p w14:paraId="35FA83F8" w14:textId="77777777" w:rsidR="005305CA" w:rsidRPr="00A34864" w:rsidRDefault="005305CA">
            <w:pPr>
              <w:spacing w:line="276" w:lineRule="auto"/>
              <w:jc w:val="center"/>
              <w:rPr>
                <w:color w:val="000000" w:themeColor="text1"/>
                <w:lang w:val="lv-LV"/>
              </w:rPr>
            </w:pPr>
          </w:p>
          <w:p w14:paraId="66A59E9A" w14:textId="77777777" w:rsidR="005305CA" w:rsidRPr="00A34864" w:rsidRDefault="005305CA">
            <w:pPr>
              <w:spacing w:line="276" w:lineRule="auto"/>
              <w:jc w:val="center"/>
              <w:rPr>
                <w:color w:val="000000" w:themeColor="text1"/>
                <w:lang w:val="lv-LV"/>
              </w:rPr>
            </w:pPr>
          </w:p>
          <w:p w14:paraId="7AC26E28" w14:textId="41B77145" w:rsidR="005305CA" w:rsidRPr="00A34864" w:rsidRDefault="00E530AF">
            <w:pPr>
              <w:spacing w:line="276" w:lineRule="auto"/>
              <w:jc w:val="center"/>
              <w:rPr>
                <w:color w:val="000000" w:themeColor="text1"/>
                <w:lang w:val="lv-LV"/>
              </w:rPr>
            </w:pPr>
            <w:r w:rsidRPr="00A34864">
              <w:rPr>
                <w:color w:val="000000" w:themeColor="text1"/>
                <w:lang w:val="lv-LV"/>
              </w:rPr>
              <w:t>2</w:t>
            </w:r>
            <w:r w:rsidR="0076308F" w:rsidRPr="00A34864">
              <w:rPr>
                <w:color w:val="000000" w:themeColor="text1"/>
                <w:lang w:val="lv-LV"/>
              </w:rPr>
              <w:t>9</w:t>
            </w:r>
            <w:r w:rsidRPr="00A34864">
              <w:rPr>
                <w:color w:val="000000" w:themeColor="text1"/>
                <w:lang w:val="lv-LV"/>
              </w:rPr>
              <w:t xml:space="preserve"> </w:t>
            </w:r>
            <w:r w:rsidR="0076308F" w:rsidRPr="00A34864">
              <w:rPr>
                <w:color w:val="000000" w:themeColor="text1"/>
                <w:lang w:val="lv-LV"/>
              </w:rPr>
              <w:t>5</w:t>
            </w:r>
            <w:r w:rsidRPr="00A34864">
              <w:rPr>
                <w:color w:val="000000" w:themeColor="text1"/>
                <w:lang w:val="lv-LV"/>
              </w:rPr>
              <w:t>22</w:t>
            </w:r>
          </w:p>
          <w:p w14:paraId="1008EA2C" w14:textId="77777777" w:rsidR="005305CA" w:rsidRPr="00A34864" w:rsidRDefault="005305CA">
            <w:pPr>
              <w:spacing w:line="276" w:lineRule="auto"/>
              <w:jc w:val="center"/>
              <w:rPr>
                <w:color w:val="000000" w:themeColor="text1"/>
                <w:lang w:val="lv-LV"/>
              </w:rPr>
            </w:pPr>
          </w:p>
          <w:p w14:paraId="410C545B" w14:textId="77777777" w:rsidR="005305CA" w:rsidRPr="00A34864" w:rsidRDefault="005305CA">
            <w:pPr>
              <w:spacing w:line="276" w:lineRule="auto"/>
              <w:jc w:val="center"/>
              <w:rPr>
                <w:color w:val="000000" w:themeColor="text1"/>
                <w:lang w:val="lv-LV"/>
              </w:rPr>
            </w:pPr>
          </w:p>
          <w:p w14:paraId="110CEDA5" w14:textId="77777777" w:rsidR="005305CA" w:rsidRPr="00A34864" w:rsidRDefault="005305CA">
            <w:pPr>
              <w:spacing w:line="276" w:lineRule="auto"/>
              <w:jc w:val="center"/>
              <w:rPr>
                <w:color w:val="000000" w:themeColor="text1"/>
                <w:lang w:val="lv-LV"/>
              </w:rPr>
            </w:pPr>
          </w:p>
          <w:p w14:paraId="38058A77" w14:textId="77777777" w:rsidR="005305CA" w:rsidRPr="00A34864" w:rsidRDefault="005305CA">
            <w:pPr>
              <w:spacing w:line="276" w:lineRule="auto"/>
              <w:jc w:val="center"/>
              <w:rPr>
                <w:color w:val="000000" w:themeColor="text1"/>
                <w:lang w:val="lv-LV"/>
              </w:rPr>
            </w:pPr>
          </w:p>
          <w:p w14:paraId="479DC18F" w14:textId="77777777" w:rsidR="005305CA" w:rsidRPr="00A34864" w:rsidRDefault="005305CA">
            <w:pPr>
              <w:spacing w:line="276" w:lineRule="auto"/>
              <w:jc w:val="center"/>
              <w:rPr>
                <w:color w:val="000000" w:themeColor="text1"/>
                <w:lang w:val="lv-LV"/>
              </w:rPr>
            </w:pPr>
          </w:p>
          <w:p w14:paraId="0A176BFC" w14:textId="77777777" w:rsidR="005305CA" w:rsidRPr="00A34864" w:rsidRDefault="005305CA">
            <w:pPr>
              <w:spacing w:line="276" w:lineRule="auto"/>
              <w:jc w:val="center"/>
              <w:rPr>
                <w:color w:val="000000" w:themeColor="text1"/>
                <w:lang w:val="lv-LV"/>
              </w:rPr>
            </w:pPr>
          </w:p>
          <w:p w14:paraId="3F965EA4" w14:textId="77777777" w:rsidR="005305CA" w:rsidRPr="00A34864" w:rsidRDefault="005305CA">
            <w:pPr>
              <w:spacing w:line="276" w:lineRule="auto"/>
              <w:jc w:val="center"/>
              <w:rPr>
                <w:color w:val="000000" w:themeColor="text1"/>
                <w:lang w:val="lv-LV"/>
              </w:rPr>
            </w:pPr>
          </w:p>
          <w:p w14:paraId="06B986FC" w14:textId="77777777" w:rsidR="005305CA" w:rsidRPr="00A34864" w:rsidRDefault="005305CA">
            <w:pPr>
              <w:spacing w:line="276" w:lineRule="auto"/>
              <w:jc w:val="center"/>
              <w:rPr>
                <w:color w:val="000000" w:themeColor="text1"/>
                <w:lang w:val="lv-LV"/>
              </w:rPr>
            </w:pPr>
          </w:p>
          <w:p w14:paraId="167C1704" w14:textId="77777777" w:rsidR="005305CA" w:rsidRPr="00A34864" w:rsidRDefault="005305CA">
            <w:pPr>
              <w:spacing w:line="276" w:lineRule="auto"/>
              <w:jc w:val="center"/>
              <w:rPr>
                <w:color w:val="000000" w:themeColor="text1"/>
                <w:lang w:val="lv-LV"/>
              </w:rPr>
            </w:pPr>
          </w:p>
          <w:p w14:paraId="318BA109" w14:textId="77777777" w:rsidR="005305CA" w:rsidRPr="00A34864" w:rsidRDefault="005305CA">
            <w:pPr>
              <w:spacing w:line="276" w:lineRule="auto"/>
              <w:jc w:val="center"/>
              <w:rPr>
                <w:color w:val="000000" w:themeColor="text1"/>
                <w:lang w:val="lv-LV"/>
              </w:rPr>
            </w:pPr>
          </w:p>
          <w:p w14:paraId="54ADB308" w14:textId="77777777" w:rsidR="005305CA" w:rsidRPr="00A34864" w:rsidRDefault="005305CA">
            <w:pPr>
              <w:spacing w:line="276" w:lineRule="auto"/>
              <w:jc w:val="center"/>
              <w:rPr>
                <w:color w:val="000000" w:themeColor="text1"/>
                <w:lang w:val="lv-LV"/>
              </w:rPr>
            </w:pPr>
          </w:p>
          <w:p w14:paraId="26BA0ECD" w14:textId="77777777" w:rsidR="005305CA" w:rsidRPr="00A34864" w:rsidRDefault="005305CA">
            <w:pPr>
              <w:spacing w:line="276" w:lineRule="auto"/>
              <w:jc w:val="center"/>
              <w:rPr>
                <w:color w:val="000000" w:themeColor="text1"/>
                <w:lang w:val="lv-LV"/>
              </w:rPr>
            </w:pPr>
          </w:p>
          <w:p w14:paraId="4AD6A098" w14:textId="77777777" w:rsidR="005305CA" w:rsidRPr="00A34864" w:rsidRDefault="005305CA">
            <w:pPr>
              <w:spacing w:line="276" w:lineRule="auto"/>
              <w:jc w:val="center"/>
              <w:rPr>
                <w:color w:val="000000" w:themeColor="text1"/>
                <w:lang w:val="lv-LV"/>
              </w:rPr>
            </w:pPr>
          </w:p>
          <w:p w14:paraId="26DBC40F" w14:textId="77777777" w:rsidR="005305CA" w:rsidRPr="00A34864" w:rsidRDefault="005305CA">
            <w:pPr>
              <w:spacing w:line="276" w:lineRule="auto"/>
              <w:jc w:val="center"/>
              <w:rPr>
                <w:color w:val="000000" w:themeColor="text1"/>
                <w:lang w:val="lv-LV"/>
              </w:rPr>
            </w:pPr>
          </w:p>
          <w:p w14:paraId="57FD28F2" w14:textId="77777777" w:rsidR="005305CA" w:rsidRPr="00A34864" w:rsidRDefault="005305CA">
            <w:pPr>
              <w:spacing w:line="276" w:lineRule="auto"/>
              <w:jc w:val="center"/>
              <w:rPr>
                <w:color w:val="000000" w:themeColor="text1"/>
                <w:lang w:val="lv-LV"/>
              </w:rPr>
            </w:pPr>
          </w:p>
          <w:p w14:paraId="2618C048" w14:textId="77777777" w:rsidR="005305CA" w:rsidRPr="00A34864" w:rsidRDefault="005305CA">
            <w:pPr>
              <w:spacing w:line="276" w:lineRule="auto"/>
              <w:jc w:val="center"/>
              <w:rPr>
                <w:color w:val="000000" w:themeColor="text1"/>
                <w:lang w:val="lv-LV"/>
              </w:rPr>
            </w:pPr>
          </w:p>
          <w:p w14:paraId="1E954102" w14:textId="77777777" w:rsidR="005305CA" w:rsidRPr="00A34864" w:rsidRDefault="005305CA" w:rsidP="00944CA7">
            <w:pPr>
              <w:spacing w:line="276" w:lineRule="auto"/>
              <w:jc w:val="center"/>
              <w:rPr>
                <w:color w:val="000000" w:themeColor="text1"/>
                <w:lang w:val="lv-LV"/>
              </w:rPr>
            </w:pPr>
          </w:p>
          <w:p w14:paraId="5EEB9BB4" w14:textId="77777777" w:rsidR="005305CA" w:rsidRPr="00A34864" w:rsidRDefault="005305CA" w:rsidP="00944CA7">
            <w:pPr>
              <w:spacing w:line="276" w:lineRule="auto"/>
              <w:jc w:val="center"/>
              <w:rPr>
                <w:color w:val="000000" w:themeColor="text1"/>
                <w:lang w:val="lv-LV"/>
              </w:rPr>
            </w:pPr>
          </w:p>
          <w:p w14:paraId="0FC12827" w14:textId="77777777" w:rsidR="005305CA" w:rsidRPr="00A34864" w:rsidRDefault="005305CA" w:rsidP="00944CA7">
            <w:pPr>
              <w:spacing w:line="276" w:lineRule="auto"/>
              <w:jc w:val="center"/>
              <w:rPr>
                <w:color w:val="000000" w:themeColor="text1"/>
                <w:lang w:val="lv-LV"/>
              </w:rPr>
            </w:pPr>
          </w:p>
          <w:p w14:paraId="002E18E5" w14:textId="77777777" w:rsidR="005305CA" w:rsidRPr="00A34864" w:rsidRDefault="005305CA" w:rsidP="00944CA7">
            <w:pPr>
              <w:spacing w:line="276" w:lineRule="auto"/>
              <w:jc w:val="center"/>
              <w:rPr>
                <w:color w:val="000000" w:themeColor="text1"/>
                <w:lang w:val="lv-LV"/>
              </w:rPr>
            </w:pPr>
          </w:p>
          <w:p w14:paraId="037DA991" w14:textId="77777777" w:rsidR="005305CA" w:rsidRDefault="005305CA" w:rsidP="00944CA7">
            <w:pPr>
              <w:spacing w:line="276" w:lineRule="auto"/>
              <w:jc w:val="center"/>
              <w:rPr>
                <w:color w:val="000000" w:themeColor="text1"/>
                <w:lang w:val="lv-LV"/>
              </w:rPr>
            </w:pPr>
          </w:p>
          <w:p w14:paraId="2559501A" w14:textId="77777777" w:rsidR="00907F9A" w:rsidRPr="00A34864" w:rsidRDefault="00907F9A" w:rsidP="00944CA7">
            <w:pPr>
              <w:spacing w:line="276" w:lineRule="auto"/>
              <w:jc w:val="center"/>
              <w:rPr>
                <w:color w:val="000000" w:themeColor="text1"/>
                <w:lang w:val="lv-LV"/>
              </w:rPr>
            </w:pPr>
          </w:p>
          <w:p w14:paraId="06DEBEC7" w14:textId="77777777" w:rsidR="005305CA" w:rsidRPr="00A34864" w:rsidRDefault="00E530AF" w:rsidP="00944CA7">
            <w:pPr>
              <w:spacing w:line="276" w:lineRule="auto"/>
              <w:jc w:val="center"/>
              <w:rPr>
                <w:color w:val="000000" w:themeColor="text1"/>
                <w:lang w:val="lv-LV"/>
              </w:rPr>
            </w:pPr>
            <w:r w:rsidRPr="00A34864">
              <w:rPr>
                <w:color w:val="000000" w:themeColor="text1"/>
                <w:lang w:val="lv-LV"/>
              </w:rPr>
              <w:t>1 500</w:t>
            </w:r>
          </w:p>
        </w:tc>
      </w:tr>
      <w:tr w:rsidR="005305CA" w14:paraId="4E925697" w14:textId="77777777" w:rsidTr="0058357C">
        <w:trPr>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611BFC6C" w14:textId="77777777" w:rsidR="005305CA" w:rsidRPr="00896579" w:rsidRDefault="005305CA">
            <w:pPr>
              <w:pStyle w:val="Sarakstarindkopa1"/>
              <w:spacing w:after="0" w:line="240" w:lineRule="auto"/>
              <w:ind w:left="0"/>
              <w:jc w:val="both"/>
              <w:rPr>
                <w:rFonts w:ascii="Times New Roman" w:hAnsi="Times New Roman"/>
                <w:sz w:val="24"/>
                <w:szCs w:val="24"/>
                <w:lang w:val="lv-LV"/>
              </w:rPr>
            </w:pPr>
            <w:r w:rsidRPr="00896579">
              <w:rPr>
                <w:rFonts w:ascii="Times New Roman" w:hAnsi="Times New Roman"/>
                <w:b/>
                <w:color w:val="000000" w:themeColor="text1"/>
                <w:sz w:val="24"/>
                <w:szCs w:val="24"/>
                <w:lang w:val="lv-LV"/>
              </w:rPr>
              <w:lastRenderedPageBreak/>
              <w:t xml:space="preserve">6.3. </w:t>
            </w:r>
            <w:r w:rsidRPr="00896579">
              <w:rPr>
                <w:rFonts w:ascii="Times New Roman" w:hAnsi="Times New Roman"/>
                <w:color w:val="000000" w:themeColor="text1"/>
                <w:sz w:val="24"/>
                <w:szCs w:val="24"/>
                <w:lang w:val="lv-LV"/>
              </w:rPr>
              <w:t xml:space="preserve">Detalizēts ieņēmumu un izdevumu aprēķins: </w:t>
            </w:r>
          </w:p>
        </w:tc>
        <w:tc>
          <w:tcPr>
            <w:tcW w:w="3522" w:type="pct"/>
            <w:gridSpan w:val="5"/>
            <w:tcBorders>
              <w:top w:val="single" w:sz="6" w:space="0" w:color="auto"/>
              <w:left w:val="single" w:sz="6" w:space="0" w:color="auto"/>
              <w:bottom w:val="single" w:sz="6" w:space="0" w:color="auto"/>
              <w:right w:val="single" w:sz="6" w:space="0" w:color="auto"/>
            </w:tcBorders>
            <w:hideMark/>
          </w:tcPr>
          <w:p w14:paraId="09AFA560" w14:textId="77777777" w:rsidR="005305CA" w:rsidRPr="00896579" w:rsidRDefault="005305CA" w:rsidP="009F71C1">
            <w:pPr>
              <w:jc w:val="both"/>
              <w:rPr>
                <w:color w:val="000000" w:themeColor="text1"/>
                <w:lang w:val="lv-LV"/>
              </w:rPr>
            </w:pPr>
            <w:r w:rsidRPr="00896579">
              <w:rPr>
                <w:color w:val="000000" w:themeColor="text1"/>
                <w:lang w:val="lv-LV"/>
              </w:rPr>
              <w:t xml:space="preserve">1. </w:t>
            </w:r>
            <w:r w:rsidR="00E530AF" w:rsidRPr="00165411">
              <w:rPr>
                <w:color w:val="000000" w:themeColor="text1"/>
                <w:lang w:val="lv-LV"/>
              </w:rPr>
              <w:t xml:space="preserve">Valsts nodeva </w:t>
            </w:r>
            <w:r w:rsidR="00E530AF" w:rsidRPr="00165411">
              <w:rPr>
                <w:lang w:val="lv-LV"/>
              </w:rPr>
              <w:t>par Eiropas Ekonomikas zonas valstīs ražota uztura bagātinātāja reģistrāciju</w:t>
            </w:r>
            <w:r w:rsidRPr="00896579">
              <w:rPr>
                <w:color w:val="000000" w:themeColor="text1"/>
                <w:lang w:val="lv-LV"/>
              </w:rPr>
              <w:t>:</w:t>
            </w:r>
          </w:p>
          <w:p w14:paraId="3267FF7C" w14:textId="02A9C300" w:rsidR="005305CA" w:rsidRPr="00165411" w:rsidRDefault="005305CA" w:rsidP="009F71C1">
            <w:pPr>
              <w:jc w:val="both"/>
              <w:rPr>
                <w:color w:val="000000" w:themeColor="text1"/>
                <w:lang w:val="lv-LV"/>
              </w:rPr>
            </w:pPr>
            <w:r w:rsidRPr="00165411">
              <w:rPr>
                <w:color w:val="000000" w:themeColor="text1"/>
                <w:lang w:val="lv-LV"/>
              </w:rPr>
              <w:lastRenderedPageBreak/>
              <w:t>1.1. pakalpojuma sniegšanā iesaistīto speciālistu atlīdzība uz vienu pakalpojuma vienību: </w:t>
            </w:r>
            <w:r w:rsidR="00E530AF" w:rsidRPr="00165411">
              <w:rPr>
                <w:color w:val="000000" w:themeColor="text1"/>
                <w:lang w:val="lv-LV"/>
              </w:rPr>
              <w:t>1</w:t>
            </w:r>
            <w:r w:rsidR="00B952C5">
              <w:rPr>
                <w:color w:val="000000" w:themeColor="text1"/>
                <w:lang w:val="lv-LV"/>
              </w:rPr>
              <w:t>0</w:t>
            </w:r>
            <w:r w:rsidRPr="00165411">
              <w:rPr>
                <w:color w:val="000000" w:themeColor="text1"/>
                <w:lang w:val="lv-LV"/>
              </w:rPr>
              <w:t xml:space="preserve"> st. x 8,48 EUR/st. = EUR </w:t>
            </w:r>
            <w:r w:rsidR="00B952C5">
              <w:rPr>
                <w:color w:val="000000" w:themeColor="text1"/>
                <w:lang w:val="lv-LV"/>
              </w:rPr>
              <w:t>84</w:t>
            </w:r>
            <w:r w:rsidR="00E530AF" w:rsidRPr="00165411">
              <w:rPr>
                <w:color w:val="000000" w:themeColor="text1"/>
                <w:lang w:val="lv-LV"/>
              </w:rPr>
              <w:t>,</w:t>
            </w:r>
            <w:r w:rsidR="00B952C5">
              <w:rPr>
                <w:color w:val="000000" w:themeColor="text1"/>
                <w:lang w:val="lv-LV"/>
              </w:rPr>
              <w:t>80</w:t>
            </w:r>
            <w:r w:rsidRPr="00165411">
              <w:rPr>
                <w:color w:val="000000" w:themeColor="text1"/>
                <w:lang w:val="lv-LV"/>
              </w:rPr>
              <w:t>;</w:t>
            </w:r>
          </w:p>
          <w:p w14:paraId="5AC106F2" w14:textId="77777777" w:rsidR="005305CA" w:rsidRPr="00165411" w:rsidRDefault="005305CA" w:rsidP="009F71C1">
            <w:pPr>
              <w:jc w:val="both"/>
              <w:rPr>
                <w:color w:val="000000" w:themeColor="text1"/>
                <w:lang w:val="lv-LV"/>
              </w:rPr>
            </w:pPr>
            <w:r w:rsidRPr="00165411">
              <w:rPr>
                <w:color w:val="000000" w:themeColor="text1"/>
                <w:lang w:val="lv-LV"/>
              </w:rPr>
              <w:t>1.2. tiešās izmaksas, kas saistītas ar pakalpojuma sniegšanu uz vienu pakalpojuma vienību (materiālu izmaksas): EUR 0,84;</w:t>
            </w:r>
          </w:p>
          <w:p w14:paraId="3A345605" w14:textId="25C18BA3" w:rsidR="005305CA" w:rsidRPr="00165411" w:rsidRDefault="005305CA" w:rsidP="009F71C1">
            <w:pPr>
              <w:jc w:val="both"/>
              <w:rPr>
                <w:color w:val="000000" w:themeColor="text1"/>
                <w:lang w:val="lv-LV"/>
              </w:rPr>
            </w:pPr>
            <w:r w:rsidRPr="00165411">
              <w:rPr>
                <w:color w:val="000000" w:themeColor="text1"/>
                <w:lang w:val="lv-LV"/>
              </w:rPr>
              <w:t xml:space="preserve">1.3. netiešās izmaksas, (izdevumi komandējumiem; sakaru, telpu uzturēšanas pakalpojumiem, administratīvās izmaksas, pamatlīdzekļu nolietojums u.c. izmaksas), kas saistītas ar pakalpojuma sniegšanu uz vienu pakalpojuma vienību: EUR </w:t>
            </w:r>
            <w:r w:rsidR="0085661C">
              <w:rPr>
                <w:color w:val="000000" w:themeColor="text1"/>
                <w:lang w:val="lv-LV"/>
              </w:rPr>
              <w:t>39</w:t>
            </w:r>
            <w:r w:rsidR="006219F1" w:rsidRPr="00165411">
              <w:rPr>
                <w:color w:val="000000" w:themeColor="text1"/>
                <w:lang w:val="lv-LV"/>
              </w:rPr>
              <w:t>,</w:t>
            </w:r>
            <w:r w:rsidR="0085661C">
              <w:rPr>
                <w:color w:val="000000" w:themeColor="text1"/>
                <w:lang w:val="lv-LV"/>
              </w:rPr>
              <w:t>38</w:t>
            </w:r>
            <w:r w:rsidRPr="00165411">
              <w:rPr>
                <w:color w:val="000000" w:themeColor="text1"/>
                <w:lang w:val="lv-LV"/>
              </w:rPr>
              <w:t>.</w:t>
            </w:r>
          </w:p>
          <w:p w14:paraId="04D4CB12" w14:textId="298FEED1" w:rsidR="005305CA" w:rsidRPr="00165411" w:rsidRDefault="005305CA" w:rsidP="009F71C1">
            <w:pPr>
              <w:jc w:val="both"/>
              <w:rPr>
                <w:color w:val="000000" w:themeColor="text1"/>
                <w:lang w:val="lv-LV"/>
              </w:rPr>
            </w:pPr>
            <w:r w:rsidRPr="00165411">
              <w:rPr>
                <w:color w:val="000000" w:themeColor="text1"/>
                <w:lang w:val="lv-LV"/>
              </w:rPr>
              <w:t xml:space="preserve">Kopējās pakalpojuma izmaksas – EUR </w:t>
            </w:r>
            <w:r w:rsidR="006219F1" w:rsidRPr="00165411">
              <w:rPr>
                <w:color w:val="000000" w:themeColor="text1"/>
                <w:lang w:val="lv-LV"/>
              </w:rPr>
              <w:t>1</w:t>
            </w:r>
            <w:r w:rsidR="005B7B8D">
              <w:rPr>
                <w:color w:val="000000" w:themeColor="text1"/>
                <w:lang w:val="lv-LV"/>
              </w:rPr>
              <w:t>2</w:t>
            </w:r>
            <w:r w:rsidR="006219F1" w:rsidRPr="00165411">
              <w:rPr>
                <w:color w:val="000000" w:themeColor="text1"/>
                <w:lang w:val="lv-LV"/>
              </w:rPr>
              <w:t>5</w:t>
            </w:r>
            <w:r w:rsidRPr="00165411">
              <w:rPr>
                <w:color w:val="000000" w:themeColor="text1"/>
                <w:lang w:val="lv-LV"/>
              </w:rPr>
              <w:t>,0</w:t>
            </w:r>
            <w:r w:rsidR="009B0C3C">
              <w:rPr>
                <w:color w:val="000000" w:themeColor="text1"/>
                <w:lang w:val="lv-LV"/>
              </w:rPr>
              <w:t>0</w:t>
            </w:r>
            <w:r w:rsidRPr="00165411">
              <w:rPr>
                <w:color w:val="000000" w:themeColor="text1"/>
                <w:lang w:val="lv-LV"/>
              </w:rPr>
              <w:t>, t.sk.</w:t>
            </w:r>
          </w:p>
          <w:p w14:paraId="727F2F6D" w14:textId="679D484D" w:rsidR="005305CA" w:rsidRPr="00165411" w:rsidRDefault="005305CA" w:rsidP="009F71C1">
            <w:pPr>
              <w:jc w:val="both"/>
              <w:rPr>
                <w:color w:val="000000" w:themeColor="text1"/>
                <w:lang w:val="lv-LV"/>
              </w:rPr>
            </w:pPr>
            <w:r w:rsidRPr="00165411">
              <w:rPr>
                <w:color w:val="000000" w:themeColor="text1"/>
                <w:lang w:val="lv-LV"/>
              </w:rPr>
              <w:t xml:space="preserve">EKK 1100 – EUR </w:t>
            </w:r>
            <w:r w:rsidR="005B7B8D">
              <w:rPr>
                <w:color w:val="000000" w:themeColor="text1"/>
                <w:lang w:val="lv-LV"/>
              </w:rPr>
              <w:t>68</w:t>
            </w:r>
            <w:r w:rsidR="006219F1" w:rsidRPr="00165411">
              <w:rPr>
                <w:color w:val="000000" w:themeColor="text1"/>
                <w:lang w:val="lv-LV"/>
              </w:rPr>
              <w:t>,</w:t>
            </w:r>
            <w:r w:rsidR="005B7B8D">
              <w:rPr>
                <w:color w:val="000000" w:themeColor="text1"/>
                <w:lang w:val="lv-LV"/>
              </w:rPr>
              <w:t>60</w:t>
            </w:r>
            <w:r w:rsidRPr="00165411">
              <w:rPr>
                <w:color w:val="000000" w:themeColor="text1"/>
                <w:lang w:val="lv-LV"/>
              </w:rPr>
              <w:t xml:space="preserve"> </w:t>
            </w:r>
          </w:p>
          <w:p w14:paraId="144B6A27" w14:textId="62E89EA3" w:rsidR="005305CA" w:rsidRPr="00165411" w:rsidRDefault="005305CA" w:rsidP="009F71C1">
            <w:pPr>
              <w:jc w:val="both"/>
              <w:rPr>
                <w:color w:val="000000" w:themeColor="text1"/>
                <w:lang w:val="lv-LV"/>
              </w:rPr>
            </w:pPr>
            <w:r w:rsidRPr="00165411">
              <w:rPr>
                <w:color w:val="000000" w:themeColor="text1"/>
                <w:lang w:val="lv-LV"/>
              </w:rPr>
              <w:t xml:space="preserve">EKK 1200 – EUR </w:t>
            </w:r>
            <w:r w:rsidR="006219F1" w:rsidRPr="00165411">
              <w:rPr>
                <w:color w:val="000000" w:themeColor="text1"/>
                <w:lang w:val="lv-LV"/>
              </w:rPr>
              <w:t>1</w:t>
            </w:r>
            <w:r w:rsidR="005B7B8D">
              <w:rPr>
                <w:color w:val="000000" w:themeColor="text1"/>
                <w:lang w:val="lv-LV"/>
              </w:rPr>
              <w:t>6</w:t>
            </w:r>
            <w:r w:rsidR="006219F1" w:rsidRPr="00165411">
              <w:rPr>
                <w:color w:val="000000" w:themeColor="text1"/>
                <w:lang w:val="lv-LV"/>
              </w:rPr>
              <w:t>,</w:t>
            </w:r>
            <w:r w:rsidR="005B7B8D">
              <w:rPr>
                <w:color w:val="000000" w:themeColor="text1"/>
                <w:lang w:val="lv-LV"/>
              </w:rPr>
              <w:t>18</w:t>
            </w:r>
            <w:r w:rsidRPr="00165411">
              <w:rPr>
                <w:color w:val="000000" w:themeColor="text1"/>
                <w:lang w:val="lv-LV"/>
              </w:rPr>
              <w:t xml:space="preserve"> </w:t>
            </w:r>
          </w:p>
          <w:p w14:paraId="2C340FE5" w14:textId="09D05352" w:rsidR="005305CA" w:rsidRPr="00165411" w:rsidRDefault="005305CA" w:rsidP="009F71C1">
            <w:pPr>
              <w:jc w:val="both"/>
              <w:rPr>
                <w:color w:val="000000" w:themeColor="text1"/>
                <w:lang w:val="lv-LV"/>
              </w:rPr>
            </w:pPr>
            <w:r w:rsidRPr="00165411">
              <w:rPr>
                <w:color w:val="000000" w:themeColor="text1"/>
                <w:lang w:val="lv-LV"/>
              </w:rPr>
              <w:t>EKK 2000 – EUR 4</w:t>
            </w:r>
            <w:r w:rsidR="00D55D47">
              <w:rPr>
                <w:color w:val="000000" w:themeColor="text1"/>
                <w:lang w:val="lv-LV"/>
              </w:rPr>
              <w:t>0</w:t>
            </w:r>
            <w:r w:rsidR="006219F1" w:rsidRPr="00165411">
              <w:rPr>
                <w:color w:val="000000" w:themeColor="text1"/>
                <w:lang w:val="lv-LV"/>
              </w:rPr>
              <w:t>,2</w:t>
            </w:r>
            <w:r w:rsidR="00D55D47">
              <w:rPr>
                <w:color w:val="000000" w:themeColor="text1"/>
                <w:lang w:val="lv-LV"/>
              </w:rPr>
              <w:t>2</w:t>
            </w:r>
            <w:r w:rsidRPr="00165411">
              <w:rPr>
                <w:color w:val="000000" w:themeColor="text1"/>
                <w:lang w:val="lv-LV"/>
              </w:rPr>
              <w:t>.</w:t>
            </w:r>
          </w:p>
          <w:p w14:paraId="645280BB" w14:textId="7BFE74DB" w:rsidR="005305CA" w:rsidRDefault="005305CA" w:rsidP="009F71C1">
            <w:pPr>
              <w:jc w:val="both"/>
              <w:rPr>
                <w:color w:val="000000" w:themeColor="text1"/>
                <w:lang w:val="lv-LV"/>
              </w:rPr>
            </w:pPr>
            <w:r w:rsidRPr="00165411">
              <w:rPr>
                <w:color w:val="000000" w:themeColor="text1"/>
                <w:lang w:val="lv-LV"/>
              </w:rPr>
              <w:t xml:space="preserve">Paredzamais izskatīto paziņojumu skaits ir </w:t>
            </w:r>
            <w:r w:rsidR="006219F1" w:rsidRPr="00165411">
              <w:rPr>
                <w:color w:val="000000" w:themeColor="text1"/>
                <w:lang w:val="lv-LV"/>
              </w:rPr>
              <w:t>5</w:t>
            </w:r>
            <w:r w:rsidR="00B96289">
              <w:rPr>
                <w:color w:val="000000" w:themeColor="text1"/>
                <w:lang w:val="lv-LV"/>
              </w:rPr>
              <w:t>6</w:t>
            </w:r>
            <w:r w:rsidR="006219F1" w:rsidRPr="00165411">
              <w:rPr>
                <w:color w:val="000000" w:themeColor="text1"/>
                <w:lang w:val="lv-LV"/>
              </w:rPr>
              <w:t>5</w:t>
            </w:r>
            <w:r w:rsidRPr="00165411">
              <w:rPr>
                <w:color w:val="000000" w:themeColor="text1"/>
                <w:lang w:val="lv-LV"/>
              </w:rPr>
              <w:t xml:space="preserve"> gab., t.i., </w:t>
            </w:r>
            <w:r w:rsidR="006219F1" w:rsidRPr="00165411">
              <w:rPr>
                <w:color w:val="000000" w:themeColor="text1"/>
                <w:lang w:val="lv-LV"/>
              </w:rPr>
              <w:t>5</w:t>
            </w:r>
            <w:r w:rsidR="00B96289">
              <w:rPr>
                <w:color w:val="000000" w:themeColor="text1"/>
                <w:lang w:val="lv-LV"/>
              </w:rPr>
              <w:t>6</w:t>
            </w:r>
            <w:r w:rsidR="006219F1" w:rsidRPr="00165411">
              <w:rPr>
                <w:color w:val="000000" w:themeColor="text1"/>
                <w:lang w:val="lv-LV"/>
              </w:rPr>
              <w:t>5</w:t>
            </w:r>
            <w:r w:rsidRPr="00165411">
              <w:rPr>
                <w:color w:val="000000" w:themeColor="text1"/>
                <w:lang w:val="lv-LV"/>
              </w:rPr>
              <w:t xml:space="preserve"> gab. x 1</w:t>
            </w:r>
            <w:r w:rsidR="00B96289">
              <w:rPr>
                <w:color w:val="000000" w:themeColor="text1"/>
                <w:lang w:val="lv-LV"/>
              </w:rPr>
              <w:t>2</w:t>
            </w:r>
            <w:r w:rsidRPr="00165411">
              <w:rPr>
                <w:color w:val="000000" w:themeColor="text1"/>
                <w:lang w:val="lv-LV"/>
              </w:rPr>
              <w:t xml:space="preserve">5,00 EUR/gab. = EUR </w:t>
            </w:r>
            <w:r w:rsidR="006219F1" w:rsidRPr="00165411">
              <w:rPr>
                <w:color w:val="000000" w:themeColor="text1"/>
                <w:lang w:val="lv-LV"/>
              </w:rPr>
              <w:t>7</w:t>
            </w:r>
            <w:r w:rsidR="00B96289">
              <w:rPr>
                <w:color w:val="000000" w:themeColor="text1"/>
                <w:lang w:val="lv-LV"/>
              </w:rPr>
              <w:t>0</w:t>
            </w:r>
            <w:r w:rsidR="006219F1" w:rsidRPr="00165411">
              <w:rPr>
                <w:color w:val="000000" w:themeColor="text1"/>
                <w:lang w:val="lv-LV"/>
              </w:rPr>
              <w:t> </w:t>
            </w:r>
            <w:r w:rsidR="00B96289">
              <w:rPr>
                <w:color w:val="000000" w:themeColor="text1"/>
                <w:lang w:val="lv-LV"/>
              </w:rPr>
              <w:t>6</w:t>
            </w:r>
            <w:r w:rsidR="006219F1" w:rsidRPr="00165411">
              <w:rPr>
                <w:color w:val="000000" w:themeColor="text1"/>
                <w:lang w:val="lv-LV"/>
              </w:rPr>
              <w:t>25</w:t>
            </w:r>
            <w:r w:rsidRPr="00165411">
              <w:rPr>
                <w:color w:val="000000" w:themeColor="text1"/>
                <w:lang w:val="lv-LV"/>
              </w:rPr>
              <w:t>,00.</w:t>
            </w:r>
          </w:p>
          <w:p w14:paraId="2AC6DD95" w14:textId="1F8C2F97" w:rsidR="00553C34" w:rsidRPr="00553C34" w:rsidRDefault="005305CA" w:rsidP="009F71C1">
            <w:pPr>
              <w:jc w:val="both"/>
              <w:rPr>
                <w:color w:val="000000" w:themeColor="text1"/>
                <w:lang w:val="lv-LV"/>
              </w:rPr>
            </w:pPr>
            <w:r w:rsidRPr="00896579">
              <w:rPr>
                <w:color w:val="000000" w:themeColor="text1"/>
                <w:lang w:val="lv-LV"/>
              </w:rPr>
              <w:t xml:space="preserve">2. </w:t>
            </w:r>
            <w:r w:rsidR="006219F1" w:rsidRPr="00165411">
              <w:rPr>
                <w:lang w:val="lv-LV"/>
              </w:rPr>
              <w:t xml:space="preserve">Valsts nodeva </w:t>
            </w:r>
            <w:r w:rsidR="00553C34" w:rsidRPr="00553C34">
              <w:rPr>
                <w:color w:val="000000"/>
                <w:lang w:val="lv-LV" w:eastAsia="lv-LV"/>
              </w:rPr>
              <w:t>par ārpus</w:t>
            </w:r>
            <w:r w:rsidR="00553C34" w:rsidRPr="00553C34">
              <w:rPr>
                <w:b/>
                <w:bCs/>
                <w:color w:val="000000"/>
                <w:lang w:val="lv-LV" w:eastAsia="lv-LV"/>
              </w:rPr>
              <w:t xml:space="preserve"> </w:t>
            </w:r>
            <w:r w:rsidR="00553C34" w:rsidRPr="00553C34">
              <w:rPr>
                <w:color w:val="000000"/>
                <w:lang w:val="lv-LV" w:eastAsia="lv-LV"/>
              </w:rPr>
              <w:t>Eiropas Ekonomikas zonas valstīm ražota uztura bagātinātāja reģistrāciju</w:t>
            </w:r>
            <w:r w:rsidR="00553C34" w:rsidRPr="00553C34">
              <w:rPr>
                <w:lang w:val="lv-LV"/>
              </w:rPr>
              <w:t xml:space="preserve">, ja tas jau iepriekš ir paziņots vai laists tirgū kādā no Eiropas Ekonomikas zonas valstīm un Pārtikas un veterinārajā dienestā tiek iesniegta </w:t>
            </w:r>
            <w:r w:rsidR="00553C34" w:rsidRPr="00553C34">
              <w:rPr>
                <w:color w:val="000000"/>
                <w:lang w:val="lv-LV" w:eastAsia="fr-FR"/>
              </w:rPr>
              <w:t>attiecīgās dalībvalsts kompetentās iestādes izsniegta informācija par to, ka trešajā valstī ražots uztura bagātinātājs ir izplatīts kādā no Eiropas Ekonomikas zonas dalībvalstīm, vai šo faktu apliecinoša izdruka no publiski pieejama šīs dalībvalsts uztura bagātinātāju reģistra, saraksta vai datubāzes</w:t>
            </w:r>
            <w:r w:rsidR="00553C34">
              <w:rPr>
                <w:color w:val="000000"/>
                <w:lang w:val="lv-LV" w:eastAsia="fr-FR"/>
              </w:rPr>
              <w:t>:</w:t>
            </w:r>
          </w:p>
          <w:p w14:paraId="3BCACDE8" w14:textId="4612FC96" w:rsidR="005305CA" w:rsidRPr="00165411" w:rsidRDefault="005305CA" w:rsidP="009F71C1">
            <w:pPr>
              <w:jc w:val="both"/>
              <w:rPr>
                <w:color w:val="000000" w:themeColor="text1"/>
                <w:lang w:val="lv-LV"/>
              </w:rPr>
            </w:pPr>
            <w:r w:rsidRPr="00165411">
              <w:rPr>
                <w:color w:val="000000" w:themeColor="text1"/>
                <w:lang w:val="lv-LV"/>
              </w:rPr>
              <w:t>2.1. pakalpojuma sniegšanā iesaistīto speciālistu atalgojums uz vienu pakalpojuma vienību: </w:t>
            </w:r>
            <w:r w:rsidR="006219F1" w:rsidRPr="00165411">
              <w:rPr>
                <w:color w:val="000000" w:themeColor="text1"/>
                <w:lang w:val="lv-LV"/>
              </w:rPr>
              <w:t>1</w:t>
            </w:r>
            <w:r w:rsidR="00403FBC">
              <w:rPr>
                <w:color w:val="000000" w:themeColor="text1"/>
                <w:lang w:val="lv-LV"/>
              </w:rPr>
              <w:t>4</w:t>
            </w:r>
            <w:r w:rsidRPr="00165411">
              <w:rPr>
                <w:color w:val="000000" w:themeColor="text1"/>
                <w:lang w:val="lv-LV"/>
              </w:rPr>
              <w:t xml:space="preserve"> st. x 8,48 EUR/st. = EUR </w:t>
            </w:r>
            <w:r w:rsidR="00403FBC">
              <w:rPr>
                <w:color w:val="000000" w:themeColor="text1"/>
                <w:lang w:val="lv-LV"/>
              </w:rPr>
              <w:t>118</w:t>
            </w:r>
            <w:r w:rsidR="006219F1" w:rsidRPr="00165411">
              <w:rPr>
                <w:color w:val="000000" w:themeColor="text1"/>
                <w:lang w:val="lv-LV"/>
              </w:rPr>
              <w:t>,</w:t>
            </w:r>
            <w:r w:rsidR="00403FBC">
              <w:rPr>
                <w:color w:val="000000" w:themeColor="text1"/>
                <w:lang w:val="lv-LV"/>
              </w:rPr>
              <w:t>72</w:t>
            </w:r>
            <w:r w:rsidRPr="00165411">
              <w:rPr>
                <w:color w:val="000000" w:themeColor="text1"/>
                <w:lang w:val="lv-LV"/>
              </w:rPr>
              <w:t>;</w:t>
            </w:r>
          </w:p>
          <w:p w14:paraId="6E4A1279" w14:textId="77777777" w:rsidR="005305CA" w:rsidRPr="00165411" w:rsidRDefault="005305CA" w:rsidP="009F71C1">
            <w:pPr>
              <w:jc w:val="both"/>
              <w:rPr>
                <w:color w:val="000000" w:themeColor="text1"/>
                <w:lang w:val="lv-LV"/>
              </w:rPr>
            </w:pPr>
            <w:r w:rsidRPr="00165411">
              <w:rPr>
                <w:color w:val="000000" w:themeColor="text1"/>
                <w:lang w:val="lv-LV"/>
              </w:rPr>
              <w:t>2.2. tiešās izmaksas, kas saistītas ar pakalpojuma sniegšanu, uz vienu pakalpojuma vienību (materiālu izmaksas): EUR 0,84;</w:t>
            </w:r>
          </w:p>
          <w:p w14:paraId="2AB399F4" w14:textId="0BC1CE75" w:rsidR="005305CA" w:rsidRPr="00165411" w:rsidRDefault="005305CA" w:rsidP="009F71C1">
            <w:pPr>
              <w:jc w:val="both"/>
              <w:rPr>
                <w:color w:val="000000" w:themeColor="text1"/>
                <w:lang w:val="lv-LV"/>
              </w:rPr>
            </w:pPr>
            <w:r w:rsidRPr="00165411">
              <w:rPr>
                <w:color w:val="000000" w:themeColor="text1"/>
                <w:lang w:val="lv-LV"/>
              </w:rPr>
              <w:t xml:space="preserve">2.3. netiešās izmaksas, (izdevumi komandējumiem; sakaru, telpu uzturēšanas pakalpojumiem, administratīvās izmaksas, pamatlīdzekļu nolietojums u.c. izmaksas), kas saistītas ar pakalpojuma sniegšanu, uz vienu pakalpojuma vienību: EUR </w:t>
            </w:r>
            <w:r w:rsidR="005E0D55">
              <w:rPr>
                <w:color w:val="000000" w:themeColor="text1"/>
                <w:lang w:val="lv-LV"/>
              </w:rPr>
              <w:t>90</w:t>
            </w:r>
            <w:r w:rsidR="006219F1" w:rsidRPr="00165411">
              <w:rPr>
                <w:color w:val="000000" w:themeColor="text1"/>
                <w:lang w:val="lv-LV"/>
              </w:rPr>
              <w:t>,</w:t>
            </w:r>
            <w:r w:rsidR="005E0D55">
              <w:rPr>
                <w:color w:val="000000" w:themeColor="text1"/>
                <w:lang w:val="lv-LV"/>
              </w:rPr>
              <w:t>46</w:t>
            </w:r>
            <w:r w:rsidRPr="00165411">
              <w:rPr>
                <w:color w:val="000000" w:themeColor="text1"/>
                <w:lang w:val="lv-LV"/>
              </w:rPr>
              <w:t>.</w:t>
            </w:r>
          </w:p>
          <w:p w14:paraId="4725F1FE" w14:textId="1CEA1D9A" w:rsidR="005305CA" w:rsidRPr="00165411" w:rsidRDefault="005305CA" w:rsidP="009F71C1">
            <w:pPr>
              <w:jc w:val="both"/>
              <w:rPr>
                <w:color w:val="000000" w:themeColor="text1"/>
                <w:lang w:val="lv-LV"/>
              </w:rPr>
            </w:pPr>
            <w:r w:rsidRPr="00165411">
              <w:rPr>
                <w:color w:val="000000" w:themeColor="text1"/>
                <w:lang w:val="lv-LV"/>
              </w:rPr>
              <w:t xml:space="preserve">Kopējās pakalpojuma izmaksas – EUR </w:t>
            </w:r>
            <w:r w:rsidR="00632C41">
              <w:rPr>
                <w:color w:val="000000" w:themeColor="text1"/>
                <w:lang w:val="lv-LV"/>
              </w:rPr>
              <w:t>210</w:t>
            </w:r>
            <w:r w:rsidRPr="00165411">
              <w:rPr>
                <w:color w:val="000000" w:themeColor="text1"/>
                <w:lang w:val="lv-LV"/>
              </w:rPr>
              <w:t>,00, t.sk.</w:t>
            </w:r>
          </w:p>
          <w:p w14:paraId="15C17AA3" w14:textId="1721AA49" w:rsidR="005305CA" w:rsidRPr="00165411" w:rsidRDefault="005305CA" w:rsidP="009F71C1">
            <w:pPr>
              <w:jc w:val="both"/>
              <w:rPr>
                <w:color w:val="000000" w:themeColor="text1"/>
                <w:lang w:val="lv-LV"/>
              </w:rPr>
            </w:pPr>
            <w:r w:rsidRPr="00165411">
              <w:rPr>
                <w:color w:val="000000" w:themeColor="text1"/>
                <w:lang w:val="lv-LV"/>
              </w:rPr>
              <w:t xml:space="preserve">EKK 1100 – EUR </w:t>
            </w:r>
            <w:r w:rsidR="00632C41">
              <w:rPr>
                <w:color w:val="000000" w:themeColor="text1"/>
                <w:lang w:val="lv-LV"/>
              </w:rPr>
              <w:t>96</w:t>
            </w:r>
            <w:r w:rsidR="00280A5C" w:rsidRPr="00165411">
              <w:rPr>
                <w:color w:val="000000" w:themeColor="text1"/>
                <w:lang w:val="lv-LV"/>
              </w:rPr>
              <w:t>,</w:t>
            </w:r>
            <w:r w:rsidR="00632C41">
              <w:rPr>
                <w:color w:val="000000" w:themeColor="text1"/>
                <w:lang w:val="lv-LV"/>
              </w:rPr>
              <w:t>05</w:t>
            </w:r>
            <w:r w:rsidRPr="00165411">
              <w:rPr>
                <w:color w:val="000000" w:themeColor="text1"/>
                <w:lang w:val="lv-LV"/>
              </w:rPr>
              <w:t xml:space="preserve">, </w:t>
            </w:r>
          </w:p>
          <w:p w14:paraId="3A8A7F21" w14:textId="1D0FC35D" w:rsidR="005305CA" w:rsidRPr="00165411" w:rsidRDefault="005305CA" w:rsidP="009F71C1">
            <w:pPr>
              <w:jc w:val="both"/>
              <w:rPr>
                <w:color w:val="000000" w:themeColor="text1"/>
                <w:lang w:val="lv-LV"/>
              </w:rPr>
            </w:pPr>
            <w:r w:rsidRPr="00165411">
              <w:rPr>
                <w:color w:val="000000" w:themeColor="text1"/>
                <w:lang w:val="lv-LV"/>
              </w:rPr>
              <w:t xml:space="preserve">EKK 1200 – EUR </w:t>
            </w:r>
            <w:r w:rsidR="00632C41">
              <w:rPr>
                <w:color w:val="000000" w:themeColor="text1"/>
                <w:lang w:val="lv-LV"/>
              </w:rPr>
              <w:t>22</w:t>
            </w:r>
            <w:r w:rsidR="00280A5C" w:rsidRPr="00165411">
              <w:rPr>
                <w:color w:val="000000" w:themeColor="text1"/>
                <w:lang w:val="lv-LV"/>
              </w:rPr>
              <w:t>,</w:t>
            </w:r>
            <w:r w:rsidR="00632C41">
              <w:rPr>
                <w:color w:val="000000" w:themeColor="text1"/>
                <w:lang w:val="lv-LV"/>
              </w:rPr>
              <w:t>65</w:t>
            </w:r>
            <w:r w:rsidRPr="00165411">
              <w:rPr>
                <w:color w:val="000000" w:themeColor="text1"/>
                <w:lang w:val="lv-LV"/>
              </w:rPr>
              <w:t xml:space="preserve">, </w:t>
            </w:r>
          </w:p>
          <w:p w14:paraId="6E3BEC81" w14:textId="3948478C" w:rsidR="005305CA" w:rsidRPr="00165411" w:rsidRDefault="00280A5C" w:rsidP="009F71C1">
            <w:pPr>
              <w:jc w:val="both"/>
              <w:rPr>
                <w:color w:val="000000" w:themeColor="text1"/>
                <w:lang w:val="lv-LV"/>
              </w:rPr>
            </w:pPr>
            <w:r w:rsidRPr="00165411">
              <w:rPr>
                <w:color w:val="000000" w:themeColor="text1"/>
                <w:lang w:val="lv-LV"/>
              </w:rPr>
              <w:t xml:space="preserve">EKK 2000 – EUR </w:t>
            </w:r>
            <w:r w:rsidR="00632C41">
              <w:rPr>
                <w:color w:val="000000" w:themeColor="text1"/>
                <w:lang w:val="lv-LV"/>
              </w:rPr>
              <w:t>91</w:t>
            </w:r>
            <w:r w:rsidRPr="00165411">
              <w:rPr>
                <w:color w:val="000000" w:themeColor="text1"/>
                <w:lang w:val="lv-LV"/>
              </w:rPr>
              <w:t>,3</w:t>
            </w:r>
            <w:r w:rsidR="00632C41">
              <w:rPr>
                <w:color w:val="000000" w:themeColor="text1"/>
                <w:lang w:val="lv-LV"/>
              </w:rPr>
              <w:t>0</w:t>
            </w:r>
            <w:r w:rsidR="005305CA" w:rsidRPr="00165411">
              <w:rPr>
                <w:color w:val="000000" w:themeColor="text1"/>
                <w:lang w:val="lv-LV"/>
              </w:rPr>
              <w:t>.</w:t>
            </w:r>
          </w:p>
          <w:p w14:paraId="0BECF0B3" w14:textId="17A4F530" w:rsidR="005305CA" w:rsidRDefault="005305CA" w:rsidP="009F71C1">
            <w:pPr>
              <w:jc w:val="both"/>
              <w:rPr>
                <w:color w:val="000000" w:themeColor="text1"/>
                <w:lang w:val="lv-LV"/>
              </w:rPr>
            </w:pPr>
            <w:r w:rsidRPr="00165411">
              <w:rPr>
                <w:color w:val="000000" w:themeColor="text1"/>
                <w:lang w:val="lv-LV"/>
              </w:rPr>
              <w:t xml:space="preserve">Paredzamais izskatīto paziņojumu skaits ir </w:t>
            </w:r>
            <w:r w:rsidR="00294552">
              <w:rPr>
                <w:color w:val="000000" w:themeColor="text1"/>
                <w:lang w:val="lv-LV"/>
              </w:rPr>
              <w:t>203</w:t>
            </w:r>
            <w:r w:rsidRPr="00165411">
              <w:rPr>
                <w:color w:val="000000" w:themeColor="text1"/>
                <w:lang w:val="lv-LV"/>
              </w:rPr>
              <w:t xml:space="preserve"> gab., t.i., </w:t>
            </w:r>
            <w:r w:rsidR="006219F1" w:rsidRPr="00165411">
              <w:rPr>
                <w:color w:val="000000" w:themeColor="text1"/>
                <w:lang w:val="lv-LV"/>
              </w:rPr>
              <w:t>20</w:t>
            </w:r>
            <w:r w:rsidR="00294552">
              <w:rPr>
                <w:color w:val="000000" w:themeColor="text1"/>
                <w:lang w:val="lv-LV"/>
              </w:rPr>
              <w:t>3</w:t>
            </w:r>
            <w:r w:rsidRPr="00165411">
              <w:rPr>
                <w:color w:val="000000" w:themeColor="text1"/>
                <w:lang w:val="lv-LV"/>
              </w:rPr>
              <w:t xml:space="preserve"> gab. x </w:t>
            </w:r>
            <w:r w:rsidR="00294552">
              <w:rPr>
                <w:color w:val="000000" w:themeColor="text1"/>
                <w:lang w:val="lv-LV"/>
              </w:rPr>
              <w:t>210</w:t>
            </w:r>
            <w:r w:rsidR="00280A5C" w:rsidRPr="00165411">
              <w:rPr>
                <w:color w:val="000000" w:themeColor="text1"/>
                <w:lang w:val="lv-LV"/>
              </w:rPr>
              <w:t>,00 EUR/gab. = EUR 4</w:t>
            </w:r>
            <w:r w:rsidR="00294552">
              <w:rPr>
                <w:color w:val="000000" w:themeColor="text1"/>
                <w:lang w:val="lv-LV"/>
              </w:rPr>
              <w:t>2</w:t>
            </w:r>
            <w:r w:rsidR="00280A5C" w:rsidRPr="00165411">
              <w:rPr>
                <w:color w:val="000000" w:themeColor="text1"/>
                <w:lang w:val="lv-LV"/>
              </w:rPr>
              <w:t> </w:t>
            </w:r>
            <w:r w:rsidR="00294552">
              <w:rPr>
                <w:color w:val="000000" w:themeColor="text1"/>
                <w:lang w:val="lv-LV"/>
              </w:rPr>
              <w:t>630</w:t>
            </w:r>
            <w:r w:rsidRPr="00165411">
              <w:rPr>
                <w:color w:val="000000" w:themeColor="text1"/>
                <w:lang w:val="lv-LV"/>
              </w:rPr>
              <w:t>,00.</w:t>
            </w:r>
          </w:p>
          <w:p w14:paraId="1BDAC2CB" w14:textId="75D8E44A" w:rsidR="00883A54" w:rsidRPr="00896579" w:rsidRDefault="00D66B9F" w:rsidP="00D66B9F">
            <w:pPr>
              <w:pStyle w:val="Sarakstarindkopa"/>
              <w:ind w:left="0"/>
              <w:jc w:val="both"/>
              <w:rPr>
                <w:lang w:val="lv-LV"/>
              </w:rPr>
            </w:pPr>
            <w:r>
              <w:rPr>
                <w:color w:val="000000" w:themeColor="text1"/>
                <w:lang w:val="lv-LV"/>
              </w:rPr>
              <w:t>3.</w:t>
            </w:r>
            <w:r w:rsidR="00883A54" w:rsidRPr="00165411">
              <w:rPr>
                <w:color w:val="000000" w:themeColor="text1"/>
                <w:lang w:val="lv-LV"/>
              </w:rPr>
              <w:t xml:space="preserve">Valsts nodeva </w:t>
            </w:r>
            <w:r w:rsidR="00883A54" w:rsidRPr="00165411">
              <w:rPr>
                <w:lang w:val="lv-LV"/>
              </w:rPr>
              <w:t>par ārpus Eiropas Ekonomikas zonas valstīm ražota uztura bagātinātāja pirmreizēju reģistrāciju</w:t>
            </w:r>
            <w:r w:rsidR="00883A54" w:rsidRPr="00896579">
              <w:rPr>
                <w:lang w:val="lv-LV"/>
              </w:rPr>
              <w:t>:</w:t>
            </w:r>
          </w:p>
          <w:p w14:paraId="326FAF54" w14:textId="46EC7C33" w:rsidR="00883A54" w:rsidRPr="00165411" w:rsidRDefault="00883A54" w:rsidP="00883A54">
            <w:pPr>
              <w:rPr>
                <w:color w:val="000000" w:themeColor="text1"/>
                <w:lang w:val="lv-LV"/>
              </w:rPr>
            </w:pPr>
            <w:r w:rsidRPr="00165411">
              <w:rPr>
                <w:color w:val="000000" w:themeColor="text1"/>
                <w:lang w:val="lv-LV"/>
              </w:rPr>
              <w:t>3.1. pakalpojuma sniegšanā iesaistīto speciālistu atalgojums uz vienu pakalpojuma vienību: </w:t>
            </w:r>
            <w:r w:rsidR="00214ECF">
              <w:rPr>
                <w:color w:val="000000" w:themeColor="text1"/>
                <w:lang w:val="lv-LV"/>
              </w:rPr>
              <w:t>21</w:t>
            </w:r>
            <w:r w:rsidRPr="00165411">
              <w:rPr>
                <w:color w:val="000000" w:themeColor="text1"/>
                <w:lang w:val="lv-LV"/>
              </w:rPr>
              <w:t xml:space="preserve"> st. x 8,48 EUR/st. = EUR </w:t>
            </w:r>
            <w:r w:rsidR="00214ECF">
              <w:rPr>
                <w:color w:val="000000" w:themeColor="text1"/>
                <w:lang w:val="lv-LV"/>
              </w:rPr>
              <w:t>178</w:t>
            </w:r>
            <w:r w:rsidRPr="00165411">
              <w:rPr>
                <w:color w:val="000000" w:themeColor="text1"/>
                <w:lang w:val="lv-LV"/>
              </w:rPr>
              <w:t>,</w:t>
            </w:r>
            <w:r w:rsidR="00214ECF">
              <w:rPr>
                <w:color w:val="000000" w:themeColor="text1"/>
                <w:lang w:val="lv-LV"/>
              </w:rPr>
              <w:t>08</w:t>
            </w:r>
            <w:r w:rsidRPr="00165411">
              <w:rPr>
                <w:color w:val="000000" w:themeColor="text1"/>
                <w:lang w:val="lv-LV"/>
              </w:rPr>
              <w:t>;</w:t>
            </w:r>
          </w:p>
          <w:p w14:paraId="01A5EB3B" w14:textId="77777777" w:rsidR="00883A54" w:rsidRPr="00165411" w:rsidRDefault="00883A54" w:rsidP="00883A54">
            <w:pPr>
              <w:jc w:val="both"/>
              <w:rPr>
                <w:color w:val="000000" w:themeColor="text1"/>
                <w:lang w:val="lv-LV"/>
              </w:rPr>
            </w:pPr>
            <w:r w:rsidRPr="00165411">
              <w:rPr>
                <w:color w:val="000000" w:themeColor="text1"/>
                <w:lang w:val="lv-LV"/>
              </w:rPr>
              <w:t>3.2. tiešās izmaksas, kas saistītas ar pakalpojuma sniegšanu, uz vienu pakalpojuma vienību (materiālu izmaksas): EUR 0,84;</w:t>
            </w:r>
          </w:p>
          <w:p w14:paraId="553DF55F" w14:textId="1FC74D7A" w:rsidR="00883A54" w:rsidRPr="00165411" w:rsidRDefault="00883A54" w:rsidP="00883A54">
            <w:pPr>
              <w:jc w:val="both"/>
              <w:rPr>
                <w:color w:val="000000" w:themeColor="text1"/>
                <w:lang w:val="lv-LV"/>
              </w:rPr>
            </w:pPr>
            <w:r w:rsidRPr="00165411">
              <w:rPr>
                <w:color w:val="000000" w:themeColor="text1"/>
                <w:lang w:val="lv-LV"/>
              </w:rPr>
              <w:t xml:space="preserve">3.3. netiešās izmaksas, (izdevumi komandējumiem; sakaru, telpu uzturēšanas pakalpojumiem, administratīvās izmaksas, pamatlīdzekļu nolietojums u.c. izmaksas), kas saistītas ar pakalpojuma sniegšanu, uz vienu pakalpojuma vienību: EUR </w:t>
            </w:r>
            <w:r w:rsidR="00470FE0">
              <w:rPr>
                <w:color w:val="000000" w:themeColor="text1"/>
                <w:lang w:val="lv-LV"/>
              </w:rPr>
              <w:lastRenderedPageBreak/>
              <w:t>201</w:t>
            </w:r>
            <w:r w:rsidRPr="00165411">
              <w:rPr>
                <w:color w:val="000000" w:themeColor="text1"/>
                <w:lang w:val="lv-LV"/>
              </w:rPr>
              <w:t>,</w:t>
            </w:r>
            <w:r w:rsidR="00470FE0">
              <w:rPr>
                <w:color w:val="000000" w:themeColor="text1"/>
                <w:lang w:val="lv-LV"/>
              </w:rPr>
              <w:t>12</w:t>
            </w:r>
            <w:r w:rsidRPr="00165411">
              <w:rPr>
                <w:color w:val="000000" w:themeColor="text1"/>
                <w:lang w:val="lv-LV"/>
              </w:rPr>
              <w:t>.</w:t>
            </w:r>
          </w:p>
          <w:p w14:paraId="44FB2D88" w14:textId="0D4A62E7" w:rsidR="00883A54" w:rsidRPr="00165411" w:rsidRDefault="00883A54" w:rsidP="00883A54">
            <w:pPr>
              <w:jc w:val="both"/>
              <w:rPr>
                <w:color w:val="000000" w:themeColor="text1"/>
                <w:lang w:val="lv-LV"/>
              </w:rPr>
            </w:pPr>
            <w:r w:rsidRPr="00165411">
              <w:rPr>
                <w:color w:val="000000" w:themeColor="text1"/>
                <w:lang w:val="lv-LV"/>
              </w:rPr>
              <w:t>Kopējās pakalpojuma izmaksas – EUR 3</w:t>
            </w:r>
            <w:r w:rsidR="00F229E1">
              <w:rPr>
                <w:color w:val="000000" w:themeColor="text1"/>
                <w:lang w:val="lv-LV"/>
              </w:rPr>
              <w:t>8</w:t>
            </w:r>
            <w:r w:rsidRPr="00165411">
              <w:rPr>
                <w:color w:val="000000" w:themeColor="text1"/>
                <w:lang w:val="lv-LV"/>
              </w:rPr>
              <w:t>0,00, t.sk.</w:t>
            </w:r>
          </w:p>
          <w:p w14:paraId="730E8E8C" w14:textId="5DFC70C5" w:rsidR="00883A54" w:rsidRPr="00165411" w:rsidRDefault="00883A54" w:rsidP="00883A54">
            <w:pPr>
              <w:jc w:val="both"/>
              <w:rPr>
                <w:color w:val="000000" w:themeColor="text1"/>
                <w:lang w:val="lv-LV"/>
              </w:rPr>
            </w:pPr>
            <w:r w:rsidRPr="00165411">
              <w:rPr>
                <w:color w:val="000000" w:themeColor="text1"/>
                <w:lang w:val="lv-LV"/>
              </w:rPr>
              <w:t xml:space="preserve">EKK 1100 – EUR </w:t>
            </w:r>
            <w:r w:rsidR="00F229E1">
              <w:rPr>
                <w:color w:val="000000" w:themeColor="text1"/>
                <w:lang w:val="lv-LV"/>
              </w:rPr>
              <w:t>144</w:t>
            </w:r>
            <w:r w:rsidRPr="00165411">
              <w:rPr>
                <w:color w:val="000000" w:themeColor="text1"/>
                <w:lang w:val="lv-LV"/>
              </w:rPr>
              <w:t>,</w:t>
            </w:r>
            <w:r w:rsidR="00F229E1">
              <w:rPr>
                <w:color w:val="000000" w:themeColor="text1"/>
                <w:lang w:val="lv-LV"/>
              </w:rPr>
              <w:t>06</w:t>
            </w:r>
            <w:r w:rsidRPr="00165411">
              <w:rPr>
                <w:color w:val="000000" w:themeColor="text1"/>
                <w:lang w:val="lv-LV"/>
              </w:rPr>
              <w:t xml:space="preserve">, </w:t>
            </w:r>
          </w:p>
          <w:p w14:paraId="107F9064" w14:textId="5E8DA0D4" w:rsidR="00883A54" w:rsidRPr="00165411" w:rsidRDefault="00883A54" w:rsidP="00883A54">
            <w:pPr>
              <w:jc w:val="both"/>
              <w:rPr>
                <w:color w:val="000000" w:themeColor="text1"/>
                <w:lang w:val="lv-LV"/>
              </w:rPr>
            </w:pPr>
            <w:r w:rsidRPr="00165411">
              <w:rPr>
                <w:color w:val="000000" w:themeColor="text1"/>
                <w:lang w:val="lv-LV"/>
              </w:rPr>
              <w:t xml:space="preserve">EKK 1200 – EUR </w:t>
            </w:r>
            <w:r w:rsidR="00F229E1">
              <w:rPr>
                <w:color w:val="000000" w:themeColor="text1"/>
                <w:lang w:val="lv-LV"/>
              </w:rPr>
              <w:t>33</w:t>
            </w:r>
            <w:r w:rsidRPr="00165411">
              <w:rPr>
                <w:color w:val="000000" w:themeColor="text1"/>
                <w:lang w:val="lv-LV"/>
              </w:rPr>
              <w:t>,</w:t>
            </w:r>
            <w:r w:rsidR="00F229E1">
              <w:rPr>
                <w:color w:val="000000" w:themeColor="text1"/>
                <w:lang w:val="lv-LV"/>
              </w:rPr>
              <w:t>98</w:t>
            </w:r>
            <w:r w:rsidRPr="00165411">
              <w:rPr>
                <w:color w:val="000000" w:themeColor="text1"/>
                <w:lang w:val="lv-LV"/>
              </w:rPr>
              <w:t xml:space="preserve">, </w:t>
            </w:r>
          </w:p>
          <w:p w14:paraId="08D305CD" w14:textId="585AC07A" w:rsidR="00883A54" w:rsidRPr="00165411" w:rsidRDefault="00883A54" w:rsidP="00883A54">
            <w:pPr>
              <w:jc w:val="both"/>
              <w:rPr>
                <w:color w:val="000000" w:themeColor="text1"/>
                <w:lang w:val="lv-LV"/>
              </w:rPr>
            </w:pPr>
            <w:r w:rsidRPr="00165411">
              <w:rPr>
                <w:color w:val="000000" w:themeColor="text1"/>
                <w:lang w:val="lv-LV"/>
              </w:rPr>
              <w:t xml:space="preserve">EKK 2000 – EUR </w:t>
            </w:r>
            <w:r w:rsidR="00F229E1">
              <w:rPr>
                <w:color w:val="000000" w:themeColor="text1"/>
                <w:lang w:val="lv-LV"/>
              </w:rPr>
              <w:t>201</w:t>
            </w:r>
            <w:r w:rsidRPr="00165411">
              <w:rPr>
                <w:color w:val="000000" w:themeColor="text1"/>
                <w:lang w:val="lv-LV"/>
              </w:rPr>
              <w:t>,</w:t>
            </w:r>
            <w:r w:rsidR="00F229E1">
              <w:rPr>
                <w:color w:val="000000" w:themeColor="text1"/>
                <w:lang w:val="lv-LV"/>
              </w:rPr>
              <w:t>96</w:t>
            </w:r>
            <w:r w:rsidRPr="00165411">
              <w:rPr>
                <w:color w:val="000000" w:themeColor="text1"/>
                <w:lang w:val="lv-LV"/>
              </w:rPr>
              <w:t>.</w:t>
            </w:r>
          </w:p>
          <w:p w14:paraId="2292492A" w14:textId="44312B1F" w:rsidR="00883A54" w:rsidRDefault="00883A54" w:rsidP="00883A54">
            <w:pPr>
              <w:jc w:val="both"/>
              <w:rPr>
                <w:color w:val="000000" w:themeColor="text1"/>
                <w:lang w:val="lv-LV"/>
              </w:rPr>
            </w:pPr>
            <w:r w:rsidRPr="00165411">
              <w:rPr>
                <w:color w:val="000000" w:themeColor="text1"/>
                <w:lang w:val="lv-LV"/>
              </w:rPr>
              <w:t>Paredzamais izskatīto paziņojumu skaits ir 35 gab., t.i., 35 gab. x 3</w:t>
            </w:r>
            <w:r w:rsidR="00297782">
              <w:rPr>
                <w:color w:val="000000" w:themeColor="text1"/>
                <w:lang w:val="lv-LV"/>
              </w:rPr>
              <w:t>8</w:t>
            </w:r>
            <w:r w:rsidRPr="00165411">
              <w:rPr>
                <w:color w:val="000000" w:themeColor="text1"/>
                <w:lang w:val="lv-LV"/>
              </w:rPr>
              <w:t>0,00 EUR/gab. = EUR 1</w:t>
            </w:r>
            <w:r w:rsidR="00297782">
              <w:rPr>
                <w:color w:val="000000" w:themeColor="text1"/>
                <w:lang w:val="lv-LV"/>
              </w:rPr>
              <w:t>3</w:t>
            </w:r>
            <w:r w:rsidRPr="00165411">
              <w:rPr>
                <w:color w:val="000000" w:themeColor="text1"/>
                <w:lang w:val="lv-LV"/>
              </w:rPr>
              <w:t xml:space="preserve"> </w:t>
            </w:r>
            <w:r w:rsidR="00297782">
              <w:rPr>
                <w:color w:val="000000" w:themeColor="text1"/>
                <w:lang w:val="lv-LV"/>
              </w:rPr>
              <w:t>300</w:t>
            </w:r>
            <w:r w:rsidRPr="00165411">
              <w:rPr>
                <w:color w:val="000000" w:themeColor="text1"/>
                <w:lang w:val="lv-LV"/>
              </w:rPr>
              <w:t>,00.</w:t>
            </w:r>
          </w:p>
          <w:p w14:paraId="610D92DE" w14:textId="7E1ACAEE" w:rsidR="00883A54" w:rsidRPr="00896579" w:rsidRDefault="006E0BCA" w:rsidP="006E0BCA">
            <w:pPr>
              <w:pStyle w:val="Sarakstarindkopa"/>
              <w:ind w:left="0"/>
              <w:jc w:val="both"/>
              <w:rPr>
                <w:color w:val="000000" w:themeColor="text1"/>
                <w:lang w:val="lv-LV"/>
              </w:rPr>
            </w:pPr>
            <w:r>
              <w:rPr>
                <w:color w:val="000000" w:themeColor="text1"/>
                <w:lang w:val="lv-LV"/>
              </w:rPr>
              <w:t>4.</w:t>
            </w:r>
            <w:r w:rsidR="00883A54" w:rsidRPr="00165411">
              <w:rPr>
                <w:color w:val="000000" w:themeColor="text1"/>
                <w:lang w:val="lv-LV"/>
              </w:rPr>
              <w:t>Valsts nodeva par katra papildu uztura bagātinātāja ar atšķirīgām organoleptiskajām īpašībām (piemēram, garšu, smaržu)</w:t>
            </w:r>
            <w:r w:rsidR="00883A54" w:rsidRPr="00896579">
              <w:rPr>
                <w:color w:val="000000" w:themeColor="text1"/>
                <w:lang w:val="lv-LV"/>
              </w:rPr>
              <w:t>:</w:t>
            </w:r>
          </w:p>
          <w:p w14:paraId="60C83AD8" w14:textId="77777777" w:rsidR="00883A54" w:rsidRPr="00165411" w:rsidRDefault="00883A54" w:rsidP="00883A54">
            <w:pPr>
              <w:rPr>
                <w:color w:val="000000" w:themeColor="text1"/>
                <w:lang w:val="lv-LV"/>
              </w:rPr>
            </w:pPr>
            <w:r w:rsidRPr="00896579">
              <w:rPr>
                <w:color w:val="000000" w:themeColor="text1"/>
                <w:lang w:val="lv-LV"/>
              </w:rPr>
              <w:t>4.1. pakalpojuma sniegšanā iesaistīto speciālistu atalgojums uz vienu pakalpojuma vienību: </w:t>
            </w:r>
            <w:r w:rsidR="00423956" w:rsidRPr="00165411">
              <w:rPr>
                <w:color w:val="000000" w:themeColor="text1"/>
                <w:lang w:val="lv-LV"/>
              </w:rPr>
              <w:t>2</w:t>
            </w:r>
            <w:r w:rsidRPr="00165411">
              <w:rPr>
                <w:color w:val="000000" w:themeColor="text1"/>
                <w:lang w:val="lv-LV"/>
              </w:rPr>
              <w:t xml:space="preserve"> st. x 8,48 EUR/st. = EUR </w:t>
            </w:r>
            <w:r w:rsidR="00423956" w:rsidRPr="00165411">
              <w:rPr>
                <w:color w:val="000000" w:themeColor="text1"/>
                <w:lang w:val="lv-LV"/>
              </w:rPr>
              <w:t>16,96</w:t>
            </w:r>
            <w:r w:rsidRPr="00165411">
              <w:rPr>
                <w:color w:val="000000" w:themeColor="text1"/>
                <w:lang w:val="lv-LV"/>
              </w:rPr>
              <w:t>;</w:t>
            </w:r>
          </w:p>
          <w:p w14:paraId="7C865565" w14:textId="504BC7B3" w:rsidR="00883A54" w:rsidRPr="00165411" w:rsidRDefault="00F56056" w:rsidP="00883A54">
            <w:pPr>
              <w:jc w:val="both"/>
              <w:rPr>
                <w:color w:val="000000" w:themeColor="text1"/>
                <w:lang w:val="lv-LV"/>
              </w:rPr>
            </w:pPr>
            <w:r>
              <w:rPr>
                <w:color w:val="000000" w:themeColor="text1"/>
                <w:lang w:val="lv-LV"/>
              </w:rPr>
              <w:t>4</w:t>
            </w:r>
            <w:r w:rsidR="00883A54" w:rsidRPr="00165411">
              <w:rPr>
                <w:color w:val="000000" w:themeColor="text1"/>
                <w:lang w:val="lv-LV"/>
              </w:rPr>
              <w:t>.2. tiešās izmaksas, kas saistītas ar pakalpojuma sniegšanu, uz vienu pakalpojuma vienību (materiālu izmaksas): EUR 0,84;</w:t>
            </w:r>
          </w:p>
          <w:p w14:paraId="4886F73B" w14:textId="108F49E0" w:rsidR="00883A54" w:rsidRPr="00165411" w:rsidRDefault="00F56056" w:rsidP="00883A54">
            <w:pPr>
              <w:jc w:val="both"/>
              <w:rPr>
                <w:color w:val="000000" w:themeColor="text1"/>
                <w:lang w:val="lv-LV"/>
              </w:rPr>
            </w:pPr>
            <w:r>
              <w:rPr>
                <w:color w:val="000000" w:themeColor="text1"/>
                <w:lang w:val="lv-LV"/>
              </w:rPr>
              <w:t>4</w:t>
            </w:r>
            <w:r w:rsidR="00883A54" w:rsidRPr="00165411">
              <w:rPr>
                <w:color w:val="000000" w:themeColor="text1"/>
                <w:lang w:val="lv-LV"/>
              </w:rPr>
              <w:t xml:space="preserve">.3. netiešās izmaksas, (izdevumi komandējumiem; sakaru, telpu uzturēšanas pakalpojumiem, administratīvās izmaksas, pamatlīdzekļu nolietojums u.c. izmaksas), kas saistītas ar pakalpojuma sniegšanu, uz vienu pakalpojuma vienību: EUR </w:t>
            </w:r>
            <w:r w:rsidR="00423956" w:rsidRPr="00165411">
              <w:rPr>
                <w:color w:val="000000" w:themeColor="text1"/>
                <w:lang w:val="lv-LV"/>
              </w:rPr>
              <w:t>1</w:t>
            </w:r>
            <w:r w:rsidR="00766D64">
              <w:rPr>
                <w:color w:val="000000" w:themeColor="text1"/>
                <w:lang w:val="lv-LV"/>
              </w:rPr>
              <w:t>7</w:t>
            </w:r>
            <w:r w:rsidR="00423956" w:rsidRPr="00165411">
              <w:rPr>
                <w:color w:val="000000" w:themeColor="text1"/>
                <w:lang w:val="lv-LV"/>
              </w:rPr>
              <w:t>,20</w:t>
            </w:r>
            <w:r w:rsidR="00883A54" w:rsidRPr="00165411">
              <w:rPr>
                <w:color w:val="000000" w:themeColor="text1"/>
                <w:lang w:val="lv-LV"/>
              </w:rPr>
              <w:t>.</w:t>
            </w:r>
          </w:p>
          <w:p w14:paraId="7CC76FDE" w14:textId="46675218" w:rsidR="00883A54" w:rsidRPr="00165411" w:rsidRDefault="00883A54" w:rsidP="00883A54">
            <w:pPr>
              <w:jc w:val="both"/>
              <w:rPr>
                <w:color w:val="000000" w:themeColor="text1"/>
                <w:lang w:val="lv-LV"/>
              </w:rPr>
            </w:pPr>
            <w:r w:rsidRPr="00165411">
              <w:rPr>
                <w:color w:val="000000" w:themeColor="text1"/>
                <w:lang w:val="lv-LV"/>
              </w:rPr>
              <w:t>Kopējās pakalpojuma izmaksas – EUR 3</w:t>
            </w:r>
            <w:r w:rsidR="000C5017">
              <w:rPr>
                <w:color w:val="000000" w:themeColor="text1"/>
                <w:lang w:val="lv-LV"/>
              </w:rPr>
              <w:t>5</w:t>
            </w:r>
            <w:r w:rsidRPr="00165411">
              <w:rPr>
                <w:color w:val="000000" w:themeColor="text1"/>
                <w:lang w:val="lv-LV"/>
              </w:rPr>
              <w:t>,00, t.sk.</w:t>
            </w:r>
          </w:p>
          <w:p w14:paraId="0A1B84E6" w14:textId="77777777" w:rsidR="00883A54" w:rsidRPr="00165411" w:rsidRDefault="00883A54" w:rsidP="00883A54">
            <w:pPr>
              <w:jc w:val="both"/>
              <w:rPr>
                <w:color w:val="000000" w:themeColor="text1"/>
                <w:lang w:val="lv-LV"/>
              </w:rPr>
            </w:pPr>
            <w:r w:rsidRPr="00165411">
              <w:rPr>
                <w:color w:val="000000" w:themeColor="text1"/>
                <w:lang w:val="lv-LV"/>
              </w:rPr>
              <w:t xml:space="preserve">EKK 1100 – EUR </w:t>
            </w:r>
            <w:r w:rsidR="00423956" w:rsidRPr="00165411">
              <w:rPr>
                <w:color w:val="000000" w:themeColor="text1"/>
                <w:lang w:val="lv-LV"/>
              </w:rPr>
              <w:t>13</w:t>
            </w:r>
            <w:r w:rsidRPr="00165411">
              <w:rPr>
                <w:color w:val="000000" w:themeColor="text1"/>
                <w:lang w:val="lv-LV"/>
              </w:rPr>
              <w:t>,</w:t>
            </w:r>
            <w:r w:rsidR="00423956" w:rsidRPr="00165411">
              <w:rPr>
                <w:color w:val="000000" w:themeColor="text1"/>
                <w:lang w:val="lv-LV"/>
              </w:rPr>
              <w:t>72</w:t>
            </w:r>
            <w:r w:rsidRPr="00165411">
              <w:rPr>
                <w:color w:val="000000" w:themeColor="text1"/>
                <w:lang w:val="lv-LV"/>
              </w:rPr>
              <w:t xml:space="preserve">, </w:t>
            </w:r>
          </w:p>
          <w:p w14:paraId="5CC618BC" w14:textId="77777777" w:rsidR="00883A54" w:rsidRPr="00165411" w:rsidRDefault="00883A54" w:rsidP="00883A54">
            <w:pPr>
              <w:jc w:val="both"/>
              <w:rPr>
                <w:color w:val="000000" w:themeColor="text1"/>
                <w:lang w:val="lv-LV"/>
              </w:rPr>
            </w:pPr>
            <w:r w:rsidRPr="00165411">
              <w:rPr>
                <w:color w:val="000000" w:themeColor="text1"/>
                <w:lang w:val="lv-LV"/>
              </w:rPr>
              <w:t xml:space="preserve">EKK 1200 – EUR </w:t>
            </w:r>
            <w:r w:rsidR="00423956" w:rsidRPr="00165411">
              <w:rPr>
                <w:color w:val="000000" w:themeColor="text1"/>
                <w:lang w:val="lv-LV"/>
              </w:rPr>
              <w:t>3,24</w:t>
            </w:r>
            <w:r w:rsidRPr="00165411">
              <w:rPr>
                <w:color w:val="000000" w:themeColor="text1"/>
                <w:lang w:val="lv-LV"/>
              </w:rPr>
              <w:t xml:space="preserve">, </w:t>
            </w:r>
          </w:p>
          <w:p w14:paraId="36AFD271" w14:textId="1C553B46" w:rsidR="00883A54" w:rsidRPr="00165411" w:rsidRDefault="00883A54" w:rsidP="00883A54">
            <w:pPr>
              <w:jc w:val="both"/>
              <w:rPr>
                <w:color w:val="000000" w:themeColor="text1"/>
                <w:lang w:val="lv-LV"/>
              </w:rPr>
            </w:pPr>
            <w:r w:rsidRPr="00165411">
              <w:rPr>
                <w:color w:val="000000" w:themeColor="text1"/>
                <w:lang w:val="lv-LV"/>
              </w:rPr>
              <w:t xml:space="preserve">EKK 2000 – EUR </w:t>
            </w:r>
            <w:r w:rsidR="00423956" w:rsidRPr="00165411">
              <w:rPr>
                <w:color w:val="000000" w:themeColor="text1"/>
                <w:lang w:val="lv-LV"/>
              </w:rPr>
              <w:t>1</w:t>
            </w:r>
            <w:r w:rsidR="000C5017">
              <w:rPr>
                <w:color w:val="000000" w:themeColor="text1"/>
                <w:lang w:val="lv-LV"/>
              </w:rPr>
              <w:t>8</w:t>
            </w:r>
            <w:r w:rsidR="00423956" w:rsidRPr="00165411">
              <w:rPr>
                <w:color w:val="000000" w:themeColor="text1"/>
                <w:lang w:val="lv-LV"/>
              </w:rPr>
              <w:t>,04</w:t>
            </w:r>
            <w:r w:rsidRPr="00165411">
              <w:rPr>
                <w:color w:val="000000" w:themeColor="text1"/>
                <w:lang w:val="lv-LV"/>
              </w:rPr>
              <w:t>.</w:t>
            </w:r>
          </w:p>
          <w:p w14:paraId="12291358" w14:textId="0F2EDC07" w:rsidR="00883A54" w:rsidRDefault="00883A54" w:rsidP="00883A54">
            <w:pPr>
              <w:jc w:val="both"/>
              <w:rPr>
                <w:color w:val="000000" w:themeColor="text1"/>
                <w:lang w:val="lv-LV"/>
              </w:rPr>
            </w:pPr>
            <w:r w:rsidRPr="00165411">
              <w:rPr>
                <w:color w:val="000000" w:themeColor="text1"/>
                <w:lang w:val="lv-LV"/>
              </w:rPr>
              <w:t xml:space="preserve">Paredzamais izskatīto paziņojumu skaits ir </w:t>
            </w:r>
            <w:r w:rsidR="00D553FB">
              <w:rPr>
                <w:color w:val="000000" w:themeColor="text1"/>
                <w:lang w:val="lv-LV"/>
              </w:rPr>
              <w:t>50</w:t>
            </w:r>
            <w:r w:rsidRPr="00165411">
              <w:rPr>
                <w:color w:val="000000" w:themeColor="text1"/>
                <w:lang w:val="lv-LV"/>
              </w:rPr>
              <w:t xml:space="preserve"> gab., t.i., </w:t>
            </w:r>
            <w:r w:rsidR="00D553FB">
              <w:rPr>
                <w:color w:val="000000" w:themeColor="text1"/>
                <w:lang w:val="lv-LV"/>
              </w:rPr>
              <w:t>50</w:t>
            </w:r>
            <w:r w:rsidRPr="00165411">
              <w:rPr>
                <w:color w:val="000000" w:themeColor="text1"/>
                <w:lang w:val="lv-LV"/>
              </w:rPr>
              <w:t xml:space="preserve"> gab. x 3</w:t>
            </w:r>
            <w:r w:rsidR="00D553FB">
              <w:rPr>
                <w:color w:val="000000" w:themeColor="text1"/>
                <w:lang w:val="lv-LV"/>
              </w:rPr>
              <w:t>5</w:t>
            </w:r>
            <w:r w:rsidRPr="00165411">
              <w:rPr>
                <w:color w:val="000000" w:themeColor="text1"/>
                <w:lang w:val="lv-LV"/>
              </w:rPr>
              <w:t xml:space="preserve">,00 EUR/gab. = EUR </w:t>
            </w:r>
            <w:r w:rsidR="00423956" w:rsidRPr="00165411">
              <w:rPr>
                <w:color w:val="000000" w:themeColor="text1"/>
                <w:lang w:val="lv-LV"/>
              </w:rPr>
              <w:t>1</w:t>
            </w:r>
            <w:r w:rsidR="00423956" w:rsidRPr="00165411">
              <w:rPr>
                <w:lang w:val="lv-LV"/>
              </w:rPr>
              <w:t> </w:t>
            </w:r>
            <w:r w:rsidR="00D553FB">
              <w:rPr>
                <w:lang w:val="lv-LV"/>
              </w:rPr>
              <w:t>750</w:t>
            </w:r>
            <w:r w:rsidRPr="00165411">
              <w:rPr>
                <w:color w:val="000000" w:themeColor="text1"/>
                <w:lang w:val="lv-LV"/>
              </w:rPr>
              <w:t>,00.</w:t>
            </w:r>
          </w:p>
          <w:p w14:paraId="4CD7C5B9" w14:textId="77777777" w:rsidR="005305CA" w:rsidRPr="00165411" w:rsidRDefault="00F73FC7" w:rsidP="009F71C1">
            <w:pPr>
              <w:pStyle w:val="Sarakstarindkopa1"/>
              <w:spacing w:after="0" w:line="240" w:lineRule="auto"/>
              <w:ind w:left="0"/>
              <w:jc w:val="both"/>
              <w:rPr>
                <w:rFonts w:ascii="Times New Roman" w:hAnsi="Times New Roman"/>
                <w:color w:val="000000" w:themeColor="text1"/>
                <w:sz w:val="24"/>
                <w:szCs w:val="24"/>
                <w:lang w:val="lv-LV"/>
              </w:rPr>
            </w:pPr>
            <w:r w:rsidRPr="00165411">
              <w:rPr>
                <w:rFonts w:ascii="Times New Roman" w:hAnsi="Times New Roman"/>
                <w:color w:val="000000" w:themeColor="text1"/>
                <w:sz w:val="24"/>
                <w:szCs w:val="24"/>
                <w:lang w:val="lv-LV"/>
              </w:rPr>
              <w:t>5</w:t>
            </w:r>
            <w:r w:rsidR="005305CA" w:rsidRPr="00165411">
              <w:rPr>
                <w:rFonts w:ascii="Times New Roman" w:hAnsi="Times New Roman"/>
                <w:color w:val="000000" w:themeColor="text1"/>
                <w:sz w:val="24"/>
                <w:szCs w:val="24"/>
                <w:lang w:val="lv-LV"/>
              </w:rPr>
              <w:t xml:space="preserve">. </w:t>
            </w:r>
            <w:r w:rsidRPr="00165411">
              <w:rPr>
                <w:rFonts w:ascii="Times New Roman" w:hAnsi="Times New Roman"/>
                <w:color w:val="000000" w:themeColor="text1"/>
                <w:sz w:val="24"/>
                <w:szCs w:val="24"/>
                <w:lang w:val="lv-LV"/>
              </w:rPr>
              <w:t>Valsts nodeva par izmaiņu reģistrēšanu uztura bagātinātāju reģistrā esošam uztura bagātinātājam</w:t>
            </w:r>
            <w:r w:rsidR="005305CA" w:rsidRPr="00165411">
              <w:rPr>
                <w:rFonts w:ascii="Times New Roman" w:hAnsi="Times New Roman"/>
                <w:color w:val="000000" w:themeColor="text1"/>
                <w:lang w:val="lv-LV"/>
              </w:rPr>
              <w:t>:</w:t>
            </w:r>
            <w:r w:rsidR="005305CA" w:rsidRPr="00165411">
              <w:rPr>
                <w:rFonts w:ascii="Times New Roman" w:hAnsi="Times New Roman"/>
                <w:color w:val="000000" w:themeColor="text1"/>
                <w:sz w:val="24"/>
                <w:szCs w:val="24"/>
                <w:lang w:val="lv-LV"/>
              </w:rPr>
              <w:t xml:space="preserve"> </w:t>
            </w:r>
          </w:p>
          <w:p w14:paraId="0CC9313D" w14:textId="77777777" w:rsidR="005305CA" w:rsidRPr="00165411" w:rsidRDefault="00F73FC7" w:rsidP="009F71C1">
            <w:pPr>
              <w:pStyle w:val="Sarakstarindkopa1"/>
              <w:spacing w:after="0" w:line="240" w:lineRule="auto"/>
              <w:ind w:left="0"/>
              <w:jc w:val="both"/>
              <w:rPr>
                <w:rFonts w:ascii="Times New Roman" w:hAnsi="Times New Roman"/>
                <w:color w:val="000000" w:themeColor="text1"/>
                <w:sz w:val="24"/>
                <w:szCs w:val="24"/>
                <w:lang w:val="lv-LV"/>
              </w:rPr>
            </w:pPr>
            <w:r w:rsidRPr="00165411">
              <w:rPr>
                <w:rFonts w:ascii="Times New Roman" w:hAnsi="Times New Roman"/>
                <w:color w:val="000000" w:themeColor="text1"/>
                <w:sz w:val="24"/>
                <w:szCs w:val="24"/>
                <w:lang w:val="lv-LV" w:eastAsia="fr-FR"/>
              </w:rPr>
              <w:t>5.1</w:t>
            </w:r>
            <w:r w:rsidR="005305CA" w:rsidRPr="00165411">
              <w:rPr>
                <w:rFonts w:ascii="Times New Roman" w:hAnsi="Times New Roman"/>
                <w:color w:val="000000" w:themeColor="text1"/>
                <w:sz w:val="24"/>
                <w:szCs w:val="24"/>
                <w:lang w:val="lv-LV" w:eastAsia="fr-FR"/>
              </w:rPr>
              <w:t xml:space="preserve">. </w:t>
            </w:r>
            <w:r w:rsidRPr="00165411">
              <w:rPr>
                <w:rFonts w:ascii="Times New Roman" w:hAnsi="Times New Roman"/>
                <w:color w:val="000000" w:themeColor="text1"/>
                <w:sz w:val="24"/>
                <w:szCs w:val="24"/>
                <w:lang w:val="lv-LV" w:eastAsia="fr-FR"/>
              </w:rPr>
              <w:t>ja tiek mainīts u</w:t>
            </w:r>
            <w:r w:rsidRPr="00165411">
              <w:rPr>
                <w:rFonts w:ascii="Times New Roman" w:hAnsi="Times New Roman"/>
                <w:color w:val="000000" w:themeColor="text1"/>
                <w:sz w:val="24"/>
                <w:szCs w:val="24"/>
                <w:lang w:val="lv-LV"/>
              </w:rPr>
              <w:t>ztura bagātinātāja pagatavojuma veids, fasējuma vienības lielums, ieteicamā dienas (diennakts) deva</w:t>
            </w:r>
            <w:r w:rsidRPr="00165411">
              <w:rPr>
                <w:rFonts w:ascii="Times New Roman" w:hAnsi="Times New Roman"/>
                <w:color w:val="000000" w:themeColor="text1"/>
                <w:sz w:val="24"/>
                <w:szCs w:val="24"/>
                <w:lang w:val="lv-LV" w:eastAsia="fr-FR"/>
              </w:rPr>
              <w:t>, s</w:t>
            </w:r>
            <w:r w:rsidRPr="00165411">
              <w:rPr>
                <w:rFonts w:ascii="Times New Roman" w:hAnsi="Times New Roman"/>
                <w:color w:val="000000" w:themeColor="text1"/>
                <w:sz w:val="24"/>
                <w:szCs w:val="24"/>
                <w:lang w:val="lv-LV"/>
              </w:rPr>
              <w:t>astāvdaļas vai sastāvdaļu daudzums</w:t>
            </w:r>
            <w:r w:rsidR="005305CA" w:rsidRPr="00165411">
              <w:rPr>
                <w:rFonts w:ascii="Times New Roman" w:hAnsi="Times New Roman"/>
                <w:color w:val="000000" w:themeColor="text1"/>
                <w:sz w:val="24"/>
                <w:szCs w:val="24"/>
                <w:lang w:val="lv-LV"/>
              </w:rPr>
              <w:t>:</w:t>
            </w:r>
          </w:p>
          <w:p w14:paraId="1D729B46" w14:textId="084EEEC6" w:rsidR="005305CA" w:rsidRPr="00165411" w:rsidRDefault="00F73FC7" w:rsidP="009F71C1">
            <w:pPr>
              <w:jc w:val="both"/>
              <w:rPr>
                <w:color w:val="000000" w:themeColor="text1"/>
                <w:lang w:val="lv-LV"/>
              </w:rPr>
            </w:pPr>
            <w:r w:rsidRPr="00165411">
              <w:rPr>
                <w:color w:val="000000" w:themeColor="text1"/>
                <w:lang w:val="lv-LV"/>
              </w:rPr>
              <w:t>5</w:t>
            </w:r>
            <w:r w:rsidR="005305CA" w:rsidRPr="00165411">
              <w:rPr>
                <w:color w:val="000000" w:themeColor="text1"/>
                <w:lang w:val="lv-LV"/>
              </w:rPr>
              <w:t>.1.1. pakalpojuma sniegšanā iesaistīto speciālistu atalgojums uz vienu pakalpojuma vienību: </w:t>
            </w:r>
            <w:r w:rsidR="00991834">
              <w:rPr>
                <w:color w:val="000000" w:themeColor="text1"/>
                <w:lang w:val="lv-LV"/>
              </w:rPr>
              <w:t>8</w:t>
            </w:r>
            <w:r w:rsidR="005305CA" w:rsidRPr="00165411">
              <w:rPr>
                <w:color w:val="000000" w:themeColor="text1"/>
                <w:lang w:val="lv-LV"/>
              </w:rPr>
              <w:t xml:space="preserve"> st. x 8,48 EUR/st. = EUR </w:t>
            </w:r>
            <w:r w:rsidR="00991834">
              <w:rPr>
                <w:color w:val="000000" w:themeColor="text1"/>
                <w:lang w:val="lv-LV"/>
              </w:rPr>
              <w:t>67</w:t>
            </w:r>
            <w:r w:rsidRPr="00165411">
              <w:rPr>
                <w:color w:val="000000" w:themeColor="text1"/>
                <w:lang w:val="lv-LV"/>
              </w:rPr>
              <w:t>,</w:t>
            </w:r>
            <w:r w:rsidR="00991834">
              <w:rPr>
                <w:color w:val="000000" w:themeColor="text1"/>
                <w:lang w:val="lv-LV"/>
              </w:rPr>
              <w:t>84</w:t>
            </w:r>
            <w:r w:rsidR="005305CA" w:rsidRPr="00165411">
              <w:rPr>
                <w:color w:val="000000" w:themeColor="text1"/>
                <w:lang w:val="lv-LV"/>
              </w:rPr>
              <w:t>;</w:t>
            </w:r>
          </w:p>
          <w:p w14:paraId="50BB830D" w14:textId="77777777" w:rsidR="005305CA" w:rsidRPr="00165411" w:rsidRDefault="00F73FC7" w:rsidP="009F71C1">
            <w:pPr>
              <w:jc w:val="both"/>
              <w:rPr>
                <w:color w:val="000000" w:themeColor="text1"/>
                <w:lang w:val="lv-LV"/>
              </w:rPr>
            </w:pPr>
            <w:r w:rsidRPr="00165411">
              <w:rPr>
                <w:color w:val="000000" w:themeColor="text1"/>
                <w:lang w:val="lv-LV"/>
              </w:rPr>
              <w:t>5</w:t>
            </w:r>
            <w:r w:rsidR="005305CA" w:rsidRPr="00165411">
              <w:rPr>
                <w:color w:val="000000" w:themeColor="text1"/>
                <w:lang w:val="lv-LV"/>
              </w:rPr>
              <w:t>.1.2. tiešās izmaksas, kas saistītas ar pakalpojuma sniegšanu uz vienu pakalpojuma vienību (materiālu izmaksas): EUR 0,84;</w:t>
            </w:r>
          </w:p>
          <w:p w14:paraId="449F7385" w14:textId="2FAE6B63" w:rsidR="005305CA" w:rsidRPr="00165411" w:rsidRDefault="00F73FC7" w:rsidP="009F71C1">
            <w:pPr>
              <w:jc w:val="both"/>
              <w:rPr>
                <w:color w:val="000000" w:themeColor="text1"/>
                <w:lang w:val="lv-LV"/>
              </w:rPr>
            </w:pPr>
            <w:r w:rsidRPr="00165411">
              <w:rPr>
                <w:color w:val="000000" w:themeColor="text1"/>
                <w:lang w:val="lv-LV"/>
              </w:rPr>
              <w:t>5.</w:t>
            </w:r>
            <w:r w:rsidR="005305CA" w:rsidRPr="00165411">
              <w:rPr>
                <w:color w:val="000000" w:themeColor="text1"/>
                <w:lang w:val="lv-LV"/>
              </w:rPr>
              <w:t>1.3. netiešās izmaksas, (izdevumi komandējumiem; sakaru, telpu uzturēšanas pakalpojumiem, administratīvās izmaksas, pamatlīdzekļu nolietojums u.c. izmaksas), kas saistītas ar pakalpojuma sniegšanu uz vienu pakalpojuma vienību: EUR</w:t>
            </w:r>
            <w:r w:rsidRPr="00165411">
              <w:rPr>
                <w:color w:val="000000" w:themeColor="text1"/>
                <w:lang w:val="lv-LV"/>
              </w:rPr>
              <w:t xml:space="preserve"> 3</w:t>
            </w:r>
            <w:r w:rsidR="00305B61">
              <w:rPr>
                <w:color w:val="000000" w:themeColor="text1"/>
                <w:lang w:val="lv-LV"/>
              </w:rPr>
              <w:t>1</w:t>
            </w:r>
            <w:r w:rsidRPr="00165411">
              <w:rPr>
                <w:color w:val="000000" w:themeColor="text1"/>
                <w:lang w:val="lv-LV"/>
              </w:rPr>
              <w:t>,3</w:t>
            </w:r>
            <w:r w:rsidR="00305B61">
              <w:rPr>
                <w:color w:val="000000" w:themeColor="text1"/>
                <w:lang w:val="lv-LV"/>
              </w:rPr>
              <w:t>3</w:t>
            </w:r>
            <w:r w:rsidR="005305CA" w:rsidRPr="00165411">
              <w:rPr>
                <w:color w:val="000000" w:themeColor="text1"/>
                <w:lang w:val="lv-LV"/>
              </w:rPr>
              <w:t>.</w:t>
            </w:r>
          </w:p>
          <w:p w14:paraId="341FA170" w14:textId="18EE12A3" w:rsidR="005305CA" w:rsidRPr="00896579" w:rsidRDefault="005305CA" w:rsidP="009F71C1">
            <w:pPr>
              <w:jc w:val="both"/>
              <w:rPr>
                <w:color w:val="000000" w:themeColor="text1"/>
                <w:lang w:val="lv-LV"/>
              </w:rPr>
            </w:pPr>
            <w:r w:rsidRPr="00165411">
              <w:rPr>
                <w:color w:val="000000" w:themeColor="text1"/>
                <w:lang w:val="lv-LV"/>
              </w:rPr>
              <w:t xml:space="preserve">Kopējā pakalpojuma izmaksa – EUR </w:t>
            </w:r>
            <w:r w:rsidR="00F73FC7" w:rsidRPr="00165411">
              <w:rPr>
                <w:color w:val="000000" w:themeColor="text1"/>
                <w:lang w:val="lv-LV"/>
              </w:rPr>
              <w:t>1</w:t>
            </w:r>
            <w:r w:rsidR="004F53AE">
              <w:rPr>
                <w:color w:val="000000" w:themeColor="text1"/>
                <w:lang w:val="lv-LV"/>
              </w:rPr>
              <w:t>0</w:t>
            </w:r>
            <w:r w:rsidR="00F73FC7" w:rsidRPr="00165411">
              <w:rPr>
                <w:color w:val="000000" w:themeColor="text1"/>
                <w:lang w:val="lv-LV"/>
              </w:rPr>
              <w:t>0</w:t>
            </w:r>
            <w:r w:rsidRPr="00165411">
              <w:rPr>
                <w:color w:val="000000" w:themeColor="text1"/>
                <w:lang w:val="lv-LV"/>
              </w:rPr>
              <w:t>,00, t.sk.</w:t>
            </w:r>
          </w:p>
          <w:p w14:paraId="3C8123A6" w14:textId="38701CA6" w:rsidR="005305CA" w:rsidRPr="00165411" w:rsidRDefault="005305CA" w:rsidP="009F71C1">
            <w:pPr>
              <w:jc w:val="both"/>
              <w:rPr>
                <w:color w:val="000000" w:themeColor="text1"/>
                <w:lang w:val="lv-LV"/>
              </w:rPr>
            </w:pPr>
            <w:r w:rsidRPr="00165411">
              <w:rPr>
                <w:color w:val="000000" w:themeColor="text1"/>
                <w:lang w:val="lv-LV"/>
              </w:rPr>
              <w:t xml:space="preserve">EKK 1100 – EUR </w:t>
            </w:r>
            <w:r w:rsidR="004F53AE">
              <w:rPr>
                <w:color w:val="000000" w:themeColor="text1"/>
                <w:lang w:val="lv-LV"/>
              </w:rPr>
              <w:t>54</w:t>
            </w:r>
            <w:r w:rsidR="00F73FC7" w:rsidRPr="00165411">
              <w:rPr>
                <w:color w:val="000000" w:themeColor="text1"/>
                <w:lang w:val="lv-LV"/>
              </w:rPr>
              <w:t>,</w:t>
            </w:r>
            <w:r w:rsidR="004F53AE">
              <w:rPr>
                <w:color w:val="000000" w:themeColor="text1"/>
                <w:lang w:val="lv-LV"/>
              </w:rPr>
              <w:t>88</w:t>
            </w:r>
            <w:r w:rsidRPr="00165411">
              <w:rPr>
                <w:color w:val="000000" w:themeColor="text1"/>
                <w:lang w:val="lv-LV"/>
              </w:rPr>
              <w:t xml:space="preserve">, </w:t>
            </w:r>
          </w:p>
          <w:p w14:paraId="4141689A" w14:textId="08538754" w:rsidR="005305CA" w:rsidRPr="00165411" w:rsidRDefault="005305CA" w:rsidP="009F71C1">
            <w:pPr>
              <w:jc w:val="both"/>
              <w:rPr>
                <w:color w:val="000000" w:themeColor="text1"/>
                <w:lang w:val="lv-LV"/>
              </w:rPr>
            </w:pPr>
            <w:r w:rsidRPr="00165411">
              <w:rPr>
                <w:color w:val="000000" w:themeColor="text1"/>
                <w:lang w:val="lv-LV"/>
              </w:rPr>
              <w:t xml:space="preserve">EKK 1200 – EUR </w:t>
            </w:r>
            <w:r w:rsidR="00F73FC7" w:rsidRPr="00165411">
              <w:rPr>
                <w:color w:val="000000" w:themeColor="text1"/>
                <w:lang w:val="lv-LV"/>
              </w:rPr>
              <w:t>1</w:t>
            </w:r>
            <w:r w:rsidR="004F53AE">
              <w:rPr>
                <w:color w:val="000000" w:themeColor="text1"/>
                <w:lang w:val="lv-LV"/>
              </w:rPr>
              <w:t>2</w:t>
            </w:r>
            <w:r w:rsidR="00F73FC7" w:rsidRPr="00165411">
              <w:rPr>
                <w:color w:val="000000" w:themeColor="text1"/>
                <w:lang w:val="lv-LV"/>
              </w:rPr>
              <w:t>,</w:t>
            </w:r>
            <w:r w:rsidR="004F53AE">
              <w:rPr>
                <w:color w:val="000000" w:themeColor="text1"/>
                <w:lang w:val="lv-LV"/>
              </w:rPr>
              <w:t>95</w:t>
            </w:r>
            <w:r w:rsidRPr="00165411">
              <w:rPr>
                <w:color w:val="000000" w:themeColor="text1"/>
                <w:lang w:val="lv-LV"/>
              </w:rPr>
              <w:t xml:space="preserve">, </w:t>
            </w:r>
          </w:p>
          <w:p w14:paraId="0556B8DC" w14:textId="43EFFDB0" w:rsidR="005305CA" w:rsidRPr="00896579" w:rsidRDefault="005305CA" w:rsidP="009F71C1">
            <w:pPr>
              <w:jc w:val="both"/>
              <w:rPr>
                <w:color w:val="000000" w:themeColor="text1"/>
                <w:lang w:val="lv-LV"/>
              </w:rPr>
            </w:pPr>
            <w:r w:rsidRPr="00165411">
              <w:rPr>
                <w:color w:val="000000" w:themeColor="text1"/>
                <w:lang w:val="lv-LV"/>
              </w:rPr>
              <w:t xml:space="preserve">EKK 2000 – EUR </w:t>
            </w:r>
            <w:r w:rsidR="00F73FC7" w:rsidRPr="00165411">
              <w:rPr>
                <w:color w:val="000000" w:themeColor="text1"/>
                <w:lang w:val="lv-LV"/>
              </w:rPr>
              <w:t>3</w:t>
            </w:r>
            <w:r w:rsidR="004F53AE">
              <w:rPr>
                <w:color w:val="000000" w:themeColor="text1"/>
                <w:lang w:val="lv-LV"/>
              </w:rPr>
              <w:t>2</w:t>
            </w:r>
            <w:r w:rsidRPr="00165411">
              <w:rPr>
                <w:color w:val="000000" w:themeColor="text1"/>
                <w:lang w:val="lv-LV"/>
              </w:rPr>
              <w:t>,</w:t>
            </w:r>
            <w:r w:rsidR="004F53AE">
              <w:rPr>
                <w:color w:val="000000" w:themeColor="text1"/>
                <w:lang w:val="lv-LV"/>
              </w:rPr>
              <w:t>17</w:t>
            </w:r>
            <w:r w:rsidRPr="00165411">
              <w:rPr>
                <w:color w:val="000000" w:themeColor="text1"/>
                <w:lang w:val="lv-LV"/>
              </w:rPr>
              <w:t>.</w:t>
            </w:r>
          </w:p>
          <w:p w14:paraId="6AFE8C63" w14:textId="030EEC82" w:rsidR="005305CA" w:rsidRPr="00896579" w:rsidRDefault="005305CA" w:rsidP="009F71C1">
            <w:pPr>
              <w:jc w:val="both"/>
              <w:rPr>
                <w:color w:val="000000" w:themeColor="text1"/>
                <w:lang w:val="lv-LV"/>
              </w:rPr>
            </w:pPr>
            <w:r w:rsidRPr="00165411">
              <w:rPr>
                <w:color w:val="000000" w:themeColor="text1"/>
                <w:lang w:val="lv-LV"/>
              </w:rPr>
              <w:t xml:space="preserve">Paredzamais </w:t>
            </w:r>
            <w:r w:rsidR="00F73FC7" w:rsidRPr="00165411">
              <w:rPr>
                <w:color w:val="000000" w:themeColor="text1"/>
                <w:lang w:val="lv-LV"/>
              </w:rPr>
              <w:t xml:space="preserve">izskatīto iesniegumu skaits ir </w:t>
            </w:r>
            <w:r w:rsidR="00BC647B">
              <w:rPr>
                <w:color w:val="000000" w:themeColor="text1"/>
                <w:lang w:val="lv-LV"/>
              </w:rPr>
              <w:t>425</w:t>
            </w:r>
            <w:r w:rsidRPr="00165411">
              <w:rPr>
                <w:color w:val="000000" w:themeColor="text1"/>
                <w:lang w:val="lv-LV"/>
              </w:rPr>
              <w:t xml:space="preserve"> gab., t.i., </w:t>
            </w:r>
            <w:r w:rsidR="00BC647B">
              <w:rPr>
                <w:color w:val="000000" w:themeColor="text1"/>
                <w:lang w:val="lv-LV"/>
              </w:rPr>
              <w:t>425</w:t>
            </w:r>
            <w:r w:rsidRPr="00165411">
              <w:rPr>
                <w:color w:val="000000" w:themeColor="text1"/>
                <w:lang w:val="lv-LV"/>
              </w:rPr>
              <w:t xml:space="preserve"> gab. x </w:t>
            </w:r>
            <w:r w:rsidR="00F73FC7" w:rsidRPr="00165411">
              <w:rPr>
                <w:color w:val="000000" w:themeColor="text1"/>
                <w:lang w:val="lv-LV"/>
              </w:rPr>
              <w:t>120</w:t>
            </w:r>
            <w:r w:rsidRPr="00165411">
              <w:rPr>
                <w:color w:val="000000" w:themeColor="text1"/>
                <w:lang w:val="lv-LV"/>
              </w:rPr>
              <w:t xml:space="preserve">,00 EUR/gab. = EUR </w:t>
            </w:r>
            <w:r w:rsidR="00B059DA">
              <w:rPr>
                <w:color w:val="000000" w:themeColor="text1"/>
                <w:lang w:val="lv-LV"/>
              </w:rPr>
              <w:t>42</w:t>
            </w:r>
            <w:r w:rsidR="00F73FC7" w:rsidRPr="00165411">
              <w:rPr>
                <w:color w:val="000000" w:themeColor="text1"/>
                <w:lang w:val="lv-LV"/>
              </w:rPr>
              <w:t xml:space="preserve"> </w:t>
            </w:r>
            <w:r w:rsidR="00B059DA">
              <w:rPr>
                <w:color w:val="000000" w:themeColor="text1"/>
                <w:lang w:val="lv-LV"/>
              </w:rPr>
              <w:t>5</w:t>
            </w:r>
            <w:r w:rsidR="00F73FC7" w:rsidRPr="00165411">
              <w:rPr>
                <w:color w:val="000000" w:themeColor="text1"/>
                <w:lang w:val="lv-LV"/>
              </w:rPr>
              <w:t>00</w:t>
            </w:r>
            <w:r w:rsidRPr="00165411">
              <w:rPr>
                <w:color w:val="000000" w:themeColor="text1"/>
                <w:lang w:val="lv-LV"/>
              </w:rPr>
              <w:t>,00;</w:t>
            </w:r>
          </w:p>
          <w:p w14:paraId="425CA235" w14:textId="77777777" w:rsidR="005305CA" w:rsidRPr="00896579" w:rsidRDefault="00F73FC7" w:rsidP="009F71C1">
            <w:pPr>
              <w:jc w:val="both"/>
              <w:rPr>
                <w:color w:val="000000" w:themeColor="text1"/>
                <w:lang w:val="lv-LV"/>
              </w:rPr>
            </w:pPr>
            <w:r w:rsidRPr="00165411">
              <w:rPr>
                <w:color w:val="000000" w:themeColor="text1"/>
                <w:lang w:val="lv-LV"/>
              </w:rPr>
              <w:t>5</w:t>
            </w:r>
            <w:r w:rsidR="005305CA" w:rsidRPr="00165411">
              <w:rPr>
                <w:color w:val="000000" w:themeColor="text1"/>
                <w:lang w:val="lv-LV"/>
              </w:rPr>
              <w:t xml:space="preserve">.2. </w:t>
            </w:r>
            <w:r w:rsidRPr="00165411">
              <w:rPr>
                <w:color w:val="000000" w:themeColor="text1"/>
                <w:lang w:val="lv-LV"/>
              </w:rPr>
              <w:t>ja tiek izdarītas izmaiņas marķējumā vai citā pievienotajā informācijā, piemēram, lietošanas pamācībā, ja tās nav saistītas ar 5.1. apakšpunktā minētajām izmaiņām</w:t>
            </w:r>
            <w:r w:rsidR="005305CA" w:rsidRPr="00165411">
              <w:rPr>
                <w:color w:val="000000" w:themeColor="text1"/>
                <w:lang w:val="lv-LV"/>
              </w:rPr>
              <w:t>:</w:t>
            </w:r>
          </w:p>
          <w:p w14:paraId="76C7A8FC" w14:textId="33A38E78" w:rsidR="005305CA" w:rsidRPr="00165411" w:rsidRDefault="00F56056" w:rsidP="009F71C1">
            <w:pPr>
              <w:jc w:val="both"/>
              <w:rPr>
                <w:color w:val="000000" w:themeColor="text1"/>
                <w:lang w:val="lv-LV"/>
              </w:rPr>
            </w:pPr>
            <w:r>
              <w:rPr>
                <w:color w:val="000000" w:themeColor="text1"/>
                <w:lang w:val="lv-LV"/>
              </w:rPr>
              <w:t>5</w:t>
            </w:r>
            <w:r w:rsidR="005305CA" w:rsidRPr="00165411">
              <w:rPr>
                <w:color w:val="000000" w:themeColor="text1"/>
                <w:lang w:val="lv-LV"/>
              </w:rPr>
              <w:t>.2.1. pakalpojuma sniegšanā iesaistīto speciālistu atalgojums</w:t>
            </w:r>
            <w:r w:rsidR="00F73FC7" w:rsidRPr="00165411">
              <w:rPr>
                <w:color w:val="000000" w:themeColor="text1"/>
                <w:lang w:val="lv-LV"/>
              </w:rPr>
              <w:t xml:space="preserve"> uz vienu pakalpojuma vienību: </w:t>
            </w:r>
            <w:r w:rsidR="009E1488">
              <w:rPr>
                <w:color w:val="000000" w:themeColor="text1"/>
                <w:lang w:val="lv-LV"/>
              </w:rPr>
              <w:t>3</w:t>
            </w:r>
            <w:r w:rsidR="005305CA" w:rsidRPr="00165411">
              <w:rPr>
                <w:color w:val="000000" w:themeColor="text1"/>
                <w:lang w:val="lv-LV"/>
              </w:rPr>
              <w:t xml:space="preserve"> st. x 8,48 EUR/st. = EUR </w:t>
            </w:r>
            <w:r w:rsidR="009E1488">
              <w:rPr>
                <w:color w:val="000000" w:themeColor="text1"/>
                <w:lang w:val="lv-LV"/>
              </w:rPr>
              <w:t>25</w:t>
            </w:r>
            <w:r w:rsidR="00F73FC7" w:rsidRPr="00165411">
              <w:rPr>
                <w:color w:val="000000" w:themeColor="text1"/>
                <w:lang w:val="lv-LV"/>
              </w:rPr>
              <w:t>,</w:t>
            </w:r>
            <w:r w:rsidR="009E1488">
              <w:rPr>
                <w:color w:val="000000" w:themeColor="text1"/>
                <w:lang w:val="lv-LV"/>
              </w:rPr>
              <w:t>44</w:t>
            </w:r>
            <w:r w:rsidR="005305CA" w:rsidRPr="00165411">
              <w:rPr>
                <w:color w:val="000000" w:themeColor="text1"/>
                <w:lang w:val="lv-LV"/>
              </w:rPr>
              <w:t>;</w:t>
            </w:r>
          </w:p>
          <w:p w14:paraId="64AAD4AA" w14:textId="131FB403" w:rsidR="005305CA" w:rsidRPr="00165411" w:rsidRDefault="00F56056" w:rsidP="009F71C1">
            <w:pPr>
              <w:jc w:val="both"/>
              <w:rPr>
                <w:color w:val="000000" w:themeColor="text1"/>
                <w:lang w:val="lv-LV"/>
              </w:rPr>
            </w:pPr>
            <w:r>
              <w:rPr>
                <w:color w:val="000000" w:themeColor="text1"/>
                <w:lang w:val="lv-LV"/>
              </w:rPr>
              <w:lastRenderedPageBreak/>
              <w:t>5</w:t>
            </w:r>
            <w:r w:rsidR="005305CA" w:rsidRPr="00165411">
              <w:rPr>
                <w:color w:val="000000" w:themeColor="text1"/>
                <w:lang w:val="lv-LV"/>
              </w:rPr>
              <w:t>.2.2. tiešās izmaksas, kas saistītas ar pakalpojuma sniegšanu, uz vienu pakalpojuma vienību (materiālu izmaksas): EUR 0,84;</w:t>
            </w:r>
          </w:p>
          <w:p w14:paraId="08AD6730" w14:textId="3AED14BB" w:rsidR="005305CA" w:rsidRPr="00165411" w:rsidRDefault="00F56056" w:rsidP="009F71C1">
            <w:pPr>
              <w:jc w:val="both"/>
              <w:rPr>
                <w:color w:val="000000" w:themeColor="text1"/>
                <w:lang w:val="lv-LV"/>
              </w:rPr>
            </w:pPr>
            <w:r>
              <w:rPr>
                <w:color w:val="000000" w:themeColor="text1"/>
                <w:lang w:val="lv-LV"/>
              </w:rPr>
              <w:t>5</w:t>
            </w:r>
            <w:r w:rsidR="005305CA" w:rsidRPr="00165411">
              <w:rPr>
                <w:color w:val="000000" w:themeColor="text1"/>
                <w:lang w:val="lv-LV"/>
              </w:rPr>
              <w:t xml:space="preserve">.2.3. netiešās izmaksas, (izdevumi komandējumiem; sakaru, telpu uzturēšanas pakalpojumiem, administratīvās izmaksas, pamatlīdzekļu nolietojums u.c. izmaksas), kas saistītas ar pakalpojuma sniegšanu, uz vienu pakalpojuma vienību: EUR </w:t>
            </w:r>
            <w:r w:rsidR="00383B46">
              <w:rPr>
                <w:color w:val="000000" w:themeColor="text1"/>
                <w:lang w:val="lv-LV"/>
              </w:rPr>
              <w:t>23</w:t>
            </w:r>
            <w:r w:rsidR="00F73FC7" w:rsidRPr="00165411">
              <w:rPr>
                <w:color w:val="000000" w:themeColor="text1"/>
                <w:lang w:val="lv-LV"/>
              </w:rPr>
              <w:t>,</w:t>
            </w:r>
            <w:r w:rsidR="00383B46">
              <w:rPr>
                <w:color w:val="000000" w:themeColor="text1"/>
                <w:lang w:val="lv-LV"/>
              </w:rPr>
              <w:t>73</w:t>
            </w:r>
            <w:r w:rsidR="005305CA" w:rsidRPr="00165411">
              <w:rPr>
                <w:color w:val="000000" w:themeColor="text1"/>
                <w:lang w:val="lv-LV"/>
              </w:rPr>
              <w:t>.</w:t>
            </w:r>
          </w:p>
          <w:p w14:paraId="7F5C3F5A" w14:textId="77777777" w:rsidR="005305CA" w:rsidRPr="00165411" w:rsidRDefault="005305CA" w:rsidP="009F71C1">
            <w:pPr>
              <w:jc w:val="both"/>
              <w:rPr>
                <w:color w:val="000000" w:themeColor="text1"/>
                <w:lang w:val="lv-LV"/>
              </w:rPr>
            </w:pPr>
            <w:r w:rsidRPr="00165411">
              <w:rPr>
                <w:color w:val="000000" w:themeColor="text1"/>
                <w:lang w:val="lv-LV"/>
              </w:rPr>
              <w:t xml:space="preserve">Kopējās pakalpojuma izmaksas – EUR </w:t>
            </w:r>
            <w:r w:rsidR="00F73FC7" w:rsidRPr="00165411">
              <w:rPr>
                <w:color w:val="000000" w:themeColor="text1"/>
                <w:lang w:val="lv-LV"/>
              </w:rPr>
              <w:t>50</w:t>
            </w:r>
            <w:r w:rsidRPr="00165411">
              <w:rPr>
                <w:color w:val="000000" w:themeColor="text1"/>
                <w:lang w:val="lv-LV"/>
              </w:rPr>
              <w:t>,00, t.sk.</w:t>
            </w:r>
          </w:p>
          <w:p w14:paraId="10F75244" w14:textId="311407C1" w:rsidR="005305CA" w:rsidRPr="00165411" w:rsidRDefault="005305CA" w:rsidP="009F71C1">
            <w:pPr>
              <w:jc w:val="both"/>
              <w:rPr>
                <w:color w:val="000000" w:themeColor="text1"/>
                <w:lang w:val="lv-LV"/>
              </w:rPr>
            </w:pPr>
            <w:r w:rsidRPr="00165411">
              <w:rPr>
                <w:color w:val="000000" w:themeColor="text1"/>
                <w:lang w:val="lv-LV"/>
              </w:rPr>
              <w:t xml:space="preserve">EKK 1100 – EUR </w:t>
            </w:r>
            <w:r w:rsidR="00383B46">
              <w:rPr>
                <w:color w:val="000000" w:themeColor="text1"/>
                <w:lang w:val="lv-LV"/>
              </w:rPr>
              <w:t>20</w:t>
            </w:r>
            <w:r w:rsidRPr="00165411">
              <w:rPr>
                <w:color w:val="000000" w:themeColor="text1"/>
                <w:lang w:val="lv-LV"/>
              </w:rPr>
              <w:t>,</w:t>
            </w:r>
            <w:r w:rsidR="00383B46">
              <w:rPr>
                <w:color w:val="000000" w:themeColor="text1"/>
                <w:lang w:val="lv-LV"/>
              </w:rPr>
              <w:t>58</w:t>
            </w:r>
            <w:r w:rsidRPr="00165411">
              <w:rPr>
                <w:color w:val="000000" w:themeColor="text1"/>
                <w:lang w:val="lv-LV"/>
              </w:rPr>
              <w:t xml:space="preserve">, </w:t>
            </w:r>
          </w:p>
          <w:p w14:paraId="7B1BA3D6" w14:textId="5AE6372E" w:rsidR="005305CA" w:rsidRPr="00165411" w:rsidRDefault="00F73FC7" w:rsidP="009F71C1">
            <w:pPr>
              <w:jc w:val="both"/>
              <w:rPr>
                <w:color w:val="000000" w:themeColor="text1"/>
                <w:lang w:val="lv-LV"/>
              </w:rPr>
            </w:pPr>
            <w:r w:rsidRPr="00165411">
              <w:rPr>
                <w:color w:val="000000" w:themeColor="text1"/>
                <w:lang w:val="lv-LV"/>
              </w:rPr>
              <w:t xml:space="preserve">EKK 1200 – EUR </w:t>
            </w:r>
            <w:r w:rsidR="00383B46">
              <w:rPr>
                <w:color w:val="000000" w:themeColor="text1"/>
                <w:lang w:val="lv-LV"/>
              </w:rPr>
              <w:t>4</w:t>
            </w:r>
            <w:r w:rsidR="005305CA" w:rsidRPr="00165411">
              <w:rPr>
                <w:color w:val="000000" w:themeColor="text1"/>
                <w:lang w:val="lv-LV"/>
              </w:rPr>
              <w:t>,</w:t>
            </w:r>
            <w:r w:rsidR="00383B46">
              <w:rPr>
                <w:color w:val="000000" w:themeColor="text1"/>
                <w:lang w:val="lv-LV"/>
              </w:rPr>
              <w:t>85</w:t>
            </w:r>
            <w:r w:rsidR="005305CA" w:rsidRPr="00165411">
              <w:rPr>
                <w:color w:val="000000" w:themeColor="text1"/>
                <w:lang w:val="lv-LV"/>
              </w:rPr>
              <w:t xml:space="preserve">, </w:t>
            </w:r>
          </w:p>
          <w:p w14:paraId="6E693E3A" w14:textId="0CBA96D8" w:rsidR="005305CA" w:rsidRPr="00165411" w:rsidRDefault="005305CA" w:rsidP="009F71C1">
            <w:pPr>
              <w:jc w:val="both"/>
              <w:rPr>
                <w:color w:val="000000" w:themeColor="text1"/>
                <w:lang w:val="lv-LV"/>
              </w:rPr>
            </w:pPr>
            <w:r w:rsidRPr="00165411">
              <w:rPr>
                <w:color w:val="000000" w:themeColor="text1"/>
                <w:lang w:val="lv-LV"/>
              </w:rPr>
              <w:t xml:space="preserve">EKK 2000 – EUR </w:t>
            </w:r>
            <w:r w:rsidR="00383B46">
              <w:rPr>
                <w:color w:val="000000" w:themeColor="text1"/>
                <w:lang w:val="lv-LV"/>
              </w:rPr>
              <w:t>24</w:t>
            </w:r>
            <w:r w:rsidRPr="00165411">
              <w:rPr>
                <w:color w:val="000000" w:themeColor="text1"/>
                <w:lang w:val="lv-LV"/>
              </w:rPr>
              <w:t>,</w:t>
            </w:r>
            <w:r w:rsidR="00383B46">
              <w:rPr>
                <w:color w:val="000000" w:themeColor="text1"/>
                <w:lang w:val="lv-LV"/>
              </w:rPr>
              <w:t>57</w:t>
            </w:r>
            <w:r w:rsidR="00F73FC7" w:rsidRPr="00165411">
              <w:rPr>
                <w:color w:val="000000" w:themeColor="text1"/>
                <w:lang w:val="lv-LV"/>
              </w:rPr>
              <w:t>.</w:t>
            </w:r>
          </w:p>
          <w:p w14:paraId="56853014" w14:textId="77777777" w:rsidR="005305CA" w:rsidRPr="00896579" w:rsidRDefault="005305CA" w:rsidP="004407F5">
            <w:pPr>
              <w:jc w:val="both"/>
              <w:rPr>
                <w:color w:val="000000" w:themeColor="text1"/>
                <w:lang w:val="lv-LV"/>
              </w:rPr>
            </w:pPr>
            <w:r w:rsidRPr="00165411">
              <w:rPr>
                <w:color w:val="000000" w:themeColor="text1"/>
                <w:lang w:val="lv-LV"/>
              </w:rPr>
              <w:t xml:space="preserve">Paredzamais </w:t>
            </w:r>
            <w:r w:rsidR="00F73FC7" w:rsidRPr="00165411">
              <w:rPr>
                <w:color w:val="000000" w:themeColor="text1"/>
                <w:lang w:val="lv-LV"/>
              </w:rPr>
              <w:t>izskatīto iesniegumu skaits ir 30</w:t>
            </w:r>
            <w:r w:rsidRPr="00165411">
              <w:rPr>
                <w:color w:val="000000" w:themeColor="text1"/>
                <w:lang w:val="lv-LV"/>
              </w:rPr>
              <w:t xml:space="preserve"> gab., t.i., 3</w:t>
            </w:r>
            <w:r w:rsidR="00F73FC7" w:rsidRPr="00165411">
              <w:rPr>
                <w:color w:val="000000" w:themeColor="text1"/>
                <w:lang w:val="lv-LV"/>
              </w:rPr>
              <w:t>0 gab. x 50</w:t>
            </w:r>
            <w:r w:rsidRPr="00165411">
              <w:rPr>
                <w:color w:val="000000" w:themeColor="text1"/>
                <w:lang w:val="lv-LV"/>
              </w:rPr>
              <w:t xml:space="preserve">,00 EUR/gab. = EUR </w:t>
            </w:r>
            <w:r w:rsidR="00F73FC7" w:rsidRPr="00165411">
              <w:rPr>
                <w:color w:val="000000" w:themeColor="text1"/>
                <w:lang w:val="lv-LV"/>
              </w:rPr>
              <w:t>1</w:t>
            </w:r>
            <w:r w:rsidRPr="00165411">
              <w:rPr>
                <w:color w:val="000000" w:themeColor="text1"/>
                <w:lang w:val="lv-LV"/>
              </w:rPr>
              <w:t xml:space="preserve"> </w:t>
            </w:r>
            <w:r w:rsidR="00F73FC7" w:rsidRPr="00165411">
              <w:rPr>
                <w:color w:val="000000" w:themeColor="text1"/>
                <w:lang w:val="lv-LV"/>
              </w:rPr>
              <w:t>5</w:t>
            </w:r>
            <w:r w:rsidRPr="00165411">
              <w:rPr>
                <w:color w:val="000000" w:themeColor="text1"/>
                <w:lang w:val="lv-LV"/>
              </w:rPr>
              <w:t>00,00;</w:t>
            </w:r>
          </w:p>
        </w:tc>
      </w:tr>
      <w:tr w:rsidR="005305CA" w:rsidRPr="000952F6" w14:paraId="0323492A" w14:textId="77777777" w:rsidTr="0058357C">
        <w:trPr>
          <w:trHeight w:val="65"/>
          <w:jc w:val="center"/>
        </w:trPr>
        <w:tc>
          <w:tcPr>
            <w:tcW w:w="1478" w:type="pct"/>
            <w:tcBorders>
              <w:top w:val="single" w:sz="6" w:space="0" w:color="auto"/>
              <w:left w:val="single" w:sz="6" w:space="0" w:color="auto"/>
              <w:bottom w:val="single" w:sz="6" w:space="0" w:color="auto"/>
              <w:right w:val="single" w:sz="6" w:space="0" w:color="auto"/>
            </w:tcBorders>
            <w:hideMark/>
          </w:tcPr>
          <w:p w14:paraId="5F10CB33" w14:textId="77777777" w:rsidR="005305CA" w:rsidRPr="00896579" w:rsidRDefault="005305CA">
            <w:pPr>
              <w:pStyle w:val="Sarakstarindkopa1"/>
              <w:spacing w:after="0" w:line="240" w:lineRule="auto"/>
              <w:ind w:left="0"/>
              <w:jc w:val="both"/>
              <w:rPr>
                <w:rFonts w:ascii="Times New Roman" w:hAnsi="Times New Roman"/>
                <w:sz w:val="24"/>
                <w:szCs w:val="24"/>
                <w:lang w:val="lv-LV"/>
              </w:rPr>
            </w:pPr>
            <w:r w:rsidRPr="00896579">
              <w:rPr>
                <w:rFonts w:ascii="Times New Roman" w:hAnsi="Times New Roman"/>
                <w:sz w:val="24"/>
                <w:szCs w:val="24"/>
                <w:lang w:val="lv-LV"/>
              </w:rPr>
              <w:lastRenderedPageBreak/>
              <w:t>7. Cita informācija</w:t>
            </w:r>
          </w:p>
        </w:tc>
        <w:tc>
          <w:tcPr>
            <w:tcW w:w="3522" w:type="pct"/>
            <w:gridSpan w:val="5"/>
            <w:tcBorders>
              <w:top w:val="single" w:sz="6" w:space="0" w:color="auto"/>
              <w:left w:val="single" w:sz="6" w:space="0" w:color="auto"/>
              <w:bottom w:val="single" w:sz="6" w:space="0" w:color="auto"/>
              <w:right w:val="single" w:sz="6" w:space="0" w:color="auto"/>
            </w:tcBorders>
            <w:hideMark/>
          </w:tcPr>
          <w:p w14:paraId="22505665" w14:textId="6EC7ECE0" w:rsidR="005305CA" w:rsidRPr="00896579" w:rsidRDefault="005305CA" w:rsidP="004407F5">
            <w:pPr>
              <w:pStyle w:val="Kjene"/>
              <w:tabs>
                <w:tab w:val="left" w:pos="720"/>
              </w:tabs>
              <w:jc w:val="both"/>
              <w:rPr>
                <w:rFonts w:ascii="Times New Roman" w:hAnsi="Times New Roman"/>
                <w:bCs/>
                <w:color w:val="000000" w:themeColor="text1"/>
                <w:sz w:val="24"/>
                <w:szCs w:val="24"/>
              </w:rPr>
            </w:pPr>
            <w:r w:rsidRPr="00896579">
              <w:rPr>
                <w:rFonts w:ascii="Times New Roman" w:hAnsi="Times New Roman"/>
                <w:color w:val="000000" w:themeColor="text1"/>
                <w:sz w:val="24"/>
                <w:szCs w:val="24"/>
              </w:rPr>
              <w:t xml:space="preserve">Pamatojoties uz noteikumu projektā noteiktajām </w:t>
            </w:r>
            <w:r w:rsidRPr="00896579">
              <w:rPr>
                <w:rFonts w:ascii="Times New Roman" w:hAnsi="Times New Roman"/>
                <w:bCs/>
                <w:color w:val="000000" w:themeColor="text1"/>
                <w:sz w:val="24"/>
                <w:szCs w:val="24"/>
              </w:rPr>
              <w:t xml:space="preserve">valsts nodevām, nodevu izmaksas pārrēķinātas (faktisko izmaksu aprēķins) atbilstoši plānotajam izsniegto nodevu objektu apjomam. Saskaņā ar 2016.gada budžeta likumprojektu dienesta plānotais uztura bagātinātāju valsts nodevas apjoms ir 106 014 </w:t>
            </w:r>
            <w:r w:rsidRPr="00896579">
              <w:rPr>
                <w:rFonts w:ascii="Times New Roman" w:hAnsi="Times New Roman"/>
                <w:bCs/>
                <w:i/>
                <w:color w:val="000000" w:themeColor="text1"/>
                <w:sz w:val="24"/>
                <w:szCs w:val="24"/>
              </w:rPr>
              <w:t>euro</w:t>
            </w:r>
            <w:r w:rsidRPr="00896579">
              <w:rPr>
                <w:rFonts w:ascii="Times New Roman" w:hAnsi="Times New Roman"/>
                <w:bCs/>
                <w:color w:val="000000" w:themeColor="text1"/>
                <w:sz w:val="24"/>
                <w:szCs w:val="24"/>
              </w:rPr>
              <w:t>, 2017.gadā un turpmāk ik gadu dienestam papildus nepieciešamā vispārējā kārtībā sadalāmā dotācija no vispārējiem ieņēmumiem ir EUR</w:t>
            </w:r>
            <w:r w:rsidRPr="00896579" w:rsidDel="00167CFA">
              <w:rPr>
                <w:rFonts w:ascii="Times New Roman" w:hAnsi="Times New Roman"/>
                <w:bCs/>
                <w:color w:val="000000" w:themeColor="text1"/>
                <w:sz w:val="24"/>
                <w:szCs w:val="24"/>
              </w:rPr>
              <w:t xml:space="preserve"> </w:t>
            </w:r>
            <w:r w:rsidRPr="00165411">
              <w:rPr>
                <w:rFonts w:ascii="Times New Roman" w:hAnsi="Times New Roman"/>
                <w:bCs/>
                <w:color w:val="000000" w:themeColor="text1"/>
                <w:sz w:val="24"/>
                <w:szCs w:val="24"/>
              </w:rPr>
              <w:t>6</w:t>
            </w:r>
            <w:r w:rsidR="00FE3A5B">
              <w:rPr>
                <w:rFonts w:ascii="Times New Roman" w:hAnsi="Times New Roman"/>
                <w:bCs/>
                <w:color w:val="000000" w:themeColor="text1"/>
                <w:sz w:val="24"/>
                <w:szCs w:val="24"/>
              </w:rPr>
              <w:t>6</w:t>
            </w:r>
            <w:r w:rsidRPr="00165411">
              <w:rPr>
                <w:rFonts w:ascii="Times New Roman" w:hAnsi="Times New Roman"/>
                <w:bCs/>
                <w:color w:val="000000" w:themeColor="text1"/>
                <w:sz w:val="24"/>
                <w:szCs w:val="24"/>
              </w:rPr>
              <w:t xml:space="preserve"> </w:t>
            </w:r>
            <w:r w:rsidR="00FE3A5B">
              <w:rPr>
                <w:rFonts w:ascii="Times New Roman" w:hAnsi="Times New Roman"/>
                <w:bCs/>
                <w:color w:val="000000" w:themeColor="text1"/>
                <w:sz w:val="24"/>
                <w:szCs w:val="24"/>
              </w:rPr>
              <w:t>291</w:t>
            </w:r>
            <w:r w:rsidRPr="00896579">
              <w:rPr>
                <w:rFonts w:ascii="Times New Roman" w:hAnsi="Times New Roman"/>
                <w:bCs/>
                <w:color w:val="000000" w:themeColor="text1"/>
                <w:sz w:val="24"/>
                <w:szCs w:val="24"/>
              </w:rPr>
              <w:t xml:space="preserve">, kur EKK 1000 – EUR </w:t>
            </w:r>
            <w:r w:rsidR="00FE3A5B">
              <w:rPr>
                <w:rFonts w:ascii="Times New Roman" w:hAnsi="Times New Roman"/>
                <w:bCs/>
                <w:color w:val="000000" w:themeColor="text1"/>
                <w:sz w:val="24"/>
                <w:szCs w:val="24"/>
              </w:rPr>
              <w:t>1</w:t>
            </w:r>
            <w:r w:rsidR="00EE42F5" w:rsidRPr="00896579">
              <w:rPr>
                <w:rFonts w:ascii="Times New Roman" w:hAnsi="Times New Roman"/>
                <w:bCs/>
                <w:color w:val="000000" w:themeColor="text1"/>
                <w:sz w:val="24"/>
                <w:szCs w:val="24"/>
              </w:rPr>
              <w:t xml:space="preserve">8 </w:t>
            </w:r>
            <w:r w:rsidR="00FE3A5B">
              <w:rPr>
                <w:rFonts w:ascii="Times New Roman" w:hAnsi="Times New Roman"/>
                <w:bCs/>
                <w:color w:val="000000" w:themeColor="text1"/>
                <w:sz w:val="24"/>
                <w:szCs w:val="24"/>
              </w:rPr>
              <w:t>662</w:t>
            </w:r>
            <w:r w:rsidRPr="00896579">
              <w:rPr>
                <w:rFonts w:ascii="Times New Roman" w:hAnsi="Times New Roman"/>
                <w:bCs/>
                <w:color w:val="000000" w:themeColor="text1"/>
                <w:sz w:val="24"/>
                <w:szCs w:val="24"/>
              </w:rPr>
              <w:t xml:space="preserve"> (t.sk. EKK 1100 – EUR </w:t>
            </w:r>
            <w:r w:rsidR="00FE3A5B">
              <w:rPr>
                <w:rFonts w:ascii="Times New Roman" w:hAnsi="Times New Roman"/>
                <w:bCs/>
                <w:color w:val="000000" w:themeColor="text1"/>
                <w:sz w:val="24"/>
                <w:szCs w:val="24"/>
              </w:rPr>
              <w:t>14</w:t>
            </w:r>
            <w:r w:rsidR="00EE42F5" w:rsidRPr="00896579">
              <w:rPr>
                <w:rFonts w:ascii="Times New Roman" w:hAnsi="Times New Roman"/>
                <w:bCs/>
                <w:color w:val="000000" w:themeColor="text1"/>
                <w:sz w:val="24"/>
                <w:szCs w:val="24"/>
              </w:rPr>
              <w:t> </w:t>
            </w:r>
            <w:r w:rsidR="00FE3A5B">
              <w:rPr>
                <w:rFonts w:ascii="Times New Roman" w:hAnsi="Times New Roman"/>
                <w:bCs/>
                <w:color w:val="000000" w:themeColor="text1"/>
                <w:sz w:val="24"/>
                <w:szCs w:val="24"/>
              </w:rPr>
              <w:t>796</w:t>
            </w:r>
            <w:r w:rsidRPr="00896579">
              <w:rPr>
                <w:rFonts w:ascii="Times New Roman" w:hAnsi="Times New Roman"/>
                <w:bCs/>
                <w:color w:val="000000" w:themeColor="text1"/>
                <w:sz w:val="24"/>
                <w:szCs w:val="24"/>
              </w:rPr>
              <w:t xml:space="preserve">, EKK 1200 – EUR </w:t>
            </w:r>
            <w:r w:rsidR="00FE3A5B">
              <w:rPr>
                <w:rFonts w:ascii="Times New Roman" w:hAnsi="Times New Roman"/>
                <w:bCs/>
                <w:color w:val="000000" w:themeColor="text1"/>
                <w:sz w:val="24"/>
                <w:szCs w:val="24"/>
              </w:rPr>
              <w:t>3</w:t>
            </w:r>
            <w:r w:rsidR="006D6CA1">
              <w:rPr>
                <w:rFonts w:ascii="Times New Roman" w:hAnsi="Times New Roman"/>
                <w:bCs/>
                <w:color w:val="000000" w:themeColor="text1"/>
                <w:sz w:val="24"/>
                <w:szCs w:val="24"/>
              </w:rPr>
              <w:t> </w:t>
            </w:r>
            <w:r w:rsidR="00EE42F5" w:rsidRPr="00896579">
              <w:rPr>
                <w:rFonts w:ascii="Times New Roman" w:hAnsi="Times New Roman"/>
                <w:bCs/>
                <w:color w:val="000000" w:themeColor="text1"/>
                <w:sz w:val="24"/>
                <w:szCs w:val="24"/>
              </w:rPr>
              <w:t>8</w:t>
            </w:r>
            <w:r w:rsidR="00FE3A5B">
              <w:rPr>
                <w:rFonts w:ascii="Times New Roman" w:hAnsi="Times New Roman"/>
                <w:bCs/>
                <w:color w:val="000000" w:themeColor="text1"/>
                <w:sz w:val="24"/>
                <w:szCs w:val="24"/>
              </w:rPr>
              <w:t>66</w:t>
            </w:r>
            <w:r w:rsidR="006D6CA1">
              <w:rPr>
                <w:rFonts w:ascii="Times New Roman" w:hAnsi="Times New Roman"/>
                <w:bCs/>
                <w:color w:val="000000" w:themeColor="text1"/>
                <w:sz w:val="24"/>
                <w:szCs w:val="24"/>
              </w:rPr>
              <w:t>)</w:t>
            </w:r>
            <w:r w:rsidR="00FE3A5B">
              <w:rPr>
                <w:rFonts w:ascii="Times New Roman" w:hAnsi="Times New Roman"/>
                <w:bCs/>
                <w:color w:val="000000" w:themeColor="text1"/>
                <w:sz w:val="24"/>
                <w:szCs w:val="24"/>
              </w:rPr>
              <w:t xml:space="preserve"> </w:t>
            </w:r>
            <w:r w:rsidRPr="00896579">
              <w:rPr>
                <w:rFonts w:ascii="Times New Roman" w:hAnsi="Times New Roman"/>
                <w:bCs/>
                <w:color w:val="000000" w:themeColor="text1"/>
                <w:sz w:val="24"/>
                <w:szCs w:val="24"/>
              </w:rPr>
              <w:t xml:space="preserve">un EKK 2000 – EUR </w:t>
            </w:r>
            <w:r w:rsidR="00FE3A5B">
              <w:rPr>
                <w:rFonts w:ascii="Times New Roman" w:hAnsi="Times New Roman"/>
                <w:bCs/>
                <w:color w:val="000000" w:themeColor="text1"/>
                <w:sz w:val="24"/>
                <w:szCs w:val="24"/>
              </w:rPr>
              <w:t>47</w:t>
            </w:r>
            <w:r w:rsidR="00EE42F5" w:rsidRPr="00896579">
              <w:rPr>
                <w:rFonts w:ascii="Times New Roman" w:hAnsi="Times New Roman"/>
                <w:bCs/>
                <w:color w:val="000000" w:themeColor="text1"/>
                <w:sz w:val="24"/>
                <w:szCs w:val="24"/>
              </w:rPr>
              <w:t> </w:t>
            </w:r>
            <w:r w:rsidR="00FE3A5B">
              <w:rPr>
                <w:rFonts w:ascii="Times New Roman" w:hAnsi="Times New Roman"/>
                <w:bCs/>
                <w:color w:val="000000" w:themeColor="text1"/>
                <w:sz w:val="24"/>
                <w:szCs w:val="24"/>
              </w:rPr>
              <w:t>629</w:t>
            </w:r>
            <w:r w:rsidRPr="00896579">
              <w:rPr>
                <w:rFonts w:ascii="Times New Roman" w:hAnsi="Times New Roman"/>
                <w:bCs/>
                <w:color w:val="000000" w:themeColor="text1"/>
                <w:sz w:val="24"/>
                <w:szCs w:val="24"/>
              </w:rPr>
              <w:t>.</w:t>
            </w:r>
          </w:p>
          <w:p w14:paraId="7F0F259F" w14:textId="77777777" w:rsidR="005305CA" w:rsidRPr="00896579" w:rsidRDefault="005305CA" w:rsidP="0030219C">
            <w:pPr>
              <w:pStyle w:val="Kjene"/>
              <w:tabs>
                <w:tab w:val="left" w:pos="720"/>
              </w:tabs>
              <w:jc w:val="both"/>
            </w:pPr>
            <w:r w:rsidRPr="00896579">
              <w:rPr>
                <w:rFonts w:ascii="Times New Roman" w:hAnsi="Times New Roman"/>
                <w:color w:val="000000" w:themeColor="text1"/>
                <w:sz w:val="24"/>
                <w:szCs w:val="24"/>
              </w:rPr>
              <w:t xml:space="preserve">Papildu valsts budžeta dotācijas piešķiršanu izdevumiem, kas saistīti ar uztura bagātinātāju reģistrāciju, palielinoties ieņēmumiem no nodevas par uztura bagātinātāju reģistrāciju no 2017.gada un turpmākos gados, skatāms Ministru kabinetā 2017.gada budžeta projekta sagatavošanas procesā kontekstā ar visiem to nodevu ieņēmumiem, kuras administrē Zemkopības ministrija. </w:t>
            </w:r>
          </w:p>
        </w:tc>
      </w:tr>
    </w:tbl>
    <w:p w14:paraId="7BBA823B" w14:textId="77777777" w:rsidR="004440E0" w:rsidRDefault="004440E0" w:rsidP="004440E0">
      <w:pPr>
        <w:jc w:val="both"/>
        <w:rPr>
          <w:color w:val="000000" w:themeColor="text1"/>
          <w:lang w:val="lv-LV" w:eastAsia="lv-LV"/>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6354"/>
      </w:tblGrid>
      <w:tr w:rsidR="00296183" w:rsidRPr="000952F6" w14:paraId="064B98C0" w14:textId="77777777" w:rsidTr="0029502E">
        <w:tc>
          <w:tcPr>
            <w:tcW w:w="5000" w:type="pct"/>
            <w:gridSpan w:val="2"/>
          </w:tcPr>
          <w:p w14:paraId="3D23178F" w14:textId="77777777" w:rsidR="00296183" w:rsidRPr="00E3702A" w:rsidRDefault="00296183" w:rsidP="0029502E">
            <w:pPr>
              <w:jc w:val="center"/>
              <w:rPr>
                <w:color w:val="000000" w:themeColor="text1"/>
                <w:lang w:val="lv-LV" w:eastAsia="lv-LV"/>
              </w:rPr>
            </w:pPr>
            <w:r w:rsidRPr="00E3702A">
              <w:rPr>
                <w:b/>
                <w:bCs/>
                <w:color w:val="000000" w:themeColor="text1"/>
                <w:lang w:val="lv-LV" w:eastAsia="lv-LV"/>
              </w:rPr>
              <w:t>IV. Tiesību akta projekta ietekme uz spēka esošo tiesību normu sistēmu</w:t>
            </w:r>
          </w:p>
        </w:tc>
      </w:tr>
      <w:tr w:rsidR="00296183" w:rsidRPr="00075CEE" w14:paraId="77613E5F" w14:textId="77777777" w:rsidTr="0029502E">
        <w:tc>
          <w:tcPr>
            <w:tcW w:w="1539" w:type="pct"/>
          </w:tcPr>
          <w:p w14:paraId="1D2FC263" w14:textId="77777777" w:rsidR="00296183" w:rsidRPr="00116911" w:rsidRDefault="00296183" w:rsidP="0029502E">
            <w:pPr>
              <w:jc w:val="both"/>
              <w:rPr>
                <w:color w:val="000000" w:themeColor="text1"/>
                <w:lang w:val="lv-LV" w:eastAsia="lv-LV"/>
              </w:rPr>
            </w:pPr>
            <w:r w:rsidRPr="00F145DA">
              <w:rPr>
                <w:color w:val="000000" w:themeColor="text1"/>
                <w:lang w:val="lv-LV" w:eastAsia="lv-LV"/>
              </w:rPr>
              <w:t>Nepieciešamie saistītie tiesību aktu projekti</w:t>
            </w:r>
          </w:p>
        </w:tc>
        <w:tc>
          <w:tcPr>
            <w:tcW w:w="3461" w:type="pct"/>
          </w:tcPr>
          <w:p w14:paraId="4C411220" w14:textId="15593317" w:rsidR="00CC0F5D" w:rsidRPr="004437C0" w:rsidRDefault="006312E3" w:rsidP="006312E3">
            <w:pPr>
              <w:jc w:val="both"/>
              <w:rPr>
                <w:color w:val="000000" w:themeColor="text1"/>
                <w:lang w:val="lv-LV" w:eastAsia="lv-LV"/>
              </w:rPr>
            </w:pPr>
            <w:r w:rsidRPr="006312E3">
              <w:rPr>
                <w:color w:val="000000"/>
                <w:lang w:val="lv-LV"/>
              </w:rPr>
              <w:t>Ministru kabineta 2015.gada 1.decembra noteikumi Nr.685 „</w:t>
            </w:r>
            <w:r w:rsidRPr="006312E3">
              <w:rPr>
                <w:color w:val="000000"/>
                <w:lang w:val="lv-LV" w:eastAsia="fr-FR"/>
              </w:rPr>
              <w:t>Prasības</w:t>
            </w:r>
            <w:r w:rsidRPr="006312E3">
              <w:rPr>
                <w:color w:val="000000"/>
                <w:lang w:val="lv-LV"/>
              </w:rPr>
              <w:t xml:space="preserve"> uztura bagātinātājiem”.</w:t>
            </w:r>
          </w:p>
        </w:tc>
      </w:tr>
      <w:tr w:rsidR="00296183" w:rsidRPr="00C56478" w14:paraId="5B925925" w14:textId="77777777" w:rsidTr="0029502E">
        <w:tc>
          <w:tcPr>
            <w:tcW w:w="1539" w:type="pct"/>
          </w:tcPr>
          <w:p w14:paraId="68A2C02A" w14:textId="77777777" w:rsidR="00296183" w:rsidRPr="00F145DA" w:rsidRDefault="00296183" w:rsidP="0029502E">
            <w:pPr>
              <w:jc w:val="both"/>
              <w:rPr>
                <w:color w:val="000000" w:themeColor="text1"/>
                <w:lang w:val="lv-LV" w:eastAsia="lv-LV"/>
              </w:rPr>
            </w:pPr>
            <w:r w:rsidRPr="00F145DA">
              <w:rPr>
                <w:color w:val="000000" w:themeColor="text1"/>
                <w:lang w:val="lv-LV" w:eastAsia="lv-LV"/>
              </w:rPr>
              <w:t>Atbildīgā institūcija</w:t>
            </w:r>
          </w:p>
        </w:tc>
        <w:tc>
          <w:tcPr>
            <w:tcW w:w="3461" w:type="pct"/>
          </w:tcPr>
          <w:p w14:paraId="46B2FCA0" w14:textId="77777777" w:rsidR="00296183" w:rsidRPr="004437C0" w:rsidRDefault="00296183" w:rsidP="0029502E">
            <w:pPr>
              <w:jc w:val="both"/>
              <w:rPr>
                <w:color w:val="000000" w:themeColor="text1"/>
                <w:lang w:val="lv-LV" w:eastAsia="lv-LV"/>
              </w:rPr>
            </w:pPr>
            <w:r w:rsidRPr="004437C0">
              <w:rPr>
                <w:color w:val="000000" w:themeColor="text1"/>
                <w:lang w:val="lv-LV" w:eastAsia="lv-LV"/>
              </w:rPr>
              <w:t>Zemkopības ministrija</w:t>
            </w:r>
          </w:p>
        </w:tc>
      </w:tr>
      <w:tr w:rsidR="00296183" w:rsidRPr="000952F6" w14:paraId="56E0682F" w14:textId="77777777" w:rsidTr="0029502E">
        <w:tc>
          <w:tcPr>
            <w:tcW w:w="1539" w:type="pct"/>
          </w:tcPr>
          <w:p w14:paraId="1872C42C" w14:textId="77777777" w:rsidR="00296183" w:rsidRPr="00F145DA" w:rsidRDefault="00296183" w:rsidP="0029502E">
            <w:pPr>
              <w:jc w:val="both"/>
              <w:rPr>
                <w:color w:val="000000" w:themeColor="text1"/>
                <w:lang w:val="lv-LV" w:eastAsia="lv-LV"/>
              </w:rPr>
            </w:pPr>
            <w:r w:rsidRPr="00F145DA">
              <w:rPr>
                <w:color w:val="000000" w:themeColor="text1"/>
                <w:lang w:val="lv-LV" w:eastAsia="lv-LV"/>
              </w:rPr>
              <w:t>Cita informācija</w:t>
            </w:r>
          </w:p>
        </w:tc>
        <w:tc>
          <w:tcPr>
            <w:tcW w:w="3461" w:type="pct"/>
          </w:tcPr>
          <w:p w14:paraId="7B7690F8" w14:textId="7EDCB804" w:rsidR="00184DDC" w:rsidRDefault="00184DDC" w:rsidP="00184DDC">
            <w:pPr>
              <w:jc w:val="both"/>
              <w:rPr>
                <w:color w:val="000000"/>
                <w:lang w:val="lv-LV"/>
              </w:rPr>
            </w:pPr>
            <w:r>
              <w:rPr>
                <w:color w:val="000000"/>
                <w:lang w:val="lv-LV" w:eastAsia="lv-LV"/>
              </w:rPr>
              <w:t xml:space="preserve">Noteikumu projektā tiek detalizēti izdalītas </w:t>
            </w:r>
            <w:r w:rsidR="00E31FD7">
              <w:rPr>
                <w:color w:val="000000"/>
                <w:lang w:val="lv-LV" w:eastAsia="lv-LV"/>
              </w:rPr>
              <w:t>sešas</w:t>
            </w:r>
            <w:r>
              <w:rPr>
                <w:color w:val="000000"/>
                <w:lang w:val="lv-LV" w:eastAsia="lv-LV"/>
              </w:rPr>
              <w:t xml:space="preserve"> nodevu pozīcijas, kas atšķiras no spēkā esošajiem </w:t>
            </w:r>
            <w:r>
              <w:rPr>
                <w:color w:val="000000"/>
                <w:lang w:val="lv-LV"/>
              </w:rPr>
              <w:t xml:space="preserve">noteikumiem Nr.1145, kuros savukārt ir noteiktas trīs nodevu pozīcijas. </w:t>
            </w:r>
          </w:p>
          <w:p w14:paraId="0EA479C6" w14:textId="5A0B8962" w:rsidR="00B06921" w:rsidRPr="004C4E5E" w:rsidRDefault="00184DDC" w:rsidP="00184DDC">
            <w:pPr>
              <w:jc w:val="both"/>
              <w:rPr>
                <w:b/>
                <w:color w:val="000000" w:themeColor="text1"/>
                <w:lang w:val="lv-LV" w:eastAsia="lv-LV"/>
              </w:rPr>
            </w:pPr>
            <w:r>
              <w:rPr>
                <w:color w:val="000000"/>
                <w:lang w:val="lv-LV"/>
              </w:rPr>
              <w:t>Ja noteikumu projekta pieņemšana kavēsies, tiks apgrūtināta noteikumu Nr.1145 piemērošana.</w:t>
            </w:r>
          </w:p>
        </w:tc>
      </w:tr>
    </w:tbl>
    <w:p w14:paraId="7A09C94F" w14:textId="77777777" w:rsidR="00296183" w:rsidRPr="00F145DA" w:rsidRDefault="00296183" w:rsidP="00296183">
      <w:pPr>
        <w:jc w:val="both"/>
        <w:rPr>
          <w:color w:val="000000" w:themeColor="text1"/>
          <w:lang w:val="lv-LV" w:eastAsia="lv-LV"/>
        </w:rPr>
      </w:pPr>
    </w:p>
    <w:p w14:paraId="647CCDAA" w14:textId="77777777" w:rsidR="00296183" w:rsidRPr="001902D0" w:rsidRDefault="00296183" w:rsidP="00296183">
      <w:pPr>
        <w:jc w:val="both"/>
        <w:rPr>
          <w:i/>
          <w:color w:val="000000" w:themeColor="text1"/>
          <w:lang w:val="lv-LV" w:eastAsia="lv-LV"/>
        </w:rPr>
      </w:pPr>
      <w:r w:rsidRPr="00116911">
        <w:rPr>
          <w:i/>
          <w:color w:val="000000" w:themeColor="text1"/>
          <w:lang w:val="lv-LV" w:eastAsia="lv-LV"/>
        </w:rPr>
        <w:t>Anotācijas V sadaļa – projekts šo jomu neskar.</w:t>
      </w:r>
    </w:p>
    <w:p w14:paraId="22EAD73D" w14:textId="77777777" w:rsidR="00296183" w:rsidRPr="001902D0" w:rsidRDefault="00296183" w:rsidP="00296183">
      <w:pPr>
        <w:jc w:val="both"/>
        <w:rPr>
          <w:i/>
          <w:color w:val="000000" w:themeColor="text1"/>
          <w:lang w:val="lv-LV" w:eastAsia="lv-LV"/>
        </w:rPr>
      </w:pPr>
    </w:p>
    <w:tbl>
      <w:tblPr>
        <w:tblW w:w="5000"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5"/>
        <w:gridCol w:w="2535"/>
        <w:gridCol w:w="880"/>
        <w:gridCol w:w="5161"/>
      </w:tblGrid>
      <w:tr w:rsidR="00296183" w:rsidRPr="000952F6" w14:paraId="6771E27A" w14:textId="77777777" w:rsidTr="0029502E">
        <w:trPr>
          <w:trHeight w:val="222"/>
        </w:trPr>
        <w:tc>
          <w:tcPr>
            <w:tcW w:w="5000" w:type="pct"/>
            <w:gridSpan w:val="4"/>
            <w:tcBorders>
              <w:top w:val="outset" w:sz="6" w:space="0" w:color="000000"/>
              <w:left w:val="outset" w:sz="6" w:space="0" w:color="000000"/>
              <w:bottom w:val="outset" w:sz="6" w:space="0" w:color="000000"/>
              <w:right w:val="outset" w:sz="6" w:space="0" w:color="000000"/>
            </w:tcBorders>
          </w:tcPr>
          <w:p w14:paraId="265008E4" w14:textId="77777777" w:rsidR="00296183" w:rsidRPr="00F145DA" w:rsidRDefault="00296183" w:rsidP="0029502E">
            <w:pPr>
              <w:jc w:val="center"/>
              <w:rPr>
                <w:b/>
                <w:bCs/>
                <w:color w:val="000000" w:themeColor="text1"/>
                <w:lang w:val="lv-LV" w:eastAsia="lv-LV"/>
              </w:rPr>
            </w:pPr>
            <w:r w:rsidRPr="004209A9">
              <w:rPr>
                <w:b/>
                <w:bCs/>
                <w:color w:val="000000" w:themeColor="text1"/>
                <w:lang w:val="lv-LV" w:eastAsia="lv-LV"/>
              </w:rPr>
              <w:t xml:space="preserve">VI. Sabiedrības līdzdalība </w:t>
            </w:r>
            <w:r w:rsidRPr="004209A9">
              <w:rPr>
                <w:b/>
                <w:bCs/>
                <w:color w:val="000000" w:themeColor="text1"/>
                <w:lang w:val="lv-LV"/>
              </w:rPr>
              <w:t>un komunikācijas aktivitātes</w:t>
            </w:r>
          </w:p>
        </w:tc>
      </w:tr>
      <w:tr w:rsidR="00296183" w:rsidRPr="00165411" w14:paraId="57FCE91E" w14:textId="77777777" w:rsidTr="00B8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4" w:type="pct"/>
          </w:tcPr>
          <w:p w14:paraId="170A3F62" w14:textId="77777777" w:rsidR="00296183" w:rsidRPr="00F145DA" w:rsidRDefault="00296183" w:rsidP="0029502E">
            <w:pPr>
              <w:pStyle w:val="naiskr"/>
              <w:spacing w:before="0" w:beforeAutospacing="0" w:after="0" w:afterAutospacing="0"/>
              <w:rPr>
                <w:color w:val="000000" w:themeColor="text1"/>
              </w:rPr>
            </w:pPr>
            <w:r w:rsidRPr="00F145DA">
              <w:rPr>
                <w:color w:val="000000" w:themeColor="text1"/>
              </w:rPr>
              <w:t>1.</w:t>
            </w:r>
          </w:p>
        </w:tc>
        <w:tc>
          <w:tcPr>
            <w:tcW w:w="1388" w:type="pct"/>
          </w:tcPr>
          <w:p w14:paraId="7F2E5D00" w14:textId="77777777" w:rsidR="00296183" w:rsidRPr="001902D0" w:rsidRDefault="00296183" w:rsidP="0029502E">
            <w:pPr>
              <w:pStyle w:val="naiskr"/>
              <w:spacing w:before="0" w:beforeAutospacing="0" w:after="0" w:afterAutospacing="0"/>
              <w:jc w:val="both"/>
              <w:rPr>
                <w:color w:val="000000" w:themeColor="text1"/>
              </w:rPr>
            </w:pPr>
            <w:r w:rsidRPr="00116911">
              <w:rPr>
                <w:color w:val="000000" w:themeColor="text1"/>
              </w:rPr>
              <w:t>Plānotās sabiedrības līdzdalības un komunikācijas aktivitātes saistībā ar projektu</w:t>
            </w:r>
          </w:p>
        </w:tc>
        <w:tc>
          <w:tcPr>
            <w:tcW w:w="3308" w:type="pct"/>
            <w:gridSpan w:val="2"/>
          </w:tcPr>
          <w:p w14:paraId="30B2D75D" w14:textId="77777777" w:rsidR="00296183" w:rsidRPr="00116911" w:rsidRDefault="00296183" w:rsidP="00EB510E">
            <w:pPr>
              <w:jc w:val="both"/>
              <w:rPr>
                <w:color w:val="000000" w:themeColor="text1"/>
                <w:lang w:val="lv-LV"/>
              </w:rPr>
            </w:pPr>
            <w:r w:rsidRPr="001902D0">
              <w:rPr>
                <w:color w:val="000000" w:themeColor="text1"/>
                <w:lang w:val="lv-LV"/>
              </w:rPr>
              <w:t>Noteikumu projekts tik</w:t>
            </w:r>
            <w:r w:rsidR="00EB510E">
              <w:rPr>
                <w:color w:val="000000" w:themeColor="text1"/>
                <w:lang w:val="lv-LV"/>
              </w:rPr>
              <w:t>a</w:t>
            </w:r>
            <w:r w:rsidRPr="001902D0">
              <w:rPr>
                <w:color w:val="000000" w:themeColor="text1"/>
                <w:lang w:val="lv-LV"/>
              </w:rPr>
              <w:t xml:space="preserve"> ievietots Zemkopības ministrijas tīmekļa vietnes </w:t>
            </w:r>
            <w:hyperlink r:id="rId14" w:history="1">
              <w:r w:rsidRPr="001902D0">
                <w:rPr>
                  <w:rStyle w:val="Hipersaite"/>
                  <w:lang w:val="lv-LV"/>
                </w:rPr>
                <w:t>www.zm.gov.lv</w:t>
              </w:r>
            </w:hyperlink>
            <w:r w:rsidRPr="00F145DA">
              <w:rPr>
                <w:color w:val="000000" w:themeColor="text1"/>
                <w:lang w:val="lv-LV"/>
              </w:rPr>
              <w:t xml:space="preserve"> sadaļā „Sabiedriskā apspriešana”. </w:t>
            </w:r>
            <w:r w:rsidR="00EB510E">
              <w:rPr>
                <w:color w:val="000000" w:themeColor="text1"/>
                <w:lang w:val="lv-LV"/>
              </w:rPr>
              <w:t>Atzinumi netika saņemti</w:t>
            </w:r>
            <w:r w:rsidR="00890D0A">
              <w:rPr>
                <w:color w:val="000000" w:themeColor="text1"/>
                <w:lang w:val="lv-LV"/>
              </w:rPr>
              <w:t>.</w:t>
            </w:r>
          </w:p>
        </w:tc>
      </w:tr>
      <w:tr w:rsidR="00296183" w:rsidRPr="000952F6" w14:paraId="5D446523" w14:textId="77777777" w:rsidTr="00420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4" w:type="pct"/>
          </w:tcPr>
          <w:p w14:paraId="1C88180A" w14:textId="77777777" w:rsidR="00296183" w:rsidRPr="00F145DA" w:rsidRDefault="00296183" w:rsidP="0029502E">
            <w:pPr>
              <w:pStyle w:val="naiskr"/>
              <w:spacing w:before="0" w:beforeAutospacing="0" w:after="0" w:afterAutospacing="0"/>
              <w:rPr>
                <w:color w:val="000000" w:themeColor="text1"/>
              </w:rPr>
            </w:pPr>
            <w:r w:rsidRPr="00F145DA">
              <w:rPr>
                <w:color w:val="000000" w:themeColor="text1"/>
              </w:rPr>
              <w:t>2.</w:t>
            </w:r>
          </w:p>
        </w:tc>
        <w:tc>
          <w:tcPr>
            <w:tcW w:w="1388" w:type="pct"/>
          </w:tcPr>
          <w:p w14:paraId="2C0EFFF1" w14:textId="77777777" w:rsidR="00296183" w:rsidRPr="001902D0" w:rsidRDefault="00296183" w:rsidP="0029502E">
            <w:pPr>
              <w:pStyle w:val="naiskr"/>
              <w:spacing w:before="0" w:beforeAutospacing="0" w:after="0" w:afterAutospacing="0"/>
              <w:jc w:val="both"/>
              <w:rPr>
                <w:color w:val="000000" w:themeColor="text1"/>
              </w:rPr>
            </w:pPr>
            <w:r w:rsidRPr="00116911">
              <w:rPr>
                <w:color w:val="000000" w:themeColor="text1"/>
              </w:rPr>
              <w:t>Sabiedrības līdzdalība projekta izstrādē</w:t>
            </w:r>
          </w:p>
        </w:tc>
        <w:tc>
          <w:tcPr>
            <w:tcW w:w="3308" w:type="pct"/>
            <w:gridSpan w:val="2"/>
          </w:tcPr>
          <w:p w14:paraId="567D7EE4" w14:textId="77777777" w:rsidR="00882385" w:rsidRDefault="00296183" w:rsidP="0029502E">
            <w:pPr>
              <w:pStyle w:val="naiskr"/>
              <w:spacing w:before="0" w:beforeAutospacing="0" w:after="0" w:afterAutospacing="0"/>
              <w:jc w:val="both"/>
              <w:rPr>
                <w:color w:val="000000" w:themeColor="text1"/>
              </w:rPr>
            </w:pPr>
            <w:r w:rsidRPr="001902D0">
              <w:rPr>
                <w:color w:val="000000" w:themeColor="text1"/>
              </w:rPr>
              <w:t>Noteikumu projekts elektroniski tik</w:t>
            </w:r>
            <w:r w:rsidR="00825ECD">
              <w:rPr>
                <w:color w:val="000000" w:themeColor="text1"/>
              </w:rPr>
              <w:t>a</w:t>
            </w:r>
            <w:r w:rsidRPr="001902D0">
              <w:rPr>
                <w:color w:val="000000" w:themeColor="text1"/>
              </w:rPr>
              <w:t xml:space="preserve"> nosūtīts saskaņošanai Veselīga uztura speciālistu asociācijai, Inovatīvo </w:t>
            </w:r>
            <w:r w:rsidRPr="001902D0">
              <w:rPr>
                <w:color w:val="000000" w:themeColor="text1"/>
              </w:rPr>
              <w:lastRenderedPageBreak/>
              <w:t>biomedicīnas tehnoloģiju institūtam, Latvijas Pārtikas tirgotāju asociācijai, Latvijas diētas ārstu asociācijai, Latvijas Pārtikas uzņēmēju federācijai, Lauksaimnieku organizāciju sadarbības padomei, Starptautisko inovatīvo farmaceitisko firmu asociācijai, Latvijas Patentbrīvo medikamentu asociācijai, Aptieku attīstības biedrībai, Latvijas darba devēju konfederācijai</w:t>
            </w:r>
            <w:r w:rsidR="00167CFA">
              <w:rPr>
                <w:color w:val="000000" w:themeColor="text1"/>
              </w:rPr>
              <w:t>,</w:t>
            </w:r>
            <w:r w:rsidRPr="001902D0">
              <w:rPr>
                <w:color w:val="000000" w:themeColor="text1"/>
              </w:rPr>
              <w:t xml:space="preserve"> uztura bagātinātāju </w:t>
            </w:r>
            <w:r w:rsidR="00411C2B">
              <w:rPr>
                <w:color w:val="000000" w:themeColor="text1"/>
              </w:rPr>
              <w:t>uzņēmumiem</w:t>
            </w:r>
            <w:r w:rsidRPr="001902D0">
              <w:rPr>
                <w:color w:val="000000" w:themeColor="text1"/>
              </w:rPr>
              <w:t xml:space="preserve"> Latvijā un citām ieinteresētajām pusēm.</w:t>
            </w:r>
            <w:r w:rsidR="00176067">
              <w:rPr>
                <w:color w:val="000000" w:themeColor="text1"/>
              </w:rPr>
              <w:t xml:space="preserve"> </w:t>
            </w:r>
            <w:r w:rsidR="00851620">
              <w:rPr>
                <w:color w:val="000000" w:themeColor="text1"/>
              </w:rPr>
              <w:t xml:space="preserve">Noteikumu projekts </w:t>
            </w:r>
            <w:r w:rsidR="00882385">
              <w:rPr>
                <w:color w:val="000000" w:themeColor="text1"/>
              </w:rPr>
              <w:t xml:space="preserve">tika </w:t>
            </w:r>
            <w:r w:rsidR="00176067">
              <w:rPr>
                <w:color w:val="000000" w:themeColor="text1"/>
              </w:rPr>
              <w:t>nos</w:t>
            </w:r>
            <w:r w:rsidR="00851620">
              <w:rPr>
                <w:color w:val="000000" w:themeColor="text1"/>
              </w:rPr>
              <w:t>ū</w:t>
            </w:r>
            <w:r w:rsidR="00176067">
              <w:rPr>
                <w:color w:val="000000" w:themeColor="text1"/>
              </w:rPr>
              <w:t>tīts 52 adresātiem.</w:t>
            </w:r>
          </w:p>
          <w:p w14:paraId="2779CF77" w14:textId="77777777" w:rsidR="00F06224" w:rsidRPr="005F1824" w:rsidRDefault="00F06224" w:rsidP="00F06224">
            <w:pPr>
              <w:jc w:val="both"/>
              <w:rPr>
                <w:color w:val="000000"/>
                <w:lang w:val="lv-LV"/>
              </w:rPr>
            </w:pPr>
            <w:r w:rsidRPr="00F06224">
              <w:rPr>
                <w:color w:val="000000" w:themeColor="text1"/>
                <w:lang w:val="lv-LV"/>
              </w:rPr>
              <w:t xml:space="preserve">Š.g. 4.novembrī notika </w:t>
            </w:r>
            <w:r w:rsidRPr="00F06224">
              <w:rPr>
                <w:color w:val="000000"/>
                <w:lang w:val="lv-LV"/>
              </w:rPr>
              <w:t>starpinstitūciju sanāksme par</w:t>
            </w:r>
            <w:r w:rsidRPr="00F06224">
              <w:rPr>
                <w:b/>
                <w:color w:val="000000"/>
                <w:lang w:val="lv-LV"/>
              </w:rPr>
              <w:t xml:space="preserve"> </w:t>
            </w:r>
            <w:r w:rsidRPr="00F06224">
              <w:rPr>
                <w:color w:val="000000"/>
                <w:lang w:val="lv-LV"/>
              </w:rPr>
              <w:t>Ministru kabineta noteikumu projektu</w:t>
            </w:r>
            <w:r w:rsidRPr="00BA3B0F">
              <w:rPr>
                <w:color w:val="000000"/>
                <w:lang w:val="lv-LV"/>
              </w:rPr>
              <w:t xml:space="preserve"> „</w:t>
            </w:r>
            <w:r w:rsidRPr="005F1824">
              <w:rPr>
                <w:color w:val="000000"/>
                <w:lang w:val="lv-LV"/>
              </w:rPr>
              <w:t>Noteikumi par uztura bagātinātājiem” (VSS- 989) un Ministru kabineta noteikumu projektu „Grozījumi Ministru kabineta 2010.gada 21.decembra noteikumos Nr.1145 „Noteikumi par uztura bagātinātāju reģistrācijas valsts nodevu”</w:t>
            </w:r>
            <w:r w:rsidR="00167CFA">
              <w:rPr>
                <w:color w:val="000000"/>
                <w:lang w:val="lv-LV"/>
              </w:rPr>
              <w:t>”</w:t>
            </w:r>
            <w:r w:rsidRPr="005F1824">
              <w:rPr>
                <w:color w:val="000000"/>
                <w:lang w:val="lv-LV"/>
              </w:rPr>
              <w:t xml:space="preserve"> (VSS-1061)</w:t>
            </w:r>
            <w:r w:rsidR="00576A90" w:rsidRPr="005F1824">
              <w:rPr>
                <w:color w:val="000000"/>
                <w:lang w:val="lv-LV"/>
              </w:rPr>
              <w:t xml:space="preserve">. </w:t>
            </w:r>
          </w:p>
          <w:p w14:paraId="0718CB85" w14:textId="77777777" w:rsidR="00EF4C84" w:rsidRPr="001902D0" w:rsidRDefault="00576A90" w:rsidP="008179A7">
            <w:pPr>
              <w:pStyle w:val="naiskr"/>
              <w:spacing w:before="0" w:beforeAutospacing="0" w:after="0" w:afterAutospacing="0"/>
              <w:jc w:val="both"/>
              <w:rPr>
                <w:color w:val="000000" w:themeColor="text1"/>
              </w:rPr>
            </w:pPr>
            <w:r w:rsidRPr="005F1824">
              <w:rPr>
                <w:color w:val="000000"/>
              </w:rPr>
              <w:t xml:space="preserve">Starpinstitūciju sanāksmē piedalījās </w:t>
            </w:r>
            <w:r w:rsidR="00EA236E" w:rsidRPr="005F1824">
              <w:rPr>
                <w:color w:val="000000"/>
              </w:rPr>
              <w:t>Zemkopības ministrija</w:t>
            </w:r>
            <w:r w:rsidR="00167CFA">
              <w:rPr>
                <w:color w:val="000000"/>
              </w:rPr>
              <w:t>s</w:t>
            </w:r>
            <w:r w:rsidR="00EA236E">
              <w:rPr>
                <w:color w:val="000000"/>
              </w:rPr>
              <w:t xml:space="preserve">, </w:t>
            </w:r>
            <w:r>
              <w:rPr>
                <w:color w:val="000000"/>
              </w:rPr>
              <w:t>Veselības ministrija</w:t>
            </w:r>
            <w:r w:rsidR="00167CFA">
              <w:rPr>
                <w:color w:val="000000"/>
              </w:rPr>
              <w:t>s</w:t>
            </w:r>
            <w:r>
              <w:rPr>
                <w:color w:val="000000"/>
              </w:rPr>
              <w:t>, Ekonomikas ministrija</w:t>
            </w:r>
            <w:r w:rsidR="00167CFA">
              <w:rPr>
                <w:color w:val="000000"/>
              </w:rPr>
              <w:t>s</w:t>
            </w:r>
            <w:r>
              <w:rPr>
                <w:color w:val="000000"/>
              </w:rPr>
              <w:t xml:space="preserve">, </w:t>
            </w:r>
            <w:r w:rsidR="00EA236E" w:rsidRPr="00166175">
              <w:rPr>
                <w:color w:val="000000"/>
              </w:rPr>
              <w:t>Latvijas Ārstu biedrības</w:t>
            </w:r>
            <w:r w:rsidR="00EA236E">
              <w:rPr>
                <w:color w:val="000000"/>
              </w:rPr>
              <w:t xml:space="preserve">, </w:t>
            </w:r>
            <w:r w:rsidR="00EA236E" w:rsidRPr="00166175">
              <w:rPr>
                <w:color w:val="000000"/>
              </w:rPr>
              <w:t>Aptieku Attīstības biedrība</w:t>
            </w:r>
            <w:r w:rsidR="00167CFA">
              <w:rPr>
                <w:color w:val="000000"/>
              </w:rPr>
              <w:t>s</w:t>
            </w:r>
            <w:r w:rsidR="00EA236E">
              <w:rPr>
                <w:color w:val="000000"/>
              </w:rPr>
              <w:t>,</w:t>
            </w:r>
            <w:r w:rsidR="00EA236E" w:rsidRPr="00166175">
              <w:rPr>
                <w:color w:val="000000"/>
              </w:rPr>
              <w:t xml:space="preserve"> Starptautisko inovatīvo farmaceitisko firmu asociācija</w:t>
            </w:r>
            <w:r w:rsidR="00167CFA">
              <w:rPr>
                <w:color w:val="000000"/>
              </w:rPr>
              <w:t>s un</w:t>
            </w:r>
            <w:r w:rsidR="00EA236E">
              <w:rPr>
                <w:color w:val="000000"/>
              </w:rPr>
              <w:t xml:space="preserve"> Pārtikas un veterinār</w:t>
            </w:r>
            <w:r w:rsidR="00167CFA">
              <w:rPr>
                <w:color w:val="000000"/>
              </w:rPr>
              <w:t>ā</w:t>
            </w:r>
            <w:r w:rsidR="00EA236E">
              <w:rPr>
                <w:color w:val="000000"/>
              </w:rPr>
              <w:t xml:space="preserve"> dienest</w:t>
            </w:r>
            <w:r w:rsidR="00167CFA">
              <w:rPr>
                <w:color w:val="000000"/>
              </w:rPr>
              <w:t>a pārstāvji</w:t>
            </w:r>
            <w:r w:rsidR="008179A7">
              <w:rPr>
                <w:color w:val="000000"/>
              </w:rPr>
              <w:t xml:space="preserve">, un tajā </w:t>
            </w:r>
            <w:r w:rsidR="00EA236E" w:rsidRPr="004D1D98">
              <w:rPr>
                <w:color w:val="000000" w:themeColor="text1"/>
              </w:rPr>
              <w:t xml:space="preserve">tika panākta vienošanās, ka </w:t>
            </w:r>
            <w:r w:rsidR="00AB094A" w:rsidRPr="004D1D98">
              <w:rPr>
                <w:color w:val="000000" w:themeColor="text1"/>
              </w:rPr>
              <w:t xml:space="preserve">Zemkopības ministrija </w:t>
            </w:r>
            <w:r w:rsidR="00EA236E" w:rsidRPr="004D1D98">
              <w:rPr>
                <w:color w:val="000000" w:themeColor="text1"/>
              </w:rPr>
              <w:t>sagatavos Ministru kabineta sēdes protokollēmum</w:t>
            </w:r>
            <w:r w:rsidR="00D62AE3" w:rsidRPr="004D1D98">
              <w:rPr>
                <w:color w:val="000000" w:themeColor="text1"/>
              </w:rPr>
              <w:t>a projektu Ministru kabineta noteikumu projektam „Prasības uztura bagātinātājiem”</w:t>
            </w:r>
            <w:r w:rsidR="00EA236E" w:rsidRPr="004D1D98">
              <w:rPr>
                <w:color w:val="000000" w:themeColor="text1"/>
              </w:rPr>
              <w:t xml:space="preserve"> par veicamajām darbībām sabiedrības informēšanas, reklāmas ierobežošanas un nepieciešamo finansējumu, lai veiktu laboratoriskās kontroles uztura bagātinātājiem</w:t>
            </w:r>
            <w:r w:rsidR="00AB094A" w:rsidRPr="004D1D98">
              <w:rPr>
                <w:color w:val="000000" w:themeColor="text1"/>
              </w:rPr>
              <w:t xml:space="preserve">. Protokollēmums </w:t>
            </w:r>
            <w:r w:rsidR="008179A7" w:rsidRPr="004D1D98">
              <w:rPr>
                <w:color w:val="000000" w:themeColor="text1"/>
              </w:rPr>
              <w:t xml:space="preserve">Valsts kancelejā </w:t>
            </w:r>
            <w:r w:rsidR="00EA236E" w:rsidRPr="004D1D98">
              <w:rPr>
                <w:color w:val="000000" w:themeColor="text1"/>
              </w:rPr>
              <w:t>iesniegt</w:t>
            </w:r>
            <w:r w:rsidR="00AB094A" w:rsidRPr="004D1D98">
              <w:rPr>
                <w:color w:val="000000" w:themeColor="text1"/>
              </w:rPr>
              <w:t>s</w:t>
            </w:r>
            <w:r w:rsidR="00EA236E" w:rsidRPr="004D1D98">
              <w:rPr>
                <w:color w:val="000000" w:themeColor="text1"/>
              </w:rPr>
              <w:t xml:space="preserve"> kopā ar Ministru kabineta noteikumu projektu „Prasības uztura bagātinātājiem”</w:t>
            </w:r>
            <w:r w:rsidR="00AF6C85" w:rsidRPr="004D1D98">
              <w:rPr>
                <w:color w:val="000000" w:themeColor="text1"/>
              </w:rPr>
              <w:t xml:space="preserve"> š.g. 17.novembrī.</w:t>
            </w:r>
          </w:p>
        </w:tc>
      </w:tr>
      <w:tr w:rsidR="00296183" w:rsidRPr="000952F6" w14:paraId="434A2ADE" w14:textId="77777777" w:rsidTr="00420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4" w:type="pct"/>
            <w:tcBorders>
              <w:bottom w:val="single" w:sz="4" w:space="0" w:color="auto"/>
            </w:tcBorders>
          </w:tcPr>
          <w:p w14:paraId="23E8D5EB" w14:textId="77777777" w:rsidR="00296183" w:rsidRPr="00F145DA" w:rsidRDefault="00296183" w:rsidP="0029502E">
            <w:pPr>
              <w:pStyle w:val="naiskr"/>
              <w:spacing w:before="0" w:beforeAutospacing="0" w:after="0" w:afterAutospacing="0"/>
              <w:rPr>
                <w:color w:val="000000" w:themeColor="text1"/>
              </w:rPr>
            </w:pPr>
            <w:r w:rsidRPr="00F145DA">
              <w:rPr>
                <w:color w:val="000000" w:themeColor="text1"/>
              </w:rPr>
              <w:lastRenderedPageBreak/>
              <w:t>3.</w:t>
            </w:r>
          </w:p>
        </w:tc>
        <w:tc>
          <w:tcPr>
            <w:tcW w:w="1388" w:type="pct"/>
            <w:tcBorders>
              <w:bottom w:val="single" w:sz="4" w:space="0" w:color="auto"/>
            </w:tcBorders>
          </w:tcPr>
          <w:p w14:paraId="366368EB" w14:textId="77777777" w:rsidR="00296183" w:rsidRPr="001902D0" w:rsidRDefault="00296183" w:rsidP="0029502E">
            <w:pPr>
              <w:pStyle w:val="naiskr"/>
              <w:spacing w:before="0" w:beforeAutospacing="0" w:after="0" w:afterAutospacing="0"/>
              <w:jc w:val="both"/>
              <w:rPr>
                <w:color w:val="000000" w:themeColor="text1"/>
              </w:rPr>
            </w:pPr>
            <w:r w:rsidRPr="00116911">
              <w:rPr>
                <w:color w:val="000000" w:themeColor="text1"/>
              </w:rPr>
              <w:t>Sabiedrības līdzdalības rezultāti</w:t>
            </w:r>
          </w:p>
        </w:tc>
        <w:tc>
          <w:tcPr>
            <w:tcW w:w="3308" w:type="pct"/>
            <w:gridSpan w:val="2"/>
            <w:tcBorders>
              <w:bottom w:val="single" w:sz="4" w:space="0" w:color="auto"/>
            </w:tcBorders>
          </w:tcPr>
          <w:p w14:paraId="1EBCE354" w14:textId="77777777" w:rsidR="00027A8B" w:rsidRPr="004D1D98" w:rsidRDefault="00027A8B" w:rsidP="001365BC">
            <w:pPr>
              <w:pStyle w:val="naiskr"/>
              <w:spacing w:before="0" w:beforeAutospacing="0" w:after="0" w:afterAutospacing="0"/>
              <w:jc w:val="both"/>
              <w:rPr>
                <w:color w:val="000000" w:themeColor="text1"/>
              </w:rPr>
            </w:pPr>
            <w:r w:rsidRPr="004D1D98">
              <w:rPr>
                <w:color w:val="000000" w:themeColor="text1"/>
              </w:rPr>
              <w:t>Zemkopības ministrija projekta saskaņošanas laikā saņēma diametrāli pretējus viedokļus.</w:t>
            </w:r>
          </w:p>
          <w:p w14:paraId="4F69CCD4" w14:textId="77777777" w:rsidR="001040DB" w:rsidRPr="00AD6352" w:rsidRDefault="001365BC" w:rsidP="001365BC">
            <w:pPr>
              <w:pStyle w:val="naiskr"/>
              <w:spacing w:before="0" w:beforeAutospacing="0" w:after="0" w:afterAutospacing="0"/>
              <w:jc w:val="both"/>
              <w:rPr>
                <w:color w:val="000000" w:themeColor="text1"/>
              </w:rPr>
            </w:pPr>
            <w:r w:rsidRPr="00AD6352">
              <w:rPr>
                <w:color w:val="000000" w:themeColor="text1"/>
              </w:rPr>
              <w:t xml:space="preserve">Sabiedriskās organizācijas </w:t>
            </w:r>
            <w:r w:rsidR="001040DB" w:rsidRPr="00AD6352">
              <w:rPr>
                <w:color w:val="000000" w:themeColor="text1"/>
              </w:rPr>
              <w:t>atbalsta</w:t>
            </w:r>
            <w:r w:rsidRPr="00AD6352">
              <w:rPr>
                <w:color w:val="000000" w:themeColor="text1"/>
              </w:rPr>
              <w:t xml:space="preserve"> </w:t>
            </w:r>
            <w:r w:rsidR="001040DB" w:rsidRPr="00AD6352">
              <w:rPr>
                <w:color w:val="000000" w:themeColor="text1"/>
              </w:rPr>
              <w:t xml:space="preserve">projektu, </w:t>
            </w:r>
            <w:r w:rsidR="00103FE2" w:rsidRPr="00AD6352">
              <w:rPr>
                <w:color w:val="000000" w:themeColor="text1"/>
              </w:rPr>
              <w:t>bet</w:t>
            </w:r>
            <w:r w:rsidR="001040DB" w:rsidRPr="00AD6352">
              <w:rPr>
                <w:color w:val="000000" w:themeColor="text1"/>
              </w:rPr>
              <w:t xml:space="preserve"> uzskata, ka </w:t>
            </w:r>
            <w:r w:rsidR="005E496B" w:rsidRPr="00AD6352">
              <w:rPr>
                <w:color w:val="000000" w:themeColor="text1"/>
              </w:rPr>
              <w:t xml:space="preserve">valsts </w:t>
            </w:r>
            <w:r w:rsidRPr="00AD6352">
              <w:rPr>
                <w:color w:val="000000" w:themeColor="text1"/>
              </w:rPr>
              <w:t>nodeva</w:t>
            </w:r>
            <w:r w:rsidR="001040DB" w:rsidRPr="00AD6352">
              <w:rPr>
                <w:color w:val="000000" w:themeColor="text1"/>
              </w:rPr>
              <w:t xml:space="preserve"> </w:t>
            </w:r>
            <w:r w:rsidRPr="00AD6352">
              <w:rPr>
                <w:color w:val="000000" w:themeColor="text1"/>
              </w:rPr>
              <w:t>uztura bagātinātājiem ir jāpalielina.</w:t>
            </w:r>
          </w:p>
          <w:p w14:paraId="28E3CD83" w14:textId="77777777" w:rsidR="001365BC" w:rsidRPr="00AD6352" w:rsidRDefault="001365BC" w:rsidP="001365BC">
            <w:pPr>
              <w:pStyle w:val="naiskr"/>
              <w:spacing w:before="0" w:beforeAutospacing="0" w:after="0" w:afterAutospacing="0"/>
              <w:jc w:val="both"/>
              <w:rPr>
                <w:color w:val="000000" w:themeColor="text1"/>
              </w:rPr>
            </w:pPr>
            <w:r w:rsidRPr="00AD6352">
              <w:rPr>
                <w:color w:val="000000" w:themeColor="text1"/>
              </w:rPr>
              <w:t xml:space="preserve">Latvijas </w:t>
            </w:r>
            <w:r w:rsidR="00411C2B" w:rsidRPr="00AD6352">
              <w:rPr>
                <w:color w:val="000000" w:themeColor="text1"/>
              </w:rPr>
              <w:t>pārtikas uzņēmumi</w:t>
            </w:r>
            <w:r w:rsidRPr="00AD6352">
              <w:rPr>
                <w:color w:val="000000" w:themeColor="text1"/>
              </w:rPr>
              <w:t xml:space="preserve"> neatbalsta </w:t>
            </w:r>
            <w:r w:rsidR="001040DB" w:rsidRPr="00AD6352">
              <w:rPr>
                <w:color w:val="000000" w:themeColor="text1"/>
              </w:rPr>
              <w:t>noteikumu projektu</w:t>
            </w:r>
            <w:r w:rsidR="008F053D" w:rsidRPr="00AD6352">
              <w:rPr>
                <w:color w:val="000000" w:themeColor="text1"/>
              </w:rPr>
              <w:t>, jo uzskata, ka</w:t>
            </w:r>
            <w:r w:rsidR="001040DB" w:rsidRPr="00AD6352">
              <w:rPr>
                <w:color w:val="000000" w:themeColor="text1"/>
              </w:rPr>
              <w:t xml:space="preserve"> </w:t>
            </w:r>
            <w:r w:rsidR="005E496B" w:rsidRPr="00AD6352">
              <w:rPr>
                <w:color w:val="000000" w:themeColor="text1"/>
              </w:rPr>
              <w:t xml:space="preserve">valsts </w:t>
            </w:r>
            <w:r w:rsidRPr="00AD6352">
              <w:rPr>
                <w:color w:val="000000" w:themeColor="text1"/>
              </w:rPr>
              <w:t>nodevas palielināšan</w:t>
            </w:r>
            <w:r w:rsidR="008F053D" w:rsidRPr="00AD6352">
              <w:rPr>
                <w:color w:val="000000" w:themeColor="text1"/>
              </w:rPr>
              <w:t xml:space="preserve">a ir slogs pārtikas uzņēmumiem, </w:t>
            </w:r>
            <w:r w:rsidRPr="00AD6352">
              <w:rPr>
                <w:color w:val="000000" w:themeColor="text1"/>
              </w:rPr>
              <w:t xml:space="preserve">vai arī iesaka atbrīvot Latvijas </w:t>
            </w:r>
            <w:r w:rsidR="008F053D" w:rsidRPr="00AD6352">
              <w:rPr>
                <w:color w:val="000000" w:themeColor="text1"/>
              </w:rPr>
              <w:t>pārtikas uzņēmumus</w:t>
            </w:r>
            <w:r w:rsidRPr="00AD6352">
              <w:rPr>
                <w:color w:val="000000" w:themeColor="text1"/>
              </w:rPr>
              <w:t xml:space="preserve"> no </w:t>
            </w:r>
            <w:r w:rsidR="005E496B" w:rsidRPr="00AD6352">
              <w:rPr>
                <w:color w:val="000000" w:themeColor="text1"/>
              </w:rPr>
              <w:t xml:space="preserve">valsts </w:t>
            </w:r>
            <w:r w:rsidRPr="00AD6352">
              <w:rPr>
                <w:color w:val="000000" w:themeColor="text1"/>
              </w:rPr>
              <w:t>nodevas maksāšanas par uztura bagātinātāja laišanu tirgū.</w:t>
            </w:r>
          </w:p>
          <w:p w14:paraId="464FF507" w14:textId="77777777" w:rsidR="001365BC" w:rsidRPr="00AD6352" w:rsidRDefault="001365BC" w:rsidP="001365BC">
            <w:pPr>
              <w:pStyle w:val="naiskr"/>
              <w:spacing w:before="0" w:beforeAutospacing="0" w:after="0" w:afterAutospacing="0"/>
              <w:jc w:val="both"/>
              <w:rPr>
                <w:color w:val="000000" w:themeColor="text1"/>
              </w:rPr>
            </w:pPr>
            <w:r w:rsidRPr="00AD6352">
              <w:rPr>
                <w:b/>
                <w:color w:val="000000" w:themeColor="text1"/>
              </w:rPr>
              <w:t>Starptautisko inovatīvo farmaceitisko firmu asociācija</w:t>
            </w:r>
            <w:r w:rsidRPr="00AD6352">
              <w:rPr>
                <w:color w:val="000000" w:themeColor="text1"/>
              </w:rPr>
              <w:t xml:space="preserve"> (SIFFA) aicina noteikt lielāku uztura bagātinātāju reģistrācijas valsts nodevu, lai Pārtikas un veterinārais dienests varētu īstenot nepieciešamos kvalitātes uzraudzības, marķējuma teksta, lietošanas instrukcijas un reklāmas patiesuma izvērtēšanas un sabiedrības izglītošanas pasākumus.</w:t>
            </w:r>
          </w:p>
          <w:p w14:paraId="0477F09A" w14:textId="77777777" w:rsidR="00AD7DDF" w:rsidRPr="00BA3B0F" w:rsidRDefault="00AD7DDF" w:rsidP="00AD7DDF">
            <w:pPr>
              <w:pStyle w:val="BodyText2"/>
              <w:shd w:val="clear" w:color="auto" w:fill="auto"/>
              <w:tabs>
                <w:tab w:val="left" w:pos="348"/>
              </w:tabs>
              <w:spacing w:before="0" w:after="0" w:line="240" w:lineRule="auto"/>
              <w:ind w:firstLine="0"/>
              <w:jc w:val="both"/>
              <w:rPr>
                <w:rFonts w:ascii="Times New Roman" w:hAnsi="Times New Roman" w:cs="Times New Roman"/>
                <w:color w:val="000000" w:themeColor="text1"/>
                <w:sz w:val="24"/>
                <w:szCs w:val="24"/>
                <w:lang w:val="lv-LV"/>
              </w:rPr>
            </w:pPr>
            <w:r w:rsidRPr="00BA3B0F">
              <w:rPr>
                <w:rFonts w:ascii="Times New Roman" w:hAnsi="Times New Roman" w:cs="Times New Roman"/>
                <w:b/>
                <w:color w:val="000000" w:themeColor="text1"/>
                <w:sz w:val="24"/>
                <w:szCs w:val="24"/>
                <w:lang w:val="lv-LV"/>
              </w:rPr>
              <w:t>Latvijas Ārstu biedrība</w:t>
            </w:r>
            <w:r w:rsidR="008179A7" w:rsidRPr="00BA3B0F">
              <w:rPr>
                <w:rFonts w:ascii="Times New Roman" w:hAnsi="Times New Roman" w:cs="Times New Roman"/>
                <w:b/>
                <w:color w:val="000000" w:themeColor="text1"/>
                <w:sz w:val="24"/>
                <w:szCs w:val="24"/>
                <w:lang w:val="lv-LV"/>
              </w:rPr>
              <w:t xml:space="preserve">s </w:t>
            </w:r>
            <w:r w:rsidR="008179A7" w:rsidRPr="00BA3B0F">
              <w:rPr>
                <w:rFonts w:ascii="Times New Roman" w:hAnsi="Times New Roman" w:cs="Times New Roman"/>
                <w:color w:val="000000" w:themeColor="text1"/>
                <w:sz w:val="24"/>
                <w:szCs w:val="24"/>
                <w:lang w:val="lv-LV"/>
              </w:rPr>
              <w:t>viedoklis ir šāds:</w:t>
            </w:r>
          </w:p>
          <w:p w14:paraId="0855FC5F" w14:textId="77777777" w:rsidR="00AD7DDF" w:rsidRPr="00BA3B0F" w:rsidRDefault="008179A7" w:rsidP="00BA3B0F">
            <w:pPr>
              <w:pStyle w:val="BodyText2"/>
              <w:shd w:val="clear" w:color="auto" w:fill="auto"/>
              <w:tabs>
                <w:tab w:val="left" w:pos="348"/>
              </w:tabs>
              <w:spacing w:before="0" w:after="0" w:line="240" w:lineRule="auto"/>
              <w:ind w:firstLine="0"/>
              <w:jc w:val="both"/>
              <w:rPr>
                <w:rFonts w:ascii="Times New Roman" w:hAnsi="Times New Roman" w:cs="Times New Roman"/>
                <w:color w:val="000000" w:themeColor="text1"/>
                <w:sz w:val="24"/>
                <w:szCs w:val="24"/>
                <w:lang w:val="lv-LV"/>
              </w:rPr>
            </w:pPr>
            <w:r w:rsidRPr="00BA3B0F">
              <w:rPr>
                <w:rFonts w:ascii="Times New Roman" w:hAnsi="Times New Roman" w:cs="Times New Roman"/>
                <w:color w:val="000000" w:themeColor="text1"/>
                <w:sz w:val="24"/>
                <w:szCs w:val="24"/>
                <w:lang w:val="lv-LV"/>
              </w:rPr>
              <w:t>1) </w:t>
            </w:r>
            <w:r w:rsidR="00AD7DDF" w:rsidRPr="00BA3B0F">
              <w:rPr>
                <w:rFonts w:ascii="Times New Roman" w:hAnsi="Times New Roman" w:cs="Times New Roman"/>
                <w:color w:val="000000" w:themeColor="text1"/>
                <w:sz w:val="24"/>
                <w:szCs w:val="24"/>
                <w:lang w:val="lv-LV"/>
              </w:rPr>
              <w:t xml:space="preserve">ir jāsaglabā atšķirīgs valsts nodevas apjoms par trešajā valstī ražotu uztura bagātinātāju un Eiropas Ekonomikas zonā ražotu uztura bagātinātāju ; </w:t>
            </w:r>
          </w:p>
          <w:p w14:paraId="65BF735E" w14:textId="77777777" w:rsidR="00AD7DDF" w:rsidRPr="00BA3B0F" w:rsidRDefault="008179A7" w:rsidP="00BA3B0F">
            <w:pPr>
              <w:pStyle w:val="BodyText2"/>
              <w:shd w:val="clear" w:color="auto" w:fill="auto"/>
              <w:tabs>
                <w:tab w:val="left" w:pos="348"/>
              </w:tabs>
              <w:spacing w:before="0" w:after="0" w:line="240" w:lineRule="auto"/>
              <w:ind w:firstLine="0"/>
              <w:jc w:val="both"/>
              <w:rPr>
                <w:rFonts w:ascii="Times New Roman" w:hAnsi="Times New Roman" w:cs="Times New Roman"/>
                <w:color w:val="000000" w:themeColor="text1"/>
                <w:sz w:val="24"/>
                <w:szCs w:val="24"/>
                <w:lang w:val="lv-LV"/>
              </w:rPr>
            </w:pPr>
            <w:r w:rsidRPr="00BA3B0F">
              <w:rPr>
                <w:rFonts w:ascii="Times New Roman" w:hAnsi="Times New Roman" w:cs="Times New Roman"/>
                <w:color w:val="000000" w:themeColor="text1"/>
                <w:sz w:val="24"/>
                <w:szCs w:val="24"/>
                <w:lang w:val="lv-LV"/>
              </w:rPr>
              <w:t>2) tā kā</w:t>
            </w:r>
            <w:r w:rsidR="00AD7DDF" w:rsidRPr="00BA3B0F">
              <w:rPr>
                <w:rFonts w:ascii="Times New Roman" w:hAnsi="Times New Roman" w:cs="Times New Roman"/>
                <w:color w:val="000000" w:themeColor="text1"/>
                <w:sz w:val="24"/>
                <w:szCs w:val="24"/>
                <w:lang w:val="lv-LV"/>
              </w:rPr>
              <w:t xml:space="preserve"> uztura bagātinātāju reģistrācijai nepieciešamie  </w:t>
            </w:r>
            <w:r w:rsidR="00AD7DDF" w:rsidRPr="00BA3B0F">
              <w:rPr>
                <w:rFonts w:ascii="Times New Roman" w:hAnsi="Times New Roman" w:cs="Times New Roman"/>
                <w:color w:val="000000" w:themeColor="text1"/>
                <w:sz w:val="24"/>
                <w:szCs w:val="24"/>
                <w:lang w:val="lv-LV"/>
              </w:rPr>
              <w:lastRenderedPageBreak/>
              <w:t>dienesta izdevumi tiek segti no valsts budžeta dotācijas, nepieciešams paaugstināt noteikto nodevas apjomu visu uztura bagātinātāju reģistrācijai, jo īpaši no trešajām valstīm</w:t>
            </w:r>
            <w:r w:rsidRPr="00BA3B0F">
              <w:rPr>
                <w:rFonts w:ascii="Times New Roman" w:hAnsi="Times New Roman" w:cs="Times New Roman"/>
                <w:color w:val="000000" w:themeColor="text1"/>
                <w:sz w:val="24"/>
                <w:szCs w:val="24"/>
                <w:lang w:val="lv-LV"/>
              </w:rPr>
              <w:t xml:space="preserve"> ievesto uztura bagātinātāju reģistrācijai</w:t>
            </w:r>
            <w:r w:rsidR="00AD7DDF" w:rsidRPr="00BA3B0F">
              <w:rPr>
                <w:rFonts w:ascii="Times New Roman" w:hAnsi="Times New Roman" w:cs="Times New Roman"/>
                <w:color w:val="000000" w:themeColor="text1"/>
                <w:sz w:val="24"/>
                <w:szCs w:val="24"/>
                <w:lang w:val="lv-LV"/>
              </w:rPr>
              <w:t>.</w:t>
            </w:r>
          </w:p>
          <w:p w14:paraId="7CB9D973" w14:textId="77777777" w:rsidR="001365BC" w:rsidRPr="004D1D98" w:rsidRDefault="001365BC" w:rsidP="00BA3B0F">
            <w:pPr>
              <w:jc w:val="both"/>
              <w:rPr>
                <w:color w:val="000000" w:themeColor="text1"/>
                <w:lang w:val="lv-LV"/>
              </w:rPr>
            </w:pPr>
            <w:r w:rsidRPr="004D1D98">
              <w:rPr>
                <w:b/>
                <w:color w:val="000000" w:themeColor="text1"/>
                <w:lang w:val="lv-LV"/>
              </w:rPr>
              <w:t xml:space="preserve">SIA </w:t>
            </w:r>
            <w:r w:rsidRPr="004D1D98">
              <w:rPr>
                <w:b/>
                <w:i/>
                <w:color w:val="000000" w:themeColor="text1"/>
                <w:lang w:val="lv-LV"/>
              </w:rPr>
              <w:t xml:space="preserve">Filine Cold Drinks </w:t>
            </w:r>
            <w:r w:rsidR="00E83D38" w:rsidRPr="004D1D98">
              <w:rPr>
                <w:color w:val="000000" w:themeColor="text1"/>
                <w:lang w:val="lv-LV"/>
              </w:rPr>
              <w:t xml:space="preserve">(elektroniski saņemts e-pasts) </w:t>
            </w:r>
            <w:r w:rsidRPr="004D1D98">
              <w:rPr>
                <w:color w:val="000000" w:themeColor="text1"/>
                <w:lang w:val="lv-LV"/>
              </w:rPr>
              <w:t>uzskata, ka,</w:t>
            </w:r>
            <w:r w:rsidR="00E83D38" w:rsidRPr="004D1D98">
              <w:rPr>
                <w:color w:val="000000" w:themeColor="text1"/>
                <w:lang w:val="lv-LV"/>
              </w:rPr>
              <w:t xml:space="preserve"> </w:t>
            </w:r>
            <w:r w:rsidRPr="004D1D98">
              <w:rPr>
                <w:color w:val="000000" w:themeColor="text1"/>
                <w:lang w:val="lv-LV"/>
              </w:rPr>
              <w:t>pirmkārt</w:t>
            </w:r>
            <w:r w:rsidR="008179A7">
              <w:rPr>
                <w:color w:val="000000" w:themeColor="text1"/>
                <w:lang w:val="lv-LV"/>
              </w:rPr>
              <w:t>,</w:t>
            </w:r>
            <w:r w:rsidRPr="004D1D98">
              <w:rPr>
                <w:color w:val="000000" w:themeColor="text1"/>
                <w:lang w:val="lv-LV"/>
              </w:rPr>
              <w:t xml:space="preserve"> vajadzētu būt atšķirībai, vai uztura bagātinātājs ir jau reģistrēts kādā citā ES dalībvalstī, jo tad tam automātiski vajadzētu nozīmēt vienkāršāku un līdz ar to lētāku reģistrāciju Latvijā. Piemēram, vairums </w:t>
            </w:r>
            <w:r w:rsidRPr="004D1D98">
              <w:rPr>
                <w:i/>
                <w:color w:val="000000" w:themeColor="text1"/>
                <w:lang w:val="lv-LV"/>
              </w:rPr>
              <w:t>FitLine</w:t>
            </w:r>
            <w:r w:rsidRPr="004D1D98">
              <w:rPr>
                <w:color w:val="000000" w:themeColor="text1"/>
                <w:lang w:val="lv-LV"/>
              </w:rPr>
              <w:t xml:space="preserve"> produktu ir ne tikai (pats par sevi saprotams) reģistrēti ražotājvalstī Vācijā, bet arī patentēti, tāpēc to padziļināta izpēte nebūtu nepieciešama. Ja tomēr Latvijā pastāv kādas uz uztura bagātinātājiem attiecināmas normas (atšķirīgas no ES direktīvām un regulām), tām būtu jābūt publiski pieejamām un noformētām likumos noteiktā kārtībā; </w:t>
            </w:r>
          </w:p>
          <w:p w14:paraId="00D81E19" w14:textId="77777777" w:rsidR="001365BC" w:rsidRPr="004D1D98" w:rsidRDefault="001365BC" w:rsidP="001365BC">
            <w:pPr>
              <w:jc w:val="both"/>
              <w:rPr>
                <w:color w:val="000000" w:themeColor="text1"/>
                <w:lang w:val="lv-LV"/>
              </w:rPr>
            </w:pPr>
            <w:r w:rsidRPr="004D1D98">
              <w:rPr>
                <w:color w:val="000000" w:themeColor="text1"/>
                <w:lang w:val="lv-LV"/>
              </w:rPr>
              <w:t>otrkārt, nav skaidrs, kāpēc</w:t>
            </w:r>
            <w:r w:rsidR="008179A7">
              <w:rPr>
                <w:color w:val="000000" w:themeColor="text1"/>
                <w:lang w:val="lv-LV"/>
              </w:rPr>
              <w:t>,</w:t>
            </w:r>
            <w:r w:rsidRPr="004D1D98">
              <w:rPr>
                <w:color w:val="000000" w:themeColor="text1"/>
                <w:lang w:val="lv-LV"/>
              </w:rPr>
              <w:t xml:space="preserve"> veicot izmaiņas produkta marķējumā (tas ir, kad nemainās ne produkta nosaukums, ne pielietojums, bet tiek ieviestas korekcijas kādā no sastāvdaļām), šī fakta konstatācijai būtu jāvelta veselas 10 stundas. Ja vienā izmaiņu pieteikumā ir vairākas korekcijas, SIA </w:t>
            </w:r>
            <w:r w:rsidRPr="004D1D98">
              <w:rPr>
                <w:i/>
                <w:color w:val="000000" w:themeColor="text1"/>
                <w:lang w:val="lv-LV"/>
              </w:rPr>
              <w:t>Filine Cold Drinks</w:t>
            </w:r>
            <w:r w:rsidRPr="004D1D98">
              <w:rPr>
                <w:color w:val="000000" w:themeColor="text1"/>
                <w:lang w:val="lv-LV"/>
              </w:rPr>
              <w:t xml:space="preserve"> ir priekšlikums uz katras šīs korekciju izskatīšanu attiecināt 2 darba stundas. Tas ir, ja jauna produkta sertificēšanai tiek aprēķinātas 14 darba stundas (tā kā nevar pārbaudīt šī skaitļa adekvātumu, tiek izmantots eventuāls administratīvā sloga aprēķina pieņēmums), tad izmaiņas marķējumā ar 7 korekcijām arī varētu būt līdzvērtīgi atalgojamas un ar lielāku korekciju skaitu uzņēmējam būtu jāapsver, vai konkrētais uztura bagātinātājs tomēr nav jāreģistrē kā jauns produkts. </w:t>
            </w:r>
          </w:p>
          <w:p w14:paraId="7E07485F" w14:textId="77777777" w:rsidR="001365BC" w:rsidRPr="00AD6352" w:rsidRDefault="001365BC" w:rsidP="008179A7">
            <w:pPr>
              <w:jc w:val="both"/>
              <w:rPr>
                <w:color w:val="000000" w:themeColor="text1"/>
                <w:lang w:val="lv-LV"/>
              </w:rPr>
            </w:pPr>
            <w:r w:rsidRPr="00AD6352">
              <w:rPr>
                <w:b/>
                <w:color w:val="000000" w:themeColor="text1"/>
                <w:lang w:val="lv-LV"/>
              </w:rPr>
              <w:t xml:space="preserve">SIA „BELLUM” </w:t>
            </w:r>
            <w:r w:rsidR="00E83D38" w:rsidRPr="004D1D98">
              <w:rPr>
                <w:color w:val="000000" w:themeColor="text1"/>
                <w:lang w:val="lv-LV"/>
              </w:rPr>
              <w:t xml:space="preserve">(elektroniski saņemts e-pasts) </w:t>
            </w:r>
            <w:r w:rsidRPr="00AD6352">
              <w:rPr>
                <w:color w:val="000000" w:themeColor="text1"/>
                <w:lang w:val="lv-LV"/>
              </w:rPr>
              <w:t>pauž viedokli, ka</w:t>
            </w:r>
            <w:r w:rsidRPr="00AD6352">
              <w:rPr>
                <w:b/>
                <w:color w:val="000000" w:themeColor="text1"/>
                <w:lang w:val="lv-LV"/>
              </w:rPr>
              <w:t xml:space="preserve"> </w:t>
            </w:r>
            <w:r w:rsidR="008179A7">
              <w:rPr>
                <w:color w:val="000000" w:themeColor="text1"/>
                <w:lang w:val="lv-LV"/>
              </w:rPr>
              <w:t>a</w:t>
            </w:r>
            <w:r w:rsidRPr="00AD6352">
              <w:rPr>
                <w:color w:val="000000" w:themeColor="text1"/>
                <w:lang w:val="lv-LV"/>
              </w:rPr>
              <w:t xml:space="preserve">r palielinātas maksas ieviešanu tiks panākts vienīgi tas, ka jau tā milzīgā uztura bagātinātāju “melnā” tirgus daļa kļūs vēl lielāka. Tie </w:t>
            </w:r>
            <w:r w:rsidR="00411C2B" w:rsidRPr="00AD6352">
              <w:rPr>
                <w:color w:val="000000" w:themeColor="text1"/>
                <w:lang w:val="lv-LV"/>
              </w:rPr>
              <w:t>pārtikas uzņēmumi</w:t>
            </w:r>
            <w:r w:rsidRPr="00AD6352">
              <w:rPr>
                <w:color w:val="000000" w:themeColor="text1"/>
                <w:lang w:val="lv-LV"/>
              </w:rPr>
              <w:t xml:space="preserve">, kas līdz šim godprātīgi vēl reģistrēja produktus un izpildīja visas PVD prasības, vienkārši „nospļausies” un darīs to pašu, ko lielākā daļa, – izplatīs </w:t>
            </w:r>
            <w:r w:rsidR="00C22FF9" w:rsidRPr="00AD6352">
              <w:rPr>
                <w:color w:val="000000" w:themeColor="text1"/>
                <w:lang w:val="lv-LV"/>
              </w:rPr>
              <w:t>uztura bagātinātājus</w:t>
            </w:r>
            <w:r w:rsidRPr="00AD6352">
              <w:rPr>
                <w:color w:val="000000" w:themeColor="text1"/>
                <w:lang w:val="lv-LV"/>
              </w:rPr>
              <w:t xml:space="preserve"> bez reģistrācijas. </w:t>
            </w:r>
          </w:p>
          <w:p w14:paraId="7870538E" w14:textId="77777777" w:rsidR="001365BC" w:rsidRPr="00AD6352" w:rsidRDefault="001365BC" w:rsidP="001365BC">
            <w:pPr>
              <w:jc w:val="both"/>
              <w:rPr>
                <w:color w:val="000000" w:themeColor="text1"/>
                <w:lang w:val="lv-LV"/>
              </w:rPr>
            </w:pPr>
            <w:r w:rsidRPr="00AD6352">
              <w:rPr>
                <w:color w:val="000000" w:themeColor="text1"/>
                <w:lang w:val="lv-LV"/>
              </w:rPr>
              <w:t xml:space="preserve">Turklāt, ņemot vērā uztura bagātinātāju pašizmaksu, pie kuras ir jāpieskaita arī reģistrācijas maksa, klienti turpinās tos iegādāties daudz lētāk vai nu internetā, vai kaimiņvalstīs, kur nav šīs reģistrācijas maksas. Kārtējo reizi, tuvredzīgi rīkojoties, jūs nevis būsit pildījuši valsts budžetu, bet gan to samazinājuši. </w:t>
            </w:r>
          </w:p>
          <w:p w14:paraId="08425B50" w14:textId="56DA5EED" w:rsidR="003363D7" w:rsidRPr="00AD6352" w:rsidRDefault="001365BC" w:rsidP="001365BC">
            <w:pPr>
              <w:pStyle w:val="naiskr"/>
              <w:spacing w:before="0" w:beforeAutospacing="0" w:after="0" w:afterAutospacing="0"/>
              <w:jc w:val="both"/>
              <w:rPr>
                <w:color w:val="000000" w:themeColor="text1"/>
              </w:rPr>
            </w:pPr>
            <w:r w:rsidRPr="00AD6352">
              <w:rPr>
                <w:b/>
                <w:i/>
                <w:color w:val="000000" w:themeColor="text1"/>
              </w:rPr>
              <w:t>SIA</w:t>
            </w:r>
            <w:r w:rsidRPr="00AD6352">
              <w:rPr>
                <w:i/>
                <w:color w:val="000000" w:themeColor="text1"/>
              </w:rPr>
              <w:t xml:space="preserve"> </w:t>
            </w:r>
            <w:r w:rsidRPr="00AD6352">
              <w:rPr>
                <w:b/>
                <w:i/>
                <w:color w:val="000000" w:themeColor="text1"/>
              </w:rPr>
              <w:t xml:space="preserve">Vedic Institute of Healthcare and Research </w:t>
            </w:r>
            <w:r w:rsidR="00B26CC0" w:rsidRPr="004D1D98">
              <w:rPr>
                <w:color w:val="000000" w:themeColor="text1"/>
              </w:rPr>
              <w:t xml:space="preserve">(elektroniski saņemts e-pasts) </w:t>
            </w:r>
            <w:r w:rsidRPr="00AD6352">
              <w:rPr>
                <w:color w:val="000000" w:themeColor="text1"/>
              </w:rPr>
              <w:t>uzskata, ka Latvijas ražotājam vajadzētu vispār atcelt valsts nodevu par uztura bagātinātāju reģistrāciju. Tieši Latvijas ražotāji nodrošina darbavietas un valsts budžeta ienākumus. Eiropas Savienības dalībvalstu uzņēmumiem varētu piemērot 165</w:t>
            </w:r>
            <w:r w:rsidR="00DF701A">
              <w:rPr>
                <w:color w:val="000000" w:themeColor="text1"/>
              </w:rPr>
              <w:t>,00</w:t>
            </w:r>
            <w:r w:rsidRPr="00AD6352">
              <w:rPr>
                <w:color w:val="000000" w:themeColor="text1"/>
              </w:rPr>
              <w:t xml:space="preserve"> </w:t>
            </w:r>
            <w:r w:rsidRPr="00AD6352">
              <w:rPr>
                <w:i/>
                <w:color w:val="000000" w:themeColor="text1"/>
              </w:rPr>
              <w:t>euro</w:t>
            </w:r>
            <w:r w:rsidRPr="00AD6352">
              <w:rPr>
                <w:color w:val="000000" w:themeColor="text1"/>
              </w:rPr>
              <w:t xml:space="preserve">, bet valsts nodeva no trešajām valstīm ievesto uztura bagātinātāju reģistrācijai lai paliek esošā apmērā – 426,88 </w:t>
            </w:r>
            <w:r w:rsidRPr="00AD6352">
              <w:rPr>
                <w:i/>
                <w:color w:val="000000" w:themeColor="text1"/>
              </w:rPr>
              <w:t>euro</w:t>
            </w:r>
            <w:r w:rsidRPr="00AD6352">
              <w:rPr>
                <w:color w:val="000000" w:themeColor="text1"/>
              </w:rPr>
              <w:t xml:space="preserve">. Šī pieeja palīdzēs atveseļoties esošajai ekonomiskai situācijai un </w:t>
            </w:r>
            <w:r w:rsidRPr="00AD6352">
              <w:rPr>
                <w:color w:val="000000" w:themeColor="text1"/>
              </w:rPr>
              <w:lastRenderedPageBreak/>
              <w:t>izaugt vietējam ražotājam.</w:t>
            </w:r>
          </w:p>
          <w:p w14:paraId="74B5AEC0" w14:textId="30786B8B" w:rsidR="00F2475C" w:rsidRDefault="008179A7" w:rsidP="00F2475C">
            <w:pPr>
              <w:pStyle w:val="naiskr"/>
              <w:spacing w:before="0" w:beforeAutospacing="0" w:after="0" w:afterAutospacing="0"/>
              <w:jc w:val="both"/>
              <w:rPr>
                <w:iCs/>
                <w:color w:val="000000"/>
              </w:rPr>
            </w:pPr>
            <w:r w:rsidRPr="003577C6">
              <w:rPr>
                <w:color w:val="000000"/>
              </w:rPr>
              <w:t xml:space="preserve">Zemkopības ministrija turpina projektā uzturēt kompromisa risinājumu, kas pamatots ar Pārtikas un veterinārā dienesta veiktajiem aprēķiniem. Noteikumu projektā valsts nodeva par uztura bagātinātāja </w:t>
            </w:r>
            <w:r w:rsidR="00F2475C">
              <w:rPr>
                <w:color w:val="000000"/>
              </w:rPr>
              <w:t xml:space="preserve">reģistrāciju paredzēta </w:t>
            </w:r>
            <w:r w:rsidRPr="003577C6">
              <w:rPr>
                <w:color w:val="000000"/>
              </w:rPr>
              <w:t>1</w:t>
            </w:r>
            <w:r w:rsidR="00F2475C">
              <w:rPr>
                <w:color w:val="000000"/>
              </w:rPr>
              <w:t>2</w:t>
            </w:r>
            <w:r w:rsidRPr="003577C6">
              <w:rPr>
                <w:color w:val="000000"/>
              </w:rPr>
              <w:t xml:space="preserve">5,00 </w:t>
            </w:r>
            <w:r w:rsidRPr="003577C6">
              <w:rPr>
                <w:i/>
                <w:iCs/>
                <w:color w:val="000000"/>
              </w:rPr>
              <w:t>euro</w:t>
            </w:r>
            <w:r>
              <w:rPr>
                <w:i/>
                <w:iCs/>
                <w:color w:val="000000"/>
              </w:rPr>
              <w:t xml:space="preserve"> </w:t>
            </w:r>
            <w:r w:rsidRPr="00BA3B0F">
              <w:rPr>
                <w:iCs/>
                <w:color w:val="000000"/>
              </w:rPr>
              <w:t>apmērā,</w:t>
            </w:r>
            <w:r w:rsidR="00F2475C">
              <w:rPr>
                <w:iCs/>
                <w:color w:val="000000"/>
              </w:rPr>
              <w:t xml:space="preserve"> bet par </w:t>
            </w:r>
            <w:r w:rsidR="000F10C0">
              <w:rPr>
                <w:iCs/>
                <w:color w:val="000000"/>
              </w:rPr>
              <w:t xml:space="preserve">ārpus Eiropas Ekonomikas zonas valstīm ražota uztura bagātinātāja reģistrāciju </w:t>
            </w:r>
            <w:r w:rsidR="000F10C0" w:rsidRPr="007507AD">
              <w:rPr>
                <w:color w:val="000000"/>
              </w:rPr>
              <w:t>210</w:t>
            </w:r>
            <w:r w:rsidR="00F2475C" w:rsidRPr="007507AD">
              <w:rPr>
                <w:color w:val="000000"/>
              </w:rPr>
              <w:t xml:space="preserve">,00 </w:t>
            </w:r>
            <w:r w:rsidR="00F2475C" w:rsidRPr="007507AD">
              <w:rPr>
                <w:i/>
                <w:iCs/>
                <w:color w:val="000000"/>
              </w:rPr>
              <w:t>euro.</w:t>
            </w:r>
            <w:r w:rsidR="00F2475C">
              <w:rPr>
                <w:iCs/>
                <w:color w:val="000000"/>
              </w:rPr>
              <w:t xml:space="preserve"> </w:t>
            </w:r>
          </w:p>
          <w:p w14:paraId="78FDFFC5" w14:textId="2E26EF34" w:rsidR="00296183" w:rsidRPr="00AD6352" w:rsidRDefault="00F2475C" w:rsidP="00254EE4">
            <w:pPr>
              <w:pStyle w:val="naiskr"/>
              <w:spacing w:before="0" w:beforeAutospacing="0" w:after="0" w:afterAutospacing="0"/>
              <w:jc w:val="both"/>
              <w:rPr>
                <w:rFonts w:eastAsia="Arial Unicode MS"/>
                <w:color w:val="000000" w:themeColor="text1"/>
              </w:rPr>
            </w:pPr>
            <w:r>
              <w:rPr>
                <w:iCs/>
                <w:color w:val="000000"/>
              </w:rPr>
              <w:t xml:space="preserve">Tiek samazināta </w:t>
            </w:r>
            <w:r w:rsidR="008179A7" w:rsidRPr="003577C6">
              <w:rPr>
                <w:color w:val="000000"/>
              </w:rPr>
              <w:t>valsts nodev</w:t>
            </w:r>
            <w:r>
              <w:rPr>
                <w:color w:val="000000"/>
              </w:rPr>
              <w:t>a</w:t>
            </w:r>
            <w:r w:rsidR="008179A7" w:rsidRPr="003577C6">
              <w:rPr>
                <w:color w:val="000000"/>
              </w:rPr>
              <w:t xml:space="preserve"> </w:t>
            </w:r>
            <w:r>
              <w:rPr>
                <w:color w:val="000000"/>
              </w:rPr>
              <w:t xml:space="preserve">no </w:t>
            </w:r>
            <w:r w:rsidRPr="003577C6">
              <w:rPr>
                <w:color w:val="000000"/>
              </w:rPr>
              <w:t xml:space="preserve">426,86 </w:t>
            </w:r>
            <w:r w:rsidRPr="003577C6">
              <w:rPr>
                <w:i/>
                <w:iCs/>
                <w:color w:val="000000"/>
              </w:rPr>
              <w:t>euro</w:t>
            </w:r>
            <w:r w:rsidRPr="003577C6">
              <w:rPr>
                <w:color w:val="000000"/>
              </w:rPr>
              <w:t xml:space="preserve"> </w:t>
            </w:r>
            <w:r w:rsidR="008179A7" w:rsidRPr="003577C6">
              <w:rPr>
                <w:color w:val="000000"/>
              </w:rPr>
              <w:t xml:space="preserve">par uztura bagātinātāja pirmreizēju reģistrāciju </w:t>
            </w:r>
            <w:r>
              <w:rPr>
                <w:color w:val="000000"/>
              </w:rPr>
              <w:t xml:space="preserve">no trešajām valstīm </w:t>
            </w:r>
            <w:r w:rsidR="008179A7" w:rsidRPr="003577C6">
              <w:rPr>
                <w:color w:val="000000"/>
              </w:rPr>
              <w:t>Eiropas Ekonomikas zonas valstī</w:t>
            </w:r>
            <w:r w:rsidR="008179A7">
              <w:rPr>
                <w:color w:val="000000"/>
              </w:rPr>
              <w:t xml:space="preserve"> </w:t>
            </w:r>
            <w:r>
              <w:rPr>
                <w:color w:val="000000"/>
              </w:rPr>
              <w:t xml:space="preserve">uz </w:t>
            </w:r>
            <w:r w:rsidRPr="007507AD">
              <w:rPr>
                <w:color w:val="000000"/>
              </w:rPr>
              <w:t>3</w:t>
            </w:r>
            <w:r w:rsidR="00254EE4" w:rsidRPr="007507AD">
              <w:rPr>
                <w:color w:val="000000"/>
              </w:rPr>
              <w:t>8</w:t>
            </w:r>
            <w:r w:rsidRPr="007507AD">
              <w:rPr>
                <w:color w:val="000000"/>
              </w:rPr>
              <w:t xml:space="preserve">0,00 </w:t>
            </w:r>
            <w:r w:rsidRPr="007507AD">
              <w:rPr>
                <w:i/>
                <w:color w:val="000000"/>
              </w:rPr>
              <w:t>euro</w:t>
            </w:r>
            <w:r w:rsidRPr="007507AD">
              <w:rPr>
                <w:color w:val="000000"/>
              </w:rPr>
              <w:t>.</w:t>
            </w:r>
            <w:r>
              <w:rPr>
                <w:color w:val="000000"/>
              </w:rPr>
              <w:t xml:space="preserve"> </w:t>
            </w:r>
            <w:r w:rsidR="008179A7">
              <w:rPr>
                <w:color w:val="000000"/>
              </w:rPr>
              <w:t>Ievērojot minēto,</w:t>
            </w:r>
            <w:r w:rsidR="008179A7" w:rsidRPr="003577C6">
              <w:rPr>
                <w:color w:val="000000"/>
              </w:rPr>
              <w:t xml:space="preserve"> Zemkopības ministrija uzskata, ka noteikumu projektā ir panākts kompromisa risinājums, izlīdzinot valsts nodevas uz</w:t>
            </w:r>
            <w:r w:rsidR="008179A7">
              <w:rPr>
                <w:color w:val="000000"/>
              </w:rPr>
              <w:t>tura bagātinātāju reģistrācijai</w:t>
            </w:r>
            <w:r w:rsidR="00027A8B" w:rsidRPr="004D1D98">
              <w:rPr>
                <w:color w:val="000000" w:themeColor="text1"/>
              </w:rPr>
              <w:t xml:space="preserve">. </w:t>
            </w:r>
            <w:r w:rsidR="008179A7" w:rsidRPr="003577C6">
              <w:rPr>
                <w:color w:val="000000"/>
              </w:rPr>
              <w:t>Tāpat Zemkopības ministrija nevar atbalstīt sabiedrisko organizāciju izteikto priekšlikumu būtiski palielināt valsts nodevu uztura bagātinātājiem, jo tā būtu nesamērīga pieeja salīdzin</w:t>
            </w:r>
            <w:r w:rsidR="008179A7">
              <w:rPr>
                <w:color w:val="000000"/>
              </w:rPr>
              <w:t>ājumā</w:t>
            </w:r>
            <w:r w:rsidR="008179A7" w:rsidRPr="003577C6">
              <w:rPr>
                <w:color w:val="000000"/>
              </w:rPr>
              <w:t xml:space="preserve"> ar citu Eiropas Savienības dalībvalstīm, kur</w:t>
            </w:r>
            <w:r w:rsidR="008179A7">
              <w:rPr>
                <w:color w:val="000000"/>
              </w:rPr>
              <w:t>ās</w:t>
            </w:r>
            <w:r w:rsidR="008179A7" w:rsidRPr="003577C6">
              <w:rPr>
                <w:color w:val="000000"/>
              </w:rPr>
              <w:t xml:space="preserve"> nav noteikta nodeva vai nodevas </w:t>
            </w:r>
            <w:r w:rsidR="008179A7">
              <w:rPr>
                <w:color w:val="000000"/>
              </w:rPr>
              <w:t>apmērs</w:t>
            </w:r>
            <w:r w:rsidR="008179A7" w:rsidRPr="003577C6">
              <w:rPr>
                <w:color w:val="000000"/>
              </w:rPr>
              <w:t xml:space="preserve"> ir līdzvērtīg</w:t>
            </w:r>
            <w:r w:rsidR="008179A7">
              <w:rPr>
                <w:color w:val="000000"/>
              </w:rPr>
              <w:t>s</w:t>
            </w:r>
            <w:r w:rsidR="008179A7" w:rsidRPr="003577C6">
              <w:rPr>
                <w:color w:val="000000"/>
              </w:rPr>
              <w:t xml:space="preserve"> kā Latvij</w:t>
            </w:r>
            <w:r w:rsidR="008179A7">
              <w:rPr>
                <w:color w:val="000000"/>
              </w:rPr>
              <w:t>ā</w:t>
            </w:r>
            <w:r w:rsidR="005B3DD0" w:rsidRPr="004D1D98">
              <w:rPr>
                <w:color w:val="000000" w:themeColor="text1"/>
              </w:rPr>
              <w:t>.</w:t>
            </w:r>
            <w:r w:rsidR="00EE6AC7" w:rsidRPr="004D1D98">
              <w:rPr>
                <w:color w:val="000000" w:themeColor="text1"/>
              </w:rPr>
              <w:t xml:space="preserve"> </w:t>
            </w:r>
          </w:p>
        </w:tc>
      </w:tr>
      <w:tr w:rsidR="00296183" w:rsidRPr="00943EA2" w14:paraId="164AB911" w14:textId="77777777" w:rsidTr="00420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4" w:type="pct"/>
            <w:tcBorders>
              <w:bottom w:val="single" w:sz="4" w:space="0" w:color="auto"/>
            </w:tcBorders>
          </w:tcPr>
          <w:p w14:paraId="0F5B5BB2" w14:textId="77777777" w:rsidR="00296183" w:rsidRPr="00F145DA" w:rsidRDefault="00296183" w:rsidP="0029502E">
            <w:pPr>
              <w:pStyle w:val="naiskr"/>
              <w:spacing w:before="0" w:beforeAutospacing="0" w:after="0" w:afterAutospacing="0"/>
              <w:rPr>
                <w:color w:val="000000" w:themeColor="text1"/>
              </w:rPr>
            </w:pPr>
            <w:r w:rsidRPr="00F145DA">
              <w:rPr>
                <w:color w:val="000000" w:themeColor="text1"/>
              </w:rPr>
              <w:lastRenderedPageBreak/>
              <w:t>4.</w:t>
            </w:r>
          </w:p>
        </w:tc>
        <w:tc>
          <w:tcPr>
            <w:tcW w:w="1388" w:type="pct"/>
            <w:tcBorders>
              <w:bottom w:val="single" w:sz="4" w:space="0" w:color="auto"/>
            </w:tcBorders>
          </w:tcPr>
          <w:p w14:paraId="3ED9755C" w14:textId="77777777" w:rsidR="00296183" w:rsidRPr="001902D0" w:rsidRDefault="00296183" w:rsidP="0029502E">
            <w:pPr>
              <w:pStyle w:val="naiskr"/>
              <w:spacing w:before="0" w:beforeAutospacing="0" w:after="0" w:afterAutospacing="0"/>
              <w:jc w:val="both"/>
              <w:rPr>
                <w:color w:val="000000" w:themeColor="text1"/>
              </w:rPr>
            </w:pPr>
            <w:r w:rsidRPr="00116911">
              <w:rPr>
                <w:color w:val="000000" w:themeColor="text1"/>
              </w:rPr>
              <w:t>Cita informācija</w:t>
            </w:r>
          </w:p>
        </w:tc>
        <w:tc>
          <w:tcPr>
            <w:tcW w:w="3308" w:type="pct"/>
            <w:gridSpan w:val="2"/>
            <w:tcBorders>
              <w:bottom w:val="single" w:sz="4" w:space="0" w:color="auto"/>
            </w:tcBorders>
          </w:tcPr>
          <w:p w14:paraId="37781F04" w14:textId="77777777" w:rsidR="00296183" w:rsidRPr="00AD6352" w:rsidRDefault="00296183" w:rsidP="0029502E">
            <w:pPr>
              <w:pStyle w:val="naisc"/>
              <w:spacing w:before="0" w:beforeAutospacing="0" w:after="0" w:afterAutospacing="0"/>
              <w:jc w:val="left"/>
              <w:rPr>
                <w:color w:val="000000" w:themeColor="text1"/>
                <w:sz w:val="24"/>
                <w:szCs w:val="24"/>
                <w:lang w:val="lv-LV"/>
              </w:rPr>
            </w:pPr>
            <w:r w:rsidRPr="00AD6352">
              <w:rPr>
                <w:color w:val="000000" w:themeColor="text1"/>
                <w:sz w:val="24"/>
                <w:szCs w:val="24"/>
                <w:lang w:val="lv-LV"/>
              </w:rPr>
              <w:t>Nav.</w:t>
            </w:r>
          </w:p>
        </w:tc>
      </w:tr>
      <w:tr w:rsidR="0030391A" w:rsidRPr="00943EA2" w14:paraId="4ECA6F95" w14:textId="77777777" w:rsidTr="00420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4" w:type="pct"/>
            <w:tcBorders>
              <w:top w:val="single" w:sz="4" w:space="0" w:color="auto"/>
              <w:left w:val="nil"/>
              <w:bottom w:val="single" w:sz="4" w:space="0" w:color="auto"/>
              <w:right w:val="nil"/>
            </w:tcBorders>
          </w:tcPr>
          <w:p w14:paraId="4BAA8822" w14:textId="77777777" w:rsidR="0030391A" w:rsidRPr="00F145DA" w:rsidRDefault="0030391A" w:rsidP="0029502E">
            <w:pPr>
              <w:pStyle w:val="naiskr"/>
              <w:spacing w:before="0" w:beforeAutospacing="0" w:after="0" w:afterAutospacing="0"/>
              <w:rPr>
                <w:color w:val="000000" w:themeColor="text1"/>
              </w:rPr>
            </w:pPr>
          </w:p>
        </w:tc>
        <w:tc>
          <w:tcPr>
            <w:tcW w:w="1388" w:type="pct"/>
            <w:tcBorders>
              <w:top w:val="single" w:sz="4" w:space="0" w:color="auto"/>
              <w:left w:val="nil"/>
              <w:bottom w:val="single" w:sz="4" w:space="0" w:color="auto"/>
              <w:right w:val="nil"/>
            </w:tcBorders>
          </w:tcPr>
          <w:p w14:paraId="68355AB7" w14:textId="77777777" w:rsidR="0030391A" w:rsidRPr="00116911" w:rsidRDefault="0030391A" w:rsidP="0029502E">
            <w:pPr>
              <w:pStyle w:val="naiskr"/>
              <w:spacing w:before="0" w:beforeAutospacing="0" w:after="0" w:afterAutospacing="0"/>
              <w:jc w:val="both"/>
              <w:rPr>
                <w:color w:val="000000" w:themeColor="text1"/>
              </w:rPr>
            </w:pPr>
          </w:p>
        </w:tc>
        <w:tc>
          <w:tcPr>
            <w:tcW w:w="3308" w:type="pct"/>
            <w:gridSpan w:val="2"/>
            <w:tcBorders>
              <w:top w:val="single" w:sz="4" w:space="0" w:color="auto"/>
              <w:left w:val="nil"/>
              <w:bottom w:val="single" w:sz="4" w:space="0" w:color="auto"/>
              <w:right w:val="nil"/>
            </w:tcBorders>
          </w:tcPr>
          <w:p w14:paraId="61E5FA91" w14:textId="77777777" w:rsidR="0030391A" w:rsidRPr="001902D0" w:rsidRDefault="0030391A" w:rsidP="0029502E">
            <w:pPr>
              <w:pStyle w:val="naisc"/>
              <w:spacing w:before="0" w:beforeAutospacing="0" w:after="0" w:afterAutospacing="0"/>
              <w:jc w:val="left"/>
              <w:rPr>
                <w:color w:val="000000" w:themeColor="text1"/>
                <w:sz w:val="24"/>
                <w:szCs w:val="24"/>
                <w:lang w:val="lv-LV"/>
              </w:rPr>
            </w:pPr>
          </w:p>
        </w:tc>
      </w:tr>
      <w:tr w:rsidR="00296183" w:rsidRPr="00943EA2" w14:paraId="50328B49" w14:textId="77777777" w:rsidTr="0030391A">
        <w:trPr>
          <w:trHeight w:val="222"/>
        </w:trPr>
        <w:tc>
          <w:tcPr>
            <w:tcW w:w="5000" w:type="pct"/>
            <w:gridSpan w:val="4"/>
            <w:tcBorders>
              <w:top w:val="single" w:sz="4" w:space="0" w:color="auto"/>
              <w:left w:val="single" w:sz="4" w:space="0" w:color="auto"/>
              <w:bottom w:val="single" w:sz="4" w:space="0" w:color="auto"/>
              <w:right w:val="single" w:sz="4" w:space="0" w:color="auto"/>
            </w:tcBorders>
          </w:tcPr>
          <w:p w14:paraId="472777FA" w14:textId="77777777" w:rsidR="00296183" w:rsidRPr="00F145DA" w:rsidRDefault="00296183" w:rsidP="0029502E">
            <w:pPr>
              <w:jc w:val="center"/>
              <w:rPr>
                <w:b/>
                <w:bCs/>
                <w:color w:val="000000" w:themeColor="text1"/>
                <w:lang w:val="lv-LV" w:eastAsia="lv-LV"/>
              </w:rPr>
            </w:pPr>
            <w:r w:rsidRPr="0030391A">
              <w:rPr>
                <w:b/>
                <w:bCs/>
                <w:color w:val="000000" w:themeColor="text1"/>
                <w:lang w:val="lv-LV" w:eastAsia="lv-LV"/>
              </w:rPr>
              <w:t>VII. Tiesību akta projekta izpildes nodrošināšana un tās ietekme uz institūcijām</w:t>
            </w:r>
          </w:p>
        </w:tc>
      </w:tr>
      <w:tr w:rsidR="00296183" w:rsidRPr="00F145DA" w14:paraId="70451DE6" w14:textId="77777777" w:rsidTr="004209A9">
        <w:tc>
          <w:tcPr>
            <w:tcW w:w="0" w:type="auto"/>
            <w:tcBorders>
              <w:top w:val="single" w:sz="4" w:space="0" w:color="auto"/>
              <w:left w:val="outset" w:sz="6" w:space="0" w:color="000000"/>
              <w:bottom w:val="outset" w:sz="6" w:space="0" w:color="000000"/>
              <w:right w:val="outset" w:sz="6" w:space="0" w:color="000000"/>
            </w:tcBorders>
          </w:tcPr>
          <w:p w14:paraId="3E1644B7" w14:textId="77777777" w:rsidR="00296183" w:rsidRPr="00F145DA" w:rsidRDefault="00296183" w:rsidP="0029502E">
            <w:pPr>
              <w:rPr>
                <w:color w:val="000000" w:themeColor="text1"/>
                <w:lang w:val="lv-LV" w:eastAsia="lv-LV"/>
              </w:rPr>
            </w:pPr>
            <w:r w:rsidRPr="00F145DA">
              <w:rPr>
                <w:color w:val="000000" w:themeColor="text1"/>
                <w:lang w:val="lv-LV" w:eastAsia="lv-LV"/>
              </w:rPr>
              <w:t>1.</w:t>
            </w:r>
          </w:p>
        </w:tc>
        <w:tc>
          <w:tcPr>
            <w:tcW w:w="1870" w:type="pct"/>
            <w:gridSpan w:val="2"/>
            <w:tcBorders>
              <w:top w:val="single" w:sz="4" w:space="0" w:color="auto"/>
              <w:left w:val="outset" w:sz="6" w:space="0" w:color="000000"/>
              <w:bottom w:val="outset" w:sz="6" w:space="0" w:color="000000"/>
              <w:right w:val="outset" w:sz="6" w:space="0" w:color="000000"/>
            </w:tcBorders>
          </w:tcPr>
          <w:p w14:paraId="7756E81C" w14:textId="77777777" w:rsidR="00296183" w:rsidRPr="001902D0" w:rsidRDefault="00296183" w:rsidP="0029502E">
            <w:pPr>
              <w:jc w:val="both"/>
              <w:rPr>
                <w:color w:val="000000" w:themeColor="text1"/>
                <w:lang w:val="lv-LV" w:eastAsia="lv-LV"/>
              </w:rPr>
            </w:pPr>
            <w:r w:rsidRPr="00116911">
              <w:rPr>
                <w:color w:val="000000" w:themeColor="text1"/>
                <w:lang w:val="lv-LV" w:eastAsia="lv-LV"/>
              </w:rPr>
              <w:t>Projekta izpildē iesaistītās institūcijas</w:t>
            </w:r>
          </w:p>
        </w:tc>
        <w:tc>
          <w:tcPr>
            <w:tcW w:w="2826" w:type="pct"/>
            <w:tcBorders>
              <w:top w:val="single" w:sz="4" w:space="0" w:color="auto"/>
              <w:left w:val="outset" w:sz="6" w:space="0" w:color="000000"/>
              <w:bottom w:val="outset" w:sz="6" w:space="0" w:color="000000"/>
              <w:right w:val="outset" w:sz="6" w:space="0" w:color="000000"/>
            </w:tcBorders>
          </w:tcPr>
          <w:p w14:paraId="5C136CE3" w14:textId="77777777" w:rsidR="00296183" w:rsidRPr="001902D0" w:rsidRDefault="005F23D1" w:rsidP="005F23D1">
            <w:pPr>
              <w:pStyle w:val="Kjene"/>
              <w:tabs>
                <w:tab w:val="clear" w:pos="4153"/>
                <w:tab w:val="clear" w:pos="8306"/>
              </w:tabs>
              <w:snapToGrid/>
              <w:jc w:val="both"/>
              <w:rPr>
                <w:rFonts w:ascii="Times New Roman" w:hAnsi="Times New Roman"/>
                <w:color w:val="000000" w:themeColor="text1"/>
                <w:sz w:val="24"/>
                <w:szCs w:val="24"/>
              </w:rPr>
            </w:pPr>
            <w:r>
              <w:rPr>
                <w:rFonts w:ascii="Times New Roman" w:hAnsi="Times New Roman"/>
                <w:color w:val="000000" w:themeColor="text1"/>
                <w:sz w:val="24"/>
                <w:szCs w:val="24"/>
              </w:rPr>
              <w:t>D</w:t>
            </w:r>
            <w:r w:rsidR="00296183" w:rsidRPr="001902D0">
              <w:rPr>
                <w:rFonts w:ascii="Times New Roman" w:hAnsi="Times New Roman"/>
                <w:color w:val="000000" w:themeColor="text1"/>
                <w:sz w:val="24"/>
                <w:szCs w:val="24"/>
              </w:rPr>
              <w:t>ienests</w:t>
            </w:r>
            <w:r w:rsidR="00A576D2">
              <w:rPr>
                <w:rFonts w:ascii="Times New Roman" w:hAnsi="Times New Roman"/>
                <w:color w:val="000000" w:themeColor="text1"/>
                <w:sz w:val="24"/>
                <w:szCs w:val="24"/>
              </w:rPr>
              <w:t>.</w:t>
            </w:r>
            <w:r w:rsidR="00296183" w:rsidRPr="001902D0">
              <w:rPr>
                <w:rFonts w:ascii="Times New Roman" w:hAnsi="Times New Roman"/>
                <w:color w:val="000000" w:themeColor="text1"/>
                <w:sz w:val="24"/>
                <w:szCs w:val="24"/>
              </w:rPr>
              <w:t xml:space="preserve"> </w:t>
            </w:r>
          </w:p>
        </w:tc>
      </w:tr>
      <w:tr w:rsidR="00296183" w:rsidRPr="00F145DA" w14:paraId="556FC334" w14:textId="77777777" w:rsidTr="004209A9">
        <w:tc>
          <w:tcPr>
            <w:tcW w:w="0" w:type="auto"/>
            <w:tcBorders>
              <w:top w:val="outset" w:sz="6" w:space="0" w:color="000000"/>
              <w:left w:val="outset" w:sz="6" w:space="0" w:color="000000"/>
              <w:bottom w:val="outset" w:sz="6" w:space="0" w:color="000000"/>
              <w:right w:val="outset" w:sz="6" w:space="0" w:color="000000"/>
            </w:tcBorders>
          </w:tcPr>
          <w:p w14:paraId="2698EDCD" w14:textId="77777777" w:rsidR="00296183" w:rsidRPr="00F145DA" w:rsidRDefault="00296183" w:rsidP="0029502E">
            <w:pPr>
              <w:rPr>
                <w:color w:val="000000" w:themeColor="text1"/>
                <w:lang w:val="lv-LV" w:eastAsia="lv-LV"/>
              </w:rPr>
            </w:pPr>
            <w:r w:rsidRPr="00F145DA">
              <w:rPr>
                <w:color w:val="000000" w:themeColor="text1"/>
                <w:lang w:val="lv-LV" w:eastAsia="lv-LV"/>
              </w:rPr>
              <w:t>2.</w:t>
            </w:r>
          </w:p>
        </w:tc>
        <w:tc>
          <w:tcPr>
            <w:tcW w:w="1870" w:type="pct"/>
            <w:gridSpan w:val="2"/>
            <w:tcBorders>
              <w:top w:val="outset" w:sz="6" w:space="0" w:color="000000"/>
              <w:left w:val="outset" w:sz="6" w:space="0" w:color="000000"/>
              <w:bottom w:val="outset" w:sz="6" w:space="0" w:color="000000"/>
              <w:right w:val="outset" w:sz="6" w:space="0" w:color="000000"/>
            </w:tcBorders>
          </w:tcPr>
          <w:p w14:paraId="53E7A504" w14:textId="77777777" w:rsidR="00296183" w:rsidRPr="001902D0" w:rsidRDefault="00296183" w:rsidP="0029502E">
            <w:pPr>
              <w:jc w:val="both"/>
              <w:rPr>
                <w:color w:val="000000" w:themeColor="text1"/>
                <w:lang w:val="lv-LV"/>
              </w:rPr>
            </w:pPr>
            <w:r w:rsidRPr="00116911">
              <w:rPr>
                <w:color w:val="000000" w:themeColor="text1"/>
                <w:lang w:val="lv-LV"/>
              </w:rPr>
              <w:t xml:space="preserve">Projekta izpildes ietekme uz pārvaldes funkcijām un institucionālo struktūru. </w:t>
            </w:r>
          </w:p>
          <w:p w14:paraId="78B27898" w14:textId="77777777" w:rsidR="00296183" w:rsidRPr="001902D0" w:rsidRDefault="00296183" w:rsidP="0029502E">
            <w:pPr>
              <w:ind w:firstLine="300"/>
              <w:jc w:val="both"/>
              <w:rPr>
                <w:color w:val="000000" w:themeColor="text1"/>
                <w:lang w:val="lv-LV"/>
              </w:rPr>
            </w:pPr>
            <w:r w:rsidRPr="001902D0">
              <w:rPr>
                <w:color w:val="000000" w:themeColor="text1"/>
                <w:lang w:val="lv-LV"/>
              </w:rPr>
              <w:t>Jaunu institūciju izveide, esošu institūciju likvidācija vai reorganizācija, to ietekme uz institūcijas cilvēkresursiem</w:t>
            </w:r>
          </w:p>
        </w:tc>
        <w:tc>
          <w:tcPr>
            <w:tcW w:w="2826" w:type="pct"/>
            <w:tcBorders>
              <w:top w:val="outset" w:sz="6" w:space="0" w:color="000000"/>
              <w:left w:val="outset" w:sz="6" w:space="0" w:color="000000"/>
              <w:bottom w:val="outset" w:sz="6" w:space="0" w:color="000000"/>
              <w:right w:val="outset" w:sz="6" w:space="0" w:color="000000"/>
            </w:tcBorders>
          </w:tcPr>
          <w:p w14:paraId="71C95FDE" w14:textId="77777777" w:rsidR="00296183" w:rsidRPr="001902D0" w:rsidRDefault="00296183" w:rsidP="0029502E">
            <w:pPr>
              <w:pStyle w:val="naiskr"/>
              <w:spacing w:before="0" w:beforeAutospacing="0" w:after="0" w:afterAutospacing="0"/>
              <w:jc w:val="both"/>
              <w:rPr>
                <w:color w:val="000000" w:themeColor="text1"/>
              </w:rPr>
            </w:pPr>
            <w:r w:rsidRPr="001902D0">
              <w:rPr>
                <w:color w:val="000000" w:themeColor="text1"/>
              </w:rPr>
              <w:t>Projekts šo jomu neskar.</w:t>
            </w:r>
          </w:p>
        </w:tc>
      </w:tr>
      <w:tr w:rsidR="00296183" w:rsidRPr="00F145DA" w14:paraId="1A975501" w14:textId="77777777" w:rsidTr="004209A9">
        <w:tc>
          <w:tcPr>
            <w:tcW w:w="0" w:type="auto"/>
            <w:tcBorders>
              <w:top w:val="outset" w:sz="6" w:space="0" w:color="000000"/>
              <w:left w:val="outset" w:sz="6" w:space="0" w:color="000000"/>
              <w:bottom w:val="outset" w:sz="6" w:space="0" w:color="000000"/>
              <w:right w:val="outset" w:sz="6" w:space="0" w:color="000000"/>
            </w:tcBorders>
          </w:tcPr>
          <w:p w14:paraId="3BA08FF6" w14:textId="77777777" w:rsidR="00296183" w:rsidRPr="00F145DA" w:rsidRDefault="00296183" w:rsidP="0029502E">
            <w:pPr>
              <w:rPr>
                <w:color w:val="000000" w:themeColor="text1"/>
                <w:lang w:val="lv-LV" w:eastAsia="lv-LV"/>
              </w:rPr>
            </w:pPr>
            <w:r w:rsidRPr="00F145DA">
              <w:rPr>
                <w:color w:val="000000" w:themeColor="text1"/>
                <w:lang w:val="lv-LV" w:eastAsia="lv-LV"/>
              </w:rPr>
              <w:t>3.</w:t>
            </w:r>
          </w:p>
        </w:tc>
        <w:tc>
          <w:tcPr>
            <w:tcW w:w="1870" w:type="pct"/>
            <w:gridSpan w:val="2"/>
            <w:tcBorders>
              <w:top w:val="outset" w:sz="6" w:space="0" w:color="000000"/>
              <w:left w:val="outset" w:sz="6" w:space="0" w:color="000000"/>
              <w:bottom w:val="outset" w:sz="6" w:space="0" w:color="000000"/>
              <w:right w:val="outset" w:sz="6" w:space="0" w:color="000000"/>
            </w:tcBorders>
          </w:tcPr>
          <w:p w14:paraId="19BFA3B1" w14:textId="77777777" w:rsidR="00296183" w:rsidRPr="001902D0" w:rsidRDefault="00296183" w:rsidP="0029502E">
            <w:pPr>
              <w:jc w:val="both"/>
              <w:rPr>
                <w:color w:val="000000" w:themeColor="text1"/>
                <w:lang w:val="lv-LV" w:eastAsia="lv-LV"/>
              </w:rPr>
            </w:pPr>
            <w:r w:rsidRPr="00116911">
              <w:rPr>
                <w:color w:val="000000" w:themeColor="text1"/>
                <w:lang w:val="lv-LV" w:eastAsia="lv-LV"/>
              </w:rPr>
              <w:t>Cita informācija</w:t>
            </w:r>
          </w:p>
        </w:tc>
        <w:tc>
          <w:tcPr>
            <w:tcW w:w="2826" w:type="pct"/>
            <w:tcBorders>
              <w:top w:val="outset" w:sz="6" w:space="0" w:color="000000"/>
              <w:left w:val="outset" w:sz="6" w:space="0" w:color="000000"/>
              <w:bottom w:val="outset" w:sz="6" w:space="0" w:color="000000"/>
              <w:right w:val="outset" w:sz="6" w:space="0" w:color="000000"/>
            </w:tcBorders>
          </w:tcPr>
          <w:p w14:paraId="67F7702D" w14:textId="77777777" w:rsidR="00296183" w:rsidRPr="001902D0" w:rsidRDefault="00296183" w:rsidP="0029502E">
            <w:pPr>
              <w:pStyle w:val="Kjene"/>
              <w:tabs>
                <w:tab w:val="clear" w:pos="4153"/>
                <w:tab w:val="clear" w:pos="8306"/>
              </w:tabs>
              <w:snapToGrid/>
              <w:jc w:val="both"/>
              <w:rPr>
                <w:rFonts w:ascii="Times New Roman" w:hAnsi="Times New Roman"/>
                <w:color w:val="000000" w:themeColor="text1"/>
                <w:sz w:val="24"/>
                <w:szCs w:val="24"/>
              </w:rPr>
            </w:pPr>
            <w:r w:rsidRPr="001902D0">
              <w:rPr>
                <w:rFonts w:ascii="Times New Roman" w:hAnsi="Times New Roman"/>
                <w:color w:val="000000" w:themeColor="text1"/>
                <w:sz w:val="24"/>
                <w:szCs w:val="24"/>
              </w:rPr>
              <w:t>Nav.</w:t>
            </w:r>
          </w:p>
        </w:tc>
      </w:tr>
    </w:tbl>
    <w:p w14:paraId="3AA4B4FF" w14:textId="77777777" w:rsidR="00296183" w:rsidRDefault="00296183" w:rsidP="004209A9">
      <w:pPr>
        <w:pStyle w:val="Virsraksts1"/>
        <w:keepNext w:val="0"/>
        <w:widowControl w:val="0"/>
        <w:jc w:val="left"/>
        <w:rPr>
          <w:b w:val="0"/>
          <w:color w:val="000000" w:themeColor="text1"/>
          <w:sz w:val="24"/>
        </w:rPr>
      </w:pPr>
    </w:p>
    <w:p w14:paraId="66E859C6" w14:textId="77777777" w:rsidR="000952F6" w:rsidRPr="000952F6" w:rsidRDefault="000952F6" w:rsidP="000952F6">
      <w:pPr>
        <w:rPr>
          <w:lang w:val="lv-LV"/>
        </w:rPr>
      </w:pPr>
    </w:p>
    <w:p w14:paraId="5BC065DD" w14:textId="5BB629C8" w:rsidR="00296183" w:rsidRPr="004209A9" w:rsidRDefault="00296183" w:rsidP="000952F6">
      <w:pPr>
        <w:pStyle w:val="Virsraksts1"/>
        <w:keepNext w:val="0"/>
        <w:widowControl w:val="0"/>
        <w:jc w:val="left"/>
        <w:rPr>
          <w:b w:val="0"/>
          <w:color w:val="000000" w:themeColor="text1"/>
          <w:sz w:val="24"/>
        </w:rPr>
      </w:pPr>
      <w:r w:rsidRPr="001902D0">
        <w:rPr>
          <w:b w:val="0"/>
          <w:color w:val="000000" w:themeColor="text1"/>
          <w:sz w:val="24"/>
        </w:rPr>
        <w:t>Zemkopības ministrs</w:t>
      </w:r>
      <w:r w:rsidRPr="001902D0">
        <w:rPr>
          <w:b w:val="0"/>
          <w:color w:val="000000" w:themeColor="text1"/>
          <w:sz w:val="24"/>
        </w:rPr>
        <w:tab/>
      </w:r>
      <w:r w:rsidRPr="001902D0">
        <w:rPr>
          <w:b w:val="0"/>
          <w:color w:val="000000" w:themeColor="text1"/>
          <w:sz w:val="24"/>
        </w:rPr>
        <w:tab/>
      </w:r>
      <w:r w:rsidR="000952F6">
        <w:rPr>
          <w:b w:val="0"/>
          <w:color w:val="000000" w:themeColor="text1"/>
          <w:sz w:val="24"/>
        </w:rPr>
        <w:tab/>
      </w:r>
      <w:r w:rsidR="000952F6">
        <w:rPr>
          <w:b w:val="0"/>
          <w:color w:val="000000" w:themeColor="text1"/>
          <w:sz w:val="24"/>
        </w:rPr>
        <w:tab/>
      </w:r>
      <w:r w:rsidR="000952F6">
        <w:rPr>
          <w:b w:val="0"/>
          <w:color w:val="000000" w:themeColor="text1"/>
          <w:sz w:val="24"/>
        </w:rPr>
        <w:tab/>
      </w:r>
      <w:r w:rsidRPr="001902D0">
        <w:rPr>
          <w:b w:val="0"/>
          <w:color w:val="000000" w:themeColor="text1"/>
          <w:sz w:val="24"/>
        </w:rPr>
        <w:tab/>
      </w:r>
      <w:r w:rsidRPr="001902D0">
        <w:rPr>
          <w:b w:val="0"/>
          <w:color w:val="000000" w:themeColor="text1"/>
          <w:sz w:val="24"/>
        </w:rPr>
        <w:tab/>
      </w:r>
      <w:r w:rsidRPr="001902D0">
        <w:rPr>
          <w:b w:val="0"/>
          <w:color w:val="000000" w:themeColor="text1"/>
          <w:sz w:val="24"/>
        </w:rPr>
        <w:tab/>
      </w:r>
      <w:r w:rsidRPr="001902D0">
        <w:rPr>
          <w:b w:val="0"/>
          <w:color w:val="000000" w:themeColor="text1"/>
          <w:sz w:val="24"/>
        </w:rPr>
        <w:tab/>
        <w:t>J.Dūklavs</w:t>
      </w:r>
    </w:p>
    <w:p w14:paraId="7F10B735" w14:textId="77777777" w:rsidR="004209A9" w:rsidRDefault="004209A9" w:rsidP="00296183">
      <w:pPr>
        <w:pStyle w:val="Pamattekstsaratkpi"/>
        <w:ind w:left="0"/>
        <w:rPr>
          <w:color w:val="000000"/>
          <w:sz w:val="20"/>
          <w:szCs w:val="20"/>
        </w:rPr>
      </w:pPr>
    </w:p>
    <w:p w14:paraId="3F5169FC" w14:textId="77777777" w:rsidR="004209A9" w:rsidRDefault="004209A9" w:rsidP="00296183">
      <w:pPr>
        <w:pStyle w:val="Pamattekstsaratkpi"/>
        <w:ind w:left="0"/>
        <w:rPr>
          <w:color w:val="000000"/>
          <w:sz w:val="20"/>
          <w:szCs w:val="20"/>
        </w:rPr>
      </w:pPr>
    </w:p>
    <w:p w14:paraId="766DC1AF" w14:textId="77777777" w:rsidR="000952F6" w:rsidRDefault="000952F6" w:rsidP="00296183">
      <w:pPr>
        <w:pStyle w:val="Pamattekstsaratkpi"/>
        <w:ind w:left="0"/>
        <w:rPr>
          <w:color w:val="000000"/>
          <w:sz w:val="20"/>
          <w:szCs w:val="20"/>
        </w:rPr>
      </w:pPr>
    </w:p>
    <w:p w14:paraId="6BAC4338" w14:textId="77777777" w:rsidR="000952F6" w:rsidRDefault="000952F6" w:rsidP="00296183">
      <w:pPr>
        <w:pStyle w:val="Pamattekstsaratkpi"/>
        <w:ind w:left="0"/>
        <w:rPr>
          <w:color w:val="000000"/>
          <w:sz w:val="20"/>
          <w:szCs w:val="20"/>
        </w:rPr>
      </w:pPr>
    </w:p>
    <w:p w14:paraId="4A9BA3DE" w14:textId="77777777" w:rsidR="000952F6" w:rsidRDefault="000952F6" w:rsidP="00296183">
      <w:pPr>
        <w:pStyle w:val="Pamattekstsaratkpi"/>
        <w:ind w:left="0"/>
        <w:rPr>
          <w:color w:val="000000"/>
          <w:sz w:val="20"/>
          <w:szCs w:val="20"/>
        </w:rPr>
      </w:pPr>
    </w:p>
    <w:p w14:paraId="4FEA6479" w14:textId="77777777" w:rsidR="000952F6" w:rsidRDefault="000952F6" w:rsidP="00296183">
      <w:pPr>
        <w:pStyle w:val="Pamattekstsaratkpi"/>
        <w:ind w:left="0"/>
        <w:rPr>
          <w:color w:val="000000"/>
          <w:sz w:val="20"/>
          <w:szCs w:val="20"/>
        </w:rPr>
      </w:pPr>
    </w:p>
    <w:p w14:paraId="6E1D5437" w14:textId="77777777" w:rsidR="000952F6" w:rsidRDefault="000952F6" w:rsidP="00296183">
      <w:pPr>
        <w:pStyle w:val="Pamattekstsaratkpi"/>
        <w:ind w:left="0"/>
        <w:rPr>
          <w:color w:val="000000"/>
          <w:sz w:val="20"/>
          <w:szCs w:val="20"/>
        </w:rPr>
      </w:pPr>
    </w:p>
    <w:p w14:paraId="7634AF26" w14:textId="77777777" w:rsidR="000952F6" w:rsidRDefault="000952F6" w:rsidP="00296183">
      <w:pPr>
        <w:pStyle w:val="Pamattekstsaratkpi"/>
        <w:ind w:left="0"/>
        <w:rPr>
          <w:color w:val="000000"/>
          <w:sz w:val="20"/>
          <w:szCs w:val="20"/>
        </w:rPr>
      </w:pPr>
    </w:p>
    <w:p w14:paraId="5E3037AB" w14:textId="77777777" w:rsidR="000952F6" w:rsidRDefault="000952F6" w:rsidP="00296183">
      <w:pPr>
        <w:pStyle w:val="Pamattekstsaratkpi"/>
        <w:ind w:left="0"/>
        <w:rPr>
          <w:color w:val="000000"/>
          <w:sz w:val="20"/>
          <w:szCs w:val="20"/>
        </w:rPr>
      </w:pPr>
    </w:p>
    <w:p w14:paraId="7AD4867D" w14:textId="77777777" w:rsidR="000952F6" w:rsidRDefault="000952F6" w:rsidP="00296183">
      <w:pPr>
        <w:pStyle w:val="Pamattekstsaratkpi"/>
        <w:ind w:left="0"/>
        <w:rPr>
          <w:color w:val="000000"/>
          <w:sz w:val="20"/>
          <w:szCs w:val="20"/>
        </w:rPr>
      </w:pPr>
    </w:p>
    <w:p w14:paraId="463874C7" w14:textId="77777777" w:rsidR="000952F6" w:rsidRDefault="000952F6" w:rsidP="00296183">
      <w:pPr>
        <w:pStyle w:val="Pamattekstsaratkpi"/>
        <w:ind w:left="0"/>
        <w:rPr>
          <w:color w:val="000000"/>
          <w:sz w:val="20"/>
          <w:szCs w:val="20"/>
        </w:rPr>
      </w:pPr>
    </w:p>
    <w:p w14:paraId="7EE4CA6F" w14:textId="77777777" w:rsidR="000952F6" w:rsidRDefault="000952F6" w:rsidP="00296183">
      <w:pPr>
        <w:pStyle w:val="Pamattekstsaratkpi"/>
        <w:ind w:left="0"/>
        <w:rPr>
          <w:color w:val="000000"/>
          <w:sz w:val="20"/>
          <w:szCs w:val="20"/>
        </w:rPr>
      </w:pPr>
    </w:p>
    <w:p w14:paraId="1B9BA208" w14:textId="77777777" w:rsidR="000952F6" w:rsidRDefault="000952F6" w:rsidP="00296183">
      <w:pPr>
        <w:pStyle w:val="Pamattekstsaratkpi"/>
        <w:ind w:left="0"/>
        <w:rPr>
          <w:color w:val="000000"/>
          <w:sz w:val="20"/>
          <w:szCs w:val="20"/>
        </w:rPr>
      </w:pPr>
      <w:r>
        <w:rPr>
          <w:color w:val="000000"/>
          <w:sz w:val="20"/>
          <w:szCs w:val="20"/>
        </w:rPr>
        <w:t>21.01.2016. 9:28</w:t>
      </w:r>
    </w:p>
    <w:p w14:paraId="322ED755" w14:textId="77777777" w:rsidR="000952F6" w:rsidRDefault="000952F6" w:rsidP="00296183">
      <w:pPr>
        <w:pStyle w:val="Pamattekstsaratkpi"/>
        <w:ind w:left="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4888</w:t>
      </w:r>
      <w:r>
        <w:rPr>
          <w:sz w:val="20"/>
          <w:szCs w:val="20"/>
        </w:rPr>
        <w:fldChar w:fldCharType="end"/>
      </w:r>
    </w:p>
    <w:p w14:paraId="7FA53EF9" w14:textId="4A07AAAD" w:rsidR="00296183" w:rsidRPr="001902D0" w:rsidRDefault="00296183" w:rsidP="00296183">
      <w:pPr>
        <w:pStyle w:val="Pamattekstsaratkpi"/>
        <w:ind w:left="0"/>
        <w:rPr>
          <w:color w:val="000000"/>
          <w:sz w:val="20"/>
          <w:szCs w:val="20"/>
        </w:rPr>
      </w:pPr>
      <w:bookmarkStart w:id="2" w:name="_GoBack"/>
      <w:bookmarkEnd w:id="2"/>
      <w:r w:rsidRPr="001902D0">
        <w:rPr>
          <w:color w:val="000000"/>
          <w:sz w:val="20"/>
          <w:szCs w:val="20"/>
        </w:rPr>
        <w:t>I.Cine</w:t>
      </w:r>
    </w:p>
    <w:p w14:paraId="016DCA73" w14:textId="77777777" w:rsidR="00A14E0E" w:rsidRPr="001902D0" w:rsidRDefault="00296183" w:rsidP="000C33D8">
      <w:pPr>
        <w:pStyle w:val="Pamattekstsaratkpi"/>
        <w:ind w:left="0"/>
        <w:rPr>
          <w:color w:val="000000"/>
          <w:sz w:val="20"/>
          <w:szCs w:val="20"/>
        </w:rPr>
      </w:pPr>
      <w:r w:rsidRPr="001902D0">
        <w:rPr>
          <w:color w:val="000000"/>
          <w:sz w:val="20"/>
          <w:szCs w:val="20"/>
        </w:rPr>
        <w:t>67027146; Inara.Cine@zm.gov.lv</w:t>
      </w:r>
    </w:p>
    <w:sectPr w:rsidR="00A14E0E" w:rsidRPr="001902D0" w:rsidSect="000952F6">
      <w:headerReference w:type="even" r:id="rId15"/>
      <w:headerReference w:type="default" r:id="rId16"/>
      <w:footerReference w:type="default" r:id="rId17"/>
      <w:footerReference w:type="first" r:id="rId18"/>
      <w:pgSz w:w="11906" w:h="16838" w:code="9"/>
      <w:pgMar w:top="1418" w:right="1134" w:bottom="1134" w:left="1701" w:header="72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8E9D7" w14:textId="77777777" w:rsidR="006322DF" w:rsidRDefault="006322DF">
      <w:r>
        <w:separator/>
      </w:r>
    </w:p>
  </w:endnote>
  <w:endnote w:type="continuationSeparator" w:id="0">
    <w:p w14:paraId="2D1C0A26" w14:textId="77777777" w:rsidR="006322DF" w:rsidRDefault="0063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BA45C" w14:textId="6F533A16" w:rsidR="00294552" w:rsidRPr="008D6FE3" w:rsidRDefault="00294552" w:rsidP="008D6FE3">
    <w:pPr>
      <w:pStyle w:val="Kjene"/>
      <w:jc w:val="both"/>
      <w:rPr>
        <w:rFonts w:ascii="Times New Roman" w:hAnsi="Times New Roman"/>
        <w:sz w:val="20"/>
      </w:rPr>
    </w:pPr>
    <w:r w:rsidRPr="008D6FE3">
      <w:rPr>
        <w:rFonts w:ascii="Times New Roman" w:hAnsi="Times New Roman"/>
        <w:sz w:val="20"/>
      </w:rPr>
      <w:t>ZM</w:t>
    </w:r>
    <w:r>
      <w:rPr>
        <w:rFonts w:ascii="Times New Roman" w:hAnsi="Times New Roman"/>
        <w:sz w:val="20"/>
      </w:rPr>
      <w:t>A</w:t>
    </w:r>
    <w:r w:rsidRPr="008D6FE3">
      <w:rPr>
        <w:rFonts w:ascii="Times New Roman" w:hAnsi="Times New Roman"/>
        <w:sz w:val="20"/>
      </w:rPr>
      <w:t>not_</w:t>
    </w:r>
    <w:r w:rsidR="000952F6">
      <w:rPr>
        <w:rFonts w:ascii="Times New Roman" w:hAnsi="Times New Roman"/>
        <w:sz w:val="20"/>
      </w:rPr>
      <w:t>20</w:t>
    </w:r>
    <w:r>
      <w:rPr>
        <w:rFonts w:ascii="Times New Roman" w:hAnsi="Times New Roman"/>
        <w:sz w:val="20"/>
      </w:rPr>
      <w:t>0116_nodeva</w:t>
    </w:r>
    <w:r w:rsidRPr="008D6FE3">
      <w:rPr>
        <w:rFonts w:ascii="Times New Roman" w:hAnsi="Times New Roman"/>
        <w:sz w:val="20"/>
      </w:rPr>
      <w:t xml:space="preserve">; </w:t>
    </w:r>
    <w:r w:rsidRPr="008D6FE3">
      <w:rPr>
        <w:rFonts w:ascii="Times New Roman" w:hAnsi="Times New Roman"/>
        <w:color w:val="000000"/>
        <w:sz w:val="20"/>
      </w:rPr>
      <w:t>Ministru kabineta noteikumu projekta „</w:t>
    </w:r>
    <w:r w:rsidRPr="008D6FE3">
      <w:rPr>
        <w:rFonts w:ascii="Times New Roman" w:hAnsi="Times New Roman"/>
        <w:bCs/>
        <w:sz w:val="20"/>
        <w:lang w:eastAsia="lv-LV"/>
      </w:rPr>
      <w:t>Grozījumi Ministru kabineta 2010.gada 21.decembr</w:t>
    </w:r>
    <w:r>
      <w:rPr>
        <w:rFonts w:ascii="Times New Roman" w:hAnsi="Times New Roman"/>
        <w:bCs/>
        <w:sz w:val="20"/>
        <w:lang w:eastAsia="lv-LV"/>
      </w:rPr>
      <w:t>a</w:t>
    </w:r>
    <w:r w:rsidRPr="008D6FE3">
      <w:rPr>
        <w:rFonts w:ascii="Times New Roman" w:hAnsi="Times New Roman"/>
        <w:bCs/>
        <w:sz w:val="20"/>
        <w:lang w:eastAsia="lv-LV"/>
      </w:rPr>
      <w:t xml:space="preserve"> noteikumos Nr.1145„</w:t>
    </w:r>
    <w:r w:rsidRPr="008D6FE3">
      <w:rPr>
        <w:rFonts w:ascii="Times New Roman" w:hAnsi="Times New Roman"/>
        <w:bCs/>
        <w:color w:val="000000" w:themeColor="text1"/>
        <w:sz w:val="20"/>
        <w:lang w:eastAsia="fr-FR"/>
      </w:rPr>
      <w:t>Noteikumi par uztura bagātinātāju reģistrācijas valsts nodevu</w:t>
    </w:r>
    <w:r>
      <w:rPr>
        <w:rFonts w:ascii="Times New Roman" w:hAnsi="Times New Roman"/>
        <w:bCs/>
        <w:color w:val="000000" w:themeColor="text1"/>
        <w:sz w:val="20"/>
        <w:lang w:eastAsia="fr-FR"/>
      </w:rPr>
      <w:t>”</w:t>
    </w:r>
    <w:r w:rsidRPr="008D6FE3">
      <w:rPr>
        <w:rFonts w:ascii="Times New Roman" w:hAnsi="Times New Roman"/>
        <w:color w:val="000000"/>
        <w:sz w:val="20"/>
      </w:rPr>
      <w:t>”</w:t>
    </w:r>
    <w:r w:rsidRPr="008D6FE3">
      <w:rPr>
        <w:rFonts w:ascii="Times New Roman" w:hAnsi="Times New Roman"/>
        <w:bCs/>
        <w:color w:val="000000"/>
        <w:sz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3143A" w14:textId="0FEB65EA" w:rsidR="00294552" w:rsidRPr="007F582A" w:rsidRDefault="00294552" w:rsidP="0029502E">
    <w:pPr>
      <w:pStyle w:val="Kjene"/>
      <w:jc w:val="both"/>
      <w:rPr>
        <w:rFonts w:ascii="Times New Roman" w:hAnsi="Times New Roman"/>
        <w:sz w:val="20"/>
      </w:rPr>
    </w:pPr>
    <w:r w:rsidRPr="007F582A">
      <w:rPr>
        <w:rFonts w:ascii="Times New Roman" w:hAnsi="Times New Roman"/>
        <w:sz w:val="20"/>
      </w:rPr>
      <w:t>ZM</w:t>
    </w:r>
    <w:r>
      <w:rPr>
        <w:rFonts w:ascii="Times New Roman" w:hAnsi="Times New Roman"/>
        <w:sz w:val="20"/>
      </w:rPr>
      <w:t>An</w:t>
    </w:r>
    <w:r w:rsidRPr="007F582A">
      <w:rPr>
        <w:rFonts w:ascii="Times New Roman" w:hAnsi="Times New Roman"/>
        <w:sz w:val="20"/>
      </w:rPr>
      <w:t>ot_</w:t>
    </w:r>
    <w:r w:rsidR="000952F6">
      <w:rPr>
        <w:rFonts w:ascii="Times New Roman" w:hAnsi="Times New Roman"/>
        <w:sz w:val="20"/>
      </w:rPr>
      <w:t>20</w:t>
    </w:r>
    <w:r>
      <w:rPr>
        <w:rFonts w:ascii="Times New Roman" w:hAnsi="Times New Roman"/>
        <w:sz w:val="20"/>
      </w:rPr>
      <w:t>0116_nodeva</w:t>
    </w:r>
    <w:r w:rsidRPr="007F582A">
      <w:rPr>
        <w:rFonts w:ascii="Times New Roman" w:hAnsi="Times New Roman"/>
        <w:sz w:val="20"/>
      </w:rPr>
      <w:t>;</w:t>
    </w:r>
    <w:r>
      <w:rPr>
        <w:rFonts w:ascii="Times New Roman" w:hAnsi="Times New Roman"/>
        <w:sz w:val="20"/>
      </w:rPr>
      <w:t xml:space="preserve"> </w:t>
    </w:r>
    <w:r w:rsidRPr="007F582A">
      <w:rPr>
        <w:rFonts w:ascii="Times New Roman" w:hAnsi="Times New Roman"/>
        <w:color w:val="000000"/>
        <w:sz w:val="20"/>
      </w:rPr>
      <w:t>Ministru kabineta noteikumu projekts „</w:t>
    </w:r>
    <w:r w:rsidRPr="008D6FE3">
      <w:rPr>
        <w:rFonts w:ascii="Times New Roman" w:hAnsi="Times New Roman"/>
        <w:bCs/>
        <w:sz w:val="20"/>
        <w:lang w:eastAsia="lv-LV"/>
      </w:rPr>
      <w:t>Grozījumi Ministru kabineta 2010.gada 21.decembr</w:t>
    </w:r>
    <w:r>
      <w:rPr>
        <w:rFonts w:ascii="Times New Roman" w:hAnsi="Times New Roman"/>
        <w:bCs/>
        <w:sz w:val="20"/>
        <w:lang w:eastAsia="lv-LV"/>
      </w:rPr>
      <w:t>a</w:t>
    </w:r>
    <w:r w:rsidRPr="008D6FE3">
      <w:rPr>
        <w:rFonts w:ascii="Times New Roman" w:hAnsi="Times New Roman"/>
        <w:bCs/>
        <w:sz w:val="20"/>
        <w:lang w:eastAsia="lv-LV"/>
      </w:rPr>
      <w:t xml:space="preserve"> noteikumos Nr.1145„</w:t>
    </w:r>
    <w:r w:rsidRPr="008D6FE3">
      <w:rPr>
        <w:rFonts w:ascii="Times New Roman" w:hAnsi="Times New Roman"/>
        <w:bCs/>
        <w:color w:val="000000" w:themeColor="text1"/>
        <w:sz w:val="20"/>
        <w:lang w:eastAsia="fr-FR"/>
      </w:rPr>
      <w:t>Noteikumi par uztura bagātinātāju reģistrācijas valsts nodevu</w:t>
    </w:r>
    <w:r>
      <w:rPr>
        <w:rFonts w:ascii="Times New Roman" w:hAnsi="Times New Roman"/>
        <w:bCs/>
        <w:color w:val="000000" w:themeColor="text1"/>
        <w:sz w:val="20"/>
        <w:lang w:eastAsia="fr-FR"/>
      </w:rPr>
      <w:t>”</w:t>
    </w:r>
    <w:r w:rsidRPr="007F582A">
      <w:rPr>
        <w:rFonts w:ascii="Times New Roman" w:hAnsi="Times New Roman"/>
        <w:color w:val="000000"/>
        <w:sz w:val="20"/>
      </w:rPr>
      <w:t>”</w:t>
    </w:r>
    <w:r w:rsidRPr="009F1168">
      <w:rPr>
        <w:sz w:val="20"/>
      </w:rPr>
      <w:t xml:space="preserve"> </w:t>
    </w:r>
    <w:r w:rsidRPr="003A0DE2">
      <w:rPr>
        <w:rFonts w:ascii="Times New Roman" w:hAnsi="Times New Roman"/>
        <w:bCs/>
        <w:color w:val="000000"/>
        <w:sz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6C1CD" w14:textId="77777777" w:rsidR="006322DF" w:rsidRDefault="006322DF">
      <w:r>
        <w:separator/>
      </w:r>
    </w:p>
  </w:footnote>
  <w:footnote w:type="continuationSeparator" w:id="0">
    <w:p w14:paraId="7B63A20C" w14:textId="77777777" w:rsidR="006322DF" w:rsidRDefault="00632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2F58E" w14:textId="77777777" w:rsidR="00294552" w:rsidRDefault="0029455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97347AA" w14:textId="77777777" w:rsidR="00294552" w:rsidRDefault="0029455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BA11D" w14:textId="77777777" w:rsidR="00294552" w:rsidRDefault="0029455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952F6">
      <w:rPr>
        <w:rStyle w:val="Lappusesnumurs"/>
        <w:noProof/>
      </w:rPr>
      <w:t>17</w:t>
    </w:r>
    <w:r>
      <w:rPr>
        <w:rStyle w:val="Lappusesnumurs"/>
      </w:rPr>
      <w:fldChar w:fldCharType="end"/>
    </w:r>
  </w:p>
  <w:p w14:paraId="6B50C480" w14:textId="77777777" w:rsidR="00294552" w:rsidRDefault="002945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454DA"/>
    <w:multiLevelType w:val="hybridMultilevel"/>
    <w:tmpl w:val="49F46A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54637B"/>
    <w:multiLevelType w:val="hybridMultilevel"/>
    <w:tmpl w:val="263C35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7F4840"/>
    <w:multiLevelType w:val="multilevel"/>
    <w:tmpl w:val="E146E802"/>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10F04F3"/>
    <w:multiLevelType w:val="hybridMultilevel"/>
    <w:tmpl w:val="4CDE5956"/>
    <w:lvl w:ilvl="0" w:tplc="0BC83B7C">
      <w:start w:val="3"/>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B21A39"/>
    <w:multiLevelType w:val="hybridMultilevel"/>
    <w:tmpl w:val="A9440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D165F3"/>
    <w:multiLevelType w:val="hybridMultilevel"/>
    <w:tmpl w:val="2F90F640"/>
    <w:lvl w:ilvl="0" w:tplc="FEEEBB0C">
      <w:start w:val="1"/>
      <w:numFmt w:val="decimal"/>
      <w:lvlText w:val="%1)"/>
      <w:lvlJc w:val="left"/>
      <w:pPr>
        <w:ind w:left="810" w:hanging="4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DB8707E"/>
    <w:multiLevelType w:val="hybridMultilevel"/>
    <w:tmpl w:val="A074003E"/>
    <w:lvl w:ilvl="0" w:tplc="79702458">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A40D0E"/>
    <w:multiLevelType w:val="hybridMultilevel"/>
    <w:tmpl w:val="02A008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54312783"/>
    <w:multiLevelType w:val="hybridMultilevel"/>
    <w:tmpl w:val="E1F87976"/>
    <w:lvl w:ilvl="0" w:tplc="040C0011">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3"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4" w15:restartNumberingAfterBreak="0">
    <w:nsid w:val="58C01015"/>
    <w:multiLevelType w:val="hybridMultilevel"/>
    <w:tmpl w:val="AA4CC2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2E378D"/>
    <w:multiLevelType w:val="hybridMultilevel"/>
    <w:tmpl w:val="76C277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4086428"/>
    <w:multiLevelType w:val="hybridMultilevel"/>
    <w:tmpl w:val="7B34E9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1F4DF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8921B7"/>
    <w:multiLevelType w:val="hybridMultilevel"/>
    <w:tmpl w:val="07AEF9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C9723BB"/>
    <w:multiLevelType w:val="hybridMultilevel"/>
    <w:tmpl w:val="6AFA78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7504FC"/>
    <w:multiLevelType w:val="hybridMultilevel"/>
    <w:tmpl w:val="8E48E474"/>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BF40442"/>
    <w:multiLevelType w:val="hybridMultilevel"/>
    <w:tmpl w:val="0694BD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7"/>
  </w:num>
  <w:num w:numId="3">
    <w:abstractNumId w:val="23"/>
  </w:num>
  <w:num w:numId="4">
    <w:abstractNumId w:val="15"/>
  </w:num>
  <w:num w:numId="5">
    <w:abstractNumId w:val="10"/>
  </w:num>
  <w:num w:numId="6">
    <w:abstractNumId w:val="7"/>
  </w:num>
  <w:num w:numId="7">
    <w:abstractNumId w:val="13"/>
  </w:num>
  <w:num w:numId="8">
    <w:abstractNumId w:val="11"/>
  </w:num>
  <w:num w:numId="9">
    <w:abstractNumId w:val="16"/>
  </w:num>
  <w:num w:numId="10">
    <w:abstractNumId w:val="2"/>
  </w:num>
  <w:num w:numId="11">
    <w:abstractNumId w:val="22"/>
  </w:num>
  <w:num w:numId="12">
    <w:abstractNumId w:val="18"/>
  </w:num>
  <w:num w:numId="13">
    <w:abstractNumId w:val="9"/>
  </w:num>
  <w:num w:numId="14">
    <w:abstractNumId w:val="20"/>
  </w:num>
  <w:num w:numId="15">
    <w:abstractNumId w:val="21"/>
  </w:num>
  <w:num w:numId="16">
    <w:abstractNumId w:val="14"/>
  </w:num>
  <w:num w:numId="17">
    <w:abstractNumId w:val="6"/>
  </w:num>
  <w:num w:numId="18">
    <w:abstractNumId w:val="1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
  </w:num>
  <w:num w:numId="23">
    <w:abstractNumId w:val="25"/>
  </w:num>
  <w:num w:numId="24">
    <w:abstractNumId w:val="24"/>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96183"/>
    <w:rsid w:val="000021AD"/>
    <w:rsid w:val="0000254A"/>
    <w:rsid w:val="000028B7"/>
    <w:rsid w:val="0000364E"/>
    <w:rsid w:val="00003EFE"/>
    <w:rsid w:val="00012995"/>
    <w:rsid w:val="00012EC2"/>
    <w:rsid w:val="000154F7"/>
    <w:rsid w:val="00015B3D"/>
    <w:rsid w:val="00016BDE"/>
    <w:rsid w:val="00017200"/>
    <w:rsid w:val="000173B3"/>
    <w:rsid w:val="0002105B"/>
    <w:rsid w:val="00021FBE"/>
    <w:rsid w:val="00022B54"/>
    <w:rsid w:val="000231BA"/>
    <w:rsid w:val="00023C1C"/>
    <w:rsid w:val="00025582"/>
    <w:rsid w:val="00025959"/>
    <w:rsid w:val="00027A8B"/>
    <w:rsid w:val="000300FD"/>
    <w:rsid w:val="00030B87"/>
    <w:rsid w:val="00032345"/>
    <w:rsid w:val="0003351A"/>
    <w:rsid w:val="0003401B"/>
    <w:rsid w:val="00034B99"/>
    <w:rsid w:val="00035F6F"/>
    <w:rsid w:val="0004018C"/>
    <w:rsid w:val="0004063B"/>
    <w:rsid w:val="000410D8"/>
    <w:rsid w:val="00042786"/>
    <w:rsid w:val="00043884"/>
    <w:rsid w:val="00044835"/>
    <w:rsid w:val="00044858"/>
    <w:rsid w:val="000462F0"/>
    <w:rsid w:val="00053686"/>
    <w:rsid w:val="0005507C"/>
    <w:rsid w:val="00055D31"/>
    <w:rsid w:val="00060CE5"/>
    <w:rsid w:val="00064BEA"/>
    <w:rsid w:val="000669DC"/>
    <w:rsid w:val="000678FF"/>
    <w:rsid w:val="00067CD8"/>
    <w:rsid w:val="00070F5C"/>
    <w:rsid w:val="00072A3C"/>
    <w:rsid w:val="00073715"/>
    <w:rsid w:val="0007518E"/>
    <w:rsid w:val="00075CDF"/>
    <w:rsid w:val="00075CEE"/>
    <w:rsid w:val="000768BC"/>
    <w:rsid w:val="000807A0"/>
    <w:rsid w:val="00080B17"/>
    <w:rsid w:val="00081C80"/>
    <w:rsid w:val="00085C41"/>
    <w:rsid w:val="00086440"/>
    <w:rsid w:val="00087CCD"/>
    <w:rsid w:val="00092FDB"/>
    <w:rsid w:val="00093383"/>
    <w:rsid w:val="000938BA"/>
    <w:rsid w:val="00094323"/>
    <w:rsid w:val="000952F6"/>
    <w:rsid w:val="00095979"/>
    <w:rsid w:val="00096882"/>
    <w:rsid w:val="0009778E"/>
    <w:rsid w:val="00097950"/>
    <w:rsid w:val="000A003F"/>
    <w:rsid w:val="000A1B07"/>
    <w:rsid w:val="000A256F"/>
    <w:rsid w:val="000A2ADB"/>
    <w:rsid w:val="000A2CC8"/>
    <w:rsid w:val="000A31F4"/>
    <w:rsid w:val="000A46D6"/>
    <w:rsid w:val="000A6497"/>
    <w:rsid w:val="000A6703"/>
    <w:rsid w:val="000A7784"/>
    <w:rsid w:val="000A7B07"/>
    <w:rsid w:val="000B196D"/>
    <w:rsid w:val="000B3354"/>
    <w:rsid w:val="000B38AC"/>
    <w:rsid w:val="000B40CE"/>
    <w:rsid w:val="000B6E72"/>
    <w:rsid w:val="000B79F1"/>
    <w:rsid w:val="000C0D60"/>
    <w:rsid w:val="000C17AF"/>
    <w:rsid w:val="000C33D8"/>
    <w:rsid w:val="000C42A1"/>
    <w:rsid w:val="000C5017"/>
    <w:rsid w:val="000C5410"/>
    <w:rsid w:val="000C6571"/>
    <w:rsid w:val="000C6E5B"/>
    <w:rsid w:val="000C7E50"/>
    <w:rsid w:val="000D03BA"/>
    <w:rsid w:val="000D2A04"/>
    <w:rsid w:val="000D3E7E"/>
    <w:rsid w:val="000D510E"/>
    <w:rsid w:val="000D5480"/>
    <w:rsid w:val="000D55E7"/>
    <w:rsid w:val="000E001A"/>
    <w:rsid w:val="000E0563"/>
    <w:rsid w:val="000E2E47"/>
    <w:rsid w:val="000E3CFA"/>
    <w:rsid w:val="000E6AEE"/>
    <w:rsid w:val="000F0551"/>
    <w:rsid w:val="000F0A78"/>
    <w:rsid w:val="000F10C0"/>
    <w:rsid w:val="000F141E"/>
    <w:rsid w:val="000F1B1A"/>
    <w:rsid w:val="000F3C9B"/>
    <w:rsid w:val="000F4C67"/>
    <w:rsid w:val="000F5957"/>
    <w:rsid w:val="00100725"/>
    <w:rsid w:val="00101100"/>
    <w:rsid w:val="00103AA4"/>
    <w:rsid w:val="00103FE2"/>
    <w:rsid w:val="001040DB"/>
    <w:rsid w:val="00104A01"/>
    <w:rsid w:val="001055B4"/>
    <w:rsid w:val="001073F5"/>
    <w:rsid w:val="00112797"/>
    <w:rsid w:val="0011289A"/>
    <w:rsid w:val="00113ED1"/>
    <w:rsid w:val="0011429D"/>
    <w:rsid w:val="00115C55"/>
    <w:rsid w:val="00116911"/>
    <w:rsid w:val="00121A21"/>
    <w:rsid w:val="00122C0E"/>
    <w:rsid w:val="0012422A"/>
    <w:rsid w:val="0012731F"/>
    <w:rsid w:val="00127A19"/>
    <w:rsid w:val="0013065A"/>
    <w:rsid w:val="0013123F"/>
    <w:rsid w:val="00133909"/>
    <w:rsid w:val="00133962"/>
    <w:rsid w:val="001341A1"/>
    <w:rsid w:val="001344D4"/>
    <w:rsid w:val="001365BC"/>
    <w:rsid w:val="00137CB2"/>
    <w:rsid w:val="001405F1"/>
    <w:rsid w:val="00140D1A"/>
    <w:rsid w:val="0014105E"/>
    <w:rsid w:val="001423D0"/>
    <w:rsid w:val="001425CF"/>
    <w:rsid w:val="0014664E"/>
    <w:rsid w:val="001468AD"/>
    <w:rsid w:val="00146F64"/>
    <w:rsid w:val="0015132A"/>
    <w:rsid w:val="001516C4"/>
    <w:rsid w:val="00151830"/>
    <w:rsid w:val="00152461"/>
    <w:rsid w:val="00152511"/>
    <w:rsid w:val="00153F24"/>
    <w:rsid w:val="00153F5C"/>
    <w:rsid w:val="00154529"/>
    <w:rsid w:val="00154F8A"/>
    <w:rsid w:val="0015527D"/>
    <w:rsid w:val="001557D4"/>
    <w:rsid w:val="00156453"/>
    <w:rsid w:val="001629CE"/>
    <w:rsid w:val="00165411"/>
    <w:rsid w:val="001658B2"/>
    <w:rsid w:val="001669A4"/>
    <w:rsid w:val="00166EB5"/>
    <w:rsid w:val="00167622"/>
    <w:rsid w:val="00167CFA"/>
    <w:rsid w:val="00170945"/>
    <w:rsid w:val="00171E41"/>
    <w:rsid w:val="00171F61"/>
    <w:rsid w:val="00172146"/>
    <w:rsid w:val="00174EA2"/>
    <w:rsid w:val="00175AB4"/>
    <w:rsid w:val="00176067"/>
    <w:rsid w:val="001774D0"/>
    <w:rsid w:val="001777D3"/>
    <w:rsid w:val="00184DDC"/>
    <w:rsid w:val="00185D95"/>
    <w:rsid w:val="001878BA"/>
    <w:rsid w:val="001902D0"/>
    <w:rsid w:val="00190AB1"/>
    <w:rsid w:val="001934E1"/>
    <w:rsid w:val="001946A2"/>
    <w:rsid w:val="00194AC9"/>
    <w:rsid w:val="0019625E"/>
    <w:rsid w:val="001964F2"/>
    <w:rsid w:val="00197875"/>
    <w:rsid w:val="001A1473"/>
    <w:rsid w:val="001A346E"/>
    <w:rsid w:val="001A3A3F"/>
    <w:rsid w:val="001A4089"/>
    <w:rsid w:val="001B07D0"/>
    <w:rsid w:val="001B1593"/>
    <w:rsid w:val="001B375E"/>
    <w:rsid w:val="001B3F26"/>
    <w:rsid w:val="001B42BD"/>
    <w:rsid w:val="001B59B7"/>
    <w:rsid w:val="001C05F7"/>
    <w:rsid w:val="001C063C"/>
    <w:rsid w:val="001C0D2F"/>
    <w:rsid w:val="001C0FBC"/>
    <w:rsid w:val="001C1150"/>
    <w:rsid w:val="001C5951"/>
    <w:rsid w:val="001C5A0E"/>
    <w:rsid w:val="001C5E16"/>
    <w:rsid w:val="001C7BD8"/>
    <w:rsid w:val="001C7BF9"/>
    <w:rsid w:val="001D0300"/>
    <w:rsid w:val="001D25C3"/>
    <w:rsid w:val="001D2F06"/>
    <w:rsid w:val="001D3963"/>
    <w:rsid w:val="001D435A"/>
    <w:rsid w:val="001D4402"/>
    <w:rsid w:val="001D4405"/>
    <w:rsid w:val="001D5321"/>
    <w:rsid w:val="001D6C47"/>
    <w:rsid w:val="001E0899"/>
    <w:rsid w:val="001E0E2E"/>
    <w:rsid w:val="001E0FEC"/>
    <w:rsid w:val="001E17C5"/>
    <w:rsid w:val="001E1B19"/>
    <w:rsid w:val="001E2551"/>
    <w:rsid w:val="001E3526"/>
    <w:rsid w:val="001E408F"/>
    <w:rsid w:val="001E7CDC"/>
    <w:rsid w:val="001F0914"/>
    <w:rsid w:val="001F0B38"/>
    <w:rsid w:val="001F1EDA"/>
    <w:rsid w:val="001F2048"/>
    <w:rsid w:val="001F348A"/>
    <w:rsid w:val="001F56AE"/>
    <w:rsid w:val="001F58A1"/>
    <w:rsid w:val="001F62C0"/>
    <w:rsid w:val="001F7CC6"/>
    <w:rsid w:val="002017A7"/>
    <w:rsid w:val="00202F71"/>
    <w:rsid w:val="00203450"/>
    <w:rsid w:val="00204B48"/>
    <w:rsid w:val="00205AC0"/>
    <w:rsid w:val="00205D70"/>
    <w:rsid w:val="0020689A"/>
    <w:rsid w:val="0020696E"/>
    <w:rsid w:val="00207F5C"/>
    <w:rsid w:val="002106B4"/>
    <w:rsid w:val="00210CEB"/>
    <w:rsid w:val="00211D46"/>
    <w:rsid w:val="0021283A"/>
    <w:rsid w:val="0021286F"/>
    <w:rsid w:val="00213D40"/>
    <w:rsid w:val="00214658"/>
    <w:rsid w:val="002149F5"/>
    <w:rsid w:val="00214ECF"/>
    <w:rsid w:val="0021568E"/>
    <w:rsid w:val="002157AB"/>
    <w:rsid w:val="00216042"/>
    <w:rsid w:val="00220306"/>
    <w:rsid w:val="00220914"/>
    <w:rsid w:val="002226D9"/>
    <w:rsid w:val="002229A9"/>
    <w:rsid w:val="00224282"/>
    <w:rsid w:val="0022503E"/>
    <w:rsid w:val="00225A5E"/>
    <w:rsid w:val="0022777F"/>
    <w:rsid w:val="00233F28"/>
    <w:rsid w:val="00234CB0"/>
    <w:rsid w:val="00235AA3"/>
    <w:rsid w:val="00236968"/>
    <w:rsid w:val="002405E5"/>
    <w:rsid w:val="00241A5E"/>
    <w:rsid w:val="002439C9"/>
    <w:rsid w:val="002448E9"/>
    <w:rsid w:val="0024521B"/>
    <w:rsid w:val="002464D6"/>
    <w:rsid w:val="0024785E"/>
    <w:rsid w:val="00247B80"/>
    <w:rsid w:val="002502F2"/>
    <w:rsid w:val="00250CB3"/>
    <w:rsid w:val="00251B54"/>
    <w:rsid w:val="0025250A"/>
    <w:rsid w:val="00252F82"/>
    <w:rsid w:val="00253388"/>
    <w:rsid w:val="00254745"/>
    <w:rsid w:val="00254EE4"/>
    <w:rsid w:val="002553C7"/>
    <w:rsid w:val="00255598"/>
    <w:rsid w:val="002575A0"/>
    <w:rsid w:val="00260597"/>
    <w:rsid w:val="002609FB"/>
    <w:rsid w:val="00261C45"/>
    <w:rsid w:val="00262FB2"/>
    <w:rsid w:val="00263D7B"/>
    <w:rsid w:val="00264A8E"/>
    <w:rsid w:val="00266D66"/>
    <w:rsid w:val="00270E55"/>
    <w:rsid w:val="00271205"/>
    <w:rsid w:val="0027163A"/>
    <w:rsid w:val="002720DE"/>
    <w:rsid w:val="002731D5"/>
    <w:rsid w:val="00273AAE"/>
    <w:rsid w:val="002763BE"/>
    <w:rsid w:val="00276FD6"/>
    <w:rsid w:val="00280A5C"/>
    <w:rsid w:val="00280B6C"/>
    <w:rsid w:val="00281BF3"/>
    <w:rsid w:val="002823EA"/>
    <w:rsid w:val="00282667"/>
    <w:rsid w:val="00283A9D"/>
    <w:rsid w:val="002850E6"/>
    <w:rsid w:val="00285990"/>
    <w:rsid w:val="0028683C"/>
    <w:rsid w:val="00286ACC"/>
    <w:rsid w:val="0029308A"/>
    <w:rsid w:val="00294060"/>
    <w:rsid w:val="00294552"/>
    <w:rsid w:val="002949C7"/>
    <w:rsid w:val="0029502E"/>
    <w:rsid w:val="0029528F"/>
    <w:rsid w:val="0029543E"/>
    <w:rsid w:val="00296183"/>
    <w:rsid w:val="00296AF6"/>
    <w:rsid w:val="00296AFA"/>
    <w:rsid w:val="00297782"/>
    <w:rsid w:val="002A0AFC"/>
    <w:rsid w:val="002A12EA"/>
    <w:rsid w:val="002A209C"/>
    <w:rsid w:val="002A20CE"/>
    <w:rsid w:val="002A227E"/>
    <w:rsid w:val="002A3260"/>
    <w:rsid w:val="002A345C"/>
    <w:rsid w:val="002A3D4B"/>
    <w:rsid w:val="002A473C"/>
    <w:rsid w:val="002A4AA7"/>
    <w:rsid w:val="002A4F27"/>
    <w:rsid w:val="002A6D6B"/>
    <w:rsid w:val="002A7410"/>
    <w:rsid w:val="002B0FE8"/>
    <w:rsid w:val="002B3F33"/>
    <w:rsid w:val="002B6938"/>
    <w:rsid w:val="002C1F10"/>
    <w:rsid w:val="002C245A"/>
    <w:rsid w:val="002C2DAB"/>
    <w:rsid w:val="002C676F"/>
    <w:rsid w:val="002C7253"/>
    <w:rsid w:val="002C7A60"/>
    <w:rsid w:val="002C7C88"/>
    <w:rsid w:val="002D0AF6"/>
    <w:rsid w:val="002D12A0"/>
    <w:rsid w:val="002D22D9"/>
    <w:rsid w:val="002D22ED"/>
    <w:rsid w:val="002D54A6"/>
    <w:rsid w:val="002D7F5E"/>
    <w:rsid w:val="002E01E6"/>
    <w:rsid w:val="002E0495"/>
    <w:rsid w:val="002E0532"/>
    <w:rsid w:val="002E1CC4"/>
    <w:rsid w:val="002E3716"/>
    <w:rsid w:val="002E421B"/>
    <w:rsid w:val="002E5097"/>
    <w:rsid w:val="002E5CE8"/>
    <w:rsid w:val="002E7CCC"/>
    <w:rsid w:val="002E7F43"/>
    <w:rsid w:val="002F11E6"/>
    <w:rsid w:val="002F3BFD"/>
    <w:rsid w:val="002F4E08"/>
    <w:rsid w:val="002F62BA"/>
    <w:rsid w:val="002F6AA2"/>
    <w:rsid w:val="00301570"/>
    <w:rsid w:val="0030219C"/>
    <w:rsid w:val="0030254E"/>
    <w:rsid w:val="0030387B"/>
    <w:rsid w:val="0030391A"/>
    <w:rsid w:val="00304166"/>
    <w:rsid w:val="00305B61"/>
    <w:rsid w:val="00305C11"/>
    <w:rsid w:val="00305E34"/>
    <w:rsid w:val="00307764"/>
    <w:rsid w:val="00307C06"/>
    <w:rsid w:val="00311F8B"/>
    <w:rsid w:val="00312F79"/>
    <w:rsid w:val="00313D36"/>
    <w:rsid w:val="0031421C"/>
    <w:rsid w:val="00314D60"/>
    <w:rsid w:val="00316B08"/>
    <w:rsid w:val="00320420"/>
    <w:rsid w:val="00322517"/>
    <w:rsid w:val="0032627F"/>
    <w:rsid w:val="00326BD6"/>
    <w:rsid w:val="00326DC7"/>
    <w:rsid w:val="00330C76"/>
    <w:rsid w:val="00333FF1"/>
    <w:rsid w:val="003363D7"/>
    <w:rsid w:val="00337028"/>
    <w:rsid w:val="00345CDE"/>
    <w:rsid w:val="003468BE"/>
    <w:rsid w:val="00346AD9"/>
    <w:rsid w:val="00350F3A"/>
    <w:rsid w:val="0035192C"/>
    <w:rsid w:val="00351BD4"/>
    <w:rsid w:val="00351D14"/>
    <w:rsid w:val="00353192"/>
    <w:rsid w:val="0035404D"/>
    <w:rsid w:val="00356399"/>
    <w:rsid w:val="00360B65"/>
    <w:rsid w:val="00360CFC"/>
    <w:rsid w:val="003616B5"/>
    <w:rsid w:val="00361BA1"/>
    <w:rsid w:val="00362C49"/>
    <w:rsid w:val="00363438"/>
    <w:rsid w:val="00365425"/>
    <w:rsid w:val="00365FBD"/>
    <w:rsid w:val="00372610"/>
    <w:rsid w:val="00373131"/>
    <w:rsid w:val="003739F3"/>
    <w:rsid w:val="00375A2D"/>
    <w:rsid w:val="00376806"/>
    <w:rsid w:val="0037714B"/>
    <w:rsid w:val="003806BD"/>
    <w:rsid w:val="00381ADC"/>
    <w:rsid w:val="00381CEC"/>
    <w:rsid w:val="003824D4"/>
    <w:rsid w:val="00383B46"/>
    <w:rsid w:val="00383B77"/>
    <w:rsid w:val="00383C44"/>
    <w:rsid w:val="003842D8"/>
    <w:rsid w:val="00385146"/>
    <w:rsid w:val="00386504"/>
    <w:rsid w:val="00386A12"/>
    <w:rsid w:val="00387900"/>
    <w:rsid w:val="003879B5"/>
    <w:rsid w:val="00387E6F"/>
    <w:rsid w:val="003917CC"/>
    <w:rsid w:val="00391B49"/>
    <w:rsid w:val="003926B5"/>
    <w:rsid w:val="00393829"/>
    <w:rsid w:val="0039796A"/>
    <w:rsid w:val="003A2828"/>
    <w:rsid w:val="003A550C"/>
    <w:rsid w:val="003A7F64"/>
    <w:rsid w:val="003B01B5"/>
    <w:rsid w:val="003B1E63"/>
    <w:rsid w:val="003B207A"/>
    <w:rsid w:val="003B2373"/>
    <w:rsid w:val="003B23D7"/>
    <w:rsid w:val="003B330A"/>
    <w:rsid w:val="003B35B4"/>
    <w:rsid w:val="003B5F7A"/>
    <w:rsid w:val="003C0817"/>
    <w:rsid w:val="003C3E6C"/>
    <w:rsid w:val="003C4186"/>
    <w:rsid w:val="003D2381"/>
    <w:rsid w:val="003D2D82"/>
    <w:rsid w:val="003E0562"/>
    <w:rsid w:val="003E0773"/>
    <w:rsid w:val="003E1485"/>
    <w:rsid w:val="003E2358"/>
    <w:rsid w:val="003E6164"/>
    <w:rsid w:val="003E6BC1"/>
    <w:rsid w:val="003E6FB6"/>
    <w:rsid w:val="003F1075"/>
    <w:rsid w:val="003F1178"/>
    <w:rsid w:val="003F1E95"/>
    <w:rsid w:val="003F33E9"/>
    <w:rsid w:val="003F4ED5"/>
    <w:rsid w:val="003F4EF7"/>
    <w:rsid w:val="003F501F"/>
    <w:rsid w:val="003F5FEF"/>
    <w:rsid w:val="004014F3"/>
    <w:rsid w:val="00401775"/>
    <w:rsid w:val="004018D5"/>
    <w:rsid w:val="0040252F"/>
    <w:rsid w:val="00403FBC"/>
    <w:rsid w:val="00405D36"/>
    <w:rsid w:val="00407F45"/>
    <w:rsid w:val="004103B8"/>
    <w:rsid w:val="00411BC7"/>
    <w:rsid w:val="00411C2B"/>
    <w:rsid w:val="004120BE"/>
    <w:rsid w:val="00413D13"/>
    <w:rsid w:val="004141DC"/>
    <w:rsid w:val="00414E6D"/>
    <w:rsid w:val="00415E0A"/>
    <w:rsid w:val="00416D62"/>
    <w:rsid w:val="004205BE"/>
    <w:rsid w:val="004209A9"/>
    <w:rsid w:val="00420AA3"/>
    <w:rsid w:val="00421211"/>
    <w:rsid w:val="00422D10"/>
    <w:rsid w:val="00423956"/>
    <w:rsid w:val="004262B5"/>
    <w:rsid w:val="004269C0"/>
    <w:rsid w:val="004310E0"/>
    <w:rsid w:val="0043293A"/>
    <w:rsid w:val="00432A0A"/>
    <w:rsid w:val="00433CF3"/>
    <w:rsid w:val="004341E9"/>
    <w:rsid w:val="00435D9D"/>
    <w:rsid w:val="00435F08"/>
    <w:rsid w:val="0043700F"/>
    <w:rsid w:val="00437236"/>
    <w:rsid w:val="00437763"/>
    <w:rsid w:val="004407F5"/>
    <w:rsid w:val="004416C6"/>
    <w:rsid w:val="00442FD3"/>
    <w:rsid w:val="00443492"/>
    <w:rsid w:val="00443767"/>
    <w:rsid w:val="004437C0"/>
    <w:rsid w:val="004440E0"/>
    <w:rsid w:val="00445043"/>
    <w:rsid w:val="004458B1"/>
    <w:rsid w:val="004506B0"/>
    <w:rsid w:val="0045127B"/>
    <w:rsid w:val="0045268C"/>
    <w:rsid w:val="004546E4"/>
    <w:rsid w:val="004555ED"/>
    <w:rsid w:val="0045634F"/>
    <w:rsid w:val="00460099"/>
    <w:rsid w:val="00460C0B"/>
    <w:rsid w:val="00460FCC"/>
    <w:rsid w:val="004616F5"/>
    <w:rsid w:val="0046198F"/>
    <w:rsid w:val="004619F7"/>
    <w:rsid w:val="00461A32"/>
    <w:rsid w:val="00462DC4"/>
    <w:rsid w:val="00463B76"/>
    <w:rsid w:val="00463DDA"/>
    <w:rsid w:val="0046473C"/>
    <w:rsid w:val="00464909"/>
    <w:rsid w:val="00464C5A"/>
    <w:rsid w:val="004656F0"/>
    <w:rsid w:val="00466C31"/>
    <w:rsid w:val="0046714A"/>
    <w:rsid w:val="004674F9"/>
    <w:rsid w:val="00470DC0"/>
    <w:rsid w:val="00470FE0"/>
    <w:rsid w:val="00472D66"/>
    <w:rsid w:val="00474B88"/>
    <w:rsid w:val="00475874"/>
    <w:rsid w:val="00480161"/>
    <w:rsid w:val="00480491"/>
    <w:rsid w:val="00480B8B"/>
    <w:rsid w:val="004810DC"/>
    <w:rsid w:val="00484664"/>
    <w:rsid w:val="00484DC5"/>
    <w:rsid w:val="0048506E"/>
    <w:rsid w:val="0048509F"/>
    <w:rsid w:val="00485F3A"/>
    <w:rsid w:val="0048693F"/>
    <w:rsid w:val="004874CF"/>
    <w:rsid w:val="00487A8E"/>
    <w:rsid w:val="00490340"/>
    <w:rsid w:val="00490439"/>
    <w:rsid w:val="00490944"/>
    <w:rsid w:val="00490ABE"/>
    <w:rsid w:val="0049420A"/>
    <w:rsid w:val="00494B70"/>
    <w:rsid w:val="00494CB3"/>
    <w:rsid w:val="0049523F"/>
    <w:rsid w:val="00495E0C"/>
    <w:rsid w:val="00497BCF"/>
    <w:rsid w:val="00497E89"/>
    <w:rsid w:val="004A1684"/>
    <w:rsid w:val="004A31BD"/>
    <w:rsid w:val="004A3476"/>
    <w:rsid w:val="004A418C"/>
    <w:rsid w:val="004A780E"/>
    <w:rsid w:val="004B5470"/>
    <w:rsid w:val="004B5E73"/>
    <w:rsid w:val="004B618A"/>
    <w:rsid w:val="004B7607"/>
    <w:rsid w:val="004B7633"/>
    <w:rsid w:val="004B7D05"/>
    <w:rsid w:val="004C096C"/>
    <w:rsid w:val="004C1DA2"/>
    <w:rsid w:val="004C23F5"/>
    <w:rsid w:val="004C33D6"/>
    <w:rsid w:val="004C3E44"/>
    <w:rsid w:val="004C4B28"/>
    <w:rsid w:val="004C4E5E"/>
    <w:rsid w:val="004C6FA2"/>
    <w:rsid w:val="004D02B5"/>
    <w:rsid w:val="004D0683"/>
    <w:rsid w:val="004D1D98"/>
    <w:rsid w:val="004D364A"/>
    <w:rsid w:val="004D3985"/>
    <w:rsid w:val="004D3DDF"/>
    <w:rsid w:val="004D4840"/>
    <w:rsid w:val="004D5498"/>
    <w:rsid w:val="004D62C8"/>
    <w:rsid w:val="004D6956"/>
    <w:rsid w:val="004D6DA3"/>
    <w:rsid w:val="004D789B"/>
    <w:rsid w:val="004E07E4"/>
    <w:rsid w:val="004E1ABB"/>
    <w:rsid w:val="004E2662"/>
    <w:rsid w:val="004E35F4"/>
    <w:rsid w:val="004E3A1A"/>
    <w:rsid w:val="004E4025"/>
    <w:rsid w:val="004E4C58"/>
    <w:rsid w:val="004E60DE"/>
    <w:rsid w:val="004E6119"/>
    <w:rsid w:val="004F1DC8"/>
    <w:rsid w:val="004F3056"/>
    <w:rsid w:val="004F53AE"/>
    <w:rsid w:val="004F58DB"/>
    <w:rsid w:val="0050016B"/>
    <w:rsid w:val="00500855"/>
    <w:rsid w:val="00500B99"/>
    <w:rsid w:val="005045DB"/>
    <w:rsid w:val="005060F6"/>
    <w:rsid w:val="005077A2"/>
    <w:rsid w:val="005110FE"/>
    <w:rsid w:val="0051234C"/>
    <w:rsid w:val="00512539"/>
    <w:rsid w:val="005133A0"/>
    <w:rsid w:val="005140AB"/>
    <w:rsid w:val="00516230"/>
    <w:rsid w:val="00516C2B"/>
    <w:rsid w:val="00516E19"/>
    <w:rsid w:val="00523FFB"/>
    <w:rsid w:val="0052522F"/>
    <w:rsid w:val="005255DD"/>
    <w:rsid w:val="00526625"/>
    <w:rsid w:val="00526D03"/>
    <w:rsid w:val="00527054"/>
    <w:rsid w:val="005305CA"/>
    <w:rsid w:val="00530848"/>
    <w:rsid w:val="005316C0"/>
    <w:rsid w:val="005321D9"/>
    <w:rsid w:val="005343A6"/>
    <w:rsid w:val="005352F3"/>
    <w:rsid w:val="00535A53"/>
    <w:rsid w:val="005367DB"/>
    <w:rsid w:val="0054089F"/>
    <w:rsid w:val="0054128F"/>
    <w:rsid w:val="005437B8"/>
    <w:rsid w:val="00544168"/>
    <w:rsid w:val="00544D71"/>
    <w:rsid w:val="00545DE2"/>
    <w:rsid w:val="00550325"/>
    <w:rsid w:val="00553C34"/>
    <w:rsid w:val="00553D04"/>
    <w:rsid w:val="00555B40"/>
    <w:rsid w:val="00556D82"/>
    <w:rsid w:val="005578D2"/>
    <w:rsid w:val="00561E7B"/>
    <w:rsid w:val="00562CE0"/>
    <w:rsid w:val="00562FB0"/>
    <w:rsid w:val="005631FD"/>
    <w:rsid w:val="00563DA5"/>
    <w:rsid w:val="005644E3"/>
    <w:rsid w:val="00567991"/>
    <w:rsid w:val="00572260"/>
    <w:rsid w:val="00572DD1"/>
    <w:rsid w:val="00573816"/>
    <w:rsid w:val="005741C1"/>
    <w:rsid w:val="00575694"/>
    <w:rsid w:val="00576A90"/>
    <w:rsid w:val="00580D0F"/>
    <w:rsid w:val="0058211B"/>
    <w:rsid w:val="00583118"/>
    <w:rsid w:val="0058357C"/>
    <w:rsid w:val="00584508"/>
    <w:rsid w:val="00584597"/>
    <w:rsid w:val="00585483"/>
    <w:rsid w:val="005857A1"/>
    <w:rsid w:val="005866A5"/>
    <w:rsid w:val="00587D05"/>
    <w:rsid w:val="00593719"/>
    <w:rsid w:val="005A01DE"/>
    <w:rsid w:val="005A05A9"/>
    <w:rsid w:val="005A419F"/>
    <w:rsid w:val="005A705B"/>
    <w:rsid w:val="005A7BD1"/>
    <w:rsid w:val="005A7F11"/>
    <w:rsid w:val="005B0CD5"/>
    <w:rsid w:val="005B20A9"/>
    <w:rsid w:val="005B3DD0"/>
    <w:rsid w:val="005B4379"/>
    <w:rsid w:val="005B49CD"/>
    <w:rsid w:val="005B52B5"/>
    <w:rsid w:val="005B5BB1"/>
    <w:rsid w:val="005B6BCE"/>
    <w:rsid w:val="005B705B"/>
    <w:rsid w:val="005B736F"/>
    <w:rsid w:val="005B738D"/>
    <w:rsid w:val="005B7B8D"/>
    <w:rsid w:val="005C2967"/>
    <w:rsid w:val="005C46FE"/>
    <w:rsid w:val="005C4F0D"/>
    <w:rsid w:val="005C63A0"/>
    <w:rsid w:val="005C67BE"/>
    <w:rsid w:val="005C7F08"/>
    <w:rsid w:val="005D30C3"/>
    <w:rsid w:val="005D4436"/>
    <w:rsid w:val="005E0D55"/>
    <w:rsid w:val="005E215E"/>
    <w:rsid w:val="005E2D62"/>
    <w:rsid w:val="005E2F05"/>
    <w:rsid w:val="005E496B"/>
    <w:rsid w:val="005E521C"/>
    <w:rsid w:val="005E7465"/>
    <w:rsid w:val="005F0BDF"/>
    <w:rsid w:val="005F0D6F"/>
    <w:rsid w:val="005F1824"/>
    <w:rsid w:val="005F190E"/>
    <w:rsid w:val="005F23D1"/>
    <w:rsid w:val="005F36C7"/>
    <w:rsid w:val="005F42FE"/>
    <w:rsid w:val="005F4410"/>
    <w:rsid w:val="005F5E4E"/>
    <w:rsid w:val="005F6318"/>
    <w:rsid w:val="00601733"/>
    <w:rsid w:val="00602809"/>
    <w:rsid w:val="006036B9"/>
    <w:rsid w:val="0060400A"/>
    <w:rsid w:val="00604741"/>
    <w:rsid w:val="00604B61"/>
    <w:rsid w:val="00605EBA"/>
    <w:rsid w:val="00611626"/>
    <w:rsid w:val="00612517"/>
    <w:rsid w:val="00617B15"/>
    <w:rsid w:val="006200F4"/>
    <w:rsid w:val="0062089C"/>
    <w:rsid w:val="00620E10"/>
    <w:rsid w:val="006219F1"/>
    <w:rsid w:val="00624C6A"/>
    <w:rsid w:val="006271F5"/>
    <w:rsid w:val="0062772E"/>
    <w:rsid w:val="006300EA"/>
    <w:rsid w:val="00631003"/>
    <w:rsid w:val="006311E3"/>
    <w:rsid w:val="006312E3"/>
    <w:rsid w:val="00631F58"/>
    <w:rsid w:val="006322DF"/>
    <w:rsid w:val="00632C41"/>
    <w:rsid w:val="006330B3"/>
    <w:rsid w:val="006334A9"/>
    <w:rsid w:val="006340CF"/>
    <w:rsid w:val="006341B6"/>
    <w:rsid w:val="00635C19"/>
    <w:rsid w:val="00640146"/>
    <w:rsid w:val="00641AA1"/>
    <w:rsid w:val="00645126"/>
    <w:rsid w:val="00645DE6"/>
    <w:rsid w:val="0064680F"/>
    <w:rsid w:val="006470A0"/>
    <w:rsid w:val="00647F65"/>
    <w:rsid w:val="0065010D"/>
    <w:rsid w:val="00651C9A"/>
    <w:rsid w:val="00652109"/>
    <w:rsid w:val="006529E5"/>
    <w:rsid w:val="006537A1"/>
    <w:rsid w:val="00654FE1"/>
    <w:rsid w:val="006574C1"/>
    <w:rsid w:val="00657FD6"/>
    <w:rsid w:val="0066037E"/>
    <w:rsid w:val="00660C0F"/>
    <w:rsid w:val="00661F0D"/>
    <w:rsid w:val="00662469"/>
    <w:rsid w:val="00665E70"/>
    <w:rsid w:val="00667DFC"/>
    <w:rsid w:val="00670333"/>
    <w:rsid w:val="00670FA1"/>
    <w:rsid w:val="006716FE"/>
    <w:rsid w:val="00671C2B"/>
    <w:rsid w:val="00672B90"/>
    <w:rsid w:val="006738F2"/>
    <w:rsid w:val="006824EF"/>
    <w:rsid w:val="00683BF5"/>
    <w:rsid w:val="00684416"/>
    <w:rsid w:val="00686885"/>
    <w:rsid w:val="00686D4F"/>
    <w:rsid w:val="00687C0B"/>
    <w:rsid w:val="00687D2F"/>
    <w:rsid w:val="006909CE"/>
    <w:rsid w:val="00690BFB"/>
    <w:rsid w:val="006932E9"/>
    <w:rsid w:val="00696FDD"/>
    <w:rsid w:val="00697D3E"/>
    <w:rsid w:val="00697E30"/>
    <w:rsid w:val="00697FDA"/>
    <w:rsid w:val="006A0BFD"/>
    <w:rsid w:val="006A17F1"/>
    <w:rsid w:val="006A3FF0"/>
    <w:rsid w:val="006A6727"/>
    <w:rsid w:val="006B0BBE"/>
    <w:rsid w:val="006B0FF8"/>
    <w:rsid w:val="006B11C8"/>
    <w:rsid w:val="006B130C"/>
    <w:rsid w:val="006B40DE"/>
    <w:rsid w:val="006B4622"/>
    <w:rsid w:val="006B4CFD"/>
    <w:rsid w:val="006B532E"/>
    <w:rsid w:val="006B6BE1"/>
    <w:rsid w:val="006B791A"/>
    <w:rsid w:val="006B7F56"/>
    <w:rsid w:val="006C1A3E"/>
    <w:rsid w:val="006C1BB2"/>
    <w:rsid w:val="006C2B59"/>
    <w:rsid w:val="006C2FE3"/>
    <w:rsid w:val="006C4033"/>
    <w:rsid w:val="006D21A8"/>
    <w:rsid w:val="006D3156"/>
    <w:rsid w:val="006D3FDF"/>
    <w:rsid w:val="006D492C"/>
    <w:rsid w:val="006D4E7D"/>
    <w:rsid w:val="006D6872"/>
    <w:rsid w:val="006D6C0E"/>
    <w:rsid w:val="006D6CA1"/>
    <w:rsid w:val="006D76EA"/>
    <w:rsid w:val="006E0BCA"/>
    <w:rsid w:val="006E1083"/>
    <w:rsid w:val="006E1F2A"/>
    <w:rsid w:val="006E604D"/>
    <w:rsid w:val="006E795E"/>
    <w:rsid w:val="006F0F25"/>
    <w:rsid w:val="006F308C"/>
    <w:rsid w:val="006F384D"/>
    <w:rsid w:val="006F6631"/>
    <w:rsid w:val="006F75E0"/>
    <w:rsid w:val="0070056F"/>
    <w:rsid w:val="00700B18"/>
    <w:rsid w:val="007013C4"/>
    <w:rsid w:val="0070420B"/>
    <w:rsid w:val="00704365"/>
    <w:rsid w:val="007049EF"/>
    <w:rsid w:val="007063A5"/>
    <w:rsid w:val="00710158"/>
    <w:rsid w:val="00712489"/>
    <w:rsid w:val="00712AE6"/>
    <w:rsid w:val="00714ED1"/>
    <w:rsid w:val="00715DB1"/>
    <w:rsid w:val="007160AC"/>
    <w:rsid w:val="00716633"/>
    <w:rsid w:val="0071731E"/>
    <w:rsid w:val="0072161F"/>
    <w:rsid w:val="00725677"/>
    <w:rsid w:val="00725D2C"/>
    <w:rsid w:val="00725DAE"/>
    <w:rsid w:val="007303D0"/>
    <w:rsid w:val="00730611"/>
    <w:rsid w:val="00731303"/>
    <w:rsid w:val="00732937"/>
    <w:rsid w:val="00732FB4"/>
    <w:rsid w:val="00736407"/>
    <w:rsid w:val="00737D11"/>
    <w:rsid w:val="0074226D"/>
    <w:rsid w:val="00744548"/>
    <w:rsid w:val="007451F5"/>
    <w:rsid w:val="007461C9"/>
    <w:rsid w:val="007469E9"/>
    <w:rsid w:val="007507AD"/>
    <w:rsid w:val="00751DBF"/>
    <w:rsid w:val="0075437D"/>
    <w:rsid w:val="00757742"/>
    <w:rsid w:val="007615F9"/>
    <w:rsid w:val="00762C9E"/>
    <w:rsid w:val="0076308F"/>
    <w:rsid w:val="00763F9F"/>
    <w:rsid w:val="00764959"/>
    <w:rsid w:val="00765867"/>
    <w:rsid w:val="007667ED"/>
    <w:rsid w:val="00766D64"/>
    <w:rsid w:val="00767AE0"/>
    <w:rsid w:val="00770BD3"/>
    <w:rsid w:val="00770F40"/>
    <w:rsid w:val="00780C19"/>
    <w:rsid w:val="00781236"/>
    <w:rsid w:val="007822AC"/>
    <w:rsid w:val="00783D8A"/>
    <w:rsid w:val="007841B8"/>
    <w:rsid w:val="007843AD"/>
    <w:rsid w:val="0078440C"/>
    <w:rsid w:val="00784BD8"/>
    <w:rsid w:val="0078791A"/>
    <w:rsid w:val="00790163"/>
    <w:rsid w:val="007940D8"/>
    <w:rsid w:val="007A1A9D"/>
    <w:rsid w:val="007A2121"/>
    <w:rsid w:val="007A3923"/>
    <w:rsid w:val="007A41FA"/>
    <w:rsid w:val="007B0B3B"/>
    <w:rsid w:val="007B1C08"/>
    <w:rsid w:val="007B244E"/>
    <w:rsid w:val="007B3673"/>
    <w:rsid w:val="007C120C"/>
    <w:rsid w:val="007C1275"/>
    <w:rsid w:val="007C33C7"/>
    <w:rsid w:val="007C431D"/>
    <w:rsid w:val="007C4BBD"/>
    <w:rsid w:val="007C66FC"/>
    <w:rsid w:val="007C7BF9"/>
    <w:rsid w:val="007C7C65"/>
    <w:rsid w:val="007D00A0"/>
    <w:rsid w:val="007D1875"/>
    <w:rsid w:val="007D1AF4"/>
    <w:rsid w:val="007E44CB"/>
    <w:rsid w:val="007E5931"/>
    <w:rsid w:val="007E596C"/>
    <w:rsid w:val="007E6B1F"/>
    <w:rsid w:val="007F0175"/>
    <w:rsid w:val="007F2963"/>
    <w:rsid w:val="007F3587"/>
    <w:rsid w:val="007F60B0"/>
    <w:rsid w:val="007F6D09"/>
    <w:rsid w:val="007F7B9B"/>
    <w:rsid w:val="008008F2"/>
    <w:rsid w:val="008032C9"/>
    <w:rsid w:val="00803DDD"/>
    <w:rsid w:val="00804769"/>
    <w:rsid w:val="00805086"/>
    <w:rsid w:val="00805F6D"/>
    <w:rsid w:val="008061C4"/>
    <w:rsid w:val="0080713B"/>
    <w:rsid w:val="00810FC1"/>
    <w:rsid w:val="00811AAE"/>
    <w:rsid w:val="00812FFF"/>
    <w:rsid w:val="00813C92"/>
    <w:rsid w:val="008158DA"/>
    <w:rsid w:val="00815D0B"/>
    <w:rsid w:val="008179A7"/>
    <w:rsid w:val="008216F1"/>
    <w:rsid w:val="008219BD"/>
    <w:rsid w:val="00821BB4"/>
    <w:rsid w:val="00822D29"/>
    <w:rsid w:val="00822D9C"/>
    <w:rsid w:val="008236AD"/>
    <w:rsid w:val="00824311"/>
    <w:rsid w:val="0082431A"/>
    <w:rsid w:val="00824EC7"/>
    <w:rsid w:val="0082545C"/>
    <w:rsid w:val="00825ECD"/>
    <w:rsid w:val="00826FB7"/>
    <w:rsid w:val="0083326A"/>
    <w:rsid w:val="00836E22"/>
    <w:rsid w:val="00837796"/>
    <w:rsid w:val="00840397"/>
    <w:rsid w:val="00840A6D"/>
    <w:rsid w:val="00841D0E"/>
    <w:rsid w:val="00842F78"/>
    <w:rsid w:val="0084607A"/>
    <w:rsid w:val="00846B8F"/>
    <w:rsid w:val="00851620"/>
    <w:rsid w:val="00851916"/>
    <w:rsid w:val="00852182"/>
    <w:rsid w:val="008546B4"/>
    <w:rsid w:val="008553E9"/>
    <w:rsid w:val="0085661C"/>
    <w:rsid w:val="008604AD"/>
    <w:rsid w:val="0086352C"/>
    <w:rsid w:val="0086529D"/>
    <w:rsid w:val="00865608"/>
    <w:rsid w:val="00865929"/>
    <w:rsid w:val="00865C72"/>
    <w:rsid w:val="0086604A"/>
    <w:rsid w:val="008673EA"/>
    <w:rsid w:val="00867EFE"/>
    <w:rsid w:val="00871083"/>
    <w:rsid w:val="00873A04"/>
    <w:rsid w:val="00873B55"/>
    <w:rsid w:val="00874B4B"/>
    <w:rsid w:val="0087614F"/>
    <w:rsid w:val="008770EA"/>
    <w:rsid w:val="00882385"/>
    <w:rsid w:val="00883A54"/>
    <w:rsid w:val="00887540"/>
    <w:rsid w:val="008876E9"/>
    <w:rsid w:val="00890999"/>
    <w:rsid w:val="00890D0A"/>
    <w:rsid w:val="00892FF7"/>
    <w:rsid w:val="00893C15"/>
    <w:rsid w:val="0089556C"/>
    <w:rsid w:val="00895DE4"/>
    <w:rsid w:val="00896579"/>
    <w:rsid w:val="00896BE9"/>
    <w:rsid w:val="008A1C08"/>
    <w:rsid w:val="008A3E02"/>
    <w:rsid w:val="008A5234"/>
    <w:rsid w:val="008A6663"/>
    <w:rsid w:val="008A7082"/>
    <w:rsid w:val="008A7513"/>
    <w:rsid w:val="008A7720"/>
    <w:rsid w:val="008B2BE0"/>
    <w:rsid w:val="008B377C"/>
    <w:rsid w:val="008B5BAC"/>
    <w:rsid w:val="008C06B5"/>
    <w:rsid w:val="008C1435"/>
    <w:rsid w:val="008C4C8F"/>
    <w:rsid w:val="008C52A1"/>
    <w:rsid w:val="008C5A93"/>
    <w:rsid w:val="008C5FCD"/>
    <w:rsid w:val="008D0572"/>
    <w:rsid w:val="008D141F"/>
    <w:rsid w:val="008D5443"/>
    <w:rsid w:val="008D5676"/>
    <w:rsid w:val="008D5916"/>
    <w:rsid w:val="008D5FBB"/>
    <w:rsid w:val="008D65B3"/>
    <w:rsid w:val="008D6D30"/>
    <w:rsid w:val="008D6FE3"/>
    <w:rsid w:val="008D7701"/>
    <w:rsid w:val="008D7A5D"/>
    <w:rsid w:val="008D7B1C"/>
    <w:rsid w:val="008D7B67"/>
    <w:rsid w:val="008E00C1"/>
    <w:rsid w:val="008E0600"/>
    <w:rsid w:val="008E3FD8"/>
    <w:rsid w:val="008E4B36"/>
    <w:rsid w:val="008E5B97"/>
    <w:rsid w:val="008E759C"/>
    <w:rsid w:val="008F00FF"/>
    <w:rsid w:val="008F053D"/>
    <w:rsid w:val="008F3B6F"/>
    <w:rsid w:val="008F437B"/>
    <w:rsid w:val="008F75DA"/>
    <w:rsid w:val="0090158E"/>
    <w:rsid w:val="00903001"/>
    <w:rsid w:val="00904977"/>
    <w:rsid w:val="00905614"/>
    <w:rsid w:val="009058F9"/>
    <w:rsid w:val="00906B1C"/>
    <w:rsid w:val="00907F9A"/>
    <w:rsid w:val="009103FC"/>
    <w:rsid w:val="009113BC"/>
    <w:rsid w:val="00911A69"/>
    <w:rsid w:val="009141B1"/>
    <w:rsid w:val="00915126"/>
    <w:rsid w:val="009212BF"/>
    <w:rsid w:val="00921301"/>
    <w:rsid w:val="00922074"/>
    <w:rsid w:val="00923DDB"/>
    <w:rsid w:val="00924815"/>
    <w:rsid w:val="00924C94"/>
    <w:rsid w:val="00925870"/>
    <w:rsid w:val="00926F09"/>
    <w:rsid w:val="00927587"/>
    <w:rsid w:val="00930385"/>
    <w:rsid w:val="00930B01"/>
    <w:rsid w:val="00931CF6"/>
    <w:rsid w:val="00931E29"/>
    <w:rsid w:val="00932A63"/>
    <w:rsid w:val="009346EE"/>
    <w:rsid w:val="00942145"/>
    <w:rsid w:val="00942BE7"/>
    <w:rsid w:val="00942F38"/>
    <w:rsid w:val="00943497"/>
    <w:rsid w:val="00943717"/>
    <w:rsid w:val="00943EA2"/>
    <w:rsid w:val="00944143"/>
    <w:rsid w:val="00944B73"/>
    <w:rsid w:val="00944CA7"/>
    <w:rsid w:val="0094620A"/>
    <w:rsid w:val="00951D59"/>
    <w:rsid w:val="0095556C"/>
    <w:rsid w:val="009563C6"/>
    <w:rsid w:val="00956A48"/>
    <w:rsid w:val="00956A91"/>
    <w:rsid w:val="00957438"/>
    <w:rsid w:val="00957737"/>
    <w:rsid w:val="0095787D"/>
    <w:rsid w:val="00957C97"/>
    <w:rsid w:val="0096069A"/>
    <w:rsid w:val="009608FB"/>
    <w:rsid w:val="00962182"/>
    <w:rsid w:val="0096279D"/>
    <w:rsid w:val="00963060"/>
    <w:rsid w:val="00963DFF"/>
    <w:rsid w:val="00964695"/>
    <w:rsid w:val="0096593E"/>
    <w:rsid w:val="00966EE5"/>
    <w:rsid w:val="00967D3C"/>
    <w:rsid w:val="00970E80"/>
    <w:rsid w:val="0097186B"/>
    <w:rsid w:val="00972F28"/>
    <w:rsid w:val="00973D9D"/>
    <w:rsid w:val="0097412A"/>
    <w:rsid w:val="00974E90"/>
    <w:rsid w:val="009750B3"/>
    <w:rsid w:val="00975C90"/>
    <w:rsid w:val="00977321"/>
    <w:rsid w:val="00977552"/>
    <w:rsid w:val="00981EDB"/>
    <w:rsid w:val="00985DF7"/>
    <w:rsid w:val="00985E6B"/>
    <w:rsid w:val="00986CD5"/>
    <w:rsid w:val="00991834"/>
    <w:rsid w:val="00991ACF"/>
    <w:rsid w:val="00991D19"/>
    <w:rsid w:val="0099260E"/>
    <w:rsid w:val="00996849"/>
    <w:rsid w:val="00997502"/>
    <w:rsid w:val="009A3E6B"/>
    <w:rsid w:val="009A5529"/>
    <w:rsid w:val="009A61A7"/>
    <w:rsid w:val="009B0C3C"/>
    <w:rsid w:val="009B0EE5"/>
    <w:rsid w:val="009B137B"/>
    <w:rsid w:val="009B140D"/>
    <w:rsid w:val="009B381C"/>
    <w:rsid w:val="009B4585"/>
    <w:rsid w:val="009B63DE"/>
    <w:rsid w:val="009B67D9"/>
    <w:rsid w:val="009B715C"/>
    <w:rsid w:val="009B75B8"/>
    <w:rsid w:val="009B7EA2"/>
    <w:rsid w:val="009C0518"/>
    <w:rsid w:val="009C057B"/>
    <w:rsid w:val="009C0D96"/>
    <w:rsid w:val="009C1BC3"/>
    <w:rsid w:val="009C2439"/>
    <w:rsid w:val="009C2594"/>
    <w:rsid w:val="009C2878"/>
    <w:rsid w:val="009C2DF5"/>
    <w:rsid w:val="009C5461"/>
    <w:rsid w:val="009C5D3A"/>
    <w:rsid w:val="009C6CD8"/>
    <w:rsid w:val="009C7F5C"/>
    <w:rsid w:val="009D1B09"/>
    <w:rsid w:val="009D2EE8"/>
    <w:rsid w:val="009D45C5"/>
    <w:rsid w:val="009D5316"/>
    <w:rsid w:val="009D5FEF"/>
    <w:rsid w:val="009D6029"/>
    <w:rsid w:val="009E1488"/>
    <w:rsid w:val="009E39A4"/>
    <w:rsid w:val="009E5ECA"/>
    <w:rsid w:val="009E61F7"/>
    <w:rsid w:val="009E6A47"/>
    <w:rsid w:val="009E7DBA"/>
    <w:rsid w:val="009F00A5"/>
    <w:rsid w:val="009F14EA"/>
    <w:rsid w:val="009F1AC6"/>
    <w:rsid w:val="009F3676"/>
    <w:rsid w:val="009F48FE"/>
    <w:rsid w:val="009F5539"/>
    <w:rsid w:val="009F66E7"/>
    <w:rsid w:val="009F71C1"/>
    <w:rsid w:val="00A005E7"/>
    <w:rsid w:val="00A00683"/>
    <w:rsid w:val="00A0207F"/>
    <w:rsid w:val="00A039D9"/>
    <w:rsid w:val="00A07BED"/>
    <w:rsid w:val="00A10174"/>
    <w:rsid w:val="00A101ED"/>
    <w:rsid w:val="00A103EF"/>
    <w:rsid w:val="00A10656"/>
    <w:rsid w:val="00A11376"/>
    <w:rsid w:val="00A119E8"/>
    <w:rsid w:val="00A13DBF"/>
    <w:rsid w:val="00A14571"/>
    <w:rsid w:val="00A14E0E"/>
    <w:rsid w:val="00A1531B"/>
    <w:rsid w:val="00A173C2"/>
    <w:rsid w:val="00A17BE0"/>
    <w:rsid w:val="00A21256"/>
    <w:rsid w:val="00A24101"/>
    <w:rsid w:val="00A26761"/>
    <w:rsid w:val="00A26F55"/>
    <w:rsid w:val="00A276E7"/>
    <w:rsid w:val="00A27713"/>
    <w:rsid w:val="00A31008"/>
    <w:rsid w:val="00A32476"/>
    <w:rsid w:val="00A34864"/>
    <w:rsid w:val="00A355E0"/>
    <w:rsid w:val="00A3600F"/>
    <w:rsid w:val="00A411B0"/>
    <w:rsid w:val="00A413DA"/>
    <w:rsid w:val="00A41773"/>
    <w:rsid w:val="00A41FC4"/>
    <w:rsid w:val="00A43569"/>
    <w:rsid w:val="00A43648"/>
    <w:rsid w:val="00A43DF0"/>
    <w:rsid w:val="00A43F3E"/>
    <w:rsid w:val="00A44199"/>
    <w:rsid w:val="00A44FA4"/>
    <w:rsid w:val="00A452E7"/>
    <w:rsid w:val="00A45ABD"/>
    <w:rsid w:val="00A478D2"/>
    <w:rsid w:val="00A5016E"/>
    <w:rsid w:val="00A51182"/>
    <w:rsid w:val="00A5217D"/>
    <w:rsid w:val="00A52B15"/>
    <w:rsid w:val="00A539D6"/>
    <w:rsid w:val="00A53C80"/>
    <w:rsid w:val="00A55AC5"/>
    <w:rsid w:val="00A576BC"/>
    <w:rsid w:val="00A576D2"/>
    <w:rsid w:val="00A57BF7"/>
    <w:rsid w:val="00A6057B"/>
    <w:rsid w:val="00A61A00"/>
    <w:rsid w:val="00A621B5"/>
    <w:rsid w:val="00A63EAD"/>
    <w:rsid w:val="00A663E9"/>
    <w:rsid w:val="00A664DB"/>
    <w:rsid w:val="00A66BB4"/>
    <w:rsid w:val="00A71541"/>
    <w:rsid w:val="00A715AD"/>
    <w:rsid w:val="00A71DD0"/>
    <w:rsid w:val="00A71F4C"/>
    <w:rsid w:val="00A71FF2"/>
    <w:rsid w:val="00A72FFB"/>
    <w:rsid w:val="00A737CC"/>
    <w:rsid w:val="00A74BAC"/>
    <w:rsid w:val="00A74BCD"/>
    <w:rsid w:val="00A75F6F"/>
    <w:rsid w:val="00A76DFF"/>
    <w:rsid w:val="00A777FC"/>
    <w:rsid w:val="00A77BBF"/>
    <w:rsid w:val="00A81386"/>
    <w:rsid w:val="00A82A98"/>
    <w:rsid w:val="00A84FDB"/>
    <w:rsid w:val="00A8623B"/>
    <w:rsid w:val="00A86DF9"/>
    <w:rsid w:val="00A873C5"/>
    <w:rsid w:val="00A87708"/>
    <w:rsid w:val="00A87FA4"/>
    <w:rsid w:val="00A906DF"/>
    <w:rsid w:val="00A906E7"/>
    <w:rsid w:val="00A909A2"/>
    <w:rsid w:val="00A912BC"/>
    <w:rsid w:val="00A93617"/>
    <w:rsid w:val="00A9428D"/>
    <w:rsid w:val="00A946CF"/>
    <w:rsid w:val="00A96630"/>
    <w:rsid w:val="00A96F01"/>
    <w:rsid w:val="00A97089"/>
    <w:rsid w:val="00AA21E1"/>
    <w:rsid w:val="00AA5251"/>
    <w:rsid w:val="00AA638D"/>
    <w:rsid w:val="00AA667B"/>
    <w:rsid w:val="00AB01A4"/>
    <w:rsid w:val="00AB094A"/>
    <w:rsid w:val="00AB10D6"/>
    <w:rsid w:val="00AB1174"/>
    <w:rsid w:val="00AB188C"/>
    <w:rsid w:val="00AB2107"/>
    <w:rsid w:val="00AB30BB"/>
    <w:rsid w:val="00AB31AB"/>
    <w:rsid w:val="00AB39DA"/>
    <w:rsid w:val="00AB3C61"/>
    <w:rsid w:val="00AB4670"/>
    <w:rsid w:val="00AB51B8"/>
    <w:rsid w:val="00AB5541"/>
    <w:rsid w:val="00AB5D87"/>
    <w:rsid w:val="00AB646E"/>
    <w:rsid w:val="00AB7F14"/>
    <w:rsid w:val="00AC1051"/>
    <w:rsid w:val="00AC1500"/>
    <w:rsid w:val="00AC1C04"/>
    <w:rsid w:val="00AC1D11"/>
    <w:rsid w:val="00AD1A92"/>
    <w:rsid w:val="00AD3F5B"/>
    <w:rsid w:val="00AD6352"/>
    <w:rsid w:val="00AD70EC"/>
    <w:rsid w:val="00AD7481"/>
    <w:rsid w:val="00AD7DDF"/>
    <w:rsid w:val="00AE02B5"/>
    <w:rsid w:val="00AE0DB7"/>
    <w:rsid w:val="00AE20E1"/>
    <w:rsid w:val="00AE49BB"/>
    <w:rsid w:val="00AE5568"/>
    <w:rsid w:val="00AE70FE"/>
    <w:rsid w:val="00AE7715"/>
    <w:rsid w:val="00AF0107"/>
    <w:rsid w:val="00AF0F2F"/>
    <w:rsid w:val="00AF156E"/>
    <w:rsid w:val="00AF1B39"/>
    <w:rsid w:val="00AF1FB6"/>
    <w:rsid w:val="00AF4326"/>
    <w:rsid w:val="00AF68EA"/>
    <w:rsid w:val="00AF6C85"/>
    <w:rsid w:val="00AF79AE"/>
    <w:rsid w:val="00B01134"/>
    <w:rsid w:val="00B032E7"/>
    <w:rsid w:val="00B03A03"/>
    <w:rsid w:val="00B051D1"/>
    <w:rsid w:val="00B059DA"/>
    <w:rsid w:val="00B061CA"/>
    <w:rsid w:val="00B06921"/>
    <w:rsid w:val="00B071F8"/>
    <w:rsid w:val="00B07E0B"/>
    <w:rsid w:val="00B10AE0"/>
    <w:rsid w:val="00B11E0F"/>
    <w:rsid w:val="00B14947"/>
    <w:rsid w:val="00B168C9"/>
    <w:rsid w:val="00B17A07"/>
    <w:rsid w:val="00B2000E"/>
    <w:rsid w:val="00B21B2F"/>
    <w:rsid w:val="00B253DF"/>
    <w:rsid w:val="00B26CC0"/>
    <w:rsid w:val="00B30369"/>
    <w:rsid w:val="00B311DD"/>
    <w:rsid w:val="00B3123A"/>
    <w:rsid w:val="00B31440"/>
    <w:rsid w:val="00B34BC8"/>
    <w:rsid w:val="00B35E53"/>
    <w:rsid w:val="00B36AB7"/>
    <w:rsid w:val="00B42DC6"/>
    <w:rsid w:val="00B42DF7"/>
    <w:rsid w:val="00B43504"/>
    <w:rsid w:val="00B437F0"/>
    <w:rsid w:val="00B45869"/>
    <w:rsid w:val="00B46851"/>
    <w:rsid w:val="00B4719F"/>
    <w:rsid w:val="00B50BF7"/>
    <w:rsid w:val="00B51E3F"/>
    <w:rsid w:val="00B527AA"/>
    <w:rsid w:val="00B53C6D"/>
    <w:rsid w:val="00B54325"/>
    <w:rsid w:val="00B54DF2"/>
    <w:rsid w:val="00B55198"/>
    <w:rsid w:val="00B569BB"/>
    <w:rsid w:val="00B578B5"/>
    <w:rsid w:val="00B57B2D"/>
    <w:rsid w:val="00B603A8"/>
    <w:rsid w:val="00B608D5"/>
    <w:rsid w:val="00B63011"/>
    <w:rsid w:val="00B631D7"/>
    <w:rsid w:val="00B63966"/>
    <w:rsid w:val="00B63FF9"/>
    <w:rsid w:val="00B64AC0"/>
    <w:rsid w:val="00B710A2"/>
    <w:rsid w:val="00B713F5"/>
    <w:rsid w:val="00B71599"/>
    <w:rsid w:val="00B72222"/>
    <w:rsid w:val="00B72CA2"/>
    <w:rsid w:val="00B731A3"/>
    <w:rsid w:val="00B73621"/>
    <w:rsid w:val="00B73E3F"/>
    <w:rsid w:val="00B740B4"/>
    <w:rsid w:val="00B7553A"/>
    <w:rsid w:val="00B75D15"/>
    <w:rsid w:val="00B7712E"/>
    <w:rsid w:val="00B80703"/>
    <w:rsid w:val="00B813D3"/>
    <w:rsid w:val="00B82B86"/>
    <w:rsid w:val="00B835BA"/>
    <w:rsid w:val="00B84581"/>
    <w:rsid w:val="00B845EF"/>
    <w:rsid w:val="00B85A3E"/>
    <w:rsid w:val="00B87A74"/>
    <w:rsid w:val="00B940DA"/>
    <w:rsid w:val="00B941F3"/>
    <w:rsid w:val="00B952C5"/>
    <w:rsid w:val="00B96289"/>
    <w:rsid w:val="00B96F1E"/>
    <w:rsid w:val="00B96F48"/>
    <w:rsid w:val="00B972FE"/>
    <w:rsid w:val="00BA2F39"/>
    <w:rsid w:val="00BA3B0F"/>
    <w:rsid w:val="00BA4406"/>
    <w:rsid w:val="00BA53FE"/>
    <w:rsid w:val="00BA7488"/>
    <w:rsid w:val="00BA7DC7"/>
    <w:rsid w:val="00BB0129"/>
    <w:rsid w:val="00BB0629"/>
    <w:rsid w:val="00BB1BE3"/>
    <w:rsid w:val="00BB1EF3"/>
    <w:rsid w:val="00BB4BE9"/>
    <w:rsid w:val="00BB618C"/>
    <w:rsid w:val="00BB6F4E"/>
    <w:rsid w:val="00BB78A5"/>
    <w:rsid w:val="00BB7E73"/>
    <w:rsid w:val="00BC1E34"/>
    <w:rsid w:val="00BC2F92"/>
    <w:rsid w:val="00BC3B6D"/>
    <w:rsid w:val="00BC647B"/>
    <w:rsid w:val="00BD21C4"/>
    <w:rsid w:val="00BD4A88"/>
    <w:rsid w:val="00BD4D08"/>
    <w:rsid w:val="00BD6422"/>
    <w:rsid w:val="00BE1AAC"/>
    <w:rsid w:val="00BE2556"/>
    <w:rsid w:val="00BE2C76"/>
    <w:rsid w:val="00BE2F26"/>
    <w:rsid w:val="00BE4003"/>
    <w:rsid w:val="00BE4BC6"/>
    <w:rsid w:val="00BE4F20"/>
    <w:rsid w:val="00BE68D8"/>
    <w:rsid w:val="00BE6C1B"/>
    <w:rsid w:val="00BF01E0"/>
    <w:rsid w:val="00BF1526"/>
    <w:rsid w:val="00BF176D"/>
    <w:rsid w:val="00BF335C"/>
    <w:rsid w:val="00BF40BC"/>
    <w:rsid w:val="00BF5E8E"/>
    <w:rsid w:val="00BF6067"/>
    <w:rsid w:val="00BF63AF"/>
    <w:rsid w:val="00BF6AE6"/>
    <w:rsid w:val="00BF6C70"/>
    <w:rsid w:val="00C01B40"/>
    <w:rsid w:val="00C01D6A"/>
    <w:rsid w:val="00C02116"/>
    <w:rsid w:val="00C04DAA"/>
    <w:rsid w:val="00C0557A"/>
    <w:rsid w:val="00C05708"/>
    <w:rsid w:val="00C05B52"/>
    <w:rsid w:val="00C066E8"/>
    <w:rsid w:val="00C069CA"/>
    <w:rsid w:val="00C06CB4"/>
    <w:rsid w:val="00C07CD9"/>
    <w:rsid w:val="00C10825"/>
    <w:rsid w:val="00C13D8B"/>
    <w:rsid w:val="00C179B0"/>
    <w:rsid w:val="00C17D42"/>
    <w:rsid w:val="00C17E06"/>
    <w:rsid w:val="00C200A7"/>
    <w:rsid w:val="00C204F6"/>
    <w:rsid w:val="00C20889"/>
    <w:rsid w:val="00C20916"/>
    <w:rsid w:val="00C22FF9"/>
    <w:rsid w:val="00C24D1E"/>
    <w:rsid w:val="00C263B6"/>
    <w:rsid w:val="00C30B57"/>
    <w:rsid w:val="00C32809"/>
    <w:rsid w:val="00C32C33"/>
    <w:rsid w:val="00C3363D"/>
    <w:rsid w:val="00C3386A"/>
    <w:rsid w:val="00C350F8"/>
    <w:rsid w:val="00C3643E"/>
    <w:rsid w:val="00C37D8D"/>
    <w:rsid w:val="00C40200"/>
    <w:rsid w:val="00C4027B"/>
    <w:rsid w:val="00C40A6C"/>
    <w:rsid w:val="00C45E9A"/>
    <w:rsid w:val="00C50403"/>
    <w:rsid w:val="00C50B05"/>
    <w:rsid w:val="00C50BE7"/>
    <w:rsid w:val="00C51D15"/>
    <w:rsid w:val="00C53356"/>
    <w:rsid w:val="00C53724"/>
    <w:rsid w:val="00C53CC8"/>
    <w:rsid w:val="00C54F5E"/>
    <w:rsid w:val="00C55EB0"/>
    <w:rsid w:val="00C56478"/>
    <w:rsid w:val="00C619B3"/>
    <w:rsid w:val="00C61CE0"/>
    <w:rsid w:val="00C623AD"/>
    <w:rsid w:val="00C63017"/>
    <w:rsid w:val="00C63BCF"/>
    <w:rsid w:val="00C6786C"/>
    <w:rsid w:val="00C703EF"/>
    <w:rsid w:val="00C764CE"/>
    <w:rsid w:val="00C7719D"/>
    <w:rsid w:val="00C77287"/>
    <w:rsid w:val="00C8098F"/>
    <w:rsid w:val="00C80A8C"/>
    <w:rsid w:val="00C84262"/>
    <w:rsid w:val="00C85797"/>
    <w:rsid w:val="00C861C1"/>
    <w:rsid w:val="00C866AF"/>
    <w:rsid w:val="00C8694D"/>
    <w:rsid w:val="00C87375"/>
    <w:rsid w:val="00C8799C"/>
    <w:rsid w:val="00C91146"/>
    <w:rsid w:val="00C91859"/>
    <w:rsid w:val="00C9228C"/>
    <w:rsid w:val="00C922AF"/>
    <w:rsid w:val="00C9504E"/>
    <w:rsid w:val="00C96995"/>
    <w:rsid w:val="00CA08D9"/>
    <w:rsid w:val="00CA10EF"/>
    <w:rsid w:val="00CA1485"/>
    <w:rsid w:val="00CA2953"/>
    <w:rsid w:val="00CA2E05"/>
    <w:rsid w:val="00CA4E70"/>
    <w:rsid w:val="00CA698E"/>
    <w:rsid w:val="00CB0B47"/>
    <w:rsid w:val="00CB3B53"/>
    <w:rsid w:val="00CB4FC8"/>
    <w:rsid w:val="00CB5005"/>
    <w:rsid w:val="00CB7720"/>
    <w:rsid w:val="00CC0F5D"/>
    <w:rsid w:val="00CC1CD1"/>
    <w:rsid w:val="00CC35A5"/>
    <w:rsid w:val="00CC5546"/>
    <w:rsid w:val="00CC59F7"/>
    <w:rsid w:val="00CC6B47"/>
    <w:rsid w:val="00CD116E"/>
    <w:rsid w:val="00CD19F0"/>
    <w:rsid w:val="00CD2C72"/>
    <w:rsid w:val="00CD5331"/>
    <w:rsid w:val="00CD559A"/>
    <w:rsid w:val="00CD56EA"/>
    <w:rsid w:val="00CD586C"/>
    <w:rsid w:val="00CD6D2A"/>
    <w:rsid w:val="00CE2D4E"/>
    <w:rsid w:val="00CE4114"/>
    <w:rsid w:val="00CE63F9"/>
    <w:rsid w:val="00CE6849"/>
    <w:rsid w:val="00CF0B9D"/>
    <w:rsid w:val="00CF0F63"/>
    <w:rsid w:val="00CF2174"/>
    <w:rsid w:val="00CF2214"/>
    <w:rsid w:val="00CF24EF"/>
    <w:rsid w:val="00CF2F65"/>
    <w:rsid w:val="00CF6AF8"/>
    <w:rsid w:val="00CF7D87"/>
    <w:rsid w:val="00D0194A"/>
    <w:rsid w:val="00D03095"/>
    <w:rsid w:val="00D0386B"/>
    <w:rsid w:val="00D04399"/>
    <w:rsid w:val="00D046AD"/>
    <w:rsid w:val="00D058A0"/>
    <w:rsid w:val="00D06365"/>
    <w:rsid w:val="00D06C17"/>
    <w:rsid w:val="00D06FDC"/>
    <w:rsid w:val="00D10634"/>
    <w:rsid w:val="00D10BF3"/>
    <w:rsid w:val="00D1196A"/>
    <w:rsid w:val="00D11DBB"/>
    <w:rsid w:val="00D13D4B"/>
    <w:rsid w:val="00D141EC"/>
    <w:rsid w:val="00D16E60"/>
    <w:rsid w:val="00D20029"/>
    <w:rsid w:val="00D229CE"/>
    <w:rsid w:val="00D23CFC"/>
    <w:rsid w:val="00D2401C"/>
    <w:rsid w:val="00D24B0E"/>
    <w:rsid w:val="00D25899"/>
    <w:rsid w:val="00D26011"/>
    <w:rsid w:val="00D30AC4"/>
    <w:rsid w:val="00D3167F"/>
    <w:rsid w:val="00D31DFD"/>
    <w:rsid w:val="00D35422"/>
    <w:rsid w:val="00D3613E"/>
    <w:rsid w:val="00D3732B"/>
    <w:rsid w:val="00D4074B"/>
    <w:rsid w:val="00D4624C"/>
    <w:rsid w:val="00D46A0D"/>
    <w:rsid w:val="00D46F41"/>
    <w:rsid w:val="00D5187C"/>
    <w:rsid w:val="00D52926"/>
    <w:rsid w:val="00D53153"/>
    <w:rsid w:val="00D553FB"/>
    <w:rsid w:val="00D55D47"/>
    <w:rsid w:val="00D564A7"/>
    <w:rsid w:val="00D565AF"/>
    <w:rsid w:val="00D571D5"/>
    <w:rsid w:val="00D57636"/>
    <w:rsid w:val="00D576B0"/>
    <w:rsid w:val="00D60979"/>
    <w:rsid w:val="00D62AE3"/>
    <w:rsid w:val="00D62E39"/>
    <w:rsid w:val="00D63855"/>
    <w:rsid w:val="00D63F25"/>
    <w:rsid w:val="00D6493A"/>
    <w:rsid w:val="00D64D5A"/>
    <w:rsid w:val="00D65677"/>
    <w:rsid w:val="00D66A1F"/>
    <w:rsid w:val="00D66B9F"/>
    <w:rsid w:val="00D676D9"/>
    <w:rsid w:val="00D70681"/>
    <w:rsid w:val="00D727FE"/>
    <w:rsid w:val="00D72C68"/>
    <w:rsid w:val="00D7305A"/>
    <w:rsid w:val="00D7374C"/>
    <w:rsid w:val="00D76BD8"/>
    <w:rsid w:val="00D77F1D"/>
    <w:rsid w:val="00D81E42"/>
    <w:rsid w:val="00D83662"/>
    <w:rsid w:val="00D83A7D"/>
    <w:rsid w:val="00D863DE"/>
    <w:rsid w:val="00D86D55"/>
    <w:rsid w:val="00D87499"/>
    <w:rsid w:val="00D91706"/>
    <w:rsid w:val="00D92C29"/>
    <w:rsid w:val="00D95208"/>
    <w:rsid w:val="00D959DA"/>
    <w:rsid w:val="00D961B6"/>
    <w:rsid w:val="00D96BD4"/>
    <w:rsid w:val="00DA1648"/>
    <w:rsid w:val="00DA227C"/>
    <w:rsid w:val="00DA42B3"/>
    <w:rsid w:val="00DA66E6"/>
    <w:rsid w:val="00DA6E9F"/>
    <w:rsid w:val="00DA7ADE"/>
    <w:rsid w:val="00DA7E0C"/>
    <w:rsid w:val="00DB09AE"/>
    <w:rsid w:val="00DB15A2"/>
    <w:rsid w:val="00DB2DF9"/>
    <w:rsid w:val="00DB5816"/>
    <w:rsid w:val="00DB6782"/>
    <w:rsid w:val="00DC0373"/>
    <w:rsid w:val="00DC1D62"/>
    <w:rsid w:val="00DC26BB"/>
    <w:rsid w:val="00DC305D"/>
    <w:rsid w:val="00DC43DE"/>
    <w:rsid w:val="00DC5CA2"/>
    <w:rsid w:val="00DC79C4"/>
    <w:rsid w:val="00DD0006"/>
    <w:rsid w:val="00DD120B"/>
    <w:rsid w:val="00DD29BA"/>
    <w:rsid w:val="00DD3256"/>
    <w:rsid w:val="00DD3B7F"/>
    <w:rsid w:val="00DD3C89"/>
    <w:rsid w:val="00DD5443"/>
    <w:rsid w:val="00DD5A47"/>
    <w:rsid w:val="00DD6A5B"/>
    <w:rsid w:val="00DE0932"/>
    <w:rsid w:val="00DE0D11"/>
    <w:rsid w:val="00DE2AA9"/>
    <w:rsid w:val="00DE366B"/>
    <w:rsid w:val="00DE463B"/>
    <w:rsid w:val="00DE5A52"/>
    <w:rsid w:val="00DE5D8D"/>
    <w:rsid w:val="00DF0750"/>
    <w:rsid w:val="00DF093D"/>
    <w:rsid w:val="00DF0D6C"/>
    <w:rsid w:val="00DF1174"/>
    <w:rsid w:val="00DF1336"/>
    <w:rsid w:val="00DF2415"/>
    <w:rsid w:val="00DF35EA"/>
    <w:rsid w:val="00DF5804"/>
    <w:rsid w:val="00DF701A"/>
    <w:rsid w:val="00E00857"/>
    <w:rsid w:val="00E00A22"/>
    <w:rsid w:val="00E026C7"/>
    <w:rsid w:val="00E0293D"/>
    <w:rsid w:val="00E03254"/>
    <w:rsid w:val="00E03801"/>
    <w:rsid w:val="00E05D7F"/>
    <w:rsid w:val="00E104B1"/>
    <w:rsid w:val="00E119F1"/>
    <w:rsid w:val="00E138D7"/>
    <w:rsid w:val="00E14C18"/>
    <w:rsid w:val="00E16316"/>
    <w:rsid w:val="00E16562"/>
    <w:rsid w:val="00E206CF"/>
    <w:rsid w:val="00E24DE9"/>
    <w:rsid w:val="00E256D3"/>
    <w:rsid w:val="00E259B5"/>
    <w:rsid w:val="00E25A47"/>
    <w:rsid w:val="00E31C63"/>
    <w:rsid w:val="00E31FD7"/>
    <w:rsid w:val="00E330C4"/>
    <w:rsid w:val="00E331C9"/>
    <w:rsid w:val="00E33273"/>
    <w:rsid w:val="00E34940"/>
    <w:rsid w:val="00E35C47"/>
    <w:rsid w:val="00E36F50"/>
    <w:rsid w:val="00E3702A"/>
    <w:rsid w:val="00E3790C"/>
    <w:rsid w:val="00E41DA2"/>
    <w:rsid w:val="00E430F7"/>
    <w:rsid w:val="00E44BAF"/>
    <w:rsid w:val="00E44D9E"/>
    <w:rsid w:val="00E45941"/>
    <w:rsid w:val="00E45F63"/>
    <w:rsid w:val="00E46A01"/>
    <w:rsid w:val="00E46E34"/>
    <w:rsid w:val="00E522A3"/>
    <w:rsid w:val="00E52EAA"/>
    <w:rsid w:val="00E530AF"/>
    <w:rsid w:val="00E54671"/>
    <w:rsid w:val="00E54DD7"/>
    <w:rsid w:val="00E55C8E"/>
    <w:rsid w:val="00E55ED1"/>
    <w:rsid w:val="00E57A5C"/>
    <w:rsid w:val="00E60F03"/>
    <w:rsid w:val="00E636DA"/>
    <w:rsid w:val="00E63E97"/>
    <w:rsid w:val="00E650C7"/>
    <w:rsid w:val="00E65A5B"/>
    <w:rsid w:val="00E70071"/>
    <w:rsid w:val="00E7030A"/>
    <w:rsid w:val="00E7125F"/>
    <w:rsid w:val="00E71F40"/>
    <w:rsid w:val="00E724BB"/>
    <w:rsid w:val="00E818D3"/>
    <w:rsid w:val="00E81B4C"/>
    <w:rsid w:val="00E83D38"/>
    <w:rsid w:val="00E8471E"/>
    <w:rsid w:val="00E86595"/>
    <w:rsid w:val="00E87BA2"/>
    <w:rsid w:val="00E9354E"/>
    <w:rsid w:val="00E93DBD"/>
    <w:rsid w:val="00E93ED9"/>
    <w:rsid w:val="00E95CD6"/>
    <w:rsid w:val="00EA236E"/>
    <w:rsid w:val="00EA466E"/>
    <w:rsid w:val="00EA557B"/>
    <w:rsid w:val="00EA6A08"/>
    <w:rsid w:val="00EB0C74"/>
    <w:rsid w:val="00EB1C88"/>
    <w:rsid w:val="00EB1CBB"/>
    <w:rsid w:val="00EB2339"/>
    <w:rsid w:val="00EB4CD3"/>
    <w:rsid w:val="00EB510E"/>
    <w:rsid w:val="00EB54B1"/>
    <w:rsid w:val="00EB603A"/>
    <w:rsid w:val="00EB6304"/>
    <w:rsid w:val="00EB667D"/>
    <w:rsid w:val="00EB6C9D"/>
    <w:rsid w:val="00EC39ED"/>
    <w:rsid w:val="00EC42B9"/>
    <w:rsid w:val="00EC45B8"/>
    <w:rsid w:val="00EC50A9"/>
    <w:rsid w:val="00EC5E0F"/>
    <w:rsid w:val="00ED08DE"/>
    <w:rsid w:val="00ED1458"/>
    <w:rsid w:val="00ED2416"/>
    <w:rsid w:val="00ED2D69"/>
    <w:rsid w:val="00ED30A8"/>
    <w:rsid w:val="00ED45DA"/>
    <w:rsid w:val="00ED4752"/>
    <w:rsid w:val="00ED534B"/>
    <w:rsid w:val="00ED7391"/>
    <w:rsid w:val="00ED7405"/>
    <w:rsid w:val="00EE0177"/>
    <w:rsid w:val="00EE0826"/>
    <w:rsid w:val="00EE1B88"/>
    <w:rsid w:val="00EE3C40"/>
    <w:rsid w:val="00EE3ED6"/>
    <w:rsid w:val="00EE42F5"/>
    <w:rsid w:val="00EE4668"/>
    <w:rsid w:val="00EE4AD6"/>
    <w:rsid w:val="00EE4BD5"/>
    <w:rsid w:val="00EE4C14"/>
    <w:rsid w:val="00EE5650"/>
    <w:rsid w:val="00EE585E"/>
    <w:rsid w:val="00EE6AC7"/>
    <w:rsid w:val="00EF29D8"/>
    <w:rsid w:val="00EF34EC"/>
    <w:rsid w:val="00EF4C84"/>
    <w:rsid w:val="00EF4E9E"/>
    <w:rsid w:val="00EF6A21"/>
    <w:rsid w:val="00EF7DF4"/>
    <w:rsid w:val="00F01C65"/>
    <w:rsid w:val="00F031AF"/>
    <w:rsid w:val="00F032FA"/>
    <w:rsid w:val="00F03BAE"/>
    <w:rsid w:val="00F03F80"/>
    <w:rsid w:val="00F04165"/>
    <w:rsid w:val="00F04DAB"/>
    <w:rsid w:val="00F060FB"/>
    <w:rsid w:val="00F06224"/>
    <w:rsid w:val="00F068BF"/>
    <w:rsid w:val="00F0712F"/>
    <w:rsid w:val="00F07E73"/>
    <w:rsid w:val="00F103A6"/>
    <w:rsid w:val="00F1216C"/>
    <w:rsid w:val="00F13FE1"/>
    <w:rsid w:val="00F145DA"/>
    <w:rsid w:val="00F159C7"/>
    <w:rsid w:val="00F15F1D"/>
    <w:rsid w:val="00F163B0"/>
    <w:rsid w:val="00F1740B"/>
    <w:rsid w:val="00F20CFF"/>
    <w:rsid w:val="00F20D96"/>
    <w:rsid w:val="00F229E1"/>
    <w:rsid w:val="00F24186"/>
    <w:rsid w:val="00F2475C"/>
    <w:rsid w:val="00F24E96"/>
    <w:rsid w:val="00F2562E"/>
    <w:rsid w:val="00F31995"/>
    <w:rsid w:val="00F330B8"/>
    <w:rsid w:val="00F34F82"/>
    <w:rsid w:val="00F354D3"/>
    <w:rsid w:val="00F35A36"/>
    <w:rsid w:val="00F35D1D"/>
    <w:rsid w:val="00F35E65"/>
    <w:rsid w:val="00F40359"/>
    <w:rsid w:val="00F40554"/>
    <w:rsid w:val="00F40DA4"/>
    <w:rsid w:val="00F42133"/>
    <w:rsid w:val="00F4275F"/>
    <w:rsid w:val="00F44FB6"/>
    <w:rsid w:val="00F47F7A"/>
    <w:rsid w:val="00F502E4"/>
    <w:rsid w:val="00F50F25"/>
    <w:rsid w:val="00F519CB"/>
    <w:rsid w:val="00F535DA"/>
    <w:rsid w:val="00F53FE6"/>
    <w:rsid w:val="00F5459D"/>
    <w:rsid w:val="00F56056"/>
    <w:rsid w:val="00F56C58"/>
    <w:rsid w:val="00F578AA"/>
    <w:rsid w:val="00F57D32"/>
    <w:rsid w:val="00F61DBC"/>
    <w:rsid w:val="00F63361"/>
    <w:rsid w:val="00F64C04"/>
    <w:rsid w:val="00F654D1"/>
    <w:rsid w:val="00F671D0"/>
    <w:rsid w:val="00F672E8"/>
    <w:rsid w:val="00F67770"/>
    <w:rsid w:val="00F7076E"/>
    <w:rsid w:val="00F7303C"/>
    <w:rsid w:val="00F73FC7"/>
    <w:rsid w:val="00F75019"/>
    <w:rsid w:val="00F80A85"/>
    <w:rsid w:val="00F840EE"/>
    <w:rsid w:val="00F84BF5"/>
    <w:rsid w:val="00F8599D"/>
    <w:rsid w:val="00F86457"/>
    <w:rsid w:val="00F86C48"/>
    <w:rsid w:val="00F8712C"/>
    <w:rsid w:val="00F875AB"/>
    <w:rsid w:val="00F905E2"/>
    <w:rsid w:val="00F91AEC"/>
    <w:rsid w:val="00F95743"/>
    <w:rsid w:val="00F96CF6"/>
    <w:rsid w:val="00F972CA"/>
    <w:rsid w:val="00F97594"/>
    <w:rsid w:val="00FA02AF"/>
    <w:rsid w:val="00FA05F1"/>
    <w:rsid w:val="00FA0CBC"/>
    <w:rsid w:val="00FA183F"/>
    <w:rsid w:val="00FA31C8"/>
    <w:rsid w:val="00FA38E6"/>
    <w:rsid w:val="00FA3F93"/>
    <w:rsid w:val="00FA4358"/>
    <w:rsid w:val="00FA7229"/>
    <w:rsid w:val="00FB2E48"/>
    <w:rsid w:val="00FB4BF2"/>
    <w:rsid w:val="00FB66EC"/>
    <w:rsid w:val="00FB7CB0"/>
    <w:rsid w:val="00FB7EE9"/>
    <w:rsid w:val="00FC06F1"/>
    <w:rsid w:val="00FC0E85"/>
    <w:rsid w:val="00FC333E"/>
    <w:rsid w:val="00FC3D7A"/>
    <w:rsid w:val="00FC3E4C"/>
    <w:rsid w:val="00FC48AA"/>
    <w:rsid w:val="00FC4B05"/>
    <w:rsid w:val="00FC5028"/>
    <w:rsid w:val="00FC508A"/>
    <w:rsid w:val="00FC5161"/>
    <w:rsid w:val="00FC5B2A"/>
    <w:rsid w:val="00FD0D9D"/>
    <w:rsid w:val="00FD21C5"/>
    <w:rsid w:val="00FD2B58"/>
    <w:rsid w:val="00FD39DA"/>
    <w:rsid w:val="00FD42E0"/>
    <w:rsid w:val="00FD71BC"/>
    <w:rsid w:val="00FE275E"/>
    <w:rsid w:val="00FE2951"/>
    <w:rsid w:val="00FE3A5B"/>
    <w:rsid w:val="00FE4340"/>
    <w:rsid w:val="00FE5B6E"/>
    <w:rsid w:val="00FE5D22"/>
    <w:rsid w:val="00FE5F76"/>
    <w:rsid w:val="00FE607B"/>
    <w:rsid w:val="00FE66F6"/>
    <w:rsid w:val="00FE77C1"/>
    <w:rsid w:val="00FF0090"/>
    <w:rsid w:val="00FF0374"/>
    <w:rsid w:val="00FF114D"/>
    <w:rsid w:val="00FF136C"/>
    <w:rsid w:val="00FF2142"/>
    <w:rsid w:val="00FF21D8"/>
    <w:rsid w:val="00FF285A"/>
    <w:rsid w:val="00FF297F"/>
    <w:rsid w:val="00FF33DC"/>
    <w:rsid w:val="00FF4576"/>
    <w:rsid w:val="00FF474B"/>
    <w:rsid w:val="00FF57CA"/>
    <w:rsid w:val="00FF6714"/>
    <w:rsid w:val="00FF69BA"/>
    <w:rsid w:val="00FF6BAD"/>
    <w:rsid w:val="00FF7254"/>
    <w:rsid w:val="00FF7680"/>
    <w:rsid w:val="00FF7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FC1738"/>
  <w15:docId w15:val="{E178D423-54E7-4DD4-8AE9-F380A4C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96183"/>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96183"/>
    <w:pPr>
      <w:keepNext/>
      <w:jc w:val="center"/>
      <w:outlineLvl w:val="0"/>
    </w:pPr>
    <w:rPr>
      <w:b/>
      <w:bCs/>
      <w:sz w:val="28"/>
      <w:lang w:val="lv-LV"/>
    </w:rPr>
  </w:style>
  <w:style w:type="paragraph" w:styleId="Virsraksts2">
    <w:name w:val="heading 2"/>
    <w:basedOn w:val="Parasts"/>
    <w:next w:val="Parasts"/>
    <w:link w:val="Virsraksts2Rakstz"/>
    <w:qFormat/>
    <w:rsid w:val="00296183"/>
    <w:pPr>
      <w:keepNext/>
      <w:outlineLvl w:val="1"/>
    </w:pPr>
    <w:rPr>
      <w:sz w:val="28"/>
      <w:lang w:val="lv-LV"/>
    </w:rPr>
  </w:style>
  <w:style w:type="paragraph" w:styleId="Virsraksts3">
    <w:name w:val="heading 3"/>
    <w:basedOn w:val="Parasts"/>
    <w:next w:val="Parasts"/>
    <w:link w:val="Virsraksts3Rakstz"/>
    <w:qFormat/>
    <w:rsid w:val="00296183"/>
    <w:pPr>
      <w:keepNext/>
      <w:jc w:val="center"/>
      <w:outlineLvl w:val="2"/>
    </w:pPr>
    <w:rPr>
      <w:sz w:val="28"/>
      <w:lang w:val="lv-LV"/>
    </w:rPr>
  </w:style>
  <w:style w:type="paragraph" w:styleId="Virsraksts4">
    <w:name w:val="heading 4"/>
    <w:basedOn w:val="Parasts"/>
    <w:next w:val="Parasts"/>
    <w:link w:val="Virsraksts4Rakstz"/>
    <w:qFormat/>
    <w:rsid w:val="00296183"/>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6183"/>
    <w:rPr>
      <w:rFonts w:ascii="Times New Roman" w:eastAsia="Times New Roman" w:hAnsi="Times New Roman" w:cs="Times New Roman"/>
      <w:b/>
      <w:bCs/>
      <w:sz w:val="28"/>
      <w:szCs w:val="24"/>
      <w:lang w:val="lv-LV"/>
    </w:rPr>
  </w:style>
  <w:style w:type="character" w:customStyle="1" w:styleId="Virsraksts2Rakstz">
    <w:name w:val="Virsraksts 2 Rakstz."/>
    <w:basedOn w:val="Noklusjumarindkopasfonts"/>
    <w:link w:val="Virsraksts2"/>
    <w:rsid w:val="00296183"/>
    <w:rPr>
      <w:rFonts w:ascii="Times New Roman" w:eastAsia="Times New Roman" w:hAnsi="Times New Roman" w:cs="Times New Roman"/>
      <w:sz w:val="28"/>
      <w:szCs w:val="24"/>
      <w:lang w:val="lv-LV"/>
    </w:rPr>
  </w:style>
  <w:style w:type="character" w:customStyle="1" w:styleId="Virsraksts3Rakstz">
    <w:name w:val="Virsraksts 3 Rakstz."/>
    <w:basedOn w:val="Noklusjumarindkopasfonts"/>
    <w:link w:val="Virsraksts3"/>
    <w:rsid w:val="00296183"/>
    <w:rPr>
      <w:rFonts w:ascii="Times New Roman" w:eastAsia="Times New Roman" w:hAnsi="Times New Roman" w:cs="Times New Roman"/>
      <w:sz w:val="28"/>
      <w:szCs w:val="24"/>
      <w:lang w:val="lv-LV"/>
    </w:rPr>
  </w:style>
  <w:style w:type="character" w:customStyle="1" w:styleId="Virsraksts4Rakstz">
    <w:name w:val="Virsraksts 4 Rakstz."/>
    <w:basedOn w:val="Noklusjumarindkopasfonts"/>
    <w:link w:val="Virsraksts4"/>
    <w:rsid w:val="00296183"/>
    <w:rPr>
      <w:rFonts w:ascii="Times New Roman" w:eastAsia="Times New Roman" w:hAnsi="Times New Roman" w:cs="Times New Roman"/>
      <w:sz w:val="28"/>
      <w:szCs w:val="24"/>
      <w:lang w:val="lv-LV"/>
    </w:rPr>
  </w:style>
  <w:style w:type="paragraph" w:styleId="Pamattekstsaratkpi">
    <w:name w:val="Body Text Indent"/>
    <w:basedOn w:val="Parasts"/>
    <w:link w:val="PamattekstsaratkpiRakstz"/>
    <w:rsid w:val="00296183"/>
    <w:pPr>
      <w:ind w:left="7"/>
    </w:pPr>
    <w:rPr>
      <w:sz w:val="28"/>
      <w:lang w:val="lv-LV"/>
    </w:rPr>
  </w:style>
  <w:style w:type="character" w:customStyle="1" w:styleId="PamattekstsaratkpiRakstz">
    <w:name w:val="Pamatteksts ar atkāpi Rakstz."/>
    <w:basedOn w:val="Noklusjumarindkopasfonts"/>
    <w:link w:val="Pamattekstsaratkpi"/>
    <w:rsid w:val="00296183"/>
    <w:rPr>
      <w:rFonts w:ascii="Times New Roman" w:eastAsia="Times New Roman" w:hAnsi="Times New Roman" w:cs="Times New Roman"/>
      <w:sz w:val="28"/>
      <w:szCs w:val="24"/>
      <w:lang w:val="lv-LV"/>
    </w:rPr>
  </w:style>
  <w:style w:type="paragraph" w:customStyle="1" w:styleId="naisc">
    <w:name w:val="naisc"/>
    <w:basedOn w:val="Parasts"/>
    <w:rsid w:val="00296183"/>
    <w:pPr>
      <w:spacing w:before="100" w:beforeAutospacing="1" w:after="100" w:afterAutospacing="1"/>
      <w:jc w:val="center"/>
    </w:pPr>
    <w:rPr>
      <w:rFonts w:eastAsia="Arial Unicode MS"/>
      <w:sz w:val="26"/>
      <w:szCs w:val="26"/>
    </w:rPr>
  </w:style>
  <w:style w:type="paragraph" w:customStyle="1" w:styleId="naisf">
    <w:name w:val="naisf"/>
    <w:basedOn w:val="Parasts"/>
    <w:rsid w:val="00296183"/>
    <w:pPr>
      <w:spacing w:before="100" w:beforeAutospacing="1" w:after="100" w:afterAutospacing="1"/>
      <w:jc w:val="both"/>
    </w:pPr>
    <w:rPr>
      <w:rFonts w:eastAsia="Arial Unicode MS"/>
    </w:rPr>
  </w:style>
  <w:style w:type="paragraph" w:styleId="Paraststmeklis">
    <w:name w:val="Normal (Web)"/>
    <w:basedOn w:val="Parasts"/>
    <w:uiPriority w:val="99"/>
    <w:rsid w:val="00296183"/>
    <w:pPr>
      <w:spacing w:before="100" w:beforeAutospacing="1" w:after="100" w:afterAutospacing="1"/>
    </w:pPr>
    <w:rPr>
      <w:rFonts w:eastAsia="Arial Unicode MS"/>
    </w:rPr>
  </w:style>
  <w:style w:type="paragraph" w:styleId="Kjene">
    <w:name w:val="footer"/>
    <w:basedOn w:val="Parasts"/>
    <w:link w:val="KjeneRakstz"/>
    <w:rsid w:val="00296183"/>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rsid w:val="00296183"/>
    <w:rPr>
      <w:rFonts w:ascii="RimTimes" w:eastAsia="Times New Roman" w:hAnsi="RimTimes" w:cs="Times New Roman"/>
      <w:sz w:val="28"/>
      <w:szCs w:val="20"/>
      <w:lang w:val="lv-LV"/>
    </w:rPr>
  </w:style>
  <w:style w:type="character" w:styleId="Komentraatsauce">
    <w:name w:val="annotation reference"/>
    <w:basedOn w:val="Noklusjumarindkopasfonts"/>
    <w:uiPriority w:val="99"/>
    <w:semiHidden/>
    <w:rsid w:val="00296183"/>
    <w:rPr>
      <w:sz w:val="16"/>
      <w:szCs w:val="16"/>
    </w:rPr>
  </w:style>
  <w:style w:type="paragraph" w:customStyle="1" w:styleId="naislab">
    <w:name w:val="naislab"/>
    <w:basedOn w:val="Parasts"/>
    <w:rsid w:val="00296183"/>
    <w:pPr>
      <w:spacing w:before="100" w:beforeAutospacing="1" w:after="100" w:afterAutospacing="1"/>
      <w:jc w:val="right"/>
    </w:pPr>
    <w:rPr>
      <w:rFonts w:eastAsia="Arial Unicode MS"/>
    </w:rPr>
  </w:style>
  <w:style w:type="paragraph" w:styleId="Galvene">
    <w:name w:val="header"/>
    <w:basedOn w:val="Parasts"/>
    <w:link w:val="GalveneRakstz"/>
    <w:rsid w:val="00296183"/>
    <w:pPr>
      <w:tabs>
        <w:tab w:val="center" w:pos="4153"/>
        <w:tab w:val="right" w:pos="8306"/>
      </w:tabs>
    </w:pPr>
  </w:style>
  <w:style w:type="character" w:customStyle="1" w:styleId="GalveneRakstz">
    <w:name w:val="Galvene Rakstz."/>
    <w:basedOn w:val="Noklusjumarindkopasfonts"/>
    <w:link w:val="Galvene"/>
    <w:rsid w:val="00296183"/>
    <w:rPr>
      <w:rFonts w:ascii="Times New Roman" w:eastAsia="Times New Roman" w:hAnsi="Times New Roman" w:cs="Times New Roman"/>
      <w:sz w:val="24"/>
      <w:szCs w:val="24"/>
      <w:lang w:val="en-GB"/>
    </w:rPr>
  </w:style>
  <w:style w:type="character" w:styleId="Lappusesnumurs">
    <w:name w:val="page number"/>
    <w:basedOn w:val="Noklusjumarindkopasfonts"/>
    <w:rsid w:val="00296183"/>
  </w:style>
  <w:style w:type="paragraph" w:styleId="Komentrateksts">
    <w:name w:val="annotation text"/>
    <w:basedOn w:val="Parasts"/>
    <w:link w:val="KomentratekstsRakstz"/>
    <w:uiPriority w:val="99"/>
    <w:rsid w:val="00296183"/>
    <w:rPr>
      <w:sz w:val="20"/>
      <w:szCs w:val="20"/>
    </w:rPr>
  </w:style>
  <w:style w:type="character" w:customStyle="1" w:styleId="KomentratekstsRakstz">
    <w:name w:val="Komentāra teksts Rakstz."/>
    <w:basedOn w:val="Noklusjumarindkopasfonts"/>
    <w:link w:val="Komentrateksts"/>
    <w:uiPriority w:val="99"/>
    <w:rsid w:val="00296183"/>
    <w:rPr>
      <w:rFonts w:ascii="Times New Roman" w:eastAsia="Times New Roman" w:hAnsi="Times New Roman" w:cs="Times New Roman"/>
      <w:sz w:val="20"/>
      <w:szCs w:val="20"/>
      <w:lang w:val="en-GB"/>
    </w:rPr>
  </w:style>
  <w:style w:type="paragraph" w:customStyle="1" w:styleId="naiskr">
    <w:name w:val="naiskr"/>
    <w:basedOn w:val="Parasts"/>
    <w:rsid w:val="00296183"/>
    <w:pPr>
      <w:spacing w:before="100" w:beforeAutospacing="1" w:after="100" w:afterAutospacing="1"/>
    </w:pPr>
    <w:rPr>
      <w:lang w:val="lv-LV" w:eastAsia="lv-LV"/>
    </w:rPr>
  </w:style>
  <w:style w:type="paragraph" w:styleId="Balonteksts">
    <w:name w:val="Balloon Text"/>
    <w:basedOn w:val="Parasts"/>
    <w:link w:val="BalontekstsRakstz"/>
    <w:semiHidden/>
    <w:rsid w:val="00296183"/>
    <w:rPr>
      <w:rFonts w:ascii="Tahoma" w:hAnsi="Tahoma" w:cs="Tahoma"/>
      <w:sz w:val="16"/>
      <w:szCs w:val="16"/>
    </w:rPr>
  </w:style>
  <w:style w:type="character" w:customStyle="1" w:styleId="BalontekstsRakstz">
    <w:name w:val="Balonteksts Rakstz."/>
    <w:basedOn w:val="Noklusjumarindkopasfonts"/>
    <w:link w:val="Balonteksts"/>
    <w:semiHidden/>
    <w:rsid w:val="00296183"/>
    <w:rPr>
      <w:rFonts w:ascii="Tahoma" w:eastAsia="Times New Roman" w:hAnsi="Tahoma" w:cs="Tahoma"/>
      <w:sz w:val="16"/>
      <w:szCs w:val="16"/>
      <w:lang w:val="en-GB"/>
    </w:rPr>
  </w:style>
  <w:style w:type="paragraph" w:customStyle="1" w:styleId="CharChar">
    <w:name w:val="Char Char"/>
    <w:basedOn w:val="Parasts"/>
    <w:rsid w:val="00296183"/>
    <w:rPr>
      <w:lang w:val="pl-PL" w:eastAsia="pl-PL"/>
    </w:rPr>
  </w:style>
  <w:style w:type="paragraph" w:customStyle="1" w:styleId="RakstzRakstzRakstzCharCharRakstzRakstzCharChar">
    <w:name w:val="Rakstz. Rakstz. Rakstz. Char Char Rakstz. Rakstz. Char Char"/>
    <w:basedOn w:val="Parasts"/>
    <w:rsid w:val="00296183"/>
    <w:pPr>
      <w:spacing w:before="40"/>
    </w:pPr>
    <w:rPr>
      <w:lang w:val="pl-PL" w:eastAsia="pl-PL"/>
    </w:rPr>
  </w:style>
  <w:style w:type="paragraph" w:styleId="Pamatteksts2">
    <w:name w:val="Body Text 2"/>
    <w:basedOn w:val="Parasts"/>
    <w:link w:val="Pamatteksts2Rakstz"/>
    <w:rsid w:val="00296183"/>
    <w:pPr>
      <w:spacing w:after="120" w:line="480" w:lineRule="auto"/>
    </w:pPr>
    <w:rPr>
      <w:sz w:val="28"/>
      <w:szCs w:val="20"/>
      <w:lang w:val="lv-LV" w:eastAsia="lv-LV"/>
    </w:rPr>
  </w:style>
  <w:style w:type="character" w:customStyle="1" w:styleId="Pamatteksts2Rakstz">
    <w:name w:val="Pamatteksts 2 Rakstz."/>
    <w:basedOn w:val="Noklusjumarindkopasfonts"/>
    <w:link w:val="Pamatteksts2"/>
    <w:rsid w:val="00296183"/>
    <w:rPr>
      <w:rFonts w:ascii="Times New Roman" w:eastAsia="Times New Roman" w:hAnsi="Times New Roman" w:cs="Times New Roman"/>
      <w:sz w:val="28"/>
      <w:szCs w:val="20"/>
      <w:lang w:val="lv-LV" w:eastAsia="lv-LV"/>
    </w:rPr>
  </w:style>
  <w:style w:type="paragraph" w:styleId="Komentratma">
    <w:name w:val="annotation subject"/>
    <w:basedOn w:val="Komentrateksts"/>
    <w:next w:val="Komentrateksts"/>
    <w:link w:val="KomentratmaRakstz"/>
    <w:semiHidden/>
    <w:rsid w:val="00296183"/>
    <w:rPr>
      <w:b/>
      <w:bCs/>
    </w:rPr>
  </w:style>
  <w:style w:type="character" w:customStyle="1" w:styleId="KomentratmaRakstz">
    <w:name w:val="Komentāra tēma Rakstz."/>
    <w:basedOn w:val="KomentratekstsRakstz"/>
    <w:link w:val="Komentratma"/>
    <w:semiHidden/>
    <w:rsid w:val="00296183"/>
    <w:rPr>
      <w:rFonts w:ascii="Times New Roman" w:eastAsia="Times New Roman" w:hAnsi="Times New Roman" w:cs="Times New Roman"/>
      <w:b/>
      <w:bCs/>
      <w:sz w:val="20"/>
      <w:szCs w:val="20"/>
      <w:lang w:val="en-GB"/>
    </w:rPr>
  </w:style>
  <w:style w:type="character" w:styleId="Hipersaite">
    <w:name w:val="Hyperlink"/>
    <w:basedOn w:val="Noklusjumarindkopasfonts"/>
    <w:rsid w:val="00296183"/>
    <w:rPr>
      <w:color w:val="0000FF"/>
      <w:u w:val="single"/>
    </w:rPr>
  </w:style>
  <w:style w:type="paragraph" w:styleId="Nosaukums">
    <w:name w:val="Title"/>
    <w:basedOn w:val="Parasts"/>
    <w:link w:val="NosaukumsRakstz"/>
    <w:qFormat/>
    <w:rsid w:val="00296183"/>
    <w:pPr>
      <w:jc w:val="center"/>
    </w:pPr>
    <w:rPr>
      <w:b/>
      <w:sz w:val="28"/>
      <w:szCs w:val="20"/>
      <w:lang w:val="lv-LV"/>
    </w:rPr>
  </w:style>
  <w:style w:type="character" w:customStyle="1" w:styleId="NosaukumsRakstz">
    <w:name w:val="Nosaukums Rakstz."/>
    <w:basedOn w:val="Noklusjumarindkopasfonts"/>
    <w:link w:val="Nosaukums"/>
    <w:rsid w:val="00296183"/>
    <w:rPr>
      <w:rFonts w:ascii="Times New Roman" w:eastAsia="Times New Roman" w:hAnsi="Times New Roman" w:cs="Times New Roman"/>
      <w:b/>
      <w:sz w:val="28"/>
      <w:szCs w:val="20"/>
      <w:lang w:val="lv-LV"/>
    </w:rPr>
  </w:style>
  <w:style w:type="paragraph" w:styleId="Bezatstarpm">
    <w:name w:val="No Spacing"/>
    <w:uiPriority w:val="1"/>
    <w:qFormat/>
    <w:rsid w:val="00296183"/>
    <w:pPr>
      <w:spacing w:after="0" w:line="240" w:lineRule="auto"/>
    </w:pPr>
    <w:rPr>
      <w:rFonts w:ascii="Calibri" w:eastAsia="Calibri" w:hAnsi="Calibri" w:cs="Times New Roman"/>
      <w:lang w:val="lv-LV"/>
    </w:rPr>
  </w:style>
  <w:style w:type="paragraph" w:customStyle="1" w:styleId="naisnod">
    <w:name w:val="naisnod"/>
    <w:basedOn w:val="Parasts"/>
    <w:rsid w:val="00296183"/>
    <w:pPr>
      <w:spacing w:before="150" w:after="150"/>
      <w:jc w:val="center"/>
    </w:pPr>
    <w:rPr>
      <w:b/>
      <w:bCs/>
      <w:lang w:val="lv-LV" w:eastAsia="lv-LV"/>
    </w:rPr>
  </w:style>
  <w:style w:type="character" w:styleId="Izteiksmgs">
    <w:name w:val="Strong"/>
    <w:basedOn w:val="Noklusjumarindkopasfonts"/>
    <w:uiPriority w:val="22"/>
    <w:qFormat/>
    <w:rsid w:val="00296183"/>
    <w:rPr>
      <w:b/>
      <w:bCs/>
    </w:rPr>
  </w:style>
  <w:style w:type="paragraph" w:styleId="Sarakstarindkopa">
    <w:name w:val="List Paragraph"/>
    <w:basedOn w:val="Parasts"/>
    <w:uiPriority w:val="34"/>
    <w:qFormat/>
    <w:rsid w:val="00296183"/>
    <w:pPr>
      <w:ind w:left="720"/>
      <w:contextualSpacing/>
    </w:pPr>
  </w:style>
  <w:style w:type="paragraph" w:customStyle="1" w:styleId="basetext">
    <w:name w:val="base text"/>
    <w:rsid w:val="00296183"/>
    <w:pPr>
      <w:widowControl w:val="0"/>
      <w:tabs>
        <w:tab w:val="left" w:pos="357"/>
        <w:tab w:val="left" w:pos="1304"/>
        <w:tab w:val="left" w:pos="2608"/>
        <w:tab w:val="left" w:pos="3912"/>
        <w:tab w:val="left" w:pos="5216"/>
        <w:tab w:val="right" w:pos="7655"/>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en-US"/>
    </w:rPr>
  </w:style>
  <w:style w:type="paragraph" w:customStyle="1" w:styleId="Sarakstarindkopa1">
    <w:name w:val="Saraksta rindkopa1"/>
    <w:basedOn w:val="Parasts"/>
    <w:qFormat/>
    <w:rsid w:val="00296183"/>
    <w:pPr>
      <w:spacing w:after="200" w:line="276" w:lineRule="auto"/>
      <w:ind w:left="720"/>
    </w:pPr>
    <w:rPr>
      <w:rFonts w:ascii="Calibri" w:eastAsia="Calibri" w:hAnsi="Calibri"/>
      <w:sz w:val="22"/>
      <w:szCs w:val="22"/>
      <w:lang w:val="en-US"/>
    </w:rPr>
  </w:style>
  <w:style w:type="paragraph" w:customStyle="1" w:styleId="ListParagraph1">
    <w:name w:val="List Paragraph1"/>
    <w:basedOn w:val="Parasts"/>
    <w:qFormat/>
    <w:rsid w:val="00296183"/>
    <w:pPr>
      <w:spacing w:after="200" w:line="276" w:lineRule="auto"/>
      <w:ind w:left="720"/>
    </w:pPr>
    <w:rPr>
      <w:rFonts w:ascii="Calibri" w:eastAsia="Calibri" w:hAnsi="Calibri"/>
      <w:sz w:val="22"/>
      <w:szCs w:val="22"/>
      <w:lang w:val="en-US"/>
    </w:rPr>
  </w:style>
  <w:style w:type="paragraph" w:styleId="Prskatjums">
    <w:name w:val="Revision"/>
    <w:hidden/>
    <w:uiPriority w:val="99"/>
    <w:semiHidden/>
    <w:rsid w:val="001902D0"/>
    <w:pPr>
      <w:spacing w:after="0" w:line="240" w:lineRule="auto"/>
    </w:pPr>
    <w:rPr>
      <w:rFonts w:ascii="Times New Roman" w:eastAsia="Times New Roman" w:hAnsi="Times New Roman" w:cs="Times New Roman"/>
      <w:sz w:val="24"/>
      <w:szCs w:val="24"/>
      <w:lang w:val="en-GB"/>
    </w:rPr>
  </w:style>
  <w:style w:type="character" w:customStyle="1" w:styleId="Bodytext">
    <w:name w:val="Body text_"/>
    <w:link w:val="BodyText2"/>
    <w:rsid w:val="00AD7DDF"/>
    <w:rPr>
      <w:spacing w:val="1"/>
      <w:shd w:val="clear" w:color="auto" w:fill="FFFFFF"/>
    </w:rPr>
  </w:style>
  <w:style w:type="paragraph" w:customStyle="1" w:styleId="BodyText2">
    <w:name w:val="Body Text2"/>
    <w:basedOn w:val="Parasts"/>
    <w:link w:val="Bodytext"/>
    <w:rsid w:val="00AD7DDF"/>
    <w:pPr>
      <w:widowControl w:val="0"/>
      <w:shd w:val="clear" w:color="auto" w:fill="FFFFFF"/>
      <w:spacing w:before="540" w:after="300" w:line="0" w:lineRule="atLeast"/>
      <w:ind w:hanging="360"/>
      <w:jc w:val="center"/>
    </w:pPr>
    <w:rPr>
      <w:rFonts w:asciiTheme="minorHAnsi" w:eastAsiaTheme="minorHAnsi" w:hAnsiTheme="minorHAnsi" w:cstheme="minorBidi"/>
      <w:spacing w:val="1"/>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9302">
      <w:bodyDiv w:val="1"/>
      <w:marLeft w:val="0"/>
      <w:marRight w:val="0"/>
      <w:marTop w:val="0"/>
      <w:marBottom w:val="0"/>
      <w:divBdr>
        <w:top w:val="none" w:sz="0" w:space="0" w:color="auto"/>
        <w:left w:val="none" w:sz="0" w:space="0" w:color="auto"/>
        <w:bottom w:val="none" w:sz="0" w:space="0" w:color="auto"/>
        <w:right w:val="none" w:sz="0" w:space="0" w:color="auto"/>
      </w:divBdr>
    </w:div>
    <w:div w:id="586770812">
      <w:bodyDiv w:val="1"/>
      <w:marLeft w:val="0"/>
      <w:marRight w:val="0"/>
      <w:marTop w:val="0"/>
      <w:marBottom w:val="0"/>
      <w:divBdr>
        <w:top w:val="none" w:sz="0" w:space="0" w:color="auto"/>
        <w:left w:val="none" w:sz="0" w:space="0" w:color="auto"/>
        <w:bottom w:val="none" w:sz="0" w:space="0" w:color="auto"/>
        <w:right w:val="none" w:sz="0" w:space="0" w:color="auto"/>
      </w:divBdr>
    </w:div>
    <w:div w:id="600837077">
      <w:bodyDiv w:val="1"/>
      <w:marLeft w:val="0"/>
      <w:marRight w:val="0"/>
      <w:marTop w:val="0"/>
      <w:marBottom w:val="0"/>
      <w:divBdr>
        <w:top w:val="none" w:sz="0" w:space="0" w:color="auto"/>
        <w:left w:val="none" w:sz="0" w:space="0" w:color="auto"/>
        <w:bottom w:val="none" w:sz="0" w:space="0" w:color="auto"/>
        <w:right w:val="none" w:sz="0" w:space="0" w:color="auto"/>
      </w:divBdr>
    </w:div>
    <w:div w:id="609246134">
      <w:bodyDiv w:val="1"/>
      <w:marLeft w:val="0"/>
      <w:marRight w:val="0"/>
      <w:marTop w:val="0"/>
      <w:marBottom w:val="0"/>
      <w:divBdr>
        <w:top w:val="none" w:sz="0" w:space="0" w:color="auto"/>
        <w:left w:val="none" w:sz="0" w:space="0" w:color="auto"/>
        <w:bottom w:val="none" w:sz="0" w:space="0" w:color="auto"/>
        <w:right w:val="none" w:sz="0" w:space="0" w:color="auto"/>
      </w:divBdr>
    </w:div>
    <w:div w:id="748582105">
      <w:bodyDiv w:val="1"/>
      <w:marLeft w:val="0"/>
      <w:marRight w:val="0"/>
      <w:marTop w:val="0"/>
      <w:marBottom w:val="0"/>
      <w:divBdr>
        <w:top w:val="none" w:sz="0" w:space="0" w:color="auto"/>
        <w:left w:val="none" w:sz="0" w:space="0" w:color="auto"/>
        <w:bottom w:val="none" w:sz="0" w:space="0" w:color="auto"/>
        <w:right w:val="none" w:sz="0" w:space="0" w:color="auto"/>
      </w:divBdr>
    </w:div>
    <w:div w:id="771391163">
      <w:bodyDiv w:val="1"/>
      <w:marLeft w:val="0"/>
      <w:marRight w:val="0"/>
      <w:marTop w:val="0"/>
      <w:marBottom w:val="0"/>
      <w:divBdr>
        <w:top w:val="none" w:sz="0" w:space="0" w:color="auto"/>
        <w:left w:val="none" w:sz="0" w:space="0" w:color="auto"/>
        <w:bottom w:val="none" w:sz="0" w:space="0" w:color="auto"/>
        <w:right w:val="none" w:sz="0" w:space="0" w:color="auto"/>
      </w:divBdr>
    </w:div>
    <w:div w:id="860245508">
      <w:bodyDiv w:val="1"/>
      <w:marLeft w:val="0"/>
      <w:marRight w:val="0"/>
      <w:marTop w:val="0"/>
      <w:marBottom w:val="0"/>
      <w:divBdr>
        <w:top w:val="none" w:sz="0" w:space="0" w:color="auto"/>
        <w:left w:val="none" w:sz="0" w:space="0" w:color="auto"/>
        <w:bottom w:val="none" w:sz="0" w:space="0" w:color="auto"/>
        <w:right w:val="none" w:sz="0" w:space="0" w:color="auto"/>
      </w:divBdr>
    </w:div>
    <w:div w:id="997853570">
      <w:bodyDiv w:val="1"/>
      <w:marLeft w:val="0"/>
      <w:marRight w:val="0"/>
      <w:marTop w:val="0"/>
      <w:marBottom w:val="0"/>
      <w:divBdr>
        <w:top w:val="none" w:sz="0" w:space="0" w:color="auto"/>
        <w:left w:val="none" w:sz="0" w:space="0" w:color="auto"/>
        <w:bottom w:val="none" w:sz="0" w:space="0" w:color="auto"/>
        <w:right w:val="none" w:sz="0" w:space="0" w:color="auto"/>
      </w:divBdr>
    </w:div>
    <w:div w:id="1306935266">
      <w:bodyDiv w:val="1"/>
      <w:marLeft w:val="0"/>
      <w:marRight w:val="0"/>
      <w:marTop w:val="0"/>
      <w:marBottom w:val="0"/>
      <w:divBdr>
        <w:top w:val="none" w:sz="0" w:space="0" w:color="auto"/>
        <w:left w:val="none" w:sz="0" w:space="0" w:color="auto"/>
        <w:bottom w:val="none" w:sz="0" w:space="0" w:color="auto"/>
        <w:right w:val="none" w:sz="0" w:space="0" w:color="auto"/>
      </w:divBdr>
    </w:div>
    <w:div w:id="1600289565">
      <w:bodyDiv w:val="1"/>
      <w:marLeft w:val="0"/>
      <w:marRight w:val="0"/>
      <w:marTop w:val="0"/>
      <w:marBottom w:val="0"/>
      <w:divBdr>
        <w:top w:val="none" w:sz="0" w:space="0" w:color="auto"/>
        <w:left w:val="none" w:sz="0" w:space="0" w:color="auto"/>
        <w:bottom w:val="none" w:sz="0" w:space="0" w:color="auto"/>
        <w:right w:val="none" w:sz="0" w:space="0" w:color="auto"/>
      </w:divBdr>
    </w:div>
    <w:div w:id="1938247938">
      <w:bodyDiv w:val="1"/>
      <w:marLeft w:val="0"/>
      <w:marRight w:val="0"/>
      <w:marTop w:val="0"/>
      <w:marBottom w:val="0"/>
      <w:divBdr>
        <w:top w:val="none" w:sz="0" w:space="0" w:color="auto"/>
        <w:left w:val="none" w:sz="0" w:space="0" w:color="auto"/>
        <w:bottom w:val="none" w:sz="0" w:space="0" w:color="auto"/>
        <w:right w:val="none" w:sz="0" w:space="0" w:color="auto"/>
      </w:divBdr>
    </w:div>
    <w:div w:id="1996644566">
      <w:bodyDiv w:val="1"/>
      <w:marLeft w:val="0"/>
      <w:marRight w:val="0"/>
      <w:marTop w:val="0"/>
      <w:marBottom w:val="0"/>
      <w:divBdr>
        <w:top w:val="none" w:sz="0" w:space="0" w:color="auto"/>
        <w:left w:val="none" w:sz="0" w:space="0" w:color="auto"/>
        <w:bottom w:val="none" w:sz="0" w:space="0" w:color="auto"/>
        <w:right w:val="none" w:sz="0" w:space="0" w:color="auto"/>
      </w:divBdr>
    </w:div>
    <w:div w:id="21311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7184" TargetMode="External"/><Relationship Id="rId13" Type="http://schemas.openxmlformats.org/officeDocument/2006/relationships/hyperlink" Target="http://www.csb.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b.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sb.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esgp.eu" TargetMode="External"/><Relationship Id="rId14" Type="http://schemas.openxmlformats.org/officeDocument/2006/relationships/hyperlink" Target="http://www.z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D8BF-12D9-4BFC-A424-6319EEA8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17</Pages>
  <Words>5032</Words>
  <Characters>33319</Characters>
  <Application>Microsoft Office Word</Application>
  <DocSecurity>0</DocSecurity>
  <Lines>1753</Lines>
  <Paragraphs>504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sākotnējās ietekmes novērtējuma ziņojums</vt:lpstr>
      <vt:lpstr>Ministru kabineta noteikumu projekta s;akotnējās ietekmes novērtējuma ziņojums</vt:lpstr>
    </vt:vector>
  </TitlesOfParts>
  <Company>Zemkopības Ministrija</Company>
  <LinksUpToDate>false</LinksUpToDate>
  <CharactersWithSpaces>37847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dc:title>
  <dc:subject>Anotācija</dc:subject>
  <dc:creator>Zemkopības ministrija</dc:creator>
  <dc:description>Inara.Cine@zm.gov.lv</dc:description>
  <cp:lastModifiedBy>Antra Dāldere</cp:lastModifiedBy>
  <cp:revision>207</cp:revision>
  <cp:lastPrinted>2015-12-18T06:38:00Z</cp:lastPrinted>
  <dcterms:created xsi:type="dcterms:W3CDTF">2015-12-17T11:51:00Z</dcterms:created>
  <dcterms:modified xsi:type="dcterms:W3CDTF">2016-01-21T07:29:00Z</dcterms:modified>
</cp:coreProperties>
</file>