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170801">
        <w:rPr>
          <w:b/>
          <w:lang w:val="lv-LV"/>
        </w:rPr>
        <w:t>Ministru kabineta noteikumu projekta</w:t>
      </w:r>
    </w:p>
    <w:p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170801">
        <w:rPr>
          <w:b/>
          <w:bCs/>
          <w:lang w:val="lv-LV"/>
        </w:rPr>
        <w:t xml:space="preserve">Grozījumi Ministru kabineta </w:t>
      </w:r>
      <w:proofErr w:type="gramStart"/>
      <w:r w:rsidR="00E312B1" w:rsidRPr="00170801">
        <w:rPr>
          <w:b/>
          <w:bCs/>
          <w:lang w:val="lv-LV"/>
        </w:rPr>
        <w:t>2004.gada</w:t>
      </w:r>
      <w:proofErr w:type="gramEnd"/>
      <w:r w:rsidR="00E312B1" w:rsidRPr="00170801">
        <w:rPr>
          <w:b/>
          <w:bCs/>
          <w:lang w:val="lv-LV"/>
        </w:rPr>
        <w:t xml:space="preserve"> 17.februāra noteikumos Nr.83</w:t>
      </w:r>
    </w:p>
    <w:p w:rsidR="00831A6C" w:rsidRPr="00DA371E" w:rsidRDefault="00E312B1" w:rsidP="00DA371E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:rsidR="008B0C60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p w:rsidR="00831A6C" w:rsidRPr="007B7907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000CAA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000CAA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proofErr w:type="gramStart"/>
            <w:r w:rsidRPr="00E312B1">
              <w:rPr>
                <w:lang w:val="lv-LV"/>
              </w:rPr>
              <w:t>26.panta</w:t>
            </w:r>
            <w:proofErr w:type="gramEnd"/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DA371E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B61E57" w:rsidRDefault="004E4242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Ir stājies spēkā Komisijas </w:t>
            </w:r>
            <w:r w:rsidR="00093B45">
              <w:rPr>
                <w:lang w:val="lv-LV"/>
              </w:rPr>
              <w:t>2015</w:t>
            </w:r>
            <w:r w:rsidR="00F20442">
              <w:rPr>
                <w:lang w:val="lv-LV"/>
              </w:rPr>
              <w:t>.</w:t>
            </w:r>
            <w:r w:rsidR="00A41344">
              <w:rPr>
                <w:lang w:val="lv-LV"/>
              </w:rPr>
              <w:t xml:space="preserve"> </w:t>
            </w:r>
            <w:r w:rsidR="00F20442">
              <w:rPr>
                <w:lang w:val="lv-LV"/>
              </w:rPr>
              <w:t xml:space="preserve">gada </w:t>
            </w:r>
            <w:r w:rsidR="002512B0">
              <w:rPr>
                <w:lang w:val="lv-LV"/>
              </w:rPr>
              <w:t>1</w:t>
            </w:r>
            <w:r w:rsidR="00015A39">
              <w:rPr>
                <w:lang w:val="lv-LV"/>
              </w:rPr>
              <w:t>8</w:t>
            </w:r>
            <w:r w:rsidR="00093B45">
              <w:rPr>
                <w:lang w:val="lv-LV"/>
              </w:rPr>
              <w:t>.</w:t>
            </w:r>
            <w:r w:rsidR="00A41344">
              <w:rPr>
                <w:lang w:val="lv-LV"/>
              </w:rPr>
              <w:t xml:space="preserve"> </w:t>
            </w:r>
            <w:r w:rsidR="009D669A">
              <w:rPr>
                <w:lang w:val="lv-LV"/>
              </w:rPr>
              <w:t>decembra</w:t>
            </w:r>
            <w:r w:rsidR="00DF4E80">
              <w:rPr>
                <w:lang w:val="lv-LV"/>
              </w:rPr>
              <w:t xml:space="preserve"> </w:t>
            </w:r>
            <w:r>
              <w:rPr>
                <w:lang w:val="lv-LV"/>
              </w:rPr>
              <w:t>Īstenošanas lēmums</w:t>
            </w:r>
            <w:r w:rsidR="009D669A"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 xml:space="preserve">(ES) </w:t>
            </w:r>
            <w:r w:rsidR="009D669A">
              <w:rPr>
                <w:lang w:val="lv-LV"/>
              </w:rPr>
              <w:t>2015/2433</w:t>
            </w:r>
            <w:r w:rsidR="00D026C2">
              <w:rPr>
                <w:lang w:val="lv-LV"/>
              </w:rPr>
              <w:t>,</w:t>
            </w:r>
            <w:r w:rsidR="00EB35CE">
              <w:rPr>
                <w:lang w:val="lv-LV"/>
              </w:rPr>
              <w:t xml:space="preserve"> </w:t>
            </w:r>
            <w:r w:rsidR="00D026C2" w:rsidRPr="00D026C2">
              <w:rPr>
                <w:bCs/>
                <w:lang w:val="lv-LV"/>
              </w:rPr>
              <w:t xml:space="preserve">ar ko attiecībā uz </w:t>
            </w:r>
            <w:r w:rsidR="009D669A">
              <w:rPr>
                <w:bCs/>
                <w:lang w:val="lv-LV"/>
              </w:rPr>
              <w:t>dzīvnieku veselības kontroles pasākumiem saistībā ar Āfrikas cūku mēri dažās dalībvalstīs groza Komisijas Īstenošanas lēmumu 2014/709/ES</w:t>
            </w:r>
            <w:r w:rsidR="005A2A04">
              <w:rPr>
                <w:b/>
                <w:bCs/>
                <w:lang w:val="lv-LV"/>
              </w:rPr>
              <w:t xml:space="preserve"> </w:t>
            </w:r>
            <w:r w:rsidR="005A2A04">
              <w:rPr>
                <w:bCs/>
                <w:lang w:val="lv-LV"/>
              </w:rPr>
              <w:t>(turpmā</w:t>
            </w:r>
            <w:r w:rsidR="009D669A">
              <w:rPr>
                <w:bCs/>
                <w:lang w:val="lv-LV"/>
              </w:rPr>
              <w:t>k – Īstenošanas lēmums 2015/2433</w:t>
            </w:r>
            <w:r w:rsidR="00B61E57">
              <w:rPr>
                <w:bCs/>
                <w:lang w:val="lv-LV"/>
              </w:rPr>
              <w:t>)</w:t>
            </w:r>
            <w:r w:rsidR="00D026C2" w:rsidRPr="00D026C2">
              <w:rPr>
                <w:bCs/>
                <w:lang w:val="lv-LV"/>
              </w:rPr>
              <w:t>.</w:t>
            </w:r>
            <w:r w:rsidR="00D026C2" w:rsidRPr="00D026C2">
              <w:rPr>
                <w:lang w:val="lv-LV"/>
              </w:rPr>
              <w:t xml:space="preserve"> </w:t>
            </w:r>
          </w:p>
          <w:p w:rsidR="004A3463" w:rsidRPr="005A2A04" w:rsidRDefault="004A3463" w:rsidP="004338D9">
            <w:pPr>
              <w:jc w:val="both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Grozījumi Komisijas</w:t>
            </w:r>
            <w:r w:rsidR="005F0F85">
              <w:rPr>
                <w:lang w:val="lv-LV"/>
              </w:rPr>
              <w:t xml:space="preserve"> 2014. gada 9. oktobra</w:t>
            </w:r>
            <w:r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Ī</w:t>
            </w:r>
            <w:r>
              <w:rPr>
                <w:lang w:val="lv-LV"/>
              </w:rPr>
              <w:t xml:space="preserve">stenošanas lēmumā 2014/709/ES </w:t>
            </w:r>
            <w:r w:rsidR="005F0F85">
              <w:rPr>
                <w:lang w:val="lv-LV"/>
              </w:rPr>
              <w:t>par dzīvnieku veselības kontroles pasākumiem saistībā ar Āfrikas cūku mēri dažās dalībvalstīs un ar ko atceļ īstenošanas lēmumu 2014/178/ES</w:t>
            </w:r>
            <w:r>
              <w:rPr>
                <w:lang w:val="lv-LV"/>
              </w:rPr>
              <w:t xml:space="preserve"> tika </w:t>
            </w:r>
            <w:r w:rsidR="00BE33E4">
              <w:rPr>
                <w:lang w:val="lv-LV"/>
              </w:rPr>
              <w:t>izdar</w:t>
            </w:r>
            <w:r>
              <w:rPr>
                <w:lang w:val="lv-LV"/>
              </w:rPr>
              <w:t>īt</w:t>
            </w:r>
            <w:r w:rsidR="0007595E">
              <w:rPr>
                <w:lang w:val="lv-LV"/>
              </w:rPr>
              <w:t>i</w:t>
            </w:r>
            <w:r w:rsidR="00BE33E4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 xml:space="preserve">ievērojot vairākus </w:t>
            </w:r>
            <w:r>
              <w:rPr>
                <w:lang w:val="lv-LV"/>
              </w:rPr>
              <w:t>apsvērumus:</w:t>
            </w:r>
          </w:p>
          <w:p w:rsidR="004A3463" w:rsidRDefault="004A3463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EB4AE1">
              <w:rPr>
                <w:lang w:val="lv-LV"/>
              </w:rPr>
              <w:t xml:space="preserve"> </w:t>
            </w:r>
            <w:r>
              <w:rPr>
                <w:lang w:val="lv-LV"/>
              </w:rPr>
              <w:t>a</w:t>
            </w:r>
            <w:r w:rsidRPr="004A3463">
              <w:rPr>
                <w:lang w:val="lv-LV"/>
              </w:rPr>
              <w:t xml:space="preserve">izliegums nosūtīt dzīvas cūkas no </w:t>
            </w:r>
            <w:r>
              <w:rPr>
                <w:lang w:val="lv-LV"/>
              </w:rPr>
              <w:t>III riska zonas</w:t>
            </w:r>
            <w:r w:rsidRPr="004A3463">
              <w:rPr>
                <w:lang w:val="lv-LV"/>
              </w:rPr>
              <w:t xml:space="preserve"> ir īpaši stingrs </w:t>
            </w:r>
            <w:r w:rsidR="0007595E">
              <w:rPr>
                <w:lang w:val="lv-LV"/>
              </w:rPr>
              <w:t>Āfrikas cūku mēra skartajās dalībvalstīs</w:t>
            </w:r>
            <w:r w:rsidR="00BE33E4">
              <w:rPr>
                <w:lang w:val="lv-LV"/>
              </w:rPr>
              <w:t>,</w:t>
            </w:r>
            <w:r w:rsidRPr="004A3463">
              <w:rPr>
                <w:lang w:val="lv-LV"/>
              </w:rPr>
              <w:t xml:space="preserve"> tāpēc</w:t>
            </w:r>
            <w:r w:rsidR="00BE33E4">
              <w:rPr>
                <w:lang w:val="lv-LV"/>
              </w:rPr>
              <w:t xml:space="preserve"> tas</w:t>
            </w:r>
            <w:r w:rsidRPr="004A3463">
              <w:rPr>
                <w:lang w:val="lv-LV"/>
              </w:rPr>
              <w:t xml:space="preserve"> var radīt loģistikas un dzīvnieku labturības problēmas, ja cūku kaušana attiecīgajos apgabalos nav iespējama, īpaši</w:t>
            </w:r>
            <w:r w:rsidR="00BE33E4">
              <w:rPr>
                <w:lang w:val="lv-LV"/>
              </w:rPr>
              <w:t>,</w:t>
            </w:r>
            <w:r w:rsidRPr="004A3463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ja šajos apgabalos nav </w:t>
            </w:r>
            <w:r w:rsidRPr="004A3463">
              <w:rPr>
                <w:lang w:val="lv-LV"/>
              </w:rPr>
              <w:t>piemērotas kautuves</w:t>
            </w:r>
            <w:r w:rsidR="00BE33E4">
              <w:rPr>
                <w:lang w:val="lv-LV"/>
              </w:rPr>
              <w:t>,</w:t>
            </w:r>
            <w:r w:rsidRPr="004A3463">
              <w:rPr>
                <w:lang w:val="lv-LV"/>
              </w:rPr>
              <w:t xml:space="preserve"> vai </w:t>
            </w:r>
            <w:r w:rsidR="00BE33E4">
              <w:rPr>
                <w:lang w:val="lv-LV"/>
              </w:rPr>
              <w:t>pastāv</w:t>
            </w:r>
            <w:r w:rsidRPr="004A3463">
              <w:rPr>
                <w:lang w:val="lv-LV"/>
              </w:rPr>
              <w:t xml:space="preserve"> kaušanas jaudas ierobežojumi vai nu tajā pašā dalībvalstī, vai citas </w:t>
            </w:r>
            <w:r>
              <w:rPr>
                <w:lang w:val="lv-LV"/>
              </w:rPr>
              <w:t>slimības skartās dalībvalsts teritorijā;</w:t>
            </w:r>
          </w:p>
          <w:p w:rsidR="004A3463" w:rsidRPr="004A3463" w:rsidRDefault="004A3463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="00EB4AE1">
              <w:rPr>
                <w:lang w:val="lv-LV"/>
              </w:rPr>
              <w:t xml:space="preserve"> </w:t>
            </w:r>
            <w:r>
              <w:rPr>
                <w:lang w:val="lv-LV"/>
              </w:rPr>
              <w:t>d</w:t>
            </w:r>
            <w:r w:rsidRPr="004A3463">
              <w:rPr>
                <w:lang w:val="lv-LV"/>
              </w:rPr>
              <w:t xml:space="preserve">zīvu cūku pārvietošana tūlītējai nokaušanai rada mazāku risku </w:t>
            </w:r>
            <w:proofErr w:type="gramStart"/>
            <w:r w:rsidRPr="004A3463">
              <w:rPr>
                <w:lang w:val="lv-LV"/>
              </w:rPr>
              <w:t>nekā dzīvu cūku pārvietošana</w:t>
            </w:r>
            <w:r w:rsidR="00321CF7">
              <w:rPr>
                <w:lang w:val="lv-LV"/>
              </w:rPr>
              <w:t xml:space="preserve"> citiem mērķiem</w:t>
            </w:r>
            <w:proofErr w:type="gramEnd"/>
            <w:r w:rsidRPr="004A3463">
              <w:rPr>
                <w:lang w:val="lv-LV"/>
              </w:rPr>
              <w:t xml:space="preserve">, </w:t>
            </w:r>
            <w:r w:rsidR="00BE33E4">
              <w:rPr>
                <w:lang w:val="lv-LV"/>
              </w:rPr>
              <w:t xml:space="preserve">ja vien </w:t>
            </w:r>
            <w:r w:rsidR="0007595E">
              <w:rPr>
                <w:lang w:val="lv-LV"/>
              </w:rPr>
              <w:t>ir ieviesti</w:t>
            </w:r>
            <w:r w:rsidRPr="004A3463">
              <w:rPr>
                <w:lang w:val="lv-LV"/>
              </w:rPr>
              <w:t xml:space="preserve"> riska mazināšanas pasākumi. Tāpēc ir lietderīgi </w:t>
            </w:r>
            <w:r>
              <w:rPr>
                <w:lang w:val="lv-LV"/>
              </w:rPr>
              <w:t>noteikt, ka</w:t>
            </w:r>
            <w:r w:rsidRPr="004A3463"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slimības skartās</w:t>
            </w:r>
            <w:r w:rsidRPr="004A3463">
              <w:rPr>
                <w:lang w:val="lv-LV"/>
              </w:rPr>
              <w:t xml:space="preserve"> dalībvalstis izņēmuma kārtā </w:t>
            </w:r>
            <w:r w:rsidR="00BE33E4" w:rsidRPr="004A3463">
              <w:rPr>
                <w:lang w:val="lv-LV"/>
              </w:rPr>
              <w:t xml:space="preserve">var </w:t>
            </w:r>
            <w:r w:rsidRPr="004A3463">
              <w:rPr>
                <w:lang w:val="lv-LV"/>
              </w:rPr>
              <w:t xml:space="preserve">noteikt atkāpes attiecībā uz dzīvu cūku nosūtīšanu tūlītējai nokaušanai no </w:t>
            </w:r>
            <w:r>
              <w:rPr>
                <w:lang w:val="lv-LV"/>
              </w:rPr>
              <w:t>III riska zonas</w:t>
            </w:r>
            <w:r w:rsidRPr="004A3463">
              <w:rPr>
                <w:lang w:val="lv-LV"/>
              </w:rPr>
              <w:t xml:space="preserve"> uz kautuvi, kas atrodas ārpus </w:t>
            </w:r>
            <w:r>
              <w:rPr>
                <w:lang w:val="lv-LV"/>
              </w:rPr>
              <w:t>III riska zonas</w:t>
            </w:r>
            <w:r w:rsidRPr="004A3463">
              <w:rPr>
                <w:lang w:val="lv-LV"/>
              </w:rPr>
              <w:t xml:space="preserve"> tajā pašā dalībvalstī vai citas </w:t>
            </w:r>
            <w:r>
              <w:rPr>
                <w:lang w:val="lv-LV"/>
              </w:rPr>
              <w:t>slimības skartās</w:t>
            </w:r>
            <w:r w:rsidRPr="004A3463">
              <w:rPr>
                <w:lang w:val="lv-LV"/>
              </w:rPr>
              <w:t xml:space="preserve"> dalībvalsts teritorijā, </w:t>
            </w:r>
            <w:r w:rsidR="00BE33E4">
              <w:rPr>
                <w:lang w:val="lv-LV"/>
              </w:rPr>
              <w:t>ja vien</w:t>
            </w:r>
            <w:r w:rsidRPr="004A3463"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ir ieviesti</w:t>
            </w:r>
            <w:r w:rsidRPr="004A3463">
              <w:rPr>
                <w:lang w:val="lv-LV"/>
              </w:rPr>
              <w:t xml:space="preserve"> riska mazināšanas pasākumi, </w:t>
            </w:r>
            <w:r w:rsidR="0007595E">
              <w:rPr>
                <w:lang w:val="lv-LV"/>
              </w:rPr>
              <w:t>kas</w:t>
            </w:r>
            <w:r w:rsidRPr="004A3463"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neierobežo</w:t>
            </w:r>
            <w:r>
              <w:rPr>
                <w:lang w:val="lv-LV"/>
              </w:rPr>
              <w:t xml:space="preserve"> slimības kontroles pasākumus;</w:t>
            </w:r>
          </w:p>
          <w:p w:rsidR="004A3463" w:rsidRPr="00EB4AE1" w:rsidRDefault="00EB4AE1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3) a</w:t>
            </w:r>
            <w:r w:rsidR="004A3463" w:rsidRPr="004A3463">
              <w:rPr>
                <w:lang w:val="lv-LV"/>
              </w:rPr>
              <w:t xml:space="preserve">ttiecībā uz Āfrikas cūku mēra </w:t>
            </w:r>
            <w:r>
              <w:rPr>
                <w:lang w:val="lv-LV"/>
              </w:rPr>
              <w:t>izplatību, pārvietojot atšķirīgu</w:t>
            </w:r>
            <w:r w:rsidR="004A3463" w:rsidRPr="004A3463">
              <w:rPr>
                <w:lang w:val="lv-LV"/>
              </w:rPr>
              <w:t xml:space="preserve">s cūku sugu dzīvnieku izcelsmes </w:t>
            </w:r>
            <w:r>
              <w:rPr>
                <w:lang w:val="lv-LV"/>
              </w:rPr>
              <w:t>produktus</w:t>
            </w:r>
            <w:r w:rsidR="004A3463" w:rsidRPr="004A3463">
              <w:rPr>
                <w:lang w:val="lv-LV"/>
              </w:rPr>
              <w:t xml:space="preserve">, </w:t>
            </w:r>
            <w:r>
              <w:rPr>
                <w:lang w:val="lv-LV"/>
              </w:rPr>
              <w:t>ir izvērtēts</w:t>
            </w:r>
            <w:r w:rsidR="004A3463" w:rsidRPr="004A3463">
              <w:rPr>
                <w:lang w:val="lv-LV"/>
              </w:rPr>
              <w:t xml:space="preserve"> atšķirīga līmeņa risks. Parasti ievērojamu risku rada cūku spermas pārvietošana no ierobežojumu apgabaliem. </w:t>
            </w:r>
            <w:r w:rsidR="0007595E">
              <w:rPr>
                <w:lang w:val="lv-LV"/>
              </w:rPr>
              <w:t>Līdz ar to</w:t>
            </w:r>
            <w:r w:rsidR="004A3463" w:rsidRPr="004A3463">
              <w:rPr>
                <w:lang w:val="lv-LV"/>
              </w:rPr>
              <w:t xml:space="preserve"> papildu riska mazināšanas pasākumu, piemēram, </w:t>
            </w:r>
            <w:r>
              <w:rPr>
                <w:lang w:val="lv-LV"/>
              </w:rPr>
              <w:t xml:space="preserve">laboratoriskās </w:t>
            </w:r>
            <w:r w:rsidR="004A3463" w:rsidRPr="004A3463">
              <w:rPr>
                <w:lang w:val="lv-LV"/>
              </w:rPr>
              <w:t>testēšanas un pastiprinātas biodrošības, piemērošana var at</w:t>
            </w:r>
            <w:r>
              <w:rPr>
                <w:lang w:val="lv-LV"/>
              </w:rPr>
              <w:t xml:space="preserve">ļaut </w:t>
            </w:r>
            <w:r w:rsidR="0007595E">
              <w:rPr>
                <w:lang w:val="lv-LV"/>
              </w:rPr>
              <w:t xml:space="preserve">īstenot </w:t>
            </w:r>
            <w:r>
              <w:rPr>
                <w:lang w:val="lv-LV"/>
              </w:rPr>
              <w:t xml:space="preserve">atkāpes attiecībā uz </w:t>
            </w:r>
            <w:r w:rsidR="00BE33E4">
              <w:rPr>
                <w:lang w:val="lv-LV"/>
              </w:rPr>
              <w:t xml:space="preserve">tādas </w:t>
            </w:r>
            <w:r>
              <w:rPr>
                <w:lang w:val="lv-LV"/>
              </w:rPr>
              <w:t>spermas</w:t>
            </w:r>
            <w:r w:rsidR="00BE33E4">
              <w:rPr>
                <w:lang w:val="lv-LV"/>
              </w:rPr>
              <w:t xml:space="preserve"> nosūtīšanu</w:t>
            </w:r>
            <w:r w:rsidR="004A3463" w:rsidRPr="004A3463">
              <w:rPr>
                <w:lang w:val="lv-LV"/>
              </w:rPr>
              <w:t>, kas savākta Īstenošanas lēmuma 2014/709/ES pielikum</w:t>
            </w:r>
            <w:r w:rsidR="00977042">
              <w:rPr>
                <w:lang w:val="lv-LV"/>
              </w:rPr>
              <w:t>ā</w:t>
            </w:r>
            <w:r w:rsidR="004A3463" w:rsidRPr="004A3463">
              <w:rPr>
                <w:lang w:val="lv-LV"/>
              </w:rPr>
              <w:t xml:space="preserve"> </w:t>
            </w:r>
            <w:r w:rsidR="00977042">
              <w:rPr>
                <w:lang w:val="lv-LV"/>
              </w:rPr>
              <w:t xml:space="preserve">noteiktajos </w:t>
            </w:r>
            <w:r w:rsidR="004A3463" w:rsidRPr="004A3463">
              <w:rPr>
                <w:lang w:val="lv-LV"/>
              </w:rPr>
              <w:t>II un III </w:t>
            </w:r>
            <w:r>
              <w:rPr>
                <w:lang w:val="lv-LV"/>
              </w:rPr>
              <w:t>riska zonas apgabalos;</w:t>
            </w:r>
          </w:p>
          <w:p w:rsidR="004A3463" w:rsidRPr="0007595E" w:rsidRDefault="00EB4AE1" w:rsidP="004338D9">
            <w:pPr>
              <w:jc w:val="both"/>
              <w:rPr>
                <w:lang w:val="lv-LV"/>
              </w:rPr>
            </w:pPr>
            <w:r w:rsidRPr="00EB4AE1">
              <w:rPr>
                <w:lang w:val="lv-LV"/>
              </w:rPr>
              <w:t>4) a</w:t>
            </w:r>
            <w:r w:rsidR="004A3463" w:rsidRPr="00EB4AE1">
              <w:rPr>
                <w:lang w:val="lv-LV"/>
              </w:rPr>
              <w:t>tkāpes attiecībā uz noteiktu dzīvu cūku nosūtīšanu no II un III </w:t>
            </w:r>
            <w:r>
              <w:rPr>
                <w:lang w:val="lv-LV"/>
              </w:rPr>
              <w:t>riska zonas</w:t>
            </w:r>
            <w:r w:rsidR="004A3463" w:rsidRPr="00EB4AE1">
              <w:rPr>
                <w:lang w:val="lv-LV"/>
              </w:rPr>
              <w:t xml:space="preserve"> uz citiem kādas citas </w:t>
            </w:r>
            <w:r w:rsidR="0007595E">
              <w:rPr>
                <w:lang w:val="lv-LV"/>
              </w:rPr>
              <w:t xml:space="preserve">slimības skartās </w:t>
            </w:r>
            <w:r w:rsidR="004A3463" w:rsidRPr="00EB4AE1">
              <w:rPr>
                <w:lang w:val="lv-LV"/>
              </w:rPr>
              <w:t>dalībvalsts II vai III </w:t>
            </w:r>
            <w:r>
              <w:rPr>
                <w:lang w:val="lv-LV"/>
              </w:rPr>
              <w:t xml:space="preserve">riska </w:t>
            </w:r>
            <w:r w:rsidR="005F0F85">
              <w:rPr>
                <w:lang w:val="lv-LV"/>
              </w:rPr>
              <w:t xml:space="preserve">zonas apgabaliem </w:t>
            </w:r>
            <w:r w:rsidR="004A3463" w:rsidRPr="00EB4AE1">
              <w:rPr>
                <w:lang w:val="lv-LV"/>
              </w:rPr>
              <w:t xml:space="preserve">ir pamatotas, </w:t>
            </w:r>
            <w:r w:rsidR="00BE33E4">
              <w:rPr>
                <w:lang w:val="lv-LV"/>
              </w:rPr>
              <w:t xml:space="preserve">ja vien </w:t>
            </w:r>
            <w:r w:rsidR="004A3463" w:rsidRPr="00EB4AE1">
              <w:rPr>
                <w:lang w:val="lv-LV"/>
              </w:rPr>
              <w:t xml:space="preserve">tiek piemēroti īpaši riska mazināšanas pasākumi. </w:t>
            </w:r>
            <w:r w:rsidR="00BE33E4">
              <w:rPr>
                <w:lang w:val="lv-LV"/>
              </w:rPr>
              <w:t>Š</w:t>
            </w:r>
            <w:r w:rsidR="004A3463" w:rsidRPr="0007595E">
              <w:rPr>
                <w:lang w:val="lv-LV"/>
              </w:rPr>
              <w:t>ie jaun</w:t>
            </w:r>
            <w:r w:rsidR="00BE33E4">
              <w:rPr>
                <w:lang w:val="lv-LV"/>
              </w:rPr>
              <w:t>ie</w:t>
            </w:r>
            <w:r w:rsidR="004A3463" w:rsidRPr="0007595E">
              <w:rPr>
                <w:lang w:val="lv-LV"/>
              </w:rPr>
              <w:t xml:space="preserve"> pasākumi </w:t>
            </w:r>
            <w:r w:rsidR="00BE33E4">
              <w:rPr>
                <w:lang w:val="lv-LV"/>
              </w:rPr>
              <w:t xml:space="preserve">ļaus </w:t>
            </w:r>
            <w:r w:rsidR="0007595E" w:rsidRPr="0007595E">
              <w:rPr>
                <w:lang w:val="lv-LV"/>
              </w:rPr>
              <w:t>elastī</w:t>
            </w:r>
            <w:r w:rsidR="00BE33E4">
              <w:rPr>
                <w:lang w:val="lv-LV"/>
              </w:rPr>
              <w:t>gāk</w:t>
            </w:r>
            <w:r w:rsidR="0007595E">
              <w:rPr>
                <w:lang w:val="lv-LV"/>
              </w:rPr>
              <w:t xml:space="preserve"> nodrošin</w:t>
            </w:r>
            <w:r w:rsidR="00BE33E4">
              <w:rPr>
                <w:lang w:val="lv-LV"/>
              </w:rPr>
              <w:t>āt</w:t>
            </w:r>
            <w:r w:rsidR="004A3463" w:rsidRPr="0007595E"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>to</w:t>
            </w:r>
            <w:r w:rsidR="004A3463" w:rsidRPr="0007595E">
              <w:rPr>
                <w:lang w:val="lv-LV"/>
              </w:rPr>
              <w:t xml:space="preserve"> pienācīgu īstenošanu vidēj</w:t>
            </w:r>
            <w:r w:rsidR="00D874D3">
              <w:rPr>
                <w:lang w:val="lv-LV"/>
              </w:rPr>
              <w:t>ā</w:t>
            </w:r>
            <w:r w:rsidR="004A3463" w:rsidRPr="0007595E">
              <w:rPr>
                <w:lang w:val="lv-LV"/>
              </w:rPr>
              <w:t xml:space="preserve"> termiņ</w:t>
            </w:r>
            <w:r w:rsidR="00D874D3">
              <w:rPr>
                <w:lang w:val="lv-LV"/>
              </w:rPr>
              <w:t>ā</w:t>
            </w:r>
            <w:r w:rsidR="004A3463" w:rsidRPr="0007595E">
              <w:rPr>
                <w:lang w:val="lv-LV"/>
              </w:rPr>
              <w:t xml:space="preserve"> </w:t>
            </w:r>
            <w:r w:rsidR="00D874D3">
              <w:rPr>
                <w:lang w:val="lv-LV"/>
              </w:rPr>
              <w:t>un</w:t>
            </w:r>
            <w:r w:rsidR="004A3463" w:rsidRPr="0007595E">
              <w:rPr>
                <w:lang w:val="lv-LV"/>
              </w:rPr>
              <w:t xml:space="preserve"> ilgtermiņa perspektīvā. </w:t>
            </w:r>
            <w:r w:rsidR="0007595E" w:rsidRPr="0007595E">
              <w:rPr>
                <w:lang w:val="lv-LV"/>
              </w:rPr>
              <w:t>L</w:t>
            </w:r>
            <w:r w:rsidR="0007595E">
              <w:rPr>
                <w:lang w:val="lv-LV"/>
              </w:rPr>
              <w:t>īdz a</w:t>
            </w:r>
            <w:r w:rsidR="0007595E" w:rsidRPr="0007595E">
              <w:rPr>
                <w:lang w:val="lv-LV"/>
              </w:rPr>
              <w:t>r</w:t>
            </w:r>
            <w:r w:rsidR="0007595E">
              <w:rPr>
                <w:lang w:val="lv-LV"/>
              </w:rPr>
              <w:t xml:space="preserve"> </w:t>
            </w:r>
            <w:r w:rsidR="0007595E" w:rsidRPr="0007595E">
              <w:rPr>
                <w:lang w:val="lv-LV"/>
              </w:rPr>
              <w:t>to</w:t>
            </w:r>
            <w:r w:rsidR="004A3463" w:rsidRPr="0007595E">
              <w:rPr>
                <w:lang w:val="lv-LV"/>
              </w:rPr>
              <w:t xml:space="preserve"> </w:t>
            </w:r>
            <w:r w:rsidR="004A3463" w:rsidRPr="0007595E">
              <w:rPr>
                <w:lang w:val="lv-LV"/>
              </w:rPr>
              <w:lastRenderedPageBreak/>
              <w:t xml:space="preserve">nepieciešama </w:t>
            </w:r>
            <w:proofErr w:type="gramStart"/>
            <w:r w:rsidR="004A3463" w:rsidRPr="0007595E">
              <w:rPr>
                <w:lang w:val="lv-LV"/>
              </w:rPr>
              <w:t xml:space="preserve">drošas </w:t>
            </w:r>
            <w:r w:rsidR="00BE33E4">
              <w:rPr>
                <w:lang w:val="lv-LV"/>
              </w:rPr>
              <w:t>„</w:t>
            </w:r>
            <w:r w:rsidR="0007595E" w:rsidRPr="0007595E">
              <w:rPr>
                <w:lang w:val="lv-LV"/>
              </w:rPr>
              <w:t>kanālu</w:t>
            </w:r>
            <w:r w:rsidR="004A3463" w:rsidRPr="0007595E">
              <w:rPr>
                <w:lang w:val="lv-LV"/>
              </w:rPr>
              <w:t xml:space="preserve"> procedūras</w:t>
            </w:r>
            <w:r w:rsidR="00BE33E4">
              <w:rPr>
                <w:lang w:val="lv-LV"/>
              </w:rPr>
              <w:t>”</w:t>
            </w:r>
            <w:r w:rsidR="004A3463" w:rsidRPr="0007595E">
              <w:rPr>
                <w:lang w:val="lv-LV"/>
              </w:rPr>
              <w:t xml:space="preserve"> izveide tranzīta un galamērķa dalībvalsts kompetento iestāžu stingrā uzraudzībā</w:t>
            </w:r>
            <w:proofErr w:type="gramEnd"/>
            <w:r w:rsidRPr="0007595E">
              <w:rPr>
                <w:lang w:val="lv-LV"/>
              </w:rPr>
              <w:t>;</w:t>
            </w:r>
            <w:r w:rsidR="004A3463" w:rsidRPr="0007595E">
              <w:rPr>
                <w:lang w:val="lv-LV"/>
              </w:rPr>
              <w:t xml:space="preserve"> </w:t>
            </w:r>
          </w:p>
          <w:p w:rsidR="004A3463" w:rsidRPr="0007595E" w:rsidRDefault="00EB4AE1" w:rsidP="004338D9">
            <w:pPr>
              <w:jc w:val="both"/>
              <w:rPr>
                <w:lang w:val="lv-LV"/>
              </w:rPr>
            </w:pPr>
            <w:r w:rsidRPr="0007595E">
              <w:rPr>
                <w:lang w:val="lv-LV"/>
              </w:rPr>
              <w:t>5) k</w:t>
            </w:r>
            <w:r w:rsidR="004A3463" w:rsidRPr="0007595E">
              <w:rPr>
                <w:lang w:val="lv-LV"/>
              </w:rPr>
              <w:t xml:space="preserve">ā riska mazināšanas </w:t>
            </w:r>
            <w:r w:rsidR="00000CAA" w:rsidRPr="0007595E">
              <w:rPr>
                <w:lang w:val="lv-LV"/>
              </w:rPr>
              <w:t xml:space="preserve">papildu </w:t>
            </w:r>
            <w:r w:rsidR="004A3463" w:rsidRPr="0007595E">
              <w:rPr>
                <w:lang w:val="lv-LV"/>
              </w:rPr>
              <w:t xml:space="preserve">pasākums </w:t>
            </w:r>
            <w:r w:rsidR="0007595E" w:rsidRPr="0007595E">
              <w:rPr>
                <w:lang w:val="lv-LV"/>
              </w:rPr>
              <w:t>ir</w:t>
            </w:r>
            <w:r w:rsidR="004A3463" w:rsidRPr="0007595E">
              <w:rPr>
                <w:lang w:val="lv-LV"/>
              </w:rPr>
              <w:t xml:space="preserve"> jāievieš </w:t>
            </w:r>
            <w:r w:rsidR="00BE33E4">
              <w:rPr>
                <w:lang w:val="lv-LV"/>
              </w:rPr>
              <w:t>„</w:t>
            </w:r>
            <w:r w:rsidR="0007595E" w:rsidRPr="0007595E">
              <w:rPr>
                <w:lang w:val="lv-LV"/>
              </w:rPr>
              <w:t>kanālu</w:t>
            </w:r>
            <w:r w:rsidR="004A3463" w:rsidRPr="0007595E">
              <w:rPr>
                <w:lang w:val="lv-LV"/>
              </w:rPr>
              <w:t xml:space="preserve"> procedūra</w:t>
            </w:r>
            <w:r w:rsidR="00BE33E4">
              <w:rPr>
                <w:lang w:val="lv-LV"/>
              </w:rPr>
              <w:t>”</w:t>
            </w:r>
            <w:r w:rsidR="004A3463" w:rsidRPr="0007595E">
              <w:rPr>
                <w:lang w:val="lv-LV"/>
              </w:rPr>
              <w:t>, lai izolētu dzīvniekus, k</w:t>
            </w:r>
            <w:r w:rsidR="00BE33E4">
              <w:rPr>
                <w:lang w:val="lv-LV"/>
              </w:rPr>
              <w:t>as</w:t>
            </w:r>
            <w:r w:rsidR="004A3463" w:rsidRPr="0007595E">
              <w:rPr>
                <w:lang w:val="lv-LV"/>
              </w:rPr>
              <w:t xml:space="preserve"> ir no apgabaliem</w:t>
            </w:r>
            <w:r w:rsidR="00BE33E4">
              <w:rPr>
                <w:lang w:val="lv-LV"/>
              </w:rPr>
              <w:t>, kuros</w:t>
            </w:r>
            <w:r w:rsidR="004A3463" w:rsidRPr="0007595E"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>i</w:t>
            </w:r>
            <w:r w:rsidR="004A3463" w:rsidRPr="0007595E">
              <w:rPr>
                <w:lang w:val="lv-LV"/>
              </w:rPr>
              <w:t xml:space="preserve">r </w:t>
            </w:r>
            <w:r w:rsidR="00BE33E4">
              <w:rPr>
                <w:lang w:val="lv-LV"/>
              </w:rPr>
              <w:t>lielāks</w:t>
            </w:r>
            <w:r w:rsidR="004A3463" w:rsidRPr="0007595E">
              <w:rPr>
                <w:lang w:val="lv-LV"/>
              </w:rPr>
              <w:t xml:space="preserve"> Āfrikas cūku mēra risk</w:t>
            </w:r>
            <w:r w:rsidR="00BE33E4">
              <w:rPr>
                <w:lang w:val="lv-LV"/>
              </w:rPr>
              <w:t>s</w:t>
            </w:r>
            <w:r w:rsidR="004A3463" w:rsidRPr="0007595E">
              <w:rPr>
                <w:lang w:val="lv-LV"/>
              </w:rPr>
              <w:t xml:space="preserve">. </w:t>
            </w:r>
            <w:r w:rsidR="00BE33E4">
              <w:rPr>
                <w:lang w:val="lv-LV"/>
              </w:rPr>
              <w:t>Saistībā ar „k</w:t>
            </w:r>
            <w:r w:rsidR="0007595E">
              <w:rPr>
                <w:lang w:val="lv-LV"/>
              </w:rPr>
              <w:t>anālu procedūr</w:t>
            </w:r>
            <w:r w:rsidR="00BE33E4">
              <w:rPr>
                <w:lang w:val="lv-LV"/>
              </w:rPr>
              <w:t>u”</w:t>
            </w:r>
            <w:r w:rsidR="0007595E">
              <w:rPr>
                <w:lang w:val="lv-LV"/>
              </w:rPr>
              <w:t xml:space="preserve"> ir nepieciešams skaidri</w:t>
            </w:r>
            <w:r w:rsidR="004A3463" w:rsidRPr="0007595E">
              <w:rPr>
                <w:lang w:val="lv-LV"/>
              </w:rPr>
              <w:t xml:space="preserve"> formulēt un precizēt </w:t>
            </w:r>
            <w:r w:rsidR="0057206B">
              <w:rPr>
                <w:lang w:val="lv-LV"/>
              </w:rPr>
              <w:t>nosacījumus</w:t>
            </w:r>
            <w:r w:rsidR="004A3463" w:rsidRPr="0007595E">
              <w:rPr>
                <w:lang w:val="lv-LV"/>
              </w:rPr>
              <w:t xml:space="preserve"> dzīvu cūku nosūtīšanai, tranzītam un piegādei</w:t>
            </w:r>
            <w:r w:rsidRPr="0007595E">
              <w:rPr>
                <w:lang w:val="lv-LV"/>
              </w:rPr>
              <w:t>;</w:t>
            </w:r>
          </w:p>
          <w:p w:rsidR="004A3463" w:rsidRPr="0057206B" w:rsidRDefault="00EB4AE1" w:rsidP="004338D9">
            <w:pPr>
              <w:jc w:val="both"/>
              <w:rPr>
                <w:lang w:val="lv-LV"/>
              </w:rPr>
            </w:pPr>
            <w:r w:rsidRPr="0007595E">
              <w:rPr>
                <w:lang w:val="lv-LV"/>
              </w:rPr>
              <w:t xml:space="preserve">6) </w:t>
            </w:r>
            <w:r w:rsidR="004A3463" w:rsidRPr="0007595E">
              <w:rPr>
                <w:lang w:val="lv-LV"/>
              </w:rPr>
              <w:t xml:space="preserve">Īstenošanas lēmumā 2014/709/ES noteikto dzīvnieku veselības kontroles pasākumu piemērošanas periods </w:t>
            </w:r>
            <w:r w:rsidR="0007595E" w:rsidRPr="0007595E">
              <w:rPr>
                <w:lang w:val="lv-LV"/>
              </w:rPr>
              <w:t>ir</w:t>
            </w:r>
            <w:r w:rsidR="004A3463" w:rsidRPr="0007595E">
              <w:rPr>
                <w:lang w:val="lv-LV"/>
              </w:rPr>
              <w:t xml:space="preserve"> jānosaka, ņemot vērā Āfrikas cūku mēra epidemioloģiju un prasītos nosacījumus, kas jāizpilda, lai atgūtu no Āfrikas cūku mēra brīvas teritorijas statusu saskaņā ar Pasaules Dzīvnieku veselības organizācijas Sauszemes dzīvnieku veselības kodeksu. </w:t>
            </w:r>
            <w:r w:rsidR="00BE33E4">
              <w:rPr>
                <w:lang w:val="lv-LV"/>
              </w:rPr>
              <w:t>Tas nozīmē, ka</w:t>
            </w:r>
            <w:r w:rsidR="004A3463" w:rsidRPr="0057206B">
              <w:rPr>
                <w:lang w:val="lv-LV"/>
              </w:rPr>
              <w:t xml:space="preserve"> Īstenošanas lēmuma 2014/709/ES piemērošanas periods </w:t>
            </w:r>
            <w:r w:rsidR="0057206B">
              <w:rPr>
                <w:lang w:val="lv-LV"/>
              </w:rPr>
              <w:t>ir</w:t>
            </w:r>
            <w:r w:rsidR="004A3463" w:rsidRPr="0057206B">
              <w:rPr>
                <w:lang w:val="lv-LV"/>
              </w:rPr>
              <w:t xml:space="preserve"> jāpagarina līdz 2019. gada 31. decembrim</w:t>
            </w:r>
            <w:r w:rsidR="00B6659C">
              <w:rPr>
                <w:lang w:val="lv-LV"/>
              </w:rPr>
              <w:t>;</w:t>
            </w:r>
          </w:p>
          <w:p w:rsidR="004A3463" w:rsidRPr="00C33628" w:rsidRDefault="00EB4AE1" w:rsidP="004338D9">
            <w:pPr>
              <w:jc w:val="both"/>
              <w:rPr>
                <w:lang w:val="lv-LV"/>
              </w:rPr>
            </w:pPr>
            <w:r w:rsidRPr="00C33628">
              <w:rPr>
                <w:lang w:val="lv-LV"/>
              </w:rPr>
              <w:t>7) v</w:t>
            </w:r>
            <w:r w:rsidR="004A3463" w:rsidRPr="00C33628">
              <w:rPr>
                <w:lang w:val="lv-LV"/>
              </w:rPr>
              <w:t xml:space="preserve">airāki Āfrikas cūku mēra gadījumi mežacūkām Igaunijā un Latvijā ir konstatēti apgabalos, kas </w:t>
            </w:r>
            <w:r w:rsidR="00BA606E">
              <w:rPr>
                <w:lang w:val="lv-LV"/>
              </w:rPr>
              <w:t>atrodas</w:t>
            </w:r>
            <w:r w:rsidR="00BA606E" w:rsidRPr="00C33628">
              <w:rPr>
                <w:lang w:val="lv-LV"/>
              </w:rPr>
              <w:t xml:space="preserve"> </w:t>
            </w:r>
            <w:r w:rsidR="004A3463" w:rsidRPr="00C33628">
              <w:rPr>
                <w:lang w:val="lv-LV"/>
              </w:rPr>
              <w:t>Īstenošanas lēmuma 2014/709/ES pielikum</w:t>
            </w:r>
            <w:r w:rsidR="00BA606E">
              <w:rPr>
                <w:lang w:val="lv-LV"/>
              </w:rPr>
              <w:t>ā noteiktajās</w:t>
            </w:r>
            <w:r w:rsidR="004A3463" w:rsidRPr="00C33628">
              <w:rPr>
                <w:lang w:val="lv-LV"/>
              </w:rPr>
              <w:t xml:space="preserve"> II un III </w:t>
            </w:r>
            <w:r w:rsidRPr="00C33628">
              <w:rPr>
                <w:lang w:val="lv-LV"/>
              </w:rPr>
              <w:t>riska zonās</w:t>
            </w:r>
            <w:r w:rsidR="004A3463" w:rsidRPr="00C33628">
              <w:rPr>
                <w:lang w:val="lv-LV"/>
              </w:rPr>
              <w:t xml:space="preserve">. Šie gadījumi ir konstatēti tiešā tuvumā apgabaliem, kas </w:t>
            </w:r>
            <w:r w:rsidR="00A032DE">
              <w:rPr>
                <w:lang w:val="lv-LV"/>
              </w:rPr>
              <w:t>atrodas</w:t>
            </w:r>
            <w:r w:rsidR="004A3463" w:rsidRPr="00C33628">
              <w:rPr>
                <w:lang w:val="lv-LV"/>
              </w:rPr>
              <w:t xml:space="preserve"> I </w:t>
            </w:r>
            <w:r w:rsidR="0057206B" w:rsidRPr="00C33628">
              <w:rPr>
                <w:lang w:val="lv-LV"/>
              </w:rPr>
              <w:t>riska zonā</w:t>
            </w:r>
            <w:r w:rsidR="004A3463" w:rsidRPr="00C33628">
              <w:rPr>
                <w:lang w:val="lv-LV"/>
              </w:rPr>
              <w:t>.</w:t>
            </w:r>
          </w:p>
          <w:p w:rsidR="004A3463" w:rsidRPr="00C33628" w:rsidRDefault="0057206B" w:rsidP="004338D9">
            <w:pPr>
              <w:jc w:val="both"/>
              <w:rPr>
                <w:lang w:val="lv-LV"/>
              </w:rPr>
            </w:pPr>
            <w:r w:rsidRPr="00C33628">
              <w:rPr>
                <w:lang w:val="lv-LV"/>
              </w:rPr>
              <w:t>Iz</w:t>
            </w:r>
            <w:r w:rsidR="004A3463" w:rsidRPr="00C33628">
              <w:rPr>
                <w:lang w:val="lv-LV"/>
              </w:rPr>
              <w:t xml:space="preserve">vērtējot risku, ko rada dzīvnieku veselības situācija saistībā ar Āfrikas cūku mēri Igaunijā, Latvijā un Polijā, </w:t>
            </w:r>
            <w:r w:rsidR="0007595E" w:rsidRPr="00C33628">
              <w:rPr>
                <w:lang w:val="lv-LV"/>
              </w:rPr>
              <w:t xml:space="preserve">ir </w:t>
            </w:r>
            <w:r w:rsidR="004A3463" w:rsidRPr="00C33628">
              <w:rPr>
                <w:lang w:val="lv-LV"/>
              </w:rPr>
              <w:t xml:space="preserve">jāņem vērā pašreizējās epidemioloģiskās situācijas attīstība </w:t>
            </w:r>
            <w:r w:rsidR="00BE33E4">
              <w:rPr>
                <w:lang w:val="lv-LV"/>
              </w:rPr>
              <w:t xml:space="preserve">Eiropas </w:t>
            </w:r>
            <w:r w:rsidR="004A3463" w:rsidRPr="00C33628">
              <w:rPr>
                <w:lang w:val="lv-LV"/>
              </w:rPr>
              <w:t xml:space="preserve">Savienībā attiecībā uz šo slimību. Lai veiktu mērķtiecīgus dzīvnieku veselības kontroles pasākumus un nepieļautu Āfrikas cūku mēra tālāku izplatīšanos, kā arī novērstu nevajadzīgus tirdzniecības traucējumus </w:t>
            </w:r>
            <w:r w:rsidR="00BE33E4">
              <w:rPr>
                <w:lang w:val="lv-LV"/>
              </w:rPr>
              <w:t xml:space="preserve">Eiropas </w:t>
            </w:r>
            <w:r w:rsidR="004A3463" w:rsidRPr="00C33628">
              <w:rPr>
                <w:lang w:val="lv-LV"/>
              </w:rPr>
              <w:t>Savienībā un izvairītos no tā, ka trešās valstis nosaka nepamatotus šķēršļus tirdzniecībai, Īstenošanas lēmuma 2014/709/ES pielikum</w:t>
            </w:r>
            <w:r w:rsidR="00E207CA">
              <w:rPr>
                <w:lang w:val="lv-LV"/>
              </w:rPr>
              <w:t>ā</w:t>
            </w:r>
            <w:r w:rsidR="004A3463" w:rsidRPr="00C33628">
              <w:rPr>
                <w:lang w:val="lv-LV"/>
              </w:rPr>
              <w:t xml:space="preserve"> </w:t>
            </w:r>
            <w:r w:rsidR="00E207CA">
              <w:rPr>
                <w:lang w:val="lv-LV"/>
              </w:rPr>
              <w:t xml:space="preserve">noteiktais </w:t>
            </w:r>
            <w:r w:rsidR="004A3463" w:rsidRPr="00C33628">
              <w:rPr>
                <w:lang w:val="lv-LV"/>
              </w:rPr>
              <w:t>I un II </w:t>
            </w:r>
            <w:r w:rsidR="00EB4AE1" w:rsidRPr="00C33628">
              <w:rPr>
                <w:lang w:val="lv-LV"/>
              </w:rPr>
              <w:t>riska zonu</w:t>
            </w:r>
            <w:r w:rsidR="004A3463" w:rsidRPr="00C33628">
              <w:rPr>
                <w:lang w:val="lv-LV"/>
              </w:rPr>
              <w:t xml:space="preserve"> saraksts ar apgabaliem, kuriem piemēro dzīvnieku veselības kontroles pasākumus, </w:t>
            </w:r>
            <w:r w:rsidR="0007595E" w:rsidRPr="00C33628">
              <w:rPr>
                <w:lang w:val="lv-LV"/>
              </w:rPr>
              <w:t>ir</w:t>
            </w:r>
            <w:r w:rsidR="004A3463" w:rsidRPr="00C33628">
              <w:rPr>
                <w:lang w:val="lv-LV"/>
              </w:rPr>
              <w:t xml:space="preserve"> jāgroza, lai ņemtu vērā pašreizējo dzīvnieku veselības situāciju attiecībā uz </w:t>
            </w:r>
            <w:r w:rsidR="00FB1D2D" w:rsidRPr="00C33628">
              <w:rPr>
                <w:lang w:val="lv-LV"/>
              </w:rPr>
              <w:t xml:space="preserve">Āfrikas cūku mēri </w:t>
            </w:r>
            <w:r w:rsidR="004A3463" w:rsidRPr="00C33628">
              <w:rPr>
                <w:lang w:val="lv-LV"/>
              </w:rPr>
              <w:t>trijās minētajās dalībvalstīs.</w:t>
            </w:r>
          </w:p>
          <w:p w:rsidR="004A3463" w:rsidRDefault="004A3463" w:rsidP="004338D9">
            <w:pPr>
              <w:jc w:val="both"/>
              <w:rPr>
                <w:lang w:val="lv-LV"/>
              </w:rPr>
            </w:pPr>
          </w:p>
          <w:p w:rsidR="004338D9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Āfrikas cūku mēra uzraudzība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>, kontrole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 xml:space="preserve"> un apkarošana</w:t>
            </w:r>
            <w:r w:rsidR="00671E53">
              <w:rPr>
                <w:lang w:val="lv-LV"/>
              </w:rPr>
              <w:t>s kārtība</w:t>
            </w:r>
            <w:r>
              <w:rPr>
                <w:lang w:val="lv-LV"/>
              </w:rPr>
              <w:t xml:space="preserve">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</w:t>
            </w:r>
            <w:r w:rsidR="00EB4AE1" w:rsidRPr="009D669A">
              <w:rPr>
                <w:lang w:val="lv-LV"/>
              </w:rPr>
              <w:t>Ministru kabineta 2004. gada 17. februāra noteikum</w:t>
            </w:r>
            <w:r w:rsidR="005648B8">
              <w:rPr>
                <w:lang w:val="lv-LV"/>
              </w:rPr>
              <w:t>os</w:t>
            </w:r>
            <w:r w:rsidR="00EB4AE1" w:rsidRPr="009D669A">
              <w:rPr>
                <w:lang w:val="lv-LV"/>
              </w:rPr>
              <w:t xml:space="preserve"> Nr.83 „Āfrikas cūku mēra likvidēšanas un draudu novēršanas kārtība” (turpmāk – noteikumi Nr.83)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Īstenošanas</w:t>
            </w:r>
            <w:r w:rsidR="004C518D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lēmum</w:t>
            </w:r>
            <w:r w:rsidR="00D37002">
              <w:rPr>
                <w:lang w:val="lv-LV"/>
              </w:rPr>
              <w:t>a</w:t>
            </w:r>
            <w:r w:rsidR="00AF7992">
              <w:rPr>
                <w:lang w:val="lv-LV"/>
              </w:rPr>
              <w:t xml:space="preserve"> </w:t>
            </w:r>
            <w:r w:rsidR="00EB4AE1">
              <w:rPr>
                <w:lang w:val="lv-LV"/>
              </w:rPr>
              <w:t>2015/2433</w:t>
            </w:r>
            <w:r w:rsidR="008E1A59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normas.</w:t>
            </w:r>
          </w:p>
          <w:p w:rsidR="008E74C8" w:rsidRDefault="00671E53" w:rsidP="008E74C8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Ievērojot minēto,</w:t>
            </w:r>
            <w:r w:rsidR="00AF7992">
              <w:rPr>
                <w:lang w:val="lv-LV"/>
              </w:rPr>
              <w:t xml:space="preserve"> Ministru kabineta noteikumu projektā </w:t>
            </w:r>
            <w:r w:rsidR="003A4C44">
              <w:rPr>
                <w:lang w:val="lv-LV"/>
              </w:rPr>
              <w:t>„</w:t>
            </w:r>
            <w:r w:rsidR="00AF7992">
              <w:rPr>
                <w:lang w:val="lv-LV"/>
              </w:rPr>
              <w:t xml:space="preserve">Grozījumi Ministru kabineta </w:t>
            </w:r>
            <w:r w:rsidR="00AF7992" w:rsidRPr="00AF7992">
              <w:rPr>
                <w:bCs/>
                <w:lang w:val="lv-LV"/>
              </w:rPr>
              <w:t>2004.</w:t>
            </w:r>
            <w:r w:rsidR="003D5368">
              <w:rPr>
                <w:bCs/>
                <w:lang w:val="lv-LV"/>
              </w:rPr>
              <w:t xml:space="preserve"> </w:t>
            </w:r>
            <w:r w:rsidR="00AF7992" w:rsidRPr="00AF7992">
              <w:rPr>
                <w:bCs/>
                <w:lang w:val="lv-LV"/>
              </w:rPr>
              <w:t>gada 17.</w:t>
            </w:r>
            <w:r w:rsidR="003D5368">
              <w:rPr>
                <w:bCs/>
                <w:lang w:val="lv-LV"/>
              </w:rPr>
              <w:t xml:space="preserve"> </w:t>
            </w:r>
            <w:r w:rsidR="00AF7992" w:rsidRPr="00AF7992">
              <w:rPr>
                <w:bCs/>
                <w:lang w:val="lv-LV"/>
              </w:rPr>
              <w:t>februāra noteikumos Nr.83</w:t>
            </w:r>
            <w:r w:rsidR="00AF7992">
              <w:rPr>
                <w:bCs/>
                <w:lang w:val="lv-LV"/>
              </w:rPr>
              <w:t xml:space="preserve"> </w:t>
            </w:r>
            <w:r w:rsidR="00AF7992" w:rsidRPr="00AF7992">
              <w:rPr>
                <w:bCs/>
                <w:lang w:val="lv-LV"/>
              </w:rPr>
              <w:t>„Āfrikas cūku mēra likvidēšanas un draudu novēršanas kārtība””</w:t>
            </w:r>
            <w:r w:rsidR="00AF7992">
              <w:rPr>
                <w:bCs/>
                <w:lang w:val="lv-LV"/>
              </w:rPr>
              <w:t xml:space="preserve"> (turpmāk </w:t>
            </w:r>
            <w:r w:rsidR="00BE7DED">
              <w:rPr>
                <w:bCs/>
                <w:lang w:val="lv-LV"/>
              </w:rPr>
              <w:t>– noteikumu projekts) paredzēts</w:t>
            </w:r>
            <w:r>
              <w:rPr>
                <w:bCs/>
                <w:lang w:val="lv-LV"/>
              </w:rPr>
              <w:t xml:space="preserve"> noteikt</w:t>
            </w:r>
            <w:r w:rsidR="008E74C8">
              <w:rPr>
                <w:bCs/>
                <w:lang w:val="lv-LV"/>
              </w:rPr>
              <w:t>:</w:t>
            </w:r>
          </w:p>
          <w:p w:rsidR="0057206B" w:rsidRDefault="00A41344" w:rsidP="008E74C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</w:t>
            </w:r>
            <w:r w:rsidR="0057206B">
              <w:rPr>
                <w:bCs/>
                <w:lang w:val="lv-LV"/>
              </w:rPr>
              <w:t>)</w:t>
            </w:r>
            <w:r w:rsidR="004776F1">
              <w:rPr>
                <w:bCs/>
                <w:lang w:val="lv-LV"/>
              </w:rPr>
              <w:t xml:space="preserve"> </w:t>
            </w:r>
            <w:r w:rsidR="0057206B">
              <w:rPr>
                <w:bCs/>
                <w:lang w:val="lv-LV"/>
              </w:rPr>
              <w:t>atkāpes dzīvu cūku nosūtīšanai</w:t>
            </w:r>
            <w:r w:rsidR="00BE33E4">
              <w:rPr>
                <w:bCs/>
                <w:lang w:val="lv-LV"/>
              </w:rPr>
              <w:t xml:space="preserve"> tūlītējai</w:t>
            </w:r>
            <w:r w:rsidR="0057206B">
              <w:rPr>
                <w:bCs/>
                <w:lang w:val="lv-LV"/>
              </w:rPr>
              <w:t xml:space="preserve"> nokaušanai no III riska zonas uz citu III riska zonā esošu kautuvi Latvijas teritorijā vai citu Āfrikas cūku mēra skarto dalībvalstu </w:t>
            </w:r>
            <w:r w:rsidR="00E85BEF">
              <w:rPr>
                <w:bCs/>
                <w:lang w:val="lv-LV"/>
              </w:rPr>
              <w:t xml:space="preserve">II vai </w:t>
            </w:r>
            <w:r w:rsidR="0057206B">
              <w:rPr>
                <w:bCs/>
                <w:lang w:val="lv-LV"/>
              </w:rPr>
              <w:t>III riska zonas teritorijā esošu kautuvi;</w:t>
            </w:r>
          </w:p>
          <w:p w:rsidR="00EB4AE1" w:rsidRDefault="003D5368" w:rsidP="008E74C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2</w:t>
            </w:r>
            <w:r w:rsidR="00671E53">
              <w:rPr>
                <w:bCs/>
                <w:lang w:val="lv-LV"/>
              </w:rPr>
              <w:t xml:space="preserve">) </w:t>
            </w:r>
            <w:r w:rsidR="0057206B">
              <w:rPr>
                <w:bCs/>
                <w:lang w:val="lv-LV"/>
              </w:rPr>
              <w:t>atkāpes cūku nosūtīšanai audzēšanas nolūkā no II riska zonas Latvijā uz citu Āfrikas cūku mēra skarto dalībvalstu II vai III riska zonā esošu novietni;</w:t>
            </w:r>
          </w:p>
          <w:p w:rsidR="00D32FFA" w:rsidRDefault="003D5368" w:rsidP="008E74C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</w:t>
            </w:r>
            <w:r w:rsidR="00671E53">
              <w:rPr>
                <w:bCs/>
                <w:lang w:val="lv-LV"/>
              </w:rPr>
              <w:t>)</w:t>
            </w:r>
            <w:r w:rsidR="0057206B">
              <w:rPr>
                <w:bCs/>
                <w:lang w:val="lv-LV"/>
              </w:rPr>
              <w:t xml:space="preserve"> atkāpes tirdzniecībai ar cūku spermu, olšūnām un embrijiem, kuru izcelsme ir II un III riska zona;</w:t>
            </w:r>
          </w:p>
          <w:p w:rsidR="0057206B" w:rsidRDefault="0057206B" w:rsidP="008E74C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4) </w:t>
            </w:r>
            <w:r w:rsidR="00E85BEF">
              <w:rPr>
                <w:bCs/>
                <w:lang w:val="lv-LV"/>
              </w:rPr>
              <w:t>virzīšanas procedūras nosacījumus</w:t>
            </w:r>
            <w:r>
              <w:rPr>
                <w:bCs/>
                <w:lang w:val="lv-LV"/>
              </w:rPr>
              <w:t>;</w:t>
            </w:r>
          </w:p>
          <w:p w:rsidR="0057206B" w:rsidRDefault="0057206B" w:rsidP="0057206B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</w:t>
            </w:r>
            <w:r w:rsidR="00671E53">
              <w:rPr>
                <w:bCs/>
                <w:lang w:val="lv-LV"/>
              </w:rPr>
              <w:t>)</w:t>
            </w:r>
            <w:r w:rsidR="00D32FFA">
              <w:rPr>
                <w:bCs/>
                <w:lang w:val="lv-LV"/>
              </w:rPr>
              <w:t xml:space="preserve"> </w:t>
            </w:r>
            <w:r w:rsidR="00E85BEF">
              <w:rPr>
                <w:bCs/>
                <w:lang w:val="lv-LV"/>
              </w:rPr>
              <w:t>atbilstoši epidemioloģiskajai situācijai</w:t>
            </w:r>
            <w:r w:rsidR="00E85BEF" w:rsidRPr="008E74C8">
              <w:rPr>
                <w:bCs/>
                <w:lang w:val="lv-LV"/>
              </w:rPr>
              <w:t xml:space="preserve"> </w:t>
            </w:r>
            <w:r w:rsidR="006A5F43" w:rsidRPr="008E74C8">
              <w:rPr>
                <w:bCs/>
                <w:lang w:val="lv-LV"/>
              </w:rPr>
              <w:t>prec</w:t>
            </w:r>
            <w:r w:rsidR="00BE33E4">
              <w:rPr>
                <w:bCs/>
                <w:lang w:val="lv-LV"/>
              </w:rPr>
              <w:t>īzākas</w:t>
            </w:r>
            <w:r w:rsidR="006A5F43" w:rsidRPr="008E74C8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I un</w:t>
            </w:r>
            <w:r w:rsidR="00671E53" w:rsidRPr="008E74C8">
              <w:rPr>
                <w:bCs/>
                <w:lang w:val="lv-LV"/>
              </w:rPr>
              <w:t xml:space="preserve"> II riska zonas teritorijas </w:t>
            </w:r>
            <w:r w:rsidR="00BE7DED" w:rsidRPr="008E74C8">
              <w:rPr>
                <w:bCs/>
                <w:lang w:val="lv-LV"/>
              </w:rPr>
              <w:t>Igaunijas</w:t>
            </w:r>
            <w:r w:rsidR="00BE3ED7" w:rsidRPr="008E74C8">
              <w:rPr>
                <w:bCs/>
                <w:lang w:val="lv-LV"/>
              </w:rPr>
              <w:t xml:space="preserve"> Republikā, </w:t>
            </w:r>
            <w:r w:rsidR="00700419" w:rsidRPr="008E74C8">
              <w:rPr>
                <w:bCs/>
                <w:lang w:val="lv-LV"/>
              </w:rPr>
              <w:t>Latvijas</w:t>
            </w:r>
            <w:r w:rsidR="00BE3ED7" w:rsidRPr="008E74C8">
              <w:rPr>
                <w:bCs/>
                <w:lang w:val="lv-LV"/>
              </w:rPr>
              <w:t xml:space="preserve"> Republikā un </w:t>
            </w:r>
            <w:r>
              <w:rPr>
                <w:bCs/>
                <w:lang w:val="lv-LV"/>
              </w:rPr>
              <w:t>Polijas</w:t>
            </w:r>
            <w:r w:rsidR="00BE3ED7" w:rsidRPr="008E74C8">
              <w:rPr>
                <w:bCs/>
                <w:lang w:val="lv-LV"/>
              </w:rPr>
              <w:t xml:space="preserve"> Republikā</w:t>
            </w:r>
            <w:r>
              <w:rPr>
                <w:bCs/>
                <w:lang w:val="lv-LV"/>
              </w:rPr>
              <w:t>;</w:t>
            </w:r>
          </w:p>
          <w:p w:rsidR="00307454" w:rsidRPr="008E74C8" w:rsidRDefault="0057206B" w:rsidP="0057206B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6) </w:t>
            </w:r>
            <w:r w:rsidR="00BE33E4">
              <w:rPr>
                <w:bCs/>
                <w:lang w:val="lv-LV"/>
              </w:rPr>
              <w:t>ka</w:t>
            </w:r>
            <w:r>
              <w:rPr>
                <w:bCs/>
                <w:lang w:val="lv-LV"/>
              </w:rPr>
              <w:t xml:space="preserve"> </w:t>
            </w:r>
            <w:r w:rsidR="00BE33E4">
              <w:rPr>
                <w:bCs/>
                <w:lang w:val="lv-LV"/>
              </w:rPr>
              <w:t xml:space="preserve">noteikumu </w:t>
            </w:r>
            <w:r>
              <w:rPr>
                <w:bCs/>
                <w:lang w:val="lv-LV"/>
              </w:rPr>
              <w:t>Nr. 83 X</w:t>
            </w:r>
            <w:r w:rsidRPr="0057206B">
              <w:rPr>
                <w:bCs/>
                <w:vertAlign w:val="superscript"/>
                <w:lang w:val="lv-LV"/>
              </w:rPr>
              <w:t>2</w:t>
            </w:r>
            <w:r>
              <w:rPr>
                <w:bCs/>
                <w:lang w:val="lv-LV"/>
              </w:rPr>
              <w:t xml:space="preserve"> nodaļas nosacījumu piemērošanas ilgums </w:t>
            </w:r>
            <w:r w:rsidR="00BE33E4">
              <w:rPr>
                <w:bCs/>
                <w:lang w:val="lv-LV"/>
              </w:rPr>
              <w:t xml:space="preserve">tiek </w:t>
            </w:r>
            <w:r>
              <w:rPr>
                <w:bCs/>
                <w:lang w:val="lv-LV"/>
              </w:rPr>
              <w:t>pagarināts līdz 2019. gada 31. decembrim.</w:t>
            </w:r>
            <w:r w:rsidR="00BE7DED" w:rsidRPr="008E74C8">
              <w:rPr>
                <w:bCs/>
                <w:lang w:val="lv-LV"/>
              </w:rPr>
              <w:t xml:space="preserve"> </w:t>
            </w:r>
          </w:p>
        </w:tc>
      </w:tr>
      <w:tr w:rsidR="005D73DE" w:rsidRPr="0057206B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57206B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DA371E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9E2709">
              <w:rPr>
                <w:b/>
                <w:sz w:val="28"/>
                <w:szCs w:val="28"/>
                <w:lang w:val="lv-LV"/>
              </w:rPr>
              <w:t>,</w:t>
            </w:r>
            <w:r w:rsidR="00D533EA"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DA371E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E312B1" w:rsidRDefault="00E312B1" w:rsidP="006A29A5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</w:t>
            </w:r>
            <w:proofErr w:type="gramStart"/>
            <w:r w:rsidR="00985B95">
              <w:rPr>
                <w:lang w:val="lv-LV"/>
              </w:rPr>
              <w:t xml:space="preserve"> </w:t>
            </w:r>
            <w:r w:rsidR="006A29A5" w:rsidRPr="006A29A5">
              <w:rPr>
                <w:lang w:val="lv-LV"/>
              </w:rPr>
              <w:t xml:space="preserve"> </w:t>
            </w:r>
            <w:proofErr w:type="gramEnd"/>
            <w:r w:rsidR="006A29A5" w:rsidRPr="006A29A5">
              <w:rPr>
                <w:lang w:val="lv-LV"/>
              </w:rPr>
              <w:t xml:space="preserve">01.07.2015. </w:t>
            </w:r>
            <w:r w:rsidR="00DD5642">
              <w:rPr>
                <w:lang w:val="lv-LV"/>
              </w:rPr>
              <w:t xml:space="preserve">bija </w:t>
            </w:r>
            <w:r w:rsidR="006A29A5" w:rsidRPr="006A29A5">
              <w:rPr>
                <w:lang w:val="lv-LV"/>
              </w:rPr>
              <w:t>reģistrēti 5644 cūku sugas dzīvnieku ganāmpulki</w:t>
            </w:r>
            <w:r w:rsidR="006A29A5">
              <w:rPr>
                <w:lang w:val="lv-LV"/>
              </w:rPr>
              <w:t xml:space="preserve"> (ganāmpulki, kuros dzīvnieki tiek turēti </w:t>
            </w:r>
            <w:r w:rsidR="00671E53">
              <w:rPr>
                <w:lang w:val="lv-LV"/>
              </w:rPr>
              <w:t xml:space="preserve">gan </w:t>
            </w:r>
            <w:r w:rsidR="006A29A5">
              <w:rPr>
                <w:lang w:val="lv-LV"/>
              </w:rPr>
              <w:t>komerciālos nolūkos, gan pašpatēriņam)</w:t>
            </w:r>
            <w:r w:rsidR="006A29A5" w:rsidRPr="006A29A5">
              <w:rPr>
                <w:lang w:val="lv-LV"/>
              </w:rPr>
              <w:t>, tai skaitā 33 ganāmpulki</w:t>
            </w:r>
            <w:r w:rsidR="006A29A5">
              <w:rPr>
                <w:lang w:val="lv-LV"/>
              </w:rPr>
              <w:t xml:space="preserve">, </w:t>
            </w:r>
            <w:r w:rsidR="00DD5642">
              <w:rPr>
                <w:lang w:val="lv-LV"/>
              </w:rPr>
              <w:t xml:space="preserve">par </w:t>
            </w:r>
            <w:r w:rsidR="006A29A5">
              <w:rPr>
                <w:lang w:val="lv-LV"/>
              </w:rPr>
              <w:t>kur</w:t>
            </w:r>
            <w:r w:rsidR="00DD5642">
              <w:rPr>
                <w:lang w:val="lv-LV"/>
              </w:rPr>
              <w:t>iem</w:t>
            </w:r>
            <w:r w:rsidR="006A29A5">
              <w:rPr>
                <w:lang w:val="lv-LV"/>
              </w:rPr>
              <w:t xml:space="preserve"> ziņots</w:t>
            </w:r>
            <w:r w:rsidR="00DD5642">
              <w:rPr>
                <w:lang w:val="lv-LV"/>
              </w:rPr>
              <w:t>, ka tajos ir</w:t>
            </w:r>
            <w:r w:rsidR="006A29A5">
              <w:rPr>
                <w:lang w:val="lv-LV"/>
              </w:rPr>
              <w:t xml:space="preserve"> mežacūkas</w:t>
            </w:r>
            <w:r w:rsidRPr="00E312B1">
              <w:rPr>
                <w:lang w:val="lv-LV"/>
              </w:rPr>
              <w:t>.</w:t>
            </w:r>
          </w:p>
        </w:tc>
      </w:tr>
      <w:tr w:rsidR="005D73DE" w:rsidRPr="00000CAA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454" w:rsidRPr="00E04435" w:rsidRDefault="00BE7DED" w:rsidP="00FA7D7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projekts šo jomu neskar.</w:t>
            </w:r>
          </w:p>
        </w:tc>
      </w:tr>
      <w:tr w:rsidR="005D73DE" w:rsidRPr="00000CAA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B02ED1" w:rsidRPr="009E2709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>sadaļa 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6"/>
        <w:gridCol w:w="1911"/>
        <w:gridCol w:w="721"/>
        <w:gridCol w:w="1736"/>
        <w:gridCol w:w="1051"/>
        <w:gridCol w:w="917"/>
        <w:gridCol w:w="2233"/>
        <w:gridCol w:w="15"/>
      </w:tblGrid>
      <w:tr w:rsidR="005D73DE" w:rsidRPr="00000CAA" w:rsidTr="00831A6C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9E2709">
              <w:rPr>
                <w:b/>
                <w:bCs/>
                <w:sz w:val="28"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DA371E" w:rsidTr="00831A6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A04" w:rsidRPr="00EB4AE1" w:rsidRDefault="00C14BAF" w:rsidP="00700419">
            <w:pPr>
              <w:jc w:val="both"/>
              <w:rPr>
                <w:lang w:val="lv-LV"/>
              </w:rPr>
            </w:pPr>
            <w:r w:rsidRPr="00EB4AE1">
              <w:rPr>
                <w:lang w:val="lv-LV"/>
              </w:rPr>
              <w:t>Noteikumu projektā iekļautas tiesību normas, kas izriet no</w:t>
            </w:r>
            <w:r w:rsidR="005A2A04" w:rsidRPr="00EB4AE1">
              <w:rPr>
                <w:lang w:val="lv-LV"/>
              </w:rPr>
              <w:t xml:space="preserve">: </w:t>
            </w:r>
          </w:p>
          <w:p w:rsidR="009E04D3" w:rsidRDefault="00EB4AE1" w:rsidP="00DE13CB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Komisijas</w:t>
            </w:r>
            <w:r w:rsidRPr="00EB4AE1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2015. gada 18. decembra Īstenošanas lēmuma</w:t>
            </w:r>
            <w:r w:rsidRPr="00EB4AE1">
              <w:rPr>
                <w:bCs/>
                <w:lang w:val="lv-LV"/>
              </w:rPr>
              <w:t xml:space="preserve"> (ES) 2015/2433,</w:t>
            </w:r>
            <w:r>
              <w:rPr>
                <w:bCs/>
                <w:lang w:val="lv-LV"/>
              </w:rPr>
              <w:t xml:space="preserve"> </w:t>
            </w:r>
            <w:r w:rsidRPr="00EB4AE1">
              <w:rPr>
                <w:bCs/>
                <w:lang w:val="lv-LV"/>
              </w:rPr>
              <w:t>ar ko attiecībā uz dzīvnieku veselības kontroles pasākumiem saistībā ar Āfrikas cūku mēri dažās dalībvalstīs groza Īstenošanas lēmumu 2014/709/ES</w:t>
            </w:r>
            <w:r w:rsidR="00DE13CB">
              <w:rPr>
                <w:bCs/>
                <w:lang w:val="lv-LV"/>
              </w:rPr>
              <w:t xml:space="preserve"> (turpmāk – Īstenošanas lēmums </w:t>
            </w:r>
            <w:r w:rsidR="00DE13CB" w:rsidRPr="00DE13CB">
              <w:rPr>
                <w:bCs/>
                <w:lang w:val="lv-LV"/>
              </w:rPr>
              <w:t>2015/2433</w:t>
            </w:r>
            <w:r w:rsidR="00DE13CB">
              <w:rPr>
                <w:bCs/>
                <w:lang w:val="lv-LV"/>
              </w:rPr>
              <w:t>/ES)</w:t>
            </w:r>
            <w:r w:rsidR="00A36F9A">
              <w:rPr>
                <w:bCs/>
                <w:lang w:val="lv-LV"/>
              </w:rPr>
              <w:t>;</w:t>
            </w:r>
          </w:p>
          <w:p w:rsidR="00A36F9A" w:rsidRPr="00EB4AE1" w:rsidRDefault="00A36F9A" w:rsidP="00DE13CB">
            <w:pPr>
              <w:jc w:val="both"/>
              <w:rPr>
                <w:bCs/>
                <w:lang w:val="lv-LV"/>
              </w:rPr>
            </w:pPr>
            <w:r w:rsidRPr="00A36F9A">
              <w:rPr>
                <w:bCs/>
                <w:lang w:val="lv-LV"/>
              </w:rPr>
              <w:t>Eiropas Parlamenta un Padomes 2009.</w:t>
            </w:r>
            <w:r>
              <w:rPr>
                <w:bCs/>
                <w:lang w:val="lv-LV"/>
              </w:rPr>
              <w:t xml:space="preserve"> </w:t>
            </w:r>
            <w:r w:rsidRPr="00A36F9A">
              <w:rPr>
                <w:bCs/>
                <w:lang w:val="lv-LV"/>
              </w:rPr>
              <w:t>gada 21.</w:t>
            </w:r>
            <w:r>
              <w:rPr>
                <w:bCs/>
                <w:lang w:val="lv-LV"/>
              </w:rPr>
              <w:t xml:space="preserve"> </w:t>
            </w:r>
            <w:r w:rsidR="007B7907">
              <w:rPr>
                <w:bCs/>
                <w:lang w:val="lv-LV"/>
              </w:rPr>
              <w:t>oktobra Regula</w:t>
            </w:r>
            <w:r w:rsidRPr="00A36F9A">
              <w:rPr>
                <w:bCs/>
                <w:lang w:val="lv-LV"/>
              </w:rPr>
              <w:t xml:space="preserve"> (EK) Nr.1069/2009, ar ko nosaka veselības aizsardzības noteikumus attiecībā uz dzīvnieku izcelsmes </w:t>
            </w:r>
            <w:r w:rsidRPr="00A36F9A">
              <w:rPr>
                <w:bCs/>
                <w:lang w:val="lv-LV"/>
              </w:rPr>
              <w:lastRenderedPageBreak/>
              <w:t xml:space="preserve">blakusproduktiem un atvasinātajiem produktiem, kuri nav paredzēti cilvēku patēriņam, un ar ko atceļ Regulu (EK) Nr.1774/2002 (turpmāk – Regula </w:t>
            </w:r>
            <w:r>
              <w:rPr>
                <w:bCs/>
                <w:lang w:val="lv-LV"/>
              </w:rPr>
              <w:t xml:space="preserve">(EK) </w:t>
            </w:r>
            <w:r w:rsidRPr="00A36F9A">
              <w:rPr>
                <w:bCs/>
                <w:lang w:val="lv-LV"/>
              </w:rPr>
              <w:t>Nr.</w:t>
            </w:r>
            <w:r w:rsidR="007B7907">
              <w:rPr>
                <w:bCs/>
                <w:lang w:val="lv-LV"/>
              </w:rPr>
              <w:t xml:space="preserve"> </w:t>
            </w:r>
            <w:r w:rsidRPr="00A36F9A">
              <w:rPr>
                <w:bCs/>
                <w:lang w:val="lv-LV"/>
              </w:rPr>
              <w:t>1069/2009)</w:t>
            </w:r>
            <w:r w:rsidR="00831A6C">
              <w:rPr>
                <w:bCs/>
                <w:lang w:val="lv-LV"/>
              </w:rPr>
              <w:t>.</w:t>
            </w:r>
          </w:p>
        </w:tc>
      </w:tr>
      <w:tr w:rsidR="005D73DE" w:rsidRPr="00F20442" w:rsidTr="00831A6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:rsidTr="00831A6C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000CAA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675" w:type="pct"/>
            <w:gridSpan w:val="6"/>
          </w:tcPr>
          <w:p w:rsidR="00FB20CF" w:rsidRDefault="00EB4AE1" w:rsidP="00FC7853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EB4AE1">
              <w:rPr>
                <w:bCs/>
              </w:rPr>
              <w:t>Komisijas 2015. gada 18. decembra Īstenošanas l</w:t>
            </w:r>
            <w:r>
              <w:rPr>
                <w:bCs/>
              </w:rPr>
              <w:t>ēmums</w:t>
            </w:r>
            <w:r w:rsidRPr="00EB4AE1">
              <w:rPr>
                <w:bCs/>
              </w:rPr>
              <w:t xml:space="preserve"> (ES) 2015/2433, ar ko attiecībā uz dzīvnieku veselības kontroles pasākumiem saistībā ar Āfrikas cūku mēri dažās dalībvalstīs groza Īstenošanas lēmumu 2014/709/ES.</w:t>
            </w:r>
          </w:p>
          <w:p w:rsidR="007B7907" w:rsidRPr="007B7907" w:rsidRDefault="007B7907" w:rsidP="00FC7853">
            <w:pPr>
              <w:pStyle w:val="naiskr"/>
              <w:spacing w:before="0" w:beforeAutospacing="0" w:after="0" w:afterAutospacing="0"/>
              <w:jc w:val="both"/>
            </w:pPr>
            <w:r w:rsidRPr="007B7907">
              <w:rPr>
                <w:bCs/>
              </w:rPr>
              <w:t>Eiropas Parlamenta un Padomes 2009. gada 21. oktobra Regula (EK) Nr.1069/2009, ar ko nosaka veselības aizsardzības noteikumus attiecībā uz dzīvnieku izcelsmes blakusproduktiem un atvasinātajiem produktiem, kuri nav paredzēti cilvēku patēriņam, un ar ko atceļ Regulu (EK) Nr.</w:t>
            </w:r>
            <w:r>
              <w:rPr>
                <w:bCs/>
              </w:rPr>
              <w:t xml:space="preserve"> </w:t>
            </w:r>
            <w:r w:rsidRPr="007B7907">
              <w:rPr>
                <w:bCs/>
              </w:rPr>
              <w:t>1774/2002</w:t>
            </w:r>
            <w:r w:rsidR="00831A6C">
              <w:rPr>
                <w:bCs/>
              </w:rPr>
              <w:t>.</w:t>
            </w:r>
          </w:p>
        </w:tc>
      </w:tr>
      <w:tr w:rsidR="005D73DE" w:rsidRPr="00384CF4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353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321" w:type="pct"/>
            <w:gridSpan w:val="2"/>
          </w:tcPr>
          <w:p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353" w:type="pct"/>
            <w:gridSpan w:val="2"/>
          </w:tcPr>
          <w:p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D062E2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D062E2" w:rsidRDefault="00DE13CB" w:rsidP="009A0242">
            <w:pPr>
              <w:jc w:val="both"/>
              <w:rPr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 w:rsidRPr="00BE33E4">
              <w:rPr>
                <w:lang w:val="fi-FI"/>
              </w:rPr>
              <w:t xml:space="preserve"> 1. panta 1</w:t>
            </w:r>
            <w:r w:rsidR="009A0242" w:rsidRPr="00BE33E4">
              <w:rPr>
                <w:lang w:val="fi-FI"/>
              </w:rPr>
              <w:t>. punkta</w:t>
            </w:r>
            <w:r w:rsidRPr="00BE33E4">
              <w:rPr>
                <w:lang w:val="fi-FI"/>
              </w:rPr>
              <w:t xml:space="preserve"> </w:t>
            </w:r>
            <w:r w:rsidR="009A0242" w:rsidRPr="00BE33E4">
              <w:rPr>
                <w:lang w:val="fi-FI"/>
              </w:rPr>
              <w:t>“</w:t>
            </w:r>
            <w:r w:rsidRPr="00BE33E4">
              <w:rPr>
                <w:lang w:val="fi-FI"/>
              </w:rPr>
              <w:t>a</w:t>
            </w:r>
            <w:r w:rsidR="009A0242" w:rsidRPr="00BE33E4">
              <w:rPr>
                <w:lang w:val="fi-FI"/>
              </w:rPr>
              <w:t>” apakšpunkts</w:t>
            </w:r>
          </w:p>
        </w:tc>
        <w:tc>
          <w:tcPr>
            <w:tcW w:w="1353" w:type="pct"/>
            <w:gridSpan w:val="2"/>
            <w:vAlign w:val="center"/>
          </w:tcPr>
          <w:p w:rsidR="00D062E2" w:rsidRPr="00660770" w:rsidRDefault="00BE33E4" w:rsidP="00C07314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60770">
              <w:t xml:space="preserve">. punkts (noteikumu Nr. 83 </w:t>
            </w:r>
            <w:r w:rsidR="00660770" w:rsidRPr="00660770">
              <w:rPr>
                <w:lang w:val="en-GB"/>
              </w:rPr>
              <w:t>71.</w:t>
            </w:r>
            <w:r w:rsidR="00660770" w:rsidRPr="00660770">
              <w:rPr>
                <w:vertAlign w:val="superscript"/>
                <w:lang w:val="en-GB"/>
              </w:rPr>
              <w:t>10</w:t>
            </w:r>
            <w:r w:rsidR="00660770">
              <w:rPr>
                <w:lang w:val="en-GB"/>
              </w:rPr>
              <w:t xml:space="preserve"> </w:t>
            </w:r>
            <w:proofErr w:type="spellStart"/>
            <w:r w:rsidR="00660770">
              <w:rPr>
                <w:lang w:val="en-GB"/>
              </w:rPr>
              <w:t>punkts</w:t>
            </w:r>
            <w:proofErr w:type="spellEnd"/>
            <w:r w:rsidR="00660770">
              <w:rPr>
                <w:lang w:val="en-GB"/>
              </w:rPr>
              <w:t>)</w:t>
            </w:r>
          </w:p>
        </w:tc>
        <w:tc>
          <w:tcPr>
            <w:tcW w:w="1084" w:type="pct"/>
            <w:gridSpan w:val="2"/>
          </w:tcPr>
          <w:p w:rsidR="00D062E2" w:rsidRPr="00FE4461" w:rsidRDefault="00D062E2" w:rsidP="005D73DE">
            <w:pPr>
              <w:pStyle w:val="naiskr"/>
              <w:spacing w:before="0" w:beforeAutospacing="0" w:after="0" w:afterAutospacing="0"/>
              <w:jc w:val="both"/>
            </w:pPr>
            <w:r w:rsidRPr="005A2A04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062E2" w:rsidRPr="00E312B1" w:rsidRDefault="00D062E2" w:rsidP="005D73DE">
            <w:pPr>
              <w:pStyle w:val="naiskr"/>
              <w:spacing w:before="0" w:beforeAutospacing="0" w:after="0" w:afterAutospacing="0"/>
              <w:jc w:val="both"/>
            </w:pPr>
            <w:r w:rsidRPr="00D062E2">
              <w:t>Attiecīgais noteikumu projekta punkts neparedz stingrākas prasības kā ES tiesību aktā.</w:t>
            </w:r>
          </w:p>
        </w:tc>
      </w:tr>
      <w:tr w:rsidR="00D062E2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D062E2" w:rsidRDefault="00DE13CB" w:rsidP="005F0F85">
            <w:pPr>
              <w:jc w:val="both"/>
              <w:rPr>
                <w:lang w:val="lv-LV"/>
              </w:rPr>
            </w:pPr>
            <w:r w:rsidRPr="00DE13CB">
              <w:rPr>
                <w:bCs/>
                <w:lang w:val="lv-LV"/>
              </w:rPr>
              <w:lastRenderedPageBreak/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1</w:t>
            </w:r>
            <w:r w:rsidR="005F0F85">
              <w:rPr>
                <w:bCs/>
                <w:lang w:val="lv-LV"/>
              </w:rPr>
              <w:t>. punkta</w:t>
            </w:r>
            <w:r>
              <w:rPr>
                <w:bCs/>
                <w:lang w:val="lv-LV"/>
              </w:rPr>
              <w:t xml:space="preserve"> </w:t>
            </w:r>
            <w:r w:rsidR="005F0F85">
              <w:rPr>
                <w:bCs/>
                <w:lang w:val="lv-LV"/>
              </w:rPr>
              <w:t>“</w:t>
            </w:r>
            <w:r>
              <w:rPr>
                <w:bCs/>
                <w:lang w:val="lv-LV"/>
              </w:rPr>
              <w:t>b</w:t>
            </w:r>
            <w:r w:rsidR="005F0F85">
              <w:rPr>
                <w:bCs/>
                <w:lang w:val="lv-LV"/>
              </w:rPr>
              <w:t>” apakšpunkts</w:t>
            </w:r>
          </w:p>
        </w:tc>
        <w:tc>
          <w:tcPr>
            <w:tcW w:w="1353" w:type="pct"/>
            <w:gridSpan w:val="2"/>
            <w:vAlign w:val="center"/>
          </w:tcPr>
          <w:p w:rsidR="00D062E2" w:rsidRDefault="00BE33E4" w:rsidP="00C07314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60770" w:rsidRPr="00FB351D">
              <w:t>. punkts (noteikumu Nr. 83 71.</w:t>
            </w:r>
            <w:r w:rsidR="008F6EF8" w:rsidRPr="00FB351D">
              <w:rPr>
                <w:vertAlign w:val="superscript"/>
              </w:rPr>
              <w:t>11</w:t>
            </w:r>
            <w:proofErr w:type="gramStart"/>
            <w:r w:rsidR="00660770" w:rsidRPr="00FB351D">
              <w:rPr>
                <w:vertAlign w:val="superscript"/>
              </w:rPr>
              <w:t xml:space="preserve"> </w:t>
            </w:r>
            <w:r w:rsidR="00660770" w:rsidRPr="00FB351D">
              <w:t xml:space="preserve"> </w:t>
            </w:r>
            <w:proofErr w:type="gramEnd"/>
            <w:r w:rsidR="00660770" w:rsidRPr="00FB351D">
              <w:t>punkts)</w:t>
            </w:r>
          </w:p>
        </w:tc>
        <w:tc>
          <w:tcPr>
            <w:tcW w:w="1084" w:type="pct"/>
            <w:gridSpan w:val="2"/>
          </w:tcPr>
          <w:p w:rsidR="00D062E2" w:rsidRPr="00FE4461" w:rsidRDefault="00D062E2" w:rsidP="005D73DE">
            <w:pPr>
              <w:pStyle w:val="naiskr"/>
              <w:spacing w:before="0" w:beforeAutospacing="0" w:after="0" w:afterAutospacing="0"/>
              <w:jc w:val="both"/>
            </w:pPr>
            <w:r w:rsidRPr="001316FA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062E2" w:rsidRPr="00D062E2" w:rsidRDefault="00D062E2" w:rsidP="005D73DE">
            <w:pPr>
              <w:pStyle w:val="naiskr"/>
              <w:spacing w:before="0" w:beforeAutospacing="0" w:after="0" w:afterAutospacing="0"/>
              <w:jc w:val="both"/>
            </w:pPr>
            <w:r w:rsidRPr="00D062E2">
              <w:t>Attiecīgais noteikumu projekta punkts neparedz stingrākas prasības kā ES tiesību aktā.</w:t>
            </w:r>
          </w:p>
        </w:tc>
      </w:tr>
      <w:tr w:rsidR="005D73DE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FB20CF" w:rsidRPr="009E2709" w:rsidRDefault="00DE13CB" w:rsidP="00DE13CB">
            <w:pPr>
              <w:jc w:val="both"/>
              <w:rPr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2</w:t>
            </w:r>
            <w:r w:rsidR="005F0F85">
              <w:rPr>
                <w:bCs/>
                <w:lang w:val="lv-LV"/>
              </w:rPr>
              <w:t>. punkts</w:t>
            </w:r>
          </w:p>
        </w:tc>
        <w:tc>
          <w:tcPr>
            <w:tcW w:w="1353" w:type="pct"/>
            <w:gridSpan w:val="2"/>
            <w:vAlign w:val="center"/>
          </w:tcPr>
          <w:p w:rsidR="00FB20CF" w:rsidRPr="00A0091D" w:rsidRDefault="00BE33E4" w:rsidP="008F6EF8">
            <w:pPr>
              <w:pStyle w:val="naiskr"/>
              <w:spacing w:after="0"/>
              <w:jc w:val="both"/>
            </w:pPr>
            <w:r>
              <w:rPr>
                <w:lang w:val="fi-FI"/>
              </w:rPr>
              <w:t>4</w:t>
            </w:r>
            <w:r w:rsidR="00660770" w:rsidRPr="00BE33E4">
              <w:rPr>
                <w:lang w:val="fi-FI"/>
              </w:rPr>
              <w:t>. punkts (noteikumu Nr. 83 71.</w:t>
            </w:r>
            <w:r w:rsidR="008F6EF8" w:rsidRPr="00BE33E4">
              <w:rPr>
                <w:vertAlign w:val="superscript"/>
                <w:lang w:val="fi-FI"/>
              </w:rPr>
              <w:t>12</w:t>
            </w:r>
            <w:r w:rsidR="00660770" w:rsidRPr="00BE33E4">
              <w:rPr>
                <w:vertAlign w:val="superscript"/>
                <w:lang w:val="fi-FI"/>
              </w:rPr>
              <w:t xml:space="preserve"> </w:t>
            </w:r>
            <w:r w:rsidR="00660770" w:rsidRPr="00BE33E4">
              <w:rPr>
                <w:lang w:val="fi-FI"/>
              </w:rPr>
              <w:t xml:space="preserve"> </w:t>
            </w:r>
            <w:r w:rsidR="008F6EF8" w:rsidRPr="00BE33E4">
              <w:rPr>
                <w:lang w:val="fi-FI"/>
              </w:rPr>
              <w:t>un 71.</w:t>
            </w:r>
            <w:r w:rsidR="008F6EF8" w:rsidRPr="00BE33E4">
              <w:rPr>
                <w:vertAlign w:val="superscript"/>
                <w:lang w:val="fi-FI"/>
              </w:rPr>
              <w:t xml:space="preserve">13 </w:t>
            </w:r>
            <w:r w:rsidR="008F6EF8" w:rsidRPr="00BE33E4">
              <w:rPr>
                <w:lang w:val="fi-FI"/>
              </w:rPr>
              <w:t xml:space="preserve"> </w:t>
            </w:r>
            <w:r w:rsidR="00660770" w:rsidRPr="00BE33E4">
              <w:rPr>
                <w:lang w:val="fi-FI"/>
              </w:rPr>
              <w:t>punkts)</w:t>
            </w:r>
          </w:p>
        </w:tc>
        <w:tc>
          <w:tcPr>
            <w:tcW w:w="1084" w:type="pct"/>
            <w:gridSpan w:val="2"/>
          </w:tcPr>
          <w:p w:rsidR="00FB20C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B20CF" w:rsidRPr="00E312B1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7D44C5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7D44C5" w:rsidRDefault="00DE13CB" w:rsidP="00DE13CB">
            <w:pPr>
              <w:jc w:val="both"/>
              <w:rPr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3</w:t>
            </w:r>
            <w:r w:rsidR="005F0F85">
              <w:rPr>
                <w:bCs/>
                <w:lang w:val="lv-LV"/>
              </w:rPr>
              <w:t>. punkts</w:t>
            </w:r>
          </w:p>
        </w:tc>
        <w:tc>
          <w:tcPr>
            <w:tcW w:w="1353" w:type="pct"/>
            <w:gridSpan w:val="2"/>
            <w:vAlign w:val="center"/>
          </w:tcPr>
          <w:p w:rsidR="007D44C5" w:rsidRDefault="00BE33E4" w:rsidP="00FB351D">
            <w:pPr>
              <w:pStyle w:val="naiskr"/>
              <w:spacing w:before="0" w:beforeAutospacing="0" w:after="0" w:afterAutospacing="0"/>
              <w:jc w:val="both"/>
            </w:pPr>
            <w:r>
              <w:rPr>
                <w:lang w:val="fi-FI"/>
              </w:rPr>
              <w:t>4</w:t>
            </w:r>
            <w:r w:rsidR="00660770" w:rsidRPr="00BE33E4">
              <w:rPr>
                <w:lang w:val="fi-FI"/>
              </w:rPr>
              <w:t>. punkts (noteikumu Nr. 83 71.</w:t>
            </w:r>
            <w:r w:rsidR="008F6EF8" w:rsidRPr="00BE33E4">
              <w:rPr>
                <w:vertAlign w:val="superscript"/>
                <w:lang w:val="fi-FI"/>
              </w:rPr>
              <w:t>14</w:t>
            </w:r>
            <w:r w:rsidR="00660770" w:rsidRPr="00BE33E4">
              <w:rPr>
                <w:vertAlign w:val="superscript"/>
                <w:lang w:val="fi-FI"/>
              </w:rPr>
              <w:t xml:space="preserve"> </w:t>
            </w:r>
            <w:r w:rsidR="00660770" w:rsidRPr="00BE33E4">
              <w:rPr>
                <w:lang w:val="fi-FI"/>
              </w:rPr>
              <w:t xml:space="preserve"> </w:t>
            </w:r>
            <w:r w:rsidR="008F6EF8" w:rsidRPr="00BE33E4">
              <w:rPr>
                <w:lang w:val="fi-FI"/>
              </w:rPr>
              <w:t>punkta ievaddaļa un 71.</w:t>
            </w:r>
            <w:r w:rsidR="00FB351D" w:rsidRPr="00BE33E4">
              <w:rPr>
                <w:vertAlign w:val="superscript"/>
                <w:lang w:val="fi-FI"/>
              </w:rPr>
              <w:t>20</w:t>
            </w:r>
            <w:r w:rsidR="008F6EF8" w:rsidRPr="00BE33E4">
              <w:rPr>
                <w:vertAlign w:val="superscript"/>
                <w:lang w:val="fi-FI"/>
              </w:rPr>
              <w:t xml:space="preserve"> </w:t>
            </w:r>
            <w:r w:rsidR="008F6EF8" w:rsidRPr="00BE33E4">
              <w:rPr>
                <w:lang w:val="fi-FI"/>
              </w:rPr>
              <w:t xml:space="preserve"> </w:t>
            </w:r>
            <w:r w:rsidR="00660770" w:rsidRPr="00BE33E4">
              <w:rPr>
                <w:lang w:val="fi-FI"/>
              </w:rPr>
              <w:t>punkts)</w:t>
            </w:r>
          </w:p>
        </w:tc>
        <w:tc>
          <w:tcPr>
            <w:tcW w:w="1084" w:type="pct"/>
            <w:gridSpan w:val="2"/>
          </w:tcPr>
          <w:p w:rsidR="007D44C5" w:rsidRPr="00FE4461" w:rsidRDefault="007D44C5" w:rsidP="005D73DE">
            <w:pPr>
              <w:pStyle w:val="naiskr"/>
              <w:spacing w:before="0" w:beforeAutospacing="0" w:after="0" w:afterAutospacing="0"/>
              <w:jc w:val="both"/>
            </w:pPr>
            <w:r w:rsidRPr="00C07314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7D44C5" w:rsidRPr="00E312B1" w:rsidRDefault="007D44C5" w:rsidP="005D73DE">
            <w:pPr>
              <w:pStyle w:val="naiskr"/>
              <w:spacing w:before="0" w:beforeAutospacing="0" w:after="0" w:afterAutospacing="0"/>
              <w:jc w:val="both"/>
            </w:pPr>
            <w:r w:rsidRPr="007D44C5">
              <w:t>Attiecīgais noteikumu projekta punkts neparedz stingrākas prasības kā ES tiesību aktā.</w:t>
            </w:r>
          </w:p>
        </w:tc>
      </w:tr>
      <w:tr w:rsidR="008A4C9D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8A4C9D" w:rsidRPr="00DE13CB" w:rsidRDefault="00A36F9A" w:rsidP="00DE13CB">
            <w:pPr>
              <w:jc w:val="both"/>
              <w:rPr>
                <w:bCs/>
                <w:lang w:val="lv-LV"/>
              </w:rPr>
            </w:pPr>
            <w:r w:rsidRPr="00A36F9A">
              <w:rPr>
                <w:bCs/>
                <w:lang w:val="lv-LV"/>
              </w:rPr>
              <w:t>Regulas (EK) Nr. </w:t>
            </w:r>
            <w:hyperlink r:id="rId7" w:tgtFrame="_blank" w:history="1">
              <w:r w:rsidRPr="00A36F9A">
                <w:rPr>
                  <w:rStyle w:val="Hipersaite"/>
                  <w:bCs/>
                  <w:color w:val="auto"/>
                  <w:u w:val="none"/>
                  <w:lang w:val="lv-LV"/>
                </w:rPr>
                <w:t>1069/2009</w:t>
              </w:r>
            </w:hyperlink>
            <w:r w:rsidRPr="00A36F9A">
              <w:rPr>
                <w:bCs/>
                <w:lang w:val="lv-LV"/>
              </w:rPr>
              <w:t xml:space="preserve"> 24. panta 1. punkta "a", "b" un "c" apakšpunkt</w:t>
            </w:r>
            <w:r>
              <w:rPr>
                <w:bCs/>
                <w:lang w:val="lv-LV"/>
              </w:rPr>
              <w:t>s</w:t>
            </w:r>
          </w:p>
        </w:tc>
        <w:tc>
          <w:tcPr>
            <w:tcW w:w="1353" w:type="pct"/>
            <w:gridSpan w:val="2"/>
            <w:vAlign w:val="center"/>
          </w:tcPr>
          <w:p w:rsidR="008A4C9D" w:rsidRDefault="008A4C9D" w:rsidP="008A4C9D">
            <w:pPr>
              <w:pStyle w:val="naiskr"/>
              <w:spacing w:before="0" w:beforeAutospacing="0" w:after="0" w:afterAutospacing="0"/>
              <w:jc w:val="both"/>
              <w:rPr>
                <w:lang w:val="fi-FI"/>
              </w:rPr>
            </w:pPr>
            <w:r w:rsidRPr="008A4C9D">
              <w:rPr>
                <w:lang w:val="fi-FI"/>
              </w:rPr>
              <w:t>4. punkts (noteikumu Nr. 83 71.</w:t>
            </w:r>
            <w:r>
              <w:rPr>
                <w:vertAlign w:val="superscript"/>
                <w:lang w:val="fi-FI"/>
              </w:rPr>
              <w:t>23</w:t>
            </w:r>
            <w:r w:rsidRPr="008A4C9D">
              <w:rPr>
                <w:vertAlign w:val="superscript"/>
                <w:lang w:val="fi-FI"/>
              </w:rPr>
              <w:t xml:space="preserve"> </w:t>
            </w:r>
            <w:r w:rsidRPr="008A4C9D">
              <w:rPr>
                <w:lang w:val="fi-FI"/>
              </w:rPr>
              <w:t xml:space="preserve"> punkt</w:t>
            </w:r>
            <w:r>
              <w:rPr>
                <w:lang w:val="fi-FI"/>
              </w:rPr>
              <w:t>s</w:t>
            </w:r>
          </w:p>
        </w:tc>
        <w:tc>
          <w:tcPr>
            <w:tcW w:w="1084" w:type="pct"/>
            <w:gridSpan w:val="2"/>
          </w:tcPr>
          <w:p w:rsidR="008A4C9D" w:rsidRPr="00C07314" w:rsidRDefault="008A4C9D" w:rsidP="005D73DE">
            <w:pPr>
              <w:pStyle w:val="naiskr"/>
              <w:spacing w:before="0" w:beforeAutospacing="0" w:after="0" w:afterAutospacing="0"/>
              <w:jc w:val="both"/>
            </w:pPr>
            <w:r w:rsidRPr="006D726E">
              <w:rPr>
                <w:lang w:val="fi-FI"/>
              </w:rPr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8A4C9D" w:rsidRPr="007D44C5" w:rsidRDefault="008A4C9D" w:rsidP="005D73DE">
            <w:pPr>
              <w:pStyle w:val="naiskr"/>
              <w:spacing w:before="0" w:beforeAutospacing="0" w:after="0" w:afterAutospacing="0"/>
              <w:jc w:val="both"/>
            </w:pPr>
            <w:r w:rsidRPr="008A4C9D">
              <w:t>Attiecīgais noteikumu projekta punkts neparedz stingrākas prasības kā ES tiesību aktā.</w:t>
            </w:r>
          </w:p>
        </w:tc>
      </w:tr>
      <w:tr w:rsidR="00DE13CB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606"/>
          <w:jc w:val="center"/>
        </w:trPr>
        <w:tc>
          <w:tcPr>
            <w:tcW w:w="1321" w:type="pct"/>
            <w:gridSpan w:val="2"/>
          </w:tcPr>
          <w:p w:rsidR="00DE13CB" w:rsidRPr="00DE13CB" w:rsidRDefault="00DE13CB" w:rsidP="00DE13CB">
            <w:pPr>
              <w:jc w:val="both"/>
              <w:rPr>
                <w:bCs/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4</w:t>
            </w:r>
            <w:r w:rsidR="005F0F85">
              <w:rPr>
                <w:bCs/>
                <w:lang w:val="lv-LV"/>
              </w:rPr>
              <w:t>. punkts</w:t>
            </w:r>
          </w:p>
        </w:tc>
        <w:tc>
          <w:tcPr>
            <w:tcW w:w="1353" w:type="pct"/>
            <w:gridSpan w:val="2"/>
            <w:vAlign w:val="center"/>
          </w:tcPr>
          <w:p w:rsidR="00DE13CB" w:rsidRDefault="00BE33E4" w:rsidP="00EB78C4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60770" w:rsidRPr="008F6EF8">
              <w:t>. punkts (noteikumu Nr. 83 71.</w:t>
            </w:r>
            <w:r w:rsidR="008F6EF8">
              <w:rPr>
                <w:vertAlign w:val="superscript"/>
              </w:rPr>
              <w:t>2</w:t>
            </w:r>
            <w:r w:rsidR="00FB351D">
              <w:rPr>
                <w:vertAlign w:val="superscript"/>
              </w:rPr>
              <w:t>4</w:t>
            </w:r>
            <w:proofErr w:type="gramStart"/>
            <w:r w:rsidR="00660770" w:rsidRPr="008F6EF8">
              <w:rPr>
                <w:vertAlign w:val="superscript"/>
              </w:rPr>
              <w:t xml:space="preserve"> </w:t>
            </w:r>
            <w:r w:rsidR="008F6EF8">
              <w:t xml:space="preserve"> </w:t>
            </w:r>
            <w:proofErr w:type="gramEnd"/>
            <w:r w:rsidR="008F6EF8">
              <w:t>punkta ievaddaļa</w:t>
            </w:r>
            <w:r w:rsidR="00660770" w:rsidRPr="008F6EF8">
              <w:t>)</w:t>
            </w:r>
          </w:p>
        </w:tc>
        <w:tc>
          <w:tcPr>
            <w:tcW w:w="1084" w:type="pct"/>
            <w:gridSpan w:val="2"/>
          </w:tcPr>
          <w:p w:rsidR="00DE13CB" w:rsidRPr="00C07314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E13CB" w:rsidRPr="007D44C5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Attiecīgais noteikumu projekta punkts neparedz stingrākas prasības kā ES tiesību aktā.</w:t>
            </w:r>
          </w:p>
        </w:tc>
      </w:tr>
      <w:tr w:rsidR="00DE13CB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DE13CB" w:rsidRPr="00DE13CB" w:rsidRDefault="00DE13CB" w:rsidP="00DE13CB">
            <w:pPr>
              <w:jc w:val="both"/>
              <w:rPr>
                <w:bCs/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5</w:t>
            </w:r>
            <w:r w:rsidR="005F0F85">
              <w:rPr>
                <w:bCs/>
                <w:lang w:val="lv-LV"/>
              </w:rPr>
              <w:t>. punkts</w:t>
            </w:r>
          </w:p>
        </w:tc>
        <w:tc>
          <w:tcPr>
            <w:tcW w:w="1353" w:type="pct"/>
            <w:gridSpan w:val="2"/>
            <w:vAlign w:val="center"/>
          </w:tcPr>
          <w:p w:rsidR="00DE13CB" w:rsidRDefault="00BE33E4" w:rsidP="00FB351D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60770" w:rsidRPr="008F6EF8">
              <w:t>. punkts (noteikumu Nr. 83 71.</w:t>
            </w:r>
            <w:r w:rsidR="008F6EF8">
              <w:rPr>
                <w:vertAlign w:val="superscript"/>
              </w:rPr>
              <w:t>2</w:t>
            </w:r>
            <w:r w:rsidR="00FB351D">
              <w:rPr>
                <w:vertAlign w:val="superscript"/>
              </w:rPr>
              <w:t>7</w:t>
            </w:r>
            <w:proofErr w:type="gramStart"/>
            <w:r w:rsidR="00660770" w:rsidRPr="008F6EF8">
              <w:rPr>
                <w:vertAlign w:val="superscript"/>
              </w:rPr>
              <w:t xml:space="preserve"> </w:t>
            </w:r>
            <w:r w:rsidR="00660770" w:rsidRPr="008F6EF8">
              <w:t xml:space="preserve"> </w:t>
            </w:r>
            <w:proofErr w:type="gramEnd"/>
            <w:r w:rsidR="008F6EF8">
              <w:t xml:space="preserve">un </w:t>
            </w:r>
            <w:r w:rsidR="008F6EF8" w:rsidRPr="008F6EF8">
              <w:t>71.</w:t>
            </w:r>
            <w:r w:rsidR="008F6EF8">
              <w:rPr>
                <w:vertAlign w:val="superscript"/>
              </w:rPr>
              <w:t>2</w:t>
            </w:r>
            <w:r w:rsidR="00FB351D">
              <w:rPr>
                <w:vertAlign w:val="superscript"/>
              </w:rPr>
              <w:t>8</w:t>
            </w:r>
            <w:r w:rsidR="008F6EF8" w:rsidRPr="008F6EF8">
              <w:rPr>
                <w:vertAlign w:val="superscript"/>
              </w:rPr>
              <w:t xml:space="preserve"> </w:t>
            </w:r>
            <w:r w:rsidR="008F6EF8" w:rsidRPr="008F6EF8">
              <w:t xml:space="preserve"> </w:t>
            </w:r>
            <w:r w:rsidR="00660770" w:rsidRPr="008F6EF8">
              <w:t>punkts)</w:t>
            </w:r>
          </w:p>
        </w:tc>
        <w:tc>
          <w:tcPr>
            <w:tcW w:w="1084" w:type="pct"/>
            <w:gridSpan w:val="2"/>
          </w:tcPr>
          <w:p w:rsidR="00DE13CB" w:rsidRPr="00C07314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E13CB" w:rsidRPr="00DE13CB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Attiecīgais noteikumu projekta punkts neparedz stingrākas prasības kā ES tiesību aktā.</w:t>
            </w:r>
          </w:p>
        </w:tc>
      </w:tr>
      <w:tr w:rsidR="00DE13CB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DE13CB" w:rsidRPr="00DE13CB" w:rsidRDefault="00DE13CB" w:rsidP="00DE13CB">
            <w:pPr>
              <w:jc w:val="both"/>
              <w:rPr>
                <w:bCs/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6</w:t>
            </w:r>
            <w:r w:rsidR="005F0F85">
              <w:rPr>
                <w:bCs/>
                <w:lang w:val="lv-LV"/>
              </w:rPr>
              <w:t>. punkts</w:t>
            </w:r>
            <w:r>
              <w:rPr>
                <w:bCs/>
                <w:lang w:val="lv-LV"/>
              </w:rPr>
              <w:t xml:space="preserve"> </w:t>
            </w:r>
          </w:p>
        </w:tc>
        <w:tc>
          <w:tcPr>
            <w:tcW w:w="1353" w:type="pct"/>
            <w:gridSpan w:val="2"/>
            <w:vAlign w:val="center"/>
          </w:tcPr>
          <w:p w:rsidR="00DE13CB" w:rsidRDefault="00BE33E4" w:rsidP="00EB78C4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60770" w:rsidRPr="008F6EF8">
              <w:t>. punkts (noteikumu Nr. 83 71.</w:t>
            </w:r>
            <w:r w:rsidR="00FB351D">
              <w:rPr>
                <w:vertAlign w:val="superscript"/>
              </w:rPr>
              <w:t>42</w:t>
            </w:r>
            <w:proofErr w:type="gramStart"/>
            <w:r w:rsidR="00660770" w:rsidRPr="008F6EF8">
              <w:rPr>
                <w:vertAlign w:val="superscript"/>
              </w:rPr>
              <w:t xml:space="preserve"> </w:t>
            </w:r>
            <w:r w:rsidR="00660770" w:rsidRPr="008F6EF8">
              <w:t xml:space="preserve"> </w:t>
            </w:r>
            <w:proofErr w:type="gramEnd"/>
            <w:r w:rsidR="00660770" w:rsidRPr="008F6EF8">
              <w:t>punkts)</w:t>
            </w:r>
          </w:p>
        </w:tc>
        <w:tc>
          <w:tcPr>
            <w:tcW w:w="1084" w:type="pct"/>
            <w:gridSpan w:val="2"/>
          </w:tcPr>
          <w:p w:rsidR="00DE13CB" w:rsidRPr="00C07314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E13CB" w:rsidRPr="007D44C5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Attiecīgais noteikumu projekta punkts neparedz stingrākas prasības kā ES tiesību aktā.</w:t>
            </w:r>
          </w:p>
        </w:tc>
      </w:tr>
      <w:tr w:rsidR="00DE13CB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DE13CB" w:rsidRPr="00DE13CB" w:rsidRDefault="00DE13CB" w:rsidP="00BE7DED">
            <w:pPr>
              <w:jc w:val="both"/>
              <w:rPr>
                <w:bCs/>
                <w:lang w:val="lv-LV"/>
              </w:rPr>
            </w:pPr>
            <w:r w:rsidRPr="00DE13CB">
              <w:rPr>
                <w:bCs/>
                <w:lang w:val="lv-LV"/>
              </w:rPr>
              <w:t>Īstenošanas lēmums 2015/2433/ES</w:t>
            </w:r>
            <w:r>
              <w:rPr>
                <w:bCs/>
                <w:lang w:val="lv-LV"/>
              </w:rPr>
              <w:t xml:space="preserve"> 1. panta 7</w:t>
            </w:r>
            <w:r w:rsidR="005F0F85">
              <w:rPr>
                <w:bCs/>
                <w:lang w:val="lv-LV"/>
              </w:rPr>
              <w:t>. punkts</w:t>
            </w:r>
          </w:p>
        </w:tc>
        <w:tc>
          <w:tcPr>
            <w:tcW w:w="1353" w:type="pct"/>
            <w:gridSpan w:val="2"/>
            <w:vAlign w:val="center"/>
          </w:tcPr>
          <w:p w:rsidR="00DE13CB" w:rsidRDefault="00A17EB9" w:rsidP="00EB78C4">
            <w:pPr>
              <w:pStyle w:val="naiskr"/>
              <w:spacing w:before="0" w:beforeAutospacing="0" w:after="0" w:afterAutospacing="0"/>
              <w:jc w:val="both"/>
            </w:pPr>
            <w:r>
              <w:t>5</w:t>
            </w:r>
            <w:r w:rsidR="00660770" w:rsidRPr="00FB351D">
              <w:t>. punkts</w:t>
            </w:r>
          </w:p>
        </w:tc>
        <w:tc>
          <w:tcPr>
            <w:tcW w:w="1084" w:type="pct"/>
            <w:gridSpan w:val="2"/>
          </w:tcPr>
          <w:p w:rsidR="00DE13CB" w:rsidRPr="00C07314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E13CB" w:rsidRPr="007D44C5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Attiecīgais noteikumu projekta punkts neparedz stingrākas prasības kā ES tiesību aktā.</w:t>
            </w:r>
          </w:p>
        </w:tc>
      </w:tr>
      <w:tr w:rsidR="00DE13CB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321" w:type="pct"/>
            <w:gridSpan w:val="2"/>
          </w:tcPr>
          <w:p w:rsidR="00DE13CB" w:rsidRPr="00DE13CB" w:rsidRDefault="00DE13CB" w:rsidP="00DE13CB">
            <w:pPr>
              <w:jc w:val="both"/>
              <w:rPr>
                <w:bCs/>
                <w:lang w:val="lv-LV"/>
              </w:rPr>
            </w:pPr>
            <w:r w:rsidRPr="00DE13CB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E13CB">
              <w:rPr>
                <w:bCs/>
                <w:lang w:val="lv-LV"/>
              </w:rPr>
              <w:t xml:space="preserve"> 2015/2433/ES</w:t>
            </w:r>
            <w:r>
              <w:rPr>
                <w:bCs/>
                <w:lang w:val="lv-LV"/>
              </w:rPr>
              <w:t xml:space="preserve"> 1. panta 8</w:t>
            </w:r>
            <w:r w:rsidR="005F0F85">
              <w:rPr>
                <w:bCs/>
                <w:lang w:val="lv-LV"/>
              </w:rPr>
              <w:t>. punkts</w:t>
            </w:r>
          </w:p>
        </w:tc>
        <w:tc>
          <w:tcPr>
            <w:tcW w:w="1353" w:type="pct"/>
            <w:gridSpan w:val="2"/>
            <w:vAlign w:val="center"/>
          </w:tcPr>
          <w:p w:rsidR="00DE13CB" w:rsidRDefault="00A17EB9" w:rsidP="00FB351D">
            <w:pPr>
              <w:pStyle w:val="naiskr"/>
              <w:spacing w:before="0" w:beforeAutospacing="0" w:after="0" w:afterAutospacing="0"/>
              <w:jc w:val="both"/>
            </w:pPr>
            <w:r>
              <w:t>6</w:t>
            </w:r>
            <w:r w:rsidR="00C33628">
              <w:t>.</w:t>
            </w:r>
            <w:r>
              <w:t>, 7</w:t>
            </w:r>
            <w:r w:rsidR="00C33628">
              <w:t>.,</w:t>
            </w:r>
            <w:r>
              <w:t xml:space="preserve"> 8., 9., 10., 11., 12., 13., 14., 15., 16., 17</w:t>
            </w:r>
            <w:r w:rsidR="00C33628">
              <w:t>.</w:t>
            </w:r>
            <w:r w:rsidR="00FB351D">
              <w:t xml:space="preserve"> un</w:t>
            </w:r>
            <w:r w:rsidR="00BE33E4">
              <w:t xml:space="preserve"> </w:t>
            </w:r>
            <w:r>
              <w:t>18</w:t>
            </w:r>
            <w:r w:rsidR="00C33628">
              <w:t>.</w:t>
            </w:r>
            <w:r w:rsidR="00660770">
              <w:t xml:space="preserve"> punkts</w:t>
            </w:r>
          </w:p>
        </w:tc>
        <w:tc>
          <w:tcPr>
            <w:tcW w:w="1084" w:type="pct"/>
            <w:gridSpan w:val="2"/>
          </w:tcPr>
          <w:p w:rsidR="00DE13CB" w:rsidRPr="00C07314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DE13CB" w:rsidRPr="00DE13CB" w:rsidRDefault="00DE13CB" w:rsidP="005D73DE">
            <w:pPr>
              <w:pStyle w:val="naiskr"/>
              <w:spacing w:before="0" w:beforeAutospacing="0" w:after="0" w:afterAutospacing="0"/>
              <w:jc w:val="both"/>
            </w:pPr>
            <w:r w:rsidRPr="00DE13CB">
              <w:t>Attiecīgais noteikumu projekta punkts neparedz stingrākas prasības kā ES tiesību aktā.</w:t>
            </w:r>
          </w:p>
        </w:tc>
      </w:tr>
      <w:tr w:rsidR="005D73DE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 xml:space="preserve">Kā ir izmantota ES tiesību aktā paredzētā rīcības brīvība dalībvalstij pārņemt vai </w:t>
            </w:r>
            <w:r w:rsidRPr="009E2709">
              <w:lastRenderedPageBreak/>
              <w:t>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675" w:type="pct"/>
            <w:gridSpan w:val="6"/>
          </w:tcPr>
          <w:p w:rsidR="00447AAF" w:rsidRDefault="00A36F9A" w:rsidP="00447AAF">
            <w:pPr>
              <w:pStyle w:val="naiskr"/>
              <w:spacing w:before="0" w:beforeAutospacing="0" w:after="0" w:afterAutospacing="0"/>
              <w:jc w:val="both"/>
            </w:pPr>
            <w:r w:rsidRPr="00A36F9A">
              <w:lastRenderedPageBreak/>
              <w:t xml:space="preserve">Regulas </w:t>
            </w:r>
            <w:r>
              <w:t xml:space="preserve">(EK) </w:t>
            </w:r>
            <w:r w:rsidRPr="00A36F9A">
              <w:t>Nr.1069/2009 21.</w:t>
            </w:r>
            <w:r w:rsidR="00447AAF">
              <w:t xml:space="preserve"> </w:t>
            </w:r>
            <w:r w:rsidRPr="00A36F9A">
              <w:t>panta 3.</w:t>
            </w:r>
            <w:r w:rsidR="00447AAF">
              <w:t xml:space="preserve"> </w:t>
            </w:r>
            <w:r w:rsidRPr="00A36F9A">
              <w:t xml:space="preserve">punkta otrajā paragrāfā dota rīcības brīvība dalībvalstij gadījumos, ja dzīvnieku izcelsmes blakusprodukti vai atvasināti produkti tiek transportēti dalībvalsts teritorijā, kompetentā iestāde var apstiprināt pirmajā paragrāfā </w:t>
            </w:r>
            <w:r w:rsidRPr="00A36F9A">
              <w:lastRenderedPageBreak/>
              <w:t xml:space="preserve">minētās informācijas pievienošanu, izmantojot alternatīvu sistēmu. Noteikumu projektā tiek izmantota šī alternatīva gadījumā, ja ir </w:t>
            </w:r>
            <w:r>
              <w:t>Āfrikas cūku mēra</w:t>
            </w:r>
            <w:r w:rsidRPr="00A36F9A">
              <w:t xml:space="preserve"> uzliesmojums un dzīvnieku izcelsmes blakusprodukti vai atvasināti produkti tiek pārvadāti tikai Latvijas valsts teritorijā.</w:t>
            </w:r>
            <w:r w:rsidR="00AF0158">
              <w:t xml:space="preserve"> </w:t>
            </w:r>
          </w:p>
          <w:p w:rsidR="00831A6C" w:rsidRDefault="00AF0158" w:rsidP="00447AAF">
            <w:pPr>
              <w:pStyle w:val="naiskr"/>
              <w:spacing w:before="0" w:beforeAutospacing="0" w:after="0" w:afterAutospacing="0"/>
              <w:jc w:val="both"/>
            </w:pPr>
            <w:r>
              <w:t xml:space="preserve">Saskaņā ar noteikumu projekta 4.punktā izteikto </w:t>
            </w:r>
            <w:r w:rsidRPr="00AF0158">
              <w:t>71.</w:t>
            </w:r>
            <w:r w:rsidRPr="00AF0158">
              <w:rPr>
                <w:vertAlign w:val="superscript"/>
              </w:rPr>
              <w:t>23</w:t>
            </w:r>
            <w:r w:rsidRPr="00AF0158">
              <w:t xml:space="preserve">6. </w:t>
            </w:r>
            <w:r>
              <w:t>apakšpunktu “</w:t>
            </w:r>
            <w:r w:rsidRPr="00AF0158">
              <w:t>katrai blakusproduktu kravai saskaņā ar Regulas Nr. </w:t>
            </w:r>
            <w:hyperlink r:id="rId8" w:tgtFrame="_blank" w:history="1">
              <w:r w:rsidRPr="00447AAF">
                <w:rPr>
                  <w:rStyle w:val="Hipersaite"/>
                  <w:color w:val="auto"/>
                  <w:u w:val="none"/>
                </w:rPr>
                <w:t>142/2011</w:t>
              </w:r>
            </w:hyperlink>
            <w:r w:rsidRPr="00447AAF">
              <w:t xml:space="preserve"> VIII pielikuma III nodaļā minētajām prasībām aizpilda </w:t>
            </w:r>
            <w:r w:rsidR="00447AAF">
              <w:t>tirdzniecības</w:t>
            </w:r>
            <w:r w:rsidRPr="00447AAF">
              <w:t xml:space="preserve"> dokumentu”. </w:t>
            </w:r>
          </w:p>
          <w:p w:rsidR="00447AAF" w:rsidRPr="00447AAF" w:rsidRDefault="00447AAF" w:rsidP="00831A6C">
            <w:pPr>
              <w:pStyle w:val="naiskr"/>
              <w:spacing w:before="0" w:beforeAutospacing="0" w:after="0" w:afterAutospacing="0"/>
              <w:jc w:val="both"/>
            </w:pPr>
            <w:r>
              <w:t xml:space="preserve">Saskaņā ar Regulas </w:t>
            </w:r>
            <w:r w:rsidRPr="00447AAF">
              <w:t>Nr. </w:t>
            </w:r>
            <w:hyperlink r:id="rId9" w:tgtFrame="_blank" w:history="1">
              <w:r w:rsidRPr="00831A6C">
                <w:rPr>
                  <w:rStyle w:val="Hipersaite"/>
                  <w:color w:val="auto"/>
                  <w:u w:val="none"/>
                </w:rPr>
                <w:t>142/2011</w:t>
              </w:r>
            </w:hyperlink>
            <w:r w:rsidRPr="00831A6C">
              <w:t xml:space="preserve"> </w:t>
            </w:r>
            <w:r w:rsidRPr="00447AAF">
              <w:t xml:space="preserve">VIII pielikuma III nodaļas 4. </w:t>
            </w:r>
            <w:r>
              <w:t>punk</w:t>
            </w:r>
            <w:r w:rsidRPr="00447AAF">
              <w:t>ta o</w:t>
            </w:r>
            <w:r>
              <w:t xml:space="preserve">trās atkāpes nosacījumiem </w:t>
            </w:r>
            <w:r w:rsidR="00831A6C">
              <w:t>dalībvalstij tiek dota atļauja</w:t>
            </w:r>
            <w:r w:rsidRPr="00447AAF">
              <w:t xml:space="preserve"> pārraidīt informāciju ar alternatīvas sistēmas starpniecību, kas minēta Regulas (EK) Nr. 1069/2009 </w:t>
            </w:r>
            <w:r w:rsidR="00831A6C">
              <w:t>21. panta 3. punkta otrajā daļā. Līdz ar to</w:t>
            </w:r>
            <w:r w:rsidRPr="00447AAF">
              <w:t xml:space="preserve"> kompetentā iestāde var atļaut pievienot dzīv</w:t>
            </w:r>
            <w:r w:rsidR="00831A6C">
              <w:t>nieku izcelsmes blakusproduktu un atvasinātu</w:t>
            </w:r>
            <w:r w:rsidRPr="00447AAF">
              <w:t xml:space="preserve"> produ</w:t>
            </w:r>
            <w:r w:rsidR="00831A6C">
              <w:t>ktu kravai alternatīvu dokumentu</w:t>
            </w:r>
            <w:r w:rsidRPr="00447AAF">
              <w:t xml:space="preserve">, </w:t>
            </w:r>
            <w:r w:rsidR="00831A6C">
              <w:t>ja šos produktus</w:t>
            </w:r>
            <w:r w:rsidRPr="00447AAF">
              <w:t xml:space="preserve"> pārvadā </w:t>
            </w:r>
            <w:r w:rsidR="00831A6C">
              <w:t>šīs valsts</w:t>
            </w:r>
            <w:r w:rsidRPr="00447AAF">
              <w:t xml:space="preserve"> teritorijā</w:t>
            </w:r>
            <w:r w:rsidR="00831A6C">
              <w:t>.</w:t>
            </w:r>
          </w:p>
        </w:tc>
      </w:tr>
      <w:tr w:rsidR="005D73DE" w:rsidRPr="00000CAA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5" w:type="pct"/>
            <w:gridSpan w:val="6"/>
          </w:tcPr>
          <w:p w:rsidR="00F517A7" w:rsidRPr="009E2709" w:rsidRDefault="00603F7B" w:rsidP="00603F7B">
            <w:pPr>
              <w:pStyle w:val="naiskr"/>
              <w:spacing w:before="0" w:beforeAutospacing="0" w:after="0" w:afterAutospacing="0"/>
            </w:pPr>
            <w:r>
              <w:t>Noteikumu p</w:t>
            </w:r>
            <w:r w:rsidR="0031149B">
              <w:t>rojekts šo jomu neskar.</w:t>
            </w:r>
          </w:p>
        </w:tc>
      </w:tr>
      <w:tr w:rsidR="005D73DE" w:rsidRPr="009E2709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321" w:type="pct"/>
            <w:gridSpan w:val="2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675" w:type="pct"/>
            <w:gridSpan w:val="6"/>
          </w:tcPr>
          <w:p w:rsidR="00F517A7" w:rsidRPr="009E2709" w:rsidRDefault="0031149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5D73DE" w:rsidRPr="009E2709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:rsidR="009C6B02" w:rsidRPr="009E2709" w:rsidRDefault="009C6B02" w:rsidP="009E2709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5D73DE" w:rsidRPr="00000CAA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321" w:type="pct"/>
            <w:gridSpan w:val="2"/>
          </w:tcPr>
          <w:p w:rsidR="009C6B02" w:rsidRPr="009E2709" w:rsidRDefault="009C6B02" w:rsidP="009E2709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675" w:type="pct"/>
            <w:gridSpan w:val="6"/>
          </w:tcPr>
          <w:p w:rsidR="009C6B02" w:rsidRPr="009E2709" w:rsidRDefault="00603F7B" w:rsidP="009E2709">
            <w:pPr>
              <w:pStyle w:val="naiskr"/>
              <w:spacing w:before="0" w:beforeAutospacing="0" w:after="0" w:afterAutospacing="0"/>
              <w:jc w:val="both"/>
            </w:pPr>
            <w:r w:rsidRPr="00957F30">
              <w:t>Noteikumu projekts šo jomu neskar.</w:t>
            </w:r>
          </w:p>
        </w:tc>
      </w:tr>
      <w:tr w:rsidR="005D73DE" w:rsidRPr="009E2709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321" w:type="pct"/>
            <w:gridSpan w:val="2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932" w:type="pct"/>
            <w:gridSpan w:val="3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5D73DE" w:rsidRPr="00DA371E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321" w:type="pct"/>
            <w:gridSpan w:val="2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Konkrēti veicamie pasākumi vai uzdevumi, </w:t>
            </w:r>
            <w:r w:rsidRPr="009E2709">
              <w:rPr>
                <w:lang w:val="lv-LV"/>
              </w:rPr>
              <w:lastRenderedPageBreak/>
              <w:t>kas nepieciešami šo starptautisko saistību izpildei</w:t>
            </w:r>
          </w:p>
        </w:tc>
        <w:tc>
          <w:tcPr>
            <w:tcW w:w="1932" w:type="pct"/>
            <w:gridSpan w:val="3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Ja pasākumi vai uzdevumi, ar ko tiks izpildītas starptautiskās saistības, tiek noteikti projektā, norāda attiecīgo projekta vienību vai dokumentu, kurā sniegts izvērsts skaidrojums, kādā veidā tiks </w:t>
            </w:r>
            <w:r w:rsidRPr="009E2709">
              <w:rPr>
                <w:lang w:val="lv-LV"/>
              </w:rPr>
              <w:lastRenderedPageBreak/>
              <w:t>nodrošināta starptautisko saistību izpilde</w:t>
            </w:r>
          </w:p>
        </w:tc>
        <w:tc>
          <w:tcPr>
            <w:tcW w:w="1742" w:type="pct"/>
            <w:gridSpan w:val="3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Informācija par to, vai starptautiskās saistības, kas minētas šīs tabulas A ailē, tiek izpildītas pilnībā vai daļēji. 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Ja attiecīgās starptautiskās saistības tiek izpildītas daļēji, </w:t>
            </w:r>
            <w:r w:rsidRPr="009E2709">
              <w:rPr>
                <w:lang w:val="lv-LV"/>
              </w:rPr>
              <w:lastRenderedPageBreak/>
              <w:t>sniedz skaidrojumu, kā arī precīzi norāda, kad un kādā veidā starptautiskās saistības tiks izpildītas pilnībā.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Norāda institūciju, kas ir atbildīga par šo saistību izpildi pilnībā</w:t>
            </w:r>
          </w:p>
        </w:tc>
      </w:tr>
      <w:tr w:rsidR="005D73DE" w:rsidRPr="00000CAA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321" w:type="pct"/>
            <w:gridSpan w:val="2"/>
          </w:tcPr>
          <w:p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675" w:type="pct"/>
            <w:gridSpan w:val="6"/>
          </w:tcPr>
          <w:p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 w:rsidRPr="00957F30">
              <w:t>Noteikumu projekts šo jomu neskar.</w:t>
            </w:r>
          </w:p>
        </w:tc>
      </w:tr>
      <w:tr w:rsidR="005D73DE" w:rsidRPr="009E2709" w:rsidTr="00831A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321" w:type="pct"/>
            <w:gridSpan w:val="2"/>
          </w:tcPr>
          <w:p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675" w:type="pct"/>
            <w:gridSpan w:val="6"/>
          </w:tcPr>
          <w:p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:rsidR="009E04D3" w:rsidRDefault="009E04D3" w:rsidP="005D73DE">
      <w:pPr>
        <w:rPr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560"/>
        <w:gridCol w:w="5944"/>
      </w:tblGrid>
      <w:tr w:rsidR="00106A29" w:rsidRPr="00DA371E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106A29">
              <w:rPr>
                <w:b/>
                <w:bCs/>
                <w:sz w:val="28"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DA371E" w:rsidTr="0010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12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79" w:type="pct"/>
          </w:tcPr>
          <w:p w:rsidR="00106A29" w:rsidRPr="009E2709" w:rsidRDefault="00106A29" w:rsidP="00BE33E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Noteikumu projekts tika </w:t>
            </w:r>
            <w:proofErr w:type="gramStart"/>
            <w:r>
              <w:rPr>
                <w:lang w:val="lv-LV"/>
              </w:rPr>
              <w:t xml:space="preserve">nosūtīts </w:t>
            </w:r>
            <w:r w:rsidR="00BE33E4">
              <w:rPr>
                <w:lang w:val="lv-LV"/>
              </w:rPr>
              <w:t xml:space="preserve">izvērtēšanai </w:t>
            </w:r>
            <w:r>
              <w:rPr>
                <w:lang w:val="lv-LV"/>
              </w:rPr>
              <w:t>Latvijas cūku audzētāju asociācijai</w:t>
            </w:r>
            <w:proofErr w:type="gramEnd"/>
            <w:r>
              <w:rPr>
                <w:lang w:val="lv-LV"/>
              </w:rPr>
              <w:t>.</w:t>
            </w:r>
          </w:p>
        </w:tc>
      </w:tr>
      <w:tr w:rsidR="00106A29" w:rsidRPr="00DA371E" w:rsidTr="0010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12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79" w:type="pct"/>
          </w:tcPr>
          <w:p w:rsidR="00106A29" w:rsidRPr="009E2709" w:rsidRDefault="00106A29" w:rsidP="00106A29">
            <w:pPr>
              <w:pStyle w:val="naiskr"/>
              <w:spacing w:before="0" w:beforeAutospacing="0" w:after="0" w:afterAutospacing="0"/>
              <w:jc w:val="both"/>
            </w:pPr>
            <w:r>
              <w:t xml:space="preserve">No Latvijas cūku audzētāju asociācijas par noteikumu projektu tika saņemti mutiski iebildumi un priekšlikumi. </w:t>
            </w:r>
          </w:p>
        </w:tc>
      </w:tr>
      <w:tr w:rsidR="00106A29" w:rsidRPr="00DA371E" w:rsidTr="0010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12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79" w:type="pct"/>
          </w:tcPr>
          <w:p w:rsidR="00106A29" w:rsidRPr="009E2709" w:rsidRDefault="00BF1615" w:rsidP="00A81B93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Latvijas cūku audzētāju asociācijas iebildumi ir ņemti vērā.</w:t>
            </w:r>
          </w:p>
        </w:tc>
      </w:tr>
      <w:tr w:rsidR="00106A29" w:rsidRPr="00106A29" w:rsidTr="0010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1412" w:type="pct"/>
          </w:tcPr>
          <w:p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79" w:type="pct"/>
          </w:tcPr>
          <w:p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:rsidTr="00106A29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000CAA" w:rsidTr="00106A29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="001532AD">
              <w:t>rojekts šo jomu neskar.</w:t>
            </w:r>
          </w:p>
        </w:tc>
      </w:tr>
      <w:tr w:rsidR="005D73DE" w:rsidRPr="009E2709" w:rsidTr="00106A29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7B7907" w:rsidRPr="009E2709" w:rsidRDefault="007B7907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DA371E" w:rsidRDefault="00096D79" w:rsidP="00DA371E">
      <w:pPr>
        <w:pStyle w:val="Virsraksts1"/>
        <w:keepNext w:val="0"/>
        <w:widowControl w:val="0"/>
        <w:jc w:val="left"/>
        <w:rPr>
          <w:b w:val="0"/>
          <w:sz w:val="24"/>
        </w:rPr>
      </w:pPr>
      <w:r w:rsidRPr="00DA371E">
        <w:rPr>
          <w:b w:val="0"/>
          <w:sz w:val="24"/>
        </w:rPr>
        <w:t xml:space="preserve">Zemkopības </w:t>
      </w:r>
      <w:r w:rsidR="001532AD" w:rsidRPr="00DA371E">
        <w:rPr>
          <w:b w:val="0"/>
          <w:sz w:val="24"/>
        </w:rPr>
        <w:t>ministrs</w:t>
      </w:r>
      <w:r w:rsidR="00105AE2" w:rsidRPr="00DA371E">
        <w:rPr>
          <w:b w:val="0"/>
          <w:sz w:val="24"/>
        </w:rPr>
        <w:tab/>
      </w:r>
      <w:r w:rsidR="00A22819" w:rsidRPr="00DA371E">
        <w:rPr>
          <w:b w:val="0"/>
          <w:sz w:val="24"/>
        </w:rPr>
        <w:tab/>
      </w:r>
      <w:r w:rsidR="00DA371E">
        <w:rPr>
          <w:b w:val="0"/>
          <w:sz w:val="24"/>
        </w:rPr>
        <w:tab/>
      </w:r>
      <w:r w:rsidR="00DA371E">
        <w:rPr>
          <w:b w:val="0"/>
          <w:sz w:val="24"/>
        </w:rPr>
        <w:tab/>
      </w:r>
      <w:r w:rsidR="00DA371E">
        <w:rPr>
          <w:b w:val="0"/>
          <w:sz w:val="24"/>
        </w:rPr>
        <w:tab/>
      </w:r>
      <w:r w:rsidR="00A22819" w:rsidRPr="00DA371E">
        <w:rPr>
          <w:b w:val="0"/>
          <w:sz w:val="24"/>
        </w:rPr>
        <w:tab/>
      </w:r>
      <w:r w:rsidR="00A22819" w:rsidRPr="00DA371E">
        <w:rPr>
          <w:b w:val="0"/>
          <w:sz w:val="24"/>
        </w:rPr>
        <w:tab/>
      </w:r>
      <w:r w:rsidR="00A22819" w:rsidRPr="00DA371E">
        <w:rPr>
          <w:b w:val="0"/>
          <w:sz w:val="24"/>
        </w:rPr>
        <w:tab/>
      </w:r>
      <w:r w:rsidR="00105AE2" w:rsidRPr="00DA371E">
        <w:rPr>
          <w:b w:val="0"/>
          <w:sz w:val="24"/>
        </w:rPr>
        <w:tab/>
      </w:r>
      <w:proofErr w:type="spellStart"/>
      <w:r w:rsidR="001532AD" w:rsidRPr="00DA371E">
        <w:rPr>
          <w:b w:val="0"/>
          <w:sz w:val="24"/>
        </w:rPr>
        <w:t>J.Dūklavs</w:t>
      </w:r>
      <w:proofErr w:type="spellEnd"/>
    </w:p>
    <w:p w:rsidR="004C7C51" w:rsidRDefault="004C7C51" w:rsidP="005D73DE">
      <w:pPr>
        <w:jc w:val="both"/>
        <w:rPr>
          <w:lang w:val="lv-LV"/>
        </w:rPr>
      </w:pPr>
    </w:p>
    <w:p w:rsidR="00DA371E" w:rsidRDefault="00DA371E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21.01.2016. 13:34</w:t>
      </w:r>
    </w:p>
    <w:p w:rsidR="00227AE8" w:rsidRDefault="00227AE8" w:rsidP="001532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2134</w:t>
      </w:r>
      <w:r>
        <w:rPr>
          <w:sz w:val="20"/>
          <w:szCs w:val="20"/>
        </w:rPr>
        <w:fldChar w:fldCharType="end"/>
      </w:r>
    </w:p>
    <w:p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:rsidR="00C20792" w:rsidRPr="00DA371E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sectPr w:rsidR="00C20792" w:rsidRPr="00DA371E" w:rsidSect="00DA371E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F2" w:rsidRDefault="008A14F2">
      <w:r>
        <w:separator/>
      </w:r>
    </w:p>
  </w:endnote>
  <w:endnote w:type="continuationSeparator" w:id="0">
    <w:p w:rsidR="008A14F2" w:rsidRDefault="008A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DA371E">
      <w:rPr>
        <w:sz w:val="20"/>
        <w:szCs w:val="20"/>
        <w:lang w:val="lv-LV"/>
      </w:rPr>
      <w:t>A</w:t>
    </w:r>
    <w:r w:rsidR="00C33628">
      <w:rPr>
        <w:sz w:val="20"/>
        <w:szCs w:val="20"/>
        <w:lang w:val="lv-LV"/>
      </w:rPr>
      <w:t>not_</w:t>
    </w:r>
    <w:r w:rsidR="00831A6C">
      <w:rPr>
        <w:sz w:val="20"/>
        <w:szCs w:val="20"/>
        <w:lang w:val="lv-LV"/>
      </w:rPr>
      <w:t>21</w:t>
    </w:r>
    <w:r w:rsidR="008F6EF8">
      <w:rPr>
        <w:sz w:val="20"/>
        <w:szCs w:val="20"/>
        <w:lang w:val="lv-LV"/>
      </w:rPr>
      <w:t>01</w:t>
    </w:r>
    <w:r w:rsidRPr="00A17DD9">
      <w:rPr>
        <w:sz w:val="20"/>
        <w:szCs w:val="20"/>
        <w:lang w:val="lv-LV"/>
      </w:rPr>
      <w:t>1</w:t>
    </w:r>
    <w:r w:rsidR="008F6EF8">
      <w:rPr>
        <w:sz w:val="20"/>
        <w:szCs w:val="20"/>
        <w:lang w:val="lv-LV"/>
      </w:rPr>
      <w:t>6</w:t>
    </w:r>
    <w:r>
      <w:rPr>
        <w:sz w:val="20"/>
        <w:szCs w:val="20"/>
        <w:lang w:val="lv-LV"/>
      </w:rPr>
      <w:t>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 xml:space="preserve">„Grozījumi Ministru kabineta </w:t>
    </w:r>
    <w:proofErr w:type="gramStart"/>
    <w:r w:rsidRPr="001532AD">
      <w:rPr>
        <w:bCs/>
        <w:sz w:val="20"/>
        <w:szCs w:val="20"/>
        <w:lang w:val="lv-LV"/>
      </w:rPr>
      <w:t>2004.gada</w:t>
    </w:r>
    <w:proofErr w:type="gramEnd"/>
    <w:r w:rsidRPr="001532AD">
      <w:rPr>
        <w:bCs/>
        <w:sz w:val="20"/>
        <w:szCs w:val="20"/>
        <w:lang w:val="lv-LV"/>
      </w:rPr>
      <w:t xml:space="preserve"> 17.februāra noteikumos Nr.83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1532AD" w:rsidRDefault="0031149B" w:rsidP="001532AD">
    <w:pPr>
      <w:pStyle w:val="Kjene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DA371E">
      <w:rPr>
        <w:rFonts w:ascii="Times New Roman" w:hAnsi="Times New Roman"/>
        <w:sz w:val="20"/>
      </w:rPr>
      <w:t>MA</w:t>
    </w:r>
    <w:r w:rsidR="00C33628">
      <w:rPr>
        <w:rFonts w:ascii="Times New Roman" w:hAnsi="Times New Roman"/>
        <w:sz w:val="20"/>
      </w:rPr>
      <w:t>not_</w:t>
    </w:r>
    <w:r w:rsidR="00831A6C">
      <w:rPr>
        <w:rFonts w:ascii="Times New Roman" w:hAnsi="Times New Roman"/>
        <w:sz w:val="20"/>
      </w:rPr>
      <w:t>21</w:t>
    </w:r>
    <w:r w:rsidR="008F6EF8">
      <w:rPr>
        <w:rFonts w:ascii="Times New Roman" w:hAnsi="Times New Roman"/>
        <w:sz w:val="20"/>
      </w:rPr>
      <w:t>0116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 xml:space="preserve">„Grozījumi Ministru kabineta </w:t>
    </w:r>
    <w:proofErr w:type="gramStart"/>
    <w:r w:rsidRPr="001532AD">
      <w:rPr>
        <w:rFonts w:ascii="Times New Roman" w:hAnsi="Times New Roman"/>
        <w:bCs/>
        <w:sz w:val="20"/>
      </w:rPr>
      <w:t>2004.gada</w:t>
    </w:r>
    <w:proofErr w:type="gramEnd"/>
    <w:r w:rsidRPr="001532AD">
      <w:rPr>
        <w:rFonts w:ascii="Times New Roman" w:hAnsi="Times New Roman"/>
        <w:bCs/>
        <w:sz w:val="20"/>
      </w:rPr>
      <w:t xml:space="preserve"> 17.februāra noteikumos Nr.83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F2" w:rsidRDefault="008A14F2">
      <w:r>
        <w:separator/>
      </w:r>
    </w:p>
  </w:footnote>
  <w:footnote w:type="continuationSeparator" w:id="0">
    <w:p w:rsidR="008A14F2" w:rsidRDefault="008A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7AE8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11500"/>
    <w:rsid w:val="0001274B"/>
    <w:rsid w:val="00012769"/>
    <w:rsid w:val="000147B2"/>
    <w:rsid w:val="00015A39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601E"/>
    <w:rsid w:val="00116784"/>
    <w:rsid w:val="001177FE"/>
    <w:rsid w:val="001178E3"/>
    <w:rsid w:val="00122B9A"/>
    <w:rsid w:val="001304F1"/>
    <w:rsid w:val="001306C1"/>
    <w:rsid w:val="0013088C"/>
    <w:rsid w:val="001316FA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0801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4F01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200B32"/>
    <w:rsid w:val="002027AF"/>
    <w:rsid w:val="00203134"/>
    <w:rsid w:val="002043DB"/>
    <w:rsid w:val="00205C1E"/>
    <w:rsid w:val="0020639A"/>
    <w:rsid w:val="00210E44"/>
    <w:rsid w:val="00212025"/>
    <w:rsid w:val="0021306B"/>
    <w:rsid w:val="0021364F"/>
    <w:rsid w:val="002234A1"/>
    <w:rsid w:val="00224CE4"/>
    <w:rsid w:val="00227AE8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3977"/>
    <w:rsid w:val="002849D1"/>
    <w:rsid w:val="00286469"/>
    <w:rsid w:val="0029114F"/>
    <w:rsid w:val="002915A2"/>
    <w:rsid w:val="00294063"/>
    <w:rsid w:val="0029410D"/>
    <w:rsid w:val="00294367"/>
    <w:rsid w:val="00294BBF"/>
    <w:rsid w:val="0029700C"/>
    <w:rsid w:val="00297244"/>
    <w:rsid w:val="002979F1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CF9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F7"/>
    <w:rsid w:val="00323410"/>
    <w:rsid w:val="0032382E"/>
    <w:rsid w:val="00326D8C"/>
    <w:rsid w:val="003309B4"/>
    <w:rsid w:val="0033350D"/>
    <w:rsid w:val="00333737"/>
    <w:rsid w:val="003352D4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1930"/>
    <w:rsid w:val="003E1A05"/>
    <w:rsid w:val="003E36E3"/>
    <w:rsid w:val="003E42F6"/>
    <w:rsid w:val="003E745F"/>
    <w:rsid w:val="003F02D7"/>
    <w:rsid w:val="003F1B23"/>
    <w:rsid w:val="003F21DA"/>
    <w:rsid w:val="003F29A1"/>
    <w:rsid w:val="003F2F3C"/>
    <w:rsid w:val="003F3FBE"/>
    <w:rsid w:val="003F4446"/>
    <w:rsid w:val="003F4DBF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E0F9E"/>
    <w:rsid w:val="004E17C2"/>
    <w:rsid w:val="004E202E"/>
    <w:rsid w:val="004E4242"/>
    <w:rsid w:val="004E78C9"/>
    <w:rsid w:val="004F158A"/>
    <w:rsid w:val="004F1BDB"/>
    <w:rsid w:val="004F2EFC"/>
    <w:rsid w:val="004F407F"/>
    <w:rsid w:val="0050091A"/>
    <w:rsid w:val="005023CF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2F58"/>
    <w:rsid w:val="0052640F"/>
    <w:rsid w:val="00526F5F"/>
    <w:rsid w:val="00532F5F"/>
    <w:rsid w:val="0053351C"/>
    <w:rsid w:val="0053460D"/>
    <w:rsid w:val="0053651B"/>
    <w:rsid w:val="00537316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7B70"/>
    <w:rsid w:val="00570BD3"/>
    <w:rsid w:val="00571E48"/>
    <w:rsid w:val="0057206B"/>
    <w:rsid w:val="00572BC9"/>
    <w:rsid w:val="0057449E"/>
    <w:rsid w:val="00575B15"/>
    <w:rsid w:val="005814CB"/>
    <w:rsid w:val="00581A16"/>
    <w:rsid w:val="005820CE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602628"/>
    <w:rsid w:val="00603F7B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7747"/>
    <w:rsid w:val="0063784C"/>
    <w:rsid w:val="00637DC1"/>
    <w:rsid w:val="006409CE"/>
    <w:rsid w:val="0064573A"/>
    <w:rsid w:val="00645761"/>
    <w:rsid w:val="00651925"/>
    <w:rsid w:val="00653C1C"/>
    <w:rsid w:val="00654998"/>
    <w:rsid w:val="00655ACE"/>
    <w:rsid w:val="00655BA4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4629"/>
    <w:rsid w:val="006B574E"/>
    <w:rsid w:val="006B581B"/>
    <w:rsid w:val="006B6730"/>
    <w:rsid w:val="006B7B67"/>
    <w:rsid w:val="006B7EA9"/>
    <w:rsid w:val="006C0110"/>
    <w:rsid w:val="006C0A3A"/>
    <w:rsid w:val="006C172A"/>
    <w:rsid w:val="006C21FF"/>
    <w:rsid w:val="006C34C4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3915"/>
    <w:rsid w:val="006E4A20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80D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935"/>
    <w:rsid w:val="007C3E31"/>
    <w:rsid w:val="007C4B74"/>
    <w:rsid w:val="007C77C6"/>
    <w:rsid w:val="007D0664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1A6C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A14F2"/>
    <w:rsid w:val="008A33A9"/>
    <w:rsid w:val="008A4B6E"/>
    <w:rsid w:val="008A4C9D"/>
    <w:rsid w:val="008A54A5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6EF8"/>
    <w:rsid w:val="008F7098"/>
    <w:rsid w:val="009003B8"/>
    <w:rsid w:val="009036E0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816F5"/>
    <w:rsid w:val="00982973"/>
    <w:rsid w:val="0098399E"/>
    <w:rsid w:val="00985B95"/>
    <w:rsid w:val="0099066A"/>
    <w:rsid w:val="0099390A"/>
    <w:rsid w:val="00996A3D"/>
    <w:rsid w:val="009A0242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76E9"/>
    <w:rsid w:val="009F3D1F"/>
    <w:rsid w:val="009F4C7E"/>
    <w:rsid w:val="009F5B68"/>
    <w:rsid w:val="00A0091D"/>
    <w:rsid w:val="00A01405"/>
    <w:rsid w:val="00A02244"/>
    <w:rsid w:val="00A032DE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62F2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0158"/>
    <w:rsid w:val="00AF1735"/>
    <w:rsid w:val="00AF66A5"/>
    <w:rsid w:val="00AF7992"/>
    <w:rsid w:val="00B00650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26C16"/>
    <w:rsid w:val="00B26E52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513C"/>
    <w:rsid w:val="00BA606E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3E4"/>
    <w:rsid w:val="00BE3ED7"/>
    <w:rsid w:val="00BE4408"/>
    <w:rsid w:val="00BE594B"/>
    <w:rsid w:val="00BE66E7"/>
    <w:rsid w:val="00BE7DED"/>
    <w:rsid w:val="00BE7E71"/>
    <w:rsid w:val="00BF0AB8"/>
    <w:rsid w:val="00BF1615"/>
    <w:rsid w:val="00BF407A"/>
    <w:rsid w:val="00BF49C9"/>
    <w:rsid w:val="00BF50BA"/>
    <w:rsid w:val="00C018B4"/>
    <w:rsid w:val="00C01D97"/>
    <w:rsid w:val="00C0292C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628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3837"/>
    <w:rsid w:val="00C76603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D16"/>
    <w:rsid w:val="00CB6F1D"/>
    <w:rsid w:val="00CC005F"/>
    <w:rsid w:val="00CC26BC"/>
    <w:rsid w:val="00CC55EC"/>
    <w:rsid w:val="00CC5867"/>
    <w:rsid w:val="00CC5A4B"/>
    <w:rsid w:val="00CC6D1C"/>
    <w:rsid w:val="00CC6F44"/>
    <w:rsid w:val="00CC709B"/>
    <w:rsid w:val="00CD02E8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26C2"/>
    <w:rsid w:val="00D03D95"/>
    <w:rsid w:val="00D042D0"/>
    <w:rsid w:val="00D062E2"/>
    <w:rsid w:val="00D069FC"/>
    <w:rsid w:val="00D073A2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325"/>
    <w:rsid w:val="00D31E5B"/>
    <w:rsid w:val="00D32FFA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A371E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07CA"/>
    <w:rsid w:val="00E2125C"/>
    <w:rsid w:val="00E212B0"/>
    <w:rsid w:val="00E2273F"/>
    <w:rsid w:val="00E22EFF"/>
    <w:rsid w:val="00E312B1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1540"/>
    <w:rsid w:val="00E61761"/>
    <w:rsid w:val="00E61AD5"/>
    <w:rsid w:val="00E63114"/>
    <w:rsid w:val="00E664C7"/>
    <w:rsid w:val="00E666F4"/>
    <w:rsid w:val="00E677AB"/>
    <w:rsid w:val="00E73750"/>
    <w:rsid w:val="00E77B06"/>
    <w:rsid w:val="00E800E6"/>
    <w:rsid w:val="00E81221"/>
    <w:rsid w:val="00E82751"/>
    <w:rsid w:val="00E850A5"/>
    <w:rsid w:val="00E85136"/>
    <w:rsid w:val="00E8584F"/>
    <w:rsid w:val="00E85BEF"/>
    <w:rsid w:val="00E900C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AFC"/>
    <w:rsid w:val="00F040F5"/>
    <w:rsid w:val="00F0454C"/>
    <w:rsid w:val="00F10386"/>
    <w:rsid w:val="00F10CA9"/>
    <w:rsid w:val="00F13546"/>
    <w:rsid w:val="00F15953"/>
    <w:rsid w:val="00F15B4A"/>
    <w:rsid w:val="00F17899"/>
    <w:rsid w:val="00F20442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1D2D"/>
    <w:rsid w:val="00FB20CF"/>
    <w:rsid w:val="00FB351D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51A0AF-B7F5-4C9A-B69A-682B6A61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1/142?locale=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09/1069?locale=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/2011/142?locale=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2135</Words>
  <Characters>14361</Characters>
  <Application>Microsoft Office Word</Application>
  <DocSecurity>0</DocSecurity>
  <Lines>574</Lines>
  <Paragraphs>198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Olita Vecuma-Veco</dc:creator>
  <dc:description>___________.___________@zm.gov.lv
tālr. ________________</dc:description>
  <cp:lastModifiedBy>Antra Dāldere</cp:lastModifiedBy>
  <cp:revision>4</cp:revision>
  <cp:lastPrinted>2016-01-08T08:49:00Z</cp:lastPrinted>
  <dcterms:created xsi:type="dcterms:W3CDTF">2016-01-21T10:49:00Z</dcterms:created>
  <dcterms:modified xsi:type="dcterms:W3CDTF">2016-01-21T11:36:00Z</dcterms:modified>
</cp:coreProperties>
</file>