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CD95" w14:textId="18DC78A6" w:rsidR="0002029A" w:rsidRPr="00BA0DE8" w:rsidRDefault="003B585F" w:rsidP="0002029A">
      <w:pPr>
        <w:pStyle w:val="Pamatteksts"/>
        <w:jc w:val="center"/>
        <w:rPr>
          <w:sz w:val="24"/>
          <w:szCs w:val="28"/>
        </w:rPr>
      </w:pPr>
      <w:r w:rsidRPr="003B585F">
        <w:rPr>
          <w:sz w:val="24"/>
          <w:szCs w:val="28"/>
        </w:rPr>
        <w:t xml:space="preserve">Ministru kabineta noteikumu projekta „Grozījumi Ministru kabineta 2014.gada 15.jūlija noteikumos Nr.393 „Lauksaimniecības un akvakultūras dzīvnieku, to ganāmpulku un novietņu reģistrēšanas kārtība, kā arī lauksaimniecības dzīvnieku apzīmēšanas kārtība”” sākotnējās ietekmes novērtējuma ziņojums </w:t>
      </w:r>
      <w:r w:rsidR="0002029A" w:rsidRPr="00BA0DE8">
        <w:rPr>
          <w:sz w:val="24"/>
          <w:szCs w:val="28"/>
        </w:rPr>
        <w:t>(anotācija)</w:t>
      </w:r>
    </w:p>
    <w:p w14:paraId="4784CBFB" w14:textId="77777777" w:rsidR="00F37F7E" w:rsidRPr="00BA0DE8" w:rsidRDefault="00F37F7E" w:rsidP="00F37F7E">
      <w:pPr>
        <w:pStyle w:val="naisc"/>
        <w:widowControl w:val="0"/>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792"/>
        <w:gridCol w:w="518"/>
        <w:gridCol w:w="6230"/>
      </w:tblGrid>
      <w:tr w:rsidR="00BA0DE8" w:rsidRPr="00BA0DE8" w14:paraId="232BF374" w14:textId="77777777" w:rsidTr="00133DFE">
        <w:tc>
          <w:tcPr>
            <w:tcW w:w="5000" w:type="pct"/>
            <w:gridSpan w:val="4"/>
          </w:tcPr>
          <w:p w14:paraId="4C9249F4" w14:textId="77777777" w:rsidR="00AC145B" w:rsidRPr="00BA0DE8" w:rsidRDefault="00AC145B" w:rsidP="003037FE">
            <w:pPr>
              <w:pStyle w:val="naislab"/>
              <w:spacing w:before="0" w:after="0"/>
              <w:jc w:val="center"/>
              <w:outlineLvl w:val="0"/>
              <w:rPr>
                <w:b/>
                <w:sz w:val="28"/>
                <w:szCs w:val="28"/>
              </w:rPr>
            </w:pPr>
            <w:r w:rsidRPr="00BA0DE8">
              <w:rPr>
                <w:b/>
              </w:rPr>
              <w:t>I. Tiesību akta projekta izstrādes nepieciešamība</w:t>
            </w:r>
          </w:p>
        </w:tc>
      </w:tr>
      <w:tr w:rsidR="00BA0DE8" w:rsidRPr="00BA0DE8" w14:paraId="37E42372" w14:textId="77777777" w:rsidTr="008E3636">
        <w:tc>
          <w:tcPr>
            <w:tcW w:w="287" w:type="pct"/>
          </w:tcPr>
          <w:p w14:paraId="68276C80" w14:textId="77777777" w:rsidR="00AC145B" w:rsidRPr="00BA0DE8" w:rsidRDefault="00AC145B" w:rsidP="003037FE">
            <w:pPr>
              <w:pStyle w:val="naislab"/>
              <w:spacing w:before="0" w:after="0"/>
              <w:jc w:val="center"/>
              <w:outlineLvl w:val="0"/>
            </w:pPr>
            <w:r w:rsidRPr="00BA0DE8">
              <w:t>1.</w:t>
            </w:r>
          </w:p>
        </w:tc>
        <w:tc>
          <w:tcPr>
            <w:tcW w:w="1275" w:type="pct"/>
            <w:gridSpan w:val="2"/>
          </w:tcPr>
          <w:p w14:paraId="4B7A4FA7" w14:textId="77777777" w:rsidR="00AC145B" w:rsidRPr="00BA0DE8" w:rsidRDefault="00AC145B" w:rsidP="003037FE">
            <w:pPr>
              <w:pStyle w:val="naislab"/>
              <w:spacing w:before="0" w:after="0"/>
              <w:jc w:val="both"/>
              <w:outlineLvl w:val="0"/>
            </w:pPr>
            <w:r w:rsidRPr="00BA0DE8">
              <w:t>Pamatojums</w:t>
            </w:r>
          </w:p>
        </w:tc>
        <w:tc>
          <w:tcPr>
            <w:tcW w:w="3438" w:type="pct"/>
          </w:tcPr>
          <w:p w14:paraId="2EACD7EB" w14:textId="123E972F" w:rsidR="00AC145B" w:rsidRPr="00BA0DE8" w:rsidRDefault="003B585F" w:rsidP="00AC145B">
            <w:pPr>
              <w:pStyle w:val="naislab"/>
              <w:spacing w:before="0" w:after="0"/>
              <w:jc w:val="both"/>
              <w:outlineLvl w:val="0"/>
            </w:pPr>
            <w:r w:rsidRPr="003B585F">
              <w:t>Ministru kabineta noteikumu projekts „Grozījumi Ministru kabineta 2014.gada 15.jūlija noteikumos Nr.393 „Lauksaimniecības un akvakultūras dzīvnieku, to ganāmpulku un novietņu reģistrēšanas kārtība, kā arī lauksaimniecības dzīvnieku apzīmēšanas kārtība”” (turpmāk – noteikumu projekts) sagatavots, pamatojoties uz Ciltsdarba un dzīvnieku audzēšanas likuma 9.panta pirmo daļu</w:t>
            </w:r>
            <w:r w:rsidR="00002015" w:rsidRPr="00BA0DE8">
              <w:t>.</w:t>
            </w:r>
          </w:p>
        </w:tc>
      </w:tr>
      <w:tr w:rsidR="00BA0DE8" w:rsidRPr="00BA0DE8" w14:paraId="2B9FD514" w14:textId="77777777" w:rsidTr="008E3636">
        <w:tc>
          <w:tcPr>
            <w:tcW w:w="287" w:type="pct"/>
          </w:tcPr>
          <w:p w14:paraId="4630946C" w14:textId="77777777" w:rsidR="00AC145B" w:rsidRPr="00BA0DE8" w:rsidRDefault="00AC145B" w:rsidP="003037FE">
            <w:pPr>
              <w:pStyle w:val="naislab"/>
              <w:spacing w:before="0" w:after="0"/>
              <w:jc w:val="center"/>
              <w:outlineLvl w:val="0"/>
            </w:pPr>
            <w:r w:rsidRPr="00BA0DE8">
              <w:t>2.</w:t>
            </w:r>
          </w:p>
        </w:tc>
        <w:tc>
          <w:tcPr>
            <w:tcW w:w="1275" w:type="pct"/>
            <w:gridSpan w:val="2"/>
          </w:tcPr>
          <w:p w14:paraId="50BABC10" w14:textId="04E0492E" w:rsidR="00A61CAA" w:rsidRDefault="00AC145B" w:rsidP="003037FE">
            <w:pPr>
              <w:pStyle w:val="naislab"/>
              <w:spacing w:before="0" w:after="0"/>
              <w:jc w:val="both"/>
              <w:outlineLvl w:val="0"/>
            </w:pPr>
            <w:r w:rsidRPr="00BA0DE8">
              <w:t>Pašreizējā situācija un problēmas, kuru risināšanai tiesību akta projekts izstrādāts, tiesiskā regulējuma mērķis un būtība</w:t>
            </w:r>
          </w:p>
          <w:p w14:paraId="0D6176A6" w14:textId="77777777" w:rsidR="00A61CAA" w:rsidRPr="00162BA4" w:rsidRDefault="00A61CAA" w:rsidP="00162BA4"/>
          <w:p w14:paraId="0D7FFDBA" w14:textId="77777777" w:rsidR="00A61CAA" w:rsidRPr="00162BA4" w:rsidRDefault="00A61CAA" w:rsidP="00162BA4"/>
          <w:p w14:paraId="5746BCA7" w14:textId="77777777" w:rsidR="00A61CAA" w:rsidRPr="00162BA4" w:rsidRDefault="00A61CAA" w:rsidP="00162BA4"/>
          <w:p w14:paraId="1D1901A4" w14:textId="77777777" w:rsidR="00A61CAA" w:rsidRPr="00162BA4" w:rsidRDefault="00A61CAA" w:rsidP="00162BA4"/>
          <w:p w14:paraId="110BF606" w14:textId="77777777" w:rsidR="00A61CAA" w:rsidRPr="00162BA4" w:rsidRDefault="00A61CAA" w:rsidP="00162BA4"/>
          <w:p w14:paraId="35AC0FBF" w14:textId="77777777" w:rsidR="00A61CAA" w:rsidRPr="00162BA4" w:rsidRDefault="00A61CAA" w:rsidP="00162BA4"/>
          <w:p w14:paraId="7BA6717E" w14:textId="77777777" w:rsidR="00A61CAA" w:rsidRPr="00162BA4" w:rsidRDefault="00A61CAA" w:rsidP="00162BA4"/>
          <w:p w14:paraId="74C7BB54" w14:textId="77777777" w:rsidR="00A61CAA" w:rsidRPr="00162BA4" w:rsidRDefault="00A61CAA" w:rsidP="00162BA4"/>
          <w:p w14:paraId="6A45596A" w14:textId="77777777" w:rsidR="00A61CAA" w:rsidRPr="00162BA4" w:rsidRDefault="00A61CAA" w:rsidP="00162BA4"/>
          <w:p w14:paraId="45495618" w14:textId="77777777" w:rsidR="00A61CAA" w:rsidRPr="00162BA4" w:rsidRDefault="00A61CAA" w:rsidP="00162BA4"/>
          <w:p w14:paraId="17E90644" w14:textId="77777777" w:rsidR="00A61CAA" w:rsidRPr="00162BA4" w:rsidRDefault="00A61CAA" w:rsidP="00162BA4"/>
          <w:p w14:paraId="24692050" w14:textId="77777777" w:rsidR="00A61CAA" w:rsidRPr="00162BA4" w:rsidRDefault="00A61CAA" w:rsidP="00162BA4"/>
          <w:p w14:paraId="326338C9" w14:textId="77777777" w:rsidR="00A61CAA" w:rsidRPr="00162BA4" w:rsidRDefault="00A61CAA" w:rsidP="00162BA4"/>
          <w:p w14:paraId="72156263" w14:textId="77777777" w:rsidR="00A61CAA" w:rsidRPr="00162BA4" w:rsidRDefault="00A61CAA" w:rsidP="00162BA4"/>
          <w:p w14:paraId="0C076230" w14:textId="77777777" w:rsidR="00A61CAA" w:rsidRPr="00162BA4" w:rsidRDefault="00A61CAA" w:rsidP="00162BA4"/>
          <w:p w14:paraId="68BB04ED" w14:textId="77777777" w:rsidR="00A61CAA" w:rsidRPr="00162BA4" w:rsidRDefault="00A61CAA" w:rsidP="00162BA4"/>
          <w:p w14:paraId="775F9C0C" w14:textId="77777777" w:rsidR="00A61CAA" w:rsidRPr="00162BA4" w:rsidRDefault="00A61CAA" w:rsidP="00162BA4"/>
          <w:p w14:paraId="55DCDFEC" w14:textId="77777777" w:rsidR="00A61CAA" w:rsidRPr="00162BA4" w:rsidRDefault="00A61CAA" w:rsidP="00162BA4"/>
          <w:p w14:paraId="03516360" w14:textId="77777777" w:rsidR="00A61CAA" w:rsidRPr="00162BA4" w:rsidRDefault="00A61CAA" w:rsidP="00162BA4"/>
          <w:p w14:paraId="074166BA" w14:textId="77777777" w:rsidR="00A61CAA" w:rsidRPr="00162BA4" w:rsidRDefault="00A61CAA" w:rsidP="00162BA4"/>
          <w:p w14:paraId="138FD7AC" w14:textId="77777777" w:rsidR="00A61CAA" w:rsidRPr="00162BA4" w:rsidRDefault="00A61CAA" w:rsidP="00162BA4"/>
          <w:p w14:paraId="25EBE61C" w14:textId="77777777" w:rsidR="00A61CAA" w:rsidRPr="00162BA4" w:rsidRDefault="00A61CAA" w:rsidP="00162BA4"/>
          <w:p w14:paraId="7CB6A8AE" w14:textId="77777777" w:rsidR="00A61CAA" w:rsidRPr="00162BA4" w:rsidRDefault="00A61CAA" w:rsidP="00162BA4"/>
          <w:p w14:paraId="5F6DA777" w14:textId="77777777" w:rsidR="00A61CAA" w:rsidRPr="00162BA4" w:rsidRDefault="00A61CAA" w:rsidP="00162BA4"/>
          <w:p w14:paraId="7EFF45C8" w14:textId="77777777" w:rsidR="00A61CAA" w:rsidRPr="00162BA4" w:rsidRDefault="00A61CAA" w:rsidP="00162BA4"/>
          <w:p w14:paraId="03F4D7B5" w14:textId="77777777" w:rsidR="00A61CAA" w:rsidRPr="00162BA4" w:rsidRDefault="00A61CAA" w:rsidP="00162BA4"/>
          <w:p w14:paraId="28B1C0CA" w14:textId="77777777" w:rsidR="00A61CAA" w:rsidRPr="00162BA4" w:rsidRDefault="00A61CAA" w:rsidP="00162BA4"/>
          <w:p w14:paraId="4B1FE81E" w14:textId="77777777" w:rsidR="00A61CAA" w:rsidRPr="00162BA4" w:rsidRDefault="00A61CAA" w:rsidP="00162BA4"/>
          <w:p w14:paraId="24DB6FD8" w14:textId="77777777" w:rsidR="00A61CAA" w:rsidRPr="00162BA4" w:rsidRDefault="00A61CAA" w:rsidP="00162BA4"/>
          <w:p w14:paraId="2B642A27" w14:textId="115E7A01" w:rsidR="00A61CAA" w:rsidRDefault="00A61CAA" w:rsidP="00A61CAA"/>
          <w:p w14:paraId="161C4D75" w14:textId="77777777" w:rsidR="00A61CAA" w:rsidRPr="00162BA4" w:rsidRDefault="00A61CAA" w:rsidP="00162BA4"/>
          <w:p w14:paraId="707B253E" w14:textId="3F50B429" w:rsidR="00AC145B" w:rsidRPr="00162BA4" w:rsidRDefault="00AC145B" w:rsidP="00162BA4"/>
        </w:tc>
        <w:tc>
          <w:tcPr>
            <w:tcW w:w="3438" w:type="pct"/>
          </w:tcPr>
          <w:p w14:paraId="2370C0C6" w14:textId="77777777" w:rsidR="003B585F" w:rsidRPr="003B585F" w:rsidRDefault="003B585F" w:rsidP="003B585F">
            <w:pPr>
              <w:jc w:val="both"/>
              <w:rPr>
                <w:bCs/>
              </w:rPr>
            </w:pPr>
            <w:r w:rsidRPr="003B585F">
              <w:rPr>
                <w:bCs/>
              </w:rPr>
              <w:t>Patlaban spēkā ir Ministru kabineta 2014.gada 15.jūlija noteikumi Nr.393 „Lauksaimniecības un akvakultūras dzīvnieku, to ganāmpulku un novietņu reģistrēšanas kārtība, kā arī lauksaimniecības dzīvnieku apzīmēšanas kārtība” (turpmāk – noteikumi Nr.393).</w:t>
            </w:r>
          </w:p>
          <w:p w14:paraId="37A021A7" w14:textId="5860E670" w:rsidR="003B585F" w:rsidRPr="003B585F" w:rsidRDefault="003B585F" w:rsidP="003B585F">
            <w:pPr>
              <w:jc w:val="both"/>
              <w:rPr>
                <w:bCs/>
              </w:rPr>
            </w:pPr>
            <w:r w:rsidRPr="003B585F">
              <w:rPr>
                <w:bCs/>
              </w:rPr>
              <w:t xml:space="preserve">Noteikumu projekta mērķis ir precizēt informācijas apriti Lauksaimniecības datu centra (turpmāk – datu centrs) lauksaimniecības dzīvnieku, ganāmpulku un novietņu reģistrā (kas ir valsts informācijas sistēmas "Lauksaimniecības datu centra informācijas sistēma" sastāvdaļa (turpmāk – elektroniskā datubāze)), </w:t>
            </w:r>
            <w:r w:rsidR="001F728C">
              <w:rPr>
                <w:bCs/>
              </w:rPr>
              <w:t>jo t</w:t>
            </w:r>
            <w:r w:rsidRPr="003B585F">
              <w:rPr>
                <w:bCs/>
              </w:rPr>
              <w:t>as do</w:t>
            </w:r>
            <w:r w:rsidR="001F728C">
              <w:rPr>
                <w:bCs/>
              </w:rPr>
              <w:t>s</w:t>
            </w:r>
            <w:r w:rsidRPr="003B585F">
              <w:rPr>
                <w:bCs/>
              </w:rPr>
              <w:t xml:space="preserve"> iespēju </w:t>
            </w:r>
            <w:r w:rsidR="001F728C">
              <w:rPr>
                <w:bCs/>
              </w:rPr>
              <w:t>precīzi</w:t>
            </w:r>
            <w:r w:rsidR="001F728C" w:rsidRPr="003B585F">
              <w:rPr>
                <w:bCs/>
              </w:rPr>
              <w:t xml:space="preserve"> </w:t>
            </w:r>
            <w:r w:rsidRPr="003B585F">
              <w:rPr>
                <w:bCs/>
              </w:rPr>
              <w:t>izsekot dzīvnieku kustībai to pārvietošanas laikā un notikumiem ar tiem, īpaši gadījumos, ja ir konstatēti dzīvnieku slimību uzliesmojumi.</w:t>
            </w:r>
          </w:p>
          <w:p w14:paraId="1537E694" w14:textId="42432C5C" w:rsidR="003B585F" w:rsidRPr="003B585F" w:rsidRDefault="003B585F" w:rsidP="003B585F">
            <w:pPr>
              <w:jc w:val="both"/>
              <w:rPr>
                <w:bCs/>
              </w:rPr>
            </w:pPr>
            <w:r w:rsidRPr="003B585F">
              <w:rPr>
                <w:bCs/>
              </w:rPr>
              <w:t xml:space="preserve">Ar </w:t>
            </w:r>
            <w:proofErr w:type="gramStart"/>
            <w:r w:rsidRPr="003B585F">
              <w:rPr>
                <w:bCs/>
              </w:rPr>
              <w:t>2016.gada</w:t>
            </w:r>
            <w:proofErr w:type="gramEnd"/>
            <w:r w:rsidRPr="003B585F">
              <w:rPr>
                <w:bCs/>
              </w:rPr>
              <w:t xml:space="preserve"> 1.janvāri stā</w:t>
            </w:r>
            <w:r w:rsidR="00CC0D36">
              <w:rPr>
                <w:bCs/>
              </w:rPr>
              <w:t>ja</w:t>
            </w:r>
            <w:r w:rsidRPr="003B585F">
              <w:rPr>
                <w:bCs/>
              </w:rPr>
              <w:t>s spēkā Komisijas 2015.gada 17.februāra Īstenošanas Regula (ES) Nr.2015/262, ar ko saskaņā ar Padomes Direktīvas 90/427/EEK un 2009/156/EK nosaka zirgu dzimtas dzīvnieku identifikācijas metožu noteikumus (Zirgu dzimtas dzīvnieku pasu regula) (turpmāk – regula Nr.2015/262), t</w:t>
            </w:r>
            <w:r w:rsidR="00454D15">
              <w:rPr>
                <w:bCs/>
              </w:rPr>
              <w:t>ādēļ</w:t>
            </w:r>
            <w:r w:rsidRPr="003B585F">
              <w:rPr>
                <w:bCs/>
              </w:rPr>
              <w:t xml:space="preserve"> </w:t>
            </w:r>
            <w:r w:rsidR="006D35E7">
              <w:rPr>
                <w:bCs/>
              </w:rPr>
              <w:t>atbilstoši</w:t>
            </w:r>
            <w:r w:rsidRPr="003B585F">
              <w:rPr>
                <w:bCs/>
              </w:rPr>
              <w:t xml:space="preserve"> regulas </w:t>
            </w:r>
            <w:r w:rsidR="001F728C">
              <w:rPr>
                <w:bCs/>
              </w:rPr>
              <w:t>N</w:t>
            </w:r>
            <w:r w:rsidRPr="003B585F">
              <w:rPr>
                <w:bCs/>
              </w:rPr>
              <w:t>r.</w:t>
            </w:r>
            <w:r w:rsidR="006D35E7">
              <w:rPr>
                <w:bCs/>
              </w:rPr>
              <w:t> </w:t>
            </w:r>
            <w:r w:rsidRPr="003B585F">
              <w:rPr>
                <w:bCs/>
              </w:rPr>
              <w:t>2015/262 prasībām noteikumu projektā tiek precizēta visa IX sadaļa par zirgu dzimtas dzīvnieku apzīmēšanas veidiem un līdzekļiem, paredzot atsauces uz regulas</w:t>
            </w:r>
            <w:r w:rsidR="00454D15">
              <w:rPr>
                <w:bCs/>
              </w:rPr>
              <w:t xml:space="preserve"> </w:t>
            </w:r>
            <w:r w:rsidR="001F728C">
              <w:rPr>
                <w:bCs/>
              </w:rPr>
              <w:t>N</w:t>
            </w:r>
            <w:r w:rsidR="00454D15">
              <w:rPr>
                <w:bCs/>
              </w:rPr>
              <w:t>r.2015/262</w:t>
            </w:r>
            <w:r w:rsidRPr="003B585F">
              <w:rPr>
                <w:bCs/>
              </w:rPr>
              <w:t xml:space="preserve"> punktiem</w:t>
            </w:r>
            <w:r w:rsidR="003A5061">
              <w:rPr>
                <w:bCs/>
              </w:rPr>
              <w:t>.</w:t>
            </w:r>
            <w:r w:rsidRPr="003B585F">
              <w:rPr>
                <w:bCs/>
              </w:rPr>
              <w:t xml:space="preserve"> </w:t>
            </w:r>
            <w:r w:rsidR="003A5061">
              <w:rPr>
                <w:bCs/>
              </w:rPr>
              <w:t xml:space="preserve">Tāpat </w:t>
            </w:r>
            <w:r w:rsidR="00134BEB">
              <w:rPr>
                <w:bCs/>
              </w:rPr>
              <w:t>tiek</w:t>
            </w:r>
            <w:r w:rsidR="00134BEB" w:rsidRPr="003B585F">
              <w:rPr>
                <w:bCs/>
              </w:rPr>
              <w:t xml:space="preserve"> svītro</w:t>
            </w:r>
            <w:r w:rsidR="00134BEB">
              <w:rPr>
                <w:bCs/>
              </w:rPr>
              <w:t>tas</w:t>
            </w:r>
            <w:r w:rsidR="00134BEB" w:rsidRPr="003B585F">
              <w:rPr>
                <w:bCs/>
              </w:rPr>
              <w:t xml:space="preserve"> </w:t>
            </w:r>
            <w:r w:rsidR="00134BEB">
              <w:rPr>
                <w:bCs/>
              </w:rPr>
              <w:t>tās</w:t>
            </w:r>
            <w:r w:rsidR="001F728C">
              <w:rPr>
                <w:bCs/>
              </w:rPr>
              <w:t xml:space="preserve"> </w:t>
            </w:r>
            <w:r w:rsidRPr="003B585F">
              <w:rPr>
                <w:bCs/>
              </w:rPr>
              <w:t>noteikum</w:t>
            </w:r>
            <w:r w:rsidR="001F728C">
              <w:rPr>
                <w:bCs/>
              </w:rPr>
              <w:t>u</w:t>
            </w:r>
            <w:r w:rsidRPr="003B585F">
              <w:rPr>
                <w:bCs/>
              </w:rPr>
              <w:t xml:space="preserve"> Nr</w:t>
            </w:r>
            <w:r w:rsidR="00454D15">
              <w:rPr>
                <w:bCs/>
              </w:rPr>
              <w:t>.</w:t>
            </w:r>
            <w:r w:rsidRPr="003B585F">
              <w:rPr>
                <w:bCs/>
              </w:rPr>
              <w:t>393 normas, kas dublējas ar regulā noteiktām prasībām, kā arī precizēts pielikums, paredzot</w:t>
            </w:r>
            <w:r w:rsidR="003A5061">
              <w:rPr>
                <w:bCs/>
              </w:rPr>
              <w:t>, ka zirga reģistrācijas kartītē tiek</w:t>
            </w:r>
            <w:r w:rsidRPr="003B585F">
              <w:rPr>
                <w:bCs/>
              </w:rPr>
              <w:t xml:space="preserve"> </w:t>
            </w:r>
            <w:r w:rsidR="003A5061">
              <w:rPr>
                <w:bCs/>
              </w:rPr>
              <w:t xml:space="preserve">izdarīta </w:t>
            </w:r>
            <w:r w:rsidRPr="003B585F">
              <w:rPr>
                <w:bCs/>
              </w:rPr>
              <w:t>atzīm</w:t>
            </w:r>
            <w:r w:rsidR="003A5061">
              <w:rPr>
                <w:bCs/>
              </w:rPr>
              <w:t>e par to</w:t>
            </w:r>
            <w:r w:rsidRPr="003B585F">
              <w:rPr>
                <w:bCs/>
              </w:rPr>
              <w:t>, ka zirga dzimtas dzīvnieks ir jau bijis apzīmēts</w:t>
            </w:r>
            <w:r w:rsidR="003A5061">
              <w:rPr>
                <w:bCs/>
              </w:rPr>
              <w:t>.</w:t>
            </w:r>
            <w:r w:rsidRPr="003B585F">
              <w:rPr>
                <w:bCs/>
              </w:rPr>
              <w:t xml:space="preserve"> </w:t>
            </w:r>
            <w:r w:rsidR="003A5061">
              <w:rPr>
                <w:bCs/>
              </w:rPr>
              <w:t>No noteikumiem</w:t>
            </w:r>
            <w:r w:rsidRPr="003B585F">
              <w:rPr>
                <w:bCs/>
              </w:rPr>
              <w:t xml:space="preserve"> </w:t>
            </w:r>
            <w:r w:rsidR="003A5061" w:rsidRPr="003B585F">
              <w:rPr>
                <w:bCs/>
              </w:rPr>
              <w:t>Nr.393</w:t>
            </w:r>
            <w:r w:rsidR="003A5061">
              <w:rPr>
                <w:bCs/>
              </w:rPr>
              <w:t xml:space="preserve"> </w:t>
            </w:r>
            <w:r w:rsidRPr="003B585F">
              <w:rPr>
                <w:bCs/>
              </w:rPr>
              <w:t xml:space="preserve">svītrota </w:t>
            </w:r>
            <w:r w:rsidR="003A5061">
              <w:rPr>
                <w:bCs/>
              </w:rPr>
              <w:t xml:space="preserve">arī </w:t>
            </w:r>
            <w:r w:rsidRPr="003B585F">
              <w:rPr>
                <w:bCs/>
              </w:rPr>
              <w:t>prasība par informācijas sniegšanu attiecībā uz valsts nodevas samaksu, jo</w:t>
            </w:r>
            <w:r w:rsidR="003A5061">
              <w:rPr>
                <w:bCs/>
              </w:rPr>
              <w:t>,</w:t>
            </w:r>
            <w:r w:rsidRPr="003B585F">
              <w:rPr>
                <w:bCs/>
              </w:rPr>
              <w:t xml:space="preserve"> pamatojoties uz Finanšu ministrijas </w:t>
            </w:r>
            <w:r w:rsidR="003A5061">
              <w:rPr>
                <w:bCs/>
              </w:rPr>
              <w:t>i</w:t>
            </w:r>
            <w:r w:rsidRPr="003B585F">
              <w:rPr>
                <w:bCs/>
              </w:rPr>
              <w:t>nformatīvo ziņojumu „Par valsts nodevu un maksas pakalpojumu nošķiršanu un nodevu sistēmas pilnveidošanu” (izskatīts Ministru kabineta 2012.gada 20.marta sēdē, prot.</w:t>
            </w:r>
            <w:r w:rsidR="003A5061">
              <w:rPr>
                <w:bCs/>
              </w:rPr>
              <w:t xml:space="preserve"> </w:t>
            </w:r>
            <w:r w:rsidRPr="003B585F">
              <w:rPr>
                <w:bCs/>
              </w:rPr>
              <w:t xml:space="preserve">Nr.16, 31.§ 3. un 6.punkts) (turpmāk – Ziņojums), Zemkopības ministrija ir izvērtējusi likumā „Par nodokļiem un nodevām” (turpmāk – likums) noteikto valsts nodevu atbilstību Ziņojumā </w:t>
            </w:r>
            <w:r w:rsidR="003A5061">
              <w:rPr>
                <w:bCs/>
              </w:rPr>
              <w:t>minē</w:t>
            </w:r>
            <w:r w:rsidRPr="003B585F">
              <w:rPr>
                <w:bCs/>
              </w:rPr>
              <w:t xml:space="preserve">tajām valsts nodevas objekta pazīmēm </w:t>
            </w:r>
            <w:r w:rsidR="00454D15">
              <w:rPr>
                <w:bCs/>
              </w:rPr>
              <w:t>un valsts nodevas ir pārveidojusi</w:t>
            </w:r>
            <w:r w:rsidRPr="003B585F">
              <w:rPr>
                <w:bCs/>
              </w:rPr>
              <w:t xml:space="preserve"> par maksas pakalpojumiem. </w:t>
            </w:r>
          </w:p>
          <w:p w14:paraId="1C956641" w14:textId="598EA641" w:rsidR="003B585F" w:rsidRPr="003B585F" w:rsidRDefault="003B585F" w:rsidP="003B585F">
            <w:pPr>
              <w:jc w:val="both"/>
              <w:rPr>
                <w:bCs/>
              </w:rPr>
            </w:pPr>
            <w:r w:rsidRPr="003B585F">
              <w:rPr>
                <w:bCs/>
              </w:rPr>
              <w:t xml:space="preserve">Ar </w:t>
            </w:r>
            <w:proofErr w:type="gramStart"/>
            <w:r w:rsidRPr="003B585F">
              <w:rPr>
                <w:bCs/>
              </w:rPr>
              <w:t>2016.gada</w:t>
            </w:r>
            <w:proofErr w:type="gramEnd"/>
            <w:r w:rsidRPr="003B585F">
              <w:rPr>
                <w:bCs/>
              </w:rPr>
              <w:t xml:space="preserve"> 18.janvāri stāsies spēkā Eiropas Parlamenta un Padomes 2014.gada 15.maija Direktīva 2014/64/ES, ar ko </w:t>
            </w:r>
            <w:r w:rsidRPr="003B585F">
              <w:rPr>
                <w:bCs/>
              </w:rPr>
              <w:lastRenderedPageBreak/>
              <w:t>attiecībā uz elektroniskām datubāzēm, kuras ietilpst dalībvalstu uzraudzības sistēmās, groza Padomes Direktīvu 64/432/EEK (turpmāk – direktīva 2014/64/ES), t</w:t>
            </w:r>
            <w:r w:rsidR="00454D15">
              <w:rPr>
                <w:bCs/>
              </w:rPr>
              <w:t>ā</w:t>
            </w:r>
            <w:r w:rsidRPr="003B585F">
              <w:rPr>
                <w:bCs/>
              </w:rPr>
              <w:t>d</w:t>
            </w:r>
            <w:r w:rsidR="00454D15">
              <w:rPr>
                <w:bCs/>
              </w:rPr>
              <w:t>ēļ</w:t>
            </w:r>
            <w:r w:rsidRPr="003B585F">
              <w:rPr>
                <w:bCs/>
              </w:rPr>
              <w:t xml:space="preserve"> noteikumu projektā tiek pārņemtas direktīvas 2014/64/ES noteiktās prasības. Šīs prasības </w:t>
            </w:r>
            <w:r w:rsidR="006D35E7">
              <w:rPr>
                <w:bCs/>
              </w:rPr>
              <w:t>nosaka</w:t>
            </w:r>
            <w:r w:rsidRPr="003B585F">
              <w:rPr>
                <w:bCs/>
              </w:rPr>
              <w:t>, ka dalībvalst</w:t>
            </w:r>
            <w:r w:rsidR="003A5061">
              <w:rPr>
                <w:bCs/>
              </w:rPr>
              <w:t>s</w:t>
            </w:r>
            <w:r w:rsidRPr="003B585F">
              <w:rPr>
                <w:bCs/>
              </w:rPr>
              <w:t xml:space="preserve"> kompetentajai iestādei (</w:t>
            </w:r>
            <w:r w:rsidR="003A5061">
              <w:rPr>
                <w:bCs/>
              </w:rPr>
              <w:t xml:space="preserve">Latvijā – </w:t>
            </w:r>
            <w:r w:rsidRPr="003B585F">
              <w:rPr>
                <w:bCs/>
              </w:rPr>
              <w:t>datu centram) elektronisk</w:t>
            </w:r>
            <w:r w:rsidR="001748D2">
              <w:rPr>
                <w:bCs/>
              </w:rPr>
              <w:t>aj</w:t>
            </w:r>
            <w:r w:rsidRPr="003B585F">
              <w:rPr>
                <w:bCs/>
              </w:rPr>
              <w:t>ā datubāzē jāparedz informācijas iekļaušan</w:t>
            </w:r>
            <w:r w:rsidR="00454D15">
              <w:rPr>
                <w:bCs/>
              </w:rPr>
              <w:t>a</w:t>
            </w:r>
            <w:r w:rsidRPr="003B585F">
              <w:rPr>
                <w:bCs/>
              </w:rPr>
              <w:t xml:space="preserve"> par </w:t>
            </w:r>
            <w:r w:rsidR="001748D2">
              <w:rPr>
                <w:bCs/>
              </w:rPr>
              <w:t>liellopu</w:t>
            </w:r>
            <w:r w:rsidR="001748D2" w:rsidRPr="003B585F">
              <w:rPr>
                <w:bCs/>
              </w:rPr>
              <w:t xml:space="preserve"> </w:t>
            </w:r>
            <w:r w:rsidRPr="003B585F">
              <w:rPr>
                <w:bCs/>
              </w:rPr>
              <w:t>elektronisk</w:t>
            </w:r>
            <w:r w:rsidR="001748D2">
              <w:rPr>
                <w:bCs/>
              </w:rPr>
              <w:t>aj</w:t>
            </w:r>
            <w:r w:rsidRPr="003B585F">
              <w:rPr>
                <w:bCs/>
              </w:rPr>
              <w:t xml:space="preserve">iem apzīmēšanas līdzekļiem, </w:t>
            </w:r>
            <w:r w:rsidR="001748D2">
              <w:rPr>
                <w:bCs/>
              </w:rPr>
              <w:t>tāpēc</w:t>
            </w:r>
            <w:r w:rsidRPr="003B585F">
              <w:rPr>
                <w:bCs/>
              </w:rPr>
              <w:t xml:space="preserve"> noteikumu projektā </w:t>
            </w:r>
            <w:r w:rsidR="001748D2">
              <w:rPr>
                <w:bCs/>
              </w:rPr>
              <w:t xml:space="preserve">ietverta </w:t>
            </w:r>
            <w:r w:rsidRPr="003B585F">
              <w:rPr>
                <w:bCs/>
              </w:rPr>
              <w:t>prasība,</w:t>
            </w:r>
            <w:r w:rsidR="001748D2">
              <w:rPr>
                <w:bCs/>
              </w:rPr>
              <w:t xml:space="preserve"> ka</w:t>
            </w:r>
            <w:r w:rsidRPr="003B585F">
              <w:rPr>
                <w:bCs/>
              </w:rPr>
              <w:t xml:space="preserve"> gadījumos, kad liellopu apzīmēšanā tiek </w:t>
            </w:r>
            <w:r w:rsidR="001748D2">
              <w:rPr>
                <w:bCs/>
              </w:rPr>
              <w:t>izman</w:t>
            </w:r>
            <w:r w:rsidRPr="003B585F">
              <w:rPr>
                <w:bCs/>
              </w:rPr>
              <w:t>toti elektroniskie identifikācijas līdzekļi, tie tiek reģistrēti elektroniskajā datubāzē un norādīts dzīvniekam izmantotais elektroniskā identifikatora veids</w:t>
            </w:r>
            <w:r w:rsidR="001748D2">
              <w:rPr>
                <w:bCs/>
              </w:rPr>
              <w:t>.</w:t>
            </w:r>
            <w:r w:rsidRPr="003B585F">
              <w:rPr>
                <w:bCs/>
              </w:rPr>
              <w:t xml:space="preserve"> </w:t>
            </w:r>
            <w:r w:rsidR="001748D2">
              <w:rPr>
                <w:bCs/>
              </w:rPr>
              <w:t>Tāpat</w:t>
            </w:r>
            <w:r w:rsidRPr="003B585F">
              <w:rPr>
                <w:bCs/>
              </w:rPr>
              <w:t xml:space="preserve"> tiek precizēta atsauce uz Eiropas Parlamenta un Padomes 2000. gada 17. jūlija 2014.gada 15.maija Regulu (EK) Nr. 1760/2000, ar ko izveido liellopu identifikācijas un reģistrācijas sistēmu un paredz liellopu gaļas un liellopu gaļas produktu marķēšanu, kā arī atceļ Padomes Regulu (EK) Nr. 820/97, </w:t>
            </w:r>
            <w:r w:rsidR="006D35E7">
              <w:rPr>
                <w:bCs/>
              </w:rPr>
              <w:t>jo tajā</w:t>
            </w:r>
            <w:r w:rsidRPr="003B585F">
              <w:rPr>
                <w:bCs/>
              </w:rPr>
              <w:t xml:space="preserve"> ir </w:t>
            </w:r>
            <w:r w:rsidR="001748D2">
              <w:rPr>
                <w:bCs/>
              </w:rPr>
              <w:t>izdarī</w:t>
            </w:r>
            <w:r w:rsidRPr="003B585F">
              <w:rPr>
                <w:bCs/>
              </w:rPr>
              <w:t xml:space="preserve">ti grozījumi attiecībā uz liellopu apzīmēšanu un identifikācijas līdzekļu izmantošanu. </w:t>
            </w:r>
          </w:p>
          <w:p w14:paraId="2C8FE45F" w14:textId="16850BBD" w:rsidR="001A4030" w:rsidRDefault="003B585F" w:rsidP="003B585F">
            <w:pPr>
              <w:jc w:val="both"/>
              <w:rPr>
                <w:bCs/>
              </w:rPr>
            </w:pPr>
            <w:r w:rsidRPr="003B585F">
              <w:rPr>
                <w:bCs/>
              </w:rPr>
              <w:t xml:space="preserve">Papildus noteikumu projektā </w:t>
            </w:r>
            <w:r w:rsidR="001748D2">
              <w:rPr>
                <w:bCs/>
              </w:rPr>
              <w:t>ir</w:t>
            </w:r>
            <w:r w:rsidRPr="003B585F">
              <w:rPr>
                <w:bCs/>
              </w:rPr>
              <w:t xml:space="preserve"> precizēta </w:t>
            </w:r>
            <w:r w:rsidR="001748D2" w:rsidRPr="003B585F">
              <w:rPr>
                <w:bCs/>
              </w:rPr>
              <w:t>kārtība</w:t>
            </w:r>
            <w:r w:rsidR="001748D2">
              <w:rPr>
                <w:bCs/>
              </w:rPr>
              <w:t>, kas attiecas uz</w:t>
            </w:r>
            <w:r w:rsidR="001748D2" w:rsidRPr="003B585F">
              <w:rPr>
                <w:bCs/>
              </w:rPr>
              <w:t xml:space="preserve"> </w:t>
            </w:r>
            <w:r w:rsidRPr="003B585F">
              <w:rPr>
                <w:bCs/>
              </w:rPr>
              <w:t>informācijas apmaiņ</w:t>
            </w:r>
            <w:r w:rsidR="00AF268B">
              <w:rPr>
                <w:bCs/>
              </w:rPr>
              <w:t>u</w:t>
            </w:r>
            <w:r w:rsidRPr="003B585F">
              <w:rPr>
                <w:bCs/>
              </w:rPr>
              <w:t xml:space="preserve"> starp lauksaimniecības dzīvnieku īpašnieku, turētāju, atzītā savākšanas centra īpašnieku vai tā pilnvaroto personu, datu centru un Pārtikas un veterināro dienestu</w:t>
            </w:r>
            <w:r w:rsidR="001748D2" w:rsidRPr="003B585F">
              <w:rPr>
                <w:bCs/>
              </w:rPr>
              <w:t xml:space="preserve"> un tās iesniegšanas termiņu elektronisk</w:t>
            </w:r>
            <w:r w:rsidR="001748D2">
              <w:rPr>
                <w:bCs/>
              </w:rPr>
              <w:t>aj</w:t>
            </w:r>
            <w:r w:rsidR="001748D2" w:rsidRPr="003B585F">
              <w:rPr>
                <w:bCs/>
              </w:rPr>
              <w:t>ā datubāzē</w:t>
            </w:r>
            <w:r w:rsidRPr="003B585F">
              <w:rPr>
                <w:bCs/>
              </w:rPr>
              <w:t xml:space="preserve">. </w:t>
            </w:r>
          </w:p>
          <w:p w14:paraId="1E8A07AD" w14:textId="58ECE016" w:rsidR="003B585F" w:rsidRPr="003B585F" w:rsidRDefault="003B585F" w:rsidP="003B585F">
            <w:pPr>
              <w:jc w:val="both"/>
              <w:rPr>
                <w:bCs/>
              </w:rPr>
            </w:pPr>
            <w:r w:rsidRPr="003B585F">
              <w:rPr>
                <w:bCs/>
              </w:rPr>
              <w:t>Lai nodrošinātu dzīvnieku izsekojamību un samazinātu administratīvo slogu</w:t>
            </w:r>
            <w:r w:rsidR="0026422C">
              <w:rPr>
                <w:bCs/>
              </w:rPr>
              <w:t>,</w:t>
            </w:r>
            <w:r w:rsidRPr="003B585F">
              <w:rPr>
                <w:bCs/>
              </w:rPr>
              <w:t xml:space="preserve"> dzīvnieku īpašniekiem un turētājiem, k</w:t>
            </w:r>
            <w:r w:rsidR="001748D2">
              <w:rPr>
                <w:bCs/>
              </w:rPr>
              <w:t>as</w:t>
            </w:r>
            <w:r w:rsidRPr="003B585F">
              <w:rPr>
                <w:bCs/>
              </w:rPr>
              <w:t xml:space="preserve"> dzīvniekus pārvieto uz atzīto savākšanas centru</w:t>
            </w:r>
            <w:r w:rsidR="001748D2">
              <w:rPr>
                <w:bCs/>
              </w:rPr>
              <w:t>,</w:t>
            </w:r>
            <w:r w:rsidRPr="003B585F">
              <w:rPr>
                <w:bCs/>
              </w:rPr>
              <w:t xml:space="preserve"> ir noteikts, ka informācijas apmaiņa notiks datu centra elektroniskās paziņošanas sistēmā</w:t>
            </w:r>
            <w:r w:rsidR="001748D2">
              <w:rPr>
                <w:bCs/>
              </w:rPr>
              <w:t>,</w:t>
            </w:r>
            <w:r w:rsidRPr="003B585F">
              <w:rPr>
                <w:bCs/>
              </w:rPr>
              <w:t xml:space="preserve"> paredzot, ka </w:t>
            </w:r>
            <w:r w:rsidR="001748D2">
              <w:rPr>
                <w:bCs/>
              </w:rPr>
              <w:t xml:space="preserve">šīs </w:t>
            </w:r>
            <w:r w:rsidRPr="003B585F">
              <w:rPr>
                <w:bCs/>
              </w:rPr>
              <w:t>darbības veiks atzītā savākšanas centra īpašnieks vai tā pilnvarotā persona</w:t>
            </w:r>
            <w:r w:rsidR="001748D2">
              <w:rPr>
                <w:bCs/>
              </w:rPr>
              <w:t>, līdz ar to</w:t>
            </w:r>
            <w:r w:rsidRPr="003B585F">
              <w:rPr>
                <w:bCs/>
              </w:rPr>
              <w:t xml:space="preserve"> dzīvnieka īpašnieku un turētāju </w:t>
            </w:r>
            <w:r w:rsidR="001748D2" w:rsidRPr="003B585F">
              <w:rPr>
                <w:bCs/>
              </w:rPr>
              <w:t xml:space="preserve">atbrīvojot </w:t>
            </w:r>
            <w:r w:rsidRPr="003B585F">
              <w:rPr>
                <w:bCs/>
              </w:rPr>
              <w:t xml:space="preserve">no papildu informācijas sniegšanas datu centram. </w:t>
            </w:r>
          </w:p>
          <w:p w14:paraId="30553F7B" w14:textId="6B97C72B" w:rsidR="003B585F" w:rsidRDefault="003B585F" w:rsidP="003B585F">
            <w:pPr>
              <w:jc w:val="both"/>
              <w:rPr>
                <w:bCs/>
              </w:rPr>
            </w:pPr>
            <w:r w:rsidRPr="003B585F">
              <w:rPr>
                <w:bCs/>
              </w:rPr>
              <w:t xml:space="preserve">Noteikumu projekts paredz arī to, ka </w:t>
            </w:r>
            <w:r w:rsidR="001748D2">
              <w:rPr>
                <w:bCs/>
              </w:rPr>
              <w:t xml:space="preserve">par </w:t>
            </w:r>
            <w:r w:rsidRPr="003B585F">
              <w:rPr>
                <w:bCs/>
              </w:rPr>
              <w:t xml:space="preserve">dzīvnieka </w:t>
            </w:r>
            <w:r w:rsidR="00BD695F">
              <w:rPr>
                <w:bCs/>
              </w:rPr>
              <w:t>(liellop</w:t>
            </w:r>
            <w:r w:rsidR="001748D2">
              <w:rPr>
                <w:bCs/>
              </w:rPr>
              <w:t>a</w:t>
            </w:r>
            <w:r w:rsidR="00BD695F">
              <w:rPr>
                <w:bCs/>
              </w:rPr>
              <w:t>, ait</w:t>
            </w:r>
            <w:r w:rsidR="001748D2">
              <w:rPr>
                <w:bCs/>
              </w:rPr>
              <w:t>as</w:t>
            </w:r>
            <w:r w:rsidR="00BD695F">
              <w:rPr>
                <w:bCs/>
              </w:rPr>
              <w:t xml:space="preserve"> un kaz</w:t>
            </w:r>
            <w:r w:rsidR="001748D2">
              <w:rPr>
                <w:bCs/>
              </w:rPr>
              <w:t>as</w:t>
            </w:r>
            <w:r w:rsidR="00BD695F">
              <w:rPr>
                <w:bCs/>
              </w:rPr>
              <w:t xml:space="preserve">) </w:t>
            </w:r>
            <w:r w:rsidRPr="003B585F">
              <w:rPr>
                <w:bCs/>
              </w:rPr>
              <w:t xml:space="preserve">atnešanos, piedzimšanu un apzīmēšanu var paziņot </w:t>
            </w:r>
            <w:r w:rsidR="001748D2">
              <w:rPr>
                <w:bCs/>
              </w:rPr>
              <w:t>reizē</w:t>
            </w:r>
            <w:r w:rsidRPr="003B585F">
              <w:rPr>
                <w:bCs/>
              </w:rPr>
              <w:t xml:space="preserve"> </w:t>
            </w:r>
            <w:r w:rsidR="001748D2">
              <w:rPr>
                <w:bCs/>
              </w:rPr>
              <w:t>ar</w:t>
            </w:r>
            <w:r w:rsidRPr="003B585F">
              <w:rPr>
                <w:bCs/>
              </w:rPr>
              <w:t xml:space="preserve"> dzīvnieka apzīmēšan</w:t>
            </w:r>
            <w:r w:rsidR="001748D2">
              <w:rPr>
                <w:bCs/>
              </w:rPr>
              <w:t>u</w:t>
            </w:r>
            <w:r w:rsidRPr="003B585F">
              <w:rPr>
                <w:bCs/>
              </w:rPr>
              <w:t xml:space="preserve"> </w:t>
            </w:r>
            <w:r w:rsidR="001748D2">
              <w:rPr>
                <w:bCs/>
              </w:rPr>
              <w:t>(</w:t>
            </w:r>
            <w:r w:rsidRPr="003B585F">
              <w:rPr>
                <w:bCs/>
              </w:rPr>
              <w:t>ar krotāliju</w:t>
            </w:r>
            <w:r w:rsidR="001748D2">
              <w:rPr>
                <w:bCs/>
              </w:rPr>
              <w:t>)</w:t>
            </w:r>
            <w:r w:rsidRPr="003B585F">
              <w:rPr>
                <w:bCs/>
              </w:rPr>
              <w:t xml:space="preserve">, </w:t>
            </w:r>
            <w:r w:rsidR="001748D2">
              <w:rPr>
                <w:bCs/>
              </w:rPr>
              <w:t>tādējādi</w:t>
            </w:r>
            <w:r w:rsidRPr="003B585F">
              <w:rPr>
                <w:bCs/>
              </w:rPr>
              <w:t xml:space="preserve"> būtiski atvieglo</w:t>
            </w:r>
            <w:r w:rsidR="001748D2">
              <w:rPr>
                <w:bCs/>
              </w:rPr>
              <w:t>jot</w:t>
            </w:r>
            <w:r w:rsidRPr="003B585F">
              <w:rPr>
                <w:bCs/>
              </w:rPr>
              <w:t xml:space="preserve"> un samazin</w:t>
            </w:r>
            <w:r w:rsidR="001748D2">
              <w:rPr>
                <w:bCs/>
              </w:rPr>
              <w:t>ot</w:t>
            </w:r>
            <w:r w:rsidRPr="003B585F">
              <w:rPr>
                <w:bCs/>
              </w:rPr>
              <w:t xml:space="preserve"> administratīvo slogu dzīvnieka īpašniekam vai turētājam</w:t>
            </w:r>
            <w:r w:rsidR="00495127">
              <w:rPr>
                <w:bCs/>
              </w:rPr>
              <w:t>.</w:t>
            </w:r>
          </w:p>
          <w:p w14:paraId="38C0B422" w14:textId="61F7D6F3" w:rsidR="00062C3F" w:rsidRPr="00016263" w:rsidRDefault="008669BC" w:rsidP="003B585F">
            <w:pPr>
              <w:jc w:val="both"/>
              <w:rPr>
                <w:bCs/>
              </w:rPr>
            </w:pPr>
            <w:r w:rsidRPr="00016263">
              <w:rPr>
                <w:bCs/>
              </w:rPr>
              <w:t>Tā kā Eiropas Savienības normatīvos aktos par dzīvnieku apzīmēšanu un reģistrēšanu ir noteikts, ka dzīvnieku turētāju pienākums ir sniegt informāciju kompetentajai iestādei noteiktā termiņā un šis termiņš ir no trīs līdz septiņām dienām, tad n</w:t>
            </w:r>
            <w:r w:rsidR="00062C3F" w:rsidRPr="00016263">
              <w:rPr>
                <w:bCs/>
              </w:rPr>
              <w:t>oteikumu projekt</w:t>
            </w:r>
            <w:r w:rsidR="004940AF" w:rsidRPr="00016263">
              <w:rPr>
                <w:bCs/>
              </w:rPr>
              <w:t xml:space="preserve">ā tiek pagarināts datu </w:t>
            </w:r>
            <w:r w:rsidRPr="00016263">
              <w:rPr>
                <w:bCs/>
              </w:rPr>
              <w:t xml:space="preserve">iesniegšanas un </w:t>
            </w:r>
            <w:r w:rsidR="004940AF" w:rsidRPr="00016263">
              <w:rPr>
                <w:bCs/>
              </w:rPr>
              <w:t xml:space="preserve">ievadīšanas </w:t>
            </w:r>
            <w:r w:rsidR="009B04A2" w:rsidRPr="00016263">
              <w:rPr>
                <w:bCs/>
              </w:rPr>
              <w:t>termiņš</w:t>
            </w:r>
            <w:r w:rsidR="00DE5C11" w:rsidRPr="00016263">
              <w:rPr>
                <w:bCs/>
              </w:rPr>
              <w:t xml:space="preserve"> </w:t>
            </w:r>
            <w:r w:rsidRPr="00016263">
              <w:rPr>
                <w:bCs/>
              </w:rPr>
              <w:t>novietnes dzīvnieku reģistrā un elektroniskajā datubāzē, lai neradītu pārpratumus un sarežģījumus, ka dati tiek ievadīti dažādos termiņos, līdz ar to ir vieglāk atcerēties vienu ievades termiņu, ne</w:t>
            </w:r>
            <w:r w:rsidR="006D35E7">
              <w:rPr>
                <w:bCs/>
              </w:rPr>
              <w:t>vis</w:t>
            </w:r>
            <w:r w:rsidRPr="00016263">
              <w:rPr>
                <w:bCs/>
              </w:rPr>
              <w:t xml:space="preserve"> vairākus, </w:t>
            </w:r>
            <w:r w:rsidR="006D35E7">
              <w:rPr>
                <w:bCs/>
              </w:rPr>
              <w:t>turklāt</w:t>
            </w:r>
            <w:r w:rsidRPr="00016263">
              <w:rPr>
                <w:bCs/>
              </w:rPr>
              <w:t xml:space="preserve"> tas atbildīgajām institūcijām atvieglos administrējošo un kontrolējošo funkciju </w:t>
            </w:r>
            <w:r w:rsidR="006D35E7">
              <w:rPr>
                <w:bCs/>
              </w:rPr>
              <w:t>izpildi</w:t>
            </w:r>
            <w:r w:rsidR="00EC0C21" w:rsidRPr="00016263">
              <w:rPr>
                <w:bCs/>
              </w:rPr>
              <w:t xml:space="preserve">. </w:t>
            </w:r>
            <w:r w:rsidR="005705D4" w:rsidRPr="00016263">
              <w:rPr>
                <w:bCs/>
              </w:rPr>
              <w:t xml:space="preserve">Šāds priekšlikums tika </w:t>
            </w:r>
            <w:r w:rsidR="004940AF" w:rsidRPr="00016263">
              <w:rPr>
                <w:bCs/>
              </w:rPr>
              <w:t>s</w:t>
            </w:r>
            <w:r w:rsidR="005705D4" w:rsidRPr="00016263">
              <w:rPr>
                <w:bCs/>
              </w:rPr>
              <w:t>aņemts no dzīvnieku īpašniekiem un turētājiem,</w:t>
            </w:r>
            <w:r w:rsidR="004940AF" w:rsidRPr="00016263">
              <w:rPr>
                <w:bCs/>
              </w:rPr>
              <w:t xml:space="preserve"> </w:t>
            </w:r>
            <w:r w:rsidR="009B04A2" w:rsidRPr="00016263">
              <w:rPr>
                <w:bCs/>
              </w:rPr>
              <w:t>šķirnes dzīvnieku audzētāju organizācij</w:t>
            </w:r>
            <w:r w:rsidR="005705D4" w:rsidRPr="00016263">
              <w:rPr>
                <w:bCs/>
              </w:rPr>
              <w:t>as</w:t>
            </w:r>
            <w:r w:rsidR="009B04A2" w:rsidRPr="00016263">
              <w:rPr>
                <w:bCs/>
              </w:rPr>
              <w:t xml:space="preserve"> un datu centra</w:t>
            </w:r>
            <w:r w:rsidR="004940AF" w:rsidRPr="00016263">
              <w:rPr>
                <w:bCs/>
              </w:rPr>
              <w:t xml:space="preserve">, </w:t>
            </w:r>
            <w:r w:rsidR="00256B83" w:rsidRPr="00016263">
              <w:rPr>
                <w:bCs/>
              </w:rPr>
              <w:t xml:space="preserve">lai atrisinātu savstarpējās domstarpības un atvieglotu un samazinātu administratīvo slogu iesaistītām pusēm, </w:t>
            </w:r>
            <w:r w:rsidR="009B04A2" w:rsidRPr="00016263">
              <w:rPr>
                <w:bCs/>
              </w:rPr>
              <w:t xml:space="preserve">jo intensīvās dzīvnieku </w:t>
            </w:r>
            <w:r w:rsidR="009B04A2" w:rsidRPr="00016263">
              <w:rPr>
                <w:bCs/>
              </w:rPr>
              <w:lastRenderedPageBreak/>
              <w:t xml:space="preserve">atnešanās </w:t>
            </w:r>
            <w:r w:rsidR="00256B83" w:rsidRPr="00016263">
              <w:rPr>
                <w:bCs/>
              </w:rPr>
              <w:t xml:space="preserve">sezonas </w:t>
            </w:r>
            <w:r w:rsidR="009B04A2" w:rsidRPr="00016263">
              <w:rPr>
                <w:bCs/>
              </w:rPr>
              <w:t>laikā ir</w:t>
            </w:r>
            <w:r w:rsidR="004940AF" w:rsidRPr="00016263">
              <w:rPr>
                <w:bCs/>
              </w:rPr>
              <w:t xml:space="preserve"> sarežģīti ievērot trīs dienu datu ievadīšanas termiņu</w:t>
            </w:r>
            <w:r w:rsidR="00256B83" w:rsidRPr="00016263">
              <w:rPr>
                <w:bCs/>
              </w:rPr>
              <w:t xml:space="preserve">. </w:t>
            </w:r>
          </w:p>
          <w:p w14:paraId="5FAA843C" w14:textId="6C1E9852" w:rsidR="00FE09A0" w:rsidRPr="00BA0DE8" w:rsidRDefault="003B585F" w:rsidP="003B585F">
            <w:pPr>
              <w:jc w:val="both"/>
              <w:rPr>
                <w:bCs/>
              </w:rPr>
            </w:pPr>
            <w:r w:rsidRPr="003B585F">
              <w:rPr>
                <w:bCs/>
              </w:rPr>
              <w:t xml:space="preserve">Informācija </w:t>
            </w:r>
            <w:r w:rsidR="001748D2">
              <w:rPr>
                <w:bCs/>
              </w:rPr>
              <w:t>dos</w:t>
            </w:r>
            <w:r w:rsidRPr="003B585F">
              <w:rPr>
                <w:bCs/>
              </w:rPr>
              <w:t xml:space="preserve"> iespēju izsekot dzīvnieku kustībai un lauksaimniecības dzīvnieku un dzīvnieku slimību uzliesmojumiem, kā arī nodrošin</w:t>
            </w:r>
            <w:r w:rsidR="001748D2">
              <w:rPr>
                <w:bCs/>
              </w:rPr>
              <w:t>āt</w:t>
            </w:r>
            <w:r w:rsidRPr="003B585F">
              <w:rPr>
                <w:bCs/>
              </w:rPr>
              <w:t xml:space="preserve"> dzīvnieku veselības un labturības uzraudzības pasākumu reģistrāciju, uzskaiti un analīzi, tā garantējot sabiedrības veselību un dzīvnieku izcelsmes pārtikas patērētāju aizsardzību</w:t>
            </w:r>
            <w:r w:rsidR="00076708">
              <w:rPr>
                <w:bCs/>
              </w:rPr>
              <w:t>.</w:t>
            </w:r>
          </w:p>
        </w:tc>
      </w:tr>
      <w:tr w:rsidR="00BA0DE8" w:rsidRPr="00BA0DE8" w14:paraId="59C2246A" w14:textId="77777777" w:rsidTr="008E3636">
        <w:tc>
          <w:tcPr>
            <w:tcW w:w="287" w:type="pct"/>
          </w:tcPr>
          <w:p w14:paraId="2DBE2D98" w14:textId="08E06A6C" w:rsidR="00AC145B" w:rsidRPr="00BA0DE8" w:rsidRDefault="00243D1D" w:rsidP="003037FE">
            <w:pPr>
              <w:pStyle w:val="Galvene"/>
              <w:jc w:val="center"/>
              <w:outlineLvl w:val="0"/>
            </w:pPr>
            <w:r w:rsidRPr="00BA0DE8">
              <w:lastRenderedPageBreak/>
              <w:t>3</w:t>
            </w:r>
            <w:r w:rsidR="00AC145B" w:rsidRPr="00BA0DE8">
              <w:t>.</w:t>
            </w:r>
          </w:p>
        </w:tc>
        <w:tc>
          <w:tcPr>
            <w:tcW w:w="1275" w:type="pct"/>
            <w:gridSpan w:val="2"/>
          </w:tcPr>
          <w:p w14:paraId="73E7E513" w14:textId="77777777" w:rsidR="00AC145B" w:rsidRPr="00BA0DE8" w:rsidRDefault="00AC145B" w:rsidP="003037FE">
            <w:pPr>
              <w:pStyle w:val="Galvene"/>
              <w:jc w:val="both"/>
              <w:outlineLvl w:val="0"/>
            </w:pPr>
            <w:r w:rsidRPr="00BA0DE8">
              <w:t>Projekta izstrādē iesaistītās institūcijas</w:t>
            </w:r>
          </w:p>
        </w:tc>
        <w:tc>
          <w:tcPr>
            <w:tcW w:w="3438" w:type="pct"/>
          </w:tcPr>
          <w:p w14:paraId="224C0756" w14:textId="642504B3" w:rsidR="00AC145B" w:rsidRPr="00BA0DE8" w:rsidRDefault="007D3F1B" w:rsidP="003037FE">
            <w:pPr>
              <w:jc w:val="both"/>
            </w:pPr>
            <w:r w:rsidRPr="007D3F1B">
              <w:t xml:space="preserve">Lauksaimniecības datu centrs </w:t>
            </w:r>
            <w:r w:rsidR="00940B60" w:rsidRPr="00940B60">
              <w:t>un Pārtikas un veterinārais dienests</w:t>
            </w:r>
          </w:p>
        </w:tc>
      </w:tr>
      <w:tr w:rsidR="005C3223" w:rsidRPr="00BA0DE8" w14:paraId="45012733" w14:textId="77777777" w:rsidTr="008E3636">
        <w:tc>
          <w:tcPr>
            <w:tcW w:w="287" w:type="pct"/>
          </w:tcPr>
          <w:p w14:paraId="07FBDCDD" w14:textId="77777777" w:rsidR="00AC145B" w:rsidRPr="00BA0DE8" w:rsidRDefault="00243D1D" w:rsidP="003037FE">
            <w:pPr>
              <w:pStyle w:val="naislab"/>
              <w:spacing w:before="0" w:after="0"/>
              <w:jc w:val="center"/>
              <w:outlineLvl w:val="0"/>
            </w:pPr>
            <w:r w:rsidRPr="00BA0DE8">
              <w:t>4</w:t>
            </w:r>
            <w:r w:rsidR="00AC145B" w:rsidRPr="00BA0DE8">
              <w:t>.</w:t>
            </w:r>
          </w:p>
        </w:tc>
        <w:tc>
          <w:tcPr>
            <w:tcW w:w="1275" w:type="pct"/>
            <w:gridSpan w:val="2"/>
          </w:tcPr>
          <w:p w14:paraId="6454C268" w14:textId="77777777" w:rsidR="00AC145B" w:rsidRPr="00BA0DE8" w:rsidRDefault="00AC145B" w:rsidP="003037FE">
            <w:pPr>
              <w:pStyle w:val="naislab"/>
              <w:spacing w:before="0" w:after="0"/>
              <w:jc w:val="both"/>
              <w:outlineLvl w:val="0"/>
            </w:pPr>
            <w:r w:rsidRPr="00BA0DE8">
              <w:t>Cita informācija</w:t>
            </w:r>
          </w:p>
        </w:tc>
        <w:tc>
          <w:tcPr>
            <w:tcW w:w="3438" w:type="pct"/>
          </w:tcPr>
          <w:p w14:paraId="22B2EB7F" w14:textId="77777777" w:rsidR="00AC145B" w:rsidRPr="00BA0DE8" w:rsidRDefault="00AC145B" w:rsidP="003037FE">
            <w:pPr>
              <w:jc w:val="both"/>
            </w:pPr>
            <w:r w:rsidRPr="00BA0DE8">
              <w:t>Nav.</w:t>
            </w:r>
          </w:p>
        </w:tc>
      </w:tr>
      <w:tr w:rsidR="00BA0DE8" w:rsidRPr="00BA0DE8" w14:paraId="01790ABC" w14:textId="77777777" w:rsidTr="00133DFE">
        <w:tc>
          <w:tcPr>
            <w:tcW w:w="5000" w:type="pct"/>
            <w:gridSpan w:val="4"/>
          </w:tcPr>
          <w:p w14:paraId="1EB0D8C7" w14:textId="77777777" w:rsidR="00AC145B" w:rsidRPr="00BA0DE8" w:rsidRDefault="00AC145B" w:rsidP="003037FE">
            <w:pPr>
              <w:jc w:val="center"/>
              <w:rPr>
                <w:b/>
              </w:rPr>
            </w:pPr>
            <w:r w:rsidRPr="00BA0DE8">
              <w:rPr>
                <w:b/>
              </w:rPr>
              <w:t>II. Tiesību akta projekta ietekme uz sabiedrību, tautsaimniecības attīstību un administratīvo slogu</w:t>
            </w:r>
          </w:p>
        </w:tc>
      </w:tr>
      <w:tr w:rsidR="00BA0DE8" w:rsidRPr="00BA0DE8" w14:paraId="5974D254" w14:textId="77777777" w:rsidTr="00BC349A">
        <w:tc>
          <w:tcPr>
            <w:tcW w:w="285" w:type="pct"/>
          </w:tcPr>
          <w:p w14:paraId="1B9D89DE" w14:textId="77777777" w:rsidR="00AC145B" w:rsidRPr="00BA0DE8" w:rsidRDefault="00AC145B" w:rsidP="003037FE">
            <w:pPr>
              <w:pStyle w:val="naislab"/>
              <w:spacing w:before="0" w:after="0"/>
              <w:jc w:val="center"/>
              <w:outlineLvl w:val="0"/>
            </w:pPr>
            <w:r w:rsidRPr="00BA0DE8">
              <w:t>1.</w:t>
            </w:r>
          </w:p>
        </w:tc>
        <w:tc>
          <w:tcPr>
            <w:tcW w:w="989" w:type="pct"/>
          </w:tcPr>
          <w:p w14:paraId="05BECCA4" w14:textId="77777777" w:rsidR="00AC145B" w:rsidRPr="00BA0DE8" w:rsidRDefault="00AC145B" w:rsidP="003037FE">
            <w:pPr>
              <w:pStyle w:val="naislab"/>
              <w:spacing w:before="0" w:after="0"/>
              <w:jc w:val="both"/>
              <w:outlineLvl w:val="0"/>
            </w:pPr>
            <w:r w:rsidRPr="00BA0DE8">
              <w:t>Sabiedrības mērķgrupas, kuras tiesiskais regulējums ietekmē vai varētu ietekmēt</w:t>
            </w:r>
          </w:p>
        </w:tc>
        <w:tc>
          <w:tcPr>
            <w:tcW w:w="3726" w:type="pct"/>
            <w:gridSpan w:val="2"/>
          </w:tcPr>
          <w:p w14:paraId="212EBE69" w14:textId="77777777" w:rsidR="00940B60" w:rsidRDefault="00940B60" w:rsidP="00940B60">
            <w:pPr>
              <w:jc w:val="both"/>
            </w:pPr>
            <w:r>
              <w:t>Noteikumu projekta tiesiskais regulējums attieksies uz:</w:t>
            </w:r>
          </w:p>
          <w:p w14:paraId="194B8AD4" w14:textId="4A64BD48" w:rsidR="00940B60" w:rsidRDefault="00940B60" w:rsidP="00940B60">
            <w:pPr>
              <w:jc w:val="both"/>
            </w:pPr>
            <w:r>
              <w:t>1) lauksaimniecības un akvakultūras dzīvnieku īpašniekiem un turētājiem. Datu centra elektroniskajā datubāzē šobrīd ir reģistrēti 39</w:t>
            </w:r>
            <w:r w:rsidR="001748D2">
              <w:t> </w:t>
            </w:r>
            <w:r>
              <w:t>404 ganāmpulki, tāpēc dzīvnieku īpašnieku un turētāju skaits aptuveni atbilst minētajam skaitlim – 39 404;</w:t>
            </w:r>
          </w:p>
          <w:p w14:paraId="21F5456B" w14:textId="5617DD0A" w:rsidR="00FE2C4C" w:rsidRPr="00BA0DE8" w:rsidRDefault="00940B60" w:rsidP="00940B60">
            <w:pPr>
              <w:pStyle w:val="naiskr"/>
              <w:spacing w:before="0" w:beforeAutospacing="0" w:after="0" w:afterAutospacing="0"/>
              <w:jc w:val="both"/>
            </w:pPr>
            <w:r>
              <w:t xml:space="preserve">2) pakalpojumu sniedzēji ciltsdarba jomā (fiziskas personas, kas ir saņēmušas sertifikātu lauksaimniecības dzīvnieku vērtēšanā, pārraudzībā, mākslīgajā apsēklošanā, olšūnu un embriju transplantācijā, un </w:t>
            </w:r>
            <w:proofErr w:type="spellStart"/>
            <w:r>
              <w:t>privātpraktizējošie</w:t>
            </w:r>
            <w:proofErr w:type="spellEnd"/>
            <w:r>
              <w:t xml:space="preserve"> un valsts pilnvarotie veterinārārsti). </w:t>
            </w:r>
            <w:r w:rsidR="001748D2">
              <w:t>Patlaban</w:t>
            </w:r>
            <w:r>
              <w:t xml:space="preserve"> valstī saskaņā ar datu centra informāciju ir aptuveni 1340 fizisk</w:t>
            </w:r>
            <w:r w:rsidR="001748D2">
              <w:t>u</w:t>
            </w:r>
            <w:r>
              <w:t xml:space="preserve"> person</w:t>
            </w:r>
            <w:r w:rsidR="001748D2">
              <w:t>u</w:t>
            </w:r>
            <w:r>
              <w:t>, kas veic lauksaimniecības dzīvnieku vērtēšanu, pārraudzību, mākslīgo apsēklošanu un olšūnu un embriju transplantēšanu</w:t>
            </w:r>
            <w:r w:rsidR="00FE2C4C" w:rsidRPr="00BA0DE8">
              <w:t>.</w:t>
            </w:r>
          </w:p>
        </w:tc>
      </w:tr>
      <w:tr w:rsidR="00BA0DE8" w:rsidRPr="00BA0DE8" w14:paraId="46D9EA57" w14:textId="77777777" w:rsidTr="00BC349A">
        <w:tc>
          <w:tcPr>
            <w:tcW w:w="285" w:type="pct"/>
          </w:tcPr>
          <w:p w14:paraId="71B5C867" w14:textId="15F15067" w:rsidR="00AC145B" w:rsidRPr="00BA0DE8" w:rsidRDefault="00AC145B" w:rsidP="003037FE">
            <w:pPr>
              <w:pStyle w:val="naislab"/>
              <w:spacing w:before="0" w:after="0"/>
              <w:jc w:val="center"/>
              <w:outlineLvl w:val="0"/>
            </w:pPr>
            <w:r w:rsidRPr="00BA0DE8">
              <w:t>2.</w:t>
            </w:r>
          </w:p>
        </w:tc>
        <w:tc>
          <w:tcPr>
            <w:tcW w:w="989" w:type="pct"/>
          </w:tcPr>
          <w:p w14:paraId="65D5FE84" w14:textId="77777777" w:rsidR="00AC145B" w:rsidRPr="00BA0DE8" w:rsidRDefault="00AC145B" w:rsidP="003037FE">
            <w:pPr>
              <w:pStyle w:val="naislab"/>
              <w:spacing w:before="0" w:after="0"/>
              <w:jc w:val="both"/>
              <w:outlineLvl w:val="0"/>
            </w:pPr>
            <w:r w:rsidRPr="00BA0DE8">
              <w:t>Tiesiskā regulējuma ietekme uz tautsaimniecību un administratīvo slogu</w:t>
            </w:r>
          </w:p>
        </w:tc>
        <w:tc>
          <w:tcPr>
            <w:tcW w:w="3726" w:type="pct"/>
            <w:gridSpan w:val="2"/>
          </w:tcPr>
          <w:p w14:paraId="5D920BC2" w14:textId="793B9401" w:rsidR="00AC145B" w:rsidRPr="00BA0DE8" w:rsidRDefault="000B2338" w:rsidP="006E65F9">
            <w:pPr>
              <w:jc w:val="both"/>
            </w:pPr>
            <w:r w:rsidRPr="00BA0DE8">
              <w:rPr>
                <w:bCs/>
              </w:rPr>
              <w:t>Tiesisk</w:t>
            </w:r>
            <w:r w:rsidR="000B43C3">
              <w:rPr>
                <w:bCs/>
              </w:rPr>
              <w:t>ais</w:t>
            </w:r>
            <w:r w:rsidRPr="00BA0DE8">
              <w:rPr>
                <w:bCs/>
              </w:rPr>
              <w:t xml:space="preserve"> regulējum</w:t>
            </w:r>
            <w:r w:rsidR="000B43C3">
              <w:rPr>
                <w:bCs/>
              </w:rPr>
              <w:t>s nerada</w:t>
            </w:r>
            <w:r w:rsidRPr="00BA0DE8">
              <w:rPr>
                <w:bCs/>
              </w:rPr>
              <w:t xml:space="preserve"> jaunas tiesības un pienākum</w:t>
            </w:r>
            <w:r w:rsidR="000B43C3">
              <w:rPr>
                <w:bCs/>
              </w:rPr>
              <w:t>u</w:t>
            </w:r>
            <w:r w:rsidR="006E65F9">
              <w:rPr>
                <w:bCs/>
              </w:rPr>
              <w:t>s,</w:t>
            </w:r>
            <w:r w:rsidR="006E65F9">
              <w:t xml:space="preserve"> </w:t>
            </w:r>
            <w:r w:rsidR="006E65F9" w:rsidRPr="006E65F9">
              <w:rPr>
                <w:bCs/>
              </w:rPr>
              <w:t>ne arī veicamās darbības</w:t>
            </w:r>
            <w:r w:rsidRPr="00BA0DE8">
              <w:rPr>
                <w:bCs/>
              </w:rPr>
              <w:t>.</w:t>
            </w:r>
            <w:r w:rsidR="0030353C" w:rsidRPr="00BA0DE8">
              <w:t xml:space="preserve"> </w:t>
            </w:r>
          </w:p>
        </w:tc>
      </w:tr>
      <w:tr w:rsidR="00BA0DE8" w:rsidRPr="00BA0DE8" w14:paraId="7A601307" w14:textId="77777777" w:rsidTr="00BC349A">
        <w:tc>
          <w:tcPr>
            <w:tcW w:w="285" w:type="pct"/>
          </w:tcPr>
          <w:p w14:paraId="30FFF5C8" w14:textId="77777777" w:rsidR="00AC145B" w:rsidRPr="00BA0DE8" w:rsidRDefault="00AC145B" w:rsidP="003037FE">
            <w:pPr>
              <w:pStyle w:val="naislab"/>
              <w:spacing w:before="0" w:after="0"/>
              <w:jc w:val="center"/>
              <w:outlineLvl w:val="0"/>
            </w:pPr>
            <w:r w:rsidRPr="00BA0DE8">
              <w:t>3.</w:t>
            </w:r>
          </w:p>
        </w:tc>
        <w:tc>
          <w:tcPr>
            <w:tcW w:w="989" w:type="pct"/>
          </w:tcPr>
          <w:p w14:paraId="6684BBE4" w14:textId="77777777" w:rsidR="00AC145B" w:rsidRPr="00BA0DE8" w:rsidRDefault="00AC145B" w:rsidP="003037FE">
            <w:pPr>
              <w:pStyle w:val="naislab"/>
              <w:spacing w:before="0" w:after="0"/>
              <w:jc w:val="both"/>
              <w:outlineLvl w:val="0"/>
            </w:pPr>
            <w:r w:rsidRPr="00BA0DE8">
              <w:t>Administratīvo izmaksu monetārs novērtējums</w:t>
            </w:r>
          </w:p>
        </w:tc>
        <w:tc>
          <w:tcPr>
            <w:tcW w:w="3726" w:type="pct"/>
            <w:gridSpan w:val="2"/>
          </w:tcPr>
          <w:p w14:paraId="0D29098D" w14:textId="1FBA8B9E" w:rsidR="00AC145B" w:rsidRPr="000B43C3" w:rsidRDefault="00DF5EE4" w:rsidP="003037FE">
            <w:pPr>
              <w:jc w:val="both"/>
            </w:pPr>
            <w:r w:rsidRPr="000E674D">
              <w:t>Projekts šo jomu neskar.</w:t>
            </w:r>
          </w:p>
        </w:tc>
      </w:tr>
      <w:tr w:rsidR="005C3223" w:rsidRPr="00BA0DE8" w14:paraId="2B5BD8E3" w14:textId="77777777" w:rsidTr="00BC349A">
        <w:tc>
          <w:tcPr>
            <w:tcW w:w="285" w:type="pct"/>
          </w:tcPr>
          <w:p w14:paraId="52C6E535" w14:textId="77777777" w:rsidR="00AC145B" w:rsidRPr="00BA0DE8" w:rsidRDefault="00AC145B" w:rsidP="003037FE">
            <w:pPr>
              <w:pStyle w:val="naislab"/>
              <w:spacing w:before="0" w:after="0"/>
              <w:jc w:val="center"/>
              <w:outlineLvl w:val="0"/>
            </w:pPr>
            <w:r w:rsidRPr="00BA0DE8">
              <w:t>4.</w:t>
            </w:r>
          </w:p>
        </w:tc>
        <w:tc>
          <w:tcPr>
            <w:tcW w:w="989" w:type="pct"/>
          </w:tcPr>
          <w:p w14:paraId="33541139" w14:textId="77777777" w:rsidR="00AC145B" w:rsidRPr="00BA0DE8" w:rsidRDefault="00AC145B" w:rsidP="003037FE">
            <w:pPr>
              <w:pStyle w:val="naislab"/>
              <w:spacing w:before="0" w:after="0"/>
              <w:jc w:val="both"/>
              <w:outlineLvl w:val="0"/>
            </w:pPr>
            <w:r w:rsidRPr="00BA0DE8">
              <w:t>Cita informācija</w:t>
            </w:r>
          </w:p>
        </w:tc>
        <w:tc>
          <w:tcPr>
            <w:tcW w:w="3726" w:type="pct"/>
            <w:gridSpan w:val="2"/>
          </w:tcPr>
          <w:p w14:paraId="3B2591EC" w14:textId="77777777" w:rsidR="00AC145B" w:rsidRPr="00BA0DE8" w:rsidRDefault="00AC145B" w:rsidP="003037FE">
            <w:pPr>
              <w:jc w:val="both"/>
            </w:pPr>
            <w:r w:rsidRPr="00BA0DE8">
              <w:t>Nav.</w:t>
            </w:r>
          </w:p>
        </w:tc>
      </w:tr>
    </w:tbl>
    <w:p w14:paraId="7D9C413F" w14:textId="77777777" w:rsidR="0060636F" w:rsidRPr="00BA0DE8" w:rsidRDefault="0060636F" w:rsidP="00656C9A"/>
    <w:p w14:paraId="0265AEF8" w14:textId="2C2A646C" w:rsidR="00656C9A" w:rsidRPr="00BA0DE8" w:rsidRDefault="00656C9A" w:rsidP="00656C9A">
      <w:pPr>
        <w:rPr>
          <w:i/>
        </w:rPr>
      </w:pPr>
      <w:r w:rsidRPr="00BA0DE8">
        <w:rPr>
          <w:i/>
        </w:rPr>
        <w:t xml:space="preserve">Anotācijas </w:t>
      </w:r>
      <w:r w:rsidR="008F28C0" w:rsidRPr="00BA0DE8">
        <w:rPr>
          <w:i/>
        </w:rPr>
        <w:t xml:space="preserve">III - </w:t>
      </w:r>
      <w:r w:rsidR="0060636F" w:rsidRPr="00BA0DE8">
        <w:rPr>
          <w:i/>
        </w:rPr>
        <w:t>IV</w:t>
      </w:r>
      <w:r w:rsidR="00D36A7D" w:rsidRPr="00BA0DE8">
        <w:rPr>
          <w:i/>
        </w:rPr>
        <w:t xml:space="preserve"> </w:t>
      </w:r>
      <w:r w:rsidRPr="00BA0DE8">
        <w:rPr>
          <w:i/>
        </w:rPr>
        <w:t>sadaļa – projekts š</w:t>
      </w:r>
      <w:r w:rsidR="00143CB1" w:rsidRPr="00BA0DE8">
        <w:rPr>
          <w:i/>
        </w:rPr>
        <w:t>īs</w:t>
      </w:r>
      <w:r w:rsidRPr="00BA0DE8">
        <w:rPr>
          <w:i/>
        </w:rPr>
        <w:t xml:space="preserve"> jom</w:t>
      </w:r>
      <w:r w:rsidR="00143CB1" w:rsidRPr="00BA0DE8">
        <w:rPr>
          <w:i/>
        </w:rPr>
        <w:t>as</w:t>
      </w:r>
      <w:r w:rsidRPr="00BA0DE8">
        <w:rPr>
          <w:i/>
        </w:rPr>
        <w:t xml:space="preserve"> 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568"/>
        <w:gridCol w:w="6973"/>
      </w:tblGrid>
      <w:tr w:rsidR="00BA0DE8" w:rsidRPr="00BA0DE8" w14:paraId="7C7B7C0A" w14:textId="77777777" w:rsidTr="00133DFE">
        <w:trPr>
          <w:trHeight w:val="279"/>
        </w:trPr>
        <w:tc>
          <w:tcPr>
            <w:tcW w:w="5000" w:type="pct"/>
            <w:gridSpan w:val="3"/>
          </w:tcPr>
          <w:p w14:paraId="5816C474" w14:textId="77777777" w:rsidR="008F28C0" w:rsidRPr="00BA0DE8" w:rsidRDefault="008F28C0" w:rsidP="009956A8">
            <w:pPr>
              <w:jc w:val="center"/>
              <w:rPr>
                <w:b/>
                <w:sz w:val="22"/>
                <w:szCs w:val="22"/>
              </w:rPr>
            </w:pPr>
            <w:r w:rsidRPr="00BA0DE8">
              <w:rPr>
                <w:b/>
                <w:sz w:val="22"/>
                <w:szCs w:val="22"/>
              </w:rPr>
              <w:t>V. Tiesību akta projekta atbilstība Latvijas Republikas starptautiskajām saistībām</w:t>
            </w:r>
          </w:p>
        </w:tc>
      </w:tr>
      <w:tr w:rsidR="00BA0DE8" w:rsidRPr="00BA0DE8" w14:paraId="25156F85" w14:textId="77777777" w:rsidTr="00133DFE">
        <w:trPr>
          <w:trHeight w:val="279"/>
        </w:trPr>
        <w:tc>
          <w:tcPr>
            <w:tcW w:w="287" w:type="pct"/>
          </w:tcPr>
          <w:p w14:paraId="28528D09" w14:textId="77777777" w:rsidR="008F28C0" w:rsidRPr="00BA0DE8" w:rsidRDefault="008F28C0" w:rsidP="009956A8">
            <w:pPr>
              <w:jc w:val="both"/>
              <w:rPr>
                <w:sz w:val="22"/>
                <w:szCs w:val="22"/>
              </w:rPr>
            </w:pPr>
            <w:r w:rsidRPr="00BA0DE8">
              <w:rPr>
                <w:sz w:val="22"/>
                <w:szCs w:val="22"/>
              </w:rPr>
              <w:t>1.</w:t>
            </w:r>
          </w:p>
        </w:tc>
        <w:tc>
          <w:tcPr>
            <w:tcW w:w="865" w:type="pct"/>
          </w:tcPr>
          <w:p w14:paraId="01F9606D" w14:textId="77777777" w:rsidR="008F28C0" w:rsidRPr="00BA0DE8" w:rsidRDefault="008F28C0" w:rsidP="009956A8">
            <w:pPr>
              <w:jc w:val="both"/>
              <w:rPr>
                <w:sz w:val="22"/>
                <w:szCs w:val="22"/>
              </w:rPr>
            </w:pPr>
            <w:r w:rsidRPr="00BA0DE8">
              <w:rPr>
                <w:sz w:val="22"/>
                <w:szCs w:val="22"/>
              </w:rPr>
              <w:t>Saistības pret Eiropas Savienību</w:t>
            </w:r>
          </w:p>
        </w:tc>
        <w:tc>
          <w:tcPr>
            <w:tcW w:w="3847" w:type="pct"/>
          </w:tcPr>
          <w:p w14:paraId="74710D8E" w14:textId="77777777" w:rsidR="006E65F9" w:rsidRDefault="006E65F9" w:rsidP="006E65F9">
            <w:pPr>
              <w:jc w:val="both"/>
            </w:pPr>
            <w:r>
              <w:t xml:space="preserve">Parlamenta un Padomes 2000.gada 17.jūlija Regula (EK) Nr.1760/2000, ar ko izveido liellopu identifikācijas un reģistrācijas sistēmu un paredz liellopu gaļas un liellopu gaļas produktu marķēšanu, kā arī atceļ Padomes Regulu (EK) Nr.820/97. </w:t>
            </w:r>
          </w:p>
          <w:p w14:paraId="3021EDFC" w14:textId="487177A0" w:rsidR="006E65F9" w:rsidRDefault="006E65F9" w:rsidP="006E65F9">
            <w:pPr>
              <w:jc w:val="both"/>
            </w:pPr>
            <w:r>
              <w:t>Eiropas Parlamenta un Padomes 2014.gada 15.maija Direktīva 2014/64/ES</w:t>
            </w:r>
            <w:r w:rsidR="001748D2">
              <w:t>,</w:t>
            </w:r>
            <w:r>
              <w:t xml:space="preserve"> ar ko attiecībā uz elektroniskām datubāzēm, kuras ietilpst dalībvalstu uzraudzības sistēmās, groza Padomes Direktīvu 64/432/EEK.</w:t>
            </w:r>
          </w:p>
          <w:p w14:paraId="097693EC" w14:textId="24C87AEC" w:rsidR="008F28C0" w:rsidRPr="00BA0DE8" w:rsidRDefault="006E65F9" w:rsidP="006E65F9">
            <w:pPr>
              <w:jc w:val="both"/>
            </w:pPr>
            <w:r>
              <w:t xml:space="preserve">Komisijas 2015.gada 17.februāra Īstenošanas Regula (ES) Nr.2015/262, ar ko saskaņā ar Padomes Direktīvas 90/427/EEK un </w:t>
            </w:r>
            <w:r>
              <w:lastRenderedPageBreak/>
              <w:t>2009/156/EK nosaka zirgu dzimtas dzīvnieku identifikācijas metožu noteikumus (Zirgu dzimtas dzīvnieku pasu regula).</w:t>
            </w:r>
          </w:p>
        </w:tc>
      </w:tr>
      <w:tr w:rsidR="00BA0DE8" w:rsidRPr="00BA0DE8" w14:paraId="3B1795FB" w14:textId="77777777" w:rsidTr="00133DFE">
        <w:trPr>
          <w:trHeight w:val="279"/>
        </w:trPr>
        <w:tc>
          <w:tcPr>
            <w:tcW w:w="287" w:type="pct"/>
          </w:tcPr>
          <w:p w14:paraId="4264104A" w14:textId="77777777" w:rsidR="008F28C0" w:rsidRPr="00BA0DE8" w:rsidRDefault="008F28C0" w:rsidP="009956A8">
            <w:pPr>
              <w:jc w:val="both"/>
              <w:rPr>
                <w:sz w:val="22"/>
                <w:szCs w:val="22"/>
              </w:rPr>
            </w:pPr>
            <w:r w:rsidRPr="00BA0DE8">
              <w:rPr>
                <w:sz w:val="22"/>
                <w:szCs w:val="22"/>
              </w:rPr>
              <w:lastRenderedPageBreak/>
              <w:t>2.</w:t>
            </w:r>
          </w:p>
        </w:tc>
        <w:tc>
          <w:tcPr>
            <w:tcW w:w="865" w:type="pct"/>
          </w:tcPr>
          <w:p w14:paraId="13D1D1F5" w14:textId="77777777" w:rsidR="008F28C0" w:rsidRPr="00BA0DE8" w:rsidRDefault="008F28C0" w:rsidP="009956A8">
            <w:pPr>
              <w:jc w:val="both"/>
              <w:rPr>
                <w:sz w:val="22"/>
                <w:szCs w:val="22"/>
              </w:rPr>
            </w:pPr>
            <w:r w:rsidRPr="00BA0DE8">
              <w:rPr>
                <w:sz w:val="22"/>
                <w:szCs w:val="22"/>
              </w:rPr>
              <w:t>Citas starptautiskās saistības</w:t>
            </w:r>
          </w:p>
        </w:tc>
        <w:tc>
          <w:tcPr>
            <w:tcW w:w="3847" w:type="pct"/>
          </w:tcPr>
          <w:p w14:paraId="73706D22" w14:textId="0B09D2CE" w:rsidR="008F28C0" w:rsidRPr="000E674D" w:rsidRDefault="004D4F42" w:rsidP="009956A8">
            <w:pPr>
              <w:jc w:val="both"/>
            </w:pPr>
            <w:r w:rsidRPr="000E674D">
              <w:t>Projekts šo jomu neskar.</w:t>
            </w:r>
          </w:p>
        </w:tc>
      </w:tr>
      <w:tr w:rsidR="008F28C0" w:rsidRPr="00BA0DE8" w14:paraId="2BF31E1E" w14:textId="77777777" w:rsidTr="00133DFE">
        <w:trPr>
          <w:trHeight w:val="279"/>
        </w:trPr>
        <w:tc>
          <w:tcPr>
            <w:tcW w:w="287" w:type="pct"/>
          </w:tcPr>
          <w:p w14:paraId="12E195ED" w14:textId="77777777" w:rsidR="008F28C0" w:rsidRPr="00BA0DE8" w:rsidRDefault="008F28C0" w:rsidP="009956A8">
            <w:pPr>
              <w:jc w:val="both"/>
              <w:rPr>
                <w:sz w:val="22"/>
                <w:szCs w:val="22"/>
              </w:rPr>
            </w:pPr>
            <w:r w:rsidRPr="00BA0DE8">
              <w:rPr>
                <w:sz w:val="22"/>
                <w:szCs w:val="22"/>
              </w:rPr>
              <w:t>3.</w:t>
            </w:r>
          </w:p>
        </w:tc>
        <w:tc>
          <w:tcPr>
            <w:tcW w:w="865" w:type="pct"/>
          </w:tcPr>
          <w:p w14:paraId="73417378" w14:textId="77777777" w:rsidR="008F28C0" w:rsidRPr="00BA0DE8" w:rsidRDefault="008F28C0" w:rsidP="009956A8">
            <w:pPr>
              <w:jc w:val="both"/>
              <w:rPr>
                <w:sz w:val="22"/>
                <w:szCs w:val="22"/>
              </w:rPr>
            </w:pPr>
            <w:r w:rsidRPr="00BA0DE8">
              <w:rPr>
                <w:sz w:val="22"/>
                <w:szCs w:val="22"/>
              </w:rPr>
              <w:t>Cita informācija</w:t>
            </w:r>
          </w:p>
        </w:tc>
        <w:tc>
          <w:tcPr>
            <w:tcW w:w="3847" w:type="pct"/>
          </w:tcPr>
          <w:p w14:paraId="30F7C2A6" w14:textId="77777777" w:rsidR="008F28C0" w:rsidRPr="000E674D" w:rsidRDefault="008F28C0" w:rsidP="009956A8">
            <w:pPr>
              <w:jc w:val="both"/>
            </w:pPr>
            <w:r w:rsidRPr="000E674D">
              <w:t>Nav.</w:t>
            </w:r>
          </w:p>
        </w:tc>
      </w:tr>
    </w:tbl>
    <w:p w14:paraId="28D72723" w14:textId="77777777" w:rsidR="008F28C0" w:rsidRPr="00BA0DE8" w:rsidRDefault="008F28C0" w:rsidP="008F28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630"/>
        <w:gridCol w:w="1963"/>
        <w:gridCol w:w="3328"/>
        <w:gridCol w:w="1822"/>
      </w:tblGrid>
      <w:tr w:rsidR="00BA0DE8" w:rsidRPr="00BA0DE8" w14:paraId="4E456D6B" w14:textId="77777777" w:rsidTr="00133DFE">
        <w:trPr>
          <w:trHeight w:val="279"/>
        </w:trPr>
        <w:tc>
          <w:tcPr>
            <w:tcW w:w="5000" w:type="pct"/>
            <w:gridSpan w:val="5"/>
          </w:tcPr>
          <w:p w14:paraId="4DA0DFB8" w14:textId="77777777" w:rsidR="00E9760B" w:rsidRDefault="008F28C0" w:rsidP="00E9760B">
            <w:pPr>
              <w:pStyle w:val="naisnod"/>
              <w:spacing w:before="0" w:after="0"/>
              <w:jc w:val="center"/>
              <w:rPr>
                <w:b/>
              </w:rPr>
            </w:pPr>
            <w:r w:rsidRPr="009D69A1">
              <w:rPr>
                <w:b/>
              </w:rPr>
              <w:t>1.tabula</w:t>
            </w:r>
          </w:p>
          <w:p w14:paraId="1F850CB6" w14:textId="2FB378C0" w:rsidR="008F28C0" w:rsidRPr="009D69A1" w:rsidRDefault="008F28C0" w:rsidP="00E9760B">
            <w:pPr>
              <w:pStyle w:val="naisnod"/>
              <w:spacing w:before="0" w:after="0"/>
              <w:jc w:val="center"/>
              <w:rPr>
                <w:b/>
              </w:rPr>
            </w:pPr>
            <w:r w:rsidRPr="009D69A1">
              <w:rPr>
                <w:b/>
              </w:rPr>
              <w:t>Tiesību akta projekta atbilstība ES tiesību aktiem</w:t>
            </w:r>
          </w:p>
        </w:tc>
      </w:tr>
      <w:tr w:rsidR="00BA0DE8" w:rsidRPr="00BA0DE8" w14:paraId="672ADF21" w14:textId="77777777" w:rsidTr="005D00FC">
        <w:trPr>
          <w:trHeight w:val="279"/>
        </w:trPr>
        <w:tc>
          <w:tcPr>
            <w:tcW w:w="734" w:type="pct"/>
          </w:tcPr>
          <w:p w14:paraId="588390C4" w14:textId="77777777" w:rsidR="008F28C0" w:rsidRPr="00BA0DE8" w:rsidRDefault="008F28C0" w:rsidP="009956A8">
            <w:pPr>
              <w:jc w:val="center"/>
            </w:pPr>
            <w:r w:rsidRPr="00BA0DE8">
              <w:rPr>
                <w:sz w:val="22"/>
                <w:szCs w:val="22"/>
              </w:rPr>
              <w:t>Attiecīgā ES tiesību akta datums, numurs un nosaukums</w:t>
            </w:r>
          </w:p>
        </w:tc>
        <w:tc>
          <w:tcPr>
            <w:tcW w:w="4266" w:type="pct"/>
            <w:gridSpan w:val="4"/>
          </w:tcPr>
          <w:p w14:paraId="33BB33C2" w14:textId="6C87B6ED" w:rsidR="008763E4" w:rsidRDefault="008763E4" w:rsidP="008763E4">
            <w:pPr>
              <w:jc w:val="both"/>
            </w:pPr>
            <w:r>
              <w:t>Parlamenta un Padomes 2000.gada 17.jūlija Regula (EK) Nr.1760/2000, ar ko izveido liellopu identifikācijas un reģistrācijas sistēmu un paredz liellopu gaļas un liellopu gaļas produktu marķēšanu, kā arī atceļ Padomes Regulu (EK) Nr.820/97 (turpmāk – regula Nr.1760/2000)</w:t>
            </w:r>
            <w:r w:rsidR="001748D2">
              <w:t>;</w:t>
            </w:r>
          </w:p>
          <w:p w14:paraId="2FBD7A36" w14:textId="5DA45F1A" w:rsidR="008763E4" w:rsidRDefault="008763E4" w:rsidP="008763E4">
            <w:pPr>
              <w:jc w:val="both"/>
            </w:pPr>
            <w:r>
              <w:t>Eiropas Parlamenta un Padomes 2014.gada 15.maija Direktīva 2014/64/ES</w:t>
            </w:r>
            <w:r w:rsidR="001748D2">
              <w:t>,</w:t>
            </w:r>
            <w:r>
              <w:t xml:space="preserve"> ar ko attiecībā uz elektroniskām datubāzēm, kuras ietilpst dalībvalstu uzraudzības sistēmās, groza Padomes Direktīvu 64/432/EEK (turpmāk – direktīva Nr.2014/64)</w:t>
            </w:r>
            <w:r w:rsidR="001748D2">
              <w:t>;</w:t>
            </w:r>
          </w:p>
          <w:p w14:paraId="4D7A480C" w14:textId="6F73F269" w:rsidR="008F28C0" w:rsidRPr="00BA0DE8" w:rsidRDefault="008763E4" w:rsidP="008763E4">
            <w:pPr>
              <w:jc w:val="both"/>
            </w:pPr>
            <w:r>
              <w:t>Komisijas 2015.gada 17.februāra Īstenošanas Regula (ES) Nr.2015/262, ar ko saskaņā ar Padomes Direktīvas 90/427/EEK un 2009/156/EK nosaka zirgu dzimtas dzīvnieku identifikācijas metožu noteikumus (Zirgu dzimtas dzīvnieku pasu regula) (turpmāk – regula Nr.2015/262)).</w:t>
            </w:r>
          </w:p>
        </w:tc>
      </w:tr>
      <w:tr w:rsidR="00BA0DE8" w:rsidRPr="00BA0DE8" w14:paraId="21E29535" w14:textId="77777777" w:rsidTr="00133DFE">
        <w:trPr>
          <w:trHeight w:val="279"/>
        </w:trPr>
        <w:tc>
          <w:tcPr>
            <w:tcW w:w="5000" w:type="pct"/>
            <w:gridSpan w:val="5"/>
          </w:tcPr>
          <w:p w14:paraId="72BEEEF8" w14:textId="77777777" w:rsidR="008F28C0" w:rsidRPr="00BA0DE8" w:rsidRDefault="008F28C0" w:rsidP="009956A8">
            <w:pPr>
              <w:jc w:val="both"/>
            </w:pPr>
          </w:p>
        </w:tc>
      </w:tr>
      <w:tr w:rsidR="003063C7" w:rsidRPr="00BA0DE8" w14:paraId="150C5495" w14:textId="77777777" w:rsidTr="005D00FC">
        <w:trPr>
          <w:trHeight w:val="279"/>
        </w:trPr>
        <w:tc>
          <w:tcPr>
            <w:tcW w:w="1088" w:type="pct"/>
            <w:gridSpan w:val="2"/>
          </w:tcPr>
          <w:p w14:paraId="0C82E880" w14:textId="77777777" w:rsidR="008F28C0" w:rsidRPr="00BA0DE8" w:rsidRDefault="008F28C0" w:rsidP="009956A8">
            <w:pPr>
              <w:jc w:val="center"/>
            </w:pPr>
            <w:r w:rsidRPr="00BA0DE8">
              <w:t>A</w:t>
            </w:r>
          </w:p>
        </w:tc>
        <w:tc>
          <w:tcPr>
            <w:tcW w:w="1057" w:type="pct"/>
          </w:tcPr>
          <w:p w14:paraId="151E2C9A" w14:textId="77777777" w:rsidR="008F28C0" w:rsidRPr="00BA0DE8" w:rsidRDefault="008F28C0" w:rsidP="009956A8">
            <w:pPr>
              <w:jc w:val="center"/>
            </w:pPr>
            <w:r w:rsidRPr="00BA0DE8">
              <w:t>B</w:t>
            </w:r>
          </w:p>
        </w:tc>
        <w:tc>
          <w:tcPr>
            <w:tcW w:w="1843" w:type="pct"/>
          </w:tcPr>
          <w:p w14:paraId="41A1C8F7" w14:textId="77777777" w:rsidR="008F28C0" w:rsidRPr="00BA0DE8" w:rsidRDefault="008F28C0" w:rsidP="009956A8">
            <w:pPr>
              <w:jc w:val="center"/>
            </w:pPr>
            <w:r w:rsidRPr="00BA0DE8">
              <w:t>C</w:t>
            </w:r>
          </w:p>
        </w:tc>
        <w:tc>
          <w:tcPr>
            <w:tcW w:w="1012" w:type="pct"/>
          </w:tcPr>
          <w:p w14:paraId="76A78E55" w14:textId="77777777" w:rsidR="008F28C0" w:rsidRPr="00BA0DE8" w:rsidRDefault="008F28C0" w:rsidP="009956A8">
            <w:pPr>
              <w:jc w:val="center"/>
            </w:pPr>
            <w:r w:rsidRPr="00BA0DE8">
              <w:t>D</w:t>
            </w:r>
          </w:p>
        </w:tc>
      </w:tr>
      <w:tr w:rsidR="003063C7" w:rsidRPr="00BA0DE8" w14:paraId="1FF575AB" w14:textId="77777777" w:rsidTr="005D00FC">
        <w:trPr>
          <w:trHeight w:val="279"/>
        </w:trPr>
        <w:tc>
          <w:tcPr>
            <w:tcW w:w="1088" w:type="pct"/>
            <w:gridSpan w:val="2"/>
          </w:tcPr>
          <w:p w14:paraId="15159BCB" w14:textId="77777777" w:rsidR="008F28C0" w:rsidRPr="00BA0DE8" w:rsidRDefault="008F28C0" w:rsidP="009956A8">
            <w:pPr>
              <w:jc w:val="both"/>
            </w:pPr>
            <w:r w:rsidRPr="00BA0DE8">
              <w:rPr>
                <w:sz w:val="22"/>
                <w:szCs w:val="22"/>
              </w:rPr>
              <w:t xml:space="preserve">Attiecīgā ES tiesību akta panta numurs (uzskaitot katru tiesību akta </w:t>
            </w:r>
            <w:r w:rsidRPr="00BA0DE8">
              <w:rPr>
                <w:sz w:val="22"/>
                <w:szCs w:val="22"/>
              </w:rPr>
              <w:br/>
              <w:t>vienību – pantu, daļu, punktu, apakšpunktu)</w:t>
            </w:r>
          </w:p>
        </w:tc>
        <w:tc>
          <w:tcPr>
            <w:tcW w:w="1057" w:type="pct"/>
          </w:tcPr>
          <w:p w14:paraId="79066F0B" w14:textId="77777777" w:rsidR="008F28C0" w:rsidRPr="00BA0DE8" w:rsidRDefault="008F28C0" w:rsidP="009956A8">
            <w:pPr>
              <w:jc w:val="both"/>
            </w:pPr>
            <w:r w:rsidRPr="00BA0DE8">
              <w:rPr>
                <w:sz w:val="22"/>
                <w:szCs w:val="22"/>
              </w:rPr>
              <w:t>Projekta vienība, kas pārņem vai ievieš katru šīs tabulas A ailē minēto ES tiesību akta vienību</w:t>
            </w:r>
          </w:p>
        </w:tc>
        <w:tc>
          <w:tcPr>
            <w:tcW w:w="1843" w:type="pct"/>
          </w:tcPr>
          <w:p w14:paraId="06DEF0F6"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Informācija par to, vai šīs tabulas A ailē minētās ES tiesību akta vienības tiek pārņemtas vai ieviestas pilnībā vai daļēji.</w:t>
            </w:r>
          </w:p>
          <w:p w14:paraId="62AF3CD0"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Ja attiecīgā ES tiesību akta vienība tiek pārņemta vai ieviesta daļēji, – sniedz attiecīgu skaidrojumu, kā arī precīzi norāda, kad un kādā veidā ES tiesību akta vienība tiks pārņemta vai ieviesta pilnībā.</w:t>
            </w:r>
          </w:p>
          <w:p w14:paraId="24B10BF3" w14:textId="77777777" w:rsidR="008F28C0" w:rsidRPr="00BA0DE8" w:rsidRDefault="008F28C0" w:rsidP="009956A8">
            <w:pPr>
              <w:jc w:val="both"/>
            </w:pPr>
            <w:r w:rsidRPr="00BA0DE8">
              <w:rPr>
                <w:sz w:val="22"/>
                <w:szCs w:val="22"/>
              </w:rPr>
              <w:t>Norāda institūciju, kas ir atbildīga par šo saistību izpildi pilnībā</w:t>
            </w:r>
          </w:p>
        </w:tc>
        <w:tc>
          <w:tcPr>
            <w:tcW w:w="1012" w:type="pct"/>
          </w:tcPr>
          <w:p w14:paraId="37243508"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Informācija par to, vai šīs tabulas B ailē minētās projekta vienības paredz stingrākas prasības nekā šīs tabulas A ailē minētās ES tiesību akta vienības.</w:t>
            </w:r>
          </w:p>
          <w:p w14:paraId="1486A1FD" w14:textId="77777777" w:rsidR="008F28C0" w:rsidRPr="00BA0DE8" w:rsidRDefault="008F28C0" w:rsidP="004D4F42">
            <w:pPr>
              <w:pStyle w:val="naiskr"/>
              <w:spacing w:before="0" w:beforeAutospacing="0" w:after="0" w:afterAutospacing="0"/>
              <w:jc w:val="both"/>
              <w:rPr>
                <w:sz w:val="22"/>
                <w:szCs w:val="22"/>
              </w:rPr>
            </w:pPr>
            <w:r w:rsidRPr="00BA0DE8">
              <w:rPr>
                <w:sz w:val="22"/>
                <w:szCs w:val="22"/>
              </w:rPr>
              <w:t xml:space="preserve">Ja projekts satur stingrākas prasības nekā attiecīgais ES tiesību </w:t>
            </w:r>
            <w:smartTag w:uri="schemas-tilde-lv/tildestengine" w:element="veidnes">
              <w:smartTagPr>
                <w:attr w:name="text" w:val="akts"/>
                <w:attr w:name="baseform" w:val="akts"/>
                <w:attr w:name="id" w:val="-1"/>
              </w:smartTagPr>
              <w:r w:rsidRPr="00BA0DE8">
                <w:rPr>
                  <w:sz w:val="22"/>
                  <w:szCs w:val="22"/>
                </w:rPr>
                <w:t>akts</w:t>
              </w:r>
            </w:smartTag>
            <w:r w:rsidRPr="00BA0DE8">
              <w:rPr>
                <w:sz w:val="22"/>
                <w:szCs w:val="22"/>
              </w:rPr>
              <w:t>, – norāda pamatojumu un samērīgumu.</w:t>
            </w:r>
          </w:p>
          <w:p w14:paraId="209219D3" w14:textId="77777777" w:rsidR="008F28C0" w:rsidRPr="00BA0DE8" w:rsidRDefault="008F28C0" w:rsidP="009956A8">
            <w:pPr>
              <w:jc w:val="both"/>
            </w:pPr>
            <w:r w:rsidRPr="00BA0DE8">
              <w:rPr>
                <w:sz w:val="22"/>
                <w:szCs w:val="22"/>
              </w:rPr>
              <w:t xml:space="preserve">Norāda iespējamās alternatīvas (t.sk. alternatīvas, kas neparedz tiesiskā regulējuma izstrādi) – kādos gadījumos būtu iespējams izvairīties no stingrāku prasību </w:t>
            </w:r>
            <w:r w:rsidRPr="00BA0DE8">
              <w:rPr>
                <w:sz w:val="22"/>
                <w:szCs w:val="22"/>
              </w:rPr>
              <w:lastRenderedPageBreak/>
              <w:t>noteikšanas, nekā paredzēts attiecīgajos ES tiesību aktos</w:t>
            </w:r>
          </w:p>
        </w:tc>
      </w:tr>
      <w:tr w:rsidR="003063C7" w:rsidRPr="00BA0DE8" w14:paraId="02355E69" w14:textId="77777777" w:rsidTr="005D00FC">
        <w:trPr>
          <w:trHeight w:val="279"/>
        </w:trPr>
        <w:tc>
          <w:tcPr>
            <w:tcW w:w="1088" w:type="pct"/>
            <w:gridSpan w:val="2"/>
          </w:tcPr>
          <w:p w14:paraId="26AFD593" w14:textId="05E15731" w:rsidR="00C80561" w:rsidRPr="00BA0DE8" w:rsidRDefault="00C80561" w:rsidP="009956A8">
            <w:r w:rsidRPr="00C80561">
              <w:lastRenderedPageBreak/>
              <w:t>Regulas Nr.2015/262 38.panta 1.punkts</w:t>
            </w:r>
          </w:p>
        </w:tc>
        <w:tc>
          <w:tcPr>
            <w:tcW w:w="1057" w:type="pct"/>
          </w:tcPr>
          <w:p w14:paraId="42A12193" w14:textId="694D4490" w:rsidR="00C80561" w:rsidRPr="00BA0DE8" w:rsidRDefault="00C80561" w:rsidP="005D00FC">
            <w:pPr>
              <w:jc w:val="both"/>
            </w:pPr>
            <w:r w:rsidRPr="00683B7F">
              <w:t xml:space="preserve">Noteikumu projekta </w:t>
            </w:r>
            <w:r>
              <w:t xml:space="preserve">2.punkts (noteikumu </w:t>
            </w:r>
            <w:r w:rsidRPr="00683B7F">
              <w:t>10.1.apakšpunkts</w:t>
            </w:r>
            <w:r>
              <w:t>)</w:t>
            </w:r>
          </w:p>
        </w:tc>
        <w:tc>
          <w:tcPr>
            <w:tcW w:w="1843" w:type="pct"/>
          </w:tcPr>
          <w:p w14:paraId="3A91CE95" w14:textId="0867FC9A" w:rsidR="00C80561" w:rsidRPr="00BA0DE8" w:rsidRDefault="00C80561" w:rsidP="005D00FC">
            <w:pPr>
              <w:jc w:val="both"/>
            </w:pPr>
            <w:r w:rsidRPr="00683B7F">
              <w:t>Šīs tabulas A ailē minētās ES tiesību akta vienības tiek ieviest</w:t>
            </w:r>
            <w:r>
              <w:t>a</w:t>
            </w:r>
            <w:r w:rsidRPr="00683B7F">
              <w:t xml:space="preserve">s pilnībā. </w:t>
            </w:r>
          </w:p>
        </w:tc>
        <w:tc>
          <w:tcPr>
            <w:tcW w:w="1012" w:type="pct"/>
          </w:tcPr>
          <w:p w14:paraId="06AEFD3A" w14:textId="292EE9B8" w:rsidR="00C80561" w:rsidRPr="00BA0DE8" w:rsidRDefault="00C80561" w:rsidP="005D00FC">
            <w:pPr>
              <w:jc w:val="both"/>
              <w:rPr>
                <w:sz w:val="22"/>
                <w:szCs w:val="22"/>
              </w:rPr>
            </w:pPr>
            <w:r w:rsidRPr="00972FD0">
              <w:t>Šīs tabulas B ailē minētās noteikumu projekta vienības neparedz stingrākas prasības kā šīs tabulas A ailē minētās ES tiesību akta vienības.</w:t>
            </w:r>
            <w:r>
              <w:t xml:space="preserve"> </w:t>
            </w:r>
          </w:p>
        </w:tc>
      </w:tr>
      <w:tr w:rsidR="003063C7" w:rsidRPr="00BA0DE8" w14:paraId="2F215A00" w14:textId="77777777" w:rsidTr="005D00FC">
        <w:trPr>
          <w:trHeight w:val="279"/>
        </w:trPr>
        <w:tc>
          <w:tcPr>
            <w:tcW w:w="1088" w:type="pct"/>
            <w:gridSpan w:val="2"/>
          </w:tcPr>
          <w:p w14:paraId="2663CBA0" w14:textId="77777777" w:rsidR="005D00FC" w:rsidRDefault="005D00FC" w:rsidP="005D00FC">
            <w:pPr>
              <w:jc w:val="both"/>
            </w:pPr>
            <w:r w:rsidRPr="00683B7F">
              <w:t xml:space="preserve">Direktīvas </w:t>
            </w:r>
            <w:r>
              <w:t>2014</w:t>
            </w:r>
            <w:r w:rsidRPr="00683B7F">
              <w:t>/</w:t>
            </w:r>
            <w:r>
              <w:t>64</w:t>
            </w:r>
            <w:r w:rsidRPr="00683B7F">
              <w:t xml:space="preserve"> 1.pant</w:t>
            </w:r>
            <w:r>
              <w:t>s un</w:t>
            </w:r>
          </w:p>
          <w:p w14:paraId="5D876E66" w14:textId="77777777" w:rsidR="005D00FC" w:rsidRDefault="005D00FC" w:rsidP="005D00FC">
            <w:pPr>
              <w:jc w:val="both"/>
            </w:pPr>
            <w:r>
              <w:t>R</w:t>
            </w:r>
            <w:r w:rsidRPr="00AD1B08">
              <w:t>egula</w:t>
            </w:r>
            <w:r>
              <w:t>s</w:t>
            </w:r>
            <w:r w:rsidRPr="00AD1B08">
              <w:t xml:space="preserve"> Nr.1760/2000</w:t>
            </w:r>
          </w:p>
          <w:p w14:paraId="5473886F" w14:textId="30DAB81C" w:rsidR="005D00FC" w:rsidRPr="00BA0DE8" w:rsidRDefault="005D00FC" w:rsidP="005D00FC">
            <w:pPr>
              <w:jc w:val="both"/>
            </w:pPr>
            <w:r w:rsidRPr="00AD1B08">
              <w:t>4</w:t>
            </w:r>
            <w:r>
              <w:t>.</w:t>
            </w:r>
            <w:r w:rsidRPr="00AD1B08">
              <w:t xml:space="preserve"> panta 1. punkt</w:t>
            </w:r>
            <w:r w:rsidR="001748D2">
              <w:t>s</w:t>
            </w:r>
            <w:r w:rsidRPr="00AD1B08">
              <w:t>, 4.b pant</w:t>
            </w:r>
            <w:r>
              <w:t>s</w:t>
            </w:r>
            <w:r w:rsidRPr="00AD1B08">
              <w:t>, 4.c panta 1. punkt</w:t>
            </w:r>
            <w:r>
              <w:t>s</w:t>
            </w:r>
            <w:r w:rsidRPr="00AD1B08">
              <w:t xml:space="preserve"> un 4.d pant</w:t>
            </w:r>
            <w:r>
              <w:t>s</w:t>
            </w:r>
          </w:p>
        </w:tc>
        <w:tc>
          <w:tcPr>
            <w:tcW w:w="1057" w:type="pct"/>
          </w:tcPr>
          <w:p w14:paraId="6F45DD32" w14:textId="51D5E4AF" w:rsidR="005D00FC" w:rsidRPr="00BA0DE8" w:rsidRDefault="005D00FC" w:rsidP="005D00FC">
            <w:pPr>
              <w:jc w:val="both"/>
            </w:pPr>
            <w:r w:rsidRPr="00683B7F">
              <w:t xml:space="preserve">Noteikumu projekta </w:t>
            </w:r>
            <w:r>
              <w:t xml:space="preserve">3.punkts (noteikumu </w:t>
            </w:r>
            <w:r w:rsidRPr="00683B7F">
              <w:t>10.3.apakšpunkts</w:t>
            </w:r>
            <w:r w:rsidR="001748D2">
              <w:t>)</w:t>
            </w:r>
            <w:r>
              <w:t xml:space="preserve"> </w:t>
            </w:r>
          </w:p>
        </w:tc>
        <w:tc>
          <w:tcPr>
            <w:tcW w:w="1843" w:type="pct"/>
          </w:tcPr>
          <w:p w14:paraId="1BBEDD55" w14:textId="77777777" w:rsidR="005D00FC" w:rsidRPr="00683B7F" w:rsidRDefault="005D00FC" w:rsidP="005D00FC">
            <w:pPr>
              <w:ind w:right="180"/>
              <w:jc w:val="both"/>
            </w:pPr>
            <w:r w:rsidRPr="00683B7F">
              <w:t xml:space="preserve">Šīs tabulas A ailē minētās ES tiesību akta vienības tiek ieviestas </w:t>
            </w:r>
            <w:r>
              <w:t>pilnībā</w:t>
            </w:r>
            <w:r w:rsidRPr="00683B7F">
              <w:t xml:space="preserve">. </w:t>
            </w:r>
          </w:p>
          <w:p w14:paraId="6643B3F5" w14:textId="67EA1F47" w:rsidR="005D00FC" w:rsidRPr="00BA0DE8" w:rsidRDefault="005D00FC" w:rsidP="005D00FC">
            <w:pPr>
              <w:jc w:val="both"/>
            </w:pPr>
          </w:p>
        </w:tc>
        <w:tc>
          <w:tcPr>
            <w:tcW w:w="1012" w:type="pct"/>
          </w:tcPr>
          <w:p w14:paraId="4E5BB451" w14:textId="52BF9E68" w:rsidR="005D00FC" w:rsidRPr="00BA0DE8" w:rsidRDefault="005D00FC" w:rsidP="005D00FC">
            <w:pPr>
              <w:jc w:val="both"/>
              <w:rPr>
                <w:sz w:val="22"/>
                <w:szCs w:val="22"/>
              </w:rPr>
            </w:pPr>
            <w:r w:rsidRPr="00972FD0">
              <w:t>Šīs tabulas B ailē minētās noteikumu projekta vienības neparedz stingrākas prasības kā šīs tabulas A ailē minētās ES tiesību akta vienības.</w:t>
            </w:r>
          </w:p>
        </w:tc>
      </w:tr>
      <w:tr w:rsidR="003063C7" w:rsidRPr="00BA0DE8" w14:paraId="7429972E" w14:textId="77777777" w:rsidTr="005D00FC">
        <w:trPr>
          <w:trHeight w:val="279"/>
        </w:trPr>
        <w:tc>
          <w:tcPr>
            <w:tcW w:w="1088" w:type="pct"/>
            <w:gridSpan w:val="2"/>
          </w:tcPr>
          <w:p w14:paraId="2D866BEC" w14:textId="2900B149" w:rsidR="005D00FC" w:rsidRPr="00BA0DE8" w:rsidRDefault="005D00FC" w:rsidP="005D00FC">
            <w:pPr>
              <w:jc w:val="both"/>
            </w:pPr>
            <w:r w:rsidRPr="00A2327F">
              <w:t xml:space="preserve">Regulas Nr.2015/262 </w:t>
            </w:r>
            <w:r>
              <w:t>2</w:t>
            </w:r>
            <w:r w:rsidRPr="00A2327F">
              <w:t>.pant</w:t>
            </w:r>
            <w:r>
              <w:t>a “n” apakšpunkts.</w:t>
            </w:r>
          </w:p>
        </w:tc>
        <w:tc>
          <w:tcPr>
            <w:tcW w:w="1057" w:type="pct"/>
          </w:tcPr>
          <w:p w14:paraId="27A95D23" w14:textId="419C6CA4" w:rsidR="005D00FC" w:rsidRDefault="005D00FC" w:rsidP="005D00FC">
            <w:pPr>
              <w:jc w:val="both"/>
            </w:pPr>
            <w:r>
              <w:t xml:space="preserve">Noteikumu projekta </w:t>
            </w:r>
          </w:p>
          <w:p w14:paraId="18E6FFDF" w14:textId="59549381" w:rsidR="005D00FC" w:rsidRPr="00BA0DE8" w:rsidRDefault="007B2B19" w:rsidP="001500A4">
            <w:pPr>
              <w:jc w:val="both"/>
            </w:pPr>
            <w:r>
              <w:t>2</w:t>
            </w:r>
            <w:r w:rsidR="001500A4">
              <w:t>0</w:t>
            </w:r>
            <w:r w:rsidR="005D00FC">
              <w:t>.punkts (noteikumu 41.punkts).</w:t>
            </w:r>
          </w:p>
        </w:tc>
        <w:tc>
          <w:tcPr>
            <w:tcW w:w="1843" w:type="pct"/>
          </w:tcPr>
          <w:p w14:paraId="70F2DE42" w14:textId="64ACDD1D" w:rsidR="005D00FC" w:rsidRPr="00BA0DE8" w:rsidRDefault="005D00FC" w:rsidP="005D00FC">
            <w:pPr>
              <w:jc w:val="both"/>
            </w:pPr>
            <w:r w:rsidRPr="00972FD0">
              <w:t>Šīs tabulas A ailē minētās ES tiesību akta vienības tiek ieviestas pilnībā</w:t>
            </w:r>
            <w:r>
              <w:t>.</w:t>
            </w:r>
          </w:p>
        </w:tc>
        <w:tc>
          <w:tcPr>
            <w:tcW w:w="1012" w:type="pct"/>
          </w:tcPr>
          <w:p w14:paraId="3045786C" w14:textId="0EC51FBA" w:rsidR="005D00FC" w:rsidRPr="00BA0DE8" w:rsidRDefault="005D00FC" w:rsidP="005D00FC">
            <w:pPr>
              <w:jc w:val="both"/>
              <w:rPr>
                <w:sz w:val="22"/>
                <w:szCs w:val="22"/>
              </w:rPr>
            </w:pPr>
            <w:r w:rsidRPr="00972FD0">
              <w:t>Šīs tabulas B ailē minētās noteikumu projekta vienības neparedz stingrākas prasības kā šīs tabulas A ailē minētās ES tiesību akta vienības.</w:t>
            </w:r>
          </w:p>
        </w:tc>
      </w:tr>
      <w:tr w:rsidR="003063C7" w:rsidRPr="00BA0DE8" w14:paraId="6841721C" w14:textId="77777777" w:rsidTr="005D00FC">
        <w:trPr>
          <w:trHeight w:val="279"/>
        </w:trPr>
        <w:tc>
          <w:tcPr>
            <w:tcW w:w="1088" w:type="pct"/>
            <w:gridSpan w:val="2"/>
          </w:tcPr>
          <w:p w14:paraId="7A99B8A4" w14:textId="46000074" w:rsidR="005D00FC" w:rsidRPr="00BA0DE8" w:rsidRDefault="005D00FC" w:rsidP="005D00FC">
            <w:pPr>
              <w:jc w:val="both"/>
            </w:pPr>
            <w:r w:rsidRPr="00972FD0">
              <w:t>Regulas Nr.</w:t>
            </w:r>
            <w:r>
              <w:t>2</w:t>
            </w:r>
            <w:r w:rsidRPr="00972FD0">
              <w:t>0</w:t>
            </w:r>
            <w:r>
              <w:t>15</w:t>
            </w:r>
            <w:r w:rsidRPr="00972FD0">
              <w:t>/2</w:t>
            </w:r>
            <w:r>
              <w:t>62</w:t>
            </w:r>
            <w:r w:rsidRPr="00972FD0">
              <w:t xml:space="preserve"> </w:t>
            </w:r>
            <w:r>
              <w:t>7</w:t>
            </w:r>
            <w:r w:rsidRPr="00972FD0">
              <w:t xml:space="preserve">.pants </w:t>
            </w:r>
            <w:r>
              <w:t>un 12.panta 2.punkts</w:t>
            </w:r>
          </w:p>
        </w:tc>
        <w:tc>
          <w:tcPr>
            <w:tcW w:w="1057" w:type="pct"/>
          </w:tcPr>
          <w:p w14:paraId="764D725F" w14:textId="7D1C71C0" w:rsidR="005D00FC" w:rsidRPr="00BA0DE8" w:rsidRDefault="005D00FC" w:rsidP="001500A4">
            <w:pPr>
              <w:jc w:val="both"/>
            </w:pPr>
            <w:r w:rsidRPr="00683B7F">
              <w:t xml:space="preserve">Noteikumu projekta </w:t>
            </w:r>
            <w:r>
              <w:t>2</w:t>
            </w:r>
            <w:r w:rsidR="001500A4">
              <w:t>3</w:t>
            </w:r>
            <w:r>
              <w:t xml:space="preserve">.punkts (noteikumu </w:t>
            </w:r>
            <w:r w:rsidRPr="00683B7F">
              <w:t>58.punkts</w:t>
            </w:r>
            <w:r>
              <w:t>).</w:t>
            </w:r>
          </w:p>
        </w:tc>
        <w:tc>
          <w:tcPr>
            <w:tcW w:w="1843" w:type="pct"/>
          </w:tcPr>
          <w:p w14:paraId="14299E06" w14:textId="5269BEBA" w:rsidR="005D00FC" w:rsidRPr="00BA0DE8" w:rsidRDefault="005D00FC" w:rsidP="005D00FC">
            <w:pPr>
              <w:jc w:val="both"/>
            </w:pPr>
            <w:r w:rsidRPr="00972FD0">
              <w:t>Šīs tabulas A ailē minētās ES tiesību akta vienības tiek ieviestas pilnībā</w:t>
            </w:r>
            <w:r>
              <w:t>.</w:t>
            </w:r>
          </w:p>
        </w:tc>
        <w:tc>
          <w:tcPr>
            <w:tcW w:w="1012" w:type="pct"/>
          </w:tcPr>
          <w:p w14:paraId="1BA01B3B" w14:textId="0F840FF9" w:rsidR="005D00FC" w:rsidRPr="00BA0DE8" w:rsidRDefault="005D00FC" w:rsidP="005D00FC">
            <w:pPr>
              <w:jc w:val="both"/>
              <w:rPr>
                <w:sz w:val="22"/>
                <w:szCs w:val="22"/>
              </w:rPr>
            </w:pPr>
            <w:r w:rsidRPr="00972FD0">
              <w:t>Šīs tabulas B ailē minētās noteikumu projekta vienības neparedz stingrākas prasības kā šīs tabulas A ailē minētās ES tiesību akta vienības.</w:t>
            </w:r>
          </w:p>
        </w:tc>
      </w:tr>
      <w:tr w:rsidR="003063C7" w:rsidRPr="00BA0DE8" w14:paraId="7E47B87D" w14:textId="77777777" w:rsidTr="005D00FC">
        <w:trPr>
          <w:trHeight w:val="279"/>
        </w:trPr>
        <w:tc>
          <w:tcPr>
            <w:tcW w:w="1088" w:type="pct"/>
            <w:gridSpan w:val="2"/>
          </w:tcPr>
          <w:p w14:paraId="31C3878C" w14:textId="60C52B08" w:rsidR="002B79C3" w:rsidRPr="000F52FD" w:rsidRDefault="002B79C3" w:rsidP="00934693">
            <w:pPr>
              <w:jc w:val="both"/>
            </w:pPr>
            <w:r w:rsidRPr="000F52FD">
              <w:lastRenderedPageBreak/>
              <w:t xml:space="preserve">Regulas Nr.2015/262 18.panta </w:t>
            </w:r>
            <w:r w:rsidR="00934693" w:rsidRPr="000F52FD">
              <w:t>2</w:t>
            </w:r>
            <w:r w:rsidRPr="000F52FD">
              <w:t xml:space="preserve">.punkts </w:t>
            </w:r>
          </w:p>
        </w:tc>
        <w:tc>
          <w:tcPr>
            <w:tcW w:w="1057" w:type="pct"/>
          </w:tcPr>
          <w:p w14:paraId="3533C480" w14:textId="34B9FF45" w:rsidR="002B79C3" w:rsidRPr="00BA0DE8" w:rsidRDefault="002B79C3" w:rsidP="001500A4">
            <w:pPr>
              <w:jc w:val="both"/>
            </w:pPr>
            <w:r w:rsidRPr="00683B7F">
              <w:t xml:space="preserve">Noteikumu projekta </w:t>
            </w:r>
            <w:r>
              <w:t>2</w:t>
            </w:r>
            <w:r w:rsidR="001500A4">
              <w:t>3</w:t>
            </w:r>
            <w:r>
              <w:t xml:space="preserve">.punkts (noteikumu </w:t>
            </w:r>
            <w:r w:rsidRPr="00683B7F">
              <w:t>59.punkts</w:t>
            </w:r>
            <w:r>
              <w:t>).</w:t>
            </w:r>
          </w:p>
        </w:tc>
        <w:tc>
          <w:tcPr>
            <w:tcW w:w="1843" w:type="pct"/>
          </w:tcPr>
          <w:p w14:paraId="1E0636A6" w14:textId="316A69E3" w:rsidR="002B79C3" w:rsidRPr="00BA0DE8" w:rsidRDefault="002B79C3" w:rsidP="00255D43">
            <w:pPr>
              <w:jc w:val="both"/>
            </w:pPr>
            <w:r w:rsidRPr="00972FD0">
              <w:t>Šīs tabulas A ailē minētās ES tiesību akta vienības tiek ieviestas pilnībā</w:t>
            </w:r>
            <w:r>
              <w:t>.</w:t>
            </w:r>
          </w:p>
        </w:tc>
        <w:tc>
          <w:tcPr>
            <w:tcW w:w="1012" w:type="pct"/>
          </w:tcPr>
          <w:p w14:paraId="6F6B311A" w14:textId="7E8D3ECD" w:rsidR="0057147C" w:rsidRPr="009C2F0C" w:rsidRDefault="002B79C3" w:rsidP="0057147C">
            <w:pPr>
              <w:jc w:val="both"/>
            </w:pPr>
            <w:r w:rsidRPr="00972FD0">
              <w:t>Šīs tabulas B ailē minētās noteikumu projekta vienības neparedz stingrākas prasības kā šīs tabulas A ailē minētās ES tiesību akta vienības.</w:t>
            </w:r>
          </w:p>
        </w:tc>
      </w:tr>
      <w:tr w:rsidR="003063C7" w:rsidRPr="00BA0DE8" w14:paraId="18D7CAF6" w14:textId="77777777" w:rsidTr="005D00FC">
        <w:trPr>
          <w:trHeight w:val="279"/>
        </w:trPr>
        <w:tc>
          <w:tcPr>
            <w:tcW w:w="1088" w:type="pct"/>
            <w:gridSpan w:val="2"/>
          </w:tcPr>
          <w:p w14:paraId="207D91F7" w14:textId="1AB0332C" w:rsidR="002B79C3" w:rsidRPr="00BA0DE8" w:rsidRDefault="002B79C3" w:rsidP="002B79C3">
            <w:pPr>
              <w:jc w:val="both"/>
            </w:pPr>
            <w:r w:rsidRPr="00972FD0">
              <w:t>Regulas Nr.</w:t>
            </w:r>
            <w:r w:rsidRPr="001F0BFB">
              <w:t xml:space="preserve">2015/262 </w:t>
            </w:r>
            <w:r>
              <w:t>16</w:t>
            </w:r>
            <w:r w:rsidRPr="00972FD0">
              <w:t>.pant</w:t>
            </w:r>
            <w:r>
              <w:t>s</w:t>
            </w:r>
            <w:r w:rsidRPr="00972FD0">
              <w:t xml:space="preserve"> un </w:t>
            </w:r>
            <w:r>
              <w:t>17</w:t>
            </w:r>
            <w:r w:rsidRPr="00972FD0">
              <w:t>.panta 1.punkts</w:t>
            </w:r>
            <w:r>
              <w:t xml:space="preserve"> </w:t>
            </w:r>
          </w:p>
        </w:tc>
        <w:tc>
          <w:tcPr>
            <w:tcW w:w="1057" w:type="pct"/>
          </w:tcPr>
          <w:p w14:paraId="0C5582A1" w14:textId="5B30A6A7" w:rsidR="002B79C3" w:rsidRPr="00BA0DE8" w:rsidRDefault="002B79C3" w:rsidP="001500A4">
            <w:pPr>
              <w:jc w:val="both"/>
            </w:pPr>
            <w:r>
              <w:t>Noteikumu projekta 2</w:t>
            </w:r>
            <w:r w:rsidR="001500A4">
              <w:t>3</w:t>
            </w:r>
            <w:r>
              <w:t>.punkts (noteikumu 60</w:t>
            </w:r>
            <w:r w:rsidRPr="00683B7F">
              <w:t>.punkts</w:t>
            </w:r>
            <w:r>
              <w:t>)</w:t>
            </w:r>
          </w:p>
        </w:tc>
        <w:tc>
          <w:tcPr>
            <w:tcW w:w="1843" w:type="pct"/>
          </w:tcPr>
          <w:p w14:paraId="4781226B" w14:textId="7F621684" w:rsidR="002B79C3" w:rsidRPr="00BA0DE8" w:rsidRDefault="002B79C3" w:rsidP="009457DD">
            <w:pPr>
              <w:pStyle w:val="naisc"/>
              <w:spacing w:before="0" w:after="0"/>
              <w:jc w:val="both"/>
            </w:pPr>
            <w:r w:rsidRPr="00972FD0">
              <w:t>Šīs tabulas A ailē minētās ES tiesību akta vienības tiek ieviestas pilnībā</w:t>
            </w:r>
            <w:r>
              <w:t>.</w:t>
            </w:r>
          </w:p>
        </w:tc>
        <w:tc>
          <w:tcPr>
            <w:tcW w:w="1012" w:type="pct"/>
          </w:tcPr>
          <w:p w14:paraId="40124B19" w14:textId="30A8FFC2" w:rsidR="002B79C3" w:rsidRPr="00BA0DE8" w:rsidRDefault="002B79C3" w:rsidP="002B79C3">
            <w:pPr>
              <w:jc w:val="both"/>
              <w:rPr>
                <w:sz w:val="22"/>
                <w:szCs w:val="22"/>
              </w:rPr>
            </w:pPr>
            <w:r w:rsidRPr="00972FD0">
              <w:t>Šīs tabulas B ailē minētās noteikumu projekta vienības neparedz stingrākas prasības kā šīs tabulas A ailē minētās ES tiesību akta vienības.</w:t>
            </w:r>
          </w:p>
        </w:tc>
      </w:tr>
      <w:tr w:rsidR="003063C7" w:rsidRPr="00BA0DE8" w14:paraId="08ED0393" w14:textId="77777777" w:rsidTr="005D00FC">
        <w:trPr>
          <w:trHeight w:val="279"/>
        </w:trPr>
        <w:tc>
          <w:tcPr>
            <w:tcW w:w="1088" w:type="pct"/>
            <w:gridSpan w:val="2"/>
          </w:tcPr>
          <w:p w14:paraId="299200C8" w14:textId="4371CE20" w:rsidR="002B79C3" w:rsidRPr="00BA0DE8" w:rsidRDefault="002B79C3" w:rsidP="002B79C3">
            <w:pPr>
              <w:jc w:val="both"/>
            </w:pPr>
            <w:r w:rsidRPr="00704C52">
              <w:t>Regulas Nr.2015/262 9.pants</w:t>
            </w:r>
            <w:r>
              <w:t xml:space="preserve"> un 2.pa</w:t>
            </w:r>
            <w:r w:rsidRPr="00972FD0">
              <w:t>nta “</w:t>
            </w:r>
            <w:r>
              <w:t>o</w:t>
            </w:r>
            <w:r w:rsidRPr="00972FD0">
              <w:t xml:space="preserve">” apakšpunkts </w:t>
            </w:r>
          </w:p>
        </w:tc>
        <w:tc>
          <w:tcPr>
            <w:tcW w:w="1057" w:type="pct"/>
          </w:tcPr>
          <w:p w14:paraId="4006A022" w14:textId="75251FEC" w:rsidR="002B79C3" w:rsidRPr="00BA0DE8" w:rsidRDefault="002B79C3" w:rsidP="001500A4">
            <w:pPr>
              <w:jc w:val="both"/>
            </w:pPr>
            <w:r w:rsidRPr="00683B7F">
              <w:t xml:space="preserve">Noteikumu projekta </w:t>
            </w:r>
            <w:r>
              <w:t>2</w:t>
            </w:r>
            <w:r w:rsidR="001500A4">
              <w:t>3</w:t>
            </w:r>
            <w:r>
              <w:t xml:space="preserve">.punkts (noteikumu </w:t>
            </w:r>
            <w:r w:rsidRPr="00683B7F">
              <w:t>6</w:t>
            </w:r>
            <w:r>
              <w:t>1</w:t>
            </w:r>
            <w:r w:rsidRPr="00683B7F">
              <w:t>.punkts</w:t>
            </w:r>
            <w:r>
              <w:t>)</w:t>
            </w:r>
          </w:p>
        </w:tc>
        <w:tc>
          <w:tcPr>
            <w:tcW w:w="1843" w:type="pct"/>
          </w:tcPr>
          <w:p w14:paraId="4779370B" w14:textId="77777777" w:rsidR="009457DD" w:rsidRDefault="009457DD" w:rsidP="009457DD">
            <w:pPr>
              <w:ind w:right="180"/>
              <w:jc w:val="both"/>
            </w:pPr>
            <w:r w:rsidRPr="003036B1">
              <w:t>Šīs tabulas A ailē minētās ES tiesību akta vienības tiek ieviestas pilnībā attiecībā uz</w:t>
            </w:r>
            <w:r w:rsidRPr="00704C52">
              <w:t xml:space="preserve"> Regulas Nr.2015/262 </w:t>
            </w:r>
            <w:r>
              <w:t>2.pa</w:t>
            </w:r>
            <w:r w:rsidRPr="00972FD0">
              <w:t>nta “</w:t>
            </w:r>
            <w:r>
              <w:t>o” apakšpunktu.</w:t>
            </w:r>
          </w:p>
          <w:p w14:paraId="3256720A" w14:textId="27D994E8" w:rsidR="00D945C1" w:rsidRPr="00D945C1" w:rsidRDefault="002B5354" w:rsidP="00A41C7D">
            <w:pPr>
              <w:ind w:right="180"/>
              <w:jc w:val="both"/>
              <w:rPr>
                <w:i/>
              </w:rPr>
            </w:pPr>
            <w:r w:rsidRPr="00355830">
              <w:t xml:space="preserve">Šīs tabulas A ailē minētās ES tiesību akta vienības tiek ieviestas </w:t>
            </w:r>
            <w:r>
              <w:t>daļēji</w:t>
            </w:r>
            <w:r w:rsidR="00D945C1" w:rsidRPr="00FB785E">
              <w:t xml:space="preserve"> attiecībā uz Regulas Nr.2015/262 9.panta prasībām</w:t>
            </w:r>
            <w:r w:rsidR="00D945C1" w:rsidRPr="00FB785E">
              <w:rPr>
                <w:i/>
              </w:rPr>
              <w:t>.</w:t>
            </w:r>
          </w:p>
          <w:p w14:paraId="5939FF88" w14:textId="07906CB7" w:rsidR="00D945C1" w:rsidRPr="00016263" w:rsidRDefault="002B5354" w:rsidP="00FB785E">
            <w:pPr>
              <w:ind w:right="180"/>
              <w:jc w:val="both"/>
              <w:rPr>
                <w:i/>
              </w:rPr>
            </w:pPr>
            <w:r w:rsidRPr="00016263">
              <w:t xml:space="preserve">Pārējās </w:t>
            </w:r>
            <w:r w:rsidR="00D945C1" w:rsidRPr="00016263">
              <w:t xml:space="preserve">Regulas Nr.2015/262 </w:t>
            </w:r>
            <w:proofErr w:type="gramStart"/>
            <w:r w:rsidR="00D945C1" w:rsidRPr="00016263">
              <w:t>9.panta</w:t>
            </w:r>
            <w:proofErr w:type="gramEnd"/>
            <w:r w:rsidR="00D945C1" w:rsidRPr="00016263">
              <w:t xml:space="preserve"> 3.punkta „b” apakšpunkt</w:t>
            </w:r>
            <w:r w:rsidR="006D35E7">
              <w:t>ā</w:t>
            </w:r>
            <w:r w:rsidR="00D945C1" w:rsidRPr="00016263">
              <w:t xml:space="preserve"> </w:t>
            </w:r>
            <w:r w:rsidR="00A3737B" w:rsidRPr="00016263">
              <w:t xml:space="preserve">minētās prasības </w:t>
            </w:r>
            <w:r w:rsidR="001F6C40" w:rsidRPr="00016263">
              <w:t>attiecībā uz</w:t>
            </w:r>
            <w:r w:rsidR="003172F7" w:rsidRPr="00016263">
              <w:t xml:space="preserve"> </w:t>
            </w:r>
            <w:r w:rsidR="001F6C40" w:rsidRPr="00016263">
              <w:t xml:space="preserve">ciltsgrāmatas kārtošanu </w:t>
            </w:r>
            <w:r w:rsidR="003172F7" w:rsidRPr="00016263">
              <w:rPr>
                <w:i/>
              </w:rPr>
              <w:t>(ciltsgrāmatu kārtošanu veic atzītās šķirnes dzīvnieku audzētāju organizācijas)</w:t>
            </w:r>
            <w:r w:rsidR="003172F7" w:rsidRPr="00016263">
              <w:t xml:space="preserve"> </w:t>
            </w:r>
            <w:r w:rsidR="00A3737B" w:rsidRPr="00016263">
              <w:t xml:space="preserve">ir pārņemtas </w:t>
            </w:r>
            <w:r w:rsidR="00D945C1" w:rsidRPr="00016263">
              <w:rPr>
                <w:rFonts w:eastAsia="Calibri"/>
                <w:lang w:eastAsia="en-US"/>
              </w:rPr>
              <w:t>2014.gada 1.jūlija Ministru kabineta noteikumos Nr. 361 „Liellopu, cūku, aitu, kazu un zirgu ciltsgrāmatas kārtošanas noteikumi” un</w:t>
            </w:r>
            <w:r w:rsidR="00D945C1" w:rsidRPr="00016263">
              <w:rPr>
                <w:rFonts w:eastAsia="Calibri"/>
                <w:sz w:val="18"/>
                <w:szCs w:val="18"/>
                <w:lang w:eastAsia="en-US"/>
              </w:rPr>
              <w:t xml:space="preserve"> </w:t>
            </w:r>
            <w:r w:rsidR="00A3737B" w:rsidRPr="00016263">
              <w:t>Ciltsdarba un audzēšanas likumā</w:t>
            </w:r>
            <w:r w:rsidR="003172F7" w:rsidRPr="00016263">
              <w:t>.</w:t>
            </w:r>
            <w:r w:rsidR="00A3737B" w:rsidRPr="00016263">
              <w:t xml:space="preserve"> </w:t>
            </w:r>
          </w:p>
        </w:tc>
        <w:tc>
          <w:tcPr>
            <w:tcW w:w="1012" w:type="pct"/>
          </w:tcPr>
          <w:p w14:paraId="210CF3AD" w14:textId="78F3AE14" w:rsidR="002B79C3" w:rsidRPr="00BA0DE8" w:rsidRDefault="002B79C3" w:rsidP="002B79C3">
            <w:pPr>
              <w:jc w:val="both"/>
              <w:rPr>
                <w:sz w:val="22"/>
                <w:szCs w:val="22"/>
              </w:rPr>
            </w:pPr>
            <w:r w:rsidRPr="00972FD0">
              <w:t>Šīs tabulas B ailē minētās noteikumu projekta vienības neparedz stingrākas prasības kā šīs tabulas A ailē minētās ES tiesību akta vienības.</w:t>
            </w:r>
          </w:p>
        </w:tc>
      </w:tr>
      <w:tr w:rsidR="003063C7" w:rsidRPr="00BA0DE8" w14:paraId="06919894" w14:textId="77777777" w:rsidTr="005D00FC">
        <w:trPr>
          <w:trHeight w:val="279"/>
        </w:trPr>
        <w:tc>
          <w:tcPr>
            <w:tcW w:w="1088" w:type="pct"/>
            <w:gridSpan w:val="2"/>
          </w:tcPr>
          <w:p w14:paraId="07AEDC12" w14:textId="7685C0B5" w:rsidR="002B79C3" w:rsidRPr="00BA0DE8" w:rsidRDefault="002B79C3" w:rsidP="002B79C3">
            <w:pPr>
              <w:jc w:val="both"/>
            </w:pPr>
            <w:r>
              <w:t>Regulas Nr.2015/262 23.pants</w:t>
            </w:r>
          </w:p>
        </w:tc>
        <w:tc>
          <w:tcPr>
            <w:tcW w:w="1057" w:type="pct"/>
          </w:tcPr>
          <w:p w14:paraId="5A3D64D2" w14:textId="29D5C8C0" w:rsidR="002B79C3" w:rsidRPr="00BA0DE8" w:rsidRDefault="002B79C3" w:rsidP="001500A4">
            <w:pPr>
              <w:jc w:val="both"/>
            </w:pPr>
            <w:r w:rsidRPr="00446463">
              <w:t xml:space="preserve">Noteikumu projekta </w:t>
            </w:r>
            <w:r>
              <w:t>2</w:t>
            </w:r>
            <w:r w:rsidR="001500A4">
              <w:t>3</w:t>
            </w:r>
            <w:r>
              <w:t xml:space="preserve">.punkts </w:t>
            </w:r>
            <w:r>
              <w:lastRenderedPageBreak/>
              <w:t xml:space="preserve">(noteikumu </w:t>
            </w:r>
            <w:r w:rsidRPr="00446463">
              <w:t>6</w:t>
            </w:r>
            <w:r>
              <w:t>2</w:t>
            </w:r>
            <w:r w:rsidRPr="00446463">
              <w:t>.punkts</w:t>
            </w:r>
            <w:r>
              <w:t>)</w:t>
            </w:r>
          </w:p>
        </w:tc>
        <w:tc>
          <w:tcPr>
            <w:tcW w:w="1843" w:type="pct"/>
          </w:tcPr>
          <w:p w14:paraId="0051B4AB" w14:textId="6A994B3F" w:rsidR="002B79C3" w:rsidRPr="00BA0DE8" w:rsidRDefault="002B79C3" w:rsidP="002B79C3">
            <w:pPr>
              <w:pStyle w:val="naisc"/>
              <w:spacing w:before="0" w:after="0"/>
              <w:jc w:val="both"/>
            </w:pPr>
            <w:r w:rsidRPr="00446463">
              <w:lastRenderedPageBreak/>
              <w:t>Šīs tabulas A ailē minētās ES tiesību akta vienības tiek ieviestas pilnībā.</w:t>
            </w:r>
          </w:p>
        </w:tc>
        <w:tc>
          <w:tcPr>
            <w:tcW w:w="1012" w:type="pct"/>
          </w:tcPr>
          <w:p w14:paraId="598CB892" w14:textId="18317121" w:rsidR="002B79C3" w:rsidRPr="00BA0DE8" w:rsidRDefault="002B79C3" w:rsidP="002B79C3">
            <w:pPr>
              <w:jc w:val="both"/>
              <w:rPr>
                <w:sz w:val="22"/>
                <w:szCs w:val="22"/>
              </w:rPr>
            </w:pPr>
            <w:r w:rsidRPr="00446463">
              <w:t xml:space="preserve">Šīs tabulas B ailē minētās noteikumu projekta </w:t>
            </w:r>
            <w:r w:rsidRPr="00446463">
              <w:lastRenderedPageBreak/>
              <w:t>vienības neparedz stingrākas prasības kā šīs tabulas A ailē minētās ES tiesību akta vienības.</w:t>
            </w:r>
          </w:p>
        </w:tc>
      </w:tr>
      <w:tr w:rsidR="003063C7" w:rsidRPr="00BA0DE8" w14:paraId="46E98F1E" w14:textId="77777777" w:rsidTr="005D00FC">
        <w:trPr>
          <w:trHeight w:val="279"/>
        </w:trPr>
        <w:tc>
          <w:tcPr>
            <w:tcW w:w="1088" w:type="pct"/>
            <w:gridSpan w:val="2"/>
          </w:tcPr>
          <w:p w14:paraId="1A9717F8" w14:textId="06226D72" w:rsidR="002B79C3" w:rsidRPr="00016263" w:rsidRDefault="002B79C3" w:rsidP="00896048">
            <w:pPr>
              <w:jc w:val="both"/>
            </w:pPr>
            <w:r w:rsidRPr="00016263">
              <w:lastRenderedPageBreak/>
              <w:t xml:space="preserve">Regulas Nr.2015/262 34.panta 1.punkta </w:t>
            </w:r>
            <w:r w:rsidR="001748D2" w:rsidRPr="00016263">
              <w:t>„</w:t>
            </w:r>
            <w:r w:rsidRPr="00016263">
              <w:t>a</w:t>
            </w:r>
            <w:r w:rsidR="001748D2" w:rsidRPr="00016263">
              <w:t>” un</w:t>
            </w:r>
            <w:r w:rsidRPr="00016263">
              <w:t xml:space="preserve"> </w:t>
            </w:r>
            <w:r w:rsidR="001748D2" w:rsidRPr="00016263">
              <w:t>„</w:t>
            </w:r>
            <w:r w:rsidRPr="00016263">
              <w:t>b</w:t>
            </w:r>
            <w:r w:rsidR="001748D2" w:rsidRPr="00016263">
              <w:t>”</w:t>
            </w:r>
            <w:r w:rsidRPr="00016263">
              <w:t xml:space="preserve"> </w:t>
            </w:r>
            <w:r w:rsidR="001748D2" w:rsidRPr="00016263">
              <w:t xml:space="preserve">apakšpunkts </w:t>
            </w:r>
          </w:p>
        </w:tc>
        <w:tc>
          <w:tcPr>
            <w:tcW w:w="1057" w:type="pct"/>
          </w:tcPr>
          <w:p w14:paraId="317F5365" w14:textId="0A0B384D" w:rsidR="002B79C3" w:rsidRPr="00BA0DE8" w:rsidRDefault="002B79C3" w:rsidP="001500A4">
            <w:pPr>
              <w:jc w:val="both"/>
            </w:pPr>
            <w:r w:rsidRPr="00446463">
              <w:t xml:space="preserve">Noteikumu projekta </w:t>
            </w:r>
            <w:r>
              <w:t>2</w:t>
            </w:r>
            <w:r w:rsidR="001500A4">
              <w:t>3</w:t>
            </w:r>
            <w:r>
              <w:t xml:space="preserve">.punkts (noteikumu </w:t>
            </w:r>
            <w:r w:rsidRPr="00446463">
              <w:t>6</w:t>
            </w:r>
            <w:r>
              <w:t>3</w:t>
            </w:r>
            <w:r w:rsidRPr="00446463">
              <w:t>.punkts</w:t>
            </w:r>
            <w:r>
              <w:t>)</w:t>
            </w:r>
          </w:p>
        </w:tc>
        <w:tc>
          <w:tcPr>
            <w:tcW w:w="1843" w:type="pct"/>
          </w:tcPr>
          <w:p w14:paraId="7CAF1C69" w14:textId="094C09E7" w:rsidR="002B79C3" w:rsidRPr="00BA0DE8" w:rsidRDefault="002B79C3" w:rsidP="002B79C3">
            <w:pPr>
              <w:pStyle w:val="naisc"/>
              <w:spacing w:before="0" w:after="0"/>
              <w:jc w:val="both"/>
            </w:pPr>
            <w:r w:rsidRPr="00446463">
              <w:t>Šīs tabulas A ailē minētās ES tiesību akta vienības tiek ieviestas pilnībā.</w:t>
            </w:r>
          </w:p>
        </w:tc>
        <w:tc>
          <w:tcPr>
            <w:tcW w:w="1012" w:type="pct"/>
          </w:tcPr>
          <w:p w14:paraId="64E1D65D" w14:textId="25600CBF" w:rsidR="002B79C3" w:rsidRPr="00BA0DE8" w:rsidRDefault="002B79C3" w:rsidP="002B79C3">
            <w:pPr>
              <w:jc w:val="both"/>
              <w:rPr>
                <w:sz w:val="22"/>
                <w:szCs w:val="22"/>
              </w:rPr>
            </w:pPr>
            <w:r w:rsidRPr="00446463">
              <w:t>Šīs tabulas B ailē minētās noteikumu projekta vienības neparedz stingrākas prasības kā šīs tabulas A ailē minētās ES tiesību akta vienības.</w:t>
            </w:r>
          </w:p>
        </w:tc>
      </w:tr>
      <w:tr w:rsidR="003063C7" w:rsidRPr="00BA0DE8" w14:paraId="19DA26C7" w14:textId="77777777" w:rsidTr="005D00FC">
        <w:trPr>
          <w:trHeight w:val="279"/>
        </w:trPr>
        <w:tc>
          <w:tcPr>
            <w:tcW w:w="1088" w:type="pct"/>
            <w:gridSpan w:val="2"/>
          </w:tcPr>
          <w:p w14:paraId="092449DE" w14:textId="67229A56" w:rsidR="002B79C3" w:rsidRPr="00704C52" w:rsidRDefault="002B79C3" w:rsidP="00AA3A32">
            <w:pPr>
              <w:jc w:val="both"/>
            </w:pPr>
            <w:r w:rsidRPr="00704C52">
              <w:t xml:space="preserve">Regulas Nr.2015/262 </w:t>
            </w:r>
            <w:r w:rsidR="00A41E67" w:rsidRPr="00704C52">
              <w:t>6.pants,</w:t>
            </w:r>
            <w:r w:rsidR="001748D2" w:rsidRPr="00704C52">
              <w:t xml:space="preserve"> </w:t>
            </w:r>
            <w:r w:rsidR="00A41E67" w:rsidRPr="00704C52">
              <w:t>13.panta 2.punkts, 40. pants</w:t>
            </w:r>
          </w:p>
        </w:tc>
        <w:tc>
          <w:tcPr>
            <w:tcW w:w="1057" w:type="pct"/>
          </w:tcPr>
          <w:p w14:paraId="50328691" w14:textId="006BBF95" w:rsidR="002B79C3" w:rsidRPr="00BA0DE8" w:rsidRDefault="002B79C3" w:rsidP="001500A4">
            <w:pPr>
              <w:jc w:val="both"/>
            </w:pPr>
            <w:r w:rsidRPr="00446463">
              <w:t xml:space="preserve">Noteikumu projekta </w:t>
            </w:r>
            <w:r>
              <w:t>2</w:t>
            </w:r>
            <w:r w:rsidR="001500A4">
              <w:t>3</w:t>
            </w:r>
            <w:r>
              <w:t xml:space="preserve">.punkts (noteikumu </w:t>
            </w:r>
            <w:r w:rsidRPr="00446463">
              <w:t>64.punkts</w:t>
            </w:r>
            <w:r>
              <w:t>)</w:t>
            </w:r>
          </w:p>
        </w:tc>
        <w:tc>
          <w:tcPr>
            <w:tcW w:w="1843" w:type="pct"/>
          </w:tcPr>
          <w:p w14:paraId="5AD605D7" w14:textId="2A355658" w:rsidR="009457DD" w:rsidRDefault="009457DD" w:rsidP="00FB785E">
            <w:pPr>
              <w:ind w:right="180"/>
              <w:jc w:val="both"/>
            </w:pPr>
            <w:r w:rsidRPr="003036B1">
              <w:t>Šīs tabulas A ailē minētās ES tiesību akta vienības tiek ieviestas pilnībā attiecībā uz</w:t>
            </w:r>
            <w:r w:rsidRPr="00704C52">
              <w:t xml:space="preserve"> Regulas Nr.2015/262 </w:t>
            </w:r>
            <w:r>
              <w:t>13.pa</w:t>
            </w:r>
            <w:r w:rsidRPr="00972FD0">
              <w:t xml:space="preserve">nta </w:t>
            </w:r>
            <w:r>
              <w:t>2.punktu.</w:t>
            </w:r>
          </w:p>
          <w:p w14:paraId="5A2342C1" w14:textId="2A034760" w:rsidR="00F97291" w:rsidRPr="00FB785E" w:rsidRDefault="00B71BDF" w:rsidP="00FB785E">
            <w:pPr>
              <w:ind w:right="180"/>
              <w:jc w:val="both"/>
            </w:pPr>
            <w:r w:rsidRPr="00FB785E">
              <w:t>Šīs tabulas A ailē minētās ES tiesību akta vienības tiek ieviestas daļēji attiecībā uz Regulas Nr.2015/262 6</w:t>
            </w:r>
            <w:r w:rsidR="00F97291" w:rsidRPr="00FB785E">
              <w:t xml:space="preserve">.panta un </w:t>
            </w:r>
            <w:r w:rsidRPr="00FB785E">
              <w:t>40.panta</w:t>
            </w:r>
            <w:r w:rsidR="00F97291" w:rsidRPr="00FB785E">
              <w:t xml:space="preserve"> prasībām.</w:t>
            </w:r>
          </w:p>
          <w:p w14:paraId="3D613601" w14:textId="11AAB5BD" w:rsidR="0057147C" w:rsidRPr="00016263" w:rsidRDefault="00F97291" w:rsidP="006D35E7">
            <w:pPr>
              <w:pStyle w:val="Pamatteksts"/>
              <w:jc w:val="both"/>
              <w:rPr>
                <w:b w:val="0"/>
              </w:rPr>
            </w:pPr>
            <w:r w:rsidRPr="00016263">
              <w:rPr>
                <w:b w:val="0"/>
                <w:sz w:val="24"/>
                <w:szCs w:val="24"/>
              </w:rPr>
              <w:t xml:space="preserve">Pārējās Regulas Nr.2015/262 </w:t>
            </w:r>
            <w:proofErr w:type="gramStart"/>
            <w:r w:rsidRPr="00016263">
              <w:rPr>
                <w:b w:val="0"/>
                <w:sz w:val="24"/>
                <w:szCs w:val="24"/>
              </w:rPr>
              <w:t>6.panta</w:t>
            </w:r>
            <w:proofErr w:type="gramEnd"/>
            <w:r w:rsidRPr="00016263">
              <w:rPr>
                <w:b w:val="0"/>
                <w:sz w:val="24"/>
                <w:szCs w:val="24"/>
              </w:rPr>
              <w:t xml:space="preserve"> 2.punkta „b” apakšpunkt</w:t>
            </w:r>
            <w:r w:rsidR="007C53CE" w:rsidRPr="00016263">
              <w:rPr>
                <w:b w:val="0"/>
                <w:sz w:val="24"/>
                <w:szCs w:val="24"/>
              </w:rPr>
              <w:t>ā</w:t>
            </w:r>
            <w:r w:rsidRPr="00016263">
              <w:rPr>
                <w:b w:val="0"/>
                <w:sz w:val="24"/>
                <w:szCs w:val="24"/>
              </w:rPr>
              <w:t xml:space="preserve"> </w:t>
            </w:r>
            <w:r w:rsidR="004055F9" w:rsidRPr="00016263">
              <w:rPr>
                <w:b w:val="0"/>
                <w:sz w:val="24"/>
                <w:szCs w:val="24"/>
              </w:rPr>
              <w:t xml:space="preserve">un 40.panta 2.punktā </w:t>
            </w:r>
            <w:r w:rsidRPr="00016263">
              <w:rPr>
                <w:b w:val="0"/>
                <w:sz w:val="24"/>
                <w:szCs w:val="24"/>
              </w:rPr>
              <w:t xml:space="preserve">minētās prasības </w:t>
            </w:r>
            <w:r w:rsidR="004055F9" w:rsidRPr="00016263">
              <w:rPr>
                <w:b w:val="0"/>
                <w:sz w:val="24"/>
                <w:szCs w:val="24"/>
              </w:rPr>
              <w:t xml:space="preserve">attiecībā uz </w:t>
            </w:r>
            <w:r w:rsidR="00B71BDF" w:rsidRPr="00016263">
              <w:rPr>
                <w:b w:val="0"/>
                <w:sz w:val="24"/>
                <w:szCs w:val="24"/>
              </w:rPr>
              <w:t xml:space="preserve">dalībvalstu </w:t>
            </w:r>
            <w:r w:rsidR="008B73A5" w:rsidRPr="00016263">
              <w:rPr>
                <w:b w:val="0"/>
                <w:sz w:val="24"/>
                <w:szCs w:val="24"/>
              </w:rPr>
              <w:t xml:space="preserve">kompetentās iestādes </w:t>
            </w:r>
            <w:r w:rsidR="00B71BDF" w:rsidRPr="00016263">
              <w:rPr>
                <w:b w:val="0"/>
                <w:sz w:val="24"/>
                <w:szCs w:val="24"/>
              </w:rPr>
              <w:t xml:space="preserve">savstarpēju sadarbību un </w:t>
            </w:r>
            <w:r w:rsidR="004055F9" w:rsidRPr="00016263">
              <w:rPr>
                <w:b w:val="0"/>
                <w:sz w:val="24"/>
                <w:szCs w:val="24"/>
              </w:rPr>
              <w:t xml:space="preserve">noteiktas informācijas ievietošanu </w:t>
            </w:r>
            <w:r w:rsidR="001F6C40" w:rsidRPr="00016263">
              <w:rPr>
                <w:b w:val="0"/>
                <w:sz w:val="24"/>
                <w:szCs w:val="24"/>
              </w:rPr>
              <w:t xml:space="preserve">un centrālās datubāzes pieejamību </w:t>
            </w:r>
            <w:r w:rsidR="006D35E7">
              <w:rPr>
                <w:b w:val="0"/>
                <w:sz w:val="24"/>
                <w:szCs w:val="24"/>
              </w:rPr>
              <w:t>tīmekļa</w:t>
            </w:r>
            <w:r w:rsidR="004055F9" w:rsidRPr="00016263">
              <w:rPr>
                <w:b w:val="0"/>
                <w:sz w:val="24"/>
                <w:szCs w:val="24"/>
              </w:rPr>
              <w:t xml:space="preserve"> vietnē, lai t</w:t>
            </w:r>
            <w:r w:rsidR="00B71BDF" w:rsidRPr="00016263">
              <w:rPr>
                <w:b w:val="0"/>
                <w:sz w:val="24"/>
                <w:szCs w:val="24"/>
              </w:rPr>
              <w:t>ā būtu</w:t>
            </w:r>
            <w:r w:rsidR="004055F9" w:rsidRPr="00016263">
              <w:rPr>
                <w:b w:val="0"/>
                <w:sz w:val="24"/>
                <w:szCs w:val="24"/>
              </w:rPr>
              <w:t xml:space="preserve"> pieejam</w:t>
            </w:r>
            <w:r w:rsidR="00B71BDF" w:rsidRPr="00016263">
              <w:rPr>
                <w:b w:val="0"/>
                <w:sz w:val="24"/>
                <w:szCs w:val="24"/>
              </w:rPr>
              <w:t>a</w:t>
            </w:r>
            <w:r w:rsidR="004055F9" w:rsidRPr="00016263">
              <w:rPr>
                <w:b w:val="0"/>
                <w:sz w:val="24"/>
                <w:szCs w:val="24"/>
              </w:rPr>
              <w:t xml:space="preserve"> citām dalībvalstīm, citām institūcijām un sabiedrībai</w:t>
            </w:r>
            <w:r w:rsidR="006D35E7">
              <w:rPr>
                <w:b w:val="0"/>
                <w:sz w:val="24"/>
                <w:szCs w:val="24"/>
              </w:rPr>
              <w:t>,</w:t>
            </w:r>
            <w:r w:rsidR="004055F9" w:rsidRPr="00016263">
              <w:rPr>
                <w:b w:val="0"/>
                <w:sz w:val="24"/>
                <w:szCs w:val="24"/>
              </w:rPr>
              <w:t xml:space="preserve"> </w:t>
            </w:r>
            <w:r w:rsidRPr="00016263">
              <w:rPr>
                <w:b w:val="0"/>
                <w:sz w:val="24"/>
                <w:szCs w:val="24"/>
              </w:rPr>
              <w:t xml:space="preserve">ir pārņemtas </w:t>
            </w:r>
            <w:r w:rsidR="00B61006" w:rsidRPr="00016263">
              <w:rPr>
                <w:b w:val="0"/>
                <w:sz w:val="24"/>
                <w:szCs w:val="24"/>
              </w:rPr>
              <w:t>Ciltsdarba un audzēšanas likumā</w:t>
            </w:r>
            <w:r w:rsidR="00B61006" w:rsidRPr="00016263">
              <w:rPr>
                <w:b w:val="0"/>
                <w:bCs/>
                <w:sz w:val="24"/>
                <w:szCs w:val="24"/>
              </w:rPr>
              <w:t xml:space="preserve"> </w:t>
            </w:r>
            <w:r w:rsidR="00393E4A" w:rsidRPr="00016263">
              <w:rPr>
                <w:b w:val="0"/>
                <w:bCs/>
                <w:sz w:val="24"/>
                <w:szCs w:val="24"/>
              </w:rPr>
              <w:t xml:space="preserve">un </w:t>
            </w:r>
            <w:r w:rsidR="00B61006" w:rsidRPr="00016263">
              <w:rPr>
                <w:b w:val="0"/>
                <w:bCs/>
                <w:sz w:val="24"/>
                <w:szCs w:val="24"/>
              </w:rPr>
              <w:t xml:space="preserve">Zemkopības ministrijas </w:t>
            </w:r>
            <w:r w:rsidR="00945C0F" w:rsidRPr="00016263">
              <w:rPr>
                <w:b w:val="0"/>
                <w:bCs/>
                <w:sz w:val="24"/>
                <w:szCs w:val="24"/>
              </w:rPr>
              <w:t xml:space="preserve">2009.gada 23.jūlija </w:t>
            </w:r>
            <w:r w:rsidR="006D35E7">
              <w:rPr>
                <w:b w:val="0"/>
                <w:bCs/>
                <w:sz w:val="24"/>
                <w:szCs w:val="24"/>
              </w:rPr>
              <w:t xml:space="preserve">normatīvajā aktā </w:t>
            </w:r>
            <w:r w:rsidR="00B61006" w:rsidRPr="00016263">
              <w:rPr>
                <w:b w:val="0"/>
                <w:bCs/>
                <w:sz w:val="24"/>
                <w:szCs w:val="24"/>
              </w:rPr>
              <w:t xml:space="preserve">“Kārtība, kādā Pārtikas un veterinārais dienests un valsts aģentūra “Lauksaimniecības datu centrs” sadarbojas ar Eiropas Savienības institūcijām un citu Eiropas Savienības </w:t>
            </w:r>
            <w:r w:rsidR="00B61006" w:rsidRPr="00016263">
              <w:rPr>
                <w:b w:val="0"/>
                <w:bCs/>
                <w:sz w:val="24"/>
                <w:szCs w:val="24"/>
              </w:rPr>
              <w:lastRenderedPageBreak/>
              <w:t>dalībvalstu</w:t>
            </w:r>
            <w:r w:rsidR="00B71BDF" w:rsidRPr="00016263">
              <w:rPr>
                <w:b w:val="0"/>
                <w:bCs/>
                <w:sz w:val="24"/>
                <w:szCs w:val="24"/>
              </w:rPr>
              <w:t xml:space="preserve"> kompetentajām iestādēm</w:t>
            </w:r>
            <w:r w:rsidR="006D35E7">
              <w:rPr>
                <w:b w:val="0"/>
                <w:bCs/>
                <w:sz w:val="24"/>
                <w:szCs w:val="24"/>
              </w:rPr>
              <w:t>”</w:t>
            </w:r>
            <w:r w:rsidR="00B71BDF" w:rsidRPr="00016263">
              <w:rPr>
                <w:b w:val="0"/>
                <w:bCs/>
                <w:sz w:val="24"/>
                <w:szCs w:val="24"/>
              </w:rPr>
              <w:t>.</w:t>
            </w:r>
          </w:p>
        </w:tc>
        <w:tc>
          <w:tcPr>
            <w:tcW w:w="1012" w:type="pct"/>
          </w:tcPr>
          <w:p w14:paraId="55618939" w14:textId="39D6BDF4" w:rsidR="0057147C" w:rsidRPr="00D23B9A" w:rsidRDefault="002B79C3" w:rsidP="00D23B9A">
            <w:pPr>
              <w:jc w:val="both"/>
            </w:pPr>
            <w:r w:rsidRPr="00446463">
              <w:lastRenderedPageBreak/>
              <w:t>Šīs tabulas B ailē minētās noteikumu projekta vienības neparedz stingrākas prasības kā šīs tabulas A ailē minētās ES tiesību akta vienības.</w:t>
            </w:r>
            <w:r w:rsidR="0057147C" w:rsidRPr="0057147C">
              <w:t xml:space="preserve"> </w:t>
            </w:r>
          </w:p>
        </w:tc>
      </w:tr>
      <w:tr w:rsidR="003063C7" w:rsidRPr="00BA0DE8" w14:paraId="0A3AD7B4" w14:textId="77777777" w:rsidTr="005D00FC">
        <w:trPr>
          <w:trHeight w:val="279"/>
        </w:trPr>
        <w:tc>
          <w:tcPr>
            <w:tcW w:w="1088" w:type="pct"/>
            <w:gridSpan w:val="2"/>
          </w:tcPr>
          <w:p w14:paraId="227506F9" w14:textId="3ECB088F" w:rsidR="00A41E67" w:rsidRPr="00A91D1D" w:rsidRDefault="00A41E67" w:rsidP="002B79C3">
            <w:pPr>
              <w:jc w:val="both"/>
            </w:pPr>
            <w:r w:rsidRPr="00A91D1D">
              <w:lastRenderedPageBreak/>
              <w:t>Regulas Nr.2015/262 13.panta 1.punkts</w:t>
            </w:r>
          </w:p>
        </w:tc>
        <w:tc>
          <w:tcPr>
            <w:tcW w:w="1057" w:type="pct"/>
          </w:tcPr>
          <w:p w14:paraId="7E993BBF" w14:textId="77A970B8" w:rsidR="00A41E67" w:rsidRPr="00446463" w:rsidRDefault="00A41E67" w:rsidP="00A41E67">
            <w:pPr>
              <w:jc w:val="both"/>
            </w:pPr>
            <w:r w:rsidRPr="00446463">
              <w:t xml:space="preserve">Noteikumu projekta </w:t>
            </w:r>
            <w:r>
              <w:t xml:space="preserve">23.punkts (noteikumu </w:t>
            </w:r>
            <w:r w:rsidRPr="00446463">
              <w:t>6</w:t>
            </w:r>
            <w:r>
              <w:t>5</w:t>
            </w:r>
            <w:r w:rsidRPr="00446463">
              <w:t>.punkts</w:t>
            </w:r>
            <w:r>
              <w:t>)</w:t>
            </w:r>
          </w:p>
        </w:tc>
        <w:tc>
          <w:tcPr>
            <w:tcW w:w="1843" w:type="pct"/>
          </w:tcPr>
          <w:p w14:paraId="5795FE8E" w14:textId="399C517C" w:rsidR="00A41E67" w:rsidRPr="00446463" w:rsidRDefault="00A41E67" w:rsidP="002B79C3">
            <w:pPr>
              <w:jc w:val="both"/>
            </w:pPr>
            <w:r w:rsidRPr="00446463">
              <w:t>Šīs tabulas A ailē minētās ES tiesību akta vienības tiek ieviestas pilnībā.</w:t>
            </w:r>
          </w:p>
        </w:tc>
        <w:tc>
          <w:tcPr>
            <w:tcW w:w="1012" w:type="pct"/>
          </w:tcPr>
          <w:p w14:paraId="30536447" w14:textId="3CEECBB4" w:rsidR="00A41E67" w:rsidRPr="00446463" w:rsidRDefault="00A41E67" w:rsidP="002B79C3">
            <w:pPr>
              <w:jc w:val="both"/>
            </w:pPr>
            <w:r w:rsidRPr="00446463">
              <w:t>Šīs tabulas B ailē minētās noteikumu projekta vienības neparedz stingrākas prasības kā šīs tabulas A ailē minētās ES tiesību akta vienības.</w:t>
            </w:r>
          </w:p>
        </w:tc>
      </w:tr>
      <w:tr w:rsidR="003063C7" w:rsidRPr="00BA0DE8" w14:paraId="1A923B6D" w14:textId="77777777" w:rsidTr="00E552E5">
        <w:trPr>
          <w:trHeight w:val="279"/>
        </w:trPr>
        <w:tc>
          <w:tcPr>
            <w:tcW w:w="1088" w:type="pct"/>
            <w:gridSpan w:val="2"/>
          </w:tcPr>
          <w:p w14:paraId="685020CE" w14:textId="072E84F5" w:rsidR="00E552E5" w:rsidRPr="00446463" w:rsidRDefault="00E552E5" w:rsidP="002B79C3">
            <w:pPr>
              <w:jc w:val="both"/>
            </w:pPr>
            <w:r w:rsidRPr="00E552E5">
              <w:rPr>
                <w:color w:val="000000" w:themeColor="text1"/>
                <w:sz w:val="22"/>
                <w:szCs w:val="22"/>
              </w:rPr>
              <w:t>Kā ir izmantota ES tiesību aktā paredzētā rīcības brīvība dalībvalstij pārņemt vai ieviest noteiktas ES tiesību akta normas?</w:t>
            </w:r>
            <w:r w:rsidRPr="00E552E5">
              <w:rPr>
                <w:color w:val="000000" w:themeColor="text1"/>
                <w:sz w:val="22"/>
                <w:szCs w:val="22"/>
              </w:rPr>
              <w:br/>
              <w:t>Kādēļ?</w:t>
            </w:r>
          </w:p>
        </w:tc>
        <w:tc>
          <w:tcPr>
            <w:tcW w:w="3912" w:type="pct"/>
            <w:gridSpan w:val="3"/>
          </w:tcPr>
          <w:p w14:paraId="6C97761A" w14:textId="7E19DACA" w:rsidR="00E552E5" w:rsidRPr="00016263" w:rsidRDefault="00D23B9A" w:rsidP="00FE3AA2">
            <w:pPr>
              <w:jc w:val="both"/>
            </w:pPr>
            <w:r w:rsidRPr="00016263">
              <w:t>Attiecībā uz</w:t>
            </w:r>
            <w:r w:rsidR="00E552E5" w:rsidRPr="00016263">
              <w:t xml:space="preserve"> Regulas Nr.2015/262 </w:t>
            </w:r>
            <w:proofErr w:type="gramStart"/>
            <w:r w:rsidR="00E552E5" w:rsidRPr="00016263">
              <w:t>18.panta</w:t>
            </w:r>
            <w:proofErr w:type="gramEnd"/>
            <w:r w:rsidR="00E552E5" w:rsidRPr="00016263">
              <w:t xml:space="preserve"> 4. un 5.punkt</w:t>
            </w:r>
            <w:r w:rsidRPr="00016263">
              <w:t>ā</w:t>
            </w:r>
            <w:r w:rsidR="00E552E5" w:rsidRPr="00016263">
              <w:t xml:space="preserve"> dalībvalstij </w:t>
            </w:r>
            <w:r w:rsidRPr="00016263">
              <w:t xml:space="preserve">noteikto </w:t>
            </w:r>
            <w:r w:rsidR="00E552E5" w:rsidRPr="00016263">
              <w:t xml:space="preserve">rīcības brīvību, </w:t>
            </w:r>
            <w:r w:rsidRPr="00016263">
              <w:t xml:space="preserve">Latvija </w:t>
            </w:r>
            <w:r w:rsidR="008467D6">
              <w:t xml:space="preserve">to </w:t>
            </w:r>
            <w:r w:rsidRPr="00016263">
              <w:t xml:space="preserve">nepiemēro, </w:t>
            </w:r>
            <w:r w:rsidR="00FE3AA2" w:rsidRPr="00016263">
              <w:t xml:space="preserve">jo </w:t>
            </w:r>
            <w:r w:rsidRPr="00016263">
              <w:t xml:space="preserve">zirgu dzimtas dzīvnieki tiek </w:t>
            </w:r>
            <w:r w:rsidR="008A1143" w:rsidRPr="00016263">
              <w:t>identificēti, ja tiem ir izsniegts identifikācijas dokuments (pase), pases dublikāts vai identifikācijas dokumenta aizstājējs un tie i</w:t>
            </w:r>
            <w:r w:rsidRPr="00016263">
              <w:t>r</w:t>
            </w:r>
            <w:r w:rsidR="008A1143" w:rsidRPr="00016263">
              <w:t xml:space="preserve"> apzīmēti </w:t>
            </w:r>
            <w:r w:rsidR="00F04489" w:rsidRPr="00016263">
              <w:t>ar</w:t>
            </w:r>
            <w:r w:rsidRPr="00016263">
              <w:t xml:space="preserve"> </w:t>
            </w:r>
            <w:proofErr w:type="spellStart"/>
            <w:r w:rsidR="008A1143" w:rsidRPr="00016263">
              <w:t>transponderu</w:t>
            </w:r>
            <w:proofErr w:type="spellEnd"/>
            <w:r w:rsidR="008A1143" w:rsidRPr="00016263">
              <w:t xml:space="preserve">, savukārt </w:t>
            </w:r>
            <w:r w:rsidR="0024124A" w:rsidRPr="00016263">
              <w:t>alternatīv</w:t>
            </w:r>
            <w:r w:rsidR="008A1143" w:rsidRPr="00016263">
              <w:t>ie</w:t>
            </w:r>
            <w:r w:rsidR="0024124A" w:rsidRPr="00016263">
              <w:t xml:space="preserve"> apzīmēšanas līdzekļi</w:t>
            </w:r>
            <w:r w:rsidR="008A1143" w:rsidRPr="00016263">
              <w:t xml:space="preserve"> zirgu dzimtas dzīvnieku apzīmēšanai nav atļaut</w:t>
            </w:r>
            <w:r w:rsidR="00F04489" w:rsidRPr="00016263">
              <w:t>i</w:t>
            </w:r>
            <w:r w:rsidR="0024124A" w:rsidRPr="00016263">
              <w:t xml:space="preserve">, </w:t>
            </w:r>
            <w:r w:rsidR="008467D6">
              <w:t>tāpēc arī</w:t>
            </w:r>
            <w:r w:rsidR="0024124A" w:rsidRPr="00016263">
              <w:t xml:space="preserve"> nav nepieciešams paredzēt alternatīvās identitātes pārbaudes. </w:t>
            </w:r>
            <w:r w:rsidR="008467D6">
              <w:t>Iepriekš</w:t>
            </w:r>
            <w:r w:rsidR="0024124A" w:rsidRPr="00016263">
              <w:t>minēt</w:t>
            </w:r>
            <w:r w:rsidR="008467D6">
              <w:t>ā</w:t>
            </w:r>
            <w:r w:rsidR="0024124A" w:rsidRPr="00016263">
              <w:t xml:space="preserve"> prasīb</w:t>
            </w:r>
            <w:r w:rsidR="008467D6">
              <w:t>a</w:t>
            </w:r>
            <w:r w:rsidR="0024124A" w:rsidRPr="00016263">
              <w:t xml:space="preserve"> ir saskaņota ar </w:t>
            </w:r>
            <w:r w:rsidR="00FE3AA2" w:rsidRPr="00016263">
              <w:t>noteikumu projektā izstrādē iesaistītām institūcijām un šķirnes dzīvnieku audzētāju asociācijām</w:t>
            </w:r>
            <w:r w:rsidR="008467D6">
              <w:t>.</w:t>
            </w:r>
            <w:r w:rsidR="0024124A" w:rsidRPr="00016263">
              <w:t xml:space="preserve"> </w:t>
            </w:r>
            <w:r w:rsidR="008467D6">
              <w:t>Š</w:t>
            </w:r>
            <w:r w:rsidR="0024124A" w:rsidRPr="00016263">
              <w:t>īs prasības darbojas jau kopš 1999.gada</w:t>
            </w:r>
            <w:r w:rsidR="008467D6">
              <w:t xml:space="preserve"> un</w:t>
            </w:r>
            <w:r w:rsidR="0024124A" w:rsidRPr="00016263">
              <w:t xml:space="preserve"> </w:t>
            </w:r>
            <w:r w:rsidR="008467D6" w:rsidRPr="00016263">
              <w:t>tika saglabātas</w:t>
            </w:r>
            <w:r w:rsidR="008467D6">
              <w:t>,</w:t>
            </w:r>
            <w:r w:rsidR="008467D6" w:rsidRPr="00016263">
              <w:t xml:space="preserve"> </w:t>
            </w:r>
            <w:r w:rsidR="0024124A" w:rsidRPr="00016263">
              <w:t>arī</w:t>
            </w:r>
            <w:r w:rsidR="008467D6">
              <w:t xml:space="preserve"> Latvijai</w:t>
            </w:r>
            <w:r w:rsidR="0024124A" w:rsidRPr="00016263">
              <w:t xml:space="preserve"> iestājoties E</w:t>
            </w:r>
            <w:r w:rsidR="008A1143" w:rsidRPr="00016263">
              <w:t xml:space="preserve">iropas </w:t>
            </w:r>
            <w:r w:rsidR="0024124A" w:rsidRPr="00016263">
              <w:t>S</w:t>
            </w:r>
            <w:r w:rsidR="008A1143" w:rsidRPr="00016263">
              <w:t>avienībā</w:t>
            </w:r>
            <w:r w:rsidR="0024124A" w:rsidRPr="00016263">
              <w:t>, šīs prasības</w:t>
            </w:r>
            <w:r w:rsidR="008467D6">
              <w:t>.</w:t>
            </w:r>
            <w:r w:rsidR="0024124A" w:rsidRPr="00016263">
              <w:t xml:space="preserve"> </w:t>
            </w:r>
            <w:r w:rsidR="008467D6">
              <w:t xml:space="preserve">Turklāt </w:t>
            </w:r>
            <w:r w:rsidR="0024124A" w:rsidRPr="00016263">
              <w:t>E</w:t>
            </w:r>
            <w:r w:rsidR="008A1143" w:rsidRPr="00016263">
              <w:t xml:space="preserve">iropas </w:t>
            </w:r>
            <w:r w:rsidR="0024124A" w:rsidRPr="00016263">
              <w:t>K</w:t>
            </w:r>
            <w:r w:rsidR="008A1143" w:rsidRPr="00016263">
              <w:t>omisijas</w:t>
            </w:r>
            <w:r w:rsidR="0024124A" w:rsidRPr="00016263">
              <w:t xml:space="preserve"> eksperti</w:t>
            </w:r>
            <w:r w:rsidR="00F04489" w:rsidRPr="00016263">
              <w:t>,</w:t>
            </w:r>
            <w:r w:rsidR="0024124A" w:rsidRPr="00016263">
              <w:t xml:space="preserve"> veicot pārbaudes uz vietas</w:t>
            </w:r>
            <w:r w:rsidR="00F04489" w:rsidRPr="00016263">
              <w:t>,</w:t>
            </w:r>
            <w:r w:rsidR="0024124A" w:rsidRPr="00016263">
              <w:t xml:space="preserve"> ir atzinuši Latvijas apzīmēšanas un reģistrēšanas sistēmu</w:t>
            </w:r>
            <w:r w:rsidR="00825572" w:rsidRPr="00016263">
              <w:t xml:space="preserve"> </w:t>
            </w:r>
            <w:r w:rsidR="00825572" w:rsidRPr="00016263">
              <w:rPr>
                <w:i/>
              </w:rPr>
              <w:t>(</w:t>
            </w:r>
            <w:r w:rsidR="008467D6">
              <w:rPr>
                <w:i/>
              </w:rPr>
              <w:t xml:space="preserve">tostarp </w:t>
            </w:r>
            <w:r w:rsidR="00825572" w:rsidRPr="00016263">
              <w:rPr>
                <w:i/>
              </w:rPr>
              <w:t>zirgu dzimtas dzīvnieku identifikāciju un apzīmēšanu)</w:t>
            </w:r>
            <w:r w:rsidR="0024124A" w:rsidRPr="00016263">
              <w:t xml:space="preserve"> par darboties spējīgu un pilnīgu</w:t>
            </w:r>
            <w:r w:rsidR="00FE3AA2" w:rsidRPr="00016263">
              <w:t>.</w:t>
            </w:r>
            <w:r w:rsidR="0024124A" w:rsidRPr="00016263">
              <w:t xml:space="preserve"> </w:t>
            </w:r>
            <w:r w:rsidR="00E552E5" w:rsidRPr="00016263">
              <w:t xml:space="preserve"> </w:t>
            </w:r>
          </w:p>
          <w:p w14:paraId="04D5D67D" w14:textId="61516440" w:rsidR="00FE3AA2" w:rsidRPr="00016263" w:rsidRDefault="00EF6A2A" w:rsidP="008467D6">
            <w:pPr>
              <w:jc w:val="both"/>
            </w:pPr>
            <w:r w:rsidRPr="00016263">
              <w:t xml:space="preserve">Tā kā </w:t>
            </w:r>
            <w:r w:rsidR="00E552E5" w:rsidRPr="00016263">
              <w:t xml:space="preserve">Regulas Nr.2015/262 </w:t>
            </w:r>
            <w:proofErr w:type="gramStart"/>
            <w:r w:rsidR="00E552E5" w:rsidRPr="00016263">
              <w:t>1</w:t>
            </w:r>
            <w:r w:rsidRPr="00016263">
              <w:t>3</w:t>
            </w:r>
            <w:r w:rsidR="00E552E5" w:rsidRPr="00016263">
              <w:t>.pant</w:t>
            </w:r>
            <w:r w:rsidRPr="00016263">
              <w:t>ā</w:t>
            </w:r>
            <w:proofErr w:type="gramEnd"/>
            <w:r w:rsidR="00E552E5" w:rsidRPr="00016263">
              <w:t xml:space="preserve"> </w:t>
            </w:r>
            <w:r w:rsidR="008467D6" w:rsidRPr="00016263">
              <w:t xml:space="preserve">dalībvalstij </w:t>
            </w:r>
            <w:r w:rsidRPr="00016263">
              <w:t>ir paredzēt</w:t>
            </w:r>
            <w:r w:rsidR="008467D6">
              <w:t>a</w:t>
            </w:r>
            <w:r w:rsidRPr="00016263">
              <w:t xml:space="preserve"> rīcības brīvība, tad noteikumu projekta 23.punktā (noteikumu 65.punkts)</w:t>
            </w:r>
            <w:r w:rsidR="00687397" w:rsidRPr="00016263">
              <w:t xml:space="preserve"> </w:t>
            </w:r>
            <w:r w:rsidRPr="00016263">
              <w:t xml:space="preserve">ir paredzēts, ka </w:t>
            </w:r>
            <w:r w:rsidRPr="00016263">
              <w:rPr>
                <w:rFonts w:eastAsia="Calibri"/>
                <w:lang w:eastAsia="en-US"/>
              </w:rPr>
              <w:t xml:space="preserve">savvaļā vai </w:t>
            </w:r>
            <w:proofErr w:type="spellStart"/>
            <w:r w:rsidRPr="00016263">
              <w:rPr>
                <w:rFonts w:eastAsia="Calibri"/>
                <w:lang w:eastAsia="en-US"/>
              </w:rPr>
              <w:t>pussavvaļā</w:t>
            </w:r>
            <w:proofErr w:type="spellEnd"/>
            <w:r w:rsidRPr="00016263">
              <w:rPr>
                <w:rFonts w:eastAsia="Calibri"/>
                <w:lang w:eastAsia="en-US"/>
              </w:rPr>
              <w:t xml:space="preserve"> dzīvojošu zirgu dzimtas dzīvniekus ir jāidentificē saskaņā ar regulas Nr. 2015/262 13. panta 1. punkta prasībām. </w:t>
            </w:r>
            <w:r w:rsidR="00243354" w:rsidRPr="00016263">
              <w:rPr>
                <w:rFonts w:eastAsia="Calibri"/>
                <w:lang w:eastAsia="en-US"/>
              </w:rPr>
              <w:t>Šī</w:t>
            </w:r>
            <w:r w:rsidRPr="00016263">
              <w:rPr>
                <w:rFonts w:eastAsia="Calibri"/>
                <w:lang w:eastAsia="en-US"/>
              </w:rPr>
              <w:t xml:space="preserve"> prasība ir noteikta</w:t>
            </w:r>
            <w:r w:rsidR="00243354" w:rsidRPr="00016263">
              <w:rPr>
                <w:rFonts w:eastAsia="Calibri"/>
                <w:lang w:eastAsia="en-US"/>
              </w:rPr>
              <w:t>,</w:t>
            </w:r>
            <w:r w:rsidRPr="00016263">
              <w:rPr>
                <w:rFonts w:eastAsia="Calibri"/>
                <w:lang w:eastAsia="en-US"/>
              </w:rPr>
              <w:t xml:space="preserve"> </w:t>
            </w:r>
            <w:r w:rsidRPr="00016263">
              <w:t>lai nodrošinātu</w:t>
            </w:r>
            <w:r w:rsidR="00243354" w:rsidRPr="00016263">
              <w:t xml:space="preserve"> </w:t>
            </w:r>
            <w:r w:rsidR="00420843" w:rsidRPr="00016263">
              <w:rPr>
                <w:rFonts w:eastAsia="Calibri"/>
                <w:lang w:eastAsia="en-US"/>
              </w:rPr>
              <w:t xml:space="preserve">savvaļā vai </w:t>
            </w:r>
            <w:proofErr w:type="spellStart"/>
            <w:r w:rsidR="00420843" w:rsidRPr="00016263">
              <w:rPr>
                <w:rFonts w:eastAsia="Calibri"/>
                <w:lang w:eastAsia="en-US"/>
              </w:rPr>
              <w:t>pussavvaļā</w:t>
            </w:r>
            <w:proofErr w:type="spellEnd"/>
            <w:r w:rsidR="00420843" w:rsidRPr="00016263">
              <w:rPr>
                <w:rFonts w:eastAsia="Calibri"/>
                <w:lang w:eastAsia="en-US"/>
              </w:rPr>
              <w:t xml:space="preserve"> dzīvojošu zirgu dzimtas dzīvnieku</w:t>
            </w:r>
            <w:r w:rsidR="00243354" w:rsidRPr="00016263">
              <w:rPr>
                <w:rFonts w:eastAsia="Calibri"/>
                <w:lang w:eastAsia="en-US"/>
              </w:rPr>
              <w:t xml:space="preserve"> </w:t>
            </w:r>
            <w:r w:rsidRPr="00016263">
              <w:t xml:space="preserve">izsekojamību un novērstu </w:t>
            </w:r>
            <w:proofErr w:type="spellStart"/>
            <w:r w:rsidRPr="00016263">
              <w:t>zoonožu</w:t>
            </w:r>
            <w:proofErr w:type="spellEnd"/>
            <w:r w:rsidRPr="00016263">
              <w:t xml:space="preserve"> un dzīvnieku infekcijas slimību izplatīšanos, kā arī garantētu sabiedrības veselību un dzīvnieku izcelsmes pārtikas patērētāju aizsardzību</w:t>
            </w:r>
            <w:r w:rsidR="008467D6">
              <w:t xml:space="preserve"> un</w:t>
            </w:r>
            <w:r w:rsidR="00420843" w:rsidRPr="00016263">
              <w:rPr>
                <w:rFonts w:eastAsia="Calibri"/>
                <w:lang w:eastAsia="en-US"/>
              </w:rPr>
              <w:t>,</w:t>
            </w:r>
            <w:r w:rsidR="008467D6">
              <w:rPr>
                <w:rFonts w:eastAsia="Calibri"/>
                <w:lang w:eastAsia="en-US"/>
              </w:rPr>
              <w:t xml:space="preserve"> ievērojot</w:t>
            </w:r>
            <w:r w:rsidR="00420843" w:rsidRPr="00016263">
              <w:rPr>
                <w:rFonts w:eastAsia="Calibri"/>
                <w:lang w:eastAsia="en-US"/>
              </w:rPr>
              <w:t xml:space="preserve"> </w:t>
            </w:r>
            <w:r w:rsidRPr="00016263">
              <w:rPr>
                <w:rFonts w:eastAsia="Calibri"/>
                <w:lang w:eastAsia="en-US"/>
              </w:rPr>
              <w:t>Pārtikas un veterināra dienesta pr</w:t>
            </w:r>
            <w:r w:rsidR="00420843" w:rsidRPr="00016263">
              <w:rPr>
                <w:rFonts w:eastAsia="Calibri"/>
                <w:lang w:eastAsia="en-US"/>
              </w:rPr>
              <w:t>iekšlikumu, pilnvērtīgi v</w:t>
            </w:r>
            <w:r w:rsidRPr="00016263">
              <w:rPr>
                <w:rFonts w:eastAsia="Calibri"/>
                <w:lang w:eastAsia="en-US"/>
              </w:rPr>
              <w:t>a</w:t>
            </w:r>
            <w:r w:rsidR="00420843" w:rsidRPr="00016263">
              <w:rPr>
                <w:rFonts w:eastAsia="Calibri"/>
                <w:lang w:eastAsia="en-US"/>
              </w:rPr>
              <w:t xml:space="preserve">rētu veikt </w:t>
            </w:r>
            <w:r w:rsidR="00243354" w:rsidRPr="00016263">
              <w:rPr>
                <w:rFonts w:eastAsia="Calibri"/>
                <w:lang w:eastAsia="en-US"/>
              </w:rPr>
              <w:t>kontroles funkcijas attiecībā uz dzīvnieku izsekojamību un to iden</w:t>
            </w:r>
            <w:r w:rsidR="005956D2" w:rsidRPr="00016263">
              <w:rPr>
                <w:rFonts w:eastAsia="Calibri"/>
                <w:lang w:eastAsia="en-US"/>
              </w:rPr>
              <w:t>ti</w:t>
            </w:r>
            <w:r w:rsidR="00243354" w:rsidRPr="00016263">
              <w:rPr>
                <w:rFonts w:eastAsia="Calibri"/>
                <w:lang w:eastAsia="en-US"/>
              </w:rPr>
              <w:t>ficēšanu</w:t>
            </w:r>
            <w:r w:rsidR="00420843" w:rsidRPr="00016263">
              <w:rPr>
                <w:rFonts w:eastAsia="Calibri"/>
                <w:lang w:eastAsia="en-US"/>
              </w:rPr>
              <w:t xml:space="preserve">. </w:t>
            </w:r>
            <w:r w:rsidR="008467D6">
              <w:rPr>
                <w:rFonts w:eastAsia="Calibri"/>
                <w:lang w:eastAsia="en-US"/>
              </w:rPr>
              <w:t>Šī</w:t>
            </w:r>
            <w:r w:rsidR="00420843" w:rsidRPr="00016263">
              <w:rPr>
                <w:rFonts w:eastAsia="Calibri"/>
                <w:lang w:eastAsia="en-US"/>
              </w:rPr>
              <w:t xml:space="preserve"> prasība ir saskaņota ar </w:t>
            </w:r>
            <w:r w:rsidR="00420843" w:rsidRPr="00016263">
              <w:t xml:space="preserve">šķirnes dzīvnieku audzētāju asociācijām un citām </w:t>
            </w:r>
            <w:r w:rsidR="001643D1" w:rsidRPr="00016263">
              <w:t xml:space="preserve">iesaistītām </w:t>
            </w:r>
            <w:r w:rsidR="00420843" w:rsidRPr="00016263">
              <w:t>nevalstiskām organizācijām.</w:t>
            </w:r>
          </w:p>
        </w:tc>
      </w:tr>
      <w:tr w:rsidR="003063C7" w:rsidRPr="00BA0DE8" w14:paraId="7A2C5D40" w14:textId="77777777" w:rsidTr="00E552E5">
        <w:trPr>
          <w:trHeight w:val="279"/>
        </w:trPr>
        <w:tc>
          <w:tcPr>
            <w:tcW w:w="1088" w:type="pct"/>
            <w:gridSpan w:val="2"/>
          </w:tcPr>
          <w:p w14:paraId="154DF1BB" w14:textId="68A14EEE" w:rsidR="00E552E5" w:rsidRPr="00E552E5" w:rsidRDefault="00E552E5" w:rsidP="002B79C3">
            <w:pPr>
              <w:jc w:val="both"/>
              <w:rPr>
                <w:color w:val="000000" w:themeColor="text1"/>
              </w:rPr>
            </w:pPr>
            <w:r w:rsidRPr="00E552E5">
              <w:rPr>
                <w:color w:val="000000" w:themeColor="text1"/>
                <w:sz w:val="22"/>
                <w:szCs w:val="22"/>
              </w:rPr>
              <w:t xml:space="preserve">Saistības sniegt paziņojumu ES institūcijām un ES dalībvalstīm atbilstoši normatīvajiem aktiem, kas regulē informācijas sniegšanu par tehnisko noteikumu, valsts atbalsta piešķiršanas un </w:t>
            </w:r>
            <w:r w:rsidRPr="00E552E5">
              <w:rPr>
                <w:color w:val="000000" w:themeColor="text1"/>
                <w:sz w:val="22"/>
                <w:szCs w:val="22"/>
              </w:rPr>
              <w:lastRenderedPageBreak/>
              <w:t>finanšu noteikumu (attiecībā uz monetāro politiku) projektiem</w:t>
            </w:r>
          </w:p>
        </w:tc>
        <w:tc>
          <w:tcPr>
            <w:tcW w:w="3912" w:type="pct"/>
            <w:gridSpan w:val="3"/>
          </w:tcPr>
          <w:p w14:paraId="6BAD80A0" w14:textId="7A4E1E2E" w:rsidR="00E552E5" w:rsidRPr="00446463" w:rsidRDefault="00E552E5" w:rsidP="002B79C3">
            <w:pPr>
              <w:jc w:val="both"/>
            </w:pPr>
            <w:r>
              <w:lastRenderedPageBreak/>
              <w:t>-</w:t>
            </w:r>
          </w:p>
        </w:tc>
      </w:tr>
      <w:tr w:rsidR="00A41E67" w:rsidRPr="00BA0DE8" w14:paraId="32CF3453" w14:textId="77777777" w:rsidTr="005D00FC">
        <w:trPr>
          <w:trHeight w:val="279"/>
        </w:trPr>
        <w:tc>
          <w:tcPr>
            <w:tcW w:w="1088" w:type="pct"/>
            <w:gridSpan w:val="2"/>
          </w:tcPr>
          <w:p w14:paraId="7877E88C" w14:textId="77777777" w:rsidR="00A41E67" w:rsidRPr="00BA0DE8" w:rsidRDefault="00A41E67" w:rsidP="009956A8">
            <w:pPr>
              <w:jc w:val="both"/>
            </w:pPr>
            <w:r w:rsidRPr="00BA0DE8">
              <w:rPr>
                <w:sz w:val="22"/>
                <w:szCs w:val="22"/>
              </w:rPr>
              <w:lastRenderedPageBreak/>
              <w:t>Cita informācija</w:t>
            </w:r>
          </w:p>
        </w:tc>
        <w:tc>
          <w:tcPr>
            <w:tcW w:w="3912" w:type="pct"/>
            <w:gridSpan w:val="3"/>
          </w:tcPr>
          <w:p w14:paraId="2B212D2F" w14:textId="77777777" w:rsidR="00A41E67" w:rsidRPr="00BA0DE8" w:rsidRDefault="00A41E67" w:rsidP="009956A8">
            <w:pPr>
              <w:jc w:val="both"/>
            </w:pPr>
            <w:r w:rsidRPr="00BA0DE8">
              <w:rPr>
                <w:sz w:val="22"/>
                <w:szCs w:val="22"/>
              </w:rPr>
              <w:t>Nav.</w:t>
            </w:r>
          </w:p>
        </w:tc>
      </w:tr>
    </w:tbl>
    <w:p w14:paraId="03FD736E" w14:textId="6E4BB2BE" w:rsidR="00FF319C" w:rsidRPr="00FF319C" w:rsidRDefault="00FF319C" w:rsidP="008F28C0">
      <w:pPr>
        <w:pStyle w:val="naisf"/>
        <w:spacing w:before="0" w:beforeAutospacing="0" w:after="0" w:afterAutospacing="0"/>
        <w:rPr>
          <w:i/>
        </w:rPr>
      </w:pPr>
      <w:r w:rsidRPr="00FF319C">
        <w:rPr>
          <w:i/>
        </w:rPr>
        <w:t>Anotācijas V sadaļas2.tabula – projekts šo jomu neskar.</w:t>
      </w:r>
    </w:p>
    <w:p w14:paraId="069101C4" w14:textId="77777777" w:rsidR="00FF319C" w:rsidRPr="00BA0DE8" w:rsidRDefault="00FF319C" w:rsidP="008F28C0">
      <w:pPr>
        <w:pStyle w:val="naisf"/>
        <w:spacing w:before="0" w:beforeAutospacing="0" w:after="0" w:afterAutospacing="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BA0DE8" w:rsidRPr="00BA0DE8" w14:paraId="2C80A1B0" w14:textId="77777777" w:rsidTr="00133DFE">
        <w:trPr>
          <w:trHeight w:val="279"/>
        </w:trPr>
        <w:tc>
          <w:tcPr>
            <w:tcW w:w="5000" w:type="pct"/>
            <w:gridSpan w:val="3"/>
          </w:tcPr>
          <w:p w14:paraId="25403D69" w14:textId="77777777" w:rsidR="00AC145B" w:rsidRPr="00BA0DE8" w:rsidRDefault="00AC145B" w:rsidP="003037FE">
            <w:pPr>
              <w:jc w:val="center"/>
              <w:rPr>
                <w:b/>
              </w:rPr>
            </w:pPr>
            <w:r w:rsidRPr="00BA0DE8">
              <w:rPr>
                <w:b/>
              </w:rPr>
              <w:t>VI. Sabiedrības līdzdalība un komunikācijas aktivitātes</w:t>
            </w:r>
          </w:p>
        </w:tc>
      </w:tr>
      <w:tr w:rsidR="00BA0DE8" w:rsidRPr="00BA0DE8" w14:paraId="201EAD28" w14:textId="77777777" w:rsidTr="00133DFE">
        <w:trPr>
          <w:trHeight w:val="279"/>
        </w:trPr>
        <w:tc>
          <w:tcPr>
            <w:tcW w:w="304" w:type="pct"/>
          </w:tcPr>
          <w:p w14:paraId="5DC7ADC9" w14:textId="77777777" w:rsidR="00AC145B" w:rsidRPr="00BA0DE8" w:rsidRDefault="00AC145B" w:rsidP="003037FE">
            <w:pPr>
              <w:jc w:val="both"/>
            </w:pPr>
            <w:r w:rsidRPr="00BA0DE8">
              <w:t>1.</w:t>
            </w:r>
          </w:p>
        </w:tc>
        <w:tc>
          <w:tcPr>
            <w:tcW w:w="1038" w:type="pct"/>
          </w:tcPr>
          <w:p w14:paraId="5062D17C" w14:textId="77777777" w:rsidR="00AC145B" w:rsidRPr="00BA0DE8" w:rsidRDefault="00AC145B" w:rsidP="00FC11EF">
            <w:r w:rsidRPr="00BA0DE8">
              <w:t>Plānotās sabiedrības līdzdalības un komunikācijas aktivitātes saistībā ar projektu</w:t>
            </w:r>
          </w:p>
        </w:tc>
        <w:tc>
          <w:tcPr>
            <w:tcW w:w="3659" w:type="pct"/>
          </w:tcPr>
          <w:p w14:paraId="5C55EAC3" w14:textId="5027EFFA" w:rsidR="007D3F1B" w:rsidRDefault="007D3F1B" w:rsidP="007D3F1B">
            <w:pPr>
              <w:jc w:val="both"/>
            </w:pPr>
            <w:r>
              <w:t xml:space="preserve">Informācija par noteikumu projektu ievietota Zemkopības ministrijas tīmekļa vietnē </w:t>
            </w:r>
            <w:hyperlink r:id="rId8" w:history="1">
              <w:r w:rsidRPr="00CC61AB">
                <w:rPr>
                  <w:rStyle w:val="Hipersaite"/>
                </w:rPr>
                <w:t>www.zm.gov.lv</w:t>
              </w:r>
            </w:hyperlink>
            <w:r>
              <w:t xml:space="preserve"> </w:t>
            </w:r>
          </w:p>
          <w:p w14:paraId="7A0B573D" w14:textId="604E8849" w:rsidR="00C61931" w:rsidRPr="00BA0DE8" w:rsidRDefault="007D3F1B" w:rsidP="003037FE">
            <w:pPr>
              <w:jc w:val="both"/>
            </w:pPr>
            <w:r>
              <w:t>Par noteikumu projektu ir elektroniski informēta Lauksaimnieku organizāciju sadarbības padome (LOSP), Zemnieku saeima</w:t>
            </w:r>
            <w:r w:rsidR="00881878">
              <w:t>,</w:t>
            </w:r>
            <w:r>
              <w:t xml:space="preserve"> Latvijas Lauksaimniecības kooperatīvu asociācija</w:t>
            </w:r>
            <w:r w:rsidR="00881878">
              <w:t>,</w:t>
            </w:r>
            <w:r>
              <w:t xml:space="preserve"> </w:t>
            </w:r>
            <w:r w:rsidRPr="007D3F1B">
              <w:t>šķirnes lauksaimniecības dzīvnieku audzētāju organizācij</w:t>
            </w:r>
            <w:r>
              <w:t xml:space="preserve">as, </w:t>
            </w:r>
            <w:r w:rsidRPr="007D3F1B">
              <w:t>Lauksaimniecības datu centrs un Pārtikas un veterinārais dienests</w:t>
            </w:r>
            <w:r>
              <w:t>.</w:t>
            </w:r>
          </w:p>
        </w:tc>
      </w:tr>
      <w:tr w:rsidR="00BA0DE8" w:rsidRPr="00BA0DE8" w14:paraId="237FE7D7" w14:textId="77777777" w:rsidTr="00133DFE">
        <w:trPr>
          <w:trHeight w:val="279"/>
        </w:trPr>
        <w:tc>
          <w:tcPr>
            <w:tcW w:w="304" w:type="pct"/>
          </w:tcPr>
          <w:p w14:paraId="53E5A3E2" w14:textId="77777777" w:rsidR="00AC145B" w:rsidRPr="00BA0DE8" w:rsidRDefault="00AC145B" w:rsidP="003037FE">
            <w:pPr>
              <w:jc w:val="both"/>
            </w:pPr>
            <w:r w:rsidRPr="00BA0DE8">
              <w:t>2.</w:t>
            </w:r>
          </w:p>
        </w:tc>
        <w:tc>
          <w:tcPr>
            <w:tcW w:w="1038" w:type="pct"/>
          </w:tcPr>
          <w:p w14:paraId="2BCCF277" w14:textId="77777777" w:rsidR="00AC145B" w:rsidRPr="00BA0DE8" w:rsidRDefault="00AC145B" w:rsidP="003037FE">
            <w:pPr>
              <w:jc w:val="both"/>
            </w:pPr>
            <w:r w:rsidRPr="00BA0DE8">
              <w:t>Sabiedrības līdzdalība projekta izstrādē</w:t>
            </w:r>
          </w:p>
        </w:tc>
        <w:tc>
          <w:tcPr>
            <w:tcW w:w="3659" w:type="pct"/>
          </w:tcPr>
          <w:p w14:paraId="3FE085F5" w14:textId="2C49E76C" w:rsidR="0091351B" w:rsidRPr="00BA0DE8" w:rsidRDefault="007D3F1B" w:rsidP="00A25F9B">
            <w:pPr>
              <w:pStyle w:val="naiskr"/>
              <w:spacing w:before="0" w:beforeAutospacing="0" w:after="0" w:afterAutospacing="0"/>
              <w:jc w:val="both"/>
            </w:pPr>
            <w:r w:rsidRPr="007D3F1B">
              <w:t xml:space="preserve">Notika sanāksmes ar noteikumu projektā </w:t>
            </w:r>
            <w:r w:rsidR="00881878">
              <w:t xml:space="preserve">izstrādē </w:t>
            </w:r>
            <w:r w:rsidRPr="007D3F1B">
              <w:t>iesaistītām institūcijām</w:t>
            </w:r>
            <w:r w:rsidR="00881878">
              <w:t xml:space="preserve"> un</w:t>
            </w:r>
            <w:r w:rsidRPr="007D3F1B">
              <w:t xml:space="preserve"> šķirnes dzīvnieku audzētāju asociācijām, kas </w:t>
            </w:r>
            <w:r w:rsidR="008467D6">
              <w:t xml:space="preserve">ir </w:t>
            </w:r>
            <w:r w:rsidRPr="007D3F1B">
              <w:t>sniegušas priekšlikumus un izteikušas komentārus par noteikumu projektu.</w:t>
            </w:r>
          </w:p>
        </w:tc>
      </w:tr>
      <w:tr w:rsidR="00BA0DE8" w:rsidRPr="00BA0DE8" w14:paraId="0BA5FC62" w14:textId="77777777" w:rsidTr="00133DFE">
        <w:trPr>
          <w:trHeight w:val="279"/>
        </w:trPr>
        <w:tc>
          <w:tcPr>
            <w:tcW w:w="304" w:type="pct"/>
          </w:tcPr>
          <w:p w14:paraId="7CEDE2CB" w14:textId="17AA27A8" w:rsidR="00AC145B" w:rsidRPr="00BA0DE8" w:rsidRDefault="00AC145B" w:rsidP="003037FE">
            <w:pPr>
              <w:jc w:val="both"/>
            </w:pPr>
            <w:r w:rsidRPr="00BA0DE8">
              <w:t>3.</w:t>
            </w:r>
          </w:p>
        </w:tc>
        <w:tc>
          <w:tcPr>
            <w:tcW w:w="1038" w:type="pct"/>
          </w:tcPr>
          <w:p w14:paraId="4D226EB8" w14:textId="77777777" w:rsidR="00AC145B" w:rsidRPr="00BA0DE8" w:rsidRDefault="00AC145B" w:rsidP="003037FE">
            <w:pPr>
              <w:jc w:val="both"/>
            </w:pPr>
            <w:r w:rsidRPr="00BA0DE8">
              <w:t>Sabiedrības līdzdalības rezultāti</w:t>
            </w:r>
          </w:p>
        </w:tc>
        <w:tc>
          <w:tcPr>
            <w:tcW w:w="3659" w:type="pct"/>
          </w:tcPr>
          <w:p w14:paraId="08DFC570" w14:textId="44A3FFE4" w:rsidR="00FC11EF" w:rsidRPr="00BA0DE8" w:rsidRDefault="00C61931" w:rsidP="00FC11EF">
            <w:pPr>
              <w:pStyle w:val="naiskr"/>
              <w:spacing w:before="0" w:beforeAutospacing="0" w:after="0" w:afterAutospacing="0"/>
              <w:jc w:val="both"/>
            </w:pPr>
            <w:r w:rsidRPr="00BA0DE8">
              <w:t xml:space="preserve">Izteiktie komentāri un iebildumi </w:t>
            </w:r>
            <w:r w:rsidR="000A2D0B">
              <w:t xml:space="preserve">ir </w:t>
            </w:r>
            <w:r w:rsidRPr="00BA0DE8">
              <w:t>ņemti vērā, kā arī panākta vienošanās sanāksmē.</w:t>
            </w:r>
          </w:p>
        </w:tc>
      </w:tr>
      <w:tr w:rsidR="005C3223" w:rsidRPr="00BA0DE8" w14:paraId="4FB76134" w14:textId="77777777" w:rsidTr="00133DFE">
        <w:trPr>
          <w:trHeight w:val="279"/>
        </w:trPr>
        <w:tc>
          <w:tcPr>
            <w:tcW w:w="304" w:type="pct"/>
          </w:tcPr>
          <w:p w14:paraId="79CFF2E5" w14:textId="77777777" w:rsidR="00AC145B" w:rsidRPr="00BA0DE8" w:rsidRDefault="00AC145B" w:rsidP="003037FE">
            <w:pPr>
              <w:jc w:val="both"/>
            </w:pPr>
            <w:r w:rsidRPr="00BA0DE8">
              <w:t>4.</w:t>
            </w:r>
          </w:p>
        </w:tc>
        <w:tc>
          <w:tcPr>
            <w:tcW w:w="1038" w:type="pct"/>
          </w:tcPr>
          <w:p w14:paraId="39A63D58" w14:textId="77777777" w:rsidR="00AC145B" w:rsidRPr="00BA0DE8" w:rsidRDefault="00AC145B" w:rsidP="003037FE">
            <w:pPr>
              <w:jc w:val="both"/>
            </w:pPr>
            <w:r w:rsidRPr="00BA0DE8">
              <w:t>Cita informācija</w:t>
            </w:r>
          </w:p>
        </w:tc>
        <w:tc>
          <w:tcPr>
            <w:tcW w:w="3659" w:type="pct"/>
          </w:tcPr>
          <w:p w14:paraId="398C2014" w14:textId="77777777" w:rsidR="00AC145B" w:rsidRPr="00BA0DE8" w:rsidRDefault="00AC145B" w:rsidP="003037FE">
            <w:pPr>
              <w:jc w:val="both"/>
            </w:pPr>
            <w:r w:rsidRPr="00BA0DE8">
              <w:rPr>
                <w:sz w:val="22"/>
                <w:szCs w:val="22"/>
              </w:rPr>
              <w:t>Nav.</w:t>
            </w:r>
          </w:p>
        </w:tc>
      </w:tr>
    </w:tbl>
    <w:p w14:paraId="4918DBBC" w14:textId="77777777"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3"/>
        <w:gridCol w:w="5237"/>
      </w:tblGrid>
      <w:tr w:rsidR="00BA0DE8" w:rsidRPr="00BA0DE8" w14:paraId="3488C072" w14:textId="77777777" w:rsidTr="00133DFE">
        <w:trPr>
          <w:trHeight w:val="279"/>
        </w:trPr>
        <w:tc>
          <w:tcPr>
            <w:tcW w:w="5000" w:type="pct"/>
            <w:gridSpan w:val="3"/>
          </w:tcPr>
          <w:p w14:paraId="59B29EF3" w14:textId="77777777" w:rsidR="00AC145B" w:rsidRPr="00BA0DE8" w:rsidRDefault="00AC145B" w:rsidP="003037FE">
            <w:pPr>
              <w:jc w:val="center"/>
              <w:rPr>
                <w:b/>
              </w:rPr>
            </w:pPr>
            <w:r w:rsidRPr="00BA0DE8">
              <w:rPr>
                <w:b/>
              </w:rPr>
              <w:t>VII. Tiesību akta projekta izpildes nodrošināšana un tās ietekme uz institūcijām</w:t>
            </w:r>
          </w:p>
        </w:tc>
      </w:tr>
      <w:tr w:rsidR="00BA0DE8" w:rsidRPr="00BA0DE8" w14:paraId="5A56D705" w14:textId="77777777" w:rsidTr="00133DFE">
        <w:trPr>
          <w:trHeight w:val="279"/>
        </w:trPr>
        <w:tc>
          <w:tcPr>
            <w:tcW w:w="304" w:type="pct"/>
          </w:tcPr>
          <w:p w14:paraId="7D4BAC07" w14:textId="77777777" w:rsidR="00AC145B" w:rsidRPr="00BA0DE8" w:rsidRDefault="00AC145B" w:rsidP="003037FE">
            <w:pPr>
              <w:jc w:val="both"/>
            </w:pPr>
            <w:r w:rsidRPr="00BA0DE8">
              <w:t>1.</w:t>
            </w:r>
          </w:p>
        </w:tc>
        <w:tc>
          <w:tcPr>
            <w:tcW w:w="1806" w:type="pct"/>
          </w:tcPr>
          <w:p w14:paraId="5B1387D8" w14:textId="77777777" w:rsidR="00AC145B" w:rsidRPr="00BA0DE8" w:rsidRDefault="00AC145B" w:rsidP="003037FE">
            <w:pPr>
              <w:jc w:val="both"/>
            </w:pPr>
            <w:r w:rsidRPr="00BA0DE8">
              <w:t>Projekta izpildē iesaistītās institūcijas</w:t>
            </w:r>
          </w:p>
        </w:tc>
        <w:tc>
          <w:tcPr>
            <w:tcW w:w="2890" w:type="pct"/>
          </w:tcPr>
          <w:p w14:paraId="174F5AB0" w14:textId="3A77202C" w:rsidR="00AC145B" w:rsidRPr="00BA0DE8" w:rsidRDefault="00AC145B" w:rsidP="003037FE">
            <w:pPr>
              <w:pStyle w:val="naisnod"/>
              <w:spacing w:before="0" w:after="0"/>
              <w:ind w:right="57"/>
              <w:jc w:val="both"/>
              <w:rPr>
                <w:b/>
              </w:rPr>
            </w:pPr>
            <w:r w:rsidRPr="00BA0DE8">
              <w:t>Lauksaimniecības datu centrs</w:t>
            </w:r>
            <w:r w:rsidR="007D3F1B">
              <w:t xml:space="preserve"> </w:t>
            </w:r>
            <w:r w:rsidR="007D3F1B" w:rsidRPr="007D3F1B">
              <w:t>un Pārtikas un veterinārais dienests</w:t>
            </w:r>
          </w:p>
        </w:tc>
      </w:tr>
      <w:tr w:rsidR="00BA0DE8" w:rsidRPr="00BA0DE8" w14:paraId="02D0D3E6" w14:textId="77777777" w:rsidTr="00133DFE">
        <w:trPr>
          <w:trHeight w:val="279"/>
        </w:trPr>
        <w:tc>
          <w:tcPr>
            <w:tcW w:w="304" w:type="pct"/>
          </w:tcPr>
          <w:p w14:paraId="5083C6CA" w14:textId="77777777" w:rsidR="00AC145B" w:rsidRPr="00BA0DE8" w:rsidRDefault="00AC145B" w:rsidP="003037FE">
            <w:pPr>
              <w:jc w:val="both"/>
            </w:pPr>
            <w:r w:rsidRPr="00BA0DE8">
              <w:t>2.</w:t>
            </w:r>
          </w:p>
        </w:tc>
        <w:tc>
          <w:tcPr>
            <w:tcW w:w="1806" w:type="pct"/>
          </w:tcPr>
          <w:p w14:paraId="6A6E0367" w14:textId="77777777" w:rsidR="00AC145B" w:rsidRPr="00BA0DE8" w:rsidRDefault="00AC145B" w:rsidP="003037FE">
            <w:r w:rsidRPr="00BA0DE8">
              <w:t>Projekta izpildes ietekme uz pārvaldes funkcijām un institucionālo struktūru.</w:t>
            </w:r>
          </w:p>
          <w:p w14:paraId="19858653" w14:textId="77777777" w:rsidR="00AC145B" w:rsidRPr="00BA0DE8" w:rsidRDefault="00AC145B" w:rsidP="003037FE">
            <w:r w:rsidRPr="00BA0DE8">
              <w:t>Jaunu institūciju izveide, esošu institūciju likvidācija vai reorganizācija, to ietekme uz institūcijas cilvēkresursiem</w:t>
            </w:r>
          </w:p>
        </w:tc>
        <w:tc>
          <w:tcPr>
            <w:tcW w:w="2890" w:type="pct"/>
          </w:tcPr>
          <w:p w14:paraId="4695FB27" w14:textId="0406BDB9" w:rsidR="00AC145B" w:rsidRPr="00BA0DE8" w:rsidRDefault="00AC145B" w:rsidP="004F598D">
            <w:pPr>
              <w:pStyle w:val="naisnod"/>
              <w:spacing w:before="0" w:beforeAutospacing="0" w:after="0" w:afterAutospacing="0"/>
              <w:ind w:left="57" w:right="57"/>
              <w:jc w:val="both"/>
              <w:rPr>
                <w:b/>
              </w:rPr>
            </w:pPr>
            <w:r w:rsidRPr="00BA0DE8">
              <w:t>Projekts neietekmē pārvaldes funkcijas. Pr</w:t>
            </w:r>
            <w:r w:rsidR="004F598D" w:rsidRPr="00BA0DE8">
              <w:t>ojekta izpildei nav nepieciešama jaunu institūciju izveide, esošo likvidācija vai reorganizācija</w:t>
            </w:r>
            <w:r w:rsidRPr="00BA0DE8">
              <w:t>.</w:t>
            </w:r>
          </w:p>
        </w:tc>
      </w:tr>
      <w:tr w:rsidR="005C3223" w:rsidRPr="00BA0DE8" w14:paraId="44230E0E" w14:textId="77777777" w:rsidTr="00133DFE">
        <w:trPr>
          <w:trHeight w:val="279"/>
        </w:trPr>
        <w:tc>
          <w:tcPr>
            <w:tcW w:w="304" w:type="pct"/>
          </w:tcPr>
          <w:p w14:paraId="205DD208" w14:textId="77777777" w:rsidR="00AC145B" w:rsidRPr="00BA0DE8" w:rsidRDefault="00AC145B" w:rsidP="003037FE">
            <w:pPr>
              <w:jc w:val="both"/>
            </w:pPr>
            <w:r w:rsidRPr="00BA0DE8">
              <w:t>3.</w:t>
            </w:r>
          </w:p>
        </w:tc>
        <w:tc>
          <w:tcPr>
            <w:tcW w:w="1806" w:type="pct"/>
          </w:tcPr>
          <w:p w14:paraId="4A4F4E95" w14:textId="77777777" w:rsidR="00AC145B" w:rsidRPr="00BA0DE8" w:rsidRDefault="00AC145B" w:rsidP="003037FE">
            <w:pPr>
              <w:jc w:val="both"/>
            </w:pPr>
            <w:r w:rsidRPr="00BA0DE8">
              <w:t>Cita informācija</w:t>
            </w:r>
          </w:p>
        </w:tc>
        <w:tc>
          <w:tcPr>
            <w:tcW w:w="2890" w:type="pct"/>
          </w:tcPr>
          <w:p w14:paraId="5F867428" w14:textId="77777777" w:rsidR="00AC145B" w:rsidRPr="00BA0DE8" w:rsidRDefault="00AC145B" w:rsidP="003037FE">
            <w:pPr>
              <w:pStyle w:val="naiskr"/>
              <w:spacing w:before="0" w:after="0"/>
              <w:ind w:left="57" w:right="57"/>
            </w:pPr>
            <w:r w:rsidRPr="00BA0DE8">
              <w:t>Nav.</w:t>
            </w:r>
          </w:p>
        </w:tc>
      </w:tr>
    </w:tbl>
    <w:p w14:paraId="0FDEFBAA" w14:textId="77777777" w:rsidR="00E1791D" w:rsidRDefault="00E1791D" w:rsidP="00F37F7E">
      <w:pPr>
        <w:pStyle w:val="naisf"/>
        <w:spacing w:before="0" w:beforeAutospacing="0" w:after="0" w:afterAutospacing="0"/>
        <w:ind w:firstLine="720"/>
        <w:rPr>
          <w:sz w:val="28"/>
          <w:szCs w:val="28"/>
        </w:rPr>
      </w:pPr>
    </w:p>
    <w:p w14:paraId="17900B39" w14:textId="77777777" w:rsidR="00FE3353" w:rsidRPr="00BA0DE8" w:rsidRDefault="00FE3353" w:rsidP="00F37F7E">
      <w:pPr>
        <w:pStyle w:val="naisf"/>
        <w:spacing w:before="0" w:beforeAutospacing="0" w:after="0" w:afterAutospacing="0"/>
        <w:ind w:firstLine="720"/>
        <w:rPr>
          <w:sz w:val="28"/>
          <w:szCs w:val="28"/>
        </w:rPr>
      </w:pPr>
    </w:p>
    <w:p w14:paraId="786974A8" w14:textId="28F36995" w:rsidR="00F37F7E" w:rsidRPr="00BA0DE8" w:rsidRDefault="00F37F7E" w:rsidP="00FE3353">
      <w:pPr>
        <w:pStyle w:val="naisf"/>
        <w:spacing w:before="0" w:beforeAutospacing="0" w:after="0" w:afterAutospacing="0"/>
        <w:rPr>
          <w:szCs w:val="28"/>
        </w:rPr>
      </w:pPr>
      <w:r w:rsidRPr="00BA0DE8">
        <w:rPr>
          <w:szCs w:val="28"/>
        </w:rPr>
        <w:t>Zemkopības ministr</w:t>
      </w:r>
      <w:r w:rsidR="00E01809" w:rsidRPr="00BA0DE8">
        <w:rPr>
          <w:szCs w:val="28"/>
        </w:rPr>
        <w:t>s</w:t>
      </w:r>
      <w:r w:rsidRPr="00BA0DE8">
        <w:rPr>
          <w:szCs w:val="28"/>
        </w:rPr>
        <w:tab/>
      </w:r>
      <w:r w:rsidRPr="00BA0DE8">
        <w:rPr>
          <w:szCs w:val="28"/>
        </w:rPr>
        <w:tab/>
      </w:r>
      <w:r w:rsidRPr="00BA0DE8">
        <w:rPr>
          <w:szCs w:val="28"/>
        </w:rPr>
        <w:tab/>
      </w:r>
      <w:r w:rsidRPr="00BA0DE8">
        <w:rPr>
          <w:szCs w:val="28"/>
        </w:rPr>
        <w:tab/>
      </w:r>
      <w:r w:rsidR="00E01809" w:rsidRPr="00BA0DE8">
        <w:rPr>
          <w:szCs w:val="28"/>
        </w:rPr>
        <w:tab/>
      </w:r>
      <w:r w:rsidR="00FE3353">
        <w:rPr>
          <w:szCs w:val="28"/>
        </w:rPr>
        <w:tab/>
      </w:r>
      <w:r w:rsidR="00FE3353">
        <w:rPr>
          <w:szCs w:val="28"/>
        </w:rPr>
        <w:tab/>
      </w:r>
      <w:r w:rsidR="00FE3353">
        <w:rPr>
          <w:szCs w:val="28"/>
        </w:rPr>
        <w:tab/>
      </w:r>
      <w:r w:rsidR="00E01809" w:rsidRPr="00BA0DE8">
        <w:rPr>
          <w:szCs w:val="28"/>
        </w:rPr>
        <w:tab/>
        <w:t>J.Dūklavs</w:t>
      </w:r>
    </w:p>
    <w:p w14:paraId="00AD5150" w14:textId="77777777" w:rsidR="00652543" w:rsidRDefault="00652543" w:rsidP="00AD4B66">
      <w:pPr>
        <w:pStyle w:val="naisf"/>
        <w:spacing w:before="0" w:beforeAutospacing="0" w:after="0" w:afterAutospacing="0"/>
        <w:rPr>
          <w:sz w:val="20"/>
          <w:szCs w:val="20"/>
        </w:rPr>
      </w:pPr>
    </w:p>
    <w:p w14:paraId="1D264F60" w14:textId="77777777" w:rsidR="00FE3353" w:rsidRDefault="00FE3353" w:rsidP="00AD4B66">
      <w:pPr>
        <w:pStyle w:val="naisf"/>
        <w:spacing w:before="0" w:beforeAutospacing="0" w:after="0" w:afterAutospacing="0"/>
        <w:rPr>
          <w:sz w:val="20"/>
          <w:szCs w:val="20"/>
        </w:rPr>
      </w:pPr>
    </w:p>
    <w:p w14:paraId="72622CA5" w14:textId="77777777" w:rsidR="00F8405A" w:rsidRDefault="00F8405A" w:rsidP="00AD4B66">
      <w:pPr>
        <w:pStyle w:val="naisf"/>
        <w:spacing w:before="0" w:beforeAutospacing="0" w:after="0" w:afterAutospacing="0"/>
        <w:rPr>
          <w:sz w:val="20"/>
          <w:szCs w:val="20"/>
        </w:rPr>
      </w:pPr>
    </w:p>
    <w:p w14:paraId="09EEB4DB" w14:textId="77777777" w:rsidR="00CB453A" w:rsidRDefault="00CB453A" w:rsidP="00AD4B66">
      <w:pPr>
        <w:pStyle w:val="naisf"/>
        <w:spacing w:before="0" w:beforeAutospacing="0" w:after="0" w:afterAutospacing="0"/>
        <w:rPr>
          <w:sz w:val="20"/>
          <w:szCs w:val="20"/>
        </w:rPr>
      </w:pPr>
    </w:p>
    <w:p w14:paraId="259CDD33" w14:textId="77777777" w:rsidR="00CB453A" w:rsidRDefault="00CB453A" w:rsidP="00AD4B66">
      <w:pPr>
        <w:pStyle w:val="naisf"/>
        <w:spacing w:before="0" w:beforeAutospacing="0" w:after="0" w:afterAutospacing="0"/>
        <w:rPr>
          <w:sz w:val="20"/>
          <w:szCs w:val="20"/>
        </w:rPr>
      </w:pPr>
    </w:p>
    <w:p w14:paraId="0DDEA461" w14:textId="77777777" w:rsidR="00CB453A" w:rsidRDefault="00CB453A" w:rsidP="00AD4B66">
      <w:pPr>
        <w:pStyle w:val="naisf"/>
        <w:spacing w:before="0" w:beforeAutospacing="0" w:after="0" w:afterAutospacing="0"/>
        <w:rPr>
          <w:sz w:val="20"/>
          <w:szCs w:val="20"/>
        </w:rPr>
      </w:pPr>
    </w:p>
    <w:p w14:paraId="3154CF37" w14:textId="77777777" w:rsidR="00CB453A" w:rsidRDefault="00CB453A" w:rsidP="00AD4B66">
      <w:pPr>
        <w:pStyle w:val="naisf"/>
        <w:spacing w:before="0" w:beforeAutospacing="0" w:after="0" w:afterAutospacing="0"/>
        <w:rPr>
          <w:sz w:val="20"/>
          <w:szCs w:val="20"/>
        </w:rPr>
      </w:pPr>
    </w:p>
    <w:p w14:paraId="6921F22B" w14:textId="77777777" w:rsidR="00CB453A" w:rsidRDefault="00CB453A" w:rsidP="0002029A">
      <w:pPr>
        <w:jc w:val="both"/>
        <w:rPr>
          <w:sz w:val="20"/>
          <w:szCs w:val="20"/>
        </w:rPr>
      </w:pPr>
      <w:r>
        <w:rPr>
          <w:sz w:val="20"/>
          <w:szCs w:val="20"/>
        </w:rPr>
        <w:t>22.01.2016. 15:23</w:t>
      </w:r>
    </w:p>
    <w:p w14:paraId="12590042" w14:textId="77777777" w:rsidR="00CB453A" w:rsidRDefault="00CB453A" w:rsidP="0002029A">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2450</w:t>
      </w:r>
      <w:r>
        <w:rPr>
          <w:sz w:val="20"/>
          <w:szCs w:val="20"/>
        </w:rPr>
        <w:fldChar w:fldCharType="end"/>
      </w:r>
    </w:p>
    <w:p w14:paraId="575CD833" w14:textId="7B6BAA79" w:rsidR="0002029A" w:rsidRPr="00BA0DE8" w:rsidRDefault="00115738" w:rsidP="0002029A">
      <w:pPr>
        <w:jc w:val="both"/>
        <w:rPr>
          <w:sz w:val="20"/>
          <w:szCs w:val="20"/>
        </w:rPr>
      </w:pPr>
      <w:bookmarkStart w:id="0" w:name="_GoBack"/>
      <w:bookmarkEnd w:id="0"/>
      <w:r>
        <w:rPr>
          <w:sz w:val="20"/>
          <w:szCs w:val="20"/>
        </w:rPr>
        <w:t>I</w:t>
      </w:r>
      <w:r w:rsidR="00AD4B66" w:rsidRPr="00BA0DE8">
        <w:rPr>
          <w:sz w:val="20"/>
          <w:szCs w:val="20"/>
        </w:rPr>
        <w:t>.</w:t>
      </w:r>
      <w:r>
        <w:rPr>
          <w:sz w:val="20"/>
          <w:szCs w:val="20"/>
        </w:rPr>
        <w:t>Lavrinoviča</w:t>
      </w:r>
    </w:p>
    <w:p w14:paraId="1FDEFAAD" w14:textId="30C016C5" w:rsidR="0002029A" w:rsidRPr="00BA0DE8" w:rsidRDefault="00AD4B66" w:rsidP="0002029A">
      <w:pPr>
        <w:jc w:val="both"/>
        <w:rPr>
          <w:sz w:val="20"/>
          <w:szCs w:val="20"/>
        </w:rPr>
      </w:pPr>
      <w:r w:rsidRPr="00BA0DE8">
        <w:rPr>
          <w:sz w:val="20"/>
          <w:szCs w:val="20"/>
        </w:rPr>
        <w:t>67027</w:t>
      </w:r>
      <w:r w:rsidR="00115738">
        <w:rPr>
          <w:sz w:val="20"/>
          <w:szCs w:val="20"/>
        </w:rPr>
        <w:t>5</w:t>
      </w:r>
      <w:r w:rsidRPr="00BA0DE8">
        <w:rPr>
          <w:sz w:val="20"/>
          <w:szCs w:val="20"/>
        </w:rPr>
        <w:t>2</w:t>
      </w:r>
      <w:r w:rsidR="00115738">
        <w:rPr>
          <w:sz w:val="20"/>
          <w:szCs w:val="20"/>
        </w:rPr>
        <w:t>8, Ineta</w:t>
      </w:r>
      <w:r w:rsidRPr="00BA0DE8">
        <w:rPr>
          <w:sz w:val="20"/>
          <w:szCs w:val="20"/>
        </w:rPr>
        <w:t>.</w:t>
      </w:r>
      <w:r w:rsidR="00115738">
        <w:rPr>
          <w:sz w:val="20"/>
          <w:szCs w:val="20"/>
        </w:rPr>
        <w:t>Lavrinovic</w:t>
      </w:r>
      <w:r w:rsidRPr="00BA0DE8">
        <w:rPr>
          <w:sz w:val="20"/>
          <w:szCs w:val="20"/>
        </w:rPr>
        <w:t>a</w:t>
      </w:r>
      <w:r w:rsidR="0002029A" w:rsidRPr="00BA0DE8">
        <w:rPr>
          <w:sz w:val="20"/>
          <w:szCs w:val="20"/>
        </w:rPr>
        <w:t>@zm.gov.lv</w:t>
      </w:r>
    </w:p>
    <w:sectPr w:rsidR="0002029A" w:rsidRPr="00BA0DE8" w:rsidSect="00FE3353">
      <w:headerReference w:type="even" r:id="rId9"/>
      <w:headerReference w:type="default" r:id="rId10"/>
      <w:footerReference w:type="even" r:id="rId11"/>
      <w:footerReference w:type="default" r:id="rId12"/>
      <w:headerReference w:type="first" r:id="rId13"/>
      <w:footerReference w:type="first" r:id="rId14"/>
      <w:pgSz w:w="11906" w:h="16838" w:code="9"/>
      <w:pgMar w:top="124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A225" w14:textId="77777777" w:rsidR="00EC1B4F" w:rsidRDefault="00EC1B4F" w:rsidP="00F37F7E">
      <w:pPr>
        <w:pStyle w:val="naiskr"/>
      </w:pPr>
      <w:r>
        <w:separator/>
      </w:r>
    </w:p>
  </w:endnote>
  <w:endnote w:type="continuationSeparator" w:id="0">
    <w:p w14:paraId="5A8310EF" w14:textId="77777777" w:rsidR="00EC1B4F" w:rsidRDefault="00EC1B4F"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9EB6" w14:textId="77777777" w:rsidR="006E0B73" w:rsidRDefault="006E0B7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1444" w14:textId="61CF0EA0" w:rsidR="009434A2" w:rsidRPr="0002029A" w:rsidRDefault="006F682B" w:rsidP="0002029A">
    <w:pPr>
      <w:pStyle w:val="Kjene"/>
      <w:jc w:val="both"/>
      <w:rPr>
        <w:sz w:val="20"/>
        <w:szCs w:val="20"/>
      </w:rPr>
    </w:pPr>
    <w:r w:rsidRPr="006F682B">
      <w:rPr>
        <w:sz w:val="20"/>
        <w:szCs w:val="20"/>
      </w:rPr>
      <w:t>Z</w:t>
    </w:r>
    <w:r w:rsidR="00FE3353">
      <w:rPr>
        <w:sz w:val="20"/>
        <w:szCs w:val="20"/>
      </w:rPr>
      <w:t>MAnot_</w:t>
    </w:r>
    <w:r w:rsidR="00475A64">
      <w:rPr>
        <w:sz w:val="20"/>
        <w:szCs w:val="20"/>
      </w:rPr>
      <w:t>2</w:t>
    </w:r>
    <w:r w:rsidR="006E0B73">
      <w:rPr>
        <w:sz w:val="20"/>
        <w:szCs w:val="20"/>
      </w:rPr>
      <w:t>2</w:t>
    </w:r>
    <w:r w:rsidR="00461E4A">
      <w:rPr>
        <w:sz w:val="20"/>
        <w:szCs w:val="20"/>
      </w:rPr>
      <w:t>0</w:t>
    </w:r>
    <w:r w:rsidR="00FE3353">
      <w:rPr>
        <w:sz w:val="20"/>
        <w:szCs w:val="20"/>
      </w:rPr>
      <w:t>11</w:t>
    </w:r>
    <w:r w:rsidR="00461E4A">
      <w:rPr>
        <w:sz w:val="20"/>
        <w:szCs w:val="20"/>
      </w:rPr>
      <w:t>6</w:t>
    </w:r>
    <w:r w:rsidR="00FE3353">
      <w:rPr>
        <w:sz w:val="20"/>
        <w:szCs w:val="20"/>
      </w:rPr>
      <w:t>_lsdzivn_</w:t>
    </w:r>
    <w:r w:rsidRPr="006F682B">
      <w:rPr>
        <w:sz w:val="20"/>
        <w:szCs w:val="20"/>
      </w:rPr>
      <w:t xml:space="preserve">393; Noteikumu projekta „Grozījumi Ministru kabineta </w:t>
    </w:r>
    <w:proofErr w:type="gramStart"/>
    <w:r w:rsidRPr="006F682B">
      <w:rPr>
        <w:sz w:val="20"/>
        <w:szCs w:val="20"/>
      </w:rPr>
      <w:t>2014.gada</w:t>
    </w:r>
    <w:proofErr w:type="gramEnd"/>
    <w:r w:rsidRPr="006F682B">
      <w:rPr>
        <w:sz w:val="20"/>
        <w:szCs w:val="20"/>
      </w:rPr>
      <w:t xml:space="preserve"> 15.jūlija noteikumos Nr.393 „Lauksaimniecības un akvakultūras dzīvnieku, to ganāmpulku un novietņu reģistrēšanas kārtība, kā arī lauksaimniecības dzīvnieku apzīmēšanas kārtība”” </w:t>
    </w:r>
    <w:r w:rsidR="008353DA" w:rsidRPr="008353DA">
      <w:rPr>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6B3" w14:textId="5F7108C2" w:rsidR="001D3AC6" w:rsidRPr="0002029A" w:rsidRDefault="006F682B" w:rsidP="001D3AC6">
    <w:pPr>
      <w:pStyle w:val="Kjene"/>
      <w:jc w:val="both"/>
      <w:rPr>
        <w:sz w:val="20"/>
        <w:szCs w:val="20"/>
      </w:rPr>
    </w:pPr>
    <w:r w:rsidRPr="006F682B">
      <w:rPr>
        <w:sz w:val="20"/>
        <w:szCs w:val="20"/>
      </w:rPr>
      <w:t>ZMAnot_</w:t>
    </w:r>
    <w:r w:rsidR="00475A64">
      <w:rPr>
        <w:sz w:val="20"/>
        <w:szCs w:val="20"/>
      </w:rPr>
      <w:t>2</w:t>
    </w:r>
    <w:r w:rsidR="006E0B73">
      <w:rPr>
        <w:sz w:val="20"/>
        <w:szCs w:val="20"/>
      </w:rPr>
      <w:t>2</w:t>
    </w:r>
    <w:r w:rsidR="00461E4A">
      <w:rPr>
        <w:sz w:val="20"/>
        <w:szCs w:val="20"/>
      </w:rPr>
      <w:t>0</w:t>
    </w:r>
    <w:r w:rsidRPr="006F682B">
      <w:rPr>
        <w:sz w:val="20"/>
        <w:szCs w:val="20"/>
      </w:rPr>
      <w:t>11</w:t>
    </w:r>
    <w:r w:rsidR="00461E4A">
      <w:rPr>
        <w:sz w:val="20"/>
        <w:szCs w:val="20"/>
      </w:rPr>
      <w:t>6</w:t>
    </w:r>
    <w:r w:rsidRPr="006F682B">
      <w:rPr>
        <w:sz w:val="20"/>
        <w:szCs w:val="20"/>
      </w:rPr>
      <w:t>_lsdz</w:t>
    </w:r>
    <w:r w:rsidR="00FE3353">
      <w:rPr>
        <w:sz w:val="20"/>
        <w:szCs w:val="20"/>
      </w:rPr>
      <w:t>ivn_</w:t>
    </w:r>
    <w:r w:rsidRPr="006F682B">
      <w:rPr>
        <w:sz w:val="20"/>
        <w:szCs w:val="20"/>
      </w:rPr>
      <w:t xml:space="preserve">393; Noteikumu projekta „Grozījumi Ministru kabineta </w:t>
    </w:r>
    <w:proofErr w:type="gramStart"/>
    <w:r w:rsidRPr="006F682B">
      <w:rPr>
        <w:sz w:val="20"/>
        <w:szCs w:val="20"/>
      </w:rPr>
      <w:t>2014.gada</w:t>
    </w:r>
    <w:proofErr w:type="gramEnd"/>
    <w:r w:rsidRPr="006F682B">
      <w:rPr>
        <w:sz w:val="20"/>
        <w:szCs w:val="20"/>
      </w:rPr>
      <w:t xml:space="preserve"> 15.jūlija noteikumos Nr.393 „Lauksaimniecības un akvakultūras dzīvnieku, to ganāmpulku un novietņu reģistrēšanas kārtība, kā arī lauksaimniecības dzīvnieku apzīmēšanas kārtība”” </w:t>
    </w:r>
    <w:r w:rsidR="008353DA" w:rsidRPr="008353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D574" w14:textId="77777777" w:rsidR="00EC1B4F" w:rsidRDefault="00EC1B4F" w:rsidP="00F37F7E">
      <w:pPr>
        <w:pStyle w:val="naiskr"/>
      </w:pPr>
      <w:r>
        <w:separator/>
      </w:r>
    </w:p>
  </w:footnote>
  <w:footnote w:type="continuationSeparator" w:id="0">
    <w:p w14:paraId="4900F38A" w14:textId="77777777" w:rsidR="00EC1B4F" w:rsidRDefault="00EC1B4F"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6792"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55FF177E" w14:textId="77777777"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FC87" w14:textId="04CC32A8"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CB453A">
      <w:rPr>
        <w:rStyle w:val="Lappusesnumurs"/>
        <w:noProof/>
      </w:rPr>
      <w:t>8</w:t>
    </w:r>
    <w:r>
      <w:rPr>
        <w:rStyle w:val="Lappusesnumurs"/>
      </w:rPr>
      <w:fldChar w:fldCharType="end"/>
    </w:r>
  </w:p>
  <w:p w14:paraId="24F79A11" w14:textId="77777777" w:rsidR="009434A2" w:rsidRDefault="009434A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BB9D" w14:textId="77777777" w:rsidR="006E0B73" w:rsidRDefault="006E0B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15974"/>
    <w:rsid w:val="000160EE"/>
    <w:rsid w:val="00016263"/>
    <w:rsid w:val="00017851"/>
    <w:rsid w:val="0002029A"/>
    <w:rsid w:val="000242CD"/>
    <w:rsid w:val="00024B0B"/>
    <w:rsid w:val="000273EA"/>
    <w:rsid w:val="000319E9"/>
    <w:rsid w:val="000378F3"/>
    <w:rsid w:val="00037F77"/>
    <w:rsid w:val="00041376"/>
    <w:rsid w:val="00043064"/>
    <w:rsid w:val="000445E1"/>
    <w:rsid w:val="000500AE"/>
    <w:rsid w:val="00051187"/>
    <w:rsid w:val="00054F83"/>
    <w:rsid w:val="00055CF3"/>
    <w:rsid w:val="00056F5F"/>
    <w:rsid w:val="00062C3F"/>
    <w:rsid w:val="00065E62"/>
    <w:rsid w:val="00067716"/>
    <w:rsid w:val="00067A11"/>
    <w:rsid w:val="00070FEB"/>
    <w:rsid w:val="000713AA"/>
    <w:rsid w:val="00074178"/>
    <w:rsid w:val="00076708"/>
    <w:rsid w:val="000813CF"/>
    <w:rsid w:val="00082CCF"/>
    <w:rsid w:val="00084040"/>
    <w:rsid w:val="0008641C"/>
    <w:rsid w:val="00093DC3"/>
    <w:rsid w:val="00094946"/>
    <w:rsid w:val="000956B0"/>
    <w:rsid w:val="000957DB"/>
    <w:rsid w:val="00097898"/>
    <w:rsid w:val="000A230B"/>
    <w:rsid w:val="000A2D0B"/>
    <w:rsid w:val="000A6D6F"/>
    <w:rsid w:val="000B2338"/>
    <w:rsid w:val="000B43C3"/>
    <w:rsid w:val="000C1F1C"/>
    <w:rsid w:val="000C4826"/>
    <w:rsid w:val="000C5E19"/>
    <w:rsid w:val="000C6049"/>
    <w:rsid w:val="000C711D"/>
    <w:rsid w:val="000D5249"/>
    <w:rsid w:val="000D6A4F"/>
    <w:rsid w:val="000D7729"/>
    <w:rsid w:val="000D7FA2"/>
    <w:rsid w:val="000E10EC"/>
    <w:rsid w:val="000E674D"/>
    <w:rsid w:val="000F328E"/>
    <w:rsid w:val="000F3449"/>
    <w:rsid w:val="000F4B00"/>
    <w:rsid w:val="000F4ED4"/>
    <w:rsid w:val="000F4F14"/>
    <w:rsid w:val="000F52FD"/>
    <w:rsid w:val="000F7CF9"/>
    <w:rsid w:val="00100684"/>
    <w:rsid w:val="0010345D"/>
    <w:rsid w:val="001039CA"/>
    <w:rsid w:val="00104613"/>
    <w:rsid w:val="00111DC0"/>
    <w:rsid w:val="00112881"/>
    <w:rsid w:val="00112DF5"/>
    <w:rsid w:val="00115738"/>
    <w:rsid w:val="0011697F"/>
    <w:rsid w:val="001175F8"/>
    <w:rsid w:val="00120208"/>
    <w:rsid w:val="0012150C"/>
    <w:rsid w:val="00124ACB"/>
    <w:rsid w:val="00126A8D"/>
    <w:rsid w:val="00127E82"/>
    <w:rsid w:val="001321D5"/>
    <w:rsid w:val="00133DFE"/>
    <w:rsid w:val="00134BEB"/>
    <w:rsid w:val="00135F2B"/>
    <w:rsid w:val="00143CB1"/>
    <w:rsid w:val="00145E1F"/>
    <w:rsid w:val="00147420"/>
    <w:rsid w:val="001500A4"/>
    <w:rsid w:val="00152B50"/>
    <w:rsid w:val="00153834"/>
    <w:rsid w:val="00154FA1"/>
    <w:rsid w:val="00155DDA"/>
    <w:rsid w:val="001611DB"/>
    <w:rsid w:val="00162BA4"/>
    <w:rsid w:val="001643D1"/>
    <w:rsid w:val="00172BC0"/>
    <w:rsid w:val="001748D2"/>
    <w:rsid w:val="00174BD8"/>
    <w:rsid w:val="001814E3"/>
    <w:rsid w:val="00181867"/>
    <w:rsid w:val="00185A1F"/>
    <w:rsid w:val="00186CB1"/>
    <w:rsid w:val="00187944"/>
    <w:rsid w:val="00191CC1"/>
    <w:rsid w:val="001928BE"/>
    <w:rsid w:val="00193A34"/>
    <w:rsid w:val="00193C93"/>
    <w:rsid w:val="00193E2C"/>
    <w:rsid w:val="001A1C90"/>
    <w:rsid w:val="001A284C"/>
    <w:rsid w:val="001A4030"/>
    <w:rsid w:val="001A7D16"/>
    <w:rsid w:val="001B37EC"/>
    <w:rsid w:val="001B6383"/>
    <w:rsid w:val="001B644E"/>
    <w:rsid w:val="001C0BDB"/>
    <w:rsid w:val="001C3321"/>
    <w:rsid w:val="001C600D"/>
    <w:rsid w:val="001D3AC6"/>
    <w:rsid w:val="001E0876"/>
    <w:rsid w:val="001E1059"/>
    <w:rsid w:val="001E133E"/>
    <w:rsid w:val="001E4DEC"/>
    <w:rsid w:val="001E68D0"/>
    <w:rsid w:val="001E6C66"/>
    <w:rsid w:val="001E71C9"/>
    <w:rsid w:val="001F6C40"/>
    <w:rsid w:val="001F6EB8"/>
    <w:rsid w:val="001F728C"/>
    <w:rsid w:val="002041F1"/>
    <w:rsid w:val="002100B3"/>
    <w:rsid w:val="0021150A"/>
    <w:rsid w:val="002124B5"/>
    <w:rsid w:val="00214D08"/>
    <w:rsid w:val="0022456A"/>
    <w:rsid w:val="00227F59"/>
    <w:rsid w:val="002305A0"/>
    <w:rsid w:val="00236D65"/>
    <w:rsid w:val="00237909"/>
    <w:rsid w:val="0024124A"/>
    <w:rsid w:val="00243354"/>
    <w:rsid w:val="00243D1D"/>
    <w:rsid w:val="002513DF"/>
    <w:rsid w:val="00252057"/>
    <w:rsid w:val="00255D43"/>
    <w:rsid w:val="00256B83"/>
    <w:rsid w:val="00257B87"/>
    <w:rsid w:val="00260221"/>
    <w:rsid w:val="002606DD"/>
    <w:rsid w:val="0026422C"/>
    <w:rsid w:val="00264CFE"/>
    <w:rsid w:val="00266247"/>
    <w:rsid w:val="00266734"/>
    <w:rsid w:val="00277535"/>
    <w:rsid w:val="00277C39"/>
    <w:rsid w:val="00284E0B"/>
    <w:rsid w:val="00286B98"/>
    <w:rsid w:val="00286BE2"/>
    <w:rsid w:val="0028720C"/>
    <w:rsid w:val="0028776A"/>
    <w:rsid w:val="002A69AC"/>
    <w:rsid w:val="002A7C64"/>
    <w:rsid w:val="002B092E"/>
    <w:rsid w:val="002B13BA"/>
    <w:rsid w:val="002B1522"/>
    <w:rsid w:val="002B325F"/>
    <w:rsid w:val="002B436C"/>
    <w:rsid w:val="002B4887"/>
    <w:rsid w:val="002B5354"/>
    <w:rsid w:val="002B79C3"/>
    <w:rsid w:val="002C2186"/>
    <w:rsid w:val="002C5FF8"/>
    <w:rsid w:val="002C60C7"/>
    <w:rsid w:val="002D0EFF"/>
    <w:rsid w:val="002D3117"/>
    <w:rsid w:val="002D429F"/>
    <w:rsid w:val="002D50B7"/>
    <w:rsid w:val="002E15E4"/>
    <w:rsid w:val="002E6873"/>
    <w:rsid w:val="002E69C0"/>
    <w:rsid w:val="002F2D08"/>
    <w:rsid w:val="002F38DB"/>
    <w:rsid w:val="002F6A27"/>
    <w:rsid w:val="002F739C"/>
    <w:rsid w:val="00301471"/>
    <w:rsid w:val="0030353C"/>
    <w:rsid w:val="003037FE"/>
    <w:rsid w:val="003063C7"/>
    <w:rsid w:val="00307B77"/>
    <w:rsid w:val="00313B3C"/>
    <w:rsid w:val="003157FC"/>
    <w:rsid w:val="003172F7"/>
    <w:rsid w:val="0032112A"/>
    <w:rsid w:val="003242DE"/>
    <w:rsid w:val="003257A4"/>
    <w:rsid w:val="00325A33"/>
    <w:rsid w:val="003274E7"/>
    <w:rsid w:val="0033095C"/>
    <w:rsid w:val="00331279"/>
    <w:rsid w:val="00342823"/>
    <w:rsid w:val="00343E26"/>
    <w:rsid w:val="00347B64"/>
    <w:rsid w:val="00350004"/>
    <w:rsid w:val="00351991"/>
    <w:rsid w:val="00354D7D"/>
    <w:rsid w:val="00355020"/>
    <w:rsid w:val="00355D4F"/>
    <w:rsid w:val="003561E6"/>
    <w:rsid w:val="00360A74"/>
    <w:rsid w:val="00360B91"/>
    <w:rsid w:val="003610A7"/>
    <w:rsid w:val="00362A82"/>
    <w:rsid w:val="00363DF8"/>
    <w:rsid w:val="00370A38"/>
    <w:rsid w:val="00371A65"/>
    <w:rsid w:val="00374754"/>
    <w:rsid w:val="003752C7"/>
    <w:rsid w:val="00380832"/>
    <w:rsid w:val="003831C3"/>
    <w:rsid w:val="00384D74"/>
    <w:rsid w:val="00390D29"/>
    <w:rsid w:val="00391F7B"/>
    <w:rsid w:val="00393207"/>
    <w:rsid w:val="003937EE"/>
    <w:rsid w:val="00393E4A"/>
    <w:rsid w:val="00393F06"/>
    <w:rsid w:val="0039523C"/>
    <w:rsid w:val="003A1B2D"/>
    <w:rsid w:val="003A4096"/>
    <w:rsid w:val="003A5061"/>
    <w:rsid w:val="003B2B59"/>
    <w:rsid w:val="003B585F"/>
    <w:rsid w:val="003B7A18"/>
    <w:rsid w:val="003C1680"/>
    <w:rsid w:val="003C257A"/>
    <w:rsid w:val="003C2A47"/>
    <w:rsid w:val="003C3622"/>
    <w:rsid w:val="003C6AD2"/>
    <w:rsid w:val="003C7411"/>
    <w:rsid w:val="003D279C"/>
    <w:rsid w:val="003D3A27"/>
    <w:rsid w:val="003D4E3F"/>
    <w:rsid w:val="003D701C"/>
    <w:rsid w:val="003E413C"/>
    <w:rsid w:val="003E4150"/>
    <w:rsid w:val="003F001C"/>
    <w:rsid w:val="003F4081"/>
    <w:rsid w:val="003F470A"/>
    <w:rsid w:val="003F753E"/>
    <w:rsid w:val="00400503"/>
    <w:rsid w:val="00403858"/>
    <w:rsid w:val="004055F9"/>
    <w:rsid w:val="00405D73"/>
    <w:rsid w:val="00406B8C"/>
    <w:rsid w:val="004121C8"/>
    <w:rsid w:val="00412F9C"/>
    <w:rsid w:val="0041357D"/>
    <w:rsid w:val="00414B20"/>
    <w:rsid w:val="00415631"/>
    <w:rsid w:val="00415B80"/>
    <w:rsid w:val="00417A1B"/>
    <w:rsid w:val="00420843"/>
    <w:rsid w:val="00421391"/>
    <w:rsid w:val="00422AF6"/>
    <w:rsid w:val="00425E4D"/>
    <w:rsid w:val="0043328A"/>
    <w:rsid w:val="00433DA8"/>
    <w:rsid w:val="004341FD"/>
    <w:rsid w:val="004357CE"/>
    <w:rsid w:val="00441E23"/>
    <w:rsid w:val="00444A7D"/>
    <w:rsid w:val="004464F7"/>
    <w:rsid w:val="0044738A"/>
    <w:rsid w:val="00447764"/>
    <w:rsid w:val="004511D3"/>
    <w:rsid w:val="004547A9"/>
    <w:rsid w:val="00454D15"/>
    <w:rsid w:val="0045719F"/>
    <w:rsid w:val="00461E4A"/>
    <w:rsid w:val="00462078"/>
    <w:rsid w:val="004632CD"/>
    <w:rsid w:val="004639C0"/>
    <w:rsid w:val="00465A58"/>
    <w:rsid w:val="004662B4"/>
    <w:rsid w:val="00466CF9"/>
    <w:rsid w:val="004679FF"/>
    <w:rsid w:val="00467C61"/>
    <w:rsid w:val="004708A3"/>
    <w:rsid w:val="0047491E"/>
    <w:rsid w:val="00475A64"/>
    <w:rsid w:val="00480EF1"/>
    <w:rsid w:val="00482A25"/>
    <w:rsid w:val="00487A8F"/>
    <w:rsid w:val="004940AF"/>
    <w:rsid w:val="00495127"/>
    <w:rsid w:val="00495A25"/>
    <w:rsid w:val="004966B8"/>
    <w:rsid w:val="00496959"/>
    <w:rsid w:val="004A0EAB"/>
    <w:rsid w:val="004A6C18"/>
    <w:rsid w:val="004A708B"/>
    <w:rsid w:val="004B0271"/>
    <w:rsid w:val="004B28A8"/>
    <w:rsid w:val="004B5C4E"/>
    <w:rsid w:val="004C0ED0"/>
    <w:rsid w:val="004C4BC8"/>
    <w:rsid w:val="004C7055"/>
    <w:rsid w:val="004C7C32"/>
    <w:rsid w:val="004D4F42"/>
    <w:rsid w:val="004D579E"/>
    <w:rsid w:val="004D64BE"/>
    <w:rsid w:val="004E1569"/>
    <w:rsid w:val="004E15D1"/>
    <w:rsid w:val="004E3F6C"/>
    <w:rsid w:val="004F2E8D"/>
    <w:rsid w:val="004F598D"/>
    <w:rsid w:val="004F7B57"/>
    <w:rsid w:val="00513790"/>
    <w:rsid w:val="00514AED"/>
    <w:rsid w:val="00516F18"/>
    <w:rsid w:val="00521C34"/>
    <w:rsid w:val="005229C2"/>
    <w:rsid w:val="005251F3"/>
    <w:rsid w:val="00533941"/>
    <w:rsid w:val="00536003"/>
    <w:rsid w:val="00537386"/>
    <w:rsid w:val="005376CA"/>
    <w:rsid w:val="0054083D"/>
    <w:rsid w:val="0054677F"/>
    <w:rsid w:val="005545C2"/>
    <w:rsid w:val="00556D60"/>
    <w:rsid w:val="0056210B"/>
    <w:rsid w:val="00563A77"/>
    <w:rsid w:val="005660EB"/>
    <w:rsid w:val="005705D4"/>
    <w:rsid w:val="0057117B"/>
    <w:rsid w:val="0057147C"/>
    <w:rsid w:val="00572009"/>
    <w:rsid w:val="0057499C"/>
    <w:rsid w:val="00580AE7"/>
    <w:rsid w:val="005827E6"/>
    <w:rsid w:val="00583239"/>
    <w:rsid w:val="00584D39"/>
    <w:rsid w:val="00590F7E"/>
    <w:rsid w:val="00591E61"/>
    <w:rsid w:val="005940F9"/>
    <w:rsid w:val="0059419D"/>
    <w:rsid w:val="005956D2"/>
    <w:rsid w:val="00595851"/>
    <w:rsid w:val="00596043"/>
    <w:rsid w:val="005A5CF6"/>
    <w:rsid w:val="005A76A3"/>
    <w:rsid w:val="005A771C"/>
    <w:rsid w:val="005C045F"/>
    <w:rsid w:val="005C17A2"/>
    <w:rsid w:val="005C2316"/>
    <w:rsid w:val="005C3223"/>
    <w:rsid w:val="005C37B4"/>
    <w:rsid w:val="005D00FC"/>
    <w:rsid w:val="005D0F57"/>
    <w:rsid w:val="005D16B1"/>
    <w:rsid w:val="005D3D68"/>
    <w:rsid w:val="005D782F"/>
    <w:rsid w:val="005E52B6"/>
    <w:rsid w:val="005F28C6"/>
    <w:rsid w:val="005F49F6"/>
    <w:rsid w:val="00601219"/>
    <w:rsid w:val="006056ED"/>
    <w:rsid w:val="0060636F"/>
    <w:rsid w:val="0060673F"/>
    <w:rsid w:val="00606F24"/>
    <w:rsid w:val="0060708E"/>
    <w:rsid w:val="0060719D"/>
    <w:rsid w:val="0061217E"/>
    <w:rsid w:val="00612ED0"/>
    <w:rsid w:val="00615784"/>
    <w:rsid w:val="00620D0D"/>
    <w:rsid w:val="00620DC4"/>
    <w:rsid w:val="006257A6"/>
    <w:rsid w:val="006266E3"/>
    <w:rsid w:val="006313A4"/>
    <w:rsid w:val="006368D6"/>
    <w:rsid w:val="00640AA9"/>
    <w:rsid w:val="00643797"/>
    <w:rsid w:val="0065138F"/>
    <w:rsid w:val="00652105"/>
    <w:rsid w:val="00652543"/>
    <w:rsid w:val="00654CED"/>
    <w:rsid w:val="00656C9A"/>
    <w:rsid w:val="006602BB"/>
    <w:rsid w:val="006606B7"/>
    <w:rsid w:val="00665362"/>
    <w:rsid w:val="006663BB"/>
    <w:rsid w:val="0066773A"/>
    <w:rsid w:val="00667A13"/>
    <w:rsid w:val="006714C5"/>
    <w:rsid w:val="0067366E"/>
    <w:rsid w:val="006748CD"/>
    <w:rsid w:val="00675CCE"/>
    <w:rsid w:val="006760F2"/>
    <w:rsid w:val="006820E7"/>
    <w:rsid w:val="00685243"/>
    <w:rsid w:val="006867F0"/>
    <w:rsid w:val="00687397"/>
    <w:rsid w:val="00690F8C"/>
    <w:rsid w:val="00697AF8"/>
    <w:rsid w:val="006A18BF"/>
    <w:rsid w:val="006A344D"/>
    <w:rsid w:val="006B07C9"/>
    <w:rsid w:val="006B33B5"/>
    <w:rsid w:val="006C17D2"/>
    <w:rsid w:val="006D1130"/>
    <w:rsid w:val="006D1959"/>
    <w:rsid w:val="006D35E7"/>
    <w:rsid w:val="006E0B73"/>
    <w:rsid w:val="006E0C24"/>
    <w:rsid w:val="006E65F9"/>
    <w:rsid w:val="006F122E"/>
    <w:rsid w:val="006F2E6E"/>
    <w:rsid w:val="006F682B"/>
    <w:rsid w:val="006F69AA"/>
    <w:rsid w:val="007018E2"/>
    <w:rsid w:val="00702355"/>
    <w:rsid w:val="007028B5"/>
    <w:rsid w:val="00704C52"/>
    <w:rsid w:val="00705B6F"/>
    <w:rsid w:val="00707AB8"/>
    <w:rsid w:val="00707B6F"/>
    <w:rsid w:val="0071167F"/>
    <w:rsid w:val="0071337A"/>
    <w:rsid w:val="00713450"/>
    <w:rsid w:val="00713A7C"/>
    <w:rsid w:val="0071757F"/>
    <w:rsid w:val="00717734"/>
    <w:rsid w:val="00717F6E"/>
    <w:rsid w:val="00720F8D"/>
    <w:rsid w:val="00721B97"/>
    <w:rsid w:val="00721E49"/>
    <w:rsid w:val="00725FCD"/>
    <w:rsid w:val="00727844"/>
    <w:rsid w:val="007300EF"/>
    <w:rsid w:val="00733095"/>
    <w:rsid w:val="00736CD7"/>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282B"/>
    <w:rsid w:val="00793143"/>
    <w:rsid w:val="00794BF1"/>
    <w:rsid w:val="007A180B"/>
    <w:rsid w:val="007A71A2"/>
    <w:rsid w:val="007B2B19"/>
    <w:rsid w:val="007B2E09"/>
    <w:rsid w:val="007B3774"/>
    <w:rsid w:val="007B45D1"/>
    <w:rsid w:val="007B579E"/>
    <w:rsid w:val="007B5EE0"/>
    <w:rsid w:val="007B603D"/>
    <w:rsid w:val="007B7B96"/>
    <w:rsid w:val="007B7D15"/>
    <w:rsid w:val="007C1074"/>
    <w:rsid w:val="007C3EDD"/>
    <w:rsid w:val="007C4473"/>
    <w:rsid w:val="007C53CE"/>
    <w:rsid w:val="007C68DE"/>
    <w:rsid w:val="007C72EA"/>
    <w:rsid w:val="007D3F1B"/>
    <w:rsid w:val="007D44A6"/>
    <w:rsid w:val="007D4B81"/>
    <w:rsid w:val="007E19B0"/>
    <w:rsid w:val="007E2460"/>
    <w:rsid w:val="007E7FB5"/>
    <w:rsid w:val="007F0FA8"/>
    <w:rsid w:val="007F1BBB"/>
    <w:rsid w:val="007F4ED1"/>
    <w:rsid w:val="00805705"/>
    <w:rsid w:val="00806EBD"/>
    <w:rsid w:val="00811225"/>
    <w:rsid w:val="008145F9"/>
    <w:rsid w:val="00817A87"/>
    <w:rsid w:val="00820FE9"/>
    <w:rsid w:val="00821E5D"/>
    <w:rsid w:val="00824538"/>
    <w:rsid w:val="0082460D"/>
    <w:rsid w:val="00825572"/>
    <w:rsid w:val="0083086E"/>
    <w:rsid w:val="008339D3"/>
    <w:rsid w:val="00834142"/>
    <w:rsid w:val="008353DA"/>
    <w:rsid w:val="008364B2"/>
    <w:rsid w:val="008370B1"/>
    <w:rsid w:val="008416D9"/>
    <w:rsid w:val="00843508"/>
    <w:rsid w:val="00845907"/>
    <w:rsid w:val="00845BDC"/>
    <w:rsid w:val="008467D6"/>
    <w:rsid w:val="0084701F"/>
    <w:rsid w:val="008471F4"/>
    <w:rsid w:val="00852C45"/>
    <w:rsid w:val="00853192"/>
    <w:rsid w:val="008561EF"/>
    <w:rsid w:val="00861D12"/>
    <w:rsid w:val="00863976"/>
    <w:rsid w:val="00865B57"/>
    <w:rsid w:val="008669BC"/>
    <w:rsid w:val="00870567"/>
    <w:rsid w:val="00870824"/>
    <w:rsid w:val="00872C23"/>
    <w:rsid w:val="008740F9"/>
    <w:rsid w:val="008763E4"/>
    <w:rsid w:val="00880EF6"/>
    <w:rsid w:val="00881878"/>
    <w:rsid w:val="0088329E"/>
    <w:rsid w:val="00884A8B"/>
    <w:rsid w:val="00887B5B"/>
    <w:rsid w:val="00887D2F"/>
    <w:rsid w:val="008907B2"/>
    <w:rsid w:val="00891CE4"/>
    <w:rsid w:val="00894BA2"/>
    <w:rsid w:val="00895763"/>
    <w:rsid w:val="00896048"/>
    <w:rsid w:val="008A1143"/>
    <w:rsid w:val="008A5E04"/>
    <w:rsid w:val="008A6594"/>
    <w:rsid w:val="008A6921"/>
    <w:rsid w:val="008A7D5D"/>
    <w:rsid w:val="008B00E7"/>
    <w:rsid w:val="008B094F"/>
    <w:rsid w:val="008B43A5"/>
    <w:rsid w:val="008B63FA"/>
    <w:rsid w:val="008B73A5"/>
    <w:rsid w:val="008C3213"/>
    <w:rsid w:val="008C65C8"/>
    <w:rsid w:val="008D0074"/>
    <w:rsid w:val="008D23D3"/>
    <w:rsid w:val="008D2811"/>
    <w:rsid w:val="008D3BCB"/>
    <w:rsid w:val="008E33DE"/>
    <w:rsid w:val="008E3636"/>
    <w:rsid w:val="008E4ABE"/>
    <w:rsid w:val="008E4D95"/>
    <w:rsid w:val="008F28C0"/>
    <w:rsid w:val="008F343B"/>
    <w:rsid w:val="008F7874"/>
    <w:rsid w:val="00900BC9"/>
    <w:rsid w:val="0091351B"/>
    <w:rsid w:val="00915FF3"/>
    <w:rsid w:val="00916CBE"/>
    <w:rsid w:val="00923C24"/>
    <w:rsid w:val="00927D6E"/>
    <w:rsid w:val="00930EA9"/>
    <w:rsid w:val="00934693"/>
    <w:rsid w:val="00940B60"/>
    <w:rsid w:val="009434A2"/>
    <w:rsid w:val="00945674"/>
    <w:rsid w:val="009457DD"/>
    <w:rsid w:val="00945C0F"/>
    <w:rsid w:val="009507A3"/>
    <w:rsid w:val="009527B3"/>
    <w:rsid w:val="0095373F"/>
    <w:rsid w:val="00954537"/>
    <w:rsid w:val="00956C17"/>
    <w:rsid w:val="009628DA"/>
    <w:rsid w:val="00964DAF"/>
    <w:rsid w:val="009665A9"/>
    <w:rsid w:val="00966CB8"/>
    <w:rsid w:val="00970CBF"/>
    <w:rsid w:val="00972058"/>
    <w:rsid w:val="00973CED"/>
    <w:rsid w:val="00982DC2"/>
    <w:rsid w:val="00984A7D"/>
    <w:rsid w:val="00984CB2"/>
    <w:rsid w:val="009956A8"/>
    <w:rsid w:val="009A177C"/>
    <w:rsid w:val="009B04A2"/>
    <w:rsid w:val="009B1042"/>
    <w:rsid w:val="009B26A9"/>
    <w:rsid w:val="009B2D95"/>
    <w:rsid w:val="009C001B"/>
    <w:rsid w:val="009C13CC"/>
    <w:rsid w:val="009C2867"/>
    <w:rsid w:val="009C2F0C"/>
    <w:rsid w:val="009C58CE"/>
    <w:rsid w:val="009C6F13"/>
    <w:rsid w:val="009D1DBD"/>
    <w:rsid w:val="009D4048"/>
    <w:rsid w:val="009D40D0"/>
    <w:rsid w:val="009D5905"/>
    <w:rsid w:val="009D69A1"/>
    <w:rsid w:val="009D70DE"/>
    <w:rsid w:val="009E05E4"/>
    <w:rsid w:val="009E112D"/>
    <w:rsid w:val="009E41F0"/>
    <w:rsid w:val="009E4C34"/>
    <w:rsid w:val="009F2252"/>
    <w:rsid w:val="009F2EA3"/>
    <w:rsid w:val="009F3E52"/>
    <w:rsid w:val="009F72AE"/>
    <w:rsid w:val="009F7DE0"/>
    <w:rsid w:val="00A00570"/>
    <w:rsid w:val="00A164A1"/>
    <w:rsid w:val="00A16E36"/>
    <w:rsid w:val="00A179F9"/>
    <w:rsid w:val="00A21F1F"/>
    <w:rsid w:val="00A239E6"/>
    <w:rsid w:val="00A23E0B"/>
    <w:rsid w:val="00A25F9B"/>
    <w:rsid w:val="00A30F4A"/>
    <w:rsid w:val="00A353A4"/>
    <w:rsid w:val="00A36C8C"/>
    <w:rsid w:val="00A3737B"/>
    <w:rsid w:val="00A40267"/>
    <w:rsid w:val="00A41C7D"/>
    <w:rsid w:val="00A41E67"/>
    <w:rsid w:val="00A42620"/>
    <w:rsid w:val="00A42FA4"/>
    <w:rsid w:val="00A50377"/>
    <w:rsid w:val="00A51C96"/>
    <w:rsid w:val="00A52300"/>
    <w:rsid w:val="00A53E68"/>
    <w:rsid w:val="00A54E08"/>
    <w:rsid w:val="00A559EF"/>
    <w:rsid w:val="00A55EAB"/>
    <w:rsid w:val="00A6000F"/>
    <w:rsid w:val="00A61CAA"/>
    <w:rsid w:val="00A61D9B"/>
    <w:rsid w:val="00A65C5A"/>
    <w:rsid w:val="00A708ED"/>
    <w:rsid w:val="00A7248A"/>
    <w:rsid w:val="00A75DEB"/>
    <w:rsid w:val="00A765C4"/>
    <w:rsid w:val="00A8230E"/>
    <w:rsid w:val="00A82E8C"/>
    <w:rsid w:val="00A8542D"/>
    <w:rsid w:val="00A8754B"/>
    <w:rsid w:val="00A91D1D"/>
    <w:rsid w:val="00A920FB"/>
    <w:rsid w:val="00A92342"/>
    <w:rsid w:val="00A946C3"/>
    <w:rsid w:val="00A95A2F"/>
    <w:rsid w:val="00AA3732"/>
    <w:rsid w:val="00AA3A32"/>
    <w:rsid w:val="00AA61DA"/>
    <w:rsid w:val="00AA6478"/>
    <w:rsid w:val="00AB0041"/>
    <w:rsid w:val="00AB04E5"/>
    <w:rsid w:val="00AB170E"/>
    <w:rsid w:val="00AB350B"/>
    <w:rsid w:val="00AB416C"/>
    <w:rsid w:val="00AB596F"/>
    <w:rsid w:val="00AB59FD"/>
    <w:rsid w:val="00AC145B"/>
    <w:rsid w:val="00AD22C0"/>
    <w:rsid w:val="00AD4B66"/>
    <w:rsid w:val="00AD645F"/>
    <w:rsid w:val="00AE5565"/>
    <w:rsid w:val="00AE7059"/>
    <w:rsid w:val="00AF0810"/>
    <w:rsid w:val="00AF0BAF"/>
    <w:rsid w:val="00AF142A"/>
    <w:rsid w:val="00AF268B"/>
    <w:rsid w:val="00AF606C"/>
    <w:rsid w:val="00AF61D4"/>
    <w:rsid w:val="00AF7945"/>
    <w:rsid w:val="00B01A2B"/>
    <w:rsid w:val="00B02CCF"/>
    <w:rsid w:val="00B0592C"/>
    <w:rsid w:val="00B05C53"/>
    <w:rsid w:val="00B103DE"/>
    <w:rsid w:val="00B11677"/>
    <w:rsid w:val="00B1481C"/>
    <w:rsid w:val="00B21A83"/>
    <w:rsid w:val="00B2596F"/>
    <w:rsid w:val="00B27F81"/>
    <w:rsid w:val="00B32B11"/>
    <w:rsid w:val="00B3458F"/>
    <w:rsid w:val="00B35402"/>
    <w:rsid w:val="00B42584"/>
    <w:rsid w:val="00B42FE7"/>
    <w:rsid w:val="00B44F97"/>
    <w:rsid w:val="00B46B32"/>
    <w:rsid w:val="00B47A4D"/>
    <w:rsid w:val="00B52182"/>
    <w:rsid w:val="00B53809"/>
    <w:rsid w:val="00B56189"/>
    <w:rsid w:val="00B60F97"/>
    <w:rsid w:val="00B61006"/>
    <w:rsid w:val="00B64D11"/>
    <w:rsid w:val="00B67AC5"/>
    <w:rsid w:val="00B7046A"/>
    <w:rsid w:val="00B71BDF"/>
    <w:rsid w:val="00B74565"/>
    <w:rsid w:val="00B7692E"/>
    <w:rsid w:val="00B76D1A"/>
    <w:rsid w:val="00B81F83"/>
    <w:rsid w:val="00B84A56"/>
    <w:rsid w:val="00B84F1C"/>
    <w:rsid w:val="00B87CD9"/>
    <w:rsid w:val="00B94A6C"/>
    <w:rsid w:val="00B95D4D"/>
    <w:rsid w:val="00B97126"/>
    <w:rsid w:val="00BA043A"/>
    <w:rsid w:val="00BA0943"/>
    <w:rsid w:val="00BA0DE8"/>
    <w:rsid w:val="00BA7BBE"/>
    <w:rsid w:val="00BB0BC4"/>
    <w:rsid w:val="00BB7716"/>
    <w:rsid w:val="00BC349A"/>
    <w:rsid w:val="00BC3786"/>
    <w:rsid w:val="00BC56DD"/>
    <w:rsid w:val="00BD5673"/>
    <w:rsid w:val="00BD695F"/>
    <w:rsid w:val="00BD74DA"/>
    <w:rsid w:val="00BE211D"/>
    <w:rsid w:val="00BE2AA0"/>
    <w:rsid w:val="00BE3935"/>
    <w:rsid w:val="00BE4880"/>
    <w:rsid w:val="00BE6367"/>
    <w:rsid w:val="00BE63D3"/>
    <w:rsid w:val="00BF1E02"/>
    <w:rsid w:val="00BF2133"/>
    <w:rsid w:val="00BF3762"/>
    <w:rsid w:val="00BF5E25"/>
    <w:rsid w:val="00BF7B52"/>
    <w:rsid w:val="00C038B5"/>
    <w:rsid w:val="00C05479"/>
    <w:rsid w:val="00C057B7"/>
    <w:rsid w:val="00C10018"/>
    <w:rsid w:val="00C11675"/>
    <w:rsid w:val="00C11ED9"/>
    <w:rsid w:val="00C1471C"/>
    <w:rsid w:val="00C245C2"/>
    <w:rsid w:val="00C26A14"/>
    <w:rsid w:val="00C31017"/>
    <w:rsid w:val="00C35043"/>
    <w:rsid w:val="00C36B8C"/>
    <w:rsid w:val="00C44519"/>
    <w:rsid w:val="00C44FE4"/>
    <w:rsid w:val="00C51545"/>
    <w:rsid w:val="00C5479E"/>
    <w:rsid w:val="00C573AC"/>
    <w:rsid w:val="00C609A3"/>
    <w:rsid w:val="00C6178F"/>
    <w:rsid w:val="00C61931"/>
    <w:rsid w:val="00C619BB"/>
    <w:rsid w:val="00C61BE0"/>
    <w:rsid w:val="00C64B59"/>
    <w:rsid w:val="00C65617"/>
    <w:rsid w:val="00C71503"/>
    <w:rsid w:val="00C71EFB"/>
    <w:rsid w:val="00C74EA5"/>
    <w:rsid w:val="00C7549F"/>
    <w:rsid w:val="00C762F7"/>
    <w:rsid w:val="00C80561"/>
    <w:rsid w:val="00C82175"/>
    <w:rsid w:val="00C846EC"/>
    <w:rsid w:val="00C8499C"/>
    <w:rsid w:val="00C84FE9"/>
    <w:rsid w:val="00C91232"/>
    <w:rsid w:val="00CA2D36"/>
    <w:rsid w:val="00CB453A"/>
    <w:rsid w:val="00CB5AFB"/>
    <w:rsid w:val="00CC0D36"/>
    <w:rsid w:val="00CC307A"/>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08A9"/>
    <w:rsid w:val="00D112F5"/>
    <w:rsid w:val="00D12F8F"/>
    <w:rsid w:val="00D16DBA"/>
    <w:rsid w:val="00D17C53"/>
    <w:rsid w:val="00D20B27"/>
    <w:rsid w:val="00D23B9A"/>
    <w:rsid w:val="00D23D5E"/>
    <w:rsid w:val="00D25A18"/>
    <w:rsid w:val="00D26560"/>
    <w:rsid w:val="00D27C66"/>
    <w:rsid w:val="00D33117"/>
    <w:rsid w:val="00D364C9"/>
    <w:rsid w:val="00D36A7D"/>
    <w:rsid w:val="00D36CAE"/>
    <w:rsid w:val="00D37A74"/>
    <w:rsid w:val="00D37FC0"/>
    <w:rsid w:val="00D4422B"/>
    <w:rsid w:val="00D467E4"/>
    <w:rsid w:val="00D51516"/>
    <w:rsid w:val="00D52881"/>
    <w:rsid w:val="00D531CA"/>
    <w:rsid w:val="00D5564A"/>
    <w:rsid w:val="00D55996"/>
    <w:rsid w:val="00D63687"/>
    <w:rsid w:val="00D63AF8"/>
    <w:rsid w:val="00D64F63"/>
    <w:rsid w:val="00D66DA8"/>
    <w:rsid w:val="00D77B91"/>
    <w:rsid w:val="00D80A54"/>
    <w:rsid w:val="00D80CFE"/>
    <w:rsid w:val="00D81591"/>
    <w:rsid w:val="00D90759"/>
    <w:rsid w:val="00D927BB"/>
    <w:rsid w:val="00D945C1"/>
    <w:rsid w:val="00D9756C"/>
    <w:rsid w:val="00DA00B0"/>
    <w:rsid w:val="00DA06A2"/>
    <w:rsid w:val="00DA0E46"/>
    <w:rsid w:val="00DA304A"/>
    <w:rsid w:val="00DA7E9A"/>
    <w:rsid w:val="00DB1932"/>
    <w:rsid w:val="00DB1F8B"/>
    <w:rsid w:val="00DB748F"/>
    <w:rsid w:val="00DC31BF"/>
    <w:rsid w:val="00DC3658"/>
    <w:rsid w:val="00DC3A48"/>
    <w:rsid w:val="00DD0F47"/>
    <w:rsid w:val="00DD1D97"/>
    <w:rsid w:val="00DD3324"/>
    <w:rsid w:val="00DE1A75"/>
    <w:rsid w:val="00DE46F6"/>
    <w:rsid w:val="00DE4BBB"/>
    <w:rsid w:val="00DE4CFF"/>
    <w:rsid w:val="00DE5C11"/>
    <w:rsid w:val="00DE622C"/>
    <w:rsid w:val="00DF07DA"/>
    <w:rsid w:val="00DF1527"/>
    <w:rsid w:val="00DF2343"/>
    <w:rsid w:val="00DF5EE4"/>
    <w:rsid w:val="00E00C33"/>
    <w:rsid w:val="00E01809"/>
    <w:rsid w:val="00E043BC"/>
    <w:rsid w:val="00E060F1"/>
    <w:rsid w:val="00E0680A"/>
    <w:rsid w:val="00E07A06"/>
    <w:rsid w:val="00E10A4B"/>
    <w:rsid w:val="00E13393"/>
    <w:rsid w:val="00E14D03"/>
    <w:rsid w:val="00E1791D"/>
    <w:rsid w:val="00E23864"/>
    <w:rsid w:val="00E2396A"/>
    <w:rsid w:val="00E23E06"/>
    <w:rsid w:val="00E31824"/>
    <w:rsid w:val="00E35E52"/>
    <w:rsid w:val="00E368CE"/>
    <w:rsid w:val="00E36DE9"/>
    <w:rsid w:val="00E46D4E"/>
    <w:rsid w:val="00E5394B"/>
    <w:rsid w:val="00E552E5"/>
    <w:rsid w:val="00E558C7"/>
    <w:rsid w:val="00E5642E"/>
    <w:rsid w:val="00E57C4D"/>
    <w:rsid w:val="00E720E4"/>
    <w:rsid w:val="00E732B3"/>
    <w:rsid w:val="00E7386E"/>
    <w:rsid w:val="00E77889"/>
    <w:rsid w:val="00E80068"/>
    <w:rsid w:val="00E84326"/>
    <w:rsid w:val="00E9412E"/>
    <w:rsid w:val="00E9760B"/>
    <w:rsid w:val="00EA544E"/>
    <w:rsid w:val="00EB4045"/>
    <w:rsid w:val="00EB5337"/>
    <w:rsid w:val="00EB6EBC"/>
    <w:rsid w:val="00EC0C21"/>
    <w:rsid w:val="00EC0D69"/>
    <w:rsid w:val="00EC19B2"/>
    <w:rsid w:val="00EC1B4F"/>
    <w:rsid w:val="00EC4481"/>
    <w:rsid w:val="00ED12DA"/>
    <w:rsid w:val="00ED20D4"/>
    <w:rsid w:val="00ED2F03"/>
    <w:rsid w:val="00ED3F12"/>
    <w:rsid w:val="00ED4BBC"/>
    <w:rsid w:val="00EE024A"/>
    <w:rsid w:val="00EE04DF"/>
    <w:rsid w:val="00EE2793"/>
    <w:rsid w:val="00EE2F67"/>
    <w:rsid w:val="00EE3DC6"/>
    <w:rsid w:val="00EE4375"/>
    <w:rsid w:val="00EF0066"/>
    <w:rsid w:val="00EF095D"/>
    <w:rsid w:val="00EF1C34"/>
    <w:rsid w:val="00EF2B01"/>
    <w:rsid w:val="00EF678F"/>
    <w:rsid w:val="00EF6A2A"/>
    <w:rsid w:val="00F00BC5"/>
    <w:rsid w:val="00F02737"/>
    <w:rsid w:val="00F039F3"/>
    <w:rsid w:val="00F04121"/>
    <w:rsid w:val="00F04489"/>
    <w:rsid w:val="00F0538B"/>
    <w:rsid w:val="00F1003D"/>
    <w:rsid w:val="00F3056C"/>
    <w:rsid w:val="00F324CE"/>
    <w:rsid w:val="00F327DB"/>
    <w:rsid w:val="00F36F60"/>
    <w:rsid w:val="00F370A8"/>
    <w:rsid w:val="00F37F7E"/>
    <w:rsid w:val="00F42C6F"/>
    <w:rsid w:val="00F57847"/>
    <w:rsid w:val="00F60A2C"/>
    <w:rsid w:val="00F62952"/>
    <w:rsid w:val="00F63103"/>
    <w:rsid w:val="00F64E9A"/>
    <w:rsid w:val="00F76DCD"/>
    <w:rsid w:val="00F80460"/>
    <w:rsid w:val="00F83055"/>
    <w:rsid w:val="00F8405A"/>
    <w:rsid w:val="00F91DBE"/>
    <w:rsid w:val="00F93E87"/>
    <w:rsid w:val="00F94C88"/>
    <w:rsid w:val="00F97291"/>
    <w:rsid w:val="00FA18A5"/>
    <w:rsid w:val="00FA5A46"/>
    <w:rsid w:val="00FB0955"/>
    <w:rsid w:val="00FB273F"/>
    <w:rsid w:val="00FB5D10"/>
    <w:rsid w:val="00FB785E"/>
    <w:rsid w:val="00FC11EF"/>
    <w:rsid w:val="00FD17A0"/>
    <w:rsid w:val="00FD3450"/>
    <w:rsid w:val="00FD41CD"/>
    <w:rsid w:val="00FD4A7A"/>
    <w:rsid w:val="00FE086E"/>
    <w:rsid w:val="00FE09A0"/>
    <w:rsid w:val="00FE1B60"/>
    <w:rsid w:val="00FE2A89"/>
    <w:rsid w:val="00FE2C4C"/>
    <w:rsid w:val="00FE2E62"/>
    <w:rsid w:val="00FE3353"/>
    <w:rsid w:val="00FE3AA2"/>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47B5AA32"/>
  <w15:docId w15:val="{C4B06873-31DE-4479-BA96-9EAB2650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E03-D5F1-4F04-B62C-54DE2BB6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2478</Words>
  <Characters>17177</Characters>
  <Application>Microsoft Office Word</Application>
  <DocSecurity>0</DocSecurity>
  <Lines>780</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15.jūlija noteikumos Nr.393 „Lauksaimniecības un akvakultūras dzīvnieku, to ganāmpulku un novietņu reģistrēšanas kārtība, kā arī lauksaimniecības dzīvnieku apzīmēšanas kārtība””</vt:lpstr>
      <vt:lpstr>Slaucamo govju un slaucamo kazu pārraudzības kārtība</vt:lpstr>
    </vt:vector>
  </TitlesOfParts>
  <Company>Zemkopības ministrija</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15.jūlija noteikumos Nr.393 „Lauksaimniecības un akvakultūras dzīvnieku, to ganāmpulku un novietņu reģistrēšanas kārtība, kā arī lauksaimniecības dzīvnieku apzīmēšanas kārtība””</dc:title>
  <dc:subject>Anotācija</dc:subject>
  <dc:creator>Ineta Lavrinoviča</dc:creator>
  <dc:description>Ineta.Lavrinovica@zm.gov.lv; 67027528</dc:description>
  <cp:lastModifiedBy>Antra Dāldere</cp:lastModifiedBy>
  <cp:revision>9</cp:revision>
  <cp:lastPrinted>2016-01-06T07:41:00Z</cp:lastPrinted>
  <dcterms:created xsi:type="dcterms:W3CDTF">2016-01-22T07:36:00Z</dcterms:created>
  <dcterms:modified xsi:type="dcterms:W3CDTF">2016-01-22T13:24:00Z</dcterms:modified>
</cp:coreProperties>
</file>