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3F" w:rsidRPr="00A048C0" w:rsidRDefault="00FA5C3F" w:rsidP="00FA5C3F">
      <w:pPr>
        <w:jc w:val="center"/>
        <w:rPr>
          <w:rFonts w:eastAsia="Times New Roman" w:cs="Times New Roman"/>
          <w:b/>
          <w:sz w:val="26"/>
          <w:szCs w:val="26"/>
          <w:lang w:eastAsia="lv-LV"/>
        </w:rPr>
      </w:pPr>
      <w:bookmarkStart w:id="0" w:name="OLE_LINK3"/>
      <w:bookmarkStart w:id="1" w:name="OLE_LINK4"/>
      <w:bookmarkStart w:id="2" w:name="OLE_LINK1"/>
      <w:bookmarkStart w:id="3" w:name="OLE_LINK2"/>
      <w:r w:rsidRPr="00A048C0">
        <w:rPr>
          <w:rFonts w:eastAsia="Times New Roman" w:cs="Times New Roman"/>
          <w:b/>
          <w:sz w:val="26"/>
          <w:szCs w:val="26"/>
          <w:lang w:eastAsia="lv-LV"/>
        </w:rPr>
        <w:t>Likumprojekta „</w:t>
      </w:r>
      <w:r w:rsidR="009C6C2A" w:rsidRPr="00A048C0">
        <w:rPr>
          <w:rFonts w:eastAsia="Times New Roman" w:cs="Times New Roman"/>
          <w:b/>
          <w:sz w:val="26"/>
          <w:szCs w:val="26"/>
          <w:lang w:eastAsia="lv-LV"/>
        </w:rPr>
        <w:t xml:space="preserve">Grozījums </w:t>
      </w:r>
      <w:r w:rsidRPr="00A048C0">
        <w:rPr>
          <w:rFonts w:eastAsia="Times New Roman" w:cs="Times New Roman"/>
          <w:b/>
          <w:sz w:val="26"/>
          <w:szCs w:val="26"/>
          <w:lang w:eastAsia="lv-LV"/>
        </w:rPr>
        <w:t xml:space="preserve">Komerclikuma spēkā stāšanās kārtības likumā” </w:t>
      </w:r>
      <w:bookmarkEnd w:id="0"/>
      <w:bookmarkEnd w:id="1"/>
      <w:r w:rsidRPr="00A048C0">
        <w:rPr>
          <w:rFonts w:eastAsia="Times New Roman" w:cs="Times New Roman"/>
          <w:b/>
          <w:sz w:val="26"/>
          <w:szCs w:val="26"/>
          <w:lang w:eastAsia="lv-LV"/>
        </w:rPr>
        <w:t>sākotnējās ietekmes novērtējuma ziņojums</w:t>
      </w:r>
      <w:bookmarkEnd w:id="2"/>
      <w:bookmarkEnd w:id="3"/>
    </w:p>
    <w:p w:rsidR="00FA5C3F" w:rsidRPr="00A048C0" w:rsidRDefault="00FA5C3F" w:rsidP="00FA5C3F">
      <w:pPr>
        <w:jc w:val="center"/>
        <w:outlineLvl w:val="0"/>
        <w:rPr>
          <w:rFonts w:eastAsia="Times New Roman" w:cs="Times New Roman"/>
          <w:b/>
          <w:sz w:val="26"/>
          <w:szCs w:val="26"/>
          <w:lang w:eastAsia="lv-LV"/>
        </w:rPr>
      </w:pPr>
      <w:r w:rsidRPr="00A048C0">
        <w:rPr>
          <w:rFonts w:eastAsia="Times New Roman" w:cs="Times New Roman"/>
          <w:b/>
          <w:sz w:val="26"/>
          <w:szCs w:val="26"/>
          <w:lang w:eastAsia="lv-LV"/>
        </w:rPr>
        <w:t>(anotācija)</w:t>
      </w:r>
    </w:p>
    <w:p w:rsidR="00FA5C3F" w:rsidRPr="00A048C0" w:rsidRDefault="00FA5C3F" w:rsidP="00FA5C3F">
      <w:pPr>
        <w:tabs>
          <w:tab w:val="left" w:pos="3777"/>
        </w:tabs>
        <w:outlineLvl w:val="0"/>
        <w:rPr>
          <w:rFonts w:eastAsia="Times New Roman" w:cs="Times New Roman"/>
          <w:b/>
          <w:sz w:val="26"/>
          <w:szCs w:val="26"/>
          <w:lang w:eastAsia="lv-LV"/>
        </w:rPr>
      </w:pPr>
      <w:r w:rsidRPr="00A048C0">
        <w:rPr>
          <w:rFonts w:eastAsia="Times New Roman" w:cs="Times New Roman"/>
          <w:b/>
          <w:sz w:val="26"/>
          <w:szCs w:val="26"/>
          <w:lang w:eastAsia="lv-LV"/>
        </w:rPr>
        <w:tab/>
      </w:r>
    </w:p>
    <w:tbl>
      <w:tblPr>
        <w:tblpPr w:leftFromText="180" w:rightFromText="180" w:vertAnchor="text" w:horzAnchor="margin" w:tblpXSpec="center" w:tblpY="149"/>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126"/>
        <w:gridCol w:w="6796"/>
      </w:tblGrid>
      <w:tr w:rsidR="00FA5C3F" w:rsidRPr="00A048C0" w:rsidTr="008862BD">
        <w:tc>
          <w:tcPr>
            <w:tcW w:w="9343" w:type="dxa"/>
            <w:gridSpan w:val="3"/>
            <w:vAlign w:val="center"/>
          </w:tcPr>
          <w:p w:rsidR="00FA5C3F" w:rsidRPr="00A048C0" w:rsidRDefault="00FA5C3F" w:rsidP="00FA5C3F">
            <w:pPr>
              <w:jc w:val="center"/>
              <w:rPr>
                <w:rFonts w:eastAsia="Times New Roman" w:cs="Times New Roman"/>
                <w:b/>
                <w:bCs/>
                <w:sz w:val="26"/>
                <w:szCs w:val="26"/>
                <w:lang w:eastAsia="lv-LV"/>
              </w:rPr>
            </w:pPr>
            <w:r w:rsidRPr="00A048C0">
              <w:rPr>
                <w:rFonts w:eastAsia="Times New Roman" w:cs="Times New Roman"/>
                <w:b/>
                <w:bCs/>
                <w:sz w:val="26"/>
                <w:szCs w:val="26"/>
                <w:lang w:eastAsia="lv-LV"/>
              </w:rPr>
              <w:t>I. Tiesību akta projekta izstrādes nepieciešamība</w:t>
            </w:r>
          </w:p>
        </w:tc>
      </w:tr>
      <w:tr w:rsidR="00FA5C3F" w:rsidRPr="00A048C0" w:rsidTr="00070AB0">
        <w:tc>
          <w:tcPr>
            <w:tcW w:w="421" w:type="dxa"/>
          </w:tcPr>
          <w:p w:rsidR="00FA5C3F" w:rsidRPr="00A048C0" w:rsidRDefault="00FA5C3F" w:rsidP="00FA5C3F">
            <w:pPr>
              <w:rPr>
                <w:rFonts w:eastAsia="Times New Roman" w:cs="Times New Roman"/>
                <w:sz w:val="26"/>
                <w:szCs w:val="26"/>
                <w:lang w:eastAsia="lv-LV"/>
              </w:rPr>
            </w:pPr>
            <w:r w:rsidRPr="00A048C0">
              <w:rPr>
                <w:rFonts w:eastAsia="Times New Roman" w:cs="Times New Roman"/>
                <w:sz w:val="26"/>
                <w:szCs w:val="26"/>
                <w:lang w:eastAsia="lv-LV"/>
              </w:rPr>
              <w:t>1.</w:t>
            </w:r>
          </w:p>
        </w:tc>
        <w:tc>
          <w:tcPr>
            <w:tcW w:w="2126" w:type="dxa"/>
          </w:tcPr>
          <w:p w:rsidR="00FA5C3F" w:rsidRPr="00A048C0" w:rsidRDefault="00FA5C3F" w:rsidP="00FA5C3F">
            <w:pPr>
              <w:ind w:hanging="10"/>
              <w:rPr>
                <w:rFonts w:eastAsia="Times New Roman" w:cs="Times New Roman"/>
                <w:sz w:val="26"/>
                <w:szCs w:val="26"/>
                <w:lang w:eastAsia="lv-LV"/>
              </w:rPr>
            </w:pPr>
            <w:r w:rsidRPr="00A048C0">
              <w:rPr>
                <w:rFonts w:eastAsia="Times New Roman" w:cs="Times New Roman"/>
                <w:sz w:val="26"/>
                <w:szCs w:val="26"/>
                <w:lang w:eastAsia="lv-LV"/>
              </w:rPr>
              <w:t>Pamatojums</w:t>
            </w:r>
          </w:p>
        </w:tc>
        <w:tc>
          <w:tcPr>
            <w:tcW w:w="6796" w:type="dxa"/>
          </w:tcPr>
          <w:p w:rsidR="0074771B" w:rsidRPr="00A048C0" w:rsidRDefault="0074771B" w:rsidP="003763E9">
            <w:pPr>
              <w:ind w:firstLine="720"/>
              <w:jc w:val="both"/>
              <w:rPr>
                <w:rFonts w:eastAsia="Times New Roman" w:cs="Times New Roman"/>
                <w:bCs/>
                <w:sz w:val="26"/>
                <w:szCs w:val="26"/>
                <w:lang w:eastAsia="lv-LV"/>
              </w:rPr>
            </w:pPr>
            <w:r w:rsidRPr="00A048C0">
              <w:rPr>
                <w:rFonts w:eastAsia="Times New Roman" w:cs="Times New Roman"/>
                <w:bCs/>
                <w:sz w:val="26"/>
                <w:szCs w:val="26"/>
                <w:lang w:eastAsia="lv-LV"/>
              </w:rPr>
              <w:t>Likumprojekts izstrādāts, lai izpildītu:</w:t>
            </w:r>
          </w:p>
          <w:p w:rsidR="00FA5C3F" w:rsidRPr="00A048C0" w:rsidRDefault="003763E9" w:rsidP="003763E9">
            <w:pPr>
              <w:ind w:firstLine="720"/>
              <w:jc w:val="both"/>
              <w:rPr>
                <w:rFonts w:eastAsia="Times New Roman" w:cs="Times New Roman"/>
                <w:sz w:val="26"/>
                <w:szCs w:val="26"/>
                <w:lang w:eastAsia="lv-LV"/>
              </w:rPr>
            </w:pPr>
            <w:r w:rsidRPr="00A048C0">
              <w:rPr>
                <w:rFonts w:eastAsia="Calibri" w:cs="Times New Roman"/>
                <w:sz w:val="26"/>
                <w:szCs w:val="26"/>
              </w:rPr>
              <w:t xml:space="preserve">1) </w:t>
            </w:r>
            <w:r w:rsidR="0074771B" w:rsidRPr="00A048C0">
              <w:rPr>
                <w:rFonts w:eastAsia="Calibri" w:cs="Times New Roman"/>
                <w:sz w:val="26"/>
                <w:szCs w:val="26"/>
              </w:rPr>
              <w:t xml:space="preserve">Ministru Prezidenta 2011.gada 29.marta </w:t>
            </w:r>
            <w:proofErr w:type="spellStart"/>
            <w:r w:rsidR="0074771B" w:rsidRPr="00A048C0">
              <w:rPr>
                <w:rFonts w:eastAsia="Calibri" w:cs="Times New Roman"/>
                <w:sz w:val="26"/>
                <w:szCs w:val="26"/>
              </w:rPr>
              <w:t>protokollēmuma</w:t>
            </w:r>
            <w:proofErr w:type="spellEnd"/>
            <w:r w:rsidR="0074771B" w:rsidRPr="00A048C0">
              <w:rPr>
                <w:rFonts w:eastAsia="Calibri" w:cs="Times New Roman"/>
                <w:sz w:val="26"/>
                <w:szCs w:val="26"/>
              </w:rPr>
              <w:t xml:space="preserve"> Nr.</w:t>
            </w:r>
            <w:r w:rsidR="00F40CDD" w:rsidRPr="00A048C0">
              <w:rPr>
                <w:rFonts w:eastAsia="Calibri" w:cs="Times New Roman"/>
                <w:sz w:val="26"/>
                <w:szCs w:val="26"/>
              </w:rPr>
              <w:t xml:space="preserve"> </w:t>
            </w:r>
            <w:r w:rsidR="0074771B" w:rsidRPr="00A048C0">
              <w:rPr>
                <w:rFonts w:eastAsia="Calibri" w:cs="Times New Roman"/>
                <w:sz w:val="26"/>
                <w:szCs w:val="26"/>
              </w:rPr>
              <w:t xml:space="preserve">20, </w:t>
            </w:r>
            <w:r w:rsidR="0074771B" w:rsidRPr="00A048C0">
              <w:rPr>
                <w:rFonts w:eastAsia="Times New Roman" w:cs="Times New Roman"/>
                <w:sz w:val="26"/>
                <w:szCs w:val="26"/>
                <w:lang w:eastAsia="lv-LV"/>
              </w:rPr>
              <w:t>41.§</w:t>
            </w:r>
            <w:r w:rsidR="0074771B" w:rsidRPr="00A048C0">
              <w:rPr>
                <w:rFonts w:eastAsia="Calibri" w:cs="Times New Roman"/>
                <w:sz w:val="26"/>
                <w:szCs w:val="26"/>
              </w:rPr>
              <w:t xml:space="preserve"> </w:t>
            </w:r>
            <w:r w:rsidR="0074771B" w:rsidRPr="00A048C0">
              <w:rPr>
                <w:rFonts w:eastAsia="Times New Roman" w:cs="Times New Roman"/>
                <w:sz w:val="26"/>
                <w:szCs w:val="26"/>
                <w:lang w:eastAsia="lv-LV"/>
              </w:rPr>
              <w:t>4.punktu</w:t>
            </w:r>
            <w:r w:rsidR="0074771B" w:rsidRPr="00A048C0">
              <w:rPr>
                <w:rFonts w:eastAsia="Times New Roman" w:cs="Times New Roman"/>
                <w:bCs/>
                <w:sz w:val="26"/>
                <w:szCs w:val="26"/>
                <w:lang w:eastAsia="lv-LV"/>
              </w:rPr>
              <w:t xml:space="preserve">, kas nosaka </w:t>
            </w:r>
            <w:r w:rsidR="0074771B" w:rsidRPr="00A048C0">
              <w:rPr>
                <w:rFonts w:eastAsia="Times New Roman" w:cs="Times New Roman"/>
                <w:sz w:val="26"/>
                <w:szCs w:val="26"/>
                <w:lang w:eastAsia="lv-LV"/>
              </w:rPr>
              <w:t>Ekonomikas ministrijai līdz 2014.gada 1.janvārim izstrādāt un iesniegt izskatīšanai Ministru kabinetā patērētāju kreditēšanu regulējošu likumprojektu</w:t>
            </w:r>
          </w:p>
          <w:p w:rsidR="0074771B" w:rsidRPr="00A048C0" w:rsidRDefault="003763E9" w:rsidP="003763E9">
            <w:pPr>
              <w:ind w:firstLine="720"/>
              <w:jc w:val="both"/>
              <w:rPr>
                <w:rFonts w:eastAsia="Times New Roman" w:cs="Times New Roman"/>
                <w:bCs/>
                <w:sz w:val="26"/>
                <w:szCs w:val="26"/>
                <w:lang w:eastAsia="lv-LV"/>
              </w:rPr>
            </w:pPr>
            <w:r w:rsidRPr="00A048C0">
              <w:rPr>
                <w:rFonts w:eastAsia="Times New Roman" w:cs="Times New Roman"/>
                <w:bCs/>
                <w:sz w:val="26"/>
                <w:szCs w:val="26"/>
                <w:lang w:eastAsia="lv-LV"/>
              </w:rPr>
              <w:t xml:space="preserve">2) </w:t>
            </w:r>
            <w:r w:rsidR="0074771B" w:rsidRPr="00A048C0">
              <w:rPr>
                <w:rFonts w:eastAsia="Times New Roman" w:cs="Times New Roman"/>
                <w:bCs/>
                <w:sz w:val="26"/>
                <w:szCs w:val="26"/>
                <w:lang w:eastAsia="lv-LV"/>
              </w:rPr>
              <w:t xml:space="preserve">Komerclikuma spēkā stāšanās kārtības likuma pārejas noteikumu 11.punktā doto uzdevumu </w:t>
            </w:r>
            <w:r w:rsidR="0074771B" w:rsidRPr="00A048C0">
              <w:rPr>
                <w:rFonts w:cs="Times New Roman"/>
                <w:sz w:val="26"/>
                <w:szCs w:val="26"/>
              </w:rPr>
              <w:t>Ministru kabinetam līdz 2014.gada 1.maijam sagatavo</w:t>
            </w:r>
            <w:r w:rsidR="00F40CDD" w:rsidRPr="00A048C0">
              <w:rPr>
                <w:rFonts w:cs="Times New Roman"/>
                <w:sz w:val="26"/>
                <w:szCs w:val="26"/>
              </w:rPr>
              <w:t>t</w:t>
            </w:r>
            <w:r w:rsidR="0074771B" w:rsidRPr="00A048C0">
              <w:rPr>
                <w:rFonts w:cs="Times New Roman"/>
                <w:sz w:val="26"/>
                <w:szCs w:val="26"/>
              </w:rPr>
              <w:t xml:space="preserve"> un iesniegt Saeimai likumprojektu par patērētāju kreditēšanu, kurā nosaka to kapitālsabiedrību apmaksājamā pamatkapitāla minimālo lielumu, kuras sniedz patērētāja kreditēšanas pakalpojumu.</w:t>
            </w:r>
            <w:r w:rsidR="00530E6C" w:rsidRPr="00A048C0">
              <w:rPr>
                <w:rFonts w:cs="Times New Roman"/>
                <w:sz w:val="26"/>
                <w:szCs w:val="26"/>
              </w:rPr>
              <w:t xml:space="preserve"> </w:t>
            </w:r>
          </w:p>
          <w:p w:rsidR="00530E6C" w:rsidRPr="00A048C0" w:rsidRDefault="00530E6C" w:rsidP="00530E6C">
            <w:pPr>
              <w:ind w:left="495" w:right="115"/>
              <w:jc w:val="both"/>
              <w:rPr>
                <w:rFonts w:eastAsia="Times New Roman" w:cs="Times New Roman"/>
                <w:bCs/>
                <w:sz w:val="26"/>
                <w:szCs w:val="26"/>
                <w:lang w:eastAsia="lv-LV"/>
              </w:rPr>
            </w:pPr>
          </w:p>
        </w:tc>
      </w:tr>
      <w:tr w:rsidR="00FA5C3F" w:rsidRPr="00A048C0" w:rsidTr="00070AB0">
        <w:tc>
          <w:tcPr>
            <w:tcW w:w="421" w:type="dxa"/>
          </w:tcPr>
          <w:p w:rsidR="00FA5C3F" w:rsidRPr="00A048C0" w:rsidRDefault="00FA5C3F" w:rsidP="00FA5C3F">
            <w:pPr>
              <w:rPr>
                <w:rFonts w:eastAsia="Times New Roman" w:cs="Times New Roman"/>
                <w:sz w:val="26"/>
                <w:szCs w:val="26"/>
                <w:lang w:eastAsia="lv-LV"/>
              </w:rPr>
            </w:pPr>
            <w:r w:rsidRPr="00A048C0">
              <w:rPr>
                <w:rFonts w:eastAsia="Times New Roman" w:cs="Times New Roman"/>
                <w:sz w:val="26"/>
                <w:szCs w:val="26"/>
                <w:lang w:eastAsia="lv-LV"/>
              </w:rPr>
              <w:t>2.</w:t>
            </w:r>
          </w:p>
        </w:tc>
        <w:tc>
          <w:tcPr>
            <w:tcW w:w="2126" w:type="dxa"/>
          </w:tcPr>
          <w:p w:rsidR="00FA5C3F" w:rsidRPr="00A048C0" w:rsidRDefault="00BD600A" w:rsidP="00FA5C3F">
            <w:pPr>
              <w:tabs>
                <w:tab w:val="left" w:pos="170"/>
              </w:tabs>
              <w:rPr>
                <w:rFonts w:eastAsia="Times New Roman" w:cs="Times New Roman"/>
                <w:sz w:val="26"/>
                <w:szCs w:val="26"/>
                <w:lang w:eastAsia="lv-LV"/>
              </w:rPr>
            </w:pPr>
            <w:r w:rsidRPr="00A048C0">
              <w:rPr>
                <w:rFonts w:cs="Times New Roman"/>
                <w:sz w:val="26"/>
                <w:szCs w:val="26"/>
              </w:rPr>
              <w:t>Pašreizējā situācija un problēmas, kuru risināšanai tiesību akta projekts izstrādāts, tiesiskā regulējuma mērķis un būtība</w:t>
            </w:r>
          </w:p>
        </w:tc>
        <w:tc>
          <w:tcPr>
            <w:tcW w:w="6796" w:type="dxa"/>
          </w:tcPr>
          <w:p w:rsidR="00BE5EE5" w:rsidRPr="00A048C0" w:rsidRDefault="0074771B" w:rsidP="009837EF">
            <w:pPr>
              <w:widowControl w:val="0"/>
              <w:ind w:firstLine="720"/>
              <w:jc w:val="both"/>
              <w:outlineLvl w:val="2"/>
              <w:rPr>
                <w:rFonts w:cs="Times New Roman"/>
                <w:sz w:val="26"/>
                <w:szCs w:val="26"/>
              </w:rPr>
            </w:pPr>
            <w:r w:rsidRPr="00A048C0">
              <w:rPr>
                <w:rFonts w:eastAsia="Times New Roman" w:cs="Times New Roman"/>
                <w:sz w:val="26"/>
                <w:szCs w:val="26"/>
              </w:rPr>
              <w:t>Likum</w:t>
            </w:r>
            <w:r w:rsidR="003A5E0C" w:rsidRPr="00A048C0">
              <w:rPr>
                <w:rFonts w:eastAsia="Times New Roman" w:cs="Times New Roman"/>
                <w:sz w:val="26"/>
                <w:szCs w:val="26"/>
              </w:rPr>
              <w:t xml:space="preserve">projekts paredz svītrot no </w:t>
            </w:r>
            <w:r w:rsidR="003A5E0C" w:rsidRPr="00A048C0">
              <w:rPr>
                <w:rFonts w:eastAsia="Times New Roman" w:cs="Times New Roman"/>
                <w:b/>
                <w:sz w:val="26"/>
                <w:szCs w:val="26"/>
                <w:lang w:eastAsia="lv-LV"/>
              </w:rPr>
              <w:t xml:space="preserve"> </w:t>
            </w:r>
            <w:r w:rsidR="003A5E0C" w:rsidRPr="00A048C0">
              <w:rPr>
                <w:rFonts w:eastAsia="Times New Roman" w:cs="Times New Roman"/>
                <w:sz w:val="26"/>
                <w:szCs w:val="26"/>
                <w:lang w:eastAsia="lv-LV"/>
              </w:rPr>
              <w:t>Komerclikuma spēkā stāšanās kārtības likuma (turpmāk tekstā</w:t>
            </w:r>
            <w:r w:rsidR="003A5E0C" w:rsidRPr="00A048C0">
              <w:rPr>
                <w:rFonts w:eastAsia="Times New Roman" w:cs="Times New Roman"/>
                <w:b/>
                <w:sz w:val="26"/>
                <w:szCs w:val="26"/>
                <w:lang w:eastAsia="lv-LV"/>
              </w:rPr>
              <w:t xml:space="preserve"> - </w:t>
            </w:r>
            <w:r w:rsidR="003A5E0C" w:rsidRPr="00A048C0">
              <w:rPr>
                <w:rFonts w:eastAsia="Times New Roman" w:cs="Times New Roman"/>
                <w:sz w:val="26"/>
                <w:szCs w:val="26"/>
              </w:rPr>
              <w:t xml:space="preserve"> Likuma) 2</w:t>
            </w:r>
            <w:r w:rsidR="009837EF" w:rsidRPr="00A048C0">
              <w:rPr>
                <w:rFonts w:eastAsia="Times New Roman" w:cs="Times New Roman"/>
                <w:sz w:val="26"/>
                <w:szCs w:val="26"/>
              </w:rPr>
              <w:t>1</w:t>
            </w:r>
            <w:r w:rsidR="003A5E0C" w:rsidRPr="00A048C0">
              <w:rPr>
                <w:rFonts w:eastAsia="Times New Roman" w:cs="Times New Roman"/>
                <w:sz w:val="26"/>
                <w:szCs w:val="26"/>
              </w:rPr>
              <w:t>.panta trešo daļu, kas šobr</w:t>
            </w:r>
            <w:r w:rsidR="00BE5EE5" w:rsidRPr="00A048C0">
              <w:rPr>
                <w:rFonts w:eastAsia="Times New Roman" w:cs="Times New Roman"/>
                <w:sz w:val="26"/>
                <w:szCs w:val="26"/>
              </w:rPr>
              <w:t>īd nosaka</w:t>
            </w:r>
            <w:r w:rsidR="003A5E0C" w:rsidRPr="00A048C0">
              <w:rPr>
                <w:rFonts w:cs="Times New Roman"/>
                <w:sz w:val="26"/>
                <w:szCs w:val="26"/>
              </w:rPr>
              <w:t xml:space="preserve"> to kapitālsabiedrību apmaksājamā pamatkapitāla minimālo lielumu, kuras sniedz patērētāja kreditēšanas pakalpojumu. Atbilstoši Likuma Pārejas noteikumu 11.punktam, Ministru kabinetam tika dots uzdevums  sagatavot un iesniegt Saeimai likumprojektu par patērētāju kreditēšanu, kurā nosaka to kapitālsabiedrību apmaksājamā pamatkapitāla minimālo lielumu, kuras sniedz patērētāja kreditēšanas pakalpojumu</w:t>
            </w:r>
            <w:r w:rsidR="00BE5EE5" w:rsidRPr="00A048C0">
              <w:rPr>
                <w:rFonts w:cs="Times New Roman"/>
                <w:sz w:val="26"/>
                <w:szCs w:val="26"/>
              </w:rPr>
              <w:t>. Šobrīd ir sagatavoti grozījumi Patērētāju tiesību aizsardzības likumā, pārceļot prasību par pamatkapitāla apmēru uz šī likuma 8.panta 1.</w:t>
            </w:r>
            <w:r w:rsidR="00BE5EE5" w:rsidRPr="00A048C0">
              <w:rPr>
                <w:rFonts w:cs="Times New Roman"/>
                <w:sz w:val="26"/>
                <w:szCs w:val="26"/>
                <w:vertAlign w:val="superscript"/>
              </w:rPr>
              <w:t>1</w:t>
            </w:r>
            <w:r w:rsidR="00BE5EE5" w:rsidRPr="00A048C0">
              <w:rPr>
                <w:rFonts w:cs="Times New Roman"/>
                <w:sz w:val="26"/>
                <w:szCs w:val="26"/>
              </w:rPr>
              <w:t xml:space="preserve"> daļu.</w:t>
            </w:r>
            <w:r w:rsidR="00530E6C" w:rsidRPr="00A048C0">
              <w:rPr>
                <w:rFonts w:cs="Times New Roman"/>
                <w:sz w:val="26"/>
                <w:szCs w:val="26"/>
              </w:rPr>
              <w:t xml:space="preserve"> </w:t>
            </w:r>
          </w:p>
          <w:p w:rsidR="00530E6C" w:rsidRPr="00A048C0" w:rsidRDefault="00530E6C" w:rsidP="009837EF">
            <w:pPr>
              <w:widowControl w:val="0"/>
              <w:ind w:firstLine="720"/>
              <w:jc w:val="both"/>
              <w:outlineLvl w:val="2"/>
              <w:rPr>
                <w:rFonts w:cs="Times New Roman"/>
                <w:sz w:val="26"/>
                <w:szCs w:val="26"/>
              </w:rPr>
            </w:pPr>
          </w:p>
        </w:tc>
      </w:tr>
      <w:tr w:rsidR="00FA5C3F" w:rsidRPr="00A048C0" w:rsidTr="00070AB0">
        <w:tc>
          <w:tcPr>
            <w:tcW w:w="421" w:type="dxa"/>
          </w:tcPr>
          <w:p w:rsidR="00FA5C3F" w:rsidRPr="00A048C0" w:rsidRDefault="00BD600A" w:rsidP="00FA5C3F">
            <w:pPr>
              <w:rPr>
                <w:rFonts w:eastAsia="Times New Roman" w:cs="Times New Roman"/>
                <w:sz w:val="26"/>
                <w:szCs w:val="26"/>
                <w:lang w:eastAsia="lv-LV"/>
              </w:rPr>
            </w:pPr>
            <w:r w:rsidRPr="00A048C0">
              <w:rPr>
                <w:rFonts w:eastAsia="Times New Roman" w:cs="Times New Roman"/>
                <w:sz w:val="26"/>
                <w:szCs w:val="26"/>
                <w:lang w:eastAsia="lv-LV"/>
              </w:rPr>
              <w:t>3</w:t>
            </w:r>
            <w:r w:rsidR="00FA5C3F" w:rsidRPr="00A048C0">
              <w:rPr>
                <w:rFonts w:eastAsia="Times New Roman" w:cs="Times New Roman"/>
                <w:sz w:val="26"/>
                <w:szCs w:val="26"/>
                <w:lang w:eastAsia="lv-LV"/>
              </w:rPr>
              <w:t>.</w:t>
            </w:r>
          </w:p>
        </w:tc>
        <w:tc>
          <w:tcPr>
            <w:tcW w:w="2126" w:type="dxa"/>
          </w:tcPr>
          <w:p w:rsidR="00FA5C3F" w:rsidRPr="00A048C0" w:rsidRDefault="00FA5C3F" w:rsidP="00FA5C3F">
            <w:pPr>
              <w:rPr>
                <w:rFonts w:eastAsia="Times New Roman" w:cs="Times New Roman"/>
                <w:sz w:val="26"/>
                <w:szCs w:val="26"/>
                <w:lang w:eastAsia="lv-LV"/>
              </w:rPr>
            </w:pPr>
            <w:r w:rsidRPr="00A048C0">
              <w:rPr>
                <w:rFonts w:eastAsia="Times New Roman" w:cs="Times New Roman"/>
                <w:sz w:val="26"/>
                <w:szCs w:val="26"/>
                <w:lang w:eastAsia="lv-LV"/>
              </w:rPr>
              <w:t>Projekta izstrādē iesaistītās institūcijas</w:t>
            </w:r>
          </w:p>
        </w:tc>
        <w:tc>
          <w:tcPr>
            <w:tcW w:w="6796" w:type="dxa"/>
          </w:tcPr>
          <w:p w:rsidR="00FA5C3F" w:rsidRPr="00A048C0" w:rsidRDefault="00D56AD4" w:rsidP="00D56AD4">
            <w:pPr>
              <w:ind w:right="113"/>
              <w:jc w:val="both"/>
              <w:rPr>
                <w:rFonts w:eastAsia="Times New Roman" w:cs="Times New Roman"/>
                <w:sz w:val="26"/>
                <w:szCs w:val="26"/>
                <w:lang w:eastAsia="lv-LV"/>
              </w:rPr>
            </w:pPr>
            <w:r w:rsidRPr="00A048C0">
              <w:rPr>
                <w:rFonts w:eastAsia="Times New Roman" w:cs="Times New Roman"/>
                <w:sz w:val="26"/>
                <w:szCs w:val="26"/>
                <w:lang w:eastAsia="lv-LV"/>
              </w:rPr>
              <w:t>Nav attiecināms</w:t>
            </w:r>
          </w:p>
        </w:tc>
      </w:tr>
      <w:tr w:rsidR="00FA5C3F" w:rsidRPr="00A048C0" w:rsidTr="00070AB0">
        <w:tc>
          <w:tcPr>
            <w:tcW w:w="421" w:type="dxa"/>
          </w:tcPr>
          <w:p w:rsidR="00FA5C3F" w:rsidRPr="00A048C0" w:rsidRDefault="00BD600A" w:rsidP="00FA5C3F">
            <w:pPr>
              <w:rPr>
                <w:rFonts w:eastAsia="Times New Roman" w:cs="Times New Roman"/>
                <w:sz w:val="26"/>
                <w:szCs w:val="26"/>
                <w:lang w:eastAsia="lv-LV"/>
              </w:rPr>
            </w:pPr>
            <w:r w:rsidRPr="00A048C0">
              <w:rPr>
                <w:rFonts w:eastAsia="Times New Roman" w:cs="Times New Roman"/>
                <w:sz w:val="26"/>
                <w:szCs w:val="26"/>
                <w:lang w:eastAsia="lv-LV"/>
              </w:rPr>
              <w:t>4</w:t>
            </w:r>
            <w:r w:rsidR="00FA5C3F" w:rsidRPr="00A048C0">
              <w:rPr>
                <w:rFonts w:eastAsia="Times New Roman" w:cs="Times New Roman"/>
                <w:sz w:val="26"/>
                <w:szCs w:val="26"/>
                <w:lang w:eastAsia="lv-LV"/>
              </w:rPr>
              <w:t>.</w:t>
            </w:r>
          </w:p>
        </w:tc>
        <w:tc>
          <w:tcPr>
            <w:tcW w:w="2126" w:type="dxa"/>
          </w:tcPr>
          <w:p w:rsidR="00FA5C3F" w:rsidRPr="00A048C0" w:rsidRDefault="00FA5C3F" w:rsidP="00FA5C3F">
            <w:pPr>
              <w:rPr>
                <w:rFonts w:eastAsia="Times New Roman" w:cs="Times New Roman"/>
                <w:sz w:val="26"/>
                <w:szCs w:val="26"/>
                <w:lang w:eastAsia="lv-LV"/>
              </w:rPr>
            </w:pPr>
            <w:r w:rsidRPr="00A048C0">
              <w:rPr>
                <w:rFonts w:eastAsia="Times New Roman" w:cs="Times New Roman"/>
                <w:sz w:val="26"/>
                <w:szCs w:val="26"/>
                <w:lang w:eastAsia="lv-LV"/>
              </w:rPr>
              <w:t>Cita informācija</w:t>
            </w:r>
          </w:p>
        </w:tc>
        <w:tc>
          <w:tcPr>
            <w:tcW w:w="6796" w:type="dxa"/>
          </w:tcPr>
          <w:p w:rsidR="00FA5C3F" w:rsidRPr="00A048C0" w:rsidRDefault="00D56AD4" w:rsidP="00BD600A">
            <w:pPr>
              <w:rPr>
                <w:rFonts w:eastAsia="Times New Roman" w:cs="Times New Roman"/>
                <w:sz w:val="26"/>
                <w:szCs w:val="26"/>
                <w:lang w:eastAsia="lv-LV"/>
              </w:rPr>
            </w:pPr>
            <w:r w:rsidRPr="00A048C0">
              <w:rPr>
                <w:rFonts w:eastAsia="Times New Roman" w:cs="Times New Roman"/>
                <w:sz w:val="26"/>
                <w:szCs w:val="26"/>
                <w:lang w:eastAsia="lv-LV"/>
              </w:rPr>
              <w:t xml:space="preserve">Nav </w:t>
            </w:r>
          </w:p>
        </w:tc>
      </w:tr>
    </w:tbl>
    <w:p w:rsidR="00FA5C3F" w:rsidRPr="00A048C0" w:rsidRDefault="00FA5C3F" w:rsidP="00FA5C3F">
      <w:pPr>
        <w:spacing w:line="270" w:lineRule="atLeast"/>
        <w:rPr>
          <w:rFonts w:eastAsia="Times New Roman" w:cs="Times New Roman"/>
          <w:color w:val="000000"/>
          <w:sz w:val="26"/>
          <w:szCs w:val="26"/>
          <w:lang w:eastAsia="lv-LV"/>
        </w:rPr>
      </w:pPr>
    </w:p>
    <w:p w:rsidR="00530E6C" w:rsidRPr="00A048C0" w:rsidRDefault="00530E6C" w:rsidP="00FA5C3F">
      <w:pPr>
        <w:rPr>
          <w:rFonts w:cs="Times New Roman"/>
          <w:sz w:val="26"/>
          <w:szCs w:val="26"/>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19"/>
      </w:tblGrid>
      <w:tr w:rsidR="008862BD" w:rsidRPr="00A048C0" w:rsidTr="001B67E2">
        <w:tc>
          <w:tcPr>
            <w:tcW w:w="5000" w:type="pct"/>
            <w:tcBorders>
              <w:top w:val="single" w:sz="6" w:space="0" w:color="000000"/>
              <w:left w:val="single" w:sz="6" w:space="0" w:color="000000"/>
              <w:bottom w:val="outset" w:sz="6" w:space="0" w:color="000000"/>
              <w:right w:val="single" w:sz="6" w:space="0" w:color="000000"/>
            </w:tcBorders>
            <w:vAlign w:val="center"/>
          </w:tcPr>
          <w:p w:rsidR="008862BD" w:rsidRPr="00A048C0" w:rsidRDefault="008862BD" w:rsidP="001B67E2">
            <w:pPr>
              <w:jc w:val="center"/>
              <w:rPr>
                <w:rFonts w:eastAsia="Times New Roman" w:cs="Times New Roman"/>
                <w:b/>
                <w:bCs/>
                <w:sz w:val="26"/>
                <w:szCs w:val="26"/>
                <w:lang w:eastAsia="lv-LV"/>
              </w:rPr>
            </w:pPr>
            <w:r w:rsidRPr="00A048C0">
              <w:rPr>
                <w:rFonts w:eastAsia="Times New Roman" w:cs="Times New Roman"/>
                <w:b/>
                <w:bCs/>
                <w:sz w:val="26"/>
                <w:szCs w:val="26"/>
                <w:lang w:eastAsia="lv-LV"/>
              </w:rPr>
              <w:t xml:space="preserve">II. </w:t>
            </w:r>
            <w:r w:rsidRPr="00A048C0">
              <w:rPr>
                <w:rFonts w:cs="Times New Roman"/>
                <w:b/>
                <w:sz w:val="26"/>
                <w:szCs w:val="26"/>
              </w:rPr>
              <w:t>Tiesību akta projekta ietekme uz sabiedrību, tautsaimniecības attīstību un administratīvo slogu</w:t>
            </w:r>
          </w:p>
        </w:tc>
      </w:tr>
      <w:tr w:rsidR="008862BD" w:rsidRPr="00A048C0" w:rsidTr="001B67E2">
        <w:tc>
          <w:tcPr>
            <w:tcW w:w="5000" w:type="pct"/>
            <w:tcBorders>
              <w:top w:val="outset" w:sz="6" w:space="0" w:color="000000"/>
              <w:left w:val="outset" w:sz="6" w:space="0" w:color="000000"/>
              <w:bottom w:val="outset" w:sz="6" w:space="0" w:color="000000"/>
              <w:right w:val="outset" w:sz="6" w:space="0" w:color="000000"/>
            </w:tcBorders>
          </w:tcPr>
          <w:p w:rsidR="008862BD" w:rsidRPr="00A048C0" w:rsidRDefault="008862BD" w:rsidP="001B67E2">
            <w:pPr>
              <w:jc w:val="center"/>
              <w:rPr>
                <w:rFonts w:eastAsia="Times New Roman" w:cs="Times New Roman"/>
                <w:sz w:val="26"/>
                <w:szCs w:val="26"/>
                <w:lang w:eastAsia="lv-LV"/>
              </w:rPr>
            </w:pPr>
            <w:r w:rsidRPr="00A048C0">
              <w:rPr>
                <w:rFonts w:eastAsia="Times New Roman" w:cs="Times New Roman"/>
                <w:sz w:val="26"/>
                <w:szCs w:val="26"/>
                <w:lang w:eastAsia="lv-LV"/>
              </w:rPr>
              <w:t>Projekts šo jomu neskar</w:t>
            </w:r>
          </w:p>
        </w:tc>
      </w:tr>
    </w:tbl>
    <w:p w:rsidR="008862BD" w:rsidRPr="00A048C0" w:rsidRDefault="008862BD" w:rsidP="00FA5C3F">
      <w:pPr>
        <w:rPr>
          <w:rFonts w:cs="Times New Roman"/>
          <w:sz w:val="26"/>
          <w:szCs w:val="26"/>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19"/>
      </w:tblGrid>
      <w:tr w:rsidR="008862BD" w:rsidRPr="00A048C0" w:rsidTr="001B67E2">
        <w:tc>
          <w:tcPr>
            <w:tcW w:w="5000" w:type="pct"/>
            <w:tcBorders>
              <w:top w:val="single" w:sz="6" w:space="0" w:color="000000"/>
              <w:left w:val="single" w:sz="6" w:space="0" w:color="000000"/>
              <w:bottom w:val="outset" w:sz="6" w:space="0" w:color="000000"/>
              <w:right w:val="single" w:sz="6" w:space="0" w:color="000000"/>
            </w:tcBorders>
            <w:vAlign w:val="center"/>
          </w:tcPr>
          <w:p w:rsidR="008862BD" w:rsidRPr="00A048C0" w:rsidRDefault="008862BD" w:rsidP="001B67E2">
            <w:pPr>
              <w:jc w:val="center"/>
              <w:rPr>
                <w:rFonts w:eastAsia="Times New Roman" w:cs="Times New Roman"/>
                <w:b/>
                <w:bCs/>
                <w:sz w:val="26"/>
                <w:szCs w:val="26"/>
                <w:lang w:eastAsia="lv-LV"/>
              </w:rPr>
            </w:pPr>
            <w:r w:rsidRPr="00A048C0">
              <w:rPr>
                <w:rFonts w:eastAsia="Times New Roman" w:cs="Times New Roman"/>
                <w:b/>
                <w:bCs/>
                <w:sz w:val="26"/>
                <w:szCs w:val="26"/>
                <w:lang w:eastAsia="lv-LV"/>
              </w:rPr>
              <w:t>III. T</w:t>
            </w:r>
            <w:r w:rsidRPr="00A048C0">
              <w:rPr>
                <w:rFonts w:cs="Times New Roman"/>
                <w:b/>
                <w:sz w:val="26"/>
                <w:szCs w:val="26"/>
              </w:rPr>
              <w:t>iesību akta projekta ietekme uz valsts budžetu un pašvaldību budžetiem</w:t>
            </w:r>
          </w:p>
        </w:tc>
      </w:tr>
      <w:tr w:rsidR="008862BD" w:rsidRPr="00A048C0" w:rsidTr="001B67E2">
        <w:tc>
          <w:tcPr>
            <w:tcW w:w="5000" w:type="pct"/>
            <w:tcBorders>
              <w:top w:val="outset" w:sz="6" w:space="0" w:color="000000"/>
              <w:left w:val="outset" w:sz="6" w:space="0" w:color="000000"/>
              <w:bottom w:val="outset" w:sz="6" w:space="0" w:color="000000"/>
              <w:right w:val="outset" w:sz="6" w:space="0" w:color="000000"/>
            </w:tcBorders>
          </w:tcPr>
          <w:p w:rsidR="008862BD" w:rsidRPr="00A048C0" w:rsidRDefault="008862BD" w:rsidP="001B67E2">
            <w:pPr>
              <w:jc w:val="center"/>
              <w:rPr>
                <w:rFonts w:eastAsia="Times New Roman" w:cs="Times New Roman"/>
                <w:sz w:val="26"/>
                <w:szCs w:val="26"/>
                <w:lang w:eastAsia="lv-LV"/>
              </w:rPr>
            </w:pPr>
            <w:r w:rsidRPr="00A048C0">
              <w:rPr>
                <w:rFonts w:eastAsia="Times New Roman" w:cs="Times New Roman"/>
                <w:sz w:val="26"/>
                <w:szCs w:val="26"/>
                <w:lang w:eastAsia="lv-LV"/>
              </w:rPr>
              <w:t>Projekts šo jomu neskar</w:t>
            </w:r>
          </w:p>
        </w:tc>
      </w:tr>
    </w:tbl>
    <w:p w:rsidR="008862BD" w:rsidRPr="00A048C0" w:rsidRDefault="008862BD" w:rsidP="00FA5C3F">
      <w:pPr>
        <w:rPr>
          <w:rFonts w:cs="Times New Roman"/>
          <w:sz w:val="26"/>
          <w:szCs w:val="26"/>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19"/>
      </w:tblGrid>
      <w:tr w:rsidR="00070AB0" w:rsidRPr="00A048C0" w:rsidTr="001B67E2">
        <w:tc>
          <w:tcPr>
            <w:tcW w:w="5000" w:type="pct"/>
            <w:tcBorders>
              <w:top w:val="single" w:sz="6" w:space="0" w:color="000000"/>
              <w:left w:val="single" w:sz="6" w:space="0" w:color="000000"/>
              <w:bottom w:val="outset" w:sz="6" w:space="0" w:color="000000"/>
              <w:right w:val="single" w:sz="6" w:space="0" w:color="000000"/>
            </w:tcBorders>
            <w:vAlign w:val="center"/>
          </w:tcPr>
          <w:p w:rsidR="00070AB0" w:rsidRPr="00A048C0" w:rsidRDefault="00070AB0" w:rsidP="001B67E2">
            <w:pPr>
              <w:jc w:val="center"/>
              <w:rPr>
                <w:rFonts w:eastAsia="Times New Roman" w:cs="Times New Roman"/>
                <w:b/>
                <w:bCs/>
                <w:sz w:val="26"/>
                <w:szCs w:val="26"/>
                <w:lang w:eastAsia="lv-LV"/>
              </w:rPr>
            </w:pPr>
            <w:r w:rsidRPr="00A048C0">
              <w:rPr>
                <w:rFonts w:eastAsia="Times New Roman" w:cs="Times New Roman"/>
                <w:b/>
                <w:bCs/>
                <w:sz w:val="26"/>
                <w:szCs w:val="26"/>
                <w:lang w:eastAsia="lv-LV"/>
              </w:rPr>
              <w:lastRenderedPageBreak/>
              <w:t xml:space="preserve">IV. </w:t>
            </w:r>
            <w:r w:rsidRPr="00A048C0">
              <w:rPr>
                <w:rFonts w:cs="Times New Roman"/>
                <w:b/>
                <w:sz w:val="26"/>
                <w:szCs w:val="26"/>
              </w:rPr>
              <w:t>Tiesību akta projekta ietekme uz spēkā esošo tiesību normu sistēmu</w:t>
            </w:r>
          </w:p>
        </w:tc>
      </w:tr>
      <w:tr w:rsidR="00070AB0" w:rsidRPr="00A048C0" w:rsidTr="001B67E2">
        <w:tc>
          <w:tcPr>
            <w:tcW w:w="5000" w:type="pct"/>
            <w:tcBorders>
              <w:top w:val="outset" w:sz="6" w:space="0" w:color="000000"/>
              <w:left w:val="outset" w:sz="6" w:space="0" w:color="000000"/>
              <w:bottom w:val="outset" w:sz="6" w:space="0" w:color="000000"/>
              <w:right w:val="outset" w:sz="6" w:space="0" w:color="000000"/>
            </w:tcBorders>
          </w:tcPr>
          <w:p w:rsidR="00070AB0" w:rsidRPr="00A048C0" w:rsidRDefault="00070AB0" w:rsidP="001B67E2">
            <w:pPr>
              <w:jc w:val="center"/>
              <w:rPr>
                <w:rFonts w:eastAsia="Times New Roman" w:cs="Times New Roman"/>
                <w:sz w:val="26"/>
                <w:szCs w:val="26"/>
                <w:lang w:eastAsia="lv-LV"/>
              </w:rPr>
            </w:pPr>
            <w:r w:rsidRPr="00A048C0">
              <w:rPr>
                <w:rFonts w:eastAsia="Times New Roman" w:cs="Times New Roman"/>
                <w:sz w:val="26"/>
                <w:szCs w:val="26"/>
                <w:lang w:eastAsia="lv-LV"/>
              </w:rPr>
              <w:t>Projekts šo jomu neskar</w:t>
            </w:r>
          </w:p>
        </w:tc>
      </w:tr>
    </w:tbl>
    <w:p w:rsidR="00070AB0" w:rsidRPr="00A048C0" w:rsidRDefault="00070AB0" w:rsidP="00FA5C3F">
      <w:pPr>
        <w:rPr>
          <w:rFonts w:cs="Times New Roman"/>
          <w:sz w:val="26"/>
          <w:szCs w:val="26"/>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19"/>
      </w:tblGrid>
      <w:tr w:rsidR="00070AB0" w:rsidRPr="00A048C0" w:rsidTr="001B67E2">
        <w:tc>
          <w:tcPr>
            <w:tcW w:w="5000" w:type="pct"/>
            <w:tcBorders>
              <w:top w:val="single" w:sz="6" w:space="0" w:color="000000"/>
              <w:left w:val="single" w:sz="6" w:space="0" w:color="000000"/>
              <w:bottom w:val="outset" w:sz="6" w:space="0" w:color="000000"/>
              <w:right w:val="single" w:sz="6" w:space="0" w:color="000000"/>
            </w:tcBorders>
            <w:vAlign w:val="center"/>
          </w:tcPr>
          <w:p w:rsidR="00070AB0" w:rsidRPr="00A048C0" w:rsidRDefault="00070AB0" w:rsidP="001B67E2">
            <w:pPr>
              <w:jc w:val="center"/>
              <w:rPr>
                <w:rFonts w:eastAsia="Times New Roman" w:cs="Times New Roman"/>
                <w:b/>
                <w:bCs/>
                <w:sz w:val="26"/>
                <w:szCs w:val="26"/>
                <w:lang w:eastAsia="lv-LV"/>
              </w:rPr>
            </w:pPr>
            <w:r w:rsidRPr="00A048C0">
              <w:rPr>
                <w:rFonts w:eastAsia="Times New Roman" w:cs="Times New Roman"/>
                <w:b/>
                <w:bCs/>
                <w:sz w:val="26"/>
                <w:szCs w:val="26"/>
                <w:lang w:eastAsia="lv-LV"/>
              </w:rPr>
              <w:t>V. Tiesību akta projekta atbilstība Latvijas Republikas starptautiskajām saistībām</w:t>
            </w:r>
          </w:p>
        </w:tc>
      </w:tr>
      <w:tr w:rsidR="00070AB0" w:rsidRPr="00A048C0" w:rsidTr="001B67E2">
        <w:tc>
          <w:tcPr>
            <w:tcW w:w="5000" w:type="pct"/>
            <w:tcBorders>
              <w:top w:val="outset" w:sz="6" w:space="0" w:color="000000"/>
              <w:left w:val="outset" w:sz="6" w:space="0" w:color="000000"/>
              <w:bottom w:val="outset" w:sz="6" w:space="0" w:color="000000"/>
              <w:right w:val="outset" w:sz="6" w:space="0" w:color="000000"/>
            </w:tcBorders>
          </w:tcPr>
          <w:p w:rsidR="00070AB0" w:rsidRPr="00A048C0" w:rsidRDefault="00070AB0" w:rsidP="001B67E2">
            <w:pPr>
              <w:jc w:val="center"/>
              <w:rPr>
                <w:rFonts w:eastAsia="Times New Roman" w:cs="Times New Roman"/>
                <w:sz w:val="26"/>
                <w:szCs w:val="26"/>
                <w:lang w:eastAsia="lv-LV"/>
              </w:rPr>
            </w:pPr>
            <w:r w:rsidRPr="00A048C0">
              <w:rPr>
                <w:rFonts w:eastAsia="Times New Roman" w:cs="Times New Roman"/>
                <w:sz w:val="26"/>
                <w:szCs w:val="26"/>
                <w:lang w:eastAsia="lv-LV"/>
              </w:rPr>
              <w:t>Projekts šo jomu neskar</w:t>
            </w:r>
          </w:p>
        </w:tc>
      </w:tr>
    </w:tbl>
    <w:p w:rsidR="008862BD" w:rsidRPr="00A048C0" w:rsidRDefault="008862BD" w:rsidP="00FA5C3F">
      <w:pPr>
        <w:rPr>
          <w:rFonts w:cs="Times New Roman"/>
          <w:sz w:val="26"/>
          <w:szCs w:val="26"/>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70"/>
        <w:gridCol w:w="2553"/>
        <w:gridCol w:w="6196"/>
      </w:tblGrid>
      <w:tr w:rsidR="00497A65" w:rsidRPr="00A048C0" w:rsidTr="0061567D">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497A65" w:rsidRPr="00A048C0" w:rsidRDefault="00497A65" w:rsidP="0061567D">
            <w:pPr>
              <w:jc w:val="center"/>
              <w:rPr>
                <w:rFonts w:eastAsia="Times New Roman" w:cs="Times New Roman"/>
                <w:b/>
                <w:bCs/>
                <w:sz w:val="26"/>
                <w:szCs w:val="26"/>
                <w:lang w:eastAsia="lv-LV"/>
              </w:rPr>
            </w:pPr>
            <w:r w:rsidRPr="00A048C0">
              <w:rPr>
                <w:rFonts w:eastAsia="Times New Roman" w:cs="Times New Roman"/>
                <w:b/>
                <w:bCs/>
                <w:sz w:val="26"/>
                <w:szCs w:val="26"/>
                <w:lang w:eastAsia="lv-LV"/>
              </w:rPr>
              <w:t>IV. Tiesību akta projekta ietekme uz spēkā esošo tiesību normu sistēmu</w:t>
            </w:r>
          </w:p>
        </w:tc>
      </w:tr>
      <w:tr w:rsidR="00497A65" w:rsidRPr="00A048C0" w:rsidTr="00497A65">
        <w:tc>
          <w:tcPr>
            <w:tcW w:w="356" w:type="pct"/>
            <w:tcBorders>
              <w:top w:val="outset" w:sz="6" w:space="0" w:color="000000"/>
              <w:left w:val="outset" w:sz="6" w:space="0" w:color="000000"/>
              <w:bottom w:val="outset" w:sz="6" w:space="0" w:color="000000"/>
              <w:right w:val="outset" w:sz="6" w:space="0" w:color="000000"/>
            </w:tcBorders>
          </w:tcPr>
          <w:p w:rsidR="00497A65" w:rsidRPr="00A048C0" w:rsidRDefault="00497A65" w:rsidP="0061567D">
            <w:pPr>
              <w:jc w:val="center"/>
              <w:rPr>
                <w:rFonts w:eastAsia="Times New Roman" w:cs="Times New Roman"/>
                <w:sz w:val="26"/>
                <w:szCs w:val="26"/>
                <w:lang w:eastAsia="lv-LV"/>
              </w:rPr>
            </w:pPr>
            <w:r w:rsidRPr="00A048C0">
              <w:rPr>
                <w:rFonts w:eastAsia="Times New Roman" w:cs="Times New Roman"/>
                <w:sz w:val="26"/>
                <w:szCs w:val="26"/>
                <w:lang w:eastAsia="lv-LV"/>
              </w:rPr>
              <w:t>1.</w:t>
            </w:r>
          </w:p>
        </w:tc>
        <w:tc>
          <w:tcPr>
            <w:tcW w:w="1355" w:type="pct"/>
            <w:tcBorders>
              <w:top w:val="outset" w:sz="6" w:space="0" w:color="000000"/>
              <w:left w:val="outset" w:sz="6" w:space="0" w:color="000000"/>
              <w:bottom w:val="outset" w:sz="6" w:space="0" w:color="000000"/>
              <w:right w:val="outset" w:sz="6" w:space="0" w:color="000000"/>
            </w:tcBorders>
          </w:tcPr>
          <w:p w:rsidR="00497A65" w:rsidRPr="00A048C0" w:rsidRDefault="00497A65" w:rsidP="00497A65">
            <w:pPr>
              <w:rPr>
                <w:rFonts w:eastAsia="Times New Roman" w:cs="Times New Roman"/>
                <w:sz w:val="26"/>
                <w:szCs w:val="26"/>
                <w:lang w:eastAsia="lv-LV"/>
              </w:rPr>
            </w:pPr>
            <w:r w:rsidRPr="00A048C0">
              <w:rPr>
                <w:rFonts w:eastAsia="Times New Roman" w:cs="Times New Roman"/>
                <w:sz w:val="26"/>
                <w:szCs w:val="26"/>
                <w:lang w:eastAsia="lv-LV"/>
              </w:rPr>
              <w:t>Nepieciešamie saistītie tiesību aktu projekti</w:t>
            </w:r>
          </w:p>
        </w:tc>
        <w:tc>
          <w:tcPr>
            <w:tcW w:w="3289" w:type="pct"/>
            <w:tcBorders>
              <w:top w:val="outset" w:sz="6" w:space="0" w:color="000000"/>
              <w:left w:val="outset" w:sz="6" w:space="0" w:color="000000"/>
              <w:bottom w:val="outset" w:sz="6" w:space="0" w:color="000000"/>
              <w:right w:val="outset" w:sz="6" w:space="0" w:color="000000"/>
            </w:tcBorders>
          </w:tcPr>
          <w:p w:rsidR="006E0779" w:rsidRPr="00A048C0" w:rsidRDefault="006E0779" w:rsidP="00F40CDD">
            <w:pPr>
              <w:ind w:firstLine="720"/>
              <w:jc w:val="both"/>
              <w:rPr>
                <w:rFonts w:cs="Times New Roman"/>
                <w:bCs/>
                <w:sz w:val="26"/>
                <w:szCs w:val="26"/>
              </w:rPr>
            </w:pPr>
            <w:r w:rsidRPr="00A048C0">
              <w:rPr>
                <w:rFonts w:cs="Times New Roman"/>
                <w:bCs/>
                <w:sz w:val="26"/>
                <w:szCs w:val="26"/>
                <w:lang w:eastAsia="lv-LV"/>
              </w:rPr>
              <w:t>Likumprojekts saistīts ar likumprojektu</w:t>
            </w:r>
            <w:r w:rsidR="000E1813" w:rsidRPr="00A048C0">
              <w:rPr>
                <w:rFonts w:cs="Times New Roman"/>
                <w:bCs/>
                <w:sz w:val="26"/>
                <w:szCs w:val="26"/>
                <w:lang w:eastAsia="lv-LV"/>
              </w:rPr>
              <w:t xml:space="preserve"> „</w:t>
            </w:r>
            <w:r w:rsidRPr="00A048C0">
              <w:rPr>
                <w:rFonts w:cs="Times New Roman"/>
                <w:bCs/>
                <w:sz w:val="26"/>
                <w:szCs w:val="26"/>
                <w:lang w:eastAsia="lv-LV"/>
              </w:rPr>
              <w:t>Grozījumi Patērētāju tiesību aizsardzības likumā” (VSS-1167), kas 2015.gada 29.oktobrī izsludināts Valsts sekretāru sanāksmē (Prot. Nr.42, 9§).</w:t>
            </w:r>
            <w:r w:rsidRPr="00A048C0">
              <w:rPr>
                <w:rFonts w:cs="Times New Roman"/>
                <w:bCs/>
                <w:sz w:val="26"/>
                <w:szCs w:val="26"/>
              </w:rPr>
              <w:t xml:space="preserve"> </w:t>
            </w:r>
          </w:p>
          <w:p w:rsidR="006E569D" w:rsidRPr="00A048C0" w:rsidRDefault="006E0779" w:rsidP="00F40CDD">
            <w:pPr>
              <w:ind w:firstLine="720"/>
              <w:jc w:val="both"/>
              <w:rPr>
                <w:rFonts w:cs="Times New Roman"/>
                <w:bCs/>
                <w:sz w:val="26"/>
                <w:szCs w:val="26"/>
              </w:rPr>
            </w:pPr>
            <w:r w:rsidRPr="00A048C0">
              <w:rPr>
                <w:rFonts w:cs="Times New Roman"/>
                <w:bCs/>
                <w:sz w:val="26"/>
                <w:szCs w:val="26"/>
              </w:rPr>
              <w:t xml:space="preserve">Šobrīd kapitālsabiedrībai, kura sniedz patērētāja kreditēšanas pakalpojumu, apmaksājamā pamatkapitāla minimālo lielumu 425 000 </w:t>
            </w:r>
            <w:proofErr w:type="spellStart"/>
            <w:r w:rsidRPr="00A048C0">
              <w:rPr>
                <w:rFonts w:cs="Times New Roman"/>
                <w:bCs/>
                <w:i/>
                <w:iCs/>
                <w:sz w:val="26"/>
                <w:szCs w:val="26"/>
              </w:rPr>
              <w:t>euro</w:t>
            </w:r>
            <w:proofErr w:type="spellEnd"/>
            <w:r w:rsidRPr="00A048C0">
              <w:rPr>
                <w:rFonts w:cs="Times New Roman"/>
                <w:bCs/>
                <w:sz w:val="26"/>
                <w:szCs w:val="26"/>
              </w:rPr>
              <w:t xml:space="preserve"> apmērā nosaka Komerclikuma spēkā stāšanās kārtības likuma 21.panta trešā daļa. Savukārt, Komerclikuma spēkā stāšanās kārtības likuma Pārejas noteikumu 11.punkts paredz  Ministru kabinetam uzdevumu līdz 2014.gada 1.maijam sagatavot un iesniegt Saeimai likumprojektu par patērētāju kreditēšanu, kurā nosaka to kapitālsabiedrību apmaksājamā pamatkapitāla minimālo lielumu, kuras sniedz patērētāja kreditēšanas pakalpojumu. Ņemot vērā, ka patērētāju kreditēšanas normas ir ietvertas Patērētāju tiesību aizsardzības likumā, kā arī šobrīd netiek plānota atsevišķa patērētāju kreditēšanas likuma izstrāde, kapitālsabiedrības, kura sniedz patērētāja kreditēšanas pakalpojumus, apmaksājamā pamatkapitāla minimālais apmērs ir nosakāms Patērētāju tiesību aizsardzības likumā. Tādējādi šobrīd ir sagatavoti grozījumi Patērētāju tiesību aizsardzības likumā, kuri cita starp pārceļ prasību par to kapitālsabiedrību apmaksājamā pamatkapitāla minimālo lielumu, kuras sniedz patērētāja kreditēšanas pakalpojumu, uz Patērētāju tiesību aizsardzības likuma 8.panta 1.</w:t>
            </w:r>
            <w:r w:rsidRPr="00A048C0">
              <w:rPr>
                <w:rFonts w:cs="Times New Roman"/>
                <w:bCs/>
                <w:sz w:val="26"/>
                <w:szCs w:val="26"/>
                <w:vertAlign w:val="superscript"/>
              </w:rPr>
              <w:t>1</w:t>
            </w:r>
            <w:r w:rsidRPr="00A048C0">
              <w:rPr>
                <w:rFonts w:cs="Times New Roman"/>
                <w:bCs/>
                <w:sz w:val="26"/>
                <w:szCs w:val="26"/>
              </w:rPr>
              <w:t xml:space="preserve"> daļu.</w:t>
            </w:r>
            <w:r w:rsidR="00530E6C" w:rsidRPr="00A048C0">
              <w:rPr>
                <w:rFonts w:cs="Times New Roman"/>
                <w:bCs/>
                <w:sz w:val="26"/>
                <w:szCs w:val="26"/>
              </w:rPr>
              <w:t xml:space="preserve"> </w:t>
            </w:r>
          </w:p>
          <w:p w:rsidR="00530E6C" w:rsidRPr="00A048C0" w:rsidRDefault="00530E6C" w:rsidP="00F40CDD">
            <w:pPr>
              <w:ind w:firstLine="720"/>
              <w:jc w:val="both"/>
              <w:rPr>
                <w:rFonts w:cs="Times New Roman"/>
                <w:bCs/>
                <w:sz w:val="26"/>
                <w:szCs w:val="26"/>
              </w:rPr>
            </w:pPr>
          </w:p>
        </w:tc>
      </w:tr>
      <w:tr w:rsidR="00497A65" w:rsidRPr="00A048C0" w:rsidTr="00497A65">
        <w:tc>
          <w:tcPr>
            <w:tcW w:w="356" w:type="pct"/>
            <w:tcBorders>
              <w:top w:val="outset" w:sz="6" w:space="0" w:color="000000"/>
              <w:left w:val="outset" w:sz="6" w:space="0" w:color="000000"/>
              <w:bottom w:val="outset" w:sz="6" w:space="0" w:color="000000"/>
              <w:right w:val="outset" w:sz="6" w:space="0" w:color="000000"/>
            </w:tcBorders>
          </w:tcPr>
          <w:p w:rsidR="00497A65" w:rsidRPr="00A048C0" w:rsidRDefault="00497A65" w:rsidP="0061567D">
            <w:pPr>
              <w:jc w:val="center"/>
              <w:rPr>
                <w:rFonts w:eastAsia="Times New Roman" w:cs="Times New Roman"/>
                <w:sz w:val="26"/>
                <w:szCs w:val="26"/>
                <w:lang w:eastAsia="lv-LV"/>
              </w:rPr>
            </w:pPr>
            <w:r w:rsidRPr="00A048C0">
              <w:rPr>
                <w:rFonts w:eastAsia="Times New Roman" w:cs="Times New Roman"/>
                <w:sz w:val="26"/>
                <w:szCs w:val="26"/>
                <w:lang w:eastAsia="lv-LV"/>
              </w:rPr>
              <w:t>2.</w:t>
            </w:r>
          </w:p>
        </w:tc>
        <w:tc>
          <w:tcPr>
            <w:tcW w:w="1355" w:type="pct"/>
            <w:tcBorders>
              <w:top w:val="outset" w:sz="6" w:space="0" w:color="000000"/>
              <w:left w:val="outset" w:sz="6" w:space="0" w:color="000000"/>
              <w:bottom w:val="outset" w:sz="6" w:space="0" w:color="000000"/>
              <w:right w:val="outset" w:sz="6" w:space="0" w:color="000000"/>
            </w:tcBorders>
          </w:tcPr>
          <w:p w:rsidR="00497A65" w:rsidRPr="00A048C0" w:rsidRDefault="00497A65" w:rsidP="00497A65">
            <w:pPr>
              <w:rPr>
                <w:rFonts w:eastAsia="Times New Roman" w:cs="Times New Roman"/>
                <w:sz w:val="26"/>
                <w:szCs w:val="26"/>
                <w:lang w:eastAsia="lv-LV"/>
              </w:rPr>
            </w:pPr>
            <w:r w:rsidRPr="00A048C0">
              <w:rPr>
                <w:rFonts w:eastAsia="Times New Roman" w:cs="Times New Roman"/>
                <w:sz w:val="26"/>
                <w:szCs w:val="26"/>
                <w:lang w:eastAsia="lv-LV"/>
              </w:rPr>
              <w:t>Atbildīgā institūcija</w:t>
            </w:r>
          </w:p>
        </w:tc>
        <w:tc>
          <w:tcPr>
            <w:tcW w:w="3289" w:type="pct"/>
            <w:tcBorders>
              <w:top w:val="outset" w:sz="6" w:space="0" w:color="000000"/>
              <w:left w:val="outset" w:sz="6" w:space="0" w:color="000000"/>
              <w:bottom w:val="outset" w:sz="6" w:space="0" w:color="000000"/>
              <w:right w:val="outset" w:sz="6" w:space="0" w:color="000000"/>
            </w:tcBorders>
          </w:tcPr>
          <w:p w:rsidR="00497A65" w:rsidRPr="00A048C0" w:rsidRDefault="00497A65" w:rsidP="00497A65">
            <w:pPr>
              <w:rPr>
                <w:rFonts w:eastAsia="Times New Roman" w:cs="Times New Roman"/>
                <w:sz w:val="26"/>
                <w:szCs w:val="26"/>
                <w:lang w:eastAsia="lv-LV"/>
              </w:rPr>
            </w:pPr>
            <w:r w:rsidRPr="00A048C0">
              <w:rPr>
                <w:rFonts w:eastAsia="Times New Roman" w:cs="Times New Roman"/>
                <w:sz w:val="26"/>
                <w:szCs w:val="26"/>
                <w:lang w:eastAsia="lv-LV"/>
              </w:rPr>
              <w:t>Ekonomikas ministrija</w:t>
            </w:r>
            <w:r w:rsidR="00530E6C" w:rsidRPr="00A048C0">
              <w:rPr>
                <w:rFonts w:eastAsia="Times New Roman" w:cs="Times New Roman"/>
                <w:sz w:val="26"/>
                <w:szCs w:val="26"/>
                <w:lang w:eastAsia="lv-LV"/>
              </w:rPr>
              <w:t xml:space="preserve"> </w:t>
            </w:r>
          </w:p>
          <w:p w:rsidR="00530E6C" w:rsidRPr="00A048C0" w:rsidRDefault="00530E6C" w:rsidP="00497A65">
            <w:pPr>
              <w:rPr>
                <w:rFonts w:eastAsia="Times New Roman" w:cs="Times New Roman"/>
                <w:sz w:val="26"/>
                <w:szCs w:val="26"/>
                <w:lang w:eastAsia="lv-LV"/>
              </w:rPr>
            </w:pPr>
          </w:p>
        </w:tc>
      </w:tr>
      <w:tr w:rsidR="00497A65" w:rsidRPr="00A048C0" w:rsidTr="00497A65">
        <w:tc>
          <w:tcPr>
            <w:tcW w:w="356" w:type="pct"/>
            <w:tcBorders>
              <w:top w:val="outset" w:sz="6" w:space="0" w:color="000000"/>
              <w:left w:val="outset" w:sz="6" w:space="0" w:color="000000"/>
              <w:bottom w:val="outset" w:sz="6" w:space="0" w:color="000000"/>
              <w:right w:val="outset" w:sz="6" w:space="0" w:color="000000"/>
            </w:tcBorders>
          </w:tcPr>
          <w:p w:rsidR="00497A65" w:rsidRPr="00A048C0" w:rsidRDefault="00497A65" w:rsidP="0061567D">
            <w:pPr>
              <w:jc w:val="center"/>
              <w:rPr>
                <w:rFonts w:eastAsia="Times New Roman" w:cs="Times New Roman"/>
                <w:sz w:val="26"/>
                <w:szCs w:val="26"/>
                <w:lang w:eastAsia="lv-LV"/>
              </w:rPr>
            </w:pPr>
            <w:r w:rsidRPr="00A048C0">
              <w:rPr>
                <w:rFonts w:eastAsia="Times New Roman" w:cs="Times New Roman"/>
                <w:sz w:val="26"/>
                <w:szCs w:val="26"/>
                <w:lang w:eastAsia="lv-LV"/>
              </w:rPr>
              <w:t>3.</w:t>
            </w:r>
          </w:p>
        </w:tc>
        <w:tc>
          <w:tcPr>
            <w:tcW w:w="1355" w:type="pct"/>
            <w:tcBorders>
              <w:top w:val="outset" w:sz="6" w:space="0" w:color="000000"/>
              <w:left w:val="outset" w:sz="6" w:space="0" w:color="000000"/>
              <w:bottom w:val="outset" w:sz="6" w:space="0" w:color="000000"/>
              <w:right w:val="outset" w:sz="6" w:space="0" w:color="000000"/>
            </w:tcBorders>
          </w:tcPr>
          <w:p w:rsidR="00497A65" w:rsidRPr="00A048C0" w:rsidRDefault="00497A65" w:rsidP="00497A65">
            <w:pPr>
              <w:rPr>
                <w:rFonts w:eastAsia="Times New Roman" w:cs="Times New Roman"/>
                <w:sz w:val="26"/>
                <w:szCs w:val="26"/>
                <w:lang w:eastAsia="lv-LV"/>
              </w:rPr>
            </w:pPr>
            <w:r w:rsidRPr="00A048C0">
              <w:rPr>
                <w:rFonts w:eastAsia="Times New Roman" w:cs="Times New Roman"/>
                <w:sz w:val="26"/>
                <w:szCs w:val="26"/>
                <w:lang w:eastAsia="lv-LV"/>
              </w:rPr>
              <w:t>Cita informācija</w:t>
            </w:r>
          </w:p>
        </w:tc>
        <w:tc>
          <w:tcPr>
            <w:tcW w:w="3289" w:type="pct"/>
            <w:tcBorders>
              <w:top w:val="outset" w:sz="6" w:space="0" w:color="000000"/>
              <w:left w:val="outset" w:sz="6" w:space="0" w:color="000000"/>
              <w:bottom w:val="outset" w:sz="6" w:space="0" w:color="000000"/>
              <w:right w:val="outset" w:sz="6" w:space="0" w:color="000000"/>
            </w:tcBorders>
          </w:tcPr>
          <w:p w:rsidR="00497A65" w:rsidRPr="00A048C0" w:rsidRDefault="00497A65" w:rsidP="00497A65">
            <w:pPr>
              <w:rPr>
                <w:rFonts w:eastAsia="Times New Roman" w:cs="Times New Roman"/>
                <w:sz w:val="26"/>
                <w:szCs w:val="26"/>
                <w:lang w:eastAsia="lv-LV"/>
              </w:rPr>
            </w:pPr>
            <w:r w:rsidRPr="00A048C0">
              <w:rPr>
                <w:rFonts w:eastAsia="Times New Roman" w:cs="Times New Roman"/>
                <w:sz w:val="26"/>
                <w:szCs w:val="26"/>
                <w:lang w:eastAsia="lv-LV"/>
              </w:rPr>
              <w:t>Nav</w:t>
            </w:r>
            <w:r w:rsidR="00530E6C" w:rsidRPr="00A048C0">
              <w:rPr>
                <w:rFonts w:eastAsia="Times New Roman" w:cs="Times New Roman"/>
                <w:sz w:val="26"/>
                <w:szCs w:val="26"/>
                <w:lang w:eastAsia="lv-LV"/>
              </w:rPr>
              <w:t xml:space="preserve"> </w:t>
            </w:r>
          </w:p>
          <w:p w:rsidR="00530E6C" w:rsidRPr="00A048C0" w:rsidRDefault="00530E6C" w:rsidP="00497A65">
            <w:pPr>
              <w:rPr>
                <w:rFonts w:eastAsia="Times New Roman" w:cs="Times New Roman"/>
                <w:sz w:val="26"/>
                <w:szCs w:val="26"/>
                <w:lang w:eastAsia="lv-LV"/>
              </w:rPr>
            </w:pPr>
          </w:p>
        </w:tc>
      </w:tr>
    </w:tbl>
    <w:p w:rsidR="00F429AA" w:rsidRPr="00A048C0" w:rsidRDefault="00F429AA" w:rsidP="00FA5C3F">
      <w:pPr>
        <w:rPr>
          <w:rFonts w:cs="Times New Roman"/>
          <w:sz w:val="26"/>
          <w:szCs w:val="26"/>
        </w:rPr>
      </w:pPr>
    </w:p>
    <w:tbl>
      <w:tblPr>
        <w:tblW w:w="52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30"/>
        <w:gridCol w:w="2269"/>
        <w:gridCol w:w="6662"/>
      </w:tblGrid>
      <w:tr w:rsidR="00F429AA" w:rsidRPr="00A048C0" w:rsidTr="00F429AA">
        <w:tc>
          <w:tcPr>
            <w:tcW w:w="5000" w:type="pct"/>
            <w:gridSpan w:val="3"/>
            <w:tcBorders>
              <w:top w:val="single" w:sz="6" w:space="0" w:color="000000"/>
              <w:left w:val="single" w:sz="6" w:space="0" w:color="000000"/>
              <w:bottom w:val="outset" w:sz="6" w:space="0" w:color="000000"/>
              <w:right w:val="single" w:sz="6" w:space="0" w:color="000000"/>
            </w:tcBorders>
          </w:tcPr>
          <w:p w:rsidR="00F429AA" w:rsidRPr="00A048C0" w:rsidRDefault="00F429AA" w:rsidP="003F07BE">
            <w:pPr>
              <w:jc w:val="center"/>
              <w:rPr>
                <w:rFonts w:eastAsia="Times New Roman" w:cs="Times New Roman"/>
                <w:b/>
                <w:bCs/>
                <w:sz w:val="26"/>
                <w:szCs w:val="26"/>
                <w:lang w:eastAsia="lv-LV"/>
              </w:rPr>
            </w:pPr>
            <w:r w:rsidRPr="00A048C0">
              <w:rPr>
                <w:rFonts w:eastAsia="Times New Roman" w:cs="Times New Roman"/>
                <w:b/>
                <w:bCs/>
                <w:sz w:val="26"/>
                <w:szCs w:val="26"/>
                <w:lang w:eastAsia="lv-LV"/>
              </w:rPr>
              <w:t xml:space="preserve">VI. </w:t>
            </w:r>
            <w:r w:rsidRPr="00A048C0">
              <w:rPr>
                <w:rFonts w:cs="Times New Roman"/>
                <w:b/>
                <w:sz w:val="26"/>
                <w:szCs w:val="26"/>
              </w:rPr>
              <w:t>Sabiedrības līdzdalība un komunikācijas aktivitātes</w:t>
            </w:r>
          </w:p>
        </w:tc>
      </w:tr>
      <w:tr w:rsidR="00F429AA" w:rsidRPr="00A048C0" w:rsidTr="00F429AA">
        <w:tc>
          <w:tcPr>
            <w:tcW w:w="280" w:type="pct"/>
            <w:tcBorders>
              <w:top w:val="outset" w:sz="6" w:space="0" w:color="000000"/>
              <w:left w:val="outset" w:sz="6" w:space="0" w:color="000000"/>
              <w:bottom w:val="outset" w:sz="6" w:space="0" w:color="000000"/>
              <w:right w:val="outset" w:sz="6" w:space="0" w:color="000000"/>
            </w:tcBorders>
          </w:tcPr>
          <w:p w:rsidR="00F429AA" w:rsidRPr="00A048C0" w:rsidRDefault="00F429AA" w:rsidP="00ED7D5C">
            <w:pPr>
              <w:jc w:val="center"/>
              <w:rPr>
                <w:rFonts w:eastAsia="Times New Roman" w:cs="Times New Roman"/>
                <w:sz w:val="26"/>
                <w:szCs w:val="26"/>
                <w:lang w:eastAsia="lv-LV"/>
              </w:rPr>
            </w:pPr>
            <w:r w:rsidRPr="00A048C0">
              <w:rPr>
                <w:rFonts w:eastAsia="Times New Roman" w:cs="Times New Roman"/>
                <w:sz w:val="26"/>
                <w:szCs w:val="26"/>
                <w:lang w:eastAsia="lv-LV"/>
              </w:rPr>
              <w:t>1.</w:t>
            </w:r>
          </w:p>
        </w:tc>
        <w:tc>
          <w:tcPr>
            <w:tcW w:w="1199" w:type="pct"/>
            <w:tcBorders>
              <w:top w:val="outset" w:sz="6" w:space="0" w:color="000000"/>
              <w:left w:val="outset" w:sz="6" w:space="0" w:color="000000"/>
              <w:bottom w:val="outset" w:sz="6" w:space="0" w:color="000000"/>
              <w:right w:val="outset" w:sz="6" w:space="0" w:color="000000"/>
            </w:tcBorders>
          </w:tcPr>
          <w:p w:rsidR="00F429AA" w:rsidRPr="00A048C0" w:rsidRDefault="00F429AA" w:rsidP="00F429AA">
            <w:pPr>
              <w:jc w:val="both"/>
              <w:rPr>
                <w:rFonts w:eastAsia="Times New Roman" w:cs="Times New Roman"/>
                <w:sz w:val="26"/>
                <w:szCs w:val="26"/>
                <w:lang w:eastAsia="lv-LV"/>
              </w:rPr>
            </w:pPr>
            <w:r w:rsidRPr="00A048C0">
              <w:rPr>
                <w:rFonts w:eastAsia="Times New Roman" w:cs="Times New Roman"/>
                <w:sz w:val="26"/>
                <w:szCs w:val="26"/>
                <w:lang w:eastAsia="lv-LV"/>
              </w:rPr>
              <w:t xml:space="preserve">Plānotās sabiedrības līdzdalības un komunikācijas </w:t>
            </w:r>
            <w:r w:rsidRPr="00A048C0">
              <w:rPr>
                <w:rFonts w:eastAsia="Times New Roman" w:cs="Times New Roman"/>
                <w:sz w:val="26"/>
                <w:szCs w:val="26"/>
                <w:lang w:eastAsia="lv-LV"/>
              </w:rPr>
              <w:lastRenderedPageBreak/>
              <w:t>aktivitātes saistībā ar projektu</w:t>
            </w:r>
          </w:p>
        </w:tc>
        <w:tc>
          <w:tcPr>
            <w:tcW w:w="3521" w:type="pct"/>
            <w:tcBorders>
              <w:top w:val="outset" w:sz="6" w:space="0" w:color="000000"/>
              <w:left w:val="outset" w:sz="6" w:space="0" w:color="000000"/>
              <w:bottom w:val="outset" w:sz="6" w:space="0" w:color="000000"/>
              <w:right w:val="outset" w:sz="6" w:space="0" w:color="000000"/>
            </w:tcBorders>
          </w:tcPr>
          <w:p w:rsidR="00F429AA" w:rsidRPr="00A048C0" w:rsidRDefault="00966034" w:rsidP="00F40CDD">
            <w:pPr>
              <w:widowControl w:val="0"/>
              <w:suppressAutoHyphens/>
              <w:autoSpaceDE w:val="0"/>
              <w:autoSpaceDN w:val="0"/>
              <w:adjustRightInd w:val="0"/>
              <w:ind w:firstLine="564"/>
              <w:jc w:val="both"/>
              <w:rPr>
                <w:rFonts w:eastAsia="Times New Roman" w:cs="Times New Roman"/>
                <w:color w:val="000000" w:themeColor="text1"/>
                <w:sz w:val="26"/>
                <w:szCs w:val="26"/>
                <w:lang w:eastAsia="lv-LV"/>
              </w:rPr>
            </w:pPr>
            <w:r w:rsidRPr="00A048C0">
              <w:rPr>
                <w:rFonts w:eastAsia="Times New Roman" w:cs="Times New Roman"/>
                <w:color w:val="000000" w:themeColor="text1"/>
                <w:sz w:val="26"/>
                <w:szCs w:val="26"/>
                <w:lang w:eastAsia="lv-LV"/>
              </w:rPr>
              <w:lastRenderedPageBreak/>
              <w:t xml:space="preserve">Lai informētu sabiedrību par </w:t>
            </w:r>
            <w:r w:rsidRPr="00A048C0">
              <w:rPr>
                <w:rFonts w:eastAsia="Times New Roman" w:cs="Times New Roman"/>
                <w:color w:val="000000"/>
                <w:sz w:val="26"/>
                <w:szCs w:val="26"/>
                <w:shd w:val="clear" w:color="auto" w:fill="FFFFFF"/>
                <w:lang w:eastAsia="lv-LV"/>
              </w:rPr>
              <w:t>Likum</w:t>
            </w:r>
            <w:r w:rsidRPr="00A048C0">
              <w:rPr>
                <w:rFonts w:eastAsia="Times New Roman" w:cs="Times New Roman"/>
                <w:color w:val="000000" w:themeColor="text1"/>
                <w:sz w:val="26"/>
                <w:szCs w:val="26"/>
                <w:lang w:eastAsia="lv-LV"/>
              </w:rPr>
              <w:t xml:space="preserve">projektu un dotu iespēju izteikt par to viedokli, likumprojekts saskaņā ar Ministru kabineta 2009.gada 25.augusta noteikumiem Nr.970 </w:t>
            </w:r>
            <w:r w:rsidRPr="00A048C0">
              <w:rPr>
                <w:rFonts w:eastAsia="Times New Roman" w:cs="Times New Roman"/>
                <w:color w:val="000000" w:themeColor="text1"/>
                <w:sz w:val="26"/>
                <w:szCs w:val="26"/>
                <w:lang w:eastAsia="lv-LV"/>
              </w:rPr>
              <w:lastRenderedPageBreak/>
              <w:t>„Sabiedrības līdzdalības kārtība attīstības plānošanas procesā” 2015.gada 12.oktobrī ievietoti Ekonomikas ministrijas interneta mājas lapā. Viedokļa sniegšanas termiņš tika noteikts 2015.gada 26.oktobris.</w:t>
            </w:r>
            <w:r w:rsidR="00530E6C" w:rsidRPr="00A048C0">
              <w:rPr>
                <w:rFonts w:eastAsia="Times New Roman" w:cs="Times New Roman"/>
                <w:color w:val="000000" w:themeColor="text1"/>
                <w:sz w:val="26"/>
                <w:szCs w:val="26"/>
                <w:lang w:eastAsia="lv-LV"/>
              </w:rPr>
              <w:t xml:space="preserve"> </w:t>
            </w:r>
          </w:p>
          <w:p w:rsidR="00530E6C" w:rsidRPr="00A048C0" w:rsidRDefault="00530E6C" w:rsidP="00F40CDD">
            <w:pPr>
              <w:widowControl w:val="0"/>
              <w:suppressAutoHyphens/>
              <w:autoSpaceDE w:val="0"/>
              <w:autoSpaceDN w:val="0"/>
              <w:adjustRightInd w:val="0"/>
              <w:ind w:firstLine="564"/>
              <w:jc w:val="both"/>
              <w:rPr>
                <w:rFonts w:eastAsia="Times New Roman" w:cs="Times New Roman"/>
                <w:color w:val="000000" w:themeColor="text1"/>
                <w:sz w:val="26"/>
                <w:szCs w:val="26"/>
                <w:lang w:eastAsia="lv-LV"/>
              </w:rPr>
            </w:pPr>
          </w:p>
        </w:tc>
      </w:tr>
      <w:tr w:rsidR="00F429AA" w:rsidRPr="00A048C0" w:rsidTr="00F429AA">
        <w:tc>
          <w:tcPr>
            <w:tcW w:w="280" w:type="pct"/>
            <w:tcBorders>
              <w:top w:val="outset" w:sz="6" w:space="0" w:color="000000"/>
              <w:left w:val="outset" w:sz="6" w:space="0" w:color="000000"/>
              <w:bottom w:val="outset" w:sz="6" w:space="0" w:color="000000"/>
              <w:right w:val="outset" w:sz="6" w:space="0" w:color="000000"/>
            </w:tcBorders>
          </w:tcPr>
          <w:p w:rsidR="00F429AA" w:rsidRPr="00A048C0" w:rsidRDefault="00F429AA" w:rsidP="00ED7D5C">
            <w:pPr>
              <w:jc w:val="center"/>
              <w:rPr>
                <w:rFonts w:eastAsia="Times New Roman" w:cs="Times New Roman"/>
                <w:sz w:val="26"/>
                <w:szCs w:val="26"/>
                <w:lang w:eastAsia="lv-LV"/>
              </w:rPr>
            </w:pPr>
            <w:r w:rsidRPr="00A048C0">
              <w:rPr>
                <w:rFonts w:eastAsia="Times New Roman" w:cs="Times New Roman"/>
                <w:sz w:val="26"/>
                <w:szCs w:val="26"/>
                <w:lang w:eastAsia="lv-LV"/>
              </w:rPr>
              <w:lastRenderedPageBreak/>
              <w:t>2.</w:t>
            </w:r>
          </w:p>
        </w:tc>
        <w:tc>
          <w:tcPr>
            <w:tcW w:w="1199" w:type="pct"/>
            <w:tcBorders>
              <w:top w:val="outset" w:sz="6" w:space="0" w:color="000000"/>
              <w:left w:val="outset" w:sz="6" w:space="0" w:color="000000"/>
              <w:bottom w:val="outset" w:sz="6" w:space="0" w:color="000000"/>
              <w:right w:val="outset" w:sz="6" w:space="0" w:color="000000"/>
            </w:tcBorders>
          </w:tcPr>
          <w:p w:rsidR="00F429AA" w:rsidRPr="00A048C0" w:rsidRDefault="00F429AA" w:rsidP="00F429AA">
            <w:pPr>
              <w:jc w:val="both"/>
              <w:rPr>
                <w:rFonts w:eastAsia="Times New Roman" w:cs="Times New Roman"/>
                <w:sz w:val="26"/>
                <w:szCs w:val="26"/>
                <w:lang w:eastAsia="lv-LV"/>
              </w:rPr>
            </w:pPr>
            <w:r w:rsidRPr="00A048C0">
              <w:rPr>
                <w:rFonts w:eastAsia="Times New Roman" w:cs="Times New Roman"/>
                <w:sz w:val="26"/>
                <w:szCs w:val="26"/>
                <w:lang w:eastAsia="lv-LV"/>
              </w:rPr>
              <w:t>Sabiedrības līdzdalība projekta izstrādē</w:t>
            </w:r>
          </w:p>
        </w:tc>
        <w:tc>
          <w:tcPr>
            <w:tcW w:w="3521" w:type="pct"/>
            <w:tcBorders>
              <w:top w:val="outset" w:sz="6" w:space="0" w:color="000000"/>
              <w:left w:val="outset" w:sz="6" w:space="0" w:color="000000"/>
              <w:bottom w:val="outset" w:sz="6" w:space="0" w:color="000000"/>
              <w:right w:val="outset" w:sz="6" w:space="0" w:color="000000"/>
            </w:tcBorders>
          </w:tcPr>
          <w:p w:rsidR="00F429AA" w:rsidRPr="00A048C0" w:rsidRDefault="006107BC" w:rsidP="00F40CDD">
            <w:pPr>
              <w:widowControl w:val="0"/>
              <w:suppressAutoHyphens/>
              <w:autoSpaceDE w:val="0"/>
              <w:autoSpaceDN w:val="0"/>
              <w:adjustRightInd w:val="0"/>
              <w:ind w:firstLine="394"/>
              <w:jc w:val="both"/>
              <w:rPr>
                <w:rFonts w:cs="Times New Roman"/>
                <w:sz w:val="26"/>
                <w:szCs w:val="26"/>
                <w:lang w:eastAsia="lv-LV"/>
              </w:rPr>
            </w:pPr>
            <w:r w:rsidRPr="00A048C0">
              <w:rPr>
                <w:rFonts w:eastAsia="Times New Roman" w:cs="Times New Roman"/>
                <w:sz w:val="26"/>
                <w:szCs w:val="26"/>
                <w:lang w:eastAsia="lv-LV"/>
              </w:rPr>
              <w:t xml:space="preserve">Papildus likumprojekta ievietošanai Ekonomikas ministrijas mājas lapā, </w:t>
            </w:r>
            <w:r w:rsidR="00966034" w:rsidRPr="00A048C0">
              <w:rPr>
                <w:rFonts w:eastAsia="Times New Roman" w:cs="Times New Roman"/>
                <w:sz w:val="26"/>
                <w:szCs w:val="26"/>
                <w:lang w:eastAsia="lv-LV"/>
              </w:rPr>
              <w:t>2015.gada</w:t>
            </w:r>
            <w:r w:rsidR="002C2997" w:rsidRPr="00A048C0">
              <w:rPr>
                <w:rFonts w:eastAsia="Times New Roman" w:cs="Times New Roman"/>
                <w:sz w:val="26"/>
                <w:szCs w:val="26"/>
                <w:lang w:eastAsia="lv-LV"/>
              </w:rPr>
              <w:t xml:space="preserve"> </w:t>
            </w:r>
            <w:r w:rsidR="000425E1" w:rsidRPr="00A048C0">
              <w:rPr>
                <w:rFonts w:eastAsia="Times New Roman" w:cs="Times New Roman"/>
                <w:sz w:val="26"/>
                <w:szCs w:val="26"/>
                <w:lang w:eastAsia="lv-LV"/>
              </w:rPr>
              <w:t xml:space="preserve">14.oktobrī </w:t>
            </w:r>
            <w:r w:rsidR="002C2997" w:rsidRPr="00A048C0">
              <w:rPr>
                <w:rFonts w:eastAsia="Times New Roman" w:cs="Times New Roman"/>
                <w:sz w:val="26"/>
                <w:szCs w:val="26"/>
                <w:lang w:eastAsia="lv-LV"/>
              </w:rPr>
              <w:t xml:space="preserve">Likumprojekts tika nosūtīts </w:t>
            </w:r>
            <w:r w:rsidR="00966034" w:rsidRPr="00A048C0">
              <w:rPr>
                <w:rFonts w:eastAsia="Times New Roman" w:cs="Times New Roman"/>
                <w:sz w:val="26"/>
                <w:szCs w:val="26"/>
                <w:lang w:eastAsia="lv-LV"/>
              </w:rPr>
              <w:t xml:space="preserve"> </w:t>
            </w:r>
            <w:r w:rsidR="000425E1" w:rsidRPr="00A048C0">
              <w:rPr>
                <w:rFonts w:eastAsia="Times New Roman" w:cs="Times New Roman"/>
                <w:iCs/>
                <w:color w:val="000000"/>
                <w:sz w:val="26"/>
                <w:szCs w:val="26"/>
              </w:rPr>
              <w:t xml:space="preserve">Tieslietu ministrijai, Finanšu ministrijai, Patērētāju tiesību aizsardzības centram, Latvijas Bankai, Finanšu un kapitāla tirgus komisijai, Latvijas Komercbanku asociācijai, </w:t>
            </w:r>
            <w:r w:rsidR="000425E1" w:rsidRPr="00A048C0">
              <w:rPr>
                <w:rFonts w:cs="Times New Roman"/>
                <w:sz w:val="26"/>
                <w:szCs w:val="26"/>
                <w:lang w:eastAsia="lv-LV"/>
              </w:rPr>
              <w:t>Latvijas Darba devēju konfederācijai, Latvijas Tirdzniecības un rūpniecības kamerai</w:t>
            </w:r>
            <w:r w:rsidR="00530E6C" w:rsidRPr="00A048C0">
              <w:rPr>
                <w:rFonts w:cs="Times New Roman"/>
                <w:sz w:val="26"/>
                <w:szCs w:val="26"/>
                <w:lang w:eastAsia="lv-LV"/>
              </w:rPr>
              <w:t>, Latvijas Nekustamo ī</w:t>
            </w:r>
            <w:r w:rsidR="000425E1" w:rsidRPr="00A048C0">
              <w:rPr>
                <w:rFonts w:cs="Times New Roman"/>
                <w:sz w:val="26"/>
                <w:szCs w:val="26"/>
                <w:lang w:eastAsia="lv-LV"/>
              </w:rPr>
              <w:t>pašumu darījumu asociācijai</w:t>
            </w:r>
            <w:r w:rsidR="00530E6C" w:rsidRPr="00A048C0">
              <w:rPr>
                <w:rFonts w:cs="Times New Roman"/>
                <w:sz w:val="26"/>
                <w:szCs w:val="26"/>
                <w:lang w:eastAsia="lv-LV"/>
              </w:rPr>
              <w:t xml:space="preserve">, Latvijas Hipotekāro </w:t>
            </w:r>
            <w:proofErr w:type="spellStart"/>
            <w:r w:rsidR="00530E6C" w:rsidRPr="00A048C0">
              <w:rPr>
                <w:rFonts w:cs="Times New Roman"/>
                <w:sz w:val="26"/>
                <w:szCs w:val="26"/>
                <w:lang w:eastAsia="lv-LV"/>
              </w:rPr>
              <w:t>nebanku</w:t>
            </w:r>
            <w:proofErr w:type="spellEnd"/>
            <w:r w:rsidR="00530E6C" w:rsidRPr="00A048C0">
              <w:rPr>
                <w:rFonts w:cs="Times New Roman"/>
                <w:sz w:val="26"/>
                <w:szCs w:val="26"/>
                <w:lang w:eastAsia="lv-LV"/>
              </w:rPr>
              <w:t xml:space="preserve"> a</w:t>
            </w:r>
            <w:r w:rsidR="000425E1" w:rsidRPr="00A048C0">
              <w:rPr>
                <w:rFonts w:cs="Times New Roman"/>
                <w:sz w:val="26"/>
                <w:szCs w:val="26"/>
                <w:lang w:eastAsia="lv-LV"/>
              </w:rPr>
              <w:t>i</w:t>
            </w:r>
            <w:r w:rsidR="00530E6C" w:rsidRPr="00A048C0">
              <w:rPr>
                <w:rFonts w:cs="Times New Roman"/>
                <w:sz w:val="26"/>
                <w:szCs w:val="26"/>
                <w:lang w:eastAsia="lv-LV"/>
              </w:rPr>
              <w:t>zdevēju a</w:t>
            </w:r>
            <w:r w:rsidR="000425E1" w:rsidRPr="00A048C0">
              <w:rPr>
                <w:rFonts w:cs="Times New Roman"/>
                <w:sz w:val="26"/>
                <w:szCs w:val="26"/>
                <w:lang w:eastAsia="lv-LV"/>
              </w:rPr>
              <w:t xml:space="preserve">sociācijai, Latvijas Lombardu asociācijai, Latvijas </w:t>
            </w:r>
            <w:proofErr w:type="spellStart"/>
            <w:r w:rsidR="000425E1" w:rsidRPr="00A048C0">
              <w:rPr>
                <w:rFonts w:cs="Times New Roman"/>
                <w:sz w:val="26"/>
                <w:szCs w:val="26"/>
                <w:lang w:eastAsia="lv-LV"/>
              </w:rPr>
              <w:t>Nebanku</w:t>
            </w:r>
            <w:proofErr w:type="spellEnd"/>
            <w:r w:rsidR="000425E1" w:rsidRPr="00A048C0">
              <w:rPr>
                <w:rFonts w:cs="Times New Roman"/>
                <w:sz w:val="26"/>
                <w:szCs w:val="26"/>
                <w:lang w:eastAsia="lv-LV"/>
              </w:rPr>
              <w:t xml:space="preserve"> </w:t>
            </w:r>
            <w:proofErr w:type="spellStart"/>
            <w:r w:rsidR="000425E1" w:rsidRPr="00A048C0">
              <w:rPr>
                <w:rFonts w:cs="Times New Roman"/>
                <w:sz w:val="26"/>
                <w:szCs w:val="26"/>
                <w:lang w:eastAsia="lv-LV"/>
              </w:rPr>
              <w:t>kredītdevēju</w:t>
            </w:r>
            <w:proofErr w:type="spellEnd"/>
            <w:r w:rsidR="000425E1" w:rsidRPr="00A048C0">
              <w:rPr>
                <w:rFonts w:cs="Times New Roman"/>
                <w:sz w:val="26"/>
                <w:szCs w:val="26"/>
                <w:lang w:eastAsia="lv-LV"/>
              </w:rPr>
              <w:t xml:space="preserve"> asociācijai, Latvijas Ķīlas kreditoru asociācijai, Latvijas Īpašumu vērtētāju asociācijai, Latvijas Kredītņēmēju asociācijai un Latvijas Patērētāju interešu aizstāvības asociācijai. </w:t>
            </w:r>
            <w:r w:rsidR="00530E6C" w:rsidRPr="00A048C0">
              <w:rPr>
                <w:rFonts w:cs="Times New Roman"/>
                <w:sz w:val="26"/>
                <w:szCs w:val="26"/>
                <w:lang w:eastAsia="lv-LV"/>
              </w:rPr>
              <w:t xml:space="preserve"> </w:t>
            </w:r>
          </w:p>
          <w:p w:rsidR="00530E6C" w:rsidRPr="00A048C0" w:rsidRDefault="00530E6C" w:rsidP="00F40CDD">
            <w:pPr>
              <w:widowControl w:val="0"/>
              <w:suppressAutoHyphens/>
              <w:autoSpaceDE w:val="0"/>
              <w:autoSpaceDN w:val="0"/>
              <w:adjustRightInd w:val="0"/>
              <w:ind w:firstLine="394"/>
              <w:jc w:val="both"/>
              <w:rPr>
                <w:rFonts w:cs="Times New Roman"/>
                <w:sz w:val="26"/>
                <w:szCs w:val="26"/>
                <w:lang w:eastAsia="lv-LV"/>
              </w:rPr>
            </w:pPr>
          </w:p>
        </w:tc>
      </w:tr>
      <w:tr w:rsidR="00F429AA" w:rsidRPr="00A048C0" w:rsidTr="00F429AA">
        <w:tc>
          <w:tcPr>
            <w:tcW w:w="280" w:type="pct"/>
            <w:tcBorders>
              <w:top w:val="outset" w:sz="6" w:space="0" w:color="000000"/>
              <w:left w:val="outset" w:sz="6" w:space="0" w:color="000000"/>
              <w:bottom w:val="outset" w:sz="6" w:space="0" w:color="000000"/>
              <w:right w:val="outset" w:sz="6" w:space="0" w:color="000000"/>
            </w:tcBorders>
          </w:tcPr>
          <w:p w:rsidR="00F429AA" w:rsidRPr="00A048C0" w:rsidRDefault="00F429AA" w:rsidP="00ED7D5C">
            <w:pPr>
              <w:jc w:val="center"/>
              <w:rPr>
                <w:rFonts w:eastAsia="Times New Roman" w:cs="Times New Roman"/>
                <w:sz w:val="26"/>
                <w:szCs w:val="26"/>
                <w:lang w:eastAsia="lv-LV"/>
              </w:rPr>
            </w:pPr>
            <w:r w:rsidRPr="00A048C0">
              <w:rPr>
                <w:rFonts w:eastAsia="Times New Roman" w:cs="Times New Roman"/>
                <w:sz w:val="26"/>
                <w:szCs w:val="26"/>
                <w:lang w:eastAsia="lv-LV"/>
              </w:rPr>
              <w:t>3.</w:t>
            </w:r>
          </w:p>
        </w:tc>
        <w:tc>
          <w:tcPr>
            <w:tcW w:w="1199" w:type="pct"/>
            <w:tcBorders>
              <w:top w:val="outset" w:sz="6" w:space="0" w:color="000000"/>
              <w:left w:val="outset" w:sz="6" w:space="0" w:color="000000"/>
              <w:bottom w:val="outset" w:sz="6" w:space="0" w:color="000000"/>
              <w:right w:val="outset" w:sz="6" w:space="0" w:color="000000"/>
            </w:tcBorders>
          </w:tcPr>
          <w:p w:rsidR="00F429AA" w:rsidRPr="00A048C0" w:rsidRDefault="00F429AA" w:rsidP="00F429AA">
            <w:pPr>
              <w:jc w:val="both"/>
              <w:rPr>
                <w:rFonts w:eastAsia="Times New Roman" w:cs="Times New Roman"/>
                <w:sz w:val="26"/>
                <w:szCs w:val="26"/>
                <w:lang w:eastAsia="lv-LV"/>
              </w:rPr>
            </w:pPr>
            <w:r w:rsidRPr="00A048C0">
              <w:rPr>
                <w:rFonts w:eastAsia="Times New Roman" w:cs="Times New Roman"/>
                <w:sz w:val="26"/>
                <w:szCs w:val="26"/>
                <w:lang w:eastAsia="lv-LV"/>
              </w:rPr>
              <w:t>Sabiedrības līdzdalības rezultāti</w:t>
            </w:r>
          </w:p>
        </w:tc>
        <w:tc>
          <w:tcPr>
            <w:tcW w:w="3521" w:type="pct"/>
            <w:tcBorders>
              <w:top w:val="outset" w:sz="6" w:space="0" w:color="000000"/>
              <w:left w:val="outset" w:sz="6" w:space="0" w:color="000000"/>
              <w:bottom w:val="outset" w:sz="6" w:space="0" w:color="000000"/>
              <w:right w:val="outset" w:sz="6" w:space="0" w:color="000000"/>
            </w:tcBorders>
          </w:tcPr>
          <w:p w:rsidR="00F429AA" w:rsidRPr="00A048C0" w:rsidRDefault="00966034" w:rsidP="00070AB0">
            <w:pPr>
              <w:ind w:firstLine="536"/>
              <w:jc w:val="both"/>
              <w:rPr>
                <w:rFonts w:eastAsia="Times New Roman" w:cs="Times New Roman"/>
                <w:sz w:val="26"/>
                <w:szCs w:val="26"/>
                <w:lang w:eastAsia="lv-LV"/>
              </w:rPr>
            </w:pPr>
            <w:r w:rsidRPr="00A048C0">
              <w:rPr>
                <w:rFonts w:eastAsia="Times New Roman" w:cs="Times New Roman"/>
                <w:sz w:val="26"/>
                <w:szCs w:val="26"/>
                <w:lang w:eastAsia="lv-LV"/>
              </w:rPr>
              <w:t xml:space="preserve">2015.gada 22.oktobrī </w:t>
            </w:r>
            <w:r w:rsidR="00766D1C" w:rsidRPr="00A048C0">
              <w:rPr>
                <w:rFonts w:eastAsia="Times New Roman" w:cs="Times New Roman"/>
                <w:sz w:val="26"/>
                <w:szCs w:val="26"/>
                <w:lang w:eastAsia="lv-LV"/>
              </w:rPr>
              <w:t>E</w:t>
            </w:r>
            <w:r w:rsidRPr="00A048C0">
              <w:rPr>
                <w:rFonts w:eastAsia="Times New Roman" w:cs="Times New Roman"/>
                <w:sz w:val="26"/>
                <w:szCs w:val="26"/>
                <w:lang w:eastAsia="lv-LV"/>
              </w:rPr>
              <w:t xml:space="preserve">konomikas ministrija saņēma Latvijas </w:t>
            </w:r>
            <w:proofErr w:type="spellStart"/>
            <w:r w:rsidRPr="00A048C0">
              <w:rPr>
                <w:rFonts w:eastAsia="Times New Roman" w:cs="Times New Roman"/>
                <w:sz w:val="26"/>
                <w:szCs w:val="26"/>
                <w:lang w:eastAsia="lv-LV"/>
              </w:rPr>
              <w:t>Nebanku</w:t>
            </w:r>
            <w:proofErr w:type="spellEnd"/>
            <w:r w:rsidRPr="00A048C0">
              <w:rPr>
                <w:rFonts w:eastAsia="Times New Roman" w:cs="Times New Roman"/>
                <w:sz w:val="26"/>
                <w:szCs w:val="26"/>
                <w:lang w:eastAsia="lv-LV"/>
              </w:rPr>
              <w:t xml:space="preserve"> </w:t>
            </w:r>
            <w:proofErr w:type="spellStart"/>
            <w:r w:rsidRPr="00A048C0">
              <w:rPr>
                <w:rFonts w:eastAsia="Times New Roman" w:cs="Times New Roman"/>
                <w:sz w:val="26"/>
                <w:szCs w:val="26"/>
                <w:lang w:eastAsia="lv-LV"/>
              </w:rPr>
              <w:t>kr</w:t>
            </w:r>
            <w:r w:rsidR="00070AB0" w:rsidRPr="00A048C0">
              <w:rPr>
                <w:rFonts w:eastAsia="Times New Roman" w:cs="Times New Roman"/>
                <w:sz w:val="26"/>
                <w:szCs w:val="26"/>
                <w:lang w:eastAsia="lv-LV"/>
              </w:rPr>
              <w:t>edītdevēju</w:t>
            </w:r>
            <w:proofErr w:type="spellEnd"/>
            <w:r w:rsidR="00070AB0" w:rsidRPr="00A048C0">
              <w:rPr>
                <w:rFonts w:eastAsia="Times New Roman" w:cs="Times New Roman"/>
                <w:sz w:val="26"/>
                <w:szCs w:val="26"/>
                <w:lang w:eastAsia="lv-LV"/>
              </w:rPr>
              <w:t xml:space="preserve"> asociācijas vēstuli un 2015.gada 28.oktobrī Latvijas Īpašuma vērtētāju asociācijas vēstuli, kurā tika pausts atbalsts Likumprojekta tālākai  virzībai. </w:t>
            </w:r>
          </w:p>
          <w:p w:rsidR="00530E6C" w:rsidRPr="00A048C0" w:rsidRDefault="00530E6C" w:rsidP="00766D1C">
            <w:pPr>
              <w:ind w:firstLine="536"/>
              <w:rPr>
                <w:rFonts w:eastAsia="Times New Roman" w:cs="Times New Roman"/>
                <w:sz w:val="26"/>
                <w:szCs w:val="26"/>
                <w:lang w:eastAsia="lv-LV"/>
              </w:rPr>
            </w:pPr>
          </w:p>
        </w:tc>
      </w:tr>
      <w:tr w:rsidR="00F429AA" w:rsidRPr="00A048C0" w:rsidTr="00F429AA">
        <w:tc>
          <w:tcPr>
            <w:tcW w:w="280" w:type="pct"/>
            <w:tcBorders>
              <w:top w:val="outset" w:sz="6" w:space="0" w:color="000000"/>
              <w:left w:val="outset" w:sz="6" w:space="0" w:color="000000"/>
              <w:bottom w:val="outset" w:sz="6" w:space="0" w:color="000000"/>
              <w:right w:val="outset" w:sz="6" w:space="0" w:color="000000"/>
            </w:tcBorders>
          </w:tcPr>
          <w:p w:rsidR="00F429AA" w:rsidRPr="00A048C0" w:rsidRDefault="006107BC" w:rsidP="00ED7D5C">
            <w:pPr>
              <w:jc w:val="center"/>
              <w:rPr>
                <w:rFonts w:eastAsia="Times New Roman" w:cs="Times New Roman"/>
                <w:sz w:val="26"/>
                <w:szCs w:val="26"/>
                <w:lang w:eastAsia="lv-LV"/>
              </w:rPr>
            </w:pPr>
            <w:r w:rsidRPr="00A048C0">
              <w:rPr>
                <w:rFonts w:eastAsia="Times New Roman" w:cs="Times New Roman"/>
                <w:sz w:val="26"/>
                <w:szCs w:val="26"/>
                <w:lang w:eastAsia="lv-LV"/>
              </w:rPr>
              <w:t>4.</w:t>
            </w:r>
          </w:p>
        </w:tc>
        <w:tc>
          <w:tcPr>
            <w:tcW w:w="1199" w:type="pct"/>
            <w:tcBorders>
              <w:top w:val="outset" w:sz="6" w:space="0" w:color="000000"/>
              <w:left w:val="outset" w:sz="6" w:space="0" w:color="000000"/>
              <w:bottom w:val="outset" w:sz="6" w:space="0" w:color="000000"/>
              <w:right w:val="outset" w:sz="6" w:space="0" w:color="000000"/>
            </w:tcBorders>
          </w:tcPr>
          <w:p w:rsidR="00F429AA" w:rsidRPr="00A048C0" w:rsidRDefault="00F429AA" w:rsidP="00F429AA">
            <w:pPr>
              <w:jc w:val="both"/>
              <w:rPr>
                <w:rFonts w:eastAsia="Times New Roman" w:cs="Times New Roman"/>
                <w:sz w:val="26"/>
                <w:szCs w:val="26"/>
                <w:lang w:eastAsia="lv-LV"/>
              </w:rPr>
            </w:pPr>
            <w:r w:rsidRPr="00A048C0">
              <w:rPr>
                <w:rFonts w:eastAsia="Times New Roman" w:cs="Times New Roman"/>
                <w:sz w:val="26"/>
                <w:szCs w:val="26"/>
                <w:lang w:eastAsia="lv-LV"/>
              </w:rPr>
              <w:t>Cita informācija</w:t>
            </w:r>
          </w:p>
        </w:tc>
        <w:tc>
          <w:tcPr>
            <w:tcW w:w="3521" w:type="pct"/>
            <w:tcBorders>
              <w:top w:val="outset" w:sz="6" w:space="0" w:color="000000"/>
              <w:left w:val="outset" w:sz="6" w:space="0" w:color="000000"/>
              <w:bottom w:val="outset" w:sz="6" w:space="0" w:color="000000"/>
              <w:right w:val="outset" w:sz="6" w:space="0" w:color="000000"/>
            </w:tcBorders>
          </w:tcPr>
          <w:p w:rsidR="00F429AA" w:rsidRPr="00A048C0" w:rsidRDefault="00F40CDD" w:rsidP="00F40CDD">
            <w:pPr>
              <w:rPr>
                <w:rFonts w:eastAsia="Times New Roman" w:cs="Times New Roman"/>
                <w:sz w:val="26"/>
                <w:szCs w:val="26"/>
                <w:lang w:eastAsia="lv-LV"/>
              </w:rPr>
            </w:pPr>
            <w:r w:rsidRPr="00A048C0">
              <w:rPr>
                <w:rFonts w:eastAsia="Times New Roman" w:cs="Times New Roman"/>
                <w:sz w:val="26"/>
                <w:szCs w:val="26"/>
                <w:lang w:eastAsia="lv-LV"/>
              </w:rPr>
              <w:t>Nav</w:t>
            </w:r>
            <w:r w:rsidR="00530E6C" w:rsidRPr="00A048C0">
              <w:rPr>
                <w:rFonts w:eastAsia="Times New Roman" w:cs="Times New Roman"/>
                <w:sz w:val="26"/>
                <w:szCs w:val="26"/>
                <w:lang w:eastAsia="lv-LV"/>
              </w:rPr>
              <w:t xml:space="preserve"> </w:t>
            </w:r>
          </w:p>
          <w:p w:rsidR="00530E6C" w:rsidRPr="00A048C0" w:rsidRDefault="00530E6C" w:rsidP="00F40CDD">
            <w:pPr>
              <w:rPr>
                <w:rFonts w:eastAsia="Times New Roman" w:cs="Times New Roman"/>
                <w:sz w:val="26"/>
                <w:szCs w:val="26"/>
                <w:lang w:eastAsia="lv-LV"/>
              </w:rPr>
            </w:pPr>
          </w:p>
        </w:tc>
      </w:tr>
    </w:tbl>
    <w:p w:rsidR="00D0356B" w:rsidRPr="00A048C0" w:rsidRDefault="00D0356B" w:rsidP="00FA5C3F">
      <w:pPr>
        <w:rPr>
          <w:rFonts w:cs="Times New Roman"/>
          <w:sz w:val="26"/>
          <w:szCs w:val="26"/>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62"/>
        <w:gridCol w:w="4414"/>
        <w:gridCol w:w="4615"/>
        <w:gridCol w:w="228"/>
      </w:tblGrid>
      <w:tr w:rsidR="00070AB0" w:rsidRPr="00A048C0" w:rsidTr="001745B2">
        <w:tc>
          <w:tcPr>
            <w:tcW w:w="5000" w:type="pct"/>
            <w:gridSpan w:val="4"/>
            <w:tcBorders>
              <w:top w:val="single" w:sz="6" w:space="0" w:color="000000"/>
              <w:left w:val="single" w:sz="6" w:space="0" w:color="000000"/>
              <w:bottom w:val="outset" w:sz="6" w:space="0" w:color="000000"/>
              <w:right w:val="single" w:sz="6" w:space="0" w:color="000000"/>
            </w:tcBorders>
            <w:vAlign w:val="center"/>
          </w:tcPr>
          <w:p w:rsidR="00070AB0" w:rsidRPr="00A048C0" w:rsidRDefault="00070AB0" w:rsidP="001B67E2">
            <w:pPr>
              <w:jc w:val="center"/>
              <w:rPr>
                <w:rFonts w:eastAsia="Times New Roman" w:cs="Times New Roman"/>
                <w:b/>
                <w:bCs/>
                <w:sz w:val="26"/>
                <w:szCs w:val="26"/>
                <w:lang w:eastAsia="lv-LV"/>
              </w:rPr>
            </w:pPr>
            <w:r w:rsidRPr="00A048C0">
              <w:rPr>
                <w:rFonts w:eastAsia="Times New Roman" w:cs="Times New Roman"/>
                <w:b/>
                <w:bCs/>
                <w:sz w:val="26"/>
                <w:szCs w:val="26"/>
                <w:lang w:eastAsia="lv-LV"/>
              </w:rPr>
              <w:t xml:space="preserve">VII. </w:t>
            </w:r>
            <w:r w:rsidRPr="00A048C0">
              <w:rPr>
                <w:rFonts w:cs="Times New Roman"/>
                <w:b/>
                <w:sz w:val="26"/>
                <w:szCs w:val="26"/>
              </w:rPr>
              <w:t>Tiesību akta projekta izpildes nodrošināšana un tās ietekme uz institūcijām</w:t>
            </w:r>
          </w:p>
        </w:tc>
      </w:tr>
      <w:tr w:rsidR="00070AB0" w:rsidRPr="00A048C0" w:rsidTr="001745B2">
        <w:tc>
          <w:tcPr>
            <w:tcW w:w="5000" w:type="pct"/>
            <w:gridSpan w:val="4"/>
            <w:tcBorders>
              <w:top w:val="outset" w:sz="6" w:space="0" w:color="000000"/>
              <w:left w:val="outset" w:sz="6" w:space="0" w:color="000000"/>
              <w:bottom w:val="outset" w:sz="6" w:space="0" w:color="000000"/>
              <w:right w:val="outset" w:sz="6" w:space="0" w:color="000000"/>
            </w:tcBorders>
          </w:tcPr>
          <w:p w:rsidR="00070AB0" w:rsidRPr="00A048C0" w:rsidRDefault="00070AB0" w:rsidP="001B67E2">
            <w:pPr>
              <w:jc w:val="center"/>
              <w:rPr>
                <w:rFonts w:eastAsia="Times New Roman" w:cs="Times New Roman"/>
                <w:sz w:val="26"/>
                <w:szCs w:val="26"/>
                <w:lang w:eastAsia="lv-LV"/>
              </w:rPr>
            </w:pPr>
            <w:r w:rsidRPr="00A048C0">
              <w:rPr>
                <w:rFonts w:eastAsia="Times New Roman" w:cs="Times New Roman"/>
                <w:sz w:val="26"/>
                <w:szCs w:val="26"/>
                <w:lang w:eastAsia="lv-LV"/>
              </w:rPr>
              <w:t>Projekts šo jomu neskar</w:t>
            </w:r>
          </w:p>
        </w:tc>
      </w:tr>
      <w:tr w:rsidR="001745B2" w:rsidRPr="0056652C" w:rsidTr="001745B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86" w:type="pct"/>
          <w:wAfter w:w="121" w:type="pct"/>
        </w:trPr>
        <w:tc>
          <w:tcPr>
            <w:tcW w:w="2343" w:type="pct"/>
          </w:tcPr>
          <w:p w:rsidR="001745B2" w:rsidRPr="0056652C" w:rsidRDefault="001745B2" w:rsidP="00985AA4">
            <w:pPr>
              <w:jc w:val="both"/>
              <w:rPr>
                <w:rFonts w:eastAsia="Times New Roman" w:cs="Times New Roman"/>
                <w:sz w:val="26"/>
                <w:szCs w:val="26"/>
                <w:lang w:eastAsia="lv-LV"/>
              </w:rPr>
            </w:pPr>
          </w:p>
          <w:p w:rsidR="001745B2" w:rsidRDefault="001745B2" w:rsidP="00985AA4">
            <w:pPr>
              <w:jc w:val="both"/>
              <w:rPr>
                <w:rFonts w:eastAsia="Times New Roman" w:cs="Times New Roman"/>
                <w:sz w:val="26"/>
                <w:szCs w:val="26"/>
                <w:lang w:eastAsia="lv-LV"/>
              </w:rPr>
            </w:pPr>
          </w:p>
          <w:p w:rsidR="001745B2" w:rsidRDefault="001745B2" w:rsidP="00985AA4">
            <w:pPr>
              <w:jc w:val="both"/>
              <w:rPr>
                <w:rFonts w:eastAsia="Times New Roman" w:cs="Times New Roman"/>
                <w:sz w:val="26"/>
                <w:szCs w:val="26"/>
                <w:lang w:eastAsia="lv-LV"/>
              </w:rPr>
            </w:pPr>
          </w:p>
          <w:p w:rsidR="001745B2" w:rsidRPr="0056652C" w:rsidRDefault="001745B2" w:rsidP="00985AA4">
            <w:pPr>
              <w:jc w:val="both"/>
              <w:rPr>
                <w:rFonts w:eastAsia="Times New Roman" w:cs="Times New Roman"/>
                <w:sz w:val="26"/>
                <w:szCs w:val="26"/>
                <w:lang w:eastAsia="lv-LV"/>
              </w:rPr>
            </w:pPr>
            <w:r w:rsidRPr="0056652C">
              <w:rPr>
                <w:rFonts w:eastAsia="Times New Roman" w:cs="Times New Roman"/>
                <w:sz w:val="26"/>
                <w:szCs w:val="26"/>
                <w:lang w:eastAsia="lv-LV"/>
              </w:rPr>
              <w:t>Iesniedzējs:</w:t>
            </w:r>
          </w:p>
        </w:tc>
        <w:tc>
          <w:tcPr>
            <w:tcW w:w="2450" w:type="pct"/>
          </w:tcPr>
          <w:p w:rsidR="001745B2" w:rsidRPr="0056652C" w:rsidRDefault="001745B2" w:rsidP="00985AA4">
            <w:pPr>
              <w:jc w:val="right"/>
              <w:rPr>
                <w:rFonts w:eastAsia="Times New Roman" w:cs="Times New Roman"/>
                <w:sz w:val="26"/>
                <w:szCs w:val="26"/>
                <w:lang w:eastAsia="lv-LV"/>
              </w:rPr>
            </w:pPr>
          </w:p>
        </w:tc>
      </w:tr>
      <w:tr w:rsidR="001745B2" w:rsidRPr="0056652C" w:rsidTr="001745B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86" w:type="pct"/>
          <w:wAfter w:w="121" w:type="pct"/>
        </w:trPr>
        <w:tc>
          <w:tcPr>
            <w:tcW w:w="2343" w:type="pct"/>
          </w:tcPr>
          <w:p w:rsidR="001745B2" w:rsidRPr="0056652C" w:rsidRDefault="001745B2" w:rsidP="00985AA4">
            <w:pPr>
              <w:jc w:val="both"/>
              <w:rPr>
                <w:rFonts w:eastAsia="Times New Roman" w:cs="Times New Roman"/>
                <w:sz w:val="26"/>
                <w:szCs w:val="26"/>
                <w:lang w:eastAsia="lv-LV"/>
              </w:rPr>
            </w:pPr>
            <w:r w:rsidRPr="0056652C">
              <w:rPr>
                <w:rFonts w:eastAsia="Times New Roman" w:cs="Times New Roman"/>
                <w:sz w:val="26"/>
                <w:szCs w:val="26"/>
                <w:lang w:eastAsia="lv-LV"/>
              </w:rPr>
              <w:t>Ministru prezidenta biedrs, ekonomikas ministrs</w:t>
            </w:r>
          </w:p>
        </w:tc>
        <w:tc>
          <w:tcPr>
            <w:tcW w:w="2450" w:type="pct"/>
          </w:tcPr>
          <w:p w:rsidR="001745B2" w:rsidRPr="0056652C" w:rsidRDefault="001745B2" w:rsidP="00985AA4">
            <w:pPr>
              <w:tabs>
                <w:tab w:val="left" w:pos="2086"/>
              </w:tabs>
              <w:jc w:val="right"/>
              <w:rPr>
                <w:rFonts w:eastAsia="Times New Roman" w:cs="Times New Roman"/>
                <w:sz w:val="26"/>
                <w:szCs w:val="26"/>
                <w:lang w:eastAsia="lv-LV"/>
              </w:rPr>
            </w:pPr>
          </w:p>
          <w:p w:rsidR="001745B2" w:rsidRPr="0056652C" w:rsidRDefault="001745B2" w:rsidP="00985AA4">
            <w:pPr>
              <w:tabs>
                <w:tab w:val="left" w:pos="2086"/>
              </w:tabs>
              <w:jc w:val="right"/>
              <w:rPr>
                <w:rFonts w:eastAsia="Times New Roman" w:cs="Times New Roman"/>
                <w:sz w:val="26"/>
                <w:szCs w:val="26"/>
                <w:lang w:eastAsia="lv-LV"/>
              </w:rPr>
            </w:pPr>
            <w:r w:rsidRPr="0056652C">
              <w:rPr>
                <w:rFonts w:eastAsia="Times New Roman" w:cs="Times New Roman"/>
                <w:sz w:val="26"/>
                <w:szCs w:val="26"/>
                <w:lang w:eastAsia="lv-LV"/>
              </w:rPr>
              <w:t xml:space="preserve"> </w:t>
            </w:r>
            <w:proofErr w:type="spellStart"/>
            <w:r w:rsidRPr="0056652C">
              <w:rPr>
                <w:rFonts w:eastAsia="Times New Roman" w:cs="Times New Roman"/>
                <w:sz w:val="26"/>
                <w:szCs w:val="26"/>
                <w:lang w:eastAsia="lv-LV"/>
              </w:rPr>
              <w:t>A.Ašeradens</w:t>
            </w:r>
            <w:proofErr w:type="spellEnd"/>
          </w:p>
        </w:tc>
      </w:tr>
      <w:tr w:rsidR="001745B2" w:rsidRPr="0056652C" w:rsidTr="001745B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86" w:type="pct"/>
          <w:wAfter w:w="121" w:type="pct"/>
        </w:trPr>
        <w:tc>
          <w:tcPr>
            <w:tcW w:w="2343" w:type="pct"/>
          </w:tcPr>
          <w:p w:rsidR="001745B2" w:rsidRPr="0056652C" w:rsidRDefault="001745B2" w:rsidP="00985AA4">
            <w:pPr>
              <w:jc w:val="both"/>
              <w:rPr>
                <w:rFonts w:eastAsia="Times New Roman" w:cs="Times New Roman"/>
                <w:sz w:val="26"/>
                <w:szCs w:val="26"/>
                <w:lang w:eastAsia="lv-LV"/>
              </w:rPr>
            </w:pPr>
          </w:p>
          <w:p w:rsidR="001745B2" w:rsidRPr="0056652C" w:rsidRDefault="001745B2" w:rsidP="00985AA4">
            <w:pPr>
              <w:jc w:val="both"/>
              <w:rPr>
                <w:rFonts w:eastAsia="Times New Roman" w:cs="Times New Roman"/>
                <w:sz w:val="26"/>
                <w:szCs w:val="26"/>
                <w:lang w:eastAsia="lv-LV"/>
              </w:rPr>
            </w:pPr>
            <w:r w:rsidRPr="0056652C">
              <w:rPr>
                <w:rFonts w:eastAsia="Times New Roman" w:cs="Times New Roman"/>
                <w:sz w:val="26"/>
                <w:szCs w:val="26"/>
                <w:lang w:eastAsia="lv-LV"/>
              </w:rPr>
              <w:t>Vīza: valsts sekretāra pienākumu izpildītājs,</w:t>
            </w:r>
          </w:p>
          <w:p w:rsidR="001745B2" w:rsidRPr="0056652C" w:rsidRDefault="001745B2" w:rsidP="00985AA4">
            <w:pPr>
              <w:jc w:val="both"/>
              <w:rPr>
                <w:rFonts w:eastAsia="Times New Roman" w:cs="Times New Roman"/>
                <w:sz w:val="26"/>
                <w:szCs w:val="26"/>
                <w:lang w:eastAsia="lv-LV"/>
              </w:rPr>
            </w:pPr>
            <w:r w:rsidRPr="0056652C">
              <w:rPr>
                <w:rFonts w:eastAsia="Times New Roman" w:cs="Times New Roman"/>
                <w:sz w:val="26"/>
                <w:szCs w:val="26"/>
                <w:lang w:eastAsia="lv-LV"/>
              </w:rPr>
              <w:t>valsts sekretāra vietnieks</w:t>
            </w:r>
          </w:p>
          <w:p w:rsidR="001745B2" w:rsidRPr="0056652C" w:rsidRDefault="001745B2" w:rsidP="00985AA4">
            <w:pPr>
              <w:jc w:val="both"/>
              <w:rPr>
                <w:rFonts w:eastAsia="Times New Roman" w:cs="Times New Roman"/>
                <w:sz w:val="26"/>
                <w:szCs w:val="26"/>
                <w:lang w:eastAsia="lv-LV"/>
              </w:rPr>
            </w:pPr>
          </w:p>
        </w:tc>
        <w:tc>
          <w:tcPr>
            <w:tcW w:w="2450" w:type="pct"/>
          </w:tcPr>
          <w:p w:rsidR="001745B2" w:rsidRPr="0056652C" w:rsidRDefault="001745B2" w:rsidP="00985AA4">
            <w:pPr>
              <w:jc w:val="both"/>
              <w:rPr>
                <w:rFonts w:eastAsia="Times New Roman" w:cs="Times New Roman"/>
                <w:sz w:val="26"/>
                <w:szCs w:val="26"/>
                <w:lang w:eastAsia="lv-LV"/>
              </w:rPr>
            </w:pPr>
          </w:p>
          <w:p w:rsidR="001745B2" w:rsidRPr="0056652C" w:rsidRDefault="001745B2" w:rsidP="00985AA4">
            <w:pPr>
              <w:jc w:val="right"/>
              <w:rPr>
                <w:rFonts w:eastAsia="Times New Roman" w:cs="Times New Roman"/>
                <w:sz w:val="26"/>
                <w:szCs w:val="26"/>
                <w:lang w:eastAsia="lv-LV"/>
              </w:rPr>
            </w:pPr>
          </w:p>
          <w:p w:rsidR="001745B2" w:rsidRPr="0056652C" w:rsidRDefault="001745B2" w:rsidP="00985AA4">
            <w:pPr>
              <w:jc w:val="right"/>
              <w:rPr>
                <w:rFonts w:eastAsia="Times New Roman" w:cs="Times New Roman"/>
                <w:sz w:val="26"/>
                <w:szCs w:val="26"/>
                <w:lang w:eastAsia="lv-LV"/>
              </w:rPr>
            </w:pPr>
          </w:p>
          <w:p w:rsidR="001745B2" w:rsidRPr="0056652C" w:rsidRDefault="001745B2" w:rsidP="00985AA4">
            <w:pPr>
              <w:jc w:val="right"/>
              <w:rPr>
                <w:rFonts w:eastAsia="Times New Roman" w:cs="Times New Roman"/>
                <w:sz w:val="26"/>
                <w:szCs w:val="26"/>
                <w:lang w:eastAsia="lv-LV"/>
              </w:rPr>
            </w:pPr>
            <w:proofErr w:type="spellStart"/>
            <w:r w:rsidRPr="0056652C">
              <w:rPr>
                <w:rFonts w:eastAsia="Times New Roman" w:cs="Times New Roman"/>
                <w:sz w:val="26"/>
                <w:szCs w:val="26"/>
                <w:lang w:eastAsia="lv-LV"/>
              </w:rPr>
              <w:t>R.Aleksejenko</w:t>
            </w:r>
            <w:proofErr w:type="spellEnd"/>
          </w:p>
        </w:tc>
      </w:tr>
      <w:tr w:rsidR="001745B2" w:rsidRPr="0056652C" w:rsidTr="001745B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86" w:type="pct"/>
          <w:wAfter w:w="121" w:type="pct"/>
        </w:trPr>
        <w:tc>
          <w:tcPr>
            <w:tcW w:w="2343" w:type="pct"/>
          </w:tcPr>
          <w:p w:rsidR="001745B2" w:rsidRPr="0056652C" w:rsidRDefault="001745B2" w:rsidP="00985AA4">
            <w:pPr>
              <w:jc w:val="both"/>
              <w:rPr>
                <w:rFonts w:eastAsia="Times New Roman" w:cs="Times New Roman"/>
                <w:sz w:val="26"/>
                <w:szCs w:val="26"/>
                <w:lang w:eastAsia="lv-LV"/>
              </w:rPr>
            </w:pPr>
          </w:p>
        </w:tc>
        <w:tc>
          <w:tcPr>
            <w:tcW w:w="2450" w:type="pct"/>
          </w:tcPr>
          <w:p w:rsidR="001745B2" w:rsidRPr="0056652C" w:rsidRDefault="001745B2" w:rsidP="00985AA4">
            <w:pPr>
              <w:jc w:val="both"/>
              <w:rPr>
                <w:rFonts w:eastAsia="Times New Roman" w:cs="Times New Roman"/>
                <w:sz w:val="26"/>
                <w:szCs w:val="26"/>
                <w:lang w:eastAsia="lv-LV"/>
              </w:rPr>
            </w:pPr>
          </w:p>
        </w:tc>
      </w:tr>
    </w:tbl>
    <w:p w:rsidR="00BE5EE5" w:rsidRPr="00A048C0" w:rsidRDefault="00BE5EE5" w:rsidP="00BE5EE5">
      <w:pPr>
        <w:rPr>
          <w:rFonts w:cs="Times New Roman"/>
          <w:sz w:val="26"/>
          <w:szCs w:val="26"/>
        </w:rPr>
      </w:pPr>
    </w:p>
    <w:p w:rsidR="00FA5C3F" w:rsidRPr="00A048C0" w:rsidRDefault="00FA5C3F" w:rsidP="00FA5C3F">
      <w:pPr>
        <w:rPr>
          <w:rFonts w:eastAsia="Times New Roman" w:cs="Times New Roman"/>
          <w:sz w:val="20"/>
          <w:szCs w:val="20"/>
          <w:lang w:eastAsia="lv-LV"/>
        </w:rPr>
      </w:pPr>
      <w:r w:rsidRPr="00A048C0">
        <w:rPr>
          <w:rFonts w:cs="Times New Roman"/>
          <w:sz w:val="20"/>
          <w:szCs w:val="20"/>
        </w:rPr>
        <w:fldChar w:fldCharType="begin"/>
      </w:r>
      <w:r w:rsidRPr="00A048C0">
        <w:rPr>
          <w:rFonts w:cs="Times New Roman"/>
          <w:sz w:val="20"/>
          <w:szCs w:val="20"/>
        </w:rPr>
        <w:instrText xml:space="preserve"> DATE   \* MERGEFORMAT </w:instrText>
      </w:r>
      <w:r w:rsidRPr="00A048C0">
        <w:rPr>
          <w:rFonts w:cs="Times New Roman"/>
          <w:sz w:val="20"/>
          <w:szCs w:val="20"/>
        </w:rPr>
        <w:fldChar w:fldCharType="separate"/>
      </w:r>
      <w:r w:rsidR="001745B2" w:rsidRPr="001745B2">
        <w:rPr>
          <w:rFonts w:eastAsia="Times New Roman" w:cs="Times New Roman"/>
          <w:noProof/>
          <w:sz w:val="20"/>
          <w:szCs w:val="20"/>
          <w:lang w:eastAsia="lv-LV"/>
        </w:rPr>
        <w:t>22.02.2016</w:t>
      </w:r>
      <w:r w:rsidRPr="00A048C0">
        <w:rPr>
          <w:rFonts w:eastAsia="Times New Roman" w:cs="Times New Roman"/>
          <w:noProof/>
          <w:sz w:val="20"/>
          <w:szCs w:val="20"/>
          <w:lang w:eastAsia="lv-LV"/>
        </w:rPr>
        <w:fldChar w:fldCharType="end"/>
      </w:r>
      <w:r w:rsidRPr="00A048C0">
        <w:rPr>
          <w:rFonts w:eastAsia="Times New Roman" w:cs="Times New Roman"/>
          <w:sz w:val="20"/>
          <w:szCs w:val="20"/>
          <w:lang w:eastAsia="lv-LV"/>
        </w:rPr>
        <w:t xml:space="preserve"> </w:t>
      </w:r>
      <w:r w:rsidRPr="00A048C0">
        <w:rPr>
          <w:rFonts w:eastAsia="Times New Roman" w:cs="Times New Roman"/>
          <w:sz w:val="20"/>
          <w:szCs w:val="20"/>
          <w:lang w:eastAsia="lv-LV"/>
        </w:rPr>
        <w:fldChar w:fldCharType="begin"/>
      </w:r>
      <w:r w:rsidRPr="00A048C0">
        <w:rPr>
          <w:rFonts w:eastAsia="Times New Roman" w:cs="Times New Roman"/>
          <w:sz w:val="20"/>
          <w:szCs w:val="20"/>
          <w:lang w:eastAsia="lv-LV"/>
        </w:rPr>
        <w:instrText xml:space="preserve"> TIME  \@ "HH:mm"  \* MERGEFORMAT </w:instrText>
      </w:r>
      <w:r w:rsidRPr="00A048C0">
        <w:rPr>
          <w:rFonts w:eastAsia="Times New Roman" w:cs="Times New Roman"/>
          <w:sz w:val="20"/>
          <w:szCs w:val="20"/>
          <w:lang w:eastAsia="lv-LV"/>
        </w:rPr>
        <w:fldChar w:fldCharType="separate"/>
      </w:r>
      <w:r w:rsidR="004B41FD">
        <w:rPr>
          <w:rFonts w:eastAsia="Times New Roman" w:cs="Times New Roman"/>
          <w:noProof/>
          <w:sz w:val="20"/>
          <w:szCs w:val="20"/>
          <w:lang w:eastAsia="lv-LV"/>
        </w:rPr>
        <w:t>16:54</w:t>
      </w:r>
      <w:r w:rsidRPr="00A048C0">
        <w:rPr>
          <w:rFonts w:eastAsia="Times New Roman" w:cs="Times New Roman"/>
          <w:sz w:val="20"/>
          <w:szCs w:val="20"/>
          <w:lang w:eastAsia="lv-LV"/>
        </w:rPr>
        <w:fldChar w:fldCharType="end"/>
      </w:r>
      <w:bookmarkStart w:id="4" w:name="_GoBack"/>
      <w:bookmarkEnd w:id="4"/>
    </w:p>
    <w:p w:rsidR="00FE2170" w:rsidRPr="00A048C0" w:rsidRDefault="00FE2170" w:rsidP="00FA5C3F">
      <w:pPr>
        <w:rPr>
          <w:rFonts w:cs="Times New Roman"/>
          <w:sz w:val="20"/>
          <w:szCs w:val="20"/>
        </w:rPr>
      </w:pPr>
      <w:r w:rsidRPr="00A048C0">
        <w:rPr>
          <w:rFonts w:cs="Times New Roman"/>
          <w:sz w:val="20"/>
          <w:szCs w:val="20"/>
        </w:rPr>
        <w:fldChar w:fldCharType="begin"/>
      </w:r>
      <w:r w:rsidRPr="00A048C0">
        <w:rPr>
          <w:rFonts w:cs="Times New Roman"/>
          <w:sz w:val="20"/>
          <w:szCs w:val="20"/>
        </w:rPr>
        <w:instrText xml:space="preserve"> NUMWORDS   \* MERGEFORMAT </w:instrText>
      </w:r>
      <w:r w:rsidRPr="00A048C0">
        <w:rPr>
          <w:rFonts w:cs="Times New Roman"/>
          <w:sz w:val="20"/>
          <w:szCs w:val="20"/>
        </w:rPr>
        <w:fldChar w:fldCharType="separate"/>
      </w:r>
      <w:r w:rsidR="004B41FD">
        <w:rPr>
          <w:rFonts w:cs="Times New Roman"/>
          <w:noProof/>
          <w:sz w:val="20"/>
          <w:szCs w:val="20"/>
        </w:rPr>
        <w:t>639</w:t>
      </w:r>
      <w:r w:rsidRPr="00A048C0">
        <w:rPr>
          <w:rFonts w:cs="Times New Roman"/>
          <w:sz w:val="20"/>
          <w:szCs w:val="20"/>
        </w:rPr>
        <w:fldChar w:fldCharType="end"/>
      </w:r>
    </w:p>
    <w:p w:rsidR="00FA5C3F" w:rsidRPr="00A048C0" w:rsidRDefault="00FA5C3F" w:rsidP="00FA5C3F">
      <w:pPr>
        <w:rPr>
          <w:rFonts w:eastAsia="Times New Roman" w:cs="Times New Roman"/>
          <w:sz w:val="20"/>
          <w:szCs w:val="20"/>
          <w:lang w:eastAsia="lv-LV"/>
        </w:rPr>
      </w:pPr>
      <w:proofErr w:type="spellStart"/>
      <w:r w:rsidRPr="00A048C0">
        <w:rPr>
          <w:rFonts w:eastAsia="Times New Roman" w:cs="Times New Roman"/>
          <w:sz w:val="20"/>
          <w:szCs w:val="20"/>
          <w:lang w:eastAsia="lv-LV"/>
        </w:rPr>
        <w:t>D.Brūklītis</w:t>
      </w:r>
      <w:proofErr w:type="spellEnd"/>
      <w:r w:rsidR="000E1813" w:rsidRPr="00A048C0">
        <w:rPr>
          <w:rFonts w:eastAsia="Times New Roman" w:cs="Times New Roman"/>
          <w:sz w:val="20"/>
          <w:szCs w:val="20"/>
          <w:lang w:eastAsia="lv-LV"/>
        </w:rPr>
        <w:t>, 67013274</w:t>
      </w:r>
    </w:p>
    <w:p w:rsidR="00FA5C3F" w:rsidRPr="00A048C0" w:rsidRDefault="004B41FD" w:rsidP="00FA5C3F">
      <w:pPr>
        <w:tabs>
          <w:tab w:val="center" w:pos="4535"/>
        </w:tabs>
        <w:rPr>
          <w:rFonts w:cs="Times New Roman"/>
          <w:sz w:val="26"/>
          <w:szCs w:val="26"/>
        </w:rPr>
      </w:pPr>
      <w:hyperlink r:id="rId8" w:history="1">
        <w:r w:rsidR="00FA5C3F" w:rsidRPr="00A048C0">
          <w:rPr>
            <w:rFonts w:eastAsia="Times New Roman" w:cs="Times New Roman"/>
            <w:color w:val="0000FF" w:themeColor="hyperlink"/>
            <w:sz w:val="20"/>
            <w:szCs w:val="20"/>
            <w:u w:val="single"/>
            <w:lang w:eastAsia="lv-LV"/>
          </w:rPr>
          <w:t>Didzis.Bruklitis@em.gov.lv</w:t>
        </w:r>
      </w:hyperlink>
      <w:r w:rsidR="00530E6C" w:rsidRPr="00A048C0">
        <w:rPr>
          <w:rFonts w:eastAsia="Times New Roman" w:cs="Times New Roman"/>
          <w:sz w:val="20"/>
          <w:szCs w:val="20"/>
          <w:lang w:eastAsia="lv-LV"/>
        </w:rPr>
        <w:t xml:space="preserve"> </w:t>
      </w:r>
      <w:r w:rsidR="00FA5C3F" w:rsidRPr="00A048C0">
        <w:rPr>
          <w:rFonts w:cs="Times New Roman"/>
          <w:sz w:val="26"/>
          <w:szCs w:val="26"/>
        </w:rPr>
        <w:tab/>
      </w:r>
    </w:p>
    <w:sectPr w:rsidR="00FA5C3F" w:rsidRPr="00A048C0" w:rsidSect="00497A65">
      <w:headerReference w:type="even" r:id="rId9"/>
      <w:footerReference w:type="default" r:id="rId10"/>
      <w:footerReference w:type="first" r:id="rId11"/>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654" w:rsidRDefault="00306654" w:rsidP="00044D77">
      <w:r>
        <w:separator/>
      </w:r>
    </w:p>
  </w:endnote>
  <w:endnote w:type="continuationSeparator" w:id="0">
    <w:p w:rsidR="00306654" w:rsidRDefault="00306654" w:rsidP="0004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90" w:rsidRDefault="00E60448">
    <w:pPr>
      <w:pStyle w:val="Footer"/>
      <w:jc w:val="center"/>
    </w:pPr>
    <w:r>
      <w:fldChar w:fldCharType="begin"/>
    </w:r>
    <w:r>
      <w:instrText xml:space="preserve"> PAGE   \* MERGEFORMAT </w:instrText>
    </w:r>
    <w:r>
      <w:fldChar w:fldCharType="separate"/>
    </w:r>
    <w:r w:rsidR="004B41FD">
      <w:rPr>
        <w:noProof/>
      </w:rPr>
      <w:t>2</w:t>
    </w:r>
    <w:r>
      <w:rPr>
        <w:noProof/>
      </w:rPr>
      <w:fldChar w:fldCharType="end"/>
    </w:r>
  </w:p>
  <w:p w:rsidR="00851290" w:rsidRPr="00BC5939" w:rsidRDefault="00E60448" w:rsidP="00BB7498">
    <w:pPr>
      <w:pStyle w:val="Footer"/>
      <w:rPr>
        <w:rFonts w:cs="Times New Roman"/>
        <w:sz w:val="20"/>
        <w:szCs w:val="20"/>
      </w:rPr>
    </w:pPr>
    <w:r w:rsidRPr="00BC5939">
      <w:rPr>
        <w:rFonts w:cs="Times New Roman"/>
        <w:sz w:val="20"/>
        <w:szCs w:val="20"/>
      </w:rPr>
      <w:fldChar w:fldCharType="begin"/>
    </w:r>
    <w:r w:rsidRPr="00BC5939">
      <w:rPr>
        <w:rFonts w:cs="Times New Roman"/>
        <w:sz w:val="20"/>
        <w:szCs w:val="20"/>
      </w:rPr>
      <w:instrText xml:space="preserve"> FILENAME   \* MERGEFORMAT </w:instrText>
    </w:r>
    <w:r w:rsidRPr="00BC5939">
      <w:rPr>
        <w:rFonts w:cs="Times New Roman"/>
        <w:sz w:val="20"/>
        <w:szCs w:val="20"/>
      </w:rPr>
      <w:fldChar w:fldCharType="separate"/>
    </w:r>
    <w:r w:rsidR="004B41FD">
      <w:rPr>
        <w:rFonts w:cs="Times New Roman"/>
        <w:noProof/>
        <w:sz w:val="20"/>
        <w:szCs w:val="20"/>
      </w:rPr>
      <w:t>EMAnot_190216_KLSL.docx</w:t>
    </w:r>
    <w:r w:rsidRPr="00BC5939">
      <w:rPr>
        <w:rFonts w:cs="Times New Roman"/>
        <w:noProof/>
        <w:sz w:val="20"/>
        <w:szCs w:val="20"/>
      </w:rPr>
      <w:fldChar w:fldCharType="end"/>
    </w:r>
    <w:r w:rsidRPr="00BC5939">
      <w:rPr>
        <w:rFonts w:cs="Times New Roman"/>
        <w:sz w:val="20"/>
        <w:szCs w:val="20"/>
      </w:rPr>
      <w:t xml:space="preserve">; Likumprojekta </w:t>
    </w:r>
    <w:r w:rsidR="00BC5939" w:rsidRPr="00BC5939">
      <w:rPr>
        <w:rFonts w:eastAsia="Times New Roman" w:cs="Times New Roman"/>
        <w:sz w:val="20"/>
        <w:szCs w:val="20"/>
        <w:lang w:eastAsia="lv-LV"/>
      </w:rPr>
      <w:t>„</w:t>
    </w:r>
    <w:r w:rsidR="00DE27ED">
      <w:rPr>
        <w:rFonts w:eastAsia="Times New Roman" w:cs="Times New Roman"/>
        <w:sz w:val="20"/>
        <w:szCs w:val="20"/>
        <w:lang w:eastAsia="lv-LV"/>
      </w:rPr>
      <w:t xml:space="preserve">Grozījums </w:t>
    </w:r>
    <w:r w:rsidR="00BC5939" w:rsidRPr="00BC5939">
      <w:rPr>
        <w:rFonts w:eastAsia="Times New Roman" w:cs="Times New Roman"/>
        <w:sz w:val="20"/>
        <w:szCs w:val="20"/>
        <w:lang w:eastAsia="lv-LV"/>
      </w:rPr>
      <w:t>Komerclikuma spēkā stāšanās kārtības likumā”</w:t>
    </w:r>
    <w:r w:rsidRPr="00BC5939">
      <w:rPr>
        <w:rFonts w:cs="Times New Roman"/>
        <w:sz w:val="20"/>
        <w:szCs w:val="20"/>
      </w:rPr>
      <w:t xml:space="preserve">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90" w:rsidRPr="00A30A28" w:rsidRDefault="00E60448" w:rsidP="00BB7498">
    <w:pPr>
      <w:jc w:val="both"/>
      <w:rPr>
        <w:sz w:val="20"/>
        <w:szCs w:val="20"/>
      </w:rPr>
    </w:pPr>
    <w:r w:rsidRPr="00A30A28">
      <w:rPr>
        <w:sz w:val="20"/>
        <w:szCs w:val="20"/>
      </w:rPr>
      <w:t>EMAnot_</w:t>
    </w:r>
    <w:r>
      <w:rPr>
        <w:sz w:val="20"/>
        <w:szCs w:val="20"/>
      </w:rPr>
      <w:t>221012</w:t>
    </w:r>
    <w:r w:rsidRPr="00A30A28">
      <w:rPr>
        <w:sz w:val="20"/>
        <w:szCs w:val="20"/>
      </w:rPr>
      <w:t>_</w:t>
    </w:r>
    <w:r>
      <w:rPr>
        <w:sz w:val="20"/>
        <w:szCs w:val="20"/>
      </w:rPr>
      <w:t>grozPTAL</w:t>
    </w:r>
    <w:r w:rsidRPr="00A30A28">
      <w:rPr>
        <w:sz w:val="20"/>
        <w:szCs w:val="20"/>
      </w:rPr>
      <w:t xml:space="preserve">; </w:t>
    </w:r>
    <w:r>
      <w:rPr>
        <w:sz w:val="20"/>
        <w:szCs w:val="20"/>
      </w:rPr>
      <w:t>Likum</w:t>
    </w:r>
    <w:r w:rsidRPr="00A30A28">
      <w:rPr>
        <w:sz w:val="20"/>
        <w:szCs w:val="20"/>
      </w:rPr>
      <w:t>projekta „</w:t>
    </w:r>
    <w:r>
      <w:rPr>
        <w:sz w:val="20"/>
        <w:szCs w:val="20"/>
      </w:rPr>
      <w:t>Grozījumi Patērētāju tiesību aizsardzības likumā</w:t>
    </w:r>
    <w:r w:rsidRPr="00A30A28">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654" w:rsidRDefault="00306654" w:rsidP="00044D77">
      <w:r>
        <w:separator/>
      </w:r>
    </w:p>
  </w:footnote>
  <w:footnote w:type="continuationSeparator" w:id="0">
    <w:p w:rsidR="00306654" w:rsidRDefault="00306654" w:rsidP="0004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90" w:rsidRDefault="00E60448" w:rsidP="00BB74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290" w:rsidRDefault="004B4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2212B"/>
    <w:multiLevelType w:val="hybridMultilevel"/>
    <w:tmpl w:val="842AB02C"/>
    <w:lvl w:ilvl="0" w:tplc="0CFEE2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50A1CD7"/>
    <w:multiLevelType w:val="hybridMultilevel"/>
    <w:tmpl w:val="2214D17A"/>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043163"/>
    <w:multiLevelType w:val="hybridMultilevel"/>
    <w:tmpl w:val="3496E876"/>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3" w15:restartNumberingAfterBreak="0">
    <w:nsid w:val="44F6564A"/>
    <w:multiLevelType w:val="hybridMultilevel"/>
    <w:tmpl w:val="8362AB86"/>
    <w:lvl w:ilvl="0" w:tplc="EA3A58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A5A269F"/>
    <w:multiLevelType w:val="hybridMultilevel"/>
    <w:tmpl w:val="D0B6585C"/>
    <w:lvl w:ilvl="0" w:tplc="DA769D22">
      <w:start w:val="1"/>
      <w:numFmt w:val="decimal"/>
      <w:lvlText w:val="%1)"/>
      <w:lvlJc w:val="left"/>
      <w:pPr>
        <w:ind w:left="1290" w:hanging="795"/>
      </w:pPr>
      <w:rPr>
        <w:rFonts w:hint="default"/>
      </w:r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5" w15:restartNumberingAfterBreak="0">
    <w:nsid w:val="67486FCA"/>
    <w:multiLevelType w:val="hybridMultilevel"/>
    <w:tmpl w:val="4644F188"/>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6" w15:restartNumberingAfterBreak="0">
    <w:nsid w:val="73F314EA"/>
    <w:multiLevelType w:val="hybridMultilevel"/>
    <w:tmpl w:val="195AE22C"/>
    <w:lvl w:ilvl="0" w:tplc="0C3A7DF8">
      <w:start w:val="1"/>
      <w:numFmt w:val="decimal"/>
      <w:lvlText w:val="%1)"/>
      <w:lvlJc w:val="left"/>
      <w:pPr>
        <w:ind w:left="853" w:hanging="360"/>
      </w:pPr>
      <w:rPr>
        <w:rFonts w:hint="default"/>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abstractNum w:abstractNumId="7" w15:restartNumberingAfterBreak="0">
    <w:nsid w:val="7A7A70A4"/>
    <w:multiLevelType w:val="hybridMultilevel"/>
    <w:tmpl w:val="E3281DC6"/>
    <w:lvl w:ilvl="0" w:tplc="F98C1706">
      <w:start w:val="1"/>
      <w:numFmt w:val="decimal"/>
      <w:lvlText w:val="%1)"/>
      <w:lvlJc w:val="left"/>
      <w:pPr>
        <w:ind w:left="1213" w:hanging="360"/>
      </w:pPr>
      <w:rPr>
        <w:rFonts w:hint="default"/>
      </w:rPr>
    </w:lvl>
    <w:lvl w:ilvl="1" w:tplc="04260019" w:tentative="1">
      <w:start w:val="1"/>
      <w:numFmt w:val="lowerLetter"/>
      <w:lvlText w:val="%2."/>
      <w:lvlJc w:val="left"/>
      <w:pPr>
        <w:ind w:left="1933" w:hanging="360"/>
      </w:pPr>
    </w:lvl>
    <w:lvl w:ilvl="2" w:tplc="0426001B" w:tentative="1">
      <w:start w:val="1"/>
      <w:numFmt w:val="lowerRoman"/>
      <w:lvlText w:val="%3."/>
      <w:lvlJc w:val="right"/>
      <w:pPr>
        <w:ind w:left="2653" w:hanging="180"/>
      </w:pPr>
    </w:lvl>
    <w:lvl w:ilvl="3" w:tplc="0426000F" w:tentative="1">
      <w:start w:val="1"/>
      <w:numFmt w:val="decimal"/>
      <w:lvlText w:val="%4."/>
      <w:lvlJc w:val="left"/>
      <w:pPr>
        <w:ind w:left="3373" w:hanging="360"/>
      </w:pPr>
    </w:lvl>
    <w:lvl w:ilvl="4" w:tplc="04260019" w:tentative="1">
      <w:start w:val="1"/>
      <w:numFmt w:val="lowerLetter"/>
      <w:lvlText w:val="%5."/>
      <w:lvlJc w:val="left"/>
      <w:pPr>
        <w:ind w:left="4093" w:hanging="360"/>
      </w:pPr>
    </w:lvl>
    <w:lvl w:ilvl="5" w:tplc="0426001B" w:tentative="1">
      <w:start w:val="1"/>
      <w:numFmt w:val="lowerRoman"/>
      <w:lvlText w:val="%6."/>
      <w:lvlJc w:val="right"/>
      <w:pPr>
        <w:ind w:left="4813" w:hanging="180"/>
      </w:pPr>
    </w:lvl>
    <w:lvl w:ilvl="6" w:tplc="0426000F" w:tentative="1">
      <w:start w:val="1"/>
      <w:numFmt w:val="decimal"/>
      <w:lvlText w:val="%7."/>
      <w:lvlJc w:val="left"/>
      <w:pPr>
        <w:ind w:left="5533" w:hanging="360"/>
      </w:pPr>
    </w:lvl>
    <w:lvl w:ilvl="7" w:tplc="04260019" w:tentative="1">
      <w:start w:val="1"/>
      <w:numFmt w:val="lowerLetter"/>
      <w:lvlText w:val="%8."/>
      <w:lvlJc w:val="left"/>
      <w:pPr>
        <w:ind w:left="6253" w:hanging="360"/>
      </w:pPr>
    </w:lvl>
    <w:lvl w:ilvl="8" w:tplc="0426001B" w:tentative="1">
      <w:start w:val="1"/>
      <w:numFmt w:val="lowerRoman"/>
      <w:lvlText w:val="%9."/>
      <w:lvlJc w:val="right"/>
      <w:pPr>
        <w:ind w:left="6973" w:hanging="180"/>
      </w:pPr>
    </w:lvl>
  </w:abstractNum>
  <w:num w:numId="1">
    <w:abstractNumId w:val="6"/>
  </w:num>
  <w:num w:numId="2">
    <w:abstractNumId w:val="5"/>
  </w:num>
  <w:num w:numId="3">
    <w:abstractNumId w:val="1"/>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3F"/>
    <w:rsid w:val="00014B3C"/>
    <w:rsid w:val="000425E1"/>
    <w:rsid w:val="00044D77"/>
    <w:rsid w:val="00070AB0"/>
    <w:rsid w:val="000976E6"/>
    <w:rsid w:val="000A38B4"/>
    <w:rsid w:val="000D1C0B"/>
    <w:rsid w:val="000D4837"/>
    <w:rsid w:val="000E1813"/>
    <w:rsid w:val="000E46D5"/>
    <w:rsid w:val="00112977"/>
    <w:rsid w:val="001228A6"/>
    <w:rsid w:val="00125B3B"/>
    <w:rsid w:val="00137E38"/>
    <w:rsid w:val="00142604"/>
    <w:rsid w:val="001745B2"/>
    <w:rsid w:val="00190BC2"/>
    <w:rsid w:val="00192D65"/>
    <w:rsid w:val="00194337"/>
    <w:rsid w:val="001B7BD4"/>
    <w:rsid w:val="001C422F"/>
    <w:rsid w:val="001E08B0"/>
    <w:rsid w:val="00207143"/>
    <w:rsid w:val="002178F1"/>
    <w:rsid w:val="00233827"/>
    <w:rsid w:val="00237C6F"/>
    <w:rsid w:val="00265DA3"/>
    <w:rsid w:val="0029407E"/>
    <w:rsid w:val="002C1F9A"/>
    <w:rsid w:val="002C2997"/>
    <w:rsid w:val="00306654"/>
    <w:rsid w:val="00314F80"/>
    <w:rsid w:val="00326C8D"/>
    <w:rsid w:val="00340687"/>
    <w:rsid w:val="00344B38"/>
    <w:rsid w:val="00344C32"/>
    <w:rsid w:val="0034715B"/>
    <w:rsid w:val="00350DE4"/>
    <w:rsid w:val="003763E9"/>
    <w:rsid w:val="00386313"/>
    <w:rsid w:val="00392A45"/>
    <w:rsid w:val="003A5E0C"/>
    <w:rsid w:val="003C2417"/>
    <w:rsid w:val="003E3F8D"/>
    <w:rsid w:val="003F07BE"/>
    <w:rsid w:val="003F37B2"/>
    <w:rsid w:val="003F61BC"/>
    <w:rsid w:val="004154D0"/>
    <w:rsid w:val="00435AF5"/>
    <w:rsid w:val="004435A1"/>
    <w:rsid w:val="004564ED"/>
    <w:rsid w:val="00494BA2"/>
    <w:rsid w:val="00497A65"/>
    <w:rsid w:val="004B41FD"/>
    <w:rsid w:val="004C0FA8"/>
    <w:rsid w:val="004D159C"/>
    <w:rsid w:val="004E1A02"/>
    <w:rsid w:val="004E1F9B"/>
    <w:rsid w:val="00530E6C"/>
    <w:rsid w:val="0059021A"/>
    <w:rsid w:val="005E2DD7"/>
    <w:rsid w:val="005E51B7"/>
    <w:rsid w:val="006107BC"/>
    <w:rsid w:val="00623DCF"/>
    <w:rsid w:val="0062507E"/>
    <w:rsid w:val="00690E35"/>
    <w:rsid w:val="00696BA3"/>
    <w:rsid w:val="006E0779"/>
    <w:rsid w:val="006E569D"/>
    <w:rsid w:val="00706C52"/>
    <w:rsid w:val="00717A3B"/>
    <w:rsid w:val="00721EB6"/>
    <w:rsid w:val="00735F87"/>
    <w:rsid w:val="0074771B"/>
    <w:rsid w:val="00760042"/>
    <w:rsid w:val="00766D1C"/>
    <w:rsid w:val="00795A2E"/>
    <w:rsid w:val="007B5EBD"/>
    <w:rsid w:val="00837290"/>
    <w:rsid w:val="00854110"/>
    <w:rsid w:val="00866820"/>
    <w:rsid w:val="008862BD"/>
    <w:rsid w:val="00892E28"/>
    <w:rsid w:val="00944036"/>
    <w:rsid w:val="0094736C"/>
    <w:rsid w:val="00966034"/>
    <w:rsid w:val="009837EF"/>
    <w:rsid w:val="009C6C2A"/>
    <w:rsid w:val="00A048C0"/>
    <w:rsid w:val="00A40F54"/>
    <w:rsid w:val="00A411E2"/>
    <w:rsid w:val="00A53EE0"/>
    <w:rsid w:val="00AA5BB7"/>
    <w:rsid w:val="00AB74F3"/>
    <w:rsid w:val="00AF568E"/>
    <w:rsid w:val="00B12F68"/>
    <w:rsid w:val="00B4612B"/>
    <w:rsid w:val="00BA0C80"/>
    <w:rsid w:val="00BA6995"/>
    <w:rsid w:val="00BB5D18"/>
    <w:rsid w:val="00BC401B"/>
    <w:rsid w:val="00BC5939"/>
    <w:rsid w:val="00BD600A"/>
    <w:rsid w:val="00BE5EE5"/>
    <w:rsid w:val="00BF48C6"/>
    <w:rsid w:val="00C37A09"/>
    <w:rsid w:val="00C54958"/>
    <w:rsid w:val="00C60933"/>
    <w:rsid w:val="00C7273E"/>
    <w:rsid w:val="00C83A5B"/>
    <w:rsid w:val="00C87687"/>
    <w:rsid w:val="00C9751F"/>
    <w:rsid w:val="00CD65ED"/>
    <w:rsid w:val="00CE0739"/>
    <w:rsid w:val="00CE5A32"/>
    <w:rsid w:val="00CF33D5"/>
    <w:rsid w:val="00D01C14"/>
    <w:rsid w:val="00D0356B"/>
    <w:rsid w:val="00D54937"/>
    <w:rsid w:val="00D5575F"/>
    <w:rsid w:val="00D56AD4"/>
    <w:rsid w:val="00DB3199"/>
    <w:rsid w:val="00DB5790"/>
    <w:rsid w:val="00DE27ED"/>
    <w:rsid w:val="00DF1801"/>
    <w:rsid w:val="00E13A3D"/>
    <w:rsid w:val="00E60448"/>
    <w:rsid w:val="00E70178"/>
    <w:rsid w:val="00E81A6D"/>
    <w:rsid w:val="00E90674"/>
    <w:rsid w:val="00ED2E69"/>
    <w:rsid w:val="00ED458C"/>
    <w:rsid w:val="00EE516C"/>
    <w:rsid w:val="00F16618"/>
    <w:rsid w:val="00F25089"/>
    <w:rsid w:val="00F40CDD"/>
    <w:rsid w:val="00F429AA"/>
    <w:rsid w:val="00F54D05"/>
    <w:rsid w:val="00F65E6E"/>
    <w:rsid w:val="00F7526D"/>
    <w:rsid w:val="00F75346"/>
    <w:rsid w:val="00F83DAC"/>
    <w:rsid w:val="00F84FB2"/>
    <w:rsid w:val="00FA5C3F"/>
    <w:rsid w:val="00FD3824"/>
    <w:rsid w:val="00FE2170"/>
    <w:rsid w:val="00FE48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78ACD-5D90-40BF-A5DB-D7122281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C3F"/>
    <w:pPr>
      <w:tabs>
        <w:tab w:val="center" w:pos="4153"/>
        <w:tab w:val="right" w:pos="8306"/>
      </w:tabs>
    </w:pPr>
  </w:style>
  <w:style w:type="character" w:customStyle="1" w:styleId="HeaderChar">
    <w:name w:val="Header Char"/>
    <w:basedOn w:val="DefaultParagraphFont"/>
    <w:link w:val="Header"/>
    <w:uiPriority w:val="99"/>
    <w:rsid w:val="00FA5C3F"/>
  </w:style>
  <w:style w:type="paragraph" w:styleId="Footer">
    <w:name w:val="footer"/>
    <w:basedOn w:val="Normal"/>
    <w:link w:val="FooterChar"/>
    <w:uiPriority w:val="99"/>
    <w:unhideWhenUsed/>
    <w:rsid w:val="00FA5C3F"/>
    <w:pPr>
      <w:tabs>
        <w:tab w:val="center" w:pos="4153"/>
        <w:tab w:val="right" w:pos="8306"/>
      </w:tabs>
    </w:pPr>
  </w:style>
  <w:style w:type="character" w:customStyle="1" w:styleId="FooterChar">
    <w:name w:val="Footer Char"/>
    <w:basedOn w:val="DefaultParagraphFont"/>
    <w:link w:val="Footer"/>
    <w:uiPriority w:val="99"/>
    <w:rsid w:val="00FA5C3F"/>
  </w:style>
  <w:style w:type="character" w:styleId="PageNumber">
    <w:name w:val="page number"/>
    <w:rsid w:val="00FA5C3F"/>
  </w:style>
  <w:style w:type="paragraph" w:styleId="BalloonText">
    <w:name w:val="Balloon Text"/>
    <w:basedOn w:val="Normal"/>
    <w:link w:val="BalloonTextChar"/>
    <w:uiPriority w:val="99"/>
    <w:semiHidden/>
    <w:unhideWhenUsed/>
    <w:rsid w:val="00FA5C3F"/>
    <w:rPr>
      <w:rFonts w:ascii="Tahoma" w:hAnsi="Tahoma" w:cs="Tahoma"/>
      <w:sz w:val="16"/>
      <w:szCs w:val="16"/>
    </w:rPr>
  </w:style>
  <w:style w:type="character" w:customStyle="1" w:styleId="BalloonTextChar">
    <w:name w:val="Balloon Text Char"/>
    <w:basedOn w:val="DefaultParagraphFont"/>
    <w:link w:val="BalloonText"/>
    <w:uiPriority w:val="99"/>
    <w:semiHidden/>
    <w:rsid w:val="00FA5C3F"/>
    <w:rPr>
      <w:rFonts w:ascii="Tahoma" w:hAnsi="Tahoma" w:cs="Tahoma"/>
      <w:sz w:val="16"/>
      <w:szCs w:val="16"/>
    </w:rPr>
  </w:style>
  <w:style w:type="paragraph" w:styleId="ListParagraph">
    <w:name w:val="List Paragraph"/>
    <w:basedOn w:val="Normal"/>
    <w:uiPriority w:val="34"/>
    <w:qFormat/>
    <w:rsid w:val="0074771B"/>
    <w:pPr>
      <w:ind w:left="720"/>
      <w:contextualSpacing/>
    </w:pPr>
  </w:style>
  <w:style w:type="paragraph" w:customStyle="1" w:styleId="tvhtml">
    <w:name w:val="tv_html"/>
    <w:basedOn w:val="Normal"/>
    <w:rsid w:val="002178F1"/>
    <w:pPr>
      <w:spacing w:before="100" w:beforeAutospacing="1" w:after="100" w:afterAutospacing="1"/>
    </w:pPr>
    <w:rPr>
      <w:rFonts w:eastAsia="Times New Roman" w:cs="Times New Roman"/>
      <w:sz w:val="24"/>
      <w:szCs w:val="24"/>
      <w:lang w:eastAsia="lv-LV"/>
    </w:rPr>
  </w:style>
  <w:style w:type="character" w:customStyle="1" w:styleId="apple-style-span">
    <w:name w:val="apple-style-span"/>
    <w:basedOn w:val="DefaultParagraphFont"/>
    <w:rsid w:val="0037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3414">
      <w:bodyDiv w:val="1"/>
      <w:marLeft w:val="0"/>
      <w:marRight w:val="0"/>
      <w:marTop w:val="0"/>
      <w:marBottom w:val="0"/>
      <w:divBdr>
        <w:top w:val="none" w:sz="0" w:space="0" w:color="auto"/>
        <w:left w:val="none" w:sz="0" w:space="0" w:color="auto"/>
        <w:bottom w:val="none" w:sz="0" w:space="0" w:color="auto"/>
        <w:right w:val="none" w:sz="0" w:space="0" w:color="auto"/>
      </w:divBdr>
    </w:div>
    <w:div w:id="790249130">
      <w:bodyDiv w:val="1"/>
      <w:marLeft w:val="0"/>
      <w:marRight w:val="0"/>
      <w:marTop w:val="0"/>
      <w:marBottom w:val="0"/>
      <w:divBdr>
        <w:top w:val="none" w:sz="0" w:space="0" w:color="auto"/>
        <w:left w:val="none" w:sz="0" w:space="0" w:color="auto"/>
        <w:bottom w:val="none" w:sz="0" w:space="0" w:color="auto"/>
        <w:right w:val="none" w:sz="0" w:space="0" w:color="auto"/>
      </w:divBdr>
    </w:div>
    <w:div w:id="893003781">
      <w:bodyDiv w:val="1"/>
      <w:marLeft w:val="0"/>
      <w:marRight w:val="0"/>
      <w:marTop w:val="0"/>
      <w:marBottom w:val="0"/>
      <w:divBdr>
        <w:top w:val="none" w:sz="0" w:space="0" w:color="auto"/>
        <w:left w:val="none" w:sz="0" w:space="0" w:color="auto"/>
        <w:bottom w:val="none" w:sz="0" w:space="0" w:color="auto"/>
        <w:right w:val="none" w:sz="0" w:space="0" w:color="auto"/>
      </w:divBdr>
    </w:div>
    <w:div w:id="15950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zis.Brukliti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1E41C-E445-4B26-960B-E437FD09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664</Words>
  <Characters>5152</Characters>
  <Application>Microsoft Office Word</Application>
  <DocSecurity>0</DocSecurity>
  <Lines>184</Lines>
  <Paragraphs>70</Paragraphs>
  <ScaleCrop>false</ScaleCrop>
  <HeadingPairs>
    <vt:vector size="2" baseType="variant">
      <vt:variant>
        <vt:lpstr>Title</vt:lpstr>
      </vt:variant>
      <vt:variant>
        <vt:i4>1</vt:i4>
      </vt:variant>
    </vt:vector>
  </HeadingPairs>
  <TitlesOfParts>
    <vt:vector size="1" baseType="lpstr">
      <vt:lpstr>Likumprojekta „Grozījums Komerclikuma spēkā stāšanās kārtības likumā” sākotnējās ietekmes ziņojums (anotācija)</vt:lpstr>
    </vt:vector>
  </TitlesOfParts>
  <Company>LR Ekonomikas ministrija</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Komerclikuma spēkā stāšanās kārtības likumā” sākotnējās ietekmes ziņojums (anotācija)</dc:title>
  <dc:subject>Sākotnējās ietekmes ziņojums (anotācija)</dc:subject>
  <dc:creator>Didzis Brūklītis</dc:creator>
  <dc:description>67013274, Didzis.Bruklitis@em.gov.lv</dc:description>
  <cp:lastModifiedBy>Didzis Brūklītis</cp:lastModifiedBy>
  <cp:revision>17</cp:revision>
  <cp:lastPrinted>2015-12-28T12:28:00Z</cp:lastPrinted>
  <dcterms:created xsi:type="dcterms:W3CDTF">2015-12-18T09:59:00Z</dcterms:created>
  <dcterms:modified xsi:type="dcterms:W3CDTF">2016-02-22T14:55:00Z</dcterms:modified>
</cp:coreProperties>
</file>