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24" w:rsidRPr="00032772" w:rsidRDefault="00083724" w:rsidP="00D3054D">
      <w:pPr>
        <w:jc w:val="right"/>
        <w:rPr>
          <w:sz w:val="28"/>
          <w:szCs w:val="28"/>
        </w:rPr>
      </w:pPr>
      <w:r w:rsidRPr="00032772">
        <w:rPr>
          <w:sz w:val="28"/>
          <w:szCs w:val="28"/>
        </w:rPr>
        <w:t>Projekts</w:t>
      </w:r>
    </w:p>
    <w:p w:rsidR="00083724" w:rsidRPr="00032772" w:rsidRDefault="00083724" w:rsidP="00D3054D">
      <w:pPr>
        <w:rPr>
          <w:sz w:val="28"/>
          <w:szCs w:val="28"/>
        </w:rPr>
      </w:pPr>
    </w:p>
    <w:p w:rsidR="00083724" w:rsidRPr="00032772" w:rsidRDefault="00083724" w:rsidP="00D3054D">
      <w:pPr>
        <w:pStyle w:val="Heading7"/>
        <w:rPr>
          <w:b/>
          <w:szCs w:val="28"/>
        </w:rPr>
      </w:pPr>
      <w:r w:rsidRPr="00032772">
        <w:rPr>
          <w:b/>
          <w:szCs w:val="28"/>
        </w:rPr>
        <w:t>LATVIJAS REPUBLIKAS MINISTRU KABINETS</w:t>
      </w:r>
    </w:p>
    <w:p w:rsidR="00083724" w:rsidRPr="00F57D7B" w:rsidRDefault="00083724" w:rsidP="00D3054D">
      <w:pPr>
        <w:rPr>
          <w:sz w:val="26"/>
          <w:szCs w:val="26"/>
        </w:rPr>
      </w:pPr>
      <w:r>
        <w:rPr>
          <w:noProof/>
          <w:sz w:val="28"/>
          <w:szCs w:val="28"/>
          <w:lang w:eastAsia="lv-LV"/>
        </w:rPr>
        <mc:AlternateContent>
          <mc:Choice Requires="wps">
            <w:drawing>
              <wp:anchor distT="0" distB="0" distL="114300" distR="114300" simplePos="0" relativeHeight="251659264" behindDoc="0" locked="0" layoutInCell="0" allowOverlap="1" wp14:anchorId="6E34DE23" wp14:editId="7D3AC9F1">
                <wp:simplePos x="0" y="0"/>
                <wp:positionH relativeFrom="column">
                  <wp:posOffset>92075</wp:posOffset>
                </wp:positionH>
                <wp:positionV relativeFrom="paragraph">
                  <wp:posOffset>59690</wp:posOffset>
                </wp:positionV>
                <wp:extent cx="5669280" cy="0"/>
                <wp:effectExtent l="12700" t="11430" r="13970" b="1714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CD41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7pt" to="453.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eHQ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" o:allowincell="f" strokeweight="1.5pt">
                <w10:wrap type="topAndBottom"/>
              </v:line>
            </w:pict>
          </mc:Fallback>
        </mc:AlternateContent>
      </w:r>
    </w:p>
    <w:p w:rsidR="00E7640C" w:rsidRPr="00F57D7B" w:rsidRDefault="00E7640C" w:rsidP="00D3054D">
      <w:pPr>
        <w:rPr>
          <w:sz w:val="26"/>
          <w:szCs w:val="26"/>
        </w:rPr>
      </w:pPr>
    </w:p>
    <w:p w:rsidR="00E7640C" w:rsidRPr="00F57D7B" w:rsidRDefault="00E7640C" w:rsidP="00D3054D">
      <w:pPr>
        <w:rPr>
          <w:sz w:val="26"/>
          <w:szCs w:val="26"/>
        </w:rPr>
      </w:pPr>
    </w:p>
    <w:p w:rsidR="00083724" w:rsidRPr="00F57D7B" w:rsidRDefault="00083724" w:rsidP="00D71FAB">
      <w:pPr>
        <w:tabs>
          <w:tab w:val="left" w:pos="7088"/>
        </w:tabs>
        <w:rPr>
          <w:sz w:val="26"/>
          <w:szCs w:val="26"/>
        </w:rPr>
      </w:pPr>
      <w:r w:rsidRPr="00F57D7B">
        <w:rPr>
          <w:sz w:val="26"/>
          <w:szCs w:val="26"/>
        </w:rPr>
        <w:t>201</w:t>
      </w:r>
      <w:r w:rsidR="00F94825" w:rsidRPr="00F57D7B">
        <w:rPr>
          <w:sz w:val="26"/>
          <w:szCs w:val="26"/>
        </w:rPr>
        <w:t>6.gada</w:t>
      </w:r>
      <w:r w:rsidR="00B83B80" w:rsidRPr="00F57D7B">
        <w:rPr>
          <w:sz w:val="26"/>
          <w:szCs w:val="26"/>
        </w:rPr>
        <w:t xml:space="preserve">    .</w:t>
      </w:r>
      <w:r w:rsidR="002526E0" w:rsidRPr="00F57D7B">
        <w:rPr>
          <w:sz w:val="26"/>
          <w:szCs w:val="26"/>
        </w:rPr>
        <w:t>februārī</w:t>
      </w:r>
      <w:r w:rsidR="00D71FAB" w:rsidRPr="00F57D7B">
        <w:rPr>
          <w:sz w:val="26"/>
          <w:szCs w:val="26"/>
        </w:rPr>
        <w:tab/>
      </w:r>
      <w:r w:rsidR="00D71FAB" w:rsidRPr="00F57D7B">
        <w:rPr>
          <w:sz w:val="26"/>
          <w:szCs w:val="26"/>
        </w:rPr>
        <w:tab/>
        <w:t xml:space="preserve">   </w:t>
      </w:r>
      <w:r w:rsidRPr="00F57D7B">
        <w:rPr>
          <w:sz w:val="26"/>
          <w:szCs w:val="26"/>
        </w:rPr>
        <w:t>Noteikumi Nr.</w:t>
      </w:r>
    </w:p>
    <w:p w:rsidR="00083724" w:rsidRPr="00F57D7B" w:rsidRDefault="00D71FAB" w:rsidP="00D71FAB">
      <w:pPr>
        <w:tabs>
          <w:tab w:val="left" w:pos="7230"/>
        </w:tabs>
        <w:rPr>
          <w:sz w:val="26"/>
          <w:szCs w:val="26"/>
        </w:rPr>
      </w:pPr>
      <w:r w:rsidRPr="00F57D7B">
        <w:rPr>
          <w:sz w:val="26"/>
          <w:szCs w:val="26"/>
        </w:rPr>
        <w:t>Rīgā</w:t>
      </w:r>
      <w:r w:rsidRPr="00F57D7B">
        <w:rPr>
          <w:sz w:val="26"/>
          <w:szCs w:val="26"/>
        </w:rPr>
        <w:tab/>
      </w:r>
      <w:r w:rsidR="00083724" w:rsidRPr="00F57D7B">
        <w:rPr>
          <w:sz w:val="26"/>
          <w:szCs w:val="26"/>
        </w:rPr>
        <w:t>(prot. Nr.      .§)</w:t>
      </w:r>
    </w:p>
    <w:p w:rsidR="00083724" w:rsidRPr="00F57D7B" w:rsidRDefault="00083724" w:rsidP="00D3054D"/>
    <w:p w:rsidR="00083724" w:rsidRPr="00F57D7B" w:rsidRDefault="00095A69" w:rsidP="00095A69">
      <w:pPr>
        <w:pStyle w:val="BodyText"/>
        <w:rPr>
          <w:sz w:val="26"/>
          <w:szCs w:val="26"/>
        </w:rPr>
      </w:pPr>
      <w:r w:rsidRPr="00F57D7B">
        <w:rPr>
          <w:sz w:val="26"/>
          <w:szCs w:val="26"/>
        </w:rPr>
        <w:t xml:space="preserve">Grozījumi Ministru kabineta 2010.gada 30.marta noteikumos Nr.302 „Noteikumi par akcīzes nodokļa nodrošinājumiem” </w:t>
      </w:r>
    </w:p>
    <w:p w:rsidR="00095A69" w:rsidRPr="00F57D7B" w:rsidRDefault="00095A69" w:rsidP="00095A69">
      <w:pPr>
        <w:pStyle w:val="BodyText"/>
        <w:rPr>
          <w:sz w:val="20"/>
        </w:rPr>
      </w:pPr>
    </w:p>
    <w:p w:rsidR="00095A69" w:rsidRPr="00F57D7B" w:rsidRDefault="00095A69" w:rsidP="00D3054D">
      <w:pPr>
        <w:pStyle w:val="BodyText"/>
        <w:ind w:firstLine="709"/>
        <w:jc w:val="right"/>
        <w:rPr>
          <w:b w:val="0"/>
          <w:color w:val="000000" w:themeColor="text1"/>
          <w:sz w:val="26"/>
          <w:szCs w:val="26"/>
        </w:rPr>
      </w:pPr>
      <w:r w:rsidRPr="00F57D7B">
        <w:rPr>
          <w:b w:val="0"/>
          <w:color w:val="000000" w:themeColor="text1"/>
          <w:sz w:val="26"/>
          <w:szCs w:val="26"/>
        </w:rPr>
        <w:t xml:space="preserve">Izdoti saskaņā ar likuma </w:t>
      </w:r>
    </w:p>
    <w:p w:rsidR="00095A69" w:rsidRPr="00F57D7B" w:rsidRDefault="00303E8B" w:rsidP="00D3054D">
      <w:pPr>
        <w:pStyle w:val="BodyText"/>
        <w:ind w:firstLine="709"/>
        <w:jc w:val="right"/>
        <w:rPr>
          <w:b w:val="0"/>
          <w:color w:val="000000" w:themeColor="text1"/>
          <w:sz w:val="26"/>
          <w:szCs w:val="26"/>
        </w:rPr>
      </w:pPr>
      <w:r w:rsidRPr="00F57D7B">
        <w:rPr>
          <w:b w:val="0"/>
          <w:color w:val="000000" w:themeColor="text1"/>
          <w:sz w:val="26"/>
          <w:szCs w:val="26"/>
        </w:rPr>
        <w:t>„</w:t>
      </w:r>
      <w:hyperlink r:id="rId9" w:tgtFrame="_blank" w:history="1">
        <w:r w:rsidR="00095A69" w:rsidRPr="00F57D7B">
          <w:rPr>
            <w:rStyle w:val="Hyperlink"/>
            <w:b w:val="0"/>
            <w:color w:val="000000" w:themeColor="text1"/>
            <w:sz w:val="26"/>
            <w:szCs w:val="26"/>
            <w:u w:val="none"/>
          </w:rPr>
          <w:t>Par akcīzes nodokli</w:t>
        </w:r>
      </w:hyperlink>
      <w:r w:rsidR="00C81AE7">
        <w:rPr>
          <w:b w:val="0"/>
          <w:color w:val="000000" w:themeColor="text1"/>
          <w:sz w:val="26"/>
          <w:szCs w:val="26"/>
        </w:rPr>
        <w:t>”</w:t>
      </w:r>
      <w:r w:rsidR="00095A69" w:rsidRPr="00F57D7B">
        <w:rPr>
          <w:b w:val="0"/>
          <w:color w:val="000000" w:themeColor="text1"/>
          <w:sz w:val="26"/>
          <w:szCs w:val="26"/>
        </w:rPr>
        <w:t xml:space="preserve"> </w:t>
      </w:r>
      <w:hyperlink r:id="rId10" w:anchor="p32" w:tgtFrame="_blank" w:history="1">
        <w:r w:rsidR="00095A69" w:rsidRPr="00F57D7B">
          <w:rPr>
            <w:rStyle w:val="Hyperlink"/>
            <w:b w:val="0"/>
            <w:color w:val="000000" w:themeColor="text1"/>
            <w:sz w:val="26"/>
            <w:szCs w:val="26"/>
            <w:u w:val="none"/>
          </w:rPr>
          <w:t>32.panta</w:t>
        </w:r>
      </w:hyperlink>
      <w:r w:rsidR="00095A69" w:rsidRPr="00F57D7B">
        <w:rPr>
          <w:b w:val="0"/>
          <w:color w:val="000000" w:themeColor="text1"/>
          <w:sz w:val="26"/>
          <w:szCs w:val="26"/>
        </w:rPr>
        <w:t xml:space="preserve"> sesto daļu </w:t>
      </w:r>
    </w:p>
    <w:p w:rsidR="00095A69" w:rsidRPr="00F57D7B" w:rsidRDefault="00095A69" w:rsidP="00D3054D">
      <w:pPr>
        <w:pStyle w:val="BodyText"/>
        <w:ind w:firstLine="709"/>
        <w:jc w:val="right"/>
        <w:rPr>
          <w:b w:val="0"/>
          <w:color w:val="000000" w:themeColor="text1"/>
          <w:sz w:val="26"/>
          <w:szCs w:val="26"/>
        </w:rPr>
      </w:pPr>
      <w:r w:rsidRPr="00F57D7B">
        <w:rPr>
          <w:b w:val="0"/>
          <w:color w:val="000000" w:themeColor="text1"/>
          <w:sz w:val="26"/>
          <w:szCs w:val="26"/>
        </w:rPr>
        <w:t xml:space="preserve">un Alkoholisko dzērienu aprites </w:t>
      </w:r>
    </w:p>
    <w:p w:rsidR="00083724" w:rsidRPr="00F57D7B" w:rsidRDefault="00095A69" w:rsidP="00D3054D">
      <w:pPr>
        <w:pStyle w:val="BodyText"/>
        <w:ind w:firstLine="709"/>
        <w:jc w:val="right"/>
        <w:rPr>
          <w:b w:val="0"/>
          <w:color w:val="000000" w:themeColor="text1"/>
          <w:sz w:val="26"/>
          <w:szCs w:val="26"/>
        </w:rPr>
      </w:pPr>
      <w:r w:rsidRPr="00F57D7B">
        <w:rPr>
          <w:b w:val="0"/>
          <w:color w:val="000000" w:themeColor="text1"/>
          <w:sz w:val="26"/>
          <w:szCs w:val="26"/>
        </w:rPr>
        <w:t xml:space="preserve">likuma </w:t>
      </w:r>
      <w:hyperlink r:id="rId11" w:anchor="p3" w:tgtFrame="_blank" w:history="1">
        <w:r w:rsidRPr="00F57D7B">
          <w:rPr>
            <w:rStyle w:val="Hyperlink"/>
            <w:b w:val="0"/>
            <w:color w:val="000000" w:themeColor="text1"/>
            <w:sz w:val="26"/>
            <w:szCs w:val="26"/>
            <w:u w:val="none"/>
          </w:rPr>
          <w:t>3.panta</w:t>
        </w:r>
      </w:hyperlink>
      <w:r w:rsidRPr="00F57D7B">
        <w:rPr>
          <w:b w:val="0"/>
          <w:color w:val="000000" w:themeColor="text1"/>
          <w:sz w:val="26"/>
          <w:szCs w:val="26"/>
        </w:rPr>
        <w:t xml:space="preserve"> sesto daļu</w:t>
      </w:r>
    </w:p>
    <w:p w:rsidR="00083724" w:rsidRPr="00F57D7B" w:rsidRDefault="00083724" w:rsidP="00AA65E1">
      <w:pPr>
        <w:pStyle w:val="BodyText"/>
        <w:jc w:val="right"/>
        <w:rPr>
          <w:b w:val="0"/>
          <w:sz w:val="26"/>
          <w:szCs w:val="26"/>
        </w:rPr>
      </w:pPr>
    </w:p>
    <w:p w:rsidR="00083724" w:rsidRPr="00F57D7B" w:rsidRDefault="00083724" w:rsidP="00C60F38">
      <w:pPr>
        <w:pStyle w:val="BodyText"/>
        <w:jc w:val="left"/>
        <w:rPr>
          <w:b w:val="0"/>
          <w:sz w:val="20"/>
        </w:rPr>
      </w:pPr>
    </w:p>
    <w:p w:rsidR="00BB26FD" w:rsidRPr="00F57D7B" w:rsidRDefault="00C60F38" w:rsidP="00AA65E1">
      <w:pPr>
        <w:pStyle w:val="ListParagraph"/>
        <w:tabs>
          <w:tab w:val="left" w:pos="284"/>
        </w:tabs>
        <w:ind w:left="0"/>
        <w:rPr>
          <w:sz w:val="26"/>
          <w:szCs w:val="26"/>
        </w:rPr>
      </w:pPr>
      <w:r w:rsidRPr="00F57D7B">
        <w:rPr>
          <w:sz w:val="26"/>
          <w:szCs w:val="26"/>
        </w:rPr>
        <w:t>1.</w:t>
      </w:r>
      <w:r w:rsidR="00095A69" w:rsidRPr="00F57D7B">
        <w:rPr>
          <w:sz w:val="26"/>
          <w:szCs w:val="26"/>
        </w:rPr>
        <w:tab/>
        <w:t xml:space="preserve">Izdarīt Ministru kabineta 2010.gada 30.marta noteikumos Nr.302 </w:t>
      </w:r>
      <w:r w:rsidR="00EE5080" w:rsidRPr="00F57D7B">
        <w:rPr>
          <w:sz w:val="26"/>
          <w:szCs w:val="26"/>
        </w:rPr>
        <w:t>„</w:t>
      </w:r>
      <w:r w:rsidR="00095A69" w:rsidRPr="00F57D7B">
        <w:rPr>
          <w:sz w:val="26"/>
          <w:szCs w:val="26"/>
        </w:rPr>
        <w:t>Noteikumi par akcīzes nodokļa nodrošinājumiem</w:t>
      </w:r>
      <w:r w:rsidR="00C81AE7">
        <w:rPr>
          <w:sz w:val="26"/>
          <w:szCs w:val="26"/>
        </w:rPr>
        <w:t>”</w:t>
      </w:r>
      <w:r w:rsidR="00095A69" w:rsidRPr="00F57D7B">
        <w:rPr>
          <w:sz w:val="26"/>
          <w:szCs w:val="26"/>
        </w:rPr>
        <w:t xml:space="preserve"> (Latvijas Vēstnesis, 2010,  51/52.nr., 1</w:t>
      </w:r>
      <w:r w:rsidR="00A42B7B" w:rsidRPr="00F57D7B">
        <w:rPr>
          <w:sz w:val="26"/>
          <w:szCs w:val="26"/>
        </w:rPr>
        <w:t>51</w:t>
      </w:r>
      <w:r w:rsidR="00095A69" w:rsidRPr="00F57D7B">
        <w:rPr>
          <w:sz w:val="26"/>
          <w:szCs w:val="26"/>
        </w:rPr>
        <w:t>.nr.</w:t>
      </w:r>
      <w:r w:rsidR="00A42B7B" w:rsidRPr="00F57D7B">
        <w:rPr>
          <w:sz w:val="26"/>
          <w:szCs w:val="26"/>
        </w:rPr>
        <w:t>;</w:t>
      </w:r>
      <w:r w:rsidR="00BB26FD" w:rsidRPr="00F57D7B">
        <w:rPr>
          <w:sz w:val="26"/>
          <w:szCs w:val="26"/>
        </w:rPr>
        <w:t xml:space="preserve"> 2011, 21.nr.</w:t>
      </w:r>
      <w:r w:rsidR="00A42B7B" w:rsidRPr="00F57D7B">
        <w:rPr>
          <w:sz w:val="26"/>
          <w:szCs w:val="26"/>
        </w:rPr>
        <w:t>;</w:t>
      </w:r>
      <w:r w:rsidR="00BB26FD" w:rsidRPr="00F57D7B">
        <w:rPr>
          <w:sz w:val="26"/>
          <w:szCs w:val="26"/>
        </w:rPr>
        <w:t xml:space="preserve"> 2012, 106.nr.</w:t>
      </w:r>
      <w:r w:rsidR="00A42B7B" w:rsidRPr="00F57D7B">
        <w:rPr>
          <w:sz w:val="26"/>
          <w:szCs w:val="26"/>
        </w:rPr>
        <w:t>;</w:t>
      </w:r>
      <w:r w:rsidR="00BB26FD" w:rsidRPr="00F57D7B">
        <w:rPr>
          <w:sz w:val="26"/>
          <w:szCs w:val="26"/>
        </w:rPr>
        <w:t xml:space="preserve"> 2013, 189.nr., 218.nr.</w:t>
      </w:r>
      <w:r w:rsidR="00A42B7B" w:rsidRPr="00F57D7B">
        <w:rPr>
          <w:sz w:val="26"/>
          <w:szCs w:val="26"/>
        </w:rPr>
        <w:t>;</w:t>
      </w:r>
      <w:r w:rsidR="00BB26FD" w:rsidRPr="00F57D7B">
        <w:rPr>
          <w:sz w:val="26"/>
          <w:szCs w:val="26"/>
        </w:rPr>
        <w:t xml:space="preserve"> 2014, 198.nr.</w:t>
      </w:r>
      <w:r w:rsidR="00F94825" w:rsidRPr="00F57D7B">
        <w:rPr>
          <w:sz w:val="26"/>
          <w:szCs w:val="26"/>
        </w:rPr>
        <w:t>; 2015, 242.nr.</w:t>
      </w:r>
      <w:r w:rsidR="00095A69" w:rsidRPr="00F57D7B">
        <w:rPr>
          <w:sz w:val="26"/>
          <w:szCs w:val="26"/>
        </w:rPr>
        <w:t>) šādus grozījumus:</w:t>
      </w:r>
    </w:p>
    <w:p w:rsidR="00F02B75" w:rsidRPr="00F57D7B" w:rsidRDefault="00F02B75" w:rsidP="00FF5B15">
      <w:pPr>
        <w:tabs>
          <w:tab w:val="left" w:pos="284"/>
        </w:tabs>
      </w:pPr>
    </w:p>
    <w:p w:rsidR="00F02B75" w:rsidRPr="00F57D7B" w:rsidRDefault="00B027A4" w:rsidP="00162E5D">
      <w:pPr>
        <w:pStyle w:val="ListParagraph"/>
        <w:numPr>
          <w:ilvl w:val="1"/>
          <w:numId w:val="9"/>
        </w:numPr>
        <w:tabs>
          <w:tab w:val="left" w:pos="284"/>
        </w:tabs>
        <w:rPr>
          <w:sz w:val="26"/>
          <w:szCs w:val="26"/>
        </w:rPr>
      </w:pPr>
      <w:r>
        <w:rPr>
          <w:sz w:val="26"/>
          <w:szCs w:val="26"/>
        </w:rPr>
        <w:t>aizstāt</w:t>
      </w:r>
      <w:r w:rsidR="00162E5D">
        <w:rPr>
          <w:sz w:val="26"/>
          <w:szCs w:val="26"/>
        </w:rPr>
        <w:t xml:space="preserve"> </w:t>
      </w:r>
      <w:r w:rsidR="00F94825" w:rsidRPr="00F57D7B">
        <w:rPr>
          <w:sz w:val="26"/>
          <w:szCs w:val="26"/>
        </w:rPr>
        <w:t>42</w:t>
      </w:r>
      <w:r w:rsidR="00F02B75" w:rsidRPr="00F57D7B">
        <w:rPr>
          <w:sz w:val="26"/>
          <w:szCs w:val="26"/>
        </w:rPr>
        <w:t>.</w:t>
      </w:r>
      <w:r w:rsidR="00F94825" w:rsidRPr="00F57D7B">
        <w:rPr>
          <w:sz w:val="26"/>
          <w:szCs w:val="26"/>
        </w:rPr>
        <w:t>3.apakš</w:t>
      </w:r>
      <w:r w:rsidR="00F02B75" w:rsidRPr="00F57D7B">
        <w:rPr>
          <w:sz w:val="26"/>
          <w:szCs w:val="26"/>
        </w:rPr>
        <w:t>punkt</w:t>
      </w:r>
      <w:r>
        <w:rPr>
          <w:sz w:val="26"/>
          <w:szCs w:val="26"/>
        </w:rPr>
        <w:t>ā</w:t>
      </w:r>
      <w:r w:rsidR="00F02B75" w:rsidRPr="00F57D7B">
        <w:rPr>
          <w:sz w:val="26"/>
          <w:szCs w:val="26"/>
        </w:rPr>
        <w:t xml:space="preserve"> </w:t>
      </w:r>
      <w:r>
        <w:rPr>
          <w:sz w:val="26"/>
          <w:szCs w:val="26"/>
        </w:rPr>
        <w:t>skaitli “100” ar skaitli “1000”</w:t>
      </w:r>
      <w:r w:rsidR="00162E5D">
        <w:rPr>
          <w:sz w:val="26"/>
          <w:szCs w:val="26"/>
        </w:rPr>
        <w:t>;</w:t>
      </w:r>
    </w:p>
    <w:p w:rsidR="0046200C" w:rsidRPr="00F57D7B" w:rsidRDefault="0046200C" w:rsidP="00162E5D">
      <w:pPr>
        <w:tabs>
          <w:tab w:val="left" w:pos="284"/>
        </w:tabs>
        <w:ind w:firstLine="0"/>
      </w:pPr>
    </w:p>
    <w:p w:rsidR="0046200C" w:rsidRPr="00F57D7B" w:rsidRDefault="00F57D7B" w:rsidP="0046200C">
      <w:pPr>
        <w:pStyle w:val="ListParagraph"/>
        <w:numPr>
          <w:ilvl w:val="1"/>
          <w:numId w:val="10"/>
        </w:numPr>
        <w:tabs>
          <w:tab w:val="left" w:pos="284"/>
        </w:tabs>
        <w:rPr>
          <w:sz w:val="26"/>
          <w:szCs w:val="26"/>
        </w:rPr>
      </w:pPr>
      <w:r w:rsidRPr="00F57D7B">
        <w:rPr>
          <w:sz w:val="26"/>
          <w:szCs w:val="26"/>
        </w:rPr>
        <w:t>papildināt</w:t>
      </w:r>
      <w:r w:rsidR="0046200C" w:rsidRPr="00F57D7B">
        <w:rPr>
          <w:sz w:val="26"/>
          <w:szCs w:val="26"/>
        </w:rPr>
        <w:t xml:space="preserve"> 42.12.apakšpunktu </w:t>
      </w:r>
      <w:r w:rsidRPr="00F57D7B">
        <w:rPr>
          <w:sz w:val="26"/>
          <w:szCs w:val="26"/>
        </w:rPr>
        <w:t xml:space="preserve">aiz vārda </w:t>
      </w:r>
      <w:r w:rsidR="00162E5D" w:rsidRPr="00F57D7B">
        <w:rPr>
          <w:sz w:val="26"/>
          <w:szCs w:val="26"/>
        </w:rPr>
        <w:t>„</w:t>
      </w:r>
      <w:r w:rsidRPr="00F57D7B">
        <w:rPr>
          <w:sz w:val="26"/>
          <w:szCs w:val="26"/>
        </w:rPr>
        <w:t xml:space="preserve">cigarillām” ar </w:t>
      </w:r>
      <w:r w:rsidR="002D014F">
        <w:rPr>
          <w:sz w:val="26"/>
          <w:szCs w:val="26"/>
        </w:rPr>
        <w:t>simbolu</w:t>
      </w:r>
      <w:r w:rsidR="002D014F" w:rsidRPr="00F57D7B">
        <w:rPr>
          <w:sz w:val="26"/>
          <w:szCs w:val="26"/>
        </w:rPr>
        <w:t xml:space="preserve"> </w:t>
      </w:r>
      <w:r w:rsidRPr="00F57D7B">
        <w:rPr>
          <w:sz w:val="26"/>
          <w:szCs w:val="26"/>
        </w:rPr>
        <w:t>un vārdiem “, karsējamo tabaku”;</w:t>
      </w:r>
    </w:p>
    <w:p w:rsidR="00CA2C13" w:rsidRPr="00F57D7B" w:rsidRDefault="00CA2C13" w:rsidP="00AA65E1">
      <w:pPr>
        <w:pStyle w:val="ListParagraph"/>
        <w:tabs>
          <w:tab w:val="left" w:pos="284"/>
        </w:tabs>
        <w:ind w:left="0"/>
      </w:pPr>
    </w:p>
    <w:p w:rsidR="00760CEC" w:rsidRDefault="00760CEC" w:rsidP="0046200C">
      <w:pPr>
        <w:pStyle w:val="ListParagraph"/>
        <w:numPr>
          <w:ilvl w:val="1"/>
          <w:numId w:val="10"/>
        </w:numPr>
        <w:tabs>
          <w:tab w:val="left" w:pos="284"/>
        </w:tabs>
        <w:rPr>
          <w:sz w:val="26"/>
          <w:szCs w:val="26"/>
        </w:rPr>
      </w:pPr>
      <w:r>
        <w:rPr>
          <w:sz w:val="26"/>
          <w:szCs w:val="26"/>
        </w:rPr>
        <w:t>izteikt</w:t>
      </w:r>
      <w:r w:rsidR="00646F19">
        <w:rPr>
          <w:sz w:val="26"/>
          <w:szCs w:val="26"/>
        </w:rPr>
        <w:t xml:space="preserve"> </w:t>
      </w:r>
      <w:r w:rsidR="00443008" w:rsidRPr="00F57D7B">
        <w:rPr>
          <w:sz w:val="26"/>
          <w:szCs w:val="26"/>
        </w:rPr>
        <w:t>3.</w:t>
      </w:r>
      <w:r w:rsidR="00443008" w:rsidRPr="00F57D7B">
        <w:rPr>
          <w:sz w:val="26"/>
          <w:szCs w:val="26"/>
          <w:vertAlign w:val="superscript"/>
        </w:rPr>
        <w:t>1</w:t>
      </w:r>
      <w:r w:rsidR="00443008" w:rsidRPr="00F57D7B">
        <w:rPr>
          <w:sz w:val="26"/>
          <w:szCs w:val="26"/>
        </w:rPr>
        <w:t>pielikum</w:t>
      </w:r>
      <w:r w:rsidR="005F7B9F" w:rsidRPr="00F57D7B">
        <w:rPr>
          <w:sz w:val="26"/>
          <w:szCs w:val="26"/>
        </w:rPr>
        <w:t>a</w:t>
      </w:r>
      <w:r w:rsidR="00443008" w:rsidRPr="00F57D7B">
        <w:rPr>
          <w:sz w:val="26"/>
          <w:szCs w:val="26"/>
        </w:rPr>
        <w:t xml:space="preserve"> </w:t>
      </w:r>
      <w:r w:rsidR="00162E5D">
        <w:rPr>
          <w:sz w:val="26"/>
          <w:szCs w:val="26"/>
        </w:rPr>
        <w:t>3.punkt</w:t>
      </w:r>
      <w:r>
        <w:rPr>
          <w:sz w:val="26"/>
          <w:szCs w:val="26"/>
        </w:rPr>
        <w:t>u</w:t>
      </w:r>
      <w:r w:rsidR="00162E5D">
        <w:rPr>
          <w:sz w:val="26"/>
          <w:szCs w:val="26"/>
        </w:rPr>
        <w:t xml:space="preserve"> </w:t>
      </w:r>
      <w:r>
        <w:rPr>
          <w:sz w:val="26"/>
          <w:szCs w:val="26"/>
        </w:rPr>
        <w:t>šādā redakcijā:</w:t>
      </w:r>
    </w:p>
    <w:p w:rsidR="00760CEC" w:rsidRPr="00760CEC" w:rsidRDefault="00760CEC" w:rsidP="00760CEC">
      <w:pPr>
        <w:pStyle w:val="tvhtml"/>
        <w:rPr>
          <w:b/>
          <w:bCs/>
        </w:rPr>
      </w:pPr>
      <w:r>
        <w:rPr>
          <w:sz w:val="26"/>
          <w:szCs w:val="26"/>
        </w:rPr>
        <w:t>“</w:t>
      </w:r>
      <w:r w:rsidRPr="00760CEC">
        <w:rPr>
          <w:b/>
          <w:bCs/>
        </w:rPr>
        <w:t>3. Akcīzes preču veids, ar kurām paredzētas darbības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01"/>
        <w:gridCol w:w="410"/>
      </w:tblGrid>
      <w:tr w:rsidR="00760CEC" w:rsidRPr="00760CEC" w:rsidTr="00760CEC">
        <w:trPr>
          <w:tblCellSpacing w:w="15" w:type="dxa"/>
        </w:trPr>
        <w:tc>
          <w:tcPr>
            <w:tcW w:w="4753" w:type="pct"/>
            <w:shd w:val="clear" w:color="auto" w:fill="E0E0E0"/>
            <w:hideMark/>
          </w:tcPr>
          <w:p w:rsidR="00760CEC" w:rsidRPr="00760CEC" w:rsidRDefault="00760CEC" w:rsidP="008E095A">
            <w:pPr>
              <w:ind w:firstLine="0"/>
              <w:rPr>
                <w:sz w:val="24"/>
                <w:szCs w:val="24"/>
                <w:lang w:eastAsia="lv-LV"/>
              </w:rPr>
            </w:pPr>
            <w:r w:rsidRPr="00760CEC">
              <w:rPr>
                <w:sz w:val="24"/>
                <w:szCs w:val="24"/>
                <w:lang w:eastAsia="lv-LV"/>
              </w:rPr>
              <w:t>Alkoholiskie dzērieni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alus, kas tiek ražots patstāvīgā mazā alus darītavā</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pašu ražots vīns, raudzētie dzērieni vai pārējie alkoholiskie dzērieni no savā īpašumā vai valdījumā esošā dārzā un dravā iegūtajiem produktiem vai savvaļā augošiem augiem (neizmantojot spirtu vai citu saražotos alkoholiskos dzērienus), ja saražotā vīna vai raudzēto dzērienu kopējais apjoms nepārsniedz 15 000 litru kalendāra gadā un absolūtā alkohola daudzums saražotajos pārējos alkoholiskajos dzērienos nepārsniedz 10</w:t>
            </w:r>
            <w:r>
              <w:rPr>
                <w:sz w:val="24"/>
                <w:szCs w:val="24"/>
                <w:lang w:eastAsia="lv-LV"/>
              </w:rPr>
              <w:t>0</w:t>
            </w:r>
            <w:r w:rsidRPr="00760CEC">
              <w:rPr>
                <w:sz w:val="24"/>
                <w:szCs w:val="24"/>
                <w:lang w:eastAsia="lv-LV"/>
              </w:rPr>
              <w:t>0 litru kalendāra gadā</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 xml:space="preserve">Tabakas izstrādājumi </w:t>
            </w:r>
          </w:p>
        </w:tc>
        <w:tc>
          <w:tcPr>
            <w:tcW w:w="198" w:type="pct"/>
            <w:hideMark/>
          </w:tcPr>
          <w:p w:rsidR="00760CEC" w:rsidRPr="00760CEC" w:rsidRDefault="00760CEC" w:rsidP="0098304E">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tabakas lapas, smēķējamā tabaka, karsējamā tabaka, cigāri, cigarillas vai augu cigaretes</w:t>
            </w:r>
          </w:p>
        </w:tc>
        <w:tc>
          <w:tcPr>
            <w:tcW w:w="198" w:type="pct"/>
            <w:hideMark/>
          </w:tcPr>
          <w:p w:rsidR="00760CEC" w:rsidRPr="00760CEC" w:rsidRDefault="00760CEC" w:rsidP="0098304E">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 xml:space="preserve">Tikai tabakas izstrādājumi, kuriem piemēro likumā noteiktie atbrīvojumi no akcīzes nodokļa maksāšanas tabakas izstrādājumiem, vai darbībām D tipa muitas noliktavā (beznodokļu tirdzniecības veikalā) </w:t>
            </w:r>
          </w:p>
        </w:tc>
        <w:tc>
          <w:tcPr>
            <w:tcW w:w="198" w:type="pct"/>
            <w:hideMark/>
          </w:tcPr>
          <w:p w:rsidR="00760CEC" w:rsidRPr="00760CEC" w:rsidRDefault="00760CEC" w:rsidP="0098304E">
            <w:pPr>
              <w:ind w:firstLine="0"/>
              <w:jc w:val="left"/>
              <w:rPr>
                <w:sz w:val="24"/>
                <w:szCs w:val="24"/>
                <w:lang w:eastAsia="lv-LV"/>
              </w:rPr>
            </w:pP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lastRenderedPageBreak/>
              <w:t>Naftas produkti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naftas gāzes vai pārējie gāzveida ogļūdeņraži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naftas gāzes vai pārējie gāzveida ogļūdeņraži, ja attiecīgos naftas produktus piegādā personām, kuras tos izmanto par kurināmo vai gāzes krāsnīs un citās iekārtās, nevis par degvielu</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degvieleļļa, kuras kolorimetriskais indekss ir vienāds ar 2,0 vai lielāks vai kinemātiskā viskozitāte 50 °C ir vienāda ar 25 mm</w:t>
            </w:r>
            <w:r w:rsidRPr="00760CEC">
              <w:rPr>
                <w:sz w:val="24"/>
                <w:szCs w:val="24"/>
                <w:vertAlign w:val="superscript"/>
                <w:lang w:eastAsia="lv-LV"/>
              </w:rPr>
              <w:t>2</w:t>
            </w:r>
            <w:r w:rsidRPr="00760CEC">
              <w:rPr>
                <w:sz w:val="24"/>
                <w:szCs w:val="24"/>
                <w:lang w:eastAsia="lv-LV"/>
              </w:rPr>
              <w:t>/s vai lielāka, tās aizstājējprodukti un komponenti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biodegviela, ja veic biodegvielas uzglabāšanu, ražošanu, sajaukšanu, apstrādi vai pārstrādi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tādi naftas produkti, kurus izmanto citiem mērķiem, nevis par degvielu vai kurināmo</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tādi naftas produkti, kuriem Latvijas Republikā pievienotā rapšu sēklu eļļa vai no rapšu sēklu eļļas iegūta biodīzeļdegviela veido vismaz 30 tilpumprocentus no kopējā produktu daudzuma</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tādi naftas produkti, kuriem pievienots etilspirts, kas iegūts no lauksaimniecības izejvielām un ir dehidratēts (ar spirta saturu vismaz 99,5 tilpumprocenti), un pievienotā absolūtā spirta saturs veido no 70 līdz 85 tilpumprocentiem (ieskaitot) no kopējā produktu daudzuma, ja veic minēto produktu uzglabāšanu, ražošanu, sajaukšanu, apstrādi vai pārstrādi</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r w:rsidR="00760CEC" w:rsidRPr="00760CEC" w:rsidTr="00760CEC">
        <w:trPr>
          <w:tblCellSpacing w:w="15" w:type="dxa"/>
        </w:trPr>
        <w:tc>
          <w:tcPr>
            <w:tcW w:w="4753" w:type="pct"/>
            <w:shd w:val="clear" w:color="auto" w:fill="E6E6E6"/>
            <w:hideMark/>
          </w:tcPr>
          <w:p w:rsidR="00760CEC" w:rsidRPr="00760CEC" w:rsidRDefault="00760CEC" w:rsidP="008E095A">
            <w:pPr>
              <w:ind w:firstLine="0"/>
              <w:rPr>
                <w:sz w:val="24"/>
                <w:szCs w:val="24"/>
                <w:lang w:eastAsia="lv-LV"/>
              </w:rPr>
            </w:pPr>
            <w:r w:rsidRPr="00760CEC">
              <w:rPr>
                <w:sz w:val="24"/>
                <w:szCs w:val="24"/>
                <w:lang w:eastAsia="lv-LV"/>
              </w:rPr>
              <w:t>Tikai tādi ar akcīzes nodokli neapliekamu produktu (izņemot naftas produktus) pārstrādes rezultātā iegūti galaprodukti, kuri izmantojami par degvielu vai kurināmo</w:t>
            </w:r>
          </w:p>
        </w:tc>
        <w:tc>
          <w:tcPr>
            <w:tcW w:w="198" w:type="pct"/>
            <w:hideMark/>
          </w:tcPr>
          <w:p w:rsidR="00760CEC" w:rsidRPr="00760CEC" w:rsidRDefault="00760CEC" w:rsidP="00760CEC">
            <w:pPr>
              <w:ind w:firstLine="0"/>
              <w:jc w:val="left"/>
              <w:rPr>
                <w:sz w:val="24"/>
                <w:szCs w:val="24"/>
                <w:lang w:eastAsia="lv-LV"/>
              </w:rPr>
            </w:pPr>
            <w:r w:rsidRPr="00760CEC">
              <w:rPr>
                <w:sz w:val="24"/>
                <w:szCs w:val="24"/>
                <w:lang w:eastAsia="lv-LV"/>
              </w:rPr>
              <w:t> </w:t>
            </w:r>
          </w:p>
        </w:tc>
      </w:tr>
    </w:tbl>
    <w:p w:rsidR="00760CEC" w:rsidRPr="00760CEC" w:rsidRDefault="00760CEC" w:rsidP="00760CEC">
      <w:pPr>
        <w:pStyle w:val="ListParagraph"/>
        <w:tabs>
          <w:tab w:val="left" w:pos="284"/>
        </w:tabs>
        <w:ind w:left="1440" w:firstLine="0"/>
        <w:rPr>
          <w:rFonts w:eastAsiaTheme="minorHAnsi" w:cstheme="minorBidi"/>
          <w:sz w:val="24"/>
          <w:szCs w:val="22"/>
        </w:rPr>
      </w:pPr>
      <w:r>
        <w:rPr>
          <w:sz w:val="26"/>
          <w:szCs w:val="26"/>
        </w:rPr>
        <w:t xml:space="preserve"> ”</w:t>
      </w:r>
    </w:p>
    <w:p w:rsidR="007A526B" w:rsidRPr="00F57D7B" w:rsidRDefault="007A526B" w:rsidP="004B48DE">
      <w:pPr>
        <w:ind w:firstLine="0"/>
        <w:rPr>
          <w:sz w:val="26"/>
          <w:szCs w:val="26"/>
        </w:rPr>
      </w:pPr>
    </w:p>
    <w:p w:rsidR="0076079E" w:rsidRPr="00F57D7B" w:rsidRDefault="0076079E" w:rsidP="00AA65E1"/>
    <w:p w:rsidR="0076079E" w:rsidRDefault="0076079E" w:rsidP="00AA65E1"/>
    <w:p w:rsidR="00162E5D" w:rsidRPr="00F57D7B" w:rsidRDefault="00162E5D" w:rsidP="00AA65E1"/>
    <w:p w:rsidR="006646D4" w:rsidRPr="00F57D7B" w:rsidRDefault="006646D4" w:rsidP="00AA65E1">
      <w:pPr>
        <w:tabs>
          <w:tab w:val="left" w:pos="6840"/>
        </w:tabs>
        <w:rPr>
          <w:sz w:val="26"/>
          <w:szCs w:val="26"/>
        </w:rPr>
      </w:pPr>
      <w:r w:rsidRPr="00F57D7B">
        <w:rPr>
          <w:sz w:val="26"/>
          <w:szCs w:val="26"/>
        </w:rPr>
        <w:t>Ministru prezident</w:t>
      </w:r>
      <w:r w:rsidR="00053B95">
        <w:rPr>
          <w:sz w:val="26"/>
          <w:szCs w:val="26"/>
        </w:rPr>
        <w:t>s</w:t>
      </w:r>
      <w:r w:rsidRPr="00F57D7B">
        <w:rPr>
          <w:sz w:val="26"/>
          <w:szCs w:val="26"/>
        </w:rPr>
        <w:tab/>
      </w:r>
      <w:r w:rsidR="00053B95">
        <w:rPr>
          <w:sz w:val="26"/>
          <w:szCs w:val="26"/>
        </w:rPr>
        <w:t>M.Kučinskis</w:t>
      </w:r>
    </w:p>
    <w:p w:rsidR="006646D4" w:rsidRPr="00F57D7B" w:rsidRDefault="006646D4" w:rsidP="00AA65E1">
      <w:pPr>
        <w:tabs>
          <w:tab w:val="left" w:pos="6840"/>
        </w:tabs>
        <w:rPr>
          <w:sz w:val="26"/>
          <w:szCs w:val="26"/>
        </w:rPr>
      </w:pPr>
    </w:p>
    <w:p w:rsidR="006646D4" w:rsidRPr="00F57D7B" w:rsidRDefault="006646D4" w:rsidP="00AA65E1">
      <w:pPr>
        <w:tabs>
          <w:tab w:val="left" w:pos="6840"/>
        </w:tabs>
        <w:rPr>
          <w:sz w:val="26"/>
          <w:szCs w:val="26"/>
        </w:rPr>
      </w:pPr>
    </w:p>
    <w:p w:rsidR="0076079E" w:rsidRPr="00F57D7B" w:rsidRDefault="0076079E" w:rsidP="00AA65E1">
      <w:pPr>
        <w:tabs>
          <w:tab w:val="left" w:pos="6840"/>
        </w:tabs>
        <w:rPr>
          <w:sz w:val="26"/>
          <w:szCs w:val="26"/>
        </w:rPr>
      </w:pPr>
    </w:p>
    <w:p w:rsidR="006646D4" w:rsidRPr="00F57D7B" w:rsidRDefault="00053B95" w:rsidP="00053B95">
      <w:pPr>
        <w:tabs>
          <w:tab w:val="left" w:pos="6840"/>
        </w:tabs>
        <w:rPr>
          <w:sz w:val="26"/>
          <w:szCs w:val="26"/>
        </w:rPr>
      </w:pPr>
      <w:r>
        <w:rPr>
          <w:sz w:val="26"/>
          <w:szCs w:val="26"/>
        </w:rPr>
        <w:t>Finanšu ministre</w:t>
      </w:r>
      <w:r w:rsidR="006646D4" w:rsidRPr="00F57D7B">
        <w:rPr>
          <w:sz w:val="26"/>
          <w:szCs w:val="26"/>
        </w:rPr>
        <w:tab/>
      </w:r>
      <w:r>
        <w:rPr>
          <w:sz w:val="26"/>
          <w:szCs w:val="26"/>
        </w:rPr>
        <w:t>D.Reizniece-Ozola</w:t>
      </w:r>
    </w:p>
    <w:p w:rsidR="00D01DD1" w:rsidRPr="00F57D7B" w:rsidRDefault="00D01DD1" w:rsidP="00AA65E1">
      <w:pPr>
        <w:rPr>
          <w:sz w:val="26"/>
          <w:szCs w:val="26"/>
        </w:rPr>
      </w:pPr>
    </w:p>
    <w:p w:rsidR="00295032" w:rsidRDefault="00295032" w:rsidP="00AA65E1">
      <w:pPr>
        <w:rPr>
          <w:sz w:val="26"/>
          <w:szCs w:val="26"/>
        </w:rPr>
      </w:pPr>
    </w:p>
    <w:p w:rsidR="00162E5D" w:rsidRDefault="00162E5D" w:rsidP="00AA65E1">
      <w:pPr>
        <w:rPr>
          <w:sz w:val="26"/>
          <w:szCs w:val="26"/>
        </w:rPr>
      </w:pPr>
    </w:p>
    <w:p w:rsidR="002D014F" w:rsidRDefault="00230A1F" w:rsidP="00FA325B">
      <w:pPr>
        <w:rPr>
          <w:smallCaps/>
          <w:color w:val="000000"/>
          <w:sz w:val="22"/>
          <w:szCs w:val="22"/>
        </w:rPr>
      </w:pPr>
      <w:r>
        <w:rPr>
          <w:smallCaps/>
          <w:color w:val="000000"/>
          <w:sz w:val="22"/>
          <w:szCs w:val="22"/>
        </w:rPr>
        <w:t>2</w:t>
      </w:r>
      <w:r w:rsidR="004B48DE">
        <w:rPr>
          <w:smallCaps/>
          <w:color w:val="000000"/>
          <w:sz w:val="22"/>
          <w:szCs w:val="22"/>
        </w:rPr>
        <w:t>5</w:t>
      </w:r>
      <w:r w:rsidR="00C25702">
        <w:rPr>
          <w:smallCaps/>
          <w:color w:val="000000"/>
          <w:sz w:val="22"/>
          <w:szCs w:val="22"/>
        </w:rPr>
        <w:t>.02.2016 1</w:t>
      </w:r>
      <w:r>
        <w:rPr>
          <w:smallCaps/>
          <w:color w:val="000000"/>
          <w:sz w:val="22"/>
          <w:szCs w:val="22"/>
        </w:rPr>
        <w:t>1</w:t>
      </w:r>
      <w:r w:rsidR="00C25702">
        <w:rPr>
          <w:smallCaps/>
          <w:color w:val="000000"/>
          <w:sz w:val="22"/>
          <w:szCs w:val="22"/>
        </w:rPr>
        <w:t>:</w:t>
      </w:r>
      <w:r w:rsidR="004B48DE">
        <w:rPr>
          <w:smallCaps/>
          <w:color w:val="000000"/>
          <w:sz w:val="22"/>
          <w:szCs w:val="22"/>
        </w:rPr>
        <w:t>2</w:t>
      </w:r>
      <w:r w:rsidR="008A0126">
        <w:rPr>
          <w:smallCaps/>
          <w:color w:val="000000"/>
          <w:sz w:val="22"/>
          <w:szCs w:val="22"/>
        </w:rPr>
        <w:t>4</w:t>
      </w:r>
      <w:bookmarkStart w:id="0" w:name="_GoBack"/>
      <w:bookmarkEnd w:id="0"/>
    </w:p>
    <w:p w:rsidR="00FA325B" w:rsidRDefault="00760CEC" w:rsidP="00FA325B">
      <w:pPr>
        <w:rPr>
          <w:sz w:val="22"/>
          <w:szCs w:val="22"/>
        </w:rPr>
      </w:pPr>
      <w:r>
        <w:rPr>
          <w:smallCaps/>
          <w:color w:val="000000"/>
          <w:sz w:val="22"/>
          <w:szCs w:val="22"/>
        </w:rPr>
        <w:t>4</w:t>
      </w:r>
      <w:r w:rsidR="004B48DE">
        <w:rPr>
          <w:smallCaps/>
          <w:color w:val="000000"/>
          <w:sz w:val="22"/>
          <w:szCs w:val="22"/>
        </w:rPr>
        <w:t>09</w:t>
      </w:r>
      <w:r w:rsidR="00FA325B" w:rsidRPr="00FA325B">
        <w:rPr>
          <w:sz w:val="22"/>
          <w:szCs w:val="22"/>
        </w:rPr>
        <w:t xml:space="preserve"> </w:t>
      </w:r>
    </w:p>
    <w:p w:rsidR="00FA325B" w:rsidRDefault="00FA325B" w:rsidP="00FA325B">
      <w:pPr>
        <w:rPr>
          <w:sz w:val="22"/>
          <w:szCs w:val="22"/>
        </w:rPr>
      </w:pPr>
      <w:r w:rsidRPr="00295032">
        <w:rPr>
          <w:sz w:val="22"/>
          <w:szCs w:val="22"/>
        </w:rPr>
        <w:t>Bormanis</w:t>
      </w:r>
      <w:r>
        <w:rPr>
          <w:sz w:val="22"/>
          <w:szCs w:val="22"/>
        </w:rPr>
        <w:t xml:space="preserve"> 67120109</w:t>
      </w:r>
    </w:p>
    <w:p w:rsidR="00FA325B" w:rsidRPr="00295032" w:rsidRDefault="00FA325B" w:rsidP="00FA325B">
      <w:pPr>
        <w:rPr>
          <w:sz w:val="22"/>
          <w:szCs w:val="22"/>
        </w:rPr>
      </w:pPr>
      <w:r>
        <w:rPr>
          <w:sz w:val="22"/>
          <w:szCs w:val="22"/>
        </w:rPr>
        <w:t>Janis.Bormanis@vid.gov.lv</w:t>
      </w:r>
    </w:p>
    <w:p w:rsidR="00AF665C" w:rsidRPr="00295032" w:rsidRDefault="00AF665C" w:rsidP="00295032">
      <w:pPr>
        <w:rPr>
          <w:smallCaps/>
          <w:color w:val="000000"/>
          <w:sz w:val="22"/>
          <w:szCs w:val="22"/>
        </w:rPr>
      </w:pPr>
    </w:p>
    <w:sectPr w:rsidR="00AF665C" w:rsidRPr="00295032" w:rsidSect="00C60F38">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2" w:rsidRDefault="008267E2" w:rsidP="00DB34F7">
      <w:r>
        <w:separator/>
      </w:r>
    </w:p>
  </w:endnote>
  <w:endnote w:type="continuationSeparator" w:id="0">
    <w:p w:rsidR="008267E2" w:rsidRDefault="008267E2"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18" w:rsidRDefault="00AA7218" w:rsidP="00B35D9D">
    <w:pPr>
      <w:pStyle w:val="Footer"/>
      <w:rPr>
        <w:lang w:val="de-DE"/>
      </w:rPr>
    </w:pPr>
  </w:p>
  <w:p w:rsidR="00AA7218" w:rsidRPr="00B35D9D" w:rsidRDefault="002F2FAE" w:rsidP="002E0AAC">
    <w:pPr>
      <w:pStyle w:val="Footer"/>
      <w:ind w:firstLine="0"/>
      <w:rPr>
        <w:lang w:val="de-DE"/>
      </w:rPr>
    </w:pPr>
    <w:r w:rsidRPr="002F2FAE">
      <w:rPr>
        <w:lang w:val="de-DE"/>
      </w:rPr>
      <w:t>FMNot_</w:t>
    </w:r>
    <w:r w:rsidR="00675A40">
      <w:rPr>
        <w:lang w:val="de-DE"/>
      </w:rPr>
      <w:t>2</w:t>
    </w:r>
    <w:r w:rsidR="004B48DE">
      <w:rPr>
        <w:lang w:val="de-DE"/>
      </w:rPr>
      <w:t>5</w:t>
    </w:r>
    <w:r w:rsidR="00FA325B">
      <w:rPr>
        <w:lang w:val="de-DE"/>
      </w:rPr>
      <w:t>02</w:t>
    </w:r>
    <w:r w:rsidR="00FA325B" w:rsidRPr="002F2FAE">
      <w:rPr>
        <w:lang w:val="de-DE"/>
      </w:rPr>
      <w:t>16</w:t>
    </w:r>
    <w:r w:rsidRPr="002F2FAE">
      <w:rPr>
        <w:lang w:val="de-DE"/>
      </w:rPr>
      <w:t>_groz_302</w:t>
    </w:r>
    <w:r w:rsidR="002022FA">
      <w:rPr>
        <w:lang w:val="de-DE"/>
      </w:rPr>
      <w:t>.docx</w:t>
    </w:r>
    <w:r w:rsidRPr="002F2FAE">
      <w:rPr>
        <w:lang w:val="de-DE"/>
      </w:rPr>
      <w:t>;</w:t>
    </w:r>
    <w:r>
      <w:rPr>
        <w:lang w:val="de-DE"/>
      </w:rPr>
      <w:t xml:space="preserve"> </w:t>
    </w:r>
    <w:r w:rsidR="00AA7218" w:rsidRPr="00E15D89">
      <w:rPr>
        <w:lang w:val="de-DE"/>
      </w:rPr>
      <w:t xml:space="preserve">Ministru kabineta noteikumu projekts </w:t>
    </w:r>
    <w:r w:rsidR="00A7317D">
      <w:rPr>
        <w:szCs w:val="28"/>
      </w:rPr>
      <w:t>„</w:t>
    </w:r>
    <w:r w:rsidR="00A7317D">
      <w:rPr>
        <w:lang w:val="de-DE"/>
      </w:rPr>
      <w:t xml:space="preserve">Grozījumi </w:t>
    </w:r>
    <w:r w:rsidR="00AA7218">
      <w:rPr>
        <w:lang w:val="de-DE"/>
      </w:rPr>
      <w:t>Ministru kabineta 2010.gada 30.mar</w:t>
    </w:r>
    <w:r w:rsidR="00A7317D">
      <w:rPr>
        <w:lang w:val="de-DE"/>
      </w:rPr>
      <w:t xml:space="preserve">ta noteikumos Nr.302 „Noteikumi </w:t>
    </w:r>
    <w:r w:rsidR="00AA7218">
      <w:rPr>
        <w:lang w:val="de-DE"/>
      </w:rPr>
      <w:t>par akcīzes nodokļa nodrošinājumiem””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18" w:rsidRDefault="00AA7218" w:rsidP="00B35D9D">
    <w:pPr>
      <w:pStyle w:val="Footer"/>
      <w:rPr>
        <w:lang w:val="de-DE"/>
      </w:rPr>
    </w:pPr>
  </w:p>
  <w:p w:rsidR="00AA7218" w:rsidRPr="00852946" w:rsidRDefault="00AA7218" w:rsidP="002E0AAC">
    <w:pPr>
      <w:pStyle w:val="Footer"/>
      <w:ind w:firstLine="0"/>
      <w:rPr>
        <w:lang w:val="de-DE"/>
      </w:rPr>
    </w:pPr>
    <w:r w:rsidRPr="00E15D89">
      <w:rPr>
        <w:lang w:val="de-DE"/>
      </w:rPr>
      <w:t>FMNot</w:t>
    </w:r>
    <w:r w:rsidRPr="001D4CED">
      <w:rPr>
        <w:lang w:val="de-DE"/>
      </w:rPr>
      <w:t>_</w:t>
    </w:r>
    <w:r w:rsidR="00675A40">
      <w:rPr>
        <w:lang w:val="de-DE"/>
      </w:rPr>
      <w:t>2</w:t>
    </w:r>
    <w:r w:rsidR="004B48DE">
      <w:rPr>
        <w:lang w:val="de-DE"/>
      </w:rPr>
      <w:t>5</w:t>
    </w:r>
    <w:r w:rsidR="00B027A4">
      <w:rPr>
        <w:lang w:val="de-DE"/>
      </w:rPr>
      <w:t>021</w:t>
    </w:r>
    <w:r w:rsidR="001F0371">
      <w:rPr>
        <w:lang w:val="de-DE"/>
      </w:rPr>
      <w:t>6</w:t>
    </w:r>
    <w:r w:rsidR="002F2FAE">
      <w:rPr>
        <w:lang w:val="de-DE"/>
      </w:rPr>
      <w:t>_groz_302</w:t>
    </w:r>
    <w:r w:rsidR="002022FA">
      <w:rPr>
        <w:lang w:val="de-DE"/>
      </w:rPr>
      <w:t>.docx</w:t>
    </w:r>
    <w:r w:rsidRPr="00E15D89">
      <w:rPr>
        <w:lang w:val="de-DE"/>
      </w:rPr>
      <w:t xml:space="preserve">; Ministru kabineta noteikumu projekts </w:t>
    </w:r>
    <w:r w:rsidR="003F03FA">
      <w:rPr>
        <w:szCs w:val="28"/>
      </w:rPr>
      <w:t>„</w:t>
    </w:r>
    <w:r>
      <w:rPr>
        <w:lang w:val="de-DE"/>
      </w:rPr>
      <w:t xml:space="preserve">Grozījumi Ministru kabineta 2010.gada 30.marta noteikumos Nr.302 </w:t>
    </w:r>
    <w:r w:rsidR="001F0371">
      <w:rPr>
        <w:lang w:val="de-DE"/>
      </w:rPr>
      <w:t>„</w:t>
    </w:r>
    <w:r>
      <w:rPr>
        <w:lang w:val="de-DE"/>
      </w:rPr>
      <w:t>Noteikumi par akcīzes nodokļa nodrošinājumiem””</w:t>
    </w:r>
  </w:p>
  <w:p w:rsidR="00AA7218" w:rsidRPr="00B35D9D" w:rsidRDefault="00AA7218">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2" w:rsidRDefault="008267E2" w:rsidP="00DB34F7">
      <w:r>
        <w:separator/>
      </w:r>
    </w:p>
  </w:footnote>
  <w:footnote w:type="continuationSeparator" w:id="0">
    <w:p w:rsidR="008267E2" w:rsidRDefault="008267E2" w:rsidP="00D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0595"/>
      <w:docPartObj>
        <w:docPartGallery w:val="Page Numbers (Top of Page)"/>
        <w:docPartUnique/>
      </w:docPartObj>
    </w:sdtPr>
    <w:sdtEndPr>
      <w:rPr>
        <w:noProof/>
        <w:sz w:val="24"/>
        <w:szCs w:val="24"/>
      </w:rPr>
    </w:sdtEndPr>
    <w:sdtContent>
      <w:p w:rsidR="00AA7218" w:rsidRPr="00AA65E1" w:rsidRDefault="00AA7218">
        <w:pPr>
          <w:pStyle w:val="Header"/>
          <w:jc w:val="center"/>
          <w:rPr>
            <w:sz w:val="24"/>
            <w:szCs w:val="24"/>
          </w:rPr>
        </w:pPr>
        <w:r w:rsidRPr="00AA65E1">
          <w:rPr>
            <w:sz w:val="24"/>
            <w:szCs w:val="24"/>
          </w:rPr>
          <w:fldChar w:fldCharType="begin"/>
        </w:r>
        <w:r w:rsidRPr="00AA65E1">
          <w:rPr>
            <w:sz w:val="24"/>
            <w:szCs w:val="24"/>
          </w:rPr>
          <w:instrText xml:space="preserve"> PAGE   \* MERGEFORMAT </w:instrText>
        </w:r>
        <w:r w:rsidRPr="00AA65E1">
          <w:rPr>
            <w:sz w:val="24"/>
            <w:szCs w:val="24"/>
          </w:rPr>
          <w:fldChar w:fldCharType="separate"/>
        </w:r>
        <w:r w:rsidR="008A0126">
          <w:rPr>
            <w:noProof/>
            <w:sz w:val="24"/>
            <w:szCs w:val="24"/>
          </w:rPr>
          <w:t>2</w:t>
        </w:r>
        <w:r w:rsidRPr="00AA65E1">
          <w:rPr>
            <w:noProof/>
            <w:sz w:val="24"/>
            <w:szCs w:val="24"/>
          </w:rPr>
          <w:fldChar w:fldCharType="end"/>
        </w:r>
      </w:p>
    </w:sdtContent>
  </w:sdt>
  <w:p w:rsidR="00AA7218" w:rsidRDefault="00AA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vestnesis.lv/wwwraksti/BILDES/KVADRATS.GIF" style="width:9.75pt;height:9.75pt;visibility:visible" o:bullet="t">
        <v:imagedata r:id="rId1" o:title="KVADRATS"/>
      </v:shape>
    </w:pict>
  </w:numPicBullet>
  <w:abstractNum w:abstractNumId="0">
    <w:nsid w:val="0B2F4AB1"/>
    <w:multiLevelType w:val="multilevel"/>
    <w:tmpl w:val="952C5082"/>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8202F48"/>
    <w:multiLevelType w:val="multilevel"/>
    <w:tmpl w:val="4C62B86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1A04A4"/>
    <w:multiLevelType w:val="multilevel"/>
    <w:tmpl w:val="57084D6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4C713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47DE4"/>
    <w:multiLevelType w:val="multilevel"/>
    <w:tmpl w:val="AE7E969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7B222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FF41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CA6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9852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6"/>
  </w:num>
  <w:num w:numId="4">
    <w:abstractNumId w:val="9"/>
  </w:num>
  <w:num w:numId="5">
    <w:abstractNumId w:val="8"/>
  </w:num>
  <w:num w:numId="6">
    <w:abstractNumId w:val="3"/>
  </w:num>
  <w:num w:numId="7">
    <w:abstractNumId w:val="1"/>
  </w:num>
  <w:num w:numId="8">
    <w:abstractNumId w:val="2"/>
  </w:num>
  <w:num w:numId="9">
    <w:abstractNumId w:val="4"/>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D"/>
    <w:rsid w:val="00000C02"/>
    <w:rsid w:val="00002E1F"/>
    <w:rsid w:val="0000406A"/>
    <w:rsid w:val="00014A4E"/>
    <w:rsid w:val="00017534"/>
    <w:rsid w:val="00025512"/>
    <w:rsid w:val="00025EB8"/>
    <w:rsid w:val="000268BD"/>
    <w:rsid w:val="00030FF5"/>
    <w:rsid w:val="00031077"/>
    <w:rsid w:val="00036F53"/>
    <w:rsid w:val="00043D69"/>
    <w:rsid w:val="00047B99"/>
    <w:rsid w:val="00053B95"/>
    <w:rsid w:val="000573BF"/>
    <w:rsid w:val="00057A4A"/>
    <w:rsid w:val="00061F12"/>
    <w:rsid w:val="00072851"/>
    <w:rsid w:val="00076B06"/>
    <w:rsid w:val="00077163"/>
    <w:rsid w:val="00081C75"/>
    <w:rsid w:val="0008226B"/>
    <w:rsid w:val="00082C96"/>
    <w:rsid w:val="00083724"/>
    <w:rsid w:val="00095A69"/>
    <w:rsid w:val="000A5A46"/>
    <w:rsid w:val="000A78E4"/>
    <w:rsid w:val="000B1FA2"/>
    <w:rsid w:val="000B2CBA"/>
    <w:rsid w:val="000B5884"/>
    <w:rsid w:val="000B5BE1"/>
    <w:rsid w:val="000C44C7"/>
    <w:rsid w:val="000D0B2B"/>
    <w:rsid w:val="000D4945"/>
    <w:rsid w:val="000E10E0"/>
    <w:rsid w:val="000E288D"/>
    <w:rsid w:val="000E529C"/>
    <w:rsid w:val="000F14E5"/>
    <w:rsid w:val="00105844"/>
    <w:rsid w:val="00106435"/>
    <w:rsid w:val="00122369"/>
    <w:rsid w:val="0012433A"/>
    <w:rsid w:val="00135C01"/>
    <w:rsid w:val="00147992"/>
    <w:rsid w:val="001517C1"/>
    <w:rsid w:val="00152879"/>
    <w:rsid w:val="0016073E"/>
    <w:rsid w:val="00162E5D"/>
    <w:rsid w:val="0016305D"/>
    <w:rsid w:val="00165856"/>
    <w:rsid w:val="0017013E"/>
    <w:rsid w:val="001705B5"/>
    <w:rsid w:val="001740D9"/>
    <w:rsid w:val="001743F9"/>
    <w:rsid w:val="00176EF4"/>
    <w:rsid w:val="001772AE"/>
    <w:rsid w:val="001803A2"/>
    <w:rsid w:val="00181735"/>
    <w:rsid w:val="001873F0"/>
    <w:rsid w:val="001946A3"/>
    <w:rsid w:val="00194CBF"/>
    <w:rsid w:val="00195D15"/>
    <w:rsid w:val="001A160F"/>
    <w:rsid w:val="001B1BF2"/>
    <w:rsid w:val="001B6387"/>
    <w:rsid w:val="001B729F"/>
    <w:rsid w:val="001C2D79"/>
    <w:rsid w:val="001C7DE1"/>
    <w:rsid w:val="001D1ADF"/>
    <w:rsid w:val="001D4CED"/>
    <w:rsid w:val="001E1F25"/>
    <w:rsid w:val="001E6399"/>
    <w:rsid w:val="001E72E1"/>
    <w:rsid w:val="001E7E05"/>
    <w:rsid w:val="001F0371"/>
    <w:rsid w:val="002013EA"/>
    <w:rsid w:val="002022FA"/>
    <w:rsid w:val="00213598"/>
    <w:rsid w:val="00213A36"/>
    <w:rsid w:val="00214907"/>
    <w:rsid w:val="00215CF0"/>
    <w:rsid w:val="00221BA2"/>
    <w:rsid w:val="0022522D"/>
    <w:rsid w:val="002252DE"/>
    <w:rsid w:val="00230A1F"/>
    <w:rsid w:val="002310E1"/>
    <w:rsid w:val="00236578"/>
    <w:rsid w:val="0024350E"/>
    <w:rsid w:val="002458B8"/>
    <w:rsid w:val="002477D5"/>
    <w:rsid w:val="00251896"/>
    <w:rsid w:val="002526E0"/>
    <w:rsid w:val="0025605B"/>
    <w:rsid w:val="0026073D"/>
    <w:rsid w:val="00261B2B"/>
    <w:rsid w:val="00266393"/>
    <w:rsid w:val="00266B6D"/>
    <w:rsid w:val="00295032"/>
    <w:rsid w:val="002971C1"/>
    <w:rsid w:val="002A0F8D"/>
    <w:rsid w:val="002A2493"/>
    <w:rsid w:val="002A369D"/>
    <w:rsid w:val="002A3EB6"/>
    <w:rsid w:val="002A6360"/>
    <w:rsid w:val="002B2CC5"/>
    <w:rsid w:val="002C246B"/>
    <w:rsid w:val="002C3ABD"/>
    <w:rsid w:val="002D014F"/>
    <w:rsid w:val="002D4FDA"/>
    <w:rsid w:val="002E008F"/>
    <w:rsid w:val="002E0AAC"/>
    <w:rsid w:val="002F2FAE"/>
    <w:rsid w:val="0030006A"/>
    <w:rsid w:val="00303E8B"/>
    <w:rsid w:val="00316EAB"/>
    <w:rsid w:val="00330C8F"/>
    <w:rsid w:val="00332E84"/>
    <w:rsid w:val="003350C4"/>
    <w:rsid w:val="00341B86"/>
    <w:rsid w:val="00354672"/>
    <w:rsid w:val="00371005"/>
    <w:rsid w:val="003739C2"/>
    <w:rsid w:val="00375ED7"/>
    <w:rsid w:val="00376AD6"/>
    <w:rsid w:val="00391487"/>
    <w:rsid w:val="00394BB0"/>
    <w:rsid w:val="00396031"/>
    <w:rsid w:val="003A22DD"/>
    <w:rsid w:val="003A5187"/>
    <w:rsid w:val="003C4F99"/>
    <w:rsid w:val="003C6D80"/>
    <w:rsid w:val="003D61DC"/>
    <w:rsid w:val="003E4C19"/>
    <w:rsid w:val="003E5B25"/>
    <w:rsid w:val="003E6D55"/>
    <w:rsid w:val="003F03FA"/>
    <w:rsid w:val="003F2CFA"/>
    <w:rsid w:val="00400269"/>
    <w:rsid w:val="00406908"/>
    <w:rsid w:val="004100F6"/>
    <w:rsid w:val="004108D1"/>
    <w:rsid w:val="004162AC"/>
    <w:rsid w:val="004227C2"/>
    <w:rsid w:val="0042580E"/>
    <w:rsid w:val="00431021"/>
    <w:rsid w:val="0043428F"/>
    <w:rsid w:val="004359D3"/>
    <w:rsid w:val="00441BB3"/>
    <w:rsid w:val="00443008"/>
    <w:rsid w:val="004526F4"/>
    <w:rsid w:val="00453218"/>
    <w:rsid w:val="004558EA"/>
    <w:rsid w:val="00455C4F"/>
    <w:rsid w:val="00456DF2"/>
    <w:rsid w:val="0046200C"/>
    <w:rsid w:val="00472A3F"/>
    <w:rsid w:val="00480999"/>
    <w:rsid w:val="00485FFD"/>
    <w:rsid w:val="00486687"/>
    <w:rsid w:val="00487B8E"/>
    <w:rsid w:val="0049022A"/>
    <w:rsid w:val="004916A4"/>
    <w:rsid w:val="004950F1"/>
    <w:rsid w:val="004A2FBF"/>
    <w:rsid w:val="004A3939"/>
    <w:rsid w:val="004A3D2A"/>
    <w:rsid w:val="004A5F47"/>
    <w:rsid w:val="004B48DE"/>
    <w:rsid w:val="004D5E5B"/>
    <w:rsid w:val="004E51CA"/>
    <w:rsid w:val="00516B1E"/>
    <w:rsid w:val="00527F1B"/>
    <w:rsid w:val="0054008C"/>
    <w:rsid w:val="00546A58"/>
    <w:rsid w:val="00550A29"/>
    <w:rsid w:val="005669AA"/>
    <w:rsid w:val="00592AEC"/>
    <w:rsid w:val="00592DB0"/>
    <w:rsid w:val="00595422"/>
    <w:rsid w:val="00595C23"/>
    <w:rsid w:val="005B24CC"/>
    <w:rsid w:val="005C2093"/>
    <w:rsid w:val="005C37C2"/>
    <w:rsid w:val="005C42C2"/>
    <w:rsid w:val="005D1BCE"/>
    <w:rsid w:val="005E23A3"/>
    <w:rsid w:val="005E53AC"/>
    <w:rsid w:val="005F0FA8"/>
    <w:rsid w:val="005F42E9"/>
    <w:rsid w:val="005F7B9F"/>
    <w:rsid w:val="00606B1C"/>
    <w:rsid w:val="006141AD"/>
    <w:rsid w:val="00620618"/>
    <w:rsid w:val="00624F03"/>
    <w:rsid w:val="00625E3E"/>
    <w:rsid w:val="00633758"/>
    <w:rsid w:val="006343D8"/>
    <w:rsid w:val="006458C9"/>
    <w:rsid w:val="00646F19"/>
    <w:rsid w:val="006478BA"/>
    <w:rsid w:val="00651B6D"/>
    <w:rsid w:val="0065387C"/>
    <w:rsid w:val="00655131"/>
    <w:rsid w:val="006646D4"/>
    <w:rsid w:val="00666BCB"/>
    <w:rsid w:val="006721CD"/>
    <w:rsid w:val="006755E3"/>
    <w:rsid w:val="00675A40"/>
    <w:rsid w:val="00677C42"/>
    <w:rsid w:val="0068084D"/>
    <w:rsid w:val="00683634"/>
    <w:rsid w:val="006912DD"/>
    <w:rsid w:val="0069195F"/>
    <w:rsid w:val="006A48BC"/>
    <w:rsid w:val="006A4A60"/>
    <w:rsid w:val="006A5F0F"/>
    <w:rsid w:val="006A6AF0"/>
    <w:rsid w:val="006B0004"/>
    <w:rsid w:val="006B0CF2"/>
    <w:rsid w:val="006B5DCE"/>
    <w:rsid w:val="006B791B"/>
    <w:rsid w:val="00700667"/>
    <w:rsid w:val="00700C62"/>
    <w:rsid w:val="00701DE2"/>
    <w:rsid w:val="00703D17"/>
    <w:rsid w:val="00712ADC"/>
    <w:rsid w:val="00715958"/>
    <w:rsid w:val="00723B58"/>
    <w:rsid w:val="00732773"/>
    <w:rsid w:val="007439F2"/>
    <w:rsid w:val="00754638"/>
    <w:rsid w:val="0076079E"/>
    <w:rsid w:val="00760CEC"/>
    <w:rsid w:val="00761C6D"/>
    <w:rsid w:val="00763222"/>
    <w:rsid w:val="007654B8"/>
    <w:rsid w:val="007662FF"/>
    <w:rsid w:val="0078371D"/>
    <w:rsid w:val="00783C2E"/>
    <w:rsid w:val="00785F00"/>
    <w:rsid w:val="00787854"/>
    <w:rsid w:val="007900A0"/>
    <w:rsid w:val="0079235E"/>
    <w:rsid w:val="007A00D9"/>
    <w:rsid w:val="007A1432"/>
    <w:rsid w:val="007A15FF"/>
    <w:rsid w:val="007A526B"/>
    <w:rsid w:val="007B2B7F"/>
    <w:rsid w:val="007B380D"/>
    <w:rsid w:val="007B7E94"/>
    <w:rsid w:val="007C704E"/>
    <w:rsid w:val="007C7BC1"/>
    <w:rsid w:val="007C7F2F"/>
    <w:rsid w:val="007D1B1F"/>
    <w:rsid w:val="007D4839"/>
    <w:rsid w:val="007D4DC4"/>
    <w:rsid w:val="007D5710"/>
    <w:rsid w:val="007D5858"/>
    <w:rsid w:val="007D585A"/>
    <w:rsid w:val="007E3964"/>
    <w:rsid w:val="007E561B"/>
    <w:rsid w:val="008034EF"/>
    <w:rsid w:val="0081152E"/>
    <w:rsid w:val="00811F70"/>
    <w:rsid w:val="008144BB"/>
    <w:rsid w:val="00815874"/>
    <w:rsid w:val="00823DDC"/>
    <w:rsid w:val="0082428F"/>
    <w:rsid w:val="008267E2"/>
    <w:rsid w:val="008270C3"/>
    <w:rsid w:val="0083300F"/>
    <w:rsid w:val="0083587D"/>
    <w:rsid w:val="00836B11"/>
    <w:rsid w:val="00851BA0"/>
    <w:rsid w:val="00852946"/>
    <w:rsid w:val="008716F9"/>
    <w:rsid w:val="008734D8"/>
    <w:rsid w:val="0087495A"/>
    <w:rsid w:val="00877A62"/>
    <w:rsid w:val="00877C93"/>
    <w:rsid w:val="0088609A"/>
    <w:rsid w:val="0088630C"/>
    <w:rsid w:val="008A0126"/>
    <w:rsid w:val="008B630D"/>
    <w:rsid w:val="008B6D81"/>
    <w:rsid w:val="008C690C"/>
    <w:rsid w:val="008D3B0C"/>
    <w:rsid w:val="008D7920"/>
    <w:rsid w:val="008E095A"/>
    <w:rsid w:val="008F2575"/>
    <w:rsid w:val="008F553B"/>
    <w:rsid w:val="00904DF4"/>
    <w:rsid w:val="00916218"/>
    <w:rsid w:val="00923940"/>
    <w:rsid w:val="00925005"/>
    <w:rsid w:val="00927870"/>
    <w:rsid w:val="00933C13"/>
    <w:rsid w:val="00945A54"/>
    <w:rsid w:val="00952DF3"/>
    <w:rsid w:val="00957A41"/>
    <w:rsid w:val="00957DF0"/>
    <w:rsid w:val="00963158"/>
    <w:rsid w:val="009671E9"/>
    <w:rsid w:val="009738F3"/>
    <w:rsid w:val="009744E3"/>
    <w:rsid w:val="00996F51"/>
    <w:rsid w:val="009A137E"/>
    <w:rsid w:val="009A6338"/>
    <w:rsid w:val="009B31B2"/>
    <w:rsid w:val="009B4A4D"/>
    <w:rsid w:val="009B5405"/>
    <w:rsid w:val="009B71B1"/>
    <w:rsid w:val="009C0CC6"/>
    <w:rsid w:val="009E1B4D"/>
    <w:rsid w:val="009F041A"/>
    <w:rsid w:val="009F2383"/>
    <w:rsid w:val="009F4807"/>
    <w:rsid w:val="009F66B6"/>
    <w:rsid w:val="00A03C8A"/>
    <w:rsid w:val="00A054F2"/>
    <w:rsid w:val="00A15870"/>
    <w:rsid w:val="00A161EA"/>
    <w:rsid w:val="00A218AF"/>
    <w:rsid w:val="00A3285F"/>
    <w:rsid w:val="00A35E02"/>
    <w:rsid w:val="00A41439"/>
    <w:rsid w:val="00A42B7B"/>
    <w:rsid w:val="00A42C3B"/>
    <w:rsid w:val="00A560EC"/>
    <w:rsid w:val="00A6766C"/>
    <w:rsid w:val="00A71973"/>
    <w:rsid w:val="00A71DA7"/>
    <w:rsid w:val="00A725B0"/>
    <w:rsid w:val="00A7317D"/>
    <w:rsid w:val="00A74642"/>
    <w:rsid w:val="00A801DB"/>
    <w:rsid w:val="00A861DE"/>
    <w:rsid w:val="00AA0F5D"/>
    <w:rsid w:val="00AA65E1"/>
    <w:rsid w:val="00AA7218"/>
    <w:rsid w:val="00AB05A3"/>
    <w:rsid w:val="00AB0E10"/>
    <w:rsid w:val="00AB412E"/>
    <w:rsid w:val="00AC5F52"/>
    <w:rsid w:val="00AD2697"/>
    <w:rsid w:val="00AD3D1E"/>
    <w:rsid w:val="00AD4628"/>
    <w:rsid w:val="00AD6FAB"/>
    <w:rsid w:val="00AD73DB"/>
    <w:rsid w:val="00AD77CE"/>
    <w:rsid w:val="00AE6EC8"/>
    <w:rsid w:val="00AF25AE"/>
    <w:rsid w:val="00AF350E"/>
    <w:rsid w:val="00AF6527"/>
    <w:rsid w:val="00AF665C"/>
    <w:rsid w:val="00B02421"/>
    <w:rsid w:val="00B027A4"/>
    <w:rsid w:val="00B228E5"/>
    <w:rsid w:val="00B25F44"/>
    <w:rsid w:val="00B33BE4"/>
    <w:rsid w:val="00B33C39"/>
    <w:rsid w:val="00B35D9D"/>
    <w:rsid w:val="00B36845"/>
    <w:rsid w:val="00B43127"/>
    <w:rsid w:val="00B43357"/>
    <w:rsid w:val="00B507A9"/>
    <w:rsid w:val="00B5155A"/>
    <w:rsid w:val="00B52E1B"/>
    <w:rsid w:val="00B61C91"/>
    <w:rsid w:val="00B70F38"/>
    <w:rsid w:val="00B72314"/>
    <w:rsid w:val="00B727DE"/>
    <w:rsid w:val="00B73FF8"/>
    <w:rsid w:val="00B832B5"/>
    <w:rsid w:val="00B83B80"/>
    <w:rsid w:val="00B85176"/>
    <w:rsid w:val="00BA0E26"/>
    <w:rsid w:val="00BA3346"/>
    <w:rsid w:val="00BA7E47"/>
    <w:rsid w:val="00BB26FD"/>
    <w:rsid w:val="00BC541A"/>
    <w:rsid w:val="00BE788D"/>
    <w:rsid w:val="00C003AF"/>
    <w:rsid w:val="00C05ADF"/>
    <w:rsid w:val="00C069B5"/>
    <w:rsid w:val="00C07684"/>
    <w:rsid w:val="00C11CEB"/>
    <w:rsid w:val="00C12430"/>
    <w:rsid w:val="00C20642"/>
    <w:rsid w:val="00C24BBF"/>
    <w:rsid w:val="00C25702"/>
    <w:rsid w:val="00C25BBE"/>
    <w:rsid w:val="00C26289"/>
    <w:rsid w:val="00C31AAE"/>
    <w:rsid w:val="00C32628"/>
    <w:rsid w:val="00C42AF6"/>
    <w:rsid w:val="00C520E0"/>
    <w:rsid w:val="00C60C2A"/>
    <w:rsid w:val="00C60F38"/>
    <w:rsid w:val="00C646DE"/>
    <w:rsid w:val="00C72944"/>
    <w:rsid w:val="00C81AE7"/>
    <w:rsid w:val="00C844CA"/>
    <w:rsid w:val="00C91CAE"/>
    <w:rsid w:val="00C91CF8"/>
    <w:rsid w:val="00C94AA0"/>
    <w:rsid w:val="00CA2C13"/>
    <w:rsid w:val="00CB10EB"/>
    <w:rsid w:val="00CB3691"/>
    <w:rsid w:val="00CC4634"/>
    <w:rsid w:val="00CD391D"/>
    <w:rsid w:val="00CD5003"/>
    <w:rsid w:val="00D01DD1"/>
    <w:rsid w:val="00D067C7"/>
    <w:rsid w:val="00D10FDC"/>
    <w:rsid w:val="00D1344B"/>
    <w:rsid w:val="00D21D76"/>
    <w:rsid w:val="00D239E4"/>
    <w:rsid w:val="00D3054D"/>
    <w:rsid w:val="00D32B25"/>
    <w:rsid w:val="00D3624B"/>
    <w:rsid w:val="00D37DB3"/>
    <w:rsid w:val="00D46503"/>
    <w:rsid w:val="00D468CC"/>
    <w:rsid w:val="00D506B9"/>
    <w:rsid w:val="00D5193E"/>
    <w:rsid w:val="00D53EFE"/>
    <w:rsid w:val="00D57A6F"/>
    <w:rsid w:val="00D57BA7"/>
    <w:rsid w:val="00D62515"/>
    <w:rsid w:val="00D64B59"/>
    <w:rsid w:val="00D653A9"/>
    <w:rsid w:val="00D6607D"/>
    <w:rsid w:val="00D7195E"/>
    <w:rsid w:val="00D71FAB"/>
    <w:rsid w:val="00D74D89"/>
    <w:rsid w:val="00D83C13"/>
    <w:rsid w:val="00D8791E"/>
    <w:rsid w:val="00D95A9D"/>
    <w:rsid w:val="00D965D0"/>
    <w:rsid w:val="00D971A2"/>
    <w:rsid w:val="00DA07E7"/>
    <w:rsid w:val="00DA4611"/>
    <w:rsid w:val="00DA527B"/>
    <w:rsid w:val="00DB027D"/>
    <w:rsid w:val="00DB34F7"/>
    <w:rsid w:val="00DB3BC5"/>
    <w:rsid w:val="00DB5533"/>
    <w:rsid w:val="00DC3341"/>
    <w:rsid w:val="00DC3B95"/>
    <w:rsid w:val="00DD6407"/>
    <w:rsid w:val="00DE22D2"/>
    <w:rsid w:val="00DE2D5F"/>
    <w:rsid w:val="00DE6F09"/>
    <w:rsid w:val="00DF2D87"/>
    <w:rsid w:val="00DF4A0A"/>
    <w:rsid w:val="00E03A0F"/>
    <w:rsid w:val="00E15D89"/>
    <w:rsid w:val="00E27DCA"/>
    <w:rsid w:val="00E301FA"/>
    <w:rsid w:val="00E31261"/>
    <w:rsid w:val="00E5548A"/>
    <w:rsid w:val="00E61B2A"/>
    <w:rsid w:val="00E701B5"/>
    <w:rsid w:val="00E7640C"/>
    <w:rsid w:val="00E76E66"/>
    <w:rsid w:val="00E87FAA"/>
    <w:rsid w:val="00EA0677"/>
    <w:rsid w:val="00EB2E58"/>
    <w:rsid w:val="00EB5203"/>
    <w:rsid w:val="00EB5227"/>
    <w:rsid w:val="00EB71A2"/>
    <w:rsid w:val="00EC2E66"/>
    <w:rsid w:val="00EC6608"/>
    <w:rsid w:val="00ED0BD2"/>
    <w:rsid w:val="00ED2FA6"/>
    <w:rsid w:val="00ED4AC1"/>
    <w:rsid w:val="00EE02F4"/>
    <w:rsid w:val="00EE3B4F"/>
    <w:rsid w:val="00EE5080"/>
    <w:rsid w:val="00EE516A"/>
    <w:rsid w:val="00EF5644"/>
    <w:rsid w:val="00F02B75"/>
    <w:rsid w:val="00F11DE1"/>
    <w:rsid w:val="00F127EA"/>
    <w:rsid w:val="00F36F65"/>
    <w:rsid w:val="00F44166"/>
    <w:rsid w:val="00F47A43"/>
    <w:rsid w:val="00F55C1B"/>
    <w:rsid w:val="00F57D7B"/>
    <w:rsid w:val="00F64A40"/>
    <w:rsid w:val="00F73D41"/>
    <w:rsid w:val="00F74B4E"/>
    <w:rsid w:val="00F91BB2"/>
    <w:rsid w:val="00F94825"/>
    <w:rsid w:val="00F94ABB"/>
    <w:rsid w:val="00FA325B"/>
    <w:rsid w:val="00FC095F"/>
    <w:rsid w:val="00FC31B4"/>
    <w:rsid w:val="00FD3C01"/>
    <w:rsid w:val="00FE0F4A"/>
    <w:rsid w:val="00FE1602"/>
    <w:rsid w:val="00FF4551"/>
    <w:rsid w:val="00FF512D"/>
    <w:rsid w:val="00FF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 w:type="paragraph" w:styleId="Revision">
    <w:name w:val="Revision"/>
    <w:hidden/>
    <w:uiPriority w:val="99"/>
    <w:semiHidden/>
    <w:rsid w:val="00D7195E"/>
    <w:rPr>
      <w:rFonts w:eastAsia="Times New Roman" w:cs="Times New Roman"/>
      <w:sz w:val="20"/>
      <w:szCs w:val="20"/>
    </w:rPr>
  </w:style>
  <w:style w:type="paragraph" w:styleId="NormalWeb">
    <w:name w:val="Normal (Web)"/>
    <w:basedOn w:val="Normal"/>
    <w:uiPriority w:val="99"/>
    <w:unhideWhenUsed/>
    <w:rsid w:val="00443008"/>
    <w:pPr>
      <w:spacing w:before="100" w:beforeAutospacing="1" w:after="100" w:afterAutospacing="1"/>
    </w:pPr>
    <w:rPr>
      <w:sz w:val="24"/>
      <w:szCs w:val="24"/>
      <w:lang w:eastAsia="lv-LV"/>
    </w:rPr>
  </w:style>
  <w:style w:type="paragraph" w:customStyle="1" w:styleId="tvhtml">
    <w:name w:val="tv_html"/>
    <w:basedOn w:val="Normal"/>
    <w:rsid w:val="00F94ABB"/>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 w:type="paragraph" w:styleId="Revision">
    <w:name w:val="Revision"/>
    <w:hidden/>
    <w:uiPriority w:val="99"/>
    <w:semiHidden/>
    <w:rsid w:val="00D7195E"/>
    <w:rPr>
      <w:rFonts w:eastAsia="Times New Roman" w:cs="Times New Roman"/>
      <w:sz w:val="20"/>
      <w:szCs w:val="20"/>
    </w:rPr>
  </w:style>
  <w:style w:type="paragraph" w:styleId="NormalWeb">
    <w:name w:val="Normal (Web)"/>
    <w:basedOn w:val="Normal"/>
    <w:uiPriority w:val="99"/>
    <w:unhideWhenUsed/>
    <w:rsid w:val="00443008"/>
    <w:pPr>
      <w:spacing w:before="100" w:beforeAutospacing="1" w:after="100" w:afterAutospacing="1"/>
    </w:pPr>
    <w:rPr>
      <w:sz w:val="24"/>
      <w:szCs w:val="24"/>
      <w:lang w:eastAsia="lv-LV"/>
    </w:rPr>
  </w:style>
  <w:style w:type="paragraph" w:customStyle="1" w:styleId="tvhtml">
    <w:name w:val="tv_html"/>
    <w:basedOn w:val="Normal"/>
    <w:rsid w:val="00F94ABB"/>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720">
      <w:bodyDiv w:val="1"/>
      <w:marLeft w:val="0"/>
      <w:marRight w:val="0"/>
      <w:marTop w:val="0"/>
      <w:marBottom w:val="0"/>
      <w:divBdr>
        <w:top w:val="none" w:sz="0" w:space="0" w:color="auto"/>
        <w:left w:val="none" w:sz="0" w:space="0" w:color="auto"/>
        <w:bottom w:val="none" w:sz="0" w:space="0" w:color="auto"/>
        <w:right w:val="none" w:sz="0" w:space="0" w:color="auto"/>
      </w:divBdr>
    </w:div>
    <w:div w:id="1366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8009-alkoholisko-dzerienu-aprites-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81066-par-akcizes-nodokli" TargetMode="External"/><Relationship Id="rId4" Type="http://schemas.microsoft.com/office/2007/relationships/stylesWithEffects" Target="stylesWithEffects.xml"/><Relationship Id="rId9" Type="http://schemas.openxmlformats.org/officeDocument/2006/relationships/hyperlink" Target="http://likumi.lv/ta/id/81066-par-akcizes-nodokl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EB78-E69B-4A06-9093-66A474F7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2250</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Nr.302 „Noteikumi par akcīzes nodokļa nodrošinājumiem”</vt:lpstr>
    </vt:vector>
  </TitlesOfParts>
  <Company>Valsts ieņēmumu dienests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Nr.302 „Noteikumi par akcīzes nodokļa nodrošinājumiem”</dc:title>
  <dc:subject>Ministru kabineta noteikumu grozījumu projekts</dc:subject>
  <dc:creator>Jānis Bormanis</dc:creator>
  <dc:description>Janis.Bormanis@vid.gov.lv; 67120109</dc:description>
  <cp:lastModifiedBy>Jānis Bormanis</cp:lastModifiedBy>
  <cp:revision>19</cp:revision>
  <cp:lastPrinted>2016-02-05T12:20:00Z</cp:lastPrinted>
  <dcterms:created xsi:type="dcterms:W3CDTF">2016-02-09T07:18:00Z</dcterms:created>
  <dcterms:modified xsi:type="dcterms:W3CDTF">2016-02-25T09:24:00Z</dcterms:modified>
  <cp:category>Ministru kabineta noteikumu grozījumu projekts</cp:category>
</cp:coreProperties>
</file>