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CABAB" w14:textId="77777777" w:rsidR="00BE6C9C" w:rsidRPr="00924CA2" w:rsidRDefault="00AE21CE" w:rsidP="00C949C1">
      <w:pPr>
        <w:spacing w:after="0" w:line="240" w:lineRule="auto"/>
        <w:jc w:val="right"/>
        <w:rPr>
          <w:rFonts w:ascii="Times New Roman" w:hAnsi="Times New Roman" w:cs="Times New Roman"/>
          <w:sz w:val="24"/>
          <w:szCs w:val="24"/>
        </w:rPr>
      </w:pPr>
      <w:bookmarkStart w:id="0" w:name="_GoBack"/>
      <w:bookmarkEnd w:id="0"/>
      <w:r w:rsidRPr="00924CA2">
        <w:rPr>
          <w:rFonts w:ascii="Times New Roman" w:hAnsi="Times New Roman" w:cs="Times New Roman"/>
          <w:sz w:val="24"/>
          <w:szCs w:val="24"/>
        </w:rPr>
        <w:t>Projekts</w:t>
      </w:r>
    </w:p>
    <w:p w14:paraId="340278E4" w14:textId="77777777" w:rsidR="00AE21CE" w:rsidRPr="00924CA2" w:rsidRDefault="00AE21CE" w:rsidP="00C949C1">
      <w:pPr>
        <w:spacing w:after="0" w:line="240" w:lineRule="auto"/>
        <w:jc w:val="both"/>
        <w:rPr>
          <w:rFonts w:ascii="Times New Roman" w:hAnsi="Times New Roman" w:cs="Times New Roman"/>
          <w:sz w:val="24"/>
          <w:szCs w:val="24"/>
        </w:rPr>
      </w:pPr>
    </w:p>
    <w:p w14:paraId="36D6179B" w14:textId="1BCBCF2E" w:rsidR="00635545" w:rsidRPr="00890A6C" w:rsidRDefault="00AE21CE" w:rsidP="00890A6C">
      <w:pPr>
        <w:spacing w:after="0" w:line="240" w:lineRule="auto"/>
        <w:jc w:val="center"/>
        <w:rPr>
          <w:rFonts w:ascii="Times New Roman" w:hAnsi="Times New Roman" w:cs="Times New Roman"/>
          <w:b/>
          <w:sz w:val="24"/>
          <w:szCs w:val="24"/>
        </w:rPr>
      </w:pPr>
      <w:r w:rsidRPr="00924CA2">
        <w:rPr>
          <w:rFonts w:ascii="Times New Roman" w:hAnsi="Times New Roman" w:cs="Times New Roman"/>
          <w:b/>
          <w:sz w:val="24"/>
          <w:szCs w:val="24"/>
        </w:rPr>
        <w:t>Informatīvais ziņojums “</w:t>
      </w:r>
      <w:r w:rsidR="0070762B" w:rsidRPr="00924CA2">
        <w:rPr>
          <w:rFonts w:ascii="Times New Roman" w:hAnsi="Times New Roman" w:cs="Times New Roman"/>
          <w:b/>
          <w:sz w:val="24"/>
          <w:szCs w:val="24"/>
        </w:rPr>
        <w:t xml:space="preserve">Par </w:t>
      </w:r>
      <w:r w:rsidR="004C2A02">
        <w:rPr>
          <w:rFonts w:ascii="Times New Roman" w:hAnsi="Times New Roman" w:cs="Times New Roman"/>
          <w:b/>
          <w:sz w:val="24"/>
          <w:szCs w:val="24"/>
        </w:rPr>
        <w:t xml:space="preserve">tarifu, kas saistīti ar </w:t>
      </w:r>
      <w:r w:rsidR="00192C68">
        <w:rPr>
          <w:rFonts w:ascii="Times New Roman" w:hAnsi="Times New Roman" w:cs="Times New Roman"/>
          <w:b/>
          <w:sz w:val="24"/>
          <w:szCs w:val="24"/>
        </w:rPr>
        <w:t xml:space="preserve">maksājumu </w:t>
      </w:r>
      <w:r w:rsidR="004C2A02">
        <w:rPr>
          <w:rFonts w:ascii="Times New Roman" w:hAnsi="Times New Roman" w:cs="Times New Roman"/>
          <w:b/>
          <w:sz w:val="24"/>
          <w:szCs w:val="24"/>
        </w:rPr>
        <w:t xml:space="preserve">kontu, </w:t>
      </w:r>
      <w:r w:rsidR="00192C68">
        <w:rPr>
          <w:rFonts w:ascii="Times New Roman" w:hAnsi="Times New Roman" w:cs="Times New Roman"/>
          <w:b/>
          <w:sz w:val="24"/>
          <w:szCs w:val="24"/>
        </w:rPr>
        <w:t>salīdzināšanas mehānisma izveidi</w:t>
      </w:r>
      <w:r w:rsidRPr="00924CA2">
        <w:rPr>
          <w:rFonts w:ascii="Times New Roman" w:hAnsi="Times New Roman" w:cs="Times New Roman"/>
          <w:b/>
          <w:sz w:val="24"/>
          <w:szCs w:val="24"/>
        </w:rPr>
        <w:t>”</w:t>
      </w:r>
    </w:p>
    <w:p w14:paraId="4BED6244" w14:textId="77777777" w:rsidR="006C0A93" w:rsidRPr="00924CA2" w:rsidRDefault="006C0A93" w:rsidP="00C949C1">
      <w:pPr>
        <w:spacing w:after="0" w:line="240" w:lineRule="auto"/>
        <w:jc w:val="both"/>
        <w:rPr>
          <w:rFonts w:ascii="Times New Roman" w:hAnsi="Times New Roman" w:cs="Times New Roman"/>
          <w:sz w:val="24"/>
          <w:szCs w:val="24"/>
        </w:rPr>
      </w:pPr>
    </w:p>
    <w:p w14:paraId="4E545CDD" w14:textId="77777777" w:rsidR="00FD67BC" w:rsidRPr="00924CA2" w:rsidRDefault="00FD67BC" w:rsidP="00FD67BC">
      <w:pPr>
        <w:spacing w:after="0" w:line="240" w:lineRule="auto"/>
        <w:jc w:val="center"/>
        <w:rPr>
          <w:rFonts w:ascii="Times New Roman" w:hAnsi="Times New Roman" w:cs="Times New Roman"/>
          <w:b/>
          <w:sz w:val="24"/>
          <w:szCs w:val="24"/>
        </w:rPr>
      </w:pPr>
      <w:r w:rsidRPr="00924CA2">
        <w:rPr>
          <w:rFonts w:ascii="Times New Roman" w:hAnsi="Times New Roman" w:cs="Times New Roman"/>
          <w:b/>
          <w:sz w:val="24"/>
          <w:szCs w:val="24"/>
        </w:rPr>
        <w:t xml:space="preserve">I </w:t>
      </w:r>
      <w:r w:rsidR="00192C68">
        <w:rPr>
          <w:rFonts w:ascii="Times New Roman" w:hAnsi="Times New Roman" w:cs="Times New Roman"/>
          <w:b/>
          <w:sz w:val="24"/>
          <w:szCs w:val="24"/>
        </w:rPr>
        <w:t>Tiesiskais pamatojums</w:t>
      </w:r>
      <w:r w:rsidRPr="00924CA2">
        <w:rPr>
          <w:rFonts w:ascii="Times New Roman" w:hAnsi="Times New Roman" w:cs="Times New Roman"/>
          <w:b/>
          <w:sz w:val="24"/>
          <w:szCs w:val="24"/>
        </w:rPr>
        <w:t xml:space="preserve"> </w:t>
      </w:r>
    </w:p>
    <w:p w14:paraId="157B7609" w14:textId="77777777" w:rsidR="00944E6A" w:rsidRPr="00924CA2" w:rsidRDefault="00944E6A" w:rsidP="00FD67BC">
      <w:pPr>
        <w:spacing w:after="0" w:line="240" w:lineRule="auto"/>
        <w:jc w:val="center"/>
        <w:rPr>
          <w:rFonts w:ascii="Times New Roman" w:hAnsi="Times New Roman" w:cs="Times New Roman"/>
          <w:sz w:val="24"/>
          <w:szCs w:val="24"/>
          <w:highlight w:val="yellow"/>
        </w:rPr>
      </w:pPr>
    </w:p>
    <w:p w14:paraId="426E10B0" w14:textId="3F6C24A0" w:rsidR="006B4665" w:rsidRPr="00F401FB" w:rsidRDefault="00380B00" w:rsidP="0087762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rPr>
        <w:tab/>
      </w:r>
      <w:r w:rsidR="00865F1E" w:rsidRPr="00A24FF5">
        <w:rPr>
          <w:rFonts w:ascii="Times New Roman" w:hAnsi="Times New Roman" w:cs="Times New Roman"/>
          <w:sz w:val="24"/>
        </w:rPr>
        <w:t xml:space="preserve">Eiropas </w:t>
      </w:r>
      <w:r w:rsidR="00865F1E" w:rsidRPr="00A24FF5">
        <w:rPr>
          <w:rFonts w:ascii="Times New Roman" w:hAnsi="Times New Roman" w:cs="Times New Roman"/>
          <w:sz w:val="24"/>
          <w:szCs w:val="24"/>
        </w:rPr>
        <w:t>Savienības Oficiālajā Žurnālā</w:t>
      </w:r>
      <w:r w:rsidR="00865F1E" w:rsidRPr="006B4665">
        <w:rPr>
          <w:rFonts w:ascii="Times New Roman" w:hAnsi="Times New Roman" w:cs="Times New Roman"/>
          <w:sz w:val="24"/>
          <w:szCs w:val="24"/>
        </w:rPr>
        <w:t xml:space="preserve"> 2014.</w:t>
      </w:r>
      <w:r w:rsidR="00CC2439">
        <w:rPr>
          <w:rFonts w:ascii="Times New Roman" w:hAnsi="Times New Roman" w:cs="Times New Roman"/>
          <w:sz w:val="24"/>
          <w:szCs w:val="24"/>
        </w:rPr>
        <w:t>gada 28. augustā</w:t>
      </w:r>
      <w:r w:rsidR="00865F1E" w:rsidRPr="006B4665">
        <w:rPr>
          <w:rFonts w:ascii="Times New Roman" w:hAnsi="Times New Roman" w:cs="Times New Roman"/>
          <w:sz w:val="24"/>
          <w:szCs w:val="24"/>
        </w:rPr>
        <w:t xml:space="preserve"> tika publicēta Eiropas Parlamenta un Padomes Direktīva 2014/92/ES par maksājumu kontu tarifu salīdzināmību, maksājumu kontu maiņu un piekļuvi maksājumu kontiem ar pamatfunkcijām</w:t>
      </w:r>
      <w:r w:rsidR="00865F1E" w:rsidRPr="006B4665">
        <w:rPr>
          <w:rStyle w:val="FootnoteReference"/>
          <w:rFonts w:ascii="Times New Roman" w:hAnsi="Times New Roman" w:cs="Times New Roman"/>
          <w:sz w:val="24"/>
          <w:szCs w:val="24"/>
        </w:rPr>
        <w:footnoteReference w:id="2"/>
      </w:r>
      <w:r w:rsidR="00865F1E" w:rsidRPr="006B4665">
        <w:rPr>
          <w:rFonts w:ascii="Times New Roman" w:hAnsi="Times New Roman" w:cs="Times New Roman"/>
          <w:sz w:val="24"/>
          <w:szCs w:val="24"/>
        </w:rPr>
        <w:t xml:space="preserve"> (turpmāk – Direktīva).</w:t>
      </w:r>
      <w:r w:rsidR="00865F1E" w:rsidRPr="006B4665">
        <w:rPr>
          <w:sz w:val="24"/>
          <w:szCs w:val="24"/>
        </w:rPr>
        <w:t xml:space="preserve"> </w:t>
      </w:r>
      <w:r w:rsidR="000A0DF9">
        <w:rPr>
          <w:rFonts w:ascii="Times New Roman" w:hAnsi="Times New Roman" w:cs="Times New Roman"/>
          <w:sz w:val="24"/>
          <w:szCs w:val="24"/>
        </w:rPr>
        <w:t>Direktīva</w:t>
      </w:r>
      <w:r w:rsidR="006B4665">
        <w:rPr>
          <w:rFonts w:ascii="Times New Roman" w:hAnsi="Times New Roman" w:cs="Times New Roman"/>
          <w:sz w:val="24"/>
          <w:szCs w:val="24"/>
        </w:rPr>
        <w:t xml:space="preserve"> attiecas vienīgi uz patērētājiem</w:t>
      </w:r>
      <w:r w:rsidR="00A23786">
        <w:rPr>
          <w:rFonts w:ascii="Times New Roman" w:hAnsi="Times New Roman" w:cs="Times New Roman"/>
          <w:sz w:val="24"/>
          <w:szCs w:val="24"/>
        </w:rPr>
        <w:t xml:space="preserve"> piedāvātajiem maksājumu pakalpojumiem</w:t>
      </w:r>
      <w:r w:rsidR="00B73D62">
        <w:rPr>
          <w:rFonts w:ascii="Times New Roman" w:hAnsi="Times New Roman" w:cs="Times New Roman"/>
          <w:sz w:val="24"/>
          <w:szCs w:val="24"/>
        </w:rPr>
        <w:t>, kas saistīti ar maksājumu kontiem</w:t>
      </w:r>
      <w:r w:rsidR="006B4665">
        <w:rPr>
          <w:rFonts w:ascii="Times New Roman" w:hAnsi="Times New Roman" w:cs="Times New Roman"/>
          <w:sz w:val="24"/>
          <w:szCs w:val="24"/>
        </w:rPr>
        <w:t>.</w:t>
      </w:r>
      <w:r w:rsidR="00CC2439">
        <w:rPr>
          <w:rFonts w:ascii="Times New Roman" w:hAnsi="Times New Roman" w:cs="Times New Roman"/>
          <w:sz w:val="24"/>
          <w:szCs w:val="24"/>
        </w:rPr>
        <w:t xml:space="preserve"> </w:t>
      </w:r>
      <w:r w:rsidR="006B4665">
        <w:rPr>
          <w:rFonts w:ascii="Times New Roman" w:hAnsi="Times New Roman" w:cs="Times New Roman"/>
          <w:sz w:val="24"/>
          <w:szCs w:val="24"/>
        </w:rPr>
        <w:t>Saskaņā ar Direktīvas 29.panta otro daļu tās noteikumi ir jāpiemēro no 2016.</w:t>
      </w:r>
      <w:r w:rsidR="00CC2439">
        <w:rPr>
          <w:rFonts w:ascii="Times New Roman" w:hAnsi="Times New Roman" w:cs="Times New Roman"/>
          <w:sz w:val="24"/>
          <w:szCs w:val="24"/>
        </w:rPr>
        <w:t xml:space="preserve"> gada 18. septembra</w:t>
      </w:r>
      <w:r w:rsidR="006277D7">
        <w:rPr>
          <w:rFonts w:ascii="Times New Roman" w:hAnsi="Times New Roman" w:cs="Times New Roman"/>
          <w:sz w:val="24"/>
          <w:szCs w:val="24"/>
        </w:rPr>
        <w:t xml:space="preserve">, savukārt pasākumus, kas nepieciešami salīdzinošās tīmekļa vietnes izveides pienākuma izpildei, piemēro deviņu mēnešus pēc </w:t>
      </w:r>
      <w:r w:rsidR="00F401FB" w:rsidRPr="00A24FF5">
        <w:rPr>
          <w:rFonts w:ascii="Times New Roman" w:hAnsi="Times New Roman" w:cs="Times New Roman"/>
          <w:sz w:val="24"/>
          <w:szCs w:val="24"/>
        </w:rPr>
        <w:t>EBI izstrādāto regulatīvo tehnisko standartu, kuros izklāstīta Eiropas Savienības standartizētā terminoloģija tiem pakalpojumiem, kas ir kopēji vismaz vairākumam dalībvalstu spēkā stāšanos</w:t>
      </w:r>
      <w:r w:rsidR="0062058A">
        <w:rPr>
          <w:rFonts w:ascii="Times New Roman" w:hAnsi="Times New Roman" w:cs="Times New Roman"/>
          <w:sz w:val="24"/>
          <w:szCs w:val="24"/>
        </w:rPr>
        <w:t>, tas ir 2018. gada 1. janvārī</w:t>
      </w:r>
      <w:r w:rsidR="00CC2439" w:rsidRPr="00F401FB">
        <w:rPr>
          <w:rFonts w:ascii="Times New Roman" w:hAnsi="Times New Roman" w:cs="Times New Roman"/>
          <w:sz w:val="24"/>
          <w:szCs w:val="24"/>
        </w:rPr>
        <w:t>.</w:t>
      </w:r>
    </w:p>
    <w:p w14:paraId="23579D45" w14:textId="36DF751A" w:rsidR="00C17ECD" w:rsidRDefault="00380B00" w:rsidP="0087762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B4665">
        <w:rPr>
          <w:rFonts w:ascii="Times New Roman" w:hAnsi="Times New Roman" w:cs="Times New Roman"/>
          <w:sz w:val="24"/>
          <w:szCs w:val="24"/>
        </w:rPr>
        <w:t>Direktīvas</w:t>
      </w:r>
      <w:r w:rsidR="000A0DF9">
        <w:rPr>
          <w:rFonts w:ascii="Times New Roman" w:hAnsi="Times New Roman" w:cs="Times New Roman"/>
          <w:sz w:val="24"/>
          <w:szCs w:val="24"/>
        </w:rPr>
        <w:t xml:space="preserve"> 7. pants paredz, ka </w:t>
      </w:r>
      <w:r w:rsidR="00C17ECD" w:rsidRPr="00A24FF5">
        <w:rPr>
          <w:rFonts w:ascii="Times New Roman" w:hAnsi="Times New Roman" w:cs="Times New Roman"/>
          <w:sz w:val="24"/>
          <w:szCs w:val="24"/>
        </w:rPr>
        <w:t>dalībvalst</w:t>
      </w:r>
      <w:r w:rsidR="000A0DF9" w:rsidRPr="00A24FF5">
        <w:rPr>
          <w:rFonts w:ascii="Times New Roman" w:hAnsi="Times New Roman" w:cs="Times New Roman"/>
          <w:sz w:val="24"/>
          <w:szCs w:val="24"/>
        </w:rPr>
        <w:t>s</w:t>
      </w:r>
      <w:r w:rsidR="00C17ECD" w:rsidRPr="00A24FF5">
        <w:rPr>
          <w:rFonts w:ascii="Times New Roman" w:hAnsi="Times New Roman" w:cs="Times New Roman"/>
          <w:sz w:val="24"/>
          <w:szCs w:val="24"/>
        </w:rPr>
        <w:t xml:space="preserve"> nodrošin</w:t>
      </w:r>
      <w:r w:rsidR="000A0DF9" w:rsidRPr="00A24FF5">
        <w:rPr>
          <w:rFonts w:ascii="Times New Roman" w:hAnsi="Times New Roman" w:cs="Times New Roman"/>
          <w:sz w:val="24"/>
          <w:szCs w:val="24"/>
        </w:rPr>
        <w:t>a</w:t>
      </w:r>
      <w:r w:rsidR="00C17ECD" w:rsidRPr="00A24FF5">
        <w:rPr>
          <w:rFonts w:ascii="Times New Roman" w:hAnsi="Times New Roman" w:cs="Times New Roman"/>
          <w:sz w:val="24"/>
          <w:szCs w:val="24"/>
        </w:rPr>
        <w:t xml:space="preserve"> patērētājiem valsts mērogā bezmaksas pieeju vismaz vienai tīmekļa vietnei, kas salīdzina tarifus, kurus maksājumu pakalpojumu sniedzēji noteikuši pakalpojumiem</w:t>
      </w:r>
      <w:r w:rsidR="000A0DF9" w:rsidRPr="00A24FF5">
        <w:rPr>
          <w:rFonts w:ascii="Times New Roman" w:hAnsi="Times New Roman" w:cs="Times New Roman"/>
          <w:sz w:val="24"/>
          <w:szCs w:val="24"/>
        </w:rPr>
        <w:t>,</w:t>
      </w:r>
      <w:r w:rsidRPr="00380B00">
        <w:rPr>
          <w:rFonts w:ascii="Times New Roman" w:hAnsi="Times New Roman" w:cs="Times New Roman"/>
          <w:sz w:val="24"/>
          <w:szCs w:val="24"/>
        </w:rPr>
        <w:t xml:space="preserve"> </w:t>
      </w:r>
      <w:r w:rsidR="00C17ECD">
        <w:rPr>
          <w:rFonts w:ascii="Times New Roman" w:hAnsi="Times New Roman" w:cs="Times New Roman"/>
          <w:sz w:val="24"/>
          <w:szCs w:val="24"/>
        </w:rPr>
        <w:t>kas saistīti ar maksājumu konta apkalpošanu</w:t>
      </w:r>
      <w:r w:rsidR="000A0DF9">
        <w:rPr>
          <w:rFonts w:ascii="Times New Roman" w:hAnsi="Times New Roman" w:cs="Times New Roman"/>
          <w:sz w:val="24"/>
          <w:szCs w:val="24"/>
        </w:rPr>
        <w:t>.</w:t>
      </w:r>
    </w:p>
    <w:p w14:paraId="73393448" w14:textId="77777777" w:rsidR="006B4665" w:rsidRDefault="00380B00" w:rsidP="0087762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B4665">
        <w:rPr>
          <w:rFonts w:ascii="Times New Roman" w:hAnsi="Times New Roman" w:cs="Times New Roman"/>
          <w:sz w:val="24"/>
          <w:szCs w:val="24"/>
        </w:rPr>
        <w:t>Direktīvas preambulas 23.</w:t>
      </w:r>
      <w:r>
        <w:rPr>
          <w:rFonts w:ascii="Times New Roman" w:hAnsi="Times New Roman" w:cs="Times New Roman"/>
          <w:sz w:val="24"/>
          <w:szCs w:val="24"/>
        </w:rPr>
        <w:t xml:space="preserve"> </w:t>
      </w:r>
      <w:r w:rsidR="006B4665">
        <w:rPr>
          <w:rFonts w:ascii="Times New Roman" w:hAnsi="Times New Roman" w:cs="Times New Roman"/>
          <w:sz w:val="24"/>
          <w:szCs w:val="24"/>
        </w:rPr>
        <w:t>punkts</w:t>
      </w:r>
      <w:r>
        <w:rPr>
          <w:rFonts w:ascii="Times New Roman" w:hAnsi="Times New Roman" w:cs="Times New Roman"/>
          <w:sz w:val="24"/>
          <w:szCs w:val="24"/>
        </w:rPr>
        <w:t xml:space="preserve"> nosaka</w:t>
      </w:r>
      <w:r w:rsidR="006B4665">
        <w:rPr>
          <w:rFonts w:ascii="Times New Roman" w:hAnsi="Times New Roman" w:cs="Times New Roman"/>
          <w:sz w:val="24"/>
          <w:szCs w:val="24"/>
        </w:rPr>
        <w:t xml:space="preserve">: </w:t>
      </w:r>
      <w:r w:rsidR="006B4665" w:rsidRPr="00A24FF5">
        <w:rPr>
          <w:rFonts w:ascii="Times New Roman" w:hAnsi="Times New Roman" w:cs="Times New Roman"/>
          <w:sz w:val="24"/>
          <w:szCs w:val="24"/>
        </w:rPr>
        <w:t>"Lai iegūtu objektīvu informāciju par tarifiem un procentu likmēm, ko piemēro saistībā ar maksājumu kontiem, patērētājiem vajadzētu spēt izmantot publiski pieejamas salīdzināšanas tīmekļa vietnes, kuras funkcionāli ir neatkarīgas no maksājumu pakalpojumu sniedzējiem, kas nozīmē, ka meklējuma rezultātos ne pret vienu maksājumu pakalpojumu sniedzēju nevajadzētu izturēties labvēlīgāk. Tāpēc dalībvalstīm būtu jānodrošina, lai patērētājiem attiecīgajā teritorijā būtu brīvi pieejama vismaz viena šāda tīmekļa vietne. Šādu salīdzināšanas tīmekļa vietnes v</w:t>
      </w:r>
      <w:r w:rsidR="001075DE" w:rsidRPr="00A24FF5">
        <w:rPr>
          <w:rFonts w:ascii="Times New Roman" w:hAnsi="Times New Roman" w:cs="Times New Roman"/>
          <w:sz w:val="24"/>
          <w:szCs w:val="24"/>
        </w:rPr>
        <w:t>ar uzturēt kompetentās iestādes, citas publiskas iestādes un/vai privātie uzturētāji vai to vārdā.[..]</w:t>
      </w:r>
      <w:r w:rsidR="006B4665" w:rsidRPr="00A24FF5">
        <w:rPr>
          <w:rFonts w:ascii="Times New Roman" w:hAnsi="Times New Roman" w:cs="Times New Roman"/>
          <w:sz w:val="24"/>
          <w:szCs w:val="24"/>
        </w:rPr>
        <w:t>"</w:t>
      </w:r>
      <w:r w:rsidR="001075DE" w:rsidRPr="00A24FF5">
        <w:rPr>
          <w:rFonts w:ascii="Times New Roman" w:hAnsi="Times New Roman" w:cs="Times New Roman"/>
          <w:sz w:val="24"/>
          <w:szCs w:val="24"/>
        </w:rPr>
        <w:t>.</w:t>
      </w:r>
      <w:r w:rsidR="006B4665">
        <w:rPr>
          <w:rFonts w:ascii="Times New Roman" w:hAnsi="Times New Roman" w:cs="Times New Roman"/>
          <w:sz w:val="24"/>
          <w:szCs w:val="24"/>
        </w:rPr>
        <w:t xml:space="preserve"> </w:t>
      </w:r>
    </w:p>
    <w:p w14:paraId="7AFA464D" w14:textId="6DCC267C" w:rsidR="00C17ECD" w:rsidRDefault="001075DE" w:rsidP="0087762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Direktīvas preambulas 22.punkts: </w:t>
      </w:r>
      <w:r w:rsidRPr="00A24FF5">
        <w:rPr>
          <w:rFonts w:ascii="Times New Roman" w:hAnsi="Times New Roman" w:cs="Times New Roman"/>
          <w:sz w:val="24"/>
          <w:szCs w:val="24"/>
        </w:rPr>
        <w:t>"[..] To mērķis būtu iekļaut iespējami plašāko piedāvājumu klāstu, lai sniegtu reprezentatīvu pārskatu, vienlaicīgi aptverot būtisku tirgus daļu. [..] Ir būtiski svarīgi, ka šādās tīmekļa vietnēs sniegta informācija ir uzticama, objektīva un pārredzama un ka patērētāji tiek informēti par šādas tīmekļa vietnes pieejamību. Šajā sakarā dalībvalstīm būtu jāinformē sabiedrība par šādām tīmekļa vietnēm."</w:t>
      </w:r>
    </w:p>
    <w:p w14:paraId="6CDFA5BD" w14:textId="77777777" w:rsidR="006C0A93" w:rsidRPr="006C0A93" w:rsidRDefault="006C0A93" w:rsidP="0087762B">
      <w:pPr>
        <w:tabs>
          <w:tab w:val="left" w:pos="851"/>
        </w:tabs>
        <w:spacing w:after="0" w:line="240" w:lineRule="auto"/>
        <w:jc w:val="both"/>
        <w:rPr>
          <w:rFonts w:ascii="Times New Roman" w:hAnsi="Times New Roman" w:cs="Times New Roman"/>
          <w:i/>
          <w:sz w:val="24"/>
          <w:szCs w:val="24"/>
        </w:rPr>
      </w:pPr>
    </w:p>
    <w:p w14:paraId="6E67FDDE" w14:textId="77777777" w:rsidR="00540198" w:rsidRPr="0071236E" w:rsidRDefault="0071236E" w:rsidP="00C17ECD">
      <w:pPr>
        <w:pStyle w:val="BodyText"/>
        <w:spacing w:before="120" w:after="240"/>
        <w:rPr>
          <w:b/>
        </w:rPr>
      </w:pPr>
      <w:r w:rsidRPr="0071236E">
        <w:rPr>
          <w:b/>
        </w:rPr>
        <w:t>Esošā situācija Latvijā</w:t>
      </w:r>
    </w:p>
    <w:p w14:paraId="0F2CF0D8" w14:textId="359C4142" w:rsidR="00380B00" w:rsidRDefault="00C17ECD" w:rsidP="00A24FF5">
      <w:pPr>
        <w:pStyle w:val="BodyText"/>
      </w:pPr>
      <w:r w:rsidRPr="00C17ECD">
        <w:t xml:space="preserve">Latvijā šobrīd nepastāv </w:t>
      </w:r>
      <w:r w:rsidR="00540198">
        <w:t>Direktīvas</w:t>
      </w:r>
      <w:r w:rsidRPr="00C17ECD">
        <w:t xml:space="preserve"> noteiktajam standartam atbilstoša </w:t>
      </w:r>
      <w:r w:rsidR="00540198">
        <w:t xml:space="preserve">ar </w:t>
      </w:r>
      <w:r w:rsidRPr="00C17ECD">
        <w:t xml:space="preserve">maksājumu kontu </w:t>
      </w:r>
      <w:r w:rsidR="00540198">
        <w:t xml:space="preserve">saistīto </w:t>
      </w:r>
      <w:r w:rsidRPr="00C17ECD">
        <w:t xml:space="preserve">tarifu salīdzināšanas </w:t>
      </w:r>
      <w:r w:rsidR="00540198">
        <w:t>tīmekļa vietne</w:t>
      </w:r>
      <w:r w:rsidRPr="00C17ECD">
        <w:t xml:space="preserve">. Populārākās </w:t>
      </w:r>
      <w:r w:rsidR="00863CA4">
        <w:t xml:space="preserve">vispārējās </w:t>
      </w:r>
      <w:r w:rsidRPr="00C17ECD">
        <w:t xml:space="preserve">salīdzināšanas </w:t>
      </w:r>
      <w:r w:rsidR="00863CA4">
        <w:t>tīmekļa vietnes</w:t>
      </w:r>
      <w:r w:rsidRPr="00C17ECD">
        <w:t xml:space="preserve"> Latvijā ir </w:t>
      </w:r>
      <w:r w:rsidRPr="00C17ECD">
        <w:rPr>
          <w:i/>
        </w:rPr>
        <w:t>salidzini.lv, kurpirkt.lv, cenuinfo.lv</w:t>
      </w:r>
      <w:r w:rsidRPr="00C17ECD">
        <w:t xml:space="preserve"> un </w:t>
      </w:r>
      <w:r w:rsidRPr="00C17ECD">
        <w:rPr>
          <w:i/>
        </w:rPr>
        <w:t>gudriem.lv</w:t>
      </w:r>
      <w:r w:rsidRPr="00C17ECD">
        <w:t xml:space="preserve">. </w:t>
      </w:r>
      <w:r w:rsidR="00863CA4">
        <w:t xml:space="preserve">Finanšu sektorā tirgus piedāvā tiešsaistē salīdzināt tikai apdrošināšanas produktu veidus un tarifus, "ātro kredītu" tarifu un </w:t>
      </w:r>
      <w:r w:rsidR="00863CA4" w:rsidRPr="00C17ECD">
        <w:t>patērētāju kreditēšanas tarifu salīdzināšanu</w:t>
      </w:r>
      <w:r w:rsidR="00863CA4">
        <w:t xml:space="preserve">. </w:t>
      </w:r>
      <w:r w:rsidRPr="00C17ECD">
        <w:t xml:space="preserve">Vienīgi </w:t>
      </w:r>
      <w:r w:rsidR="00380B00">
        <w:t xml:space="preserve">tīmekļa vietne </w:t>
      </w:r>
      <w:r w:rsidRPr="00C17ECD">
        <w:rPr>
          <w:i/>
        </w:rPr>
        <w:t>gudriem.lv</w:t>
      </w:r>
      <w:r w:rsidRPr="00C17ECD">
        <w:t xml:space="preserve"> piedāvā salīdzināt arī maksājumu karšu tarifus un depozītu kontu noguldījumu procentu likmes. </w:t>
      </w:r>
      <w:r w:rsidR="00863CA4">
        <w:t>Tomēr š</w:t>
      </w:r>
      <w:r w:rsidRPr="00C17ECD">
        <w:t xml:space="preserve">ajā </w:t>
      </w:r>
      <w:r w:rsidR="00574725">
        <w:t>tīmekļa vietnē</w:t>
      </w:r>
      <w:r w:rsidRPr="00C17ECD">
        <w:t xml:space="preserve"> ir brīdinājums, ka lapas informācija </w:t>
      </w:r>
      <w:r w:rsidR="00863CA4">
        <w:t xml:space="preserve">ir pagaidu versijā un </w:t>
      </w:r>
      <w:r w:rsidRPr="00C17ECD">
        <w:t>netiek regulāri atjaunota.</w:t>
      </w:r>
    </w:p>
    <w:p w14:paraId="4A2055A6" w14:textId="46034BC5" w:rsidR="00C17ECD" w:rsidRDefault="00863CA4" w:rsidP="00A24FF5">
      <w:pPr>
        <w:pStyle w:val="BodyText"/>
        <w:ind w:firstLine="720"/>
      </w:pPr>
      <w:r>
        <w:t xml:space="preserve">Apdrošināšanas pakalpojumu salīdzināšanas mehānismus tiešsaistē visbiežāk nodrošina </w:t>
      </w:r>
      <w:r w:rsidR="00C17ECD" w:rsidRPr="00C17ECD">
        <w:t>apdrošināšanas brokeri</w:t>
      </w:r>
      <w:r>
        <w:t>, kuru uzraudzību veic Finanšu un kapitāla tirgus komisija (turpmāk – Komisija)</w:t>
      </w:r>
      <w:r w:rsidR="00C17ECD" w:rsidRPr="00C17ECD">
        <w:t xml:space="preserve">. </w:t>
      </w:r>
      <w:r>
        <w:t xml:space="preserve">Savukārt, salīdzināšanas tīmekļa vietņu </w:t>
      </w:r>
      <w:r w:rsidR="00C17ECD" w:rsidRPr="00C17ECD">
        <w:t>operatori, kuri netiek uzraudzīti un nav pakļauti kvalitātes kontrolei</w:t>
      </w:r>
      <w:r w:rsidR="00A23786">
        <w:t xml:space="preserve">, </w:t>
      </w:r>
      <w:r w:rsidR="00C17ECD" w:rsidRPr="00C17ECD">
        <w:t xml:space="preserve">lielākoties ir ņēmuši vērā </w:t>
      </w:r>
      <w:r>
        <w:t xml:space="preserve">Komisijas </w:t>
      </w:r>
      <w:r w:rsidR="00C17ECD" w:rsidRPr="00C17ECD">
        <w:t xml:space="preserve">ieteikumus </w:t>
      </w:r>
      <w:r w:rsidR="00380B00">
        <w:t xml:space="preserve">attiecībā uz </w:t>
      </w:r>
      <w:r w:rsidR="00A0011E">
        <w:t xml:space="preserve">apdrošināšanas produktu </w:t>
      </w:r>
      <w:r w:rsidR="00C17ECD" w:rsidRPr="00C17ECD">
        <w:t xml:space="preserve">salīdzināšanas </w:t>
      </w:r>
      <w:r w:rsidR="00574725">
        <w:t>tīmekļa vietnēm</w:t>
      </w:r>
      <w:r w:rsidR="00A0011E">
        <w:t xml:space="preserve"> </w:t>
      </w:r>
      <w:r w:rsidR="00A23786">
        <w:t>atbilstoši</w:t>
      </w:r>
      <w:r w:rsidR="00A0011E">
        <w:t xml:space="preserve"> </w:t>
      </w:r>
      <w:r>
        <w:t xml:space="preserve">Eiropas Apdrošināšanas un </w:t>
      </w:r>
      <w:r w:rsidR="00A0011E">
        <w:t xml:space="preserve">aroda </w:t>
      </w:r>
      <w:r>
        <w:t>pensiju iestāde</w:t>
      </w:r>
      <w:r w:rsidR="00A0011E">
        <w:t>s</w:t>
      </w:r>
      <w:r>
        <w:t xml:space="preserve"> (EIOPA) </w:t>
      </w:r>
      <w:r w:rsidR="00A0011E">
        <w:t>ziņojum</w:t>
      </w:r>
      <w:r w:rsidR="00A23786">
        <w:t>am</w:t>
      </w:r>
      <w:r w:rsidR="00A0011E">
        <w:t xml:space="preserve"> par salīdzinošo tīmekļa vietņu labo praksi</w:t>
      </w:r>
      <w:r w:rsidR="00C17ECD" w:rsidRPr="00C17ECD">
        <w:t>.</w:t>
      </w:r>
      <w:r w:rsidR="00380B00">
        <w:t xml:space="preserve"> </w:t>
      </w:r>
    </w:p>
    <w:p w14:paraId="5AE63819" w14:textId="4D02FB69" w:rsidR="006C0A93" w:rsidRDefault="00A23786" w:rsidP="006C0A93">
      <w:pPr>
        <w:pStyle w:val="BodyText"/>
        <w:spacing w:after="240"/>
        <w:ind w:firstLine="720"/>
      </w:pPr>
      <w:r>
        <w:lastRenderedPageBreak/>
        <w:t>Šobrīd informācija par tarifiem, kas saistīti ar maksājumu kontu, ir nepārskatāma un meklējama pie katra maksājumu pakalpojumu sniedzēja individuāli</w:t>
      </w:r>
      <w:r w:rsidR="00380B00">
        <w:t>. Tādējādi patērētājam tiek apgrūtināta iespēja veikt kvalitatīvu tarifu salīdzinājumu un</w:t>
      </w:r>
      <w:r w:rsidR="00F762BE">
        <w:t xml:space="preserve"> </w:t>
      </w:r>
      <w:r>
        <w:t xml:space="preserve">daļa patērētāju izvēlas nemainīt savu maksājumu pakalpojumu sniedzēju. </w:t>
      </w:r>
      <w:r w:rsidR="00380B00">
        <w:t>P</w:t>
      </w:r>
      <w:r>
        <w:t xml:space="preserve">ārskatāms </w:t>
      </w:r>
      <w:r w:rsidR="00380B00">
        <w:t xml:space="preserve">tarifu </w:t>
      </w:r>
      <w:r>
        <w:t>salīdzināšanas mehānisms veicinātu maksājumu pakalpojumu sniedzēju konkurenci, jo informācija par dažādiem maksājumu pakalpojumu sniedzēju piedāvātajiem produktiem kļūtu pieejamāka un pārskatāmāka patērētājam.</w:t>
      </w:r>
    </w:p>
    <w:p w14:paraId="0673CD4E" w14:textId="77777777" w:rsidR="006C0A93" w:rsidRPr="00C17ECD" w:rsidRDefault="006C0A93" w:rsidP="006C0A93">
      <w:pPr>
        <w:pStyle w:val="BodyText"/>
        <w:spacing w:after="240"/>
        <w:ind w:firstLine="720"/>
      </w:pPr>
    </w:p>
    <w:p w14:paraId="11BCC721" w14:textId="77777777" w:rsidR="0071236E" w:rsidRPr="00C17ECD" w:rsidRDefault="0071236E" w:rsidP="0071236E">
      <w:pPr>
        <w:pStyle w:val="Heading2"/>
        <w:spacing w:after="120" w:line="276" w:lineRule="auto"/>
      </w:pPr>
      <w:r w:rsidRPr="00C17ECD">
        <w:t>Maksājumu pakalpojumu salīdzināšanas mehānisms</w:t>
      </w:r>
    </w:p>
    <w:p w14:paraId="122FFAA8" w14:textId="02805221" w:rsidR="0071236E" w:rsidRDefault="0071236E" w:rsidP="00A24FF5">
      <w:pPr>
        <w:pStyle w:val="BodyText"/>
        <w:ind w:firstLine="357"/>
      </w:pPr>
      <w:r>
        <w:t xml:space="preserve">Viens no </w:t>
      </w:r>
      <w:r w:rsidRPr="009B4D72">
        <w:t>Direktīvas mērķiem ir padarīt pārskatāmāku patērētājiem piedāvāto maksājumu pakalpojumu tarifu klāstu, nodrošin</w:t>
      </w:r>
      <w:r w:rsidR="00A23786">
        <w:t>o</w:t>
      </w:r>
      <w:r w:rsidRPr="009B4D72">
        <w:t>t iespēju patērētājam salīdzināt dažād</w:t>
      </w:r>
      <w:r w:rsidR="00380B00">
        <w:t>u</w:t>
      </w:r>
      <w:r w:rsidRPr="009B4D72">
        <w:t>s ar maksājumu kontu saistīto</w:t>
      </w:r>
      <w:r w:rsidR="00F762BE">
        <w:t>s</w:t>
      </w:r>
      <w:r w:rsidRPr="009B4D72">
        <w:t xml:space="preserve"> pakalpojumu veidus</w:t>
      </w:r>
      <w:r>
        <w:t xml:space="preserve"> un to tarifus, ievērojot </w:t>
      </w:r>
      <w:r w:rsidRPr="009B4D72">
        <w:t>Direktīvas 7. pantā izvirzīt</w:t>
      </w:r>
      <w:r>
        <w:t xml:space="preserve">os </w:t>
      </w:r>
      <w:r w:rsidRPr="009B4D72">
        <w:t>kritērij</w:t>
      </w:r>
      <w:r>
        <w:t>us</w:t>
      </w:r>
      <w:r w:rsidRPr="009B4D72">
        <w:t xml:space="preserve">. </w:t>
      </w:r>
      <w:r w:rsidR="00AD5245">
        <w:t>Direktīva paredz d</w:t>
      </w:r>
      <w:r>
        <w:t>alībvalstij nodrošin</w:t>
      </w:r>
      <w:r w:rsidR="00AD5245">
        <w:t>āt</w:t>
      </w:r>
      <w:r>
        <w:t xml:space="preserve"> vismaz viena</w:t>
      </w:r>
      <w:r w:rsidR="00AD5245">
        <w:t>s</w:t>
      </w:r>
      <w:r>
        <w:t xml:space="preserve"> uzticama</w:t>
      </w:r>
      <w:r w:rsidR="00AD5245">
        <w:t>s</w:t>
      </w:r>
      <w:r>
        <w:t xml:space="preserve"> salīdzināšanas tīmekļa vietne</w:t>
      </w:r>
      <w:r w:rsidR="00AD5245">
        <w:t>s izveidi.</w:t>
      </w:r>
      <w:r>
        <w:t xml:space="preserve"> </w:t>
      </w:r>
      <w:r w:rsidRPr="009B4D72">
        <w:t xml:space="preserve">Direktīva </w:t>
      </w:r>
      <w:r>
        <w:t>piedāvā</w:t>
      </w:r>
      <w:r w:rsidRPr="009B4D72">
        <w:t xml:space="preserve"> </w:t>
      </w:r>
      <w:r w:rsidRPr="00E97762">
        <w:rPr>
          <w:u w:val="single"/>
        </w:rPr>
        <w:t xml:space="preserve">trīs pieejas salīdzinošo </w:t>
      </w:r>
      <w:r>
        <w:rPr>
          <w:u w:val="single"/>
        </w:rPr>
        <w:t xml:space="preserve">tīmekļa vietņu </w:t>
      </w:r>
      <w:r w:rsidRPr="00E97762">
        <w:rPr>
          <w:u w:val="single"/>
        </w:rPr>
        <w:t>izveidei</w:t>
      </w:r>
      <w:r>
        <w:rPr>
          <w:u w:val="single"/>
        </w:rPr>
        <w:t>.</w:t>
      </w:r>
      <w:r w:rsidRPr="00540198">
        <w:t xml:space="preserve"> </w:t>
      </w:r>
      <w:r w:rsidR="00AD5245">
        <w:t>S</w:t>
      </w:r>
      <w:r w:rsidRPr="00540198">
        <w:t>alīdzināšanas tīmekļa vietnes izveidi var uzticēt:</w:t>
      </w:r>
      <w:r>
        <w:t xml:space="preserve"> </w:t>
      </w:r>
    </w:p>
    <w:p w14:paraId="55AFC550" w14:textId="77777777" w:rsidR="00A23786" w:rsidRDefault="00A23786">
      <w:pPr>
        <w:pStyle w:val="BodyText"/>
        <w:numPr>
          <w:ilvl w:val="0"/>
          <w:numId w:val="29"/>
        </w:numPr>
        <w:ind w:left="714" w:hanging="357"/>
      </w:pPr>
      <w:r w:rsidRPr="00C17ECD">
        <w:t>privātā sektora operatori</w:t>
      </w:r>
      <w:r>
        <w:t>em</w:t>
      </w:r>
      <w:r w:rsidRPr="00C17ECD">
        <w:t xml:space="preserve">, kas saņēmuši </w:t>
      </w:r>
      <w:r>
        <w:t xml:space="preserve">attiecīgu </w:t>
      </w:r>
      <w:r w:rsidRPr="00C17ECD">
        <w:t>akreditāciju</w:t>
      </w:r>
      <w:r>
        <w:t>;</w:t>
      </w:r>
    </w:p>
    <w:p w14:paraId="53317670" w14:textId="77777777" w:rsidR="00A23786" w:rsidRDefault="00A23786">
      <w:pPr>
        <w:pStyle w:val="BodyText"/>
        <w:numPr>
          <w:ilvl w:val="0"/>
          <w:numId w:val="29"/>
        </w:numPr>
        <w:ind w:left="714" w:hanging="357"/>
      </w:pPr>
      <w:r w:rsidRPr="00C17ECD">
        <w:t>likumā deleģēta</w:t>
      </w:r>
      <w:r>
        <w:t>i</w:t>
      </w:r>
      <w:r w:rsidRPr="00C17ECD">
        <w:t xml:space="preserve"> organizācija</w:t>
      </w:r>
      <w:r>
        <w:t>i</w:t>
      </w:r>
      <w:r w:rsidRPr="00C17ECD">
        <w:t xml:space="preserve">; vai arī </w:t>
      </w:r>
    </w:p>
    <w:p w14:paraId="3B09EB09" w14:textId="0FDB6CD8" w:rsidR="0071236E" w:rsidRDefault="0071236E" w:rsidP="00A24FF5">
      <w:pPr>
        <w:pStyle w:val="BodyText"/>
        <w:numPr>
          <w:ilvl w:val="0"/>
          <w:numId w:val="29"/>
        </w:numPr>
        <w:ind w:left="714" w:hanging="357"/>
      </w:pPr>
      <w:r w:rsidRPr="00C17ECD">
        <w:t>valsts iestāde</w:t>
      </w:r>
      <w:r>
        <w:t>i</w:t>
      </w:r>
      <w:r w:rsidRPr="00C17ECD">
        <w:t>.</w:t>
      </w:r>
    </w:p>
    <w:p w14:paraId="068A8274" w14:textId="61FCEBF1" w:rsidR="0071236E" w:rsidRDefault="0071236E" w:rsidP="00A24FF5">
      <w:pPr>
        <w:pStyle w:val="BodyText"/>
        <w:spacing w:after="240"/>
        <w:ind w:firstLine="357"/>
      </w:pPr>
      <w:r>
        <w:t xml:space="preserve">Latvijā nepastāv </w:t>
      </w:r>
      <w:r w:rsidR="00AD5245">
        <w:t>neviens no iepriekš norādītajiem</w:t>
      </w:r>
      <w:r>
        <w:t xml:space="preserve"> mehānism</w:t>
      </w:r>
      <w:r w:rsidR="00AD5245">
        <w:t>iem</w:t>
      </w:r>
      <w:r>
        <w:t>, bet Direktīvas prasības attiecībā uz salīdzināšanas mehānismu</w:t>
      </w:r>
      <w:r w:rsidR="00A23786">
        <w:rPr>
          <w:rStyle w:val="FootnoteReference"/>
        </w:rPr>
        <w:footnoteReference w:id="3"/>
      </w:r>
      <w:r>
        <w:t xml:space="preserve"> ir jānodrošina </w:t>
      </w:r>
      <w:r w:rsidR="00A23786">
        <w:t xml:space="preserve">sākot ar </w:t>
      </w:r>
      <w:r>
        <w:t>2018.gad</w:t>
      </w:r>
      <w:r w:rsidR="00A23786">
        <w:t>u</w:t>
      </w:r>
      <w:r>
        <w:t>.</w:t>
      </w:r>
      <w:r w:rsidR="004150AE">
        <w:t xml:space="preserve"> </w:t>
      </w:r>
      <w:r w:rsidR="00AD5245">
        <w:t xml:space="preserve">Turpmāk detalizētāk </w:t>
      </w:r>
      <w:r w:rsidR="004150AE">
        <w:t>tik</w:t>
      </w:r>
      <w:r w:rsidR="00AD5245">
        <w:t>s</w:t>
      </w:r>
      <w:r w:rsidR="004150AE">
        <w:t xml:space="preserve"> </w:t>
      </w:r>
      <w:r w:rsidR="00A23786">
        <w:t xml:space="preserve">apskatīti </w:t>
      </w:r>
      <w:r w:rsidR="004150AE">
        <w:t>visi trīs varianti, lai noteiktu optimālāko risinājumu šāda mehānisma izveidei.</w:t>
      </w:r>
    </w:p>
    <w:p w14:paraId="0ABB48E0" w14:textId="77777777" w:rsidR="004150AE" w:rsidRPr="004150AE" w:rsidRDefault="004150AE" w:rsidP="00A24FF5">
      <w:pPr>
        <w:pStyle w:val="BodyText"/>
        <w:numPr>
          <w:ilvl w:val="0"/>
          <w:numId w:val="30"/>
        </w:numPr>
        <w:spacing w:after="240"/>
        <w:rPr>
          <w:i/>
        </w:rPr>
      </w:pPr>
      <w:r w:rsidRPr="004150AE">
        <w:rPr>
          <w:i/>
        </w:rPr>
        <w:t>Privātā sektora</w:t>
      </w:r>
      <w:r w:rsidR="00F31CAD">
        <w:rPr>
          <w:i/>
        </w:rPr>
        <w:t xml:space="preserve"> tīmekļa vietņu</w:t>
      </w:r>
      <w:r w:rsidRPr="004150AE">
        <w:rPr>
          <w:i/>
        </w:rPr>
        <w:t xml:space="preserve"> operatoru uzturēts salīdzināšanas mehānisms</w:t>
      </w:r>
    </w:p>
    <w:p w14:paraId="44CE7BC5" w14:textId="2DE69232" w:rsidR="00AD5245" w:rsidRDefault="004150AE" w:rsidP="00A24FF5">
      <w:pPr>
        <w:pStyle w:val="BodyText"/>
        <w:ind w:firstLine="357"/>
      </w:pPr>
      <w:r w:rsidRPr="00C17ECD">
        <w:t xml:space="preserve">Ja salīdzināšanas </w:t>
      </w:r>
      <w:r w:rsidR="002A0AAC">
        <w:t xml:space="preserve">tīmekļa vietņu </w:t>
      </w:r>
      <w:r w:rsidRPr="00C17ECD">
        <w:t>izveide tiek nodota privāt</w:t>
      </w:r>
      <w:r w:rsidR="00AD5245">
        <w:t>ā</w:t>
      </w:r>
      <w:r w:rsidRPr="00C17ECD">
        <w:t xml:space="preserve"> sektor</w:t>
      </w:r>
      <w:r w:rsidR="002A0AAC">
        <w:t xml:space="preserve">a operatoriem, visdrīzāk šo iespēju izmantotu vispārējo salīdzināšanas portālu, piemēram, </w:t>
      </w:r>
      <w:r w:rsidR="002A0AAC" w:rsidRPr="002A0AAC">
        <w:rPr>
          <w:i/>
        </w:rPr>
        <w:t>gudriem.lv</w:t>
      </w:r>
      <w:r w:rsidR="002A0AAC">
        <w:t xml:space="preserve"> un </w:t>
      </w:r>
      <w:r w:rsidR="002A0AAC" w:rsidRPr="002A0AAC">
        <w:rPr>
          <w:i/>
        </w:rPr>
        <w:t>salidzini.lv</w:t>
      </w:r>
      <w:r w:rsidRPr="00C17ECD">
        <w:t xml:space="preserve"> </w:t>
      </w:r>
      <w:r w:rsidR="004649A8">
        <w:t>operatori. Saskaņā ar Apdrošināšanas un pārapdrošināšanas starpnieku darbības likuma 19.</w:t>
      </w:r>
      <w:r w:rsidR="004E4E2B">
        <w:t xml:space="preserve"> </w:t>
      </w:r>
      <w:r w:rsidR="004649A8">
        <w:t xml:space="preserve">pantu apdrošināšanas brokeriem nav tiesību nodarboties ar blakus komercdarbību. Tādēļ tie nevarētu piedalīties šī salīdzināšanas mehānisma īstenošanā. </w:t>
      </w:r>
      <w:r w:rsidR="00AD5245">
        <w:t>V</w:t>
      </w:r>
      <w:r w:rsidR="004649A8">
        <w:t>ispārējo salīdzināšanas portālu operatoriem būtu jāievēro Direktīvas 7.</w:t>
      </w:r>
      <w:r w:rsidR="00AD5245">
        <w:t xml:space="preserve"> </w:t>
      </w:r>
      <w:r w:rsidR="004649A8">
        <w:t>pantā noteiktie kritēriji</w:t>
      </w:r>
      <w:r w:rsidR="0093329B">
        <w:t>, tai skaitā, prasības sniegt informāciju par portāla īpašniekiem, sniegt precīzu un atjauninātu informāciju, norādīt, kad informācija ir atjaunināta pēdējo reizi, izklāstīt skaidrus un objektīvus kritērijus, uz kādiem tiks balstīta salīdzināšan</w:t>
      </w:r>
      <w:r w:rsidR="00A23786">
        <w:t>a</w:t>
      </w:r>
      <w:r w:rsidR="0093329B">
        <w:t>, un ietvert maksājumu kontu piedāvājumu plašu klāstu, aptverot nozīmīgu tirgus daļu.</w:t>
      </w:r>
      <w:r w:rsidR="00AD5245">
        <w:t xml:space="preserve"> </w:t>
      </w:r>
    </w:p>
    <w:p w14:paraId="406F0770" w14:textId="77777777" w:rsidR="00D6297D" w:rsidRDefault="00A23786" w:rsidP="00A24FF5">
      <w:pPr>
        <w:pStyle w:val="BodyText"/>
        <w:ind w:firstLine="357"/>
      </w:pPr>
      <w:r>
        <w:t>Esošie tīmekļa vietņu operatori, kas jau piedāvā vispārējus preču un pakalpojumu salīdzināšanas rīkus, iespējams varētu daļēji izmantot esošos tehniskos risinājumus, salīdzinot tarifus, kas saistīti ar maksājumu kontu.</w:t>
      </w:r>
      <w:r w:rsidR="00F314A2">
        <w:t xml:space="preserve"> Tomēr, ļ</w:t>
      </w:r>
      <w:r w:rsidR="00D6297D">
        <w:t>aujot privātā sektora tīmekļa vietņu operatoriem uzturēt salīdzināšanas mehānismu, nebūtu garantijas, ka tiktu aptverta pietiekami plaša tirgus daļa, jo pietiekamas un aktuālas salīdzināmās informācijas saņemšanai tīmekļa vietnes operatoram būtu nepieciešamas līgumiskās attiecības ar katru maksājumu pakalpojumu sniedzēju</w:t>
      </w:r>
      <w:r w:rsidR="00367F05">
        <w:t xml:space="preserve"> par informācijas saņemšanu</w:t>
      </w:r>
      <w:r w:rsidR="00D6297D">
        <w:t>.</w:t>
      </w:r>
      <w:r w:rsidR="002D7291">
        <w:t xml:space="preserve"> Papildus norādāms, ka, ja šādu salīdzināšanas rīku valstī izveido tikai viens privātais operators, tīmekļa vietnes darbības pārtraukšanas gadījumā valstij pēc iespējas īsākā laika posmā būtu jānodrošina piekļuve citām valsts mēroga salīdzināšanas tīmekļa vietnēm</w:t>
      </w:r>
      <w:r w:rsidR="002D7291">
        <w:rPr>
          <w:rStyle w:val="FootnoteReference"/>
        </w:rPr>
        <w:footnoteReference w:id="4"/>
      </w:r>
      <w:r w:rsidR="002D7291">
        <w:t>.</w:t>
      </w:r>
    </w:p>
    <w:p w14:paraId="7E7D297A" w14:textId="77777777" w:rsidR="00AD5245" w:rsidRDefault="00F762BE" w:rsidP="00A24FF5">
      <w:pPr>
        <w:pStyle w:val="BodyText"/>
        <w:ind w:firstLine="357"/>
      </w:pPr>
      <w:r>
        <w:t>Jāņem vērā, ka n</w:t>
      </w:r>
      <w:r w:rsidR="004E4E2B">
        <w:t>osakot detalizētas prasības salīdzināšanas tīmekļa vietņu atspoguļotajai informācijai, būtu jāparedz arī šādu tīmekļa vietņu akreditācija un regulāra kvalitātes kontrole.</w:t>
      </w:r>
    </w:p>
    <w:p w14:paraId="57DE2209" w14:textId="5CBAF69F" w:rsidR="00F31CAD" w:rsidRDefault="00A24FF5" w:rsidP="00F31CAD">
      <w:pPr>
        <w:pStyle w:val="BodyText"/>
        <w:spacing w:after="240"/>
      </w:pPr>
      <w:r>
        <w:t xml:space="preserve">Lemjot par kompetentās iestādes noteikšanu šajā jomā, jānorāda, ka tā kā tīmekļa vietņu operatori piedāvātu pakalpojumu patērētājiem un pakalpojuma mērķis ir nodrošināt informācijas par </w:t>
      </w:r>
      <w:r>
        <w:lastRenderedPageBreak/>
        <w:t>pakalpojumiem atklātību, caurskatāmību un pieejamību patērētājam, tad šādu tīmekļa vietņu operatoru akreditāciju un uzraudzību būtu jāuztic Patērētāju tiesību aizsardzības centram (turpmāk – PTAC). Komisijai ir tiesības uzraudzīt un rīkoties vienīgi attiecībā uz noteiktu subjektu loku – finanšu iestādēm. Turpretim PTAC jau ar likumu ir noteiktas tiesības veikt darbības, lai nodrošinātu jebkuru komercsabiedrību atbilstību tiesību aktu prasībām attiecībā uz patērētāju tiesību aizsardzību. Jauna uzraudzības mehānisma izveide prasītu papildu līdzekļus un cilvēkresursus, kā arī turpmākus pastāvīgus administratīvos izdevumus uzraudzības veikšanai. Ievērojot iepriekš minēto un izvēloties šo variantu, būtu nepieciešams papildu budžeta finansējums šī mehānisma nodrošināšanai, uzticot to privātā sektora tīmekļa vietņu operatoriem, kuri būtu arī jāuzrauga.</w:t>
      </w:r>
    </w:p>
    <w:p w14:paraId="7FCCA216" w14:textId="77777777" w:rsidR="004150AE" w:rsidRPr="004150AE" w:rsidRDefault="004150AE" w:rsidP="00A24FF5">
      <w:pPr>
        <w:pStyle w:val="BodyText"/>
        <w:numPr>
          <w:ilvl w:val="0"/>
          <w:numId w:val="30"/>
        </w:numPr>
        <w:spacing w:after="240"/>
        <w:rPr>
          <w:i/>
        </w:rPr>
      </w:pPr>
      <w:r w:rsidRPr="004150AE">
        <w:rPr>
          <w:i/>
        </w:rPr>
        <w:t>Likumā deleģētas organizācijas uzturēts salīdzināšanas mehānisms</w:t>
      </w:r>
    </w:p>
    <w:p w14:paraId="2284D565" w14:textId="3B9EEBC6" w:rsidR="002C16CA" w:rsidRDefault="00F31CAD" w:rsidP="00A24FF5">
      <w:pPr>
        <w:pStyle w:val="BodyText"/>
        <w:ind w:firstLine="425"/>
      </w:pPr>
      <w:r>
        <w:t>Direktīva paredz iespēju deleģēt salīdzināšanas tīmekļa vietnes uzturēšanu kādai publiskai iestādei vai organizācijai. Šāds piemērs darbojas arī apdrošināšanas sektorā attiecībā uz OCTA polišu tarifu salīdzināšanu</w:t>
      </w:r>
      <w:r w:rsidR="002C16CA">
        <w:t xml:space="preserve"> </w:t>
      </w:r>
      <w:r w:rsidR="009D2A75">
        <w:t xml:space="preserve">pēc </w:t>
      </w:r>
      <w:proofErr w:type="spellStart"/>
      <w:r w:rsidR="009D2A75">
        <w:t>pašregulēšanās</w:t>
      </w:r>
      <w:proofErr w:type="spellEnd"/>
      <w:r w:rsidR="009D2A75">
        <w:t xml:space="preserve"> principa, jo tiesību akti neparedz pienākumu izveidot apdrošināšanas produktu tarifu salīdzināšanas mehānismu</w:t>
      </w:r>
      <w:r>
        <w:t>. Latvijas Transporta apdrošinātāju biroja</w:t>
      </w:r>
      <w:r w:rsidR="00BF57E6">
        <w:t xml:space="preserve"> (turpmāk – LTAB)</w:t>
      </w:r>
      <w:r>
        <w:t xml:space="preserve"> </w:t>
      </w:r>
      <w:r w:rsidR="00574725">
        <w:t>tīmekļa vietnē</w:t>
      </w:r>
      <w:r>
        <w:t xml:space="preserve"> tiek piedāvāts </w:t>
      </w:r>
      <w:r w:rsidR="00591764">
        <w:t xml:space="preserve">neatkarīgs </w:t>
      </w:r>
      <w:r>
        <w:t xml:space="preserve">OCTA </w:t>
      </w:r>
      <w:r w:rsidR="001E549D">
        <w:t xml:space="preserve">cenu </w:t>
      </w:r>
      <w:r>
        <w:t>salīdzināšanas rīks</w:t>
      </w:r>
      <w:r w:rsidR="001E549D">
        <w:rPr>
          <w:rStyle w:val="FootnoteReference"/>
        </w:rPr>
        <w:footnoteReference w:id="5"/>
      </w:r>
      <w:r>
        <w:t xml:space="preserve">, </w:t>
      </w:r>
      <w:r w:rsidR="00591764">
        <w:t xml:space="preserve">paralēli </w:t>
      </w:r>
      <w:r>
        <w:t>dažādo apdrošināšanas brokeru piedāvā</w:t>
      </w:r>
      <w:r w:rsidR="00591764">
        <w:t xml:space="preserve">tajām salīdzināšanas </w:t>
      </w:r>
      <w:r>
        <w:t>tīmekļa vietnē</w:t>
      </w:r>
      <w:r w:rsidR="00591764">
        <w:t>m</w:t>
      </w:r>
      <w:r>
        <w:t>.</w:t>
      </w:r>
    </w:p>
    <w:p w14:paraId="5CFB55A9" w14:textId="14409A97" w:rsidR="00591764" w:rsidRDefault="002C16CA" w:rsidP="00A24FF5">
      <w:pPr>
        <w:pStyle w:val="BodyText"/>
        <w:ind w:firstLine="425"/>
      </w:pPr>
      <w:r>
        <w:t>I</w:t>
      </w:r>
      <w:r w:rsidR="00591764">
        <w:t>evērojot</w:t>
      </w:r>
      <w:r>
        <w:t xml:space="preserve"> </w:t>
      </w:r>
      <w:r w:rsidR="00591764">
        <w:t xml:space="preserve"> līdzīgu principu</w:t>
      </w:r>
      <w:r w:rsidR="00BF57E6">
        <w:t xml:space="preserve"> </w:t>
      </w:r>
      <w:r>
        <w:t xml:space="preserve">kas pastāv attiecībā uz </w:t>
      </w:r>
      <w:r w:rsidR="00BF57E6">
        <w:t>LTAB</w:t>
      </w:r>
      <w:r w:rsidR="00591764">
        <w:t xml:space="preserve">, būtu iespējams salīdzināšanas mehānisma izveidi </w:t>
      </w:r>
      <w:r w:rsidR="009D2A75">
        <w:t xml:space="preserve">ar likumu </w:t>
      </w:r>
      <w:r w:rsidR="00591764">
        <w:t>deleģēt Latvijas Komercbanku asociācijai (turpmāk – LKA)</w:t>
      </w:r>
      <w:r w:rsidR="005A67F5">
        <w:t>, kam ir tiešākā saikne ar attiecīgo tirgus sektoru</w:t>
      </w:r>
      <w:r w:rsidR="00591764">
        <w:t>.</w:t>
      </w:r>
      <w:r w:rsidR="005A67F5">
        <w:t xml:space="preserve"> Uzticot salīdzināšanas mehānismu LKA, mehānisma kvalitāti būtu iespējams efektīvāk kontrolēt un tas būtu uzticamāks, nekā privāto operatoru salīdzināšanas rīki.</w:t>
      </w:r>
      <w:r w:rsidR="00591764">
        <w:t xml:space="preserve"> </w:t>
      </w:r>
      <w:r w:rsidR="005A67F5">
        <w:t xml:space="preserve">LKA apkopo statistisko informāciju par tās biedru darbības rādītājiem un sadarbojas ar PTAC un </w:t>
      </w:r>
      <w:r>
        <w:t>Komisiju</w:t>
      </w:r>
      <w:r w:rsidR="005A67F5">
        <w:t xml:space="preserve">. </w:t>
      </w:r>
      <w:r>
        <w:t>V</w:t>
      </w:r>
      <w:r w:rsidR="005A67F5">
        <w:t xml:space="preserve">iens no </w:t>
      </w:r>
      <w:r>
        <w:t xml:space="preserve">LKA </w:t>
      </w:r>
      <w:r w:rsidR="005A67F5">
        <w:t xml:space="preserve">darbības virzieniem ir aizstāvēt godīgas un atklātas banku un to klientu attiecības. </w:t>
      </w:r>
      <w:r>
        <w:t xml:space="preserve"> </w:t>
      </w:r>
    </w:p>
    <w:p w14:paraId="311229A9" w14:textId="77777777" w:rsidR="005A67F5" w:rsidRDefault="005A67F5" w:rsidP="00A24FF5">
      <w:pPr>
        <w:pStyle w:val="BodyText"/>
        <w:ind w:firstLine="425"/>
      </w:pPr>
      <w:r>
        <w:t xml:space="preserve">Ja salīdzināšanas mehānisms tiktu deleģēts LKA, nebūtu </w:t>
      </w:r>
      <w:r w:rsidR="00A95974">
        <w:t>jāizveido</w:t>
      </w:r>
      <w:r>
        <w:t xml:space="preserve"> jaun</w:t>
      </w:r>
      <w:r w:rsidR="00A95974">
        <w:t>s</w:t>
      </w:r>
      <w:r>
        <w:t xml:space="preserve"> akreditācijas un uzraudzības mehānism</w:t>
      </w:r>
      <w:r w:rsidR="00A95974">
        <w:t>s</w:t>
      </w:r>
      <w:r>
        <w:t xml:space="preserve">, jo LKA, saņemot deleģējumu, uzņemtos arī atbildību par mehānisma atbilstību </w:t>
      </w:r>
      <w:r w:rsidR="00F950A1">
        <w:t>tiesību aktos noteiktajiem kritērijiem</w:t>
      </w:r>
      <w:r>
        <w:t>.</w:t>
      </w:r>
      <w:r w:rsidR="00F950A1">
        <w:t xml:space="preserve"> </w:t>
      </w:r>
      <w:r>
        <w:t xml:space="preserve"> </w:t>
      </w:r>
      <w:r w:rsidR="002C16CA">
        <w:t xml:space="preserve"> </w:t>
      </w:r>
    </w:p>
    <w:p w14:paraId="20D4F623" w14:textId="343F37A3" w:rsidR="00BF57E6" w:rsidRDefault="002C16CA" w:rsidP="00A24FF5">
      <w:pPr>
        <w:pStyle w:val="BodyText"/>
        <w:ind w:firstLine="425"/>
      </w:pPr>
      <w:r>
        <w:t>Jānorāda, ka D</w:t>
      </w:r>
      <w:r w:rsidR="00BF57E6">
        <w:t xml:space="preserve">irektīvas prasības attiecas uz </w:t>
      </w:r>
      <w:r w:rsidR="00A95974">
        <w:t xml:space="preserve">visiem </w:t>
      </w:r>
      <w:r w:rsidR="00BF57E6">
        <w:t>maksājumu pakalpojumu sniedzēj</w:t>
      </w:r>
      <w:r w:rsidR="009D2A75">
        <w:t xml:space="preserve">iem, </w:t>
      </w:r>
      <w:r w:rsidR="00A95974">
        <w:t xml:space="preserve">tas ir, kredītiestādēm, maksājumu iestādēm, elektroniskās naudas iestādēm un </w:t>
      </w:r>
      <w:proofErr w:type="spellStart"/>
      <w:r w:rsidR="00A95974">
        <w:t>krājaizdevu</w:t>
      </w:r>
      <w:proofErr w:type="spellEnd"/>
      <w:r w:rsidR="00A95974">
        <w:t xml:space="preserve"> sabiedrībām</w:t>
      </w:r>
      <w:r>
        <w:t>,</w:t>
      </w:r>
      <w:r w:rsidR="00A95974">
        <w:t xml:space="preserve"> </w:t>
      </w:r>
      <w:r w:rsidR="009D2A75">
        <w:t>kas</w:t>
      </w:r>
      <w:r w:rsidR="00BF57E6">
        <w:t xml:space="preserve"> </w:t>
      </w:r>
      <w:r w:rsidR="00A95974">
        <w:t xml:space="preserve">piedāvā </w:t>
      </w:r>
      <w:r w:rsidR="009D2A75">
        <w:t>m</w:t>
      </w:r>
      <w:r w:rsidR="00BF57E6">
        <w:t>aksājumu konta pakalpojumu</w:t>
      </w:r>
      <w:r w:rsidR="009D2A75">
        <w:t>s</w:t>
      </w:r>
      <w:r w:rsidR="00BF57E6">
        <w:t>. Līdz ar to arī salīdzināšanas tīmekļa vietnē būtu jābūt iespējai salīdzināt ne tikai kredītiestāžu piedāvātos pakalpojumus, bet arī maksājumu iestāžu un elektroniskās naudas iestāžu, kas piedāvā maksājumu kontu</w:t>
      </w:r>
      <w:r w:rsidR="00A95974">
        <w:t xml:space="preserve"> pakalpojumus</w:t>
      </w:r>
      <w:r w:rsidR="00BF57E6">
        <w:t>, pakalpojumus. LKA biedru sastāvā ir vienīgi kredītiestādes, kas brīvprātī</w:t>
      </w:r>
      <w:r w:rsidR="009D2A75">
        <w:t>gi</w:t>
      </w:r>
      <w:r w:rsidR="00BF57E6">
        <w:t xml:space="preserve"> ir pievienojušās LKA un sniedz tai statistikas un cita veida informāciju, kā arī </w:t>
      </w:r>
      <w:r w:rsidR="009D2A75">
        <w:t xml:space="preserve">apņemas </w:t>
      </w:r>
      <w:r w:rsidR="00BF57E6">
        <w:t>ievēro</w:t>
      </w:r>
      <w:r w:rsidR="009D2A75">
        <w:t>t</w:t>
      </w:r>
      <w:r w:rsidR="00BF57E6">
        <w:t xml:space="preserve"> LKA izstrādātos principus un vadlīnijas. Lai gan, pamatojoties uz Maksājumu pakalpojumu un elektroniskās naudas likuma 106.</w:t>
      </w:r>
      <w:r w:rsidR="00824862">
        <w:t xml:space="preserve"> </w:t>
      </w:r>
      <w:r w:rsidR="00BF57E6">
        <w:t xml:space="preserve">pantu, LKA </w:t>
      </w:r>
      <w:proofErr w:type="spellStart"/>
      <w:r w:rsidR="00BF57E6">
        <w:t>ombuds</w:t>
      </w:r>
      <w:proofErr w:type="spellEnd"/>
      <w:r w:rsidR="00BF57E6">
        <w:t xml:space="preserve"> un šķīrējtiesa pieņem izskatīšanai arī sūdzības un strīdus par maksājumu iestādēm un elektroniskās naudas iestādēm, tām nav saistošas LKA apņemšanās. Kā norādīj</w:t>
      </w:r>
      <w:r w:rsidR="009D2A75">
        <w:t>uši</w:t>
      </w:r>
      <w:r w:rsidR="00BF57E6">
        <w:t xml:space="preserve"> LKA </w:t>
      </w:r>
      <w:r w:rsidR="00824862">
        <w:t>pārstāvji</w:t>
      </w:r>
      <w:r w:rsidR="00BF57E6">
        <w:t>, tā nepārstāv ne maksājumu, ne elektroniskās naudas iestādes,</w:t>
      </w:r>
      <w:r w:rsidR="009D2A75">
        <w:t xml:space="preserve"> ne </w:t>
      </w:r>
      <w:proofErr w:type="spellStart"/>
      <w:r w:rsidR="009D2A75">
        <w:t>krājaizdevu</w:t>
      </w:r>
      <w:proofErr w:type="spellEnd"/>
      <w:r w:rsidR="009D2A75">
        <w:t xml:space="preserve"> sabiedrības,</w:t>
      </w:r>
      <w:r w:rsidR="00BF57E6">
        <w:t xml:space="preserve"> tādēļ tai nebūtu iespējams nodrošināt objektīva salīdzināšanas mehānisma izveidi</w:t>
      </w:r>
      <w:r w:rsidR="00824862">
        <w:t>, kas aptvertu būtisku tirgus daļu</w:t>
      </w:r>
      <w:r w:rsidR="00BF57E6">
        <w:t>.</w:t>
      </w:r>
      <w:r>
        <w:t xml:space="preserve"> </w:t>
      </w:r>
    </w:p>
    <w:p w14:paraId="24F369F8" w14:textId="77777777" w:rsidR="002C16CA" w:rsidRDefault="002C16CA" w:rsidP="00A24FF5">
      <w:pPr>
        <w:pStyle w:val="BodyText"/>
        <w:ind w:firstLine="425"/>
      </w:pPr>
    </w:p>
    <w:p w14:paraId="29350CFC" w14:textId="77777777" w:rsidR="004150AE" w:rsidRPr="004150AE" w:rsidRDefault="004150AE" w:rsidP="00A24FF5">
      <w:pPr>
        <w:pStyle w:val="BodyText"/>
        <w:numPr>
          <w:ilvl w:val="0"/>
          <w:numId w:val="30"/>
        </w:numPr>
        <w:spacing w:after="240"/>
        <w:rPr>
          <w:i/>
        </w:rPr>
      </w:pPr>
      <w:r w:rsidRPr="004150AE">
        <w:rPr>
          <w:i/>
        </w:rPr>
        <w:t>Valsts iestādes uzturēts salīdzināšanas mehānisms</w:t>
      </w:r>
    </w:p>
    <w:p w14:paraId="733FFABB" w14:textId="77777777" w:rsidR="004150AE" w:rsidRPr="004150AE" w:rsidRDefault="004150AE" w:rsidP="00C17ECD">
      <w:pPr>
        <w:pStyle w:val="BodyText"/>
        <w:spacing w:after="240"/>
        <w:rPr>
          <w:u w:val="single"/>
        </w:rPr>
      </w:pPr>
      <w:r w:rsidRPr="004150AE">
        <w:rPr>
          <w:u w:val="single"/>
        </w:rPr>
        <w:t>Finanšu un kapitāla tirgus komisija</w:t>
      </w:r>
    </w:p>
    <w:p w14:paraId="7882DA4E" w14:textId="0500E545" w:rsidR="00C80F99" w:rsidRDefault="00936E06" w:rsidP="00A24FF5">
      <w:pPr>
        <w:pStyle w:val="BodyText"/>
        <w:ind w:firstLine="426"/>
      </w:pPr>
      <w:r>
        <w:lastRenderedPageBreak/>
        <w:t>Vairākās dalībvalstīs salīdzināšanas mehānisma izveide ir uzticēta kādai valsts iestādei</w:t>
      </w:r>
      <w:r w:rsidR="00824862">
        <w:t>, kas aizsargā patērētāju tiesības</w:t>
      </w:r>
      <w:r w:rsidR="00C80F99">
        <w:t>, nodrošinot vismaz vienu neatkarīgu salīdzināšanas tīmekļa vietni</w:t>
      </w:r>
      <w:r>
        <w:t xml:space="preserve">. Piemēram, </w:t>
      </w:r>
      <w:r w:rsidR="009D2A75">
        <w:t xml:space="preserve">Lietuvas Bankai, kam ir plašākas funkcijas un kompetence nekā </w:t>
      </w:r>
      <w:r w:rsidR="002C16CA">
        <w:t>Komisijai</w:t>
      </w:r>
      <w:r w:rsidR="009D2A75">
        <w:t>, ietverot arī patērētāju tiesību aizsardzības funkciju,</w:t>
      </w:r>
      <w:r w:rsidRPr="00C17ECD">
        <w:t xml:space="preserve"> </w:t>
      </w:r>
      <w:r w:rsidR="009D2A75">
        <w:t xml:space="preserve">ir izveidots savs </w:t>
      </w:r>
      <w:r w:rsidRPr="00C17ECD">
        <w:t xml:space="preserve">salīdzināšanas rīks </w:t>
      </w:r>
      <w:hyperlink r:id="rId8" w:history="1">
        <w:r w:rsidRPr="00C17ECD">
          <w:rPr>
            <w:rStyle w:val="Hyperlink"/>
          </w:rPr>
          <w:t>http://www.lb.lt/ikainiai/Local.aspx</w:t>
        </w:r>
      </w:hyperlink>
      <w:r w:rsidR="00824862">
        <w:t>.</w:t>
      </w:r>
      <w:r w:rsidR="00A2495B">
        <w:t xml:space="preserve"> Latvijā </w:t>
      </w:r>
      <w:r w:rsidR="00F401FB">
        <w:t>patērētāju aizsardzības</w:t>
      </w:r>
      <w:r w:rsidR="00A2495B">
        <w:t xml:space="preserve"> funkciju </w:t>
      </w:r>
      <w:r w:rsidR="00C80F99">
        <w:t xml:space="preserve">pilda </w:t>
      </w:r>
      <w:r w:rsidR="002C16CA">
        <w:t>PTAC</w:t>
      </w:r>
      <w:r w:rsidR="00C80F99">
        <w:t>.</w:t>
      </w:r>
    </w:p>
    <w:p w14:paraId="4EFDE4A3" w14:textId="28F2040F" w:rsidR="00C80F99" w:rsidRDefault="002C16CA" w:rsidP="00A24FF5">
      <w:pPr>
        <w:pStyle w:val="BodyText"/>
        <w:ind w:firstLine="426"/>
      </w:pPr>
      <w:r>
        <w:t xml:space="preserve">Komisijas </w:t>
      </w:r>
      <w:r w:rsidR="00CF2A2E">
        <w:t>darbība ir vērsta uz finanšu tirgus dalībnieku stabilitātes nodrošināšanu</w:t>
      </w:r>
      <w:r w:rsidR="009D73FF">
        <w:t>, finanšu iestāžu kapitāla prasību un atbilstīb</w:t>
      </w:r>
      <w:r w:rsidR="001F468F">
        <w:t>as</w:t>
      </w:r>
      <w:r w:rsidR="009D73FF">
        <w:t xml:space="preserve"> tiesību aktu prasībām kontroli</w:t>
      </w:r>
      <w:r w:rsidR="00CF2A2E">
        <w:t>.</w:t>
      </w:r>
      <w:r w:rsidR="00A2495B">
        <w:t xml:space="preserve"> Finanšu un kapitāla tirgus komisijas likuma 5. </w:t>
      </w:r>
      <w:r w:rsidR="009D73FF">
        <w:t>p</w:t>
      </w:r>
      <w:r w:rsidR="00A2495B">
        <w:t>ant</w:t>
      </w:r>
      <w:r w:rsidR="009D73FF">
        <w:t xml:space="preserve">s nosaka, ka </w:t>
      </w:r>
      <w:r>
        <w:t xml:space="preserve">Komisijas </w:t>
      </w:r>
      <w:r w:rsidR="009D73FF">
        <w:t>mērķis</w:t>
      </w:r>
      <w:r w:rsidR="00A2495B">
        <w:t xml:space="preserve"> ir </w:t>
      </w:r>
      <w:r w:rsidR="00C80F99">
        <w:t xml:space="preserve">veicināt </w:t>
      </w:r>
      <w:r w:rsidR="00A2495B">
        <w:t xml:space="preserve">finanšu tirgus stabilitāti un attīstību, kā arī </w:t>
      </w:r>
      <w:r w:rsidR="00C80F99">
        <w:t xml:space="preserve">ieguldītāju, noguldītāju un apdrošināto personu interešu aizsardzību. </w:t>
      </w:r>
      <w:r w:rsidR="009D2A75">
        <w:t>Savukārt salīdzināšanas mehānisma mērķis ir objektīvi informēt patērētāju par maksājumu kont</w:t>
      </w:r>
      <w:r w:rsidR="00A95974">
        <w:t>am pieejamiem</w:t>
      </w:r>
      <w:r w:rsidR="009D2A75">
        <w:t xml:space="preserve"> pakalpojumu veidiem, to noteikumiem un tarifiem, lai palīdzētu patērētājiem pēc iespējas pārskatāmāk un lētāk atrast visizdevīgāko un piemērotāko piedāvājumu. </w:t>
      </w:r>
      <w:r w:rsidR="001F468F">
        <w:t>Ievērojot minēto, secināms, ka</w:t>
      </w:r>
      <w:r w:rsidR="00A2495B">
        <w:t xml:space="preserve"> salīdzināšanas mehānisma izveides uzticēšana </w:t>
      </w:r>
      <w:r>
        <w:t xml:space="preserve">Komisijai </w:t>
      </w:r>
      <w:r w:rsidR="00A2495B">
        <w:t xml:space="preserve">neatbilstu </w:t>
      </w:r>
      <w:r>
        <w:t xml:space="preserve">tās </w:t>
      </w:r>
      <w:r w:rsidR="00A2495B">
        <w:t>kompetencei.</w:t>
      </w:r>
    </w:p>
    <w:p w14:paraId="7D391641" w14:textId="77777777" w:rsidR="002C16CA" w:rsidRDefault="002C16CA" w:rsidP="00A24FF5">
      <w:pPr>
        <w:pStyle w:val="BodyText"/>
        <w:ind w:firstLine="426"/>
      </w:pPr>
    </w:p>
    <w:p w14:paraId="1217C20A" w14:textId="77777777" w:rsidR="004150AE" w:rsidRPr="004150AE" w:rsidRDefault="004150AE" w:rsidP="00C17ECD">
      <w:pPr>
        <w:pStyle w:val="BodyText"/>
        <w:spacing w:after="240"/>
        <w:rPr>
          <w:u w:val="single"/>
        </w:rPr>
      </w:pPr>
      <w:r w:rsidRPr="004150AE">
        <w:rPr>
          <w:u w:val="single"/>
        </w:rPr>
        <w:t>Patērētāju tiesību aizsardzības centrs</w:t>
      </w:r>
    </w:p>
    <w:p w14:paraId="06E965A4" w14:textId="67928964" w:rsidR="002C16CA" w:rsidRDefault="0073420D" w:rsidP="00A24FF5">
      <w:pPr>
        <w:pStyle w:val="BodyText"/>
        <w:ind w:firstLine="425"/>
      </w:pPr>
      <w:r w:rsidRPr="003D3137">
        <w:t>Latvijas sākotnējā pozīcijā par Direktīvas priekšlikumu tika norādīts, ka Latvijā patērētājam iespējas salīdzināt banku piedāvātos pakalpojumus un izdarīt pārdomātu un informētu izvēli ir ļoti apgrūtinošas un nepārredzamas. Tādēļ Direktīvā iestrādātās prasības viennozīmīgi uzlabotu patērētāju iespējas izvēlēties sev izdevīgāko pakalpojumu</w:t>
      </w:r>
      <w:r w:rsidR="00A95974">
        <w:t xml:space="preserve"> sniedzēju un </w:t>
      </w:r>
      <w:r w:rsidRPr="003D3137">
        <w:t>veicinātu lielāku banku konkurenci patērētāju maksājumu kontu apkalpošanas jomā.</w:t>
      </w:r>
    </w:p>
    <w:p w14:paraId="42ED034B" w14:textId="10DAD940" w:rsidR="00354E3F" w:rsidRDefault="0073420D" w:rsidP="00A24FF5">
      <w:pPr>
        <w:pStyle w:val="BodyText"/>
        <w:ind w:firstLine="425"/>
      </w:pPr>
      <w:r w:rsidRPr="0073420D">
        <w:t>Ievērojot salīdzināšanas mehānisma mērķi, tā izveid</w:t>
      </w:r>
      <w:r w:rsidR="002C16CA">
        <w:t>es</w:t>
      </w:r>
      <w:r w:rsidRPr="0073420D">
        <w:t xml:space="preserve"> uzticē</w:t>
      </w:r>
      <w:r w:rsidR="002C16CA">
        <w:t xml:space="preserve">šana </w:t>
      </w:r>
      <w:r w:rsidRPr="0073420D">
        <w:t>PTAC</w:t>
      </w:r>
      <w:r w:rsidR="002C16CA">
        <w:t xml:space="preserve"> uzskatāma par efektīvāko veidu Direktīvas prasību ieviešanai</w:t>
      </w:r>
      <w:r w:rsidR="00A95974">
        <w:t>, jo s</w:t>
      </w:r>
      <w:r w:rsidRPr="0073420D">
        <w:t>askaņā ar Ministru kabineta 2006.</w:t>
      </w:r>
      <w:r w:rsidR="002C16CA">
        <w:t xml:space="preserve"> gada 1. augusta</w:t>
      </w:r>
      <w:r w:rsidRPr="0073420D">
        <w:t xml:space="preserve"> noteikumu Nr. 632 "Patērētāju tiesību aizsardzības centra nolikums" 2. punktu </w:t>
      </w:r>
      <w:r w:rsidR="00CB2B66" w:rsidRPr="0073420D">
        <w:t xml:space="preserve">PTAC mērķis </w:t>
      </w:r>
      <w:r w:rsidRPr="0073420D">
        <w:t xml:space="preserve">ir īstenot patērētāju tiesību un interešu aizsardzību un tirgus uzraudzību. Tādēļ patērētāju nodrošināšana ar iespēju iegūt objektīvu informāciju par </w:t>
      </w:r>
      <w:r w:rsidR="00CB2B66">
        <w:t xml:space="preserve">pakalpojumiem un to </w:t>
      </w:r>
      <w:r w:rsidRPr="0073420D">
        <w:t>tarifiem, ko piemēro saistībā ar maksājumu kontiem, atbilstu PTAC objektīvajam mērķim un ietilpt</w:t>
      </w:r>
      <w:r w:rsidR="00CB2B66">
        <w:t>u</w:t>
      </w:r>
      <w:r w:rsidRPr="0073420D">
        <w:t xml:space="preserve"> tā kompetencē.</w:t>
      </w:r>
      <w:r w:rsidR="00CB2B66">
        <w:t xml:space="preserve"> </w:t>
      </w:r>
      <w:r w:rsidR="00782867">
        <w:t xml:space="preserve">Lai nodrošinātu PTAC iespēju sniegt patērētājiem aktuālu informāciju par ar maksājumu kontu </w:t>
      </w:r>
      <w:r w:rsidR="00782867" w:rsidRPr="00670154">
        <w:rPr>
          <w:lang w:eastAsia="lv-LV"/>
        </w:rPr>
        <w:t>atvēršanu un lietošanu</w:t>
      </w:r>
      <w:r w:rsidR="00782867">
        <w:rPr>
          <w:lang w:eastAsia="lv-LV"/>
        </w:rPr>
        <w:t xml:space="preserve"> saistītajiem</w:t>
      </w:r>
      <w:r w:rsidR="00782867">
        <w:t xml:space="preserve"> tarifiem, maksājumu pakalpojumu sniedzējiem, kas sniedz ar maksājumu kontu </w:t>
      </w:r>
      <w:r w:rsidR="00782867" w:rsidRPr="00670154">
        <w:rPr>
          <w:lang w:eastAsia="lv-LV"/>
        </w:rPr>
        <w:t>atvēršanu un lietošanu</w:t>
      </w:r>
      <w:r w:rsidR="00782867">
        <w:rPr>
          <w:lang w:eastAsia="lv-LV"/>
        </w:rPr>
        <w:t xml:space="preserve"> saistītos</w:t>
      </w:r>
      <w:r w:rsidR="00782867">
        <w:t xml:space="preserve"> maksājumu pakalpojumus, būtu jāparedz pienākums sniegt aktuālu informāciju PTAC par ar šo pakalpojumu saistītajiem tarifiem. </w:t>
      </w:r>
      <w:r w:rsidR="00CB2B66">
        <w:t>Ar maksājumu kontu saistīt</w:t>
      </w:r>
      <w:r w:rsidR="0065722C">
        <w:t>ais</w:t>
      </w:r>
      <w:r w:rsidR="00CB2B66">
        <w:t xml:space="preserve"> tarifu </w:t>
      </w:r>
      <w:r w:rsidR="00CB2B66" w:rsidRPr="003D3137">
        <w:t xml:space="preserve">salīdzināšanas </w:t>
      </w:r>
      <w:r w:rsidR="00CB2B66">
        <w:t xml:space="preserve">mehānisms </w:t>
      </w:r>
      <w:r w:rsidR="00CB2B66" w:rsidRPr="003D3137">
        <w:t>informēt</w:t>
      </w:r>
      <w:r w:rsidR="00CB2B66">
        <w:t>u</w:t>
      </w:r>
      <w:r w:rsidR="00CB2B66" w:rsidRPr="003D3137">
        <w:t xml:space="preserve"> patērētājus par </w:t>
      </w:r>
      <w:r w:rsidR="0065722C">
        <w:t>viņ</w:t>
      </w:r>
      <w:r w:rsidR="00CB2B66" w:rsidRPr="003D3137">
        <w:t xml:space="preserve">iem pieejamiem pakalpojumiem </w:t>
      </w:r>
      <w:r w:rsidR="0065722C">
        <w:t>un</w:t>
      </w:r>
      <w:r w:rsidR="00CB2B66" w:rsidRPr="003D3137">
        <w:t xml:space="preserve"> veicinātu konkurenci pakalpojumu sniedzēju starpā tādējādi panāktu iespējamu</w:t>
      </w:r>
      <w:r w:rsidR="0065722C">
        <w:t xml:space="preserve"> pakalpojumu</w:t>
      </w:r>
      <w:r w:rsidR="00CB2B66" w:rsidRPr="003D3137">
        <w:t xml:space="preserve"> cenu samazinājumu</w:t>
      </w:r>
      <w:r w:rsidR="001F468F">
        <w:t>.</w:t>
      </w:r>
    </w:p>
    <w:p w14:paraId="093E3DCA" w14:textId="77777777" w:rsidR="00D042B4" w:rsidRDefault="001F468F" w:rsidP="00D042B4">
      <w:pPr>
        <w:pStyle w:val="BodyText"/>
        <w:ind w:firstLine="425"/>
      </w:pPr>
      <w:r>
        <w:t xml:space="preserve">Uzticot salīdzināšanas mehānisma izveides pienākumu PTAC, tiktu nodrošinātas vairākas Direktīvas </w:t>
      </w:r>
      <w:r w:rsidR="00354E3F">
        <w:t>prasības</w:t>
      </w:r>
      <w:r>
        <w:t>. PTAC kompetencē ir uzraudzīt visu pakalpojumu sniedzēju rīcību attiecībā uz patērētājiem, līdz ar to tiktu aptverta</w:t>
      </w:r>
      <w:r w:rsidR="004C2A02">
        <w:t xml:space="preserve"> lielākā</w:t>
      </w:r>
      <w:r>
        <w:t xml:space="preserve"> tirgus daļa</w:t>
      </w:r>
      <w:r w:rsidR="00354E3F">
        <w:t>,</w:t>
      </w:r>
      <w:r w:rsidR="004C2A02">
        <w:t xml:space="preserve"> kā arī</w:t>
      </w:r>
      <w:r w:rsidR="00354E3F">
        <w:t xml:space="preserve"> t</w:t>
      </w:r>
      <w:r>
        <w:t>iktu nodrošināta</w:t>
      </w:r>
      <w:r w:rsidR="00354E3F">
        <w:t xml:space="preserve"> arī</w:t>
      </w:r>
      <w:r>
        <w:t xml:space="preserve"> pieejamās informācijas kvalitāte un funkcionālā neatkarība no maksājumu pakalpojumu sniedzējiem</w:t>
      </w:r>
      <w:r w:rsidR="00354E3F">
        <w:t>. P</w:t>
      </w:r>
      <w:r>
        <w:t>atērētāju uzticamība šādam salīdzināšanas rīkam</w:t>
      </w:r>
      <w:r w:rsidR="00E4014A">
        <w:t>, ja to nodrošinātu PTAC,</w:t>
      </w:r>
      <w:r>
        <w:t xml:space="preserve"> būtu daudz augstāka, nekā privātā sektora operator</w:t>
      </w:r>
      <w:r w:rsidR="00E4014A">
        <w:t>u rīkiem</w:t>
      </w:r>
      <w:r>
        <w:t xml:space="preserve">. </w:t>
      </w:r>
      <w:r w:rsidR="002C16CA">
        <w:t xml:space="preserve"> </w:t>
      </w:r>
    </w:p>
    <w:p w14:paraId="432C9A57" w14:textId="33D52BD3" w:rsidR="0086658F" w:rsidRDefault="002C16CA" w:rsidP="00D042B4">
      <w:pPr>
        <w:pStyle w:val="BodyText"/>
        <w:ind w:firstLine="425"/>
      </w:pPr>
      <w:r w:rsidRPr="0086658F">
        <w:t>2015. gada 16. janvārī notikušajā s</w:t>
      </w:r>
      <w:r w:rsidR="00CB2B66" w:rsidRPr="0086658F">
        <w:t xml:space="preserve">tarpinstitūciju sanāksmē PTAC direktore Baiba Vītoliņa atzina, ka patērētāji uzticas PTAC un </w:t>
      </w:r>
      <w:r w:rsidR="00574725" w:rsidRPr="0086658F">
        <w:t xml:space="preserve">tīmekļa vietnes </w:t>
      </w:r>
      <w:r w:rsidR="00CB2B66" w:rsidRPr="0086658F">
        <w:t>izveide ir vēlama un atbalstāma. Vienlaikus</w:t>
      </w:r>
      <w:r w:rsidR="00E4014A" w:rsidRPr="0086658F">
        <w:t xml:space="preserve"> norādāms, ka</w:t>
      </w:r>
      <w:r w:rsidR="00CB2B66" w:rsidRPr="0086658F">
        <w:t xml:space="preserve"> papildu pienākumu uzticēšanai PTAC būtu nepieciešami </w:t>
      </w:r>
      <w:r w:rsidR="004D265E" w:rsidRPr="0086658F">
        <w:t xml:space="preserve">papildu </w:t>
      </w:r>
      <w:r w:rsidR="00CB2B66" w:rsidRPr="0086658F">
        <w:t>budžeta līdzekļi.</w:t>
      </w:r>
      <w:r w:rsidR="004D265E" w:rsidRPr="0086658F">
        <w:t xml:space="preserve"> Saskaņā ar PTAC sniegto informāciju aptuvenās maksājumu kontu tarifu salīdzinošās lapas izveides un uzturēšanas izmaksas </w:t>
      </w:r>
      <w:r w:rsidR="0086658F" w:rsidRPr="0086658F">
        <w:t xml:space="preserve">ir šādas: </w:t>
      </w:r>
    </w:p>
    <w:p w14:paraId="67031D5D" w14:textId="77777777" w:rsidR="00B578E4" w:rsidRPr="0086658F" w:rsidRDefault="00B578E4" w:rsidP="00D042B4">
      <w:pPr>
        <w:pStyle w:val="BodyText"/>
        <w:ind w:firstLine="425"/>
      </w:pPr>
    </w:p>
    <w:p w14:paraId="467AFCA5" w14:textId="77777777" w:rsidR="009B0C33" w:rsidRDefault="009B0C33" w:rsidP="009B0C33">
      <w:pPr>
        <w:spacing w:after="0" w:line="240" w:lineRule="auto"/>
        <w:jc w:val="both"/>
        <w:rPr>
          <w:rFonts w:ascii="Times New Roman" w:hAnsi="Times New Roman"/>
          <w:color w:val="000000"/>
          <w:sz w:val="24"/>
          <w:szCs w:val="24"/>
          <w:lang w:eastAsia="lv-LV"/>
        </w:rPr>
      </w:pPr>
      <w:r>
        <w:rPr>
          <w:rFonts w:ascii="Times New Roman" w:hAnsi="Times New Roman"/>
          <w:b/>
          <w:color w:val="000000"/>
          <w:sz w:val="24"/>
          <w:szCs w:val="24"/>
          <w:lang w:eastAsia="lv-LV"/>
        </w:rPr>
        <w:t xml:space="preserve">2017. gadā  – EUR 10 000 </w:t>
      </w:r>
      <w:r>
        <w:rPr>
          <w:rFonts w:ascii="Times New Roman" w:hAnsi="Times New Roman"/>
          <w:color w:val="000000"/>
          <w:sz w:val="24"/>
          <w:szCs w:val="24"/>
          <w:lang w:eastAsia="lv-LV"/>
        </w:rPr>
        <w:t>tai skaitā:</w:t>
      </w:r>
    </w:p>
    <w:p w14:paraId="773B1D01" w14:textId="77777777" w:rsidR="009B0C33" w:rsidRDefault="009B0C33" w:rsidP="009B0C33">
      <w:pPr>
        <w:spacing w:after="0" w:line="240" w:lineRule="auto"/>
        <w:jc w:val="both"/>
        <w:rPr>
          <w:rFonts w:ascii="Times New Roman" w:hAnsi="Times New Roman"/>
          <w:b/>
          <w:color w:val="000000"/>
          <w:sz w:val="24"/>
          <w:szCs w:val="24"/>
          <w:lang w:eastAsia="lv-LV"/>
        </w:rPr>
      </w:pPr>
    </w:p>
    <w:p w14:paraId="31D4B21D" w14:textId="77777777" w:rsidR="009B0C33" w:rsidRDefault="009B0C33" w:rsidP="009B0C33">
      <w:pPr>
        <w:spacing w:after="0" w:line="240" w:lineRule="auto"/>
        <w:jc w:val="both"/>
        <w:rPr>
          <w:rFonts w:ascii="Times New Roman" w:hAnsi="Times New Roman"/>
          <w:color w:val="000000"/>
          <w:sz w:val="24"/>
          <w:szCs w:val="24"/>
          <w:lang w:val="en-US" w:eastAsia="lv-LV"/>
        </w:rPr>
      </w:pPr>
      <w:proofErr w:type="spellStart"/>
      <w:r>
        <w:rPr>
          <w:rFonts w:ascii="Times New Roman" w:hAnsi="Times New Roman"/>
          <w:color w:val="000000"/>
          <w:sz w:val="24"/>
          <w:szCs w:val="24"/>
          <w:lang w:val="en-US" w:eastAsia="lv-LV"/>
        </w:rPr>
        <w:t>Mājas</w:t>
      </w:r>
      <w:proofErr w:type="spellEnd"/>
      <w:r>
        <w:rPr>
          <w:rFonts w:ascii="Times New Roman" w:hAnsi="Times New Roman"/>
          <w:color w:val="000000"/>
          <w:sz w:val="24"/>
          <w:szCs w:val="24"/>
          <w:lang w:val="en-US" w:eastAsia="lv-LV"/>
        </w:rPr>
        <w:t xml:space="preserve"> </w:t>
      </w:r>
      <w:proofErr w:type="spellStart"/>
      <w:r>
        <w:rPr>
          <w:rFonts w:ascii="Times New Roman" w:hAnsi="Times New Roman"/>
          <w:color w:val="000000"/>
          <w:sz w:val="24"/>
          <w:szCs w:val="24"/>
          <w:lang w:val="en-US" w:eastAsia="lv-LV"/>
        </w:rPr>
        <w:t>lapas</w:t>
      </w:r>
      <w:proofErr w:type="spellEnd"/>
      <w:r>
        <w:rPr>
          <w:rFonts w:ascii="Times New Roman" w:hAnsi="Times New Roman"/>
          <w:color w:val="000000"/>
          <w:sz w:val="24"/>
          <w:szCs w:val="24"/>
          <w:lang w:val="en-US" w:eastAsia="lv-LV"/>
        </w:rPr>
        <w:t xml:space="preserve"> </w:t>
      </w:r>
      <w:proofErr w:type="spellStart"/>
      <w:r>
        <w:rPr>
          <w:rFonts w:ascii="Times New Roman" w:hAnsi="Times New Roman"/>
          <w:color w:val="000000"/>
          <w:sz w:val="24"/>
          <w:szCs w:val="24"/>
          <w:lang w:val="en-US" w:eastAsia="lv-LV"/>
        </w:rPr>
        <w:t>sistēmas</w:t>
      </w:r>
      <w:proofErr w:type="spellEnd"/>
      <w:r>
        <w:rPr>
          <w:rFonts w:ascii="Times New Roman" w:hAnsi="Times New Roman"/>
          <w:color w:val="000000"/>
          <w:sz w:val="24"/>
          <w:szCs w:val="24"/>
          <w:lang w:val="en-US" w:eastAsia="lv-LV"/>
        </w:rPr>
        <w:t xml:space="preserve"> </w:t>
      </w:r>
      <w:proofErr w:type="spellStart"/>
      <w:r>
        <w:rPr>
          <w:rFonts w:ascii="Times New Roman" w:hAnsi="Times New Roman"/>
          <w:color w:val="000000"/>
          <w:sz w:val="24"/>
          <w:szCs w:val="24"/>
          <w:lang w:val="en-US" w:eastAsia="lv-LV"/>
        </w:rPr>
        <w:t>izstrāde</w:t>
      </w:r>
      <w:proofErr w:type="spellEnd"/>
      <w:r>
        <w:rPr>
          <w:rFonts w:ascii="Times New Roman" w:hAnsi="Times New Roman"/>
          <w:color w:val="000000"/>
          <w:sz w:val="24"/>
          <w:szCs w:val="24"/>
          <w:lang w:val="en-US" w:eastAsia="lv-LV"/>
        </w:rPr>
        <w:t xml:space="preserve"> </w:t>
      </w:r>
      <w:r>
        <w:rPr>
          <w:rFonts w:ascii="Times New Roman" w:hAnsi="Times New Roman"/>
          <w:b/>
          <w:color w:val="000000"/>
          <w:sz w:val="24"/>
          <w:szCs w:val="24"/>
          <w:lang w:eastAsia="lv-LV"/>
        </w:rPr>
        <w:t>–</w:t>
      </w:r>
      <w:r>
        <w:rPr>
          <w:rFonts w:ascii="Times New Roman" w:hAnsi="Times New Roman"/>
          <w:color w:val="000000"/>
          <w:sz w:val="24"/>
          <w:szCs w:val="24"/>
          <w:lang w:val="en-US" w:eastAsia="lv-LV"/>
        </w:rPr>
        <w:t xml:space="preserve"> EUR 10 000 </w:t>
      </w:r>
    </w:p>
    <w:p w14:paraId="47C1DB06" w14:textId="77777777" w:rsidR="009B0C33" w:rsidRDefault="009B0C33" w:rsidP="009B0C33">
      <w:pPr>
        <w:spacing w:after="0" w:line="240" w:lineRule="auto"/>
        <w:jc w:val="both"/>
        <w:rPr>
          <w:rFonts w:ascii="Times New Roman" w:hAnsi="Times New Roman"/>
          <w:b/>
          <w:bCs/>
          <w:color w:val="000000"/>
          <w:sz w:val="24"/>
          <w:szCs w:val="24"/>
          <w:lang w:eastAsia="lv-LV"/>
        </w:rPr>
      </w:pPr>
    </w:p>
    <w:p w14:paraId="72FC62DF" w14:textId="77777777" w:rsidR="009B0C33" w:rsidRDefault="009B0C33" w:rsidP="009B0C33">
      <w:pPr>
        <w:spacing w:after="0" w:line="240" w:lineRule="auto"/>
        <w:jc w:val="both"/>
        <w:rPr>
          <w:rFonts w:ascii="Times New Roman" w:hAnsi="Times New Roman"/>
          <w:bCs/>
          <w:color w:val="000000"/>
          <w:sz w:val="24"/>
          <w:szCs w:val="24"/>
          <w:lang w:eastAsia="lv-LV"/>
        </w:rPr>
      </w:pPr>
      <w:r>
        <w:rPr>
          <w:rFonts w:ascii="Times New Roman" w:hAnsi="Times New Roman"/>
          <w:b/>
          <w:bCs/>
          <w:color w:val="000000"/>
          <w:sz w:val="24"/>
          <w:szCs w:val="24"/>
          <w:lang w:eastAsia="lv-LV"/>
        </w:rPr>
        <w:t xml:space="preserve">2018. gadā: EUR 3 000 </w:t>
      </w:r>
      <w:r>
        <w:rPr>
          <w:rFonts w:ascii="Times New Roman" w:hAnsi="Times New Roman"/>
          <w:bCs/>
          <w:color w:val="000000"/>
          <w:sz w:val="24"/>
          <w:szCs w:val="24"/>
          <w:lang w:eastAsia="lv-LV"/>
        </w:rPr>
        <w:t>tai skaitā:</w:t>
      </w:r>
    </w:p>
    <w:p w14:paraId="576A0237" w14:textId="77777777" w:rsidR="009B0C33" w:rsidRDefault="009B0C33" w:rsidP="009B0C33">
      <w:pPr>
        <w:spacing w:after="0" w:line="240" w:lineRule="auto"/>
        <w:jc w:val="both"/>
        <w:rPr>
          <w:rFonts w:ascii="Times New Roman" w:hAnsi="Times New Roman"/>
          <w:b/>
          <w:bCs/>
          <w:color w:val="000000"/>
          <w:sz w:val="24"/>
          <w:szCs w:val="24"/>
          <w:lang w:eastAsia="lv-LV"/>
        </w:rPr>
      </w:pPr>
    </w:p>
    <w:p w14:paraId="18E3E5E7" w14:textId="77777777" w:rsidR="009B0C33" w:rsidRDefault="009B0C33" w:rsidP="009B0C33">
      <w:pPr>
        <w:spacing w:after="0" w:line="240" w:lineRule="auto"/>
        <w:ind w:left="75" w:hanging="75"/>
        <w:jc w:val="both"/>
        <w:rPr>
          <w:rFonts w:ascii="Times New Roman" w:hAnsi="Times New Roman"/>
          <w:bCs/>
          <w:color w:val="000000"/>
          <w:sz w:val="24"/>
          <w:szCs w:val="24"/>
          <w:lang w:eastAsia="lv-LV"/>
        </w:rPr>
      </w:pPr>
      <w:r>
        <w:rPr>
          <w:rFonts w:ascii="Times New Roman" w:hAnsi="Times New Roman"/>
          <w:color w:val="000000"/>
          <w:sz w:val="24"/>
          <w:szCs w:val="24"/>
          <w:lang w:eastAsia="lv-LV"/>
        </w:rPr>
        <w:t xml:space="preserve">Uzturēšanas izdevumi – </w:t>
      </w:r>
      <w:r>
        <w:rPr>
          <w:rFonts w:ascii="Times New Roman" w:hAnsi="Times New Roman"/>
          <w:bCs/>
          <w:color w:val="000000"/>
          <w:sz w:val="24"/>
          <w:szCs w:val="24"/>
          <w:lang w:eastAsia="lv-LV"/>
        </w:rPr>
        <w:t>EUR 3 000</w:t>
      </w:r>
    </w:p>
    <w:p w14:paraId="79F7944C" w14:textId="77777777" w:rsidR="009B0C33" w:rsidRDefault="009B0C33" w:rsidP="009B0C33">
      <w:pPr>
        <w:spacing w:after="0" w:line="240" w:lineRule="auto"/>
        <w:ind w:left="75" w:hanging="75"/>
        <w:jc w:val="both"/>
        <w:rPr>
          <w:rFonts w:ascii="Times New Roman" w:hAnsi="Times New Roman"/>
          <w:b/>
          <w:bCs/>
          <w:color w:val="000000"/>
          <w:sz w:val="24"/>
          <w:szCs w:val="24"/>
          <w:lang w:eastAsia="lv-LV"/>
        </w:rPr>
      </w:pPr>
    </w:p>
    <w:p w14:paraId="2A012F75" w14:textId="77777777" w:rsidR="009B0C33" w:rsidRDefault="009B0C33" w:rsidP="009B0C33">
      <w:pPr>
        <w:spacing w:after="0" w:line="240" w:lineRule="auto"/>
        <w:ind w:left="75" w:hanging="75"/>
        <w:jc w:val="both"/>
        <w:rPr>
          <w:rFonts w:ascii="Times New Roman" w:hAnsi="Times New Roman"/>
          <w:b/>
          <w:bCs/>
          <w:color w:val="000000"/>
          <w:sz w:val="24"/>
          <w:szCs w:val="24"/>
          <w:lang w:eastAsia="lv-LV"/>
        </w:rPr>
      </w:pPr>
      <w:r>
        <w:rPr>
          <w:rFonts w:ascii="Times New Roman" w:hAnsi="Times New Roman"/>
          <w:b/>
          <w:bCs/>
          <w:color w:val="000000"/>
          <w:sz w:val="24"/>
          <w:szCs w:val="24"/>
          <w:lang w:eastAsia="lv-LV"/>
        </w:rPr>
        <w:t xml:space="preserve">2019. gadā EUR 3 000 </w:t>
      </w:r>
      <w:r>
        <w:rPr>
          <w:rFonts w:ascii="Times New Roman" w:hAnsi="Times New Roman"/>
          <w:bCs/>
          <w:color w:val="000000"/>
          <w:sz w:val="24"/>
          <w:szCs w:val="24"/>
          <w:lang w:eastAsia="lv-LV"/>
        </w:rPr>
        <w:t>tai skaitā:</w:t>
      </w:r>
    </w:p>
    <w:p w14:paraId="0A865B1F" w14:textId="77777777" w:rsidR="009B0C33" w:rsidRDefault="009B0C33" w:rsidP="009B0C33">
      <w:pPr>
        <w:spacing w:after="0" w:line="240" w:lineRule="auto"/>
        <w:jc w:val="both"/>
        <w:rPr>
          <w:rFonts w:ascii="Times New Roman" w:hAnsi="Times New Roman"/>
          <w:b/>
          <w:bCs/>
          <w:color w:val="000000"/>
          <w:sz w:val="24"/>
          <w:szCs w:val="24"/>
          <w:lang w:eastAsia="lv-LV"/>
        </w:rPr>
      </w:pPr>
    </w:p>
    <w:p w14:paraId="5E6BE13C" w14:textId="7803BE4A" w:rsidR="009B0C33" w:rsidRDefault="009B0C33" w:rsidP="0081147C">
      <w:pPr>
        <w:spacing w:after="0" w:line="240" w:lineRule="auto"/>
        <w:jc w:val="both"/>
        <w:rPr>
          <w:rFonts w:ascii="Times New Roman" w:hAnsi="Times New Roman"/>
          <w:bCs/>
          <w:color w:val="000000"/>
          <w:sz w:val="24"/>
          <w:szCs w:val="24"/>
          <w:lang w:eastAsia="lv-LV"/>
        </w:rPr>
      </w:pPr>
      <w:r>
        <w:rPr>
          <w:rFonts w:ascii="Times New Roman" w:hAnsi="Times New Roman"/>
          <w:color w:val="000000"/>
          <w:sz w:val="24"/>
          <w:szCs w:val="24"/>
          <w:lang w:eastAsia="lv-LV"/>
        </w:rPr>
        <w:t xml:space="preserve">Uzturēšanas izdevumi – </w:t>
      </w:r>
      <w:r>
        <w:rPr>
          <w:rFonts w:ascii="Times New Roman" w:hAnsi="Times New Roman"/>
          <w:bCs/>
          <w:color w:val="000000"/>
          <w:sz w:val="24"/>
          <w:szCs w:val="24"/>
          <w:lang w:eastAsia="lv-LV"/>
        </w:rPr>
        <w:t>EUR 3 000</w:t>
      </w:r>
    </w:p>
    <w:p w14:paraId="4AB9B177" w14:textId="1E45857A" w:rsidR="0073420D" w:rsidRPr="00AA6854" w:rsidRDefault="0073420D" w:rsidP="0081147C">
      <w:pPr>
        <w:spacing w:after="0" w:line="240" w:lineRule="auto"/>
        <w:jc w:val="both"/>
        <w:rPr>
          <w:rFonts w:ascii="Times New Roman" w:hAnsi="Times New Roman"/>
          <w:b/>
          <w:bCs/>
          <w:color w:val="000000"/>
          <w:sz w:val="24"/>
          <w:szCs w:val="24"/>
          <w:lang w:eastAsia="lv-LV"/>
        </w:rPr>
      </w:pPr>
    </w:p>
    <w:p w14:paraId="402C1FD9" w14:textId="501DD316" w:rsidR="002F5A9E" w:rsidRDefault="00C17ECD" w:rsidP="00A24FF5">
      <w:pPr>
        <w:tabs>
          <w:tab w:val="left" w:pos="1276"/>
        </w:tabs>
        <w:spacing w:after="0" w:line="240" w:lineRule="auto"/>
        <w:ind w:firstLine="426"/>
        <w:jc w:val="both"/>
        <w:rPr>
          <w:rFonts w:ascii="Times New Roman" w:hAnsi="Times New Roman" w:cs="Times New Roman"/>
          <w:sz w:val="24"/>
          <w:szCs w:val="24"/>
        </w:rPr>
      </w:pPr>
      <w:r w:rsidRPr="00A24FF5">
        <w:rPr>
          <w:rFonts w:ascii="Times New Roman" w:hAnsi="Times New Roman" w:cs="Times New Roman"/>
          <w:sz w:val="24"/>
          <w:szCs w:val="24"/>
        </w:rPr>
        <w:t xml:space="preserve">Ievērojot </w:t>
      </w:r>
      <w:r w:rsidR="005C70C3" w:rsidRPr="00A24FF5">
        <w:rPr>
          <w:rFonts w:ascii="Times New Roman" w:hAnsi="Times New Roman" w:cs="Times New Roman"/>
          <w:sz w:val="24"/>
          <w:szCs w:val="24"/>
        </w:rPr>
        <w:t xml:space="preserve">visu iepriekš </w:t>
      </w:r>
      <w:r w:rsidRPr="00A24FF5">
        <w:rPr>
          <w:rFonts w:ascii="Times New Roman" w:hAnsi="Times New Roman" w:cs="Times New Roman"/>
          <w:sz w:val="24"/>
          <w:szCs w:val="24"/>
        </w:rPr>
        <w:t xml:space="preserve">minēto, priekšlikums </w:t>
      </w:r>
      <w:r w:rsidR="00E4014A" w:rsidRPr="00A24FF5">
        <w:rPr>
          <w:rFonts w:ascii="Times New Roman" w:hAnsi="Times New Roman" w:cs="Times New Roman"/>
          <w:sz w:val="24"/>
          <w:szCs w:val="24"/>
        </w:rPr>
        <w:t>maksājumu kontu tarifu salīdzinošās lapas vai rīka izveidi uzticēt</w:t>
      </w:r>
      <w:r w:rsidRPr="00A24FF5">
        <w:rPr>
          <w:rFonts w:ascii="Times New Roman" w:hAnsi="Times New Roman" w:cs="Times New Roman"/>
          <w:sz w:val="24"/>
          <w:szCs w:val="24"/>
        </w:rPr>
        <w:t xml:space="preserve"> PTAC, nosakot </w:t>
      </w:r>
      <w:r w:rsidR="005C70C3" w:rsidRPr="00A24FF5">
        <w:rPr>
          <w:rFonts w:ascii="Times New Roman" w:hAnsi="Times New Roman" w:cs="Times New Roman"/>
          <w:sz w:val="24"/>
          <w:szCs w:val="24"/>
        </w:rPr>
        <w:t xml:space="preserve">to </w:t>
      </w:r>
      <w:r w:rsidRPr="00A24FF5">
        <w:rPr>
          <w:rFonts w:ascii="Times New Roman" w:hAnsi="Times New Roman" w:cs="Times New Roman"/>
          <w:sz w:val="24"/>
          <w:szCs w:val="24"/>
        </w:rPr>
        <w:t>normatīvajos aktos</w:t>
      </w:r>
      <w:r w:rsidR="005C70C3" w:rsidRPr="00A24FF5">
        <w:rPr>
          <w:rFonts w:ascii="Times New Roman" w:hAnsi="Times New Roman" w:cs="Times New Roman"/>
          <w:sz w:val="24"/>
          <w:szCs w:val="24"/>
        </w:rPr>
        <w:t xml:space="preserve">, </w:t>
      </w:r>
      <w:r w:rsidR="000869A3">
        <w:rPr>
          <w:rFonts w:ascii="Times New Roman" w:hAnsi="Times New Roman" w:cs="Times New Roman"/>
          <w:sz w:val="24"/>
          <w:szCs w:val="24"/>
        </w:rPr>
        <w:t xml:space="preserve">tādējādi nodrošinot salīdzināšanas mehānisma darbības uzsākšanu </w:t>
      </w:r>
      <w:r w:rsidR="004C2A02" w:rsidRPr="00A24FF5">
        <w:rPr>
          <w:rFonts w:ascii="Times New Roman" w:hAnsi="Times New Roman" w:cs="Times New Roman"/>
          <w:sz w:val="24"/>
          <w:szCs w:val="24"/>
        </w:rPr>
        <w:t>sākot ar 2018.</w:t>
      </w:r>
      <w:r w:rsidR="000869A3">
        <w:rPr>
          <w:rFonts w:ascii="Times New Roman" w:hAnsi="Times New Roman" w:cs="Times New Roman"/>
          <w:sz w:val="24"/>
          <w:szCs w:val="24"/>
        </w:rPr>
        <w:t xml:space="preserve"> </w:t>
      </w:r>
      <w:r w:rsidR="004C2A02" w:rsidRPr="00A24FF5">
        <w:rPr>
          <w:rFonts w:ascii="Times New Roman" w:hAnsi="Times New Roman" w:cs="Times New Roman"/>
          <w:sz w:val="24"/>
          <w:szCs w:val="24"/>
        </w:rPr>
        <w:t>gad</w:t>
      </w:r>
      <w:r w:rsidR="000869A3">
        <w:rPr>
          <w:rFonts w:ascii="Times New Roman" w:hAnsi="Times New Roman" w:cs="Times New Roman"/>
          <w:sz w:val="24"/>
          <w:szCs w:val="24"/>
        </w:rPr>
        <w:t>a 1. janvāri</w:t>
      </w:r>
      <w:r w:rsidRPr="00A24FF5">
        <w:rPr>
          <w:rFonts w:ascii="Times New Roman" w:hAnsi="Times New Roman" w:cs="Times New Roman"/>
          <w:sz w:val="24"/>
          <w:szCs w:val="24"/>
        </w:rPr>
        <w:t>.</w:t>
      </w:r>
      <w:r w:rsidR="002F5A9E" w:rsidRPr="00A24FF5">
        <w:rPr>
          <w:rFonts w:ascii="Times New Roman" w:hAnsi="Times New Roman" w:cs="Times New Roman"/>
          <w:sz w:val="24"/>
          <w:szCs w:val="24"/>
        </w:rPr>
        <w:t xml:space="preserve"> </w:t>
      </w:r>
    </w:p>
    <w:p w14:paraId="2389E5B7" w14:textId="77777777" w:rsidR="00890A6C" w:rsidRDefault="00890A6C" w:rsidP="00A24FF5">
      <w:pPr>
        <w:tabs>
          <w:tab w:val="left" w:pos="1276"/>
        </w:tabs>
        <w:spacing w:after="0" w:line="240" w:lineRule="auto"/>
        <w:ind w:firstLine="426"/>
        <w:jc w:val="both"/>
        <w:rPr>
          <w:rFonts w:ascii="Times New Roman" w:hAnsi="Times New Roman" w:cs="Times New Roman"/>
          <w:sz w:val="24"/>
          <w:szCs w:val="24"/>
        </w:rPr>
      </w:pPr>
    </w:p>
    <w:p w14:paraId="74D7D380" w14:textId="028E60D0" w:rsidR="00890A6C" w:rsidRPr="00890A6C" w:rsidRDefault="00890A6C" w:rsidP="00A24FF5">
      <w:pPr>
        <w:tabs>
          <w:tab w:val="left" w:pos="1276"/>
        </w:tabs>
        <w:spacing w:after="0" w:line="240" w:lineRule="auto"/>
        <w:ind w:firstLine="426"/>
        <w:jc w:val="both"/>
        <w:rPr>
          <w:rFonts w:ascii="Times New Roman" w:hAnsi="Times New Roman" w:cs="Times New Roman"/>
          <w:b/>
          <w:sz w:val="24"/>
          <w:szCs w:val="24"/>
        </w:rPr>
      </w:pPr>
      <w:r w:rsidRPr="00890A6C">
        <w:rPr>
          <w:rFonts w:ascii="Times New Roman" w:hAnsi="Times New Roman" w:cs="Times New Roman"/>
          <w:b/>
          <w:sz w:val="24"/>
          <w:szCs w:val="24"/>
        </w:rPr>
        <w:t>Priekšlikumi tālākai rīcībai.</w:t>
      </w:r>
    </w:p>
    <w:p w14:paraId="7C3E7152" w14:textId="77777777" w:rsidR="00890A6C" w:rsidRPr="00A24FF5" w:rsidRDefault="00890A6C" w:rsidP="00A24FF5">
      <w:pPr>
        <w:tabs>
          <w:tab w:val="left" w:pos="1276"/>
        </w:tabs>
        <w:spacing w:after="0" w:line="240" w:lineRule="auto"/>
        <w:ind w:firstLine="426"/>
        <w:jc w:val="both"/>
        <w:rPr>
          <w:rFonts w:ascii="Times New Roman" w:hAnsi="Times New Roman" w:cs="Times New Roman"/>
          <w:sz w:val="24"/>
          <w:szCs w:val="24"/>
        </w:rPr>
      </w:pPr>
    </w:p>
    <w:p w14:paraId="054E6D8E" w14:textId="1C3C97D7" w:rsidR="003615CA" w:rsidRPr="00557F91" w:rsidRDefault="003615CA" w:rsidP="003615CA">
      <w:pPr>
        <w:tabs>
          <w:tab w:val="left" w:pos="1276"/>
        </w:tabs>
        <w:spacing w:after="0" w:line="240" w:lineRule="auto"/>
        <w:ind w:firstLine="426"/>
        <w:jc w:val="both"/>
        <w:rPr>
          <w:rFonts w:ascii="Times New Roman" w:hAnsi="Times New Roman" w:cs="Times New Roman"/>
          <w:bCs/>
          <w:sz w:val="24"/>
          <w:szCs w:val="24"/>
        </w:rPr>
      </w:pPr>
      <w:r w:rsidRPr="00557F91">
        <w:rPr>
          <w:rFonts w:ascii="Times New Roman" w:hAnsi="Times New Roman" w:cs="Times New Roman"/>
          <w:bCs/>
          <w:sz w:val="24"/>
          <w:szCs w:val="24"/>
        </w:rPr>
        <w:t>Finanšu ministrijai izstrādāt grozījumus Maksājumu pakalpojumu un elektroniskās naudas likumā, paredzot pienākumu</w:t>
      </w:r>
      <w:r w:rsidR="00DD67D9" w:rsidRPr="00557F91">
        <w:rPr>
          <w:rFonts w:ascii="Times New Roman" w:hAnsi="Times New Roman" w:cs="Times New Roman"/>
          <w:bCs/>
          <w:sz w:val="24"/>
          <w:szCs w:val="24"/>
        </w:rPr>
        <w:t xml:space="preserve"> </w:t>
      </w:r>
      <w:r w:rsidR="000B16C8" w:rsidRPr="00E5199A">
        <w:rPr>
          <w:rFonts w:ascii="Times New Roman" w:hAnsi="Times New Roman" w:cs="Times New Roman"/>
          <w:sz w:val="24"/>
          <w:szCs w:val="24"/>
        </w:rPr>
        <w:t xml:space="preserve">maksājumu pakalpojumu sniedzējiem, kas sniedz </w:t>
      </w:r>
      <w:r w:rsidR="00557F91" w:rsidRPr="00E5199A">
        <w:rPr>
          <w:rFonts w:ascii="Times New Roman" w:hAnsi="Times New Roman" w:cs="Times New Roman"/>
          <w:sz w:val="24"/>
          <w:szCs w:val="24"/>
          <w:lang w:eastAsia="lv-LV"/>
        </w:rPr>
        <w:t>ar maksājumu konta atvēršanu un lietošanu</w:t>
      </w:r>
      <w:r w:rsidR="00557F91" w:rsidRPr="00E5199A">
        <w:rPr>
          <w:rFonts w:ascii="Times New Roman" w:hAnsi="Times New Roman" w:cs="Times New Roman"/>
          <w:sz w:val="24"/>
          <w:szCs w:val="24"/>
        </w:rPr>
        <w:t xml:space="preserve"> saistītos maksājumu</w:t>
      </w:r>
      <w:r w:rsidR="000B16C8" w:rsidRPr="00E5199A">
        <w:rPr>
          <w:rFonts w:ascii="Times New Roman" w:hAnsi="Times New Roman" w:cs="Times New Roman"/>
          <w:sz w:val="24"/>
          <w:szCs w:val="24"/>
        </w:rPr>
        <w:t xml:space="preserve"> pakalpojumus, sniegt PTAC aktuālu informāciju par </w:t>
      </w:r>
      <w:r w:rsidR="00557F91" w:rsidRPr="00E5199A">
        <w:rPr>
          <w:rFonts w:ascii="Times New Roman" w:hAnsi="Times New Roman" w:cs="Times New Roman"/>
          <w:sz w:val="24"/>
          <w:szCs w:val="24"/>
        </w:rPr>
        <w:t>šo</w:t>
      </w:r>
      <w:r w:rsidR="000B16C8" w:rsidRPr="00E5199A">
        <w:rPr>
          <w:rFonts w:ascii="Times New Roman" w:hAnsi="Times New Roman" w:cs="Times New Roman"/>
          <w:sz w:val="24"/>
          <w:szCs w:val="24"/>
        </w:rPr>
        <w:t xml:space="preserve"> </w:t>
      </w:r>
      <w:r w:rsidR="00557F91" w:rsidRPr="00E5199A">
        <w:rPr>
          <w:rFonts w:ascii="Times New Roman" w:hAnsi="Times New Roman" w:cs="Times New Roman"/>
          <w:sz w:val="24"/>
          <w:szCs w:val="24"/>
        </w:rPr>
        <w:t xml:space="preserve">pakalpojumu </w:t>
      </w:r>
      <w:r w:rsidR="000B16C8" w:rsidRPr="00E5199A">
        <w:rPr>
          <w:rFonts w:ascii="Times New Roman" w:hAnsi="Times New Roman" w:cs="Times New Roman"/>
          <w:sz w:val="24"/>
          <w:szCs w:val="24"/>
        </w:rPr>
        <w:t>tarifiem.</w:t>
      </w:r>
    </w:p>
    <w:p w14:paraId="1E347900" w14:textId="5E12C4A6" w:rsidR="003615CA" w:rsidRPr="003615CA" w:rsidRDefault="002F5A9E" w:rsidP="003615CA">
      <w:pPr>
        <w:tabs>
          <w:tab w:val="left" w:pos="1276"/>
        </w:tabs>
        <w:spacing w:after="0" w:line="240" w:lineRule="auto"/>
        <w:ind w:firstLine="426"/>
        <w:jc w:val="both"/>
        <w:rPr>
          <w:rFonts w:ascii="Times New Roman" w:hAnsi="Times New Roman" w:cs="Times New Roman"/>
          <w:bCs/>
          <w:sz w:val="24"/>
          <w:szCs w:val="24"/>
        </w:rPr>
      </w:pPr>
      <w:r w:rsidRPr="00A24FF5">
        <w:rPr>
          <w:rFonts w:ascii="Times New Roman" w:hAnsi="Times New Roman" w:cs="Times New Roman"/>
          <w:bCs/>
          <w:sz w:val="24"/>
          <w:szCs w:val="24"/>
        </w:rPr>
        <w:t xml:space="preserve">Ekonomikas ministrijai, lai nodrošinātu </w:t>
      </w:r>
      <w:r w:rsidRPr="00A24FF5">
        <w:rPr>
          <w:rFonts w:ascii="Times New Roman" w:hAnsi="Times New Roman" w:cs="Times New Roman"/>
          <w:sz w:val="24"/>
          <w:szCs w:val="24"/>
        </w:rPr>
        <w:t>maksājumu kontu tarifu salīdzinošās lapas vai rīka izveidi</w:t>
      </w:r>
      <w:r w:rsidR="00890A6C">
        <w:rPr>
          <w:rFonts w:ascii="Times New Roman" w:hAnsi="Times New Roman" w:cs="Times New Roman"/>
          <w:sz w:val="24"/>
          <w:szCs w:val="24"/>
        </w:rPr>
        <w:t xml:space="preserve"> </w:t>
      </w:r>
      <w:r w:rsidR="004876F8">
        <w:rPr>
          <w:rFonts w:ascii="Times New Roman" w:hAnsi="Times New Roman" w:cs="Times New Roman"/>
          <w:sz w:val="24"/>
          <w:szCs w:val="24"/>
        </w:rPr>
        <w:t xml:space="preserve">2017. gadā </w:t>
      </w:r>
      <w:r w:rsidR="00890A6C" w:rsidRPr="00890A6C">
        <w:rPr>
          <w:rFonts w:ascii="Times New Roman" w:hAnsi="Times New Roman" w:cs="Times New Roman"/>
          <w:sz w:val="24"/>
          <w:szCs w:val="24"/>
        </w:rPr>
        <w:t>un darbības uzsākšanu sākot ar 2018. gada 1. janvāri</w:t>
      </w:r>
      <w:r w:rsidRPr="00A24FF5">
        <w:rPr>
          <w:rFonts w:ascii="Times New Roman" w:hAnsi="Times New Roman" w:cs="Times New Roman"/>
          <w:bCs/>
          <w:sz w:val="24"/>
          <w:szCs w:val="24"/>
        </w:rPr>
        <w:t xml:space="preserve">, </w:t>
      </w:r>
      <w:r>
        <w:rPr>
          <w:rFonts w:ascii="Times New Roman" w:hAnsi="Times New Roman" w:cs="Times New Roman"/>
          <w:bCs/>
          <w:sz w:val="24"/>
          <w:szCs w:val="24"/>
        </w:rPr>
        <w:t xml:space="preserve">būtu nepieciešams </w:t>
      </w:r>
      <w:r w:rsidRPr="00A24FF5">
        <w:rPr>
          <w:rFonts w:ascii="Times New Roman" w:hAnsi="Times New Roman" w:cs="Times New Roman"/>
          <w:bCs/>
          <w:sz w:val="24"/>
          <w:szCs w:val="24"/>
        </w:rPr>
        <w:t>sagatavot</w:t>
      </w:r>
      <w:r w:rsidR="004876F8">
        <w:rPr>
          <w:rFonts w:ascii="Times New Roman" w:hAnsi="Times New Roman" w:cs="Times New Roman"/>
          <w:bCs/>
          <w:sz w:val="24"/>
          <w:szCs w:val="24"/>
        </w:rPr>
        <w:t xml:space="preserve"> un līdz 2016. gada 1. maijam iesniegt Ministru kabinetā</w:t>
      </w:r>
      <w:r w:rsidRPr="00A24FF5">
        <w:rPr>
          <w:rFonts w:ascii="Times New Roman" w:hAnsi="Times New Roman" w:cs="Times New Roman"/>
          <w:bCs/>
          <w:sz w:val="24"/>
          <w:szCs w:val="24"/>
        </w:rPr>
        <w:t xml:space="preserve"> </w:t>
      </w:r>
      <w:r w:rsidR="00D300D4">
        <w:rPr>
          <w:rFonts w:ascii="Times New Roman" w:hAnsi="Times New Roman" w:cs="Times New Roman"/>
          <w:bCs/>
          <w:sz w:val="24"/>
          <w:szCs w:val="24"/>
        </w:rPr>
        <w:t>normatīvā akta projektu</w:t>
      </w:r>
      <w:r w:rsidRPr="00A24FF5">
        <w:rPr>
          <w:rFonts w:ascii="Times New Roman" w:hAnsi="Times New Roman" w:cs="Times New Roman"/>
          <w:bCs/>
          <w:sz w:val="24"/>
          <w:szCs w:val="24"/>
        </w:rPr>
        <w:t xml:space="preserve">, paredzot tajā </w:t>
      </w:r>
      <w:r w:rsidR="000869A3">
        <w:rPr>
          <w:rFonts w:ascii="Times New Roman" w:hAnsi="Times New Roman" w:cs="Times New Roman"/>
          <w:sz w:val="24"/>
          <w:szCs w:val="24"/>
        </w:rPr>
        <w:t>PTAC</w:t>
      </w:r>
      <w:r w:rsidRPr="00A24FF5">
        <w:rPr>
          <w:rFonts w:ascii="Times New Roman" w:hAnsi="Times New Roman" w:cs="Times New Roman"/>
          <w:sz w:val="24"/>
          <w:szCs w:val="24"/>
        </w:rPr>
        <w:t xml:space="preserve"> </w:t>
      </w:r>
      <w:r w:rsidRPr="00A24FF5">
        <w:rPr>
          <w:rFonts w:ascii="Times New Roman" w:hAnsi="Times New Roman" w:cs="Times New Roman"/>
          <w:bCs/>
          <w:sz w:val="24"/>
          <w:szCs w:val="24"/>
        </w:rPr>
        <w:t xml:space="preserve">pienākumu izveidot </w:t>
      </w:r>
      <w:r w:rsidRPr="00A24FF5">
        <w:rPr>
          <w:rFonts w:ascii="Times New Roman" w:hAnsi="Times New Roman" w:cs="Times New Roman"/>
          <w:sz w:val="24"/>
          <w:szCs w:val="24"/>
        </w:rPr>
        <w:t xml:space="preserve">salīdzinošo lapu vai rīku </w:t>
      </w:r>
      <w:r w:rsidRPr="00A24FF5">
        <w:rPr>
          <w:rFonts w:ascii="Times New Roman" w:hAnsi="Times New Roman" w:cs="Times New Roman"/>
          <w:bCs/>
          <w:sz w:val="24"/>
          <w:szCs w:val="24"/>
        </w:rPr>
        <w:t>un veikt tā uzturēšanu.</w:t>
      </w:r>
      <w:r w:rsidR="00D300D4">
        <w:rPr>
          <w:rFonts w:ascii="Times New Roman" w:hAnsi="Times New Roman" w:cs="Times New Roman"/>
          <w:bCs/>
          <w:sz w:val="24"/>
          <w:szCs w:val="24"/>
        </w:rPr>
        <w:t xml:space="preserve"> </w:t>
      </w:r>
      <w:r w:rsidR="00994A5A">
        <w:rPr>
          <w:rFonts w:ascii="Times New Roman" w:hAnsi="Times New Roman" w:cs="Times New Roman"/>
          <w:sz w:val="24"/>
          <w:szCs w:val="24"/>
        </w:rPr>
        <w:t>PTAC</w:t>
      </w:r>
      <w:r w:rsidR="00D300D4" w:rsidRPr="00D300D4">
        <w:rPr>
          <w:rFonts w:ascii="Times New Roman" w:hAnsi="Times New Roman" w:cs="Times New Roman"/>
          <w:sz w:val="24"/>
          <w:szCs w:val="24"/>
        </w:rPr>
        <w:t xml:space="preserve"> veic minēto uzdevumu, ja </w:t>
      </w:r>
      <w:r w:rsidR="00994A5A">
        <w:rPr>
          <w:rFonts w:ascii="Times New Roman" w:hAnsi="Times New Roman" w:cs="Times New Roman"/>
          <w:sz w:val="24"/>
          <w:szCs w:val="24"/>
        </w:rPr>
        <w:t>PTAC</w:t>
      </w:r>
      <w:r w:rsidR="00D300D4" w:rsidRPr="00D300D4">
        <w:rPr>
          <w:rFonts w:ascii="Times New Roman" w:hAnsi="Times New Roman" w:cs="Times New Roman"/>
          <w:sz w:val="24"/>
          <w:szCs w:val="24"/>
        </w:rPr>
        <w:t xml:space="preserve"> ir piešķirts papildu nepieciešamais valsts budžeta finansējums</w:t>
      </w:r>
      <w:r w:rsidR="00D300D4">
        <w:rPr>
          <w:rFonts w:ascii="Times New Roman" w:hAnsi="Times New Roman" w:cs="Times New Roman"/>
          <w:bCs/>
          <w:sz w:val="24"/>
          <w:szCs w:val="24"/>
        </w:rPr>
        <w:t>.</w:t>
      </w:r>
    </w:p>
    <w:p w14:paraId="6C5715EE" w14:textId="4D7B5FD7" w:rsidR="008D4198" w:rsidRPr="00924CA2" w:rsidRDefault="00EA7D8B" w:rsidP="00E5199A">
      <w:pPr>
        <w:pStyle w:val="BodyText"/>
        <w:spacing w:after="240"/>
      </w:pPr>
      <w:r>
        <w:rPr>
          <w:szCs w:val="28"/>
        </w:rPr>
        <w:t>Jautājums par</w:t>
      </w:r>
      <w:r>
        <w:rPr>
          <w:szCs w:val="28"/>
          <w:lang w:eastAsia="lv-LV"/>
        </w:rPr>
        <w:t xml:space="preserve"> </w:t>
      </w:r>
      <w:r>
        <w:rPr>
          <w:szCs w:val="28"/>
        </w:rPr>
        <w:t>PTAC</w:t>
      </w:r>
      <w:r>
        <w:t xml:space="preserve"> papildu </w:t>
      </w:r>
      <w:r w:rsidRPr="00193DF8">
        <w:t>nepieciešamo finansējumu</w:t>
      </w:r>
      <w:r w:rsidRPr="00C508F6">
        <w:t xml:space="preserve">, nepalielinot Ekonomikas ministrijas resora amata vietu kopējo skaitu, </w:t>
      </w:r>
      <w:r>
        <w:t xml:space="preserve">2017. gadam un turpmākajiem gadiem izskatāms Ministru kabinetā likumprojekta “Par valsts budžetu 2017. gadam” </w:t>
      </w:r>
      <w:r w:rsidRPr="00E0534F">
        <w:rPr>
          <w:szCs w:val="28"/>
        </w:rPr>
        <w:t xml:space="preserve">un likumprojekta "Par vidēja termiņa budžeta ietvaru 2017., 2018. un 2019.gadam" </w:t>
      </w:r>
      <w:r>
        <w:t>sagatavošanas un izskatīšanas procesā kopā ar visu ministriju un citu centrālo valsts iestāžu priekšlikumiem jaunajām politikas iniciatīvām, ievērojot valsts budžeta finansiālās iespējas</w:t>
      </w:r>
      <w:r w:rsidR="002F5A9E">
        <w:t>.</w:t>
      </w:r>
      <w:r w:rsidR="002F5A9E" w:rsidRPr="00193DF8">
        <w:t xml:space="preserve"> </w:t>
      </w:r>
    </w:p>
    <w:p w14:paraId="1102C9DE" w14:textId="304BADBA" w:rsidR="00782867" w:rsidRPr="00A917E4" w:rsidRDefault="00782867" w:rsidP="00782867">
      <w:pPr>
        <w:pStyle w:val="NormalWeb"/>
        <w:tabs>
          <w:tab w:val="left" w:pos="6521"/>
        </w:tabs>
        <w:spacing w:before="0" w:beforeAutospacing="0" w:after="0" w:afterAutospacing="0"/>
        <w:ind w:left="540" w:hanging="540"/>
      </w:pPr>
      <w:r w:rsidRPr="00A917E4">
        <w:t xml:space="preserve">Finanšu ministre                                                                                </w:t>
      </w:r>
      <w:r>
        <w:t xml:space="preserve">                 </w:t>
      </w:r>
      <w:r w:rsidRPr="00A917E4">
        <w:rPr>
          <w:color w:val="000000"/>
        </w:rPr>
        <w:t>D. Reizniece-Ozola</w:t>
      </w:r>
    </w:p>
    <w:p w14:paraId="33070B5D" w14:textId="77777777" w:rsidR="00782867" w:rsidRPr="00A917E4" w:rsidRDefault="00782867" w:rsidP="00782867">
      <w:pPr>
        <w:pStyle w:val="NormalWeb"/>
        <w:tabs>
          <w:tab w:val="left" w:pos="6521"/>
        </w:tabs>
        <w:spacing w:before="0" w:beforeAutospacing="0" w:after="0" w:afterAutospacing="0"/>
        <w:ind w:left="540" w:hanging="540"/>
      </w:pPr>
    </w:p>
    <w:p w14:paraId="63F138C8" w14:textId="002363CA" w:rsidR="00781124" w:rsidRPr="00924CA2" w:rsidRDefault="00781124" w:rsidP="00E20B0E">
      <w:pPr>
        <w:spacing w:after="0" w:line="240" w:lineRule="auto"/>
        <w:jc w:val="both"/>
        <w:rPr>
          <w:rFonts w:ascii="Times New Roman" w:hAnsi="Times New Roman" w:cs="Times New Roman"/>
          <w:sz w:val="24"/>
          <w:szCs w:val="24"/>
        </w:rPr>
      </w:pPr>
    </w:p>
    <w:p w14:paraId="381C2B18" w14:textId="77777777" w:rsidR="001D5524" w:rsidRPr="00924CA2" w:rsidRDefault="001D5524" w:rsidP="00097E4F">
      <w:pPr>
        <w:pStyle w:val="Default"/>
        <w:ind w:firstLine="709"/>
        <w:jc w:val="both"/>
        <w:rPr>
          <w:color w:val="auto"/>
        </w:rPr>
      </w:pPr>
    </w:p>
    <w:p w14:paraId="2BAE1AC7" w14:textId="0C71D925" w:rsidR="00781124" w:rsidRPr="00A24FF5" w:rsidRDefault="00597F06" w:rsidP="00781124">
      <w:pPr>
        <w:pStyle w:val="Default"/>
        <w:jc w:val="both"/>
        <w:rPr>
          <w:color w:val="auto"/>
          <w:sz w:val="20"/>
          <w:szCs w:val="20"/>
        </w:rPr>
      </w:pPr>
      <w:r>
        <w:rPr>
          <w:color w:val="auto"/>
          <w:sz w:val="20"/>
          <w:szCs w:val="20"/>
        </w:rPr>
        <w:t>09</w:t>
      </w:r>
      <w:r w:rsidR="0069611C" w:rsidRPr="00A24FF5">
        <w:rPr>
          <w:color w:val="auto"/>
          <w:sz w:val="20"/>
          <w:szCs w:val="20"/>
        </w:rPr>
        <w:t>.</w:t>
      </w:r>
      <w:r w:rsidR="00EA7D8B">
        <w:rPr>
          <w:color w:val="auto"/>
          <w:sz w:val="20"/>
          <w:szCs w:val="20"/>
        </w:rPr>
        <w:t>0</w:t>
      </w:r>
      <w:r>
        <w:rPr>
          <w:color w:val="auto"/>
          <w:sz w:val="20"/>
          <w:szCs w:val="20"/>
        </w:rPr>
        <w:t>3</w:t>
      </w:r>
      <w:r w:rsidR="00781124" w:rsidRPr="00A24FF5">
        <w:rPr>
          <w:color w:val="auto"/>
          <w:sz w:val="20"/>
          <w:szCs w:val="20"/>
        </w:rPr>
        <w:t>.</w:t>
      </w:r>
      <w:r w:rsidR="00EA7D8B">
        <w:rPr>
          <w:color w:val="auto"/>
          <w:sz w:val="20"/>
          <w:szCs w:val="20"/>
        </w:rPr>
        <w:t>2016</w:t>
      </w:r>
      <w:r w:rsidR="00781124" w:rsidRPr="00A24FF5">
        <w:rPr>
          <w:color w:val="auto"/>
          <w:sz w:val="20"/>
          <w:szCs w:val="20"/>
        </w:rPr>
        <w:t xml:space="preserve">. </w:t>
      </w:r>
      <w:r w:rsidR="0044405A" w:rsidRPr="00A24FF5">
        <w:rPr>
          <w:color w:val="auto"/>
          <w:sz w:val="20"/>
          <w:szCs w:val="20"/>
        </w:rPr>
        <w:t>1</w:t>
      </w:r>
      <w:r w:rsidR="009E0026" w:rsidRPr="00A24FF5">
        <w:rPr>
          <w:color w:val="auto"/>
          <w:sz w:val="20"/>
          <w:szCs w:val="20"/>
        </w:rPr>
        <w:t>2</w:t>
      </w:r>
      <w:r w:rsidR="0044405A" w:rsidRPr="00A24FF5">
        <w:rPr>
          <w:color w:val="auto"/>
          <w:sz w:val="20"/>
          <w:szCs w:val="20"/>
        </w:rPr>
        <w:t>:00</w:t>
      </w:r>
    </w:p>
    <w:p w14:paraId="5145FCB7" w14:textId="591A1690" w:rsidR="00781124" w:rsidRPr="00A24FF5" w:rsidRDefault="00782867" w:rsidP="00A24FF5">
      <w:pPr>
        <w:pStyle w:val="Default"/>
        <w:tabs>
          <w:tab w:val="left" w:pos="3525"/>
        </w:tabs>
        <w:jc w:val="both"/>
        <w:rPr>
          <w:color w:val="auto"/>
          <w:sz w:val="20"/>
          <w:szCs w:val="20"/>
        </w:rPr>
      </w:pPr>
      <w:r>
        <w:rPr>
          <w:color w:val="auto"/>
          <w:sz w:val="20"/>
          <w:szCs w:val="20"/>
        </w:rPr>
        <w:t>1997</w:t>
      </w:r>
      <w:r w:rsidR="00143FA3">
        <w:rPr>
          <w:color w:val="auto"/>
          <w:sz w:val="20"/>
          <w:szCs w:val="20"/>
        </w:rPr>
        <w:tab/>
      </w:r>
    </w:p>
    <w:p w14:paraId="04FCC9B5" w14:textId="55F672BD" w:rsidR="00781124" w:rsidRPr="00A24FF5" w:rsidRDefault="00910356" w:rsidP="00781124">
      <w:pPr>
        <w:pStyle w:val="Default"/>
        <w:jc w:val="both"/>
        <w:rPr>
          <w:color w:val="auto"/>
          <w:sz w:val="20"/>
          <w:szCs w:val="20"/>
        </w:rPr>
      </w:pPr>
      <w:proofErr w:type="spellStart"/>
      <w:r w:rsidRPr="00A24FF5">
        <w:rPr>
          <w:color w:val="auto"/>
          <w:sz w:val="20"/>
          <w:szCs w:val="20"/>
        </w:rPr>
        <w:t>I</w:t>
      </w:r>
      <w:r w:rsidR="00781124" w:rsidRPr="00A24FF5">
        <w:rPr>
          <w:color w:val="auto"/>
          <w:sz w:val="20"/>
          <w:szCs w:val="20"/>
        </w:rPr>
        <w:t>.</w:t>
      </w:r>
      <w:r w:rsidRPr="00A24FF5">
        <w:rPr>
          <w:color w:val="auto"/>
          <w:sz w:val="20"/>
          <w:szCs w:val="20"/>
        </w:rPr>
        <w:t>Repše</w:t>
      </w:r>
      <w:proofErr w:type="spellEnd"/>
    </w:p>
    <w:p w14:paraId="70D2D455" w14:textId="54F4ACE4" w:rsidR="006B5ED4" w:rsidRPr="00924CA2" w:rsidRDefault="00781124" w:rsidP="0065337F">
      <w:pPr>
        <w:pStyle w:val="Default"/>
        <w:jc w:val="both"/>
        <w:rPr>
          <w:color w:val="auto"/>
          <w:sz w:val="20"/>
          <w:szCs w:val="20"/>
        </w:rPr>
      </w:pPr>
      <w:r w:rsidRPr="00A24FF5">
        <w:rPr>
          <w:color w:val="auto"/>
          <w:sz w:val="20"/>
          <w:szCs w:val="20"/>
        </w:rPr>
        <w:t>67</w:t>
      </w:r>
      <w:r w:rsidR="00E20B0E">
        <w:rPr>
          <w:color w:val="auto"/>
          <w:sz w:val="20"/>
          <w:szCs w:val="20"/>
        </w:rPr>
        <w:t>095490</w:t>
      </w:r>
      <w:r w:rsidR="0065337F" w:rsidRPr="00A24FF5">
        <w:rPr>
          <w:color w:val="auto"/>
          <w:sz w:val="20"/>
          <w:szCs w:val="20"/>
        </w:rPr>
        <w:t xml:space="preserve">, </w:t>
      </w:r>
      <w:r w:rsidR="00E20B0E">
        <w:rPr>
          <w:color w:val="auto"/>
          <w:sz w:val="20"/>
          <w:szCs w:val="20"/>
        </w:rPr>
        <w:t>inta</w:t>
      </w:r>
      <w:r w:rsidR="0065337F" w:rsidRPr="00A24FF5">
        <w:rPr>
          <w:color w:val="auto"/>
          <w:sz w:val="20"/>
          <w:szCs w:val="20"/>
        </w:rPr>
        <w:t>.</w:t>
      </w:r>
      <w:r w:rsidR="00E20B0E">
        <w:rPr>
          <w:color w:val="auto"/>
          <w:sz w:val="20"/>
          <w:szCs w:val="20"/>
        </w:rPr>
        <w:t>repse</w:t>
      </w:r>
      <w:r w:rsidR="0065337F" w:rsidRPr="00A24FF5">
        <w:rPr>
          <w:color w:val="auto"/>
          <w:sz w:val="20"/>
          <w:szCs w:val="20"/>
        </w:rPr>
        <w:t>@fm.gov.lv</w:t>
      </w:r>
    </w:p>
    <w:sectPr w:rsidR="006B5ED4" w:rsidRPr="00924CA2" w:rsidSect="004D14DF">
      <w:headerReference w:type="default" r:id="rId9"/>
      <w:footerReference w:type="default" r:id="rId10"/>
      <w:footerReference w:type="first" r:id="rId11"/>
      <w:pgSz w:w="11906" w:h="16838"/>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B99AB" w14:textId="77777777" w:rsidR="00513D77" w:rsidRDefault="00513D77" w:rsidP="006D2104">
      <w:pPr>
        <w:spacing w:after="0" w:line="240" w:lineRule="auto"/>
      </w:pPr>
      <w:r>
        <w:separator/>
      </w:r>
    </w:p>
  </w:endnote>
  <w:endnote w:type="continuationSeparator" w:id="0">
    <w:p w14:paraId="4E76E30B" w14:textId="77777777" w:rsidR="00513D77" w:rsidRDefault="00513D77" w:rsidP="006D2104">
      <w:pPr>
        <w:spacing w:after="0" w:line="240" w:lineRule="auto"/>
      </w:pPr>
      <w:r>
        <w:continuationSeparator/>
      </w:r>
    </w:p>
  </w:endnote>
  <w:endnote w:type="continuationNotice" w:id="1">
    <w:p w14:paraId="140E06DE" w14:textId="77777777" w:rsidR="00F25E6D" w:rsidRDefault="00F25E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0528" w14:textId="60E7812B" w:rsidR="00143FA3" w:rsidRPr="00781124" w:rsidRDefault="00143FA3" w:rsidP="00143FA3">
    <w:pPr>
      <w:pStyle w:val="Footer"/>
      <w:jc w:val="both"/>
      <w:rPr>
        <w:rFonts w:ascii="Times New Roman" w:hAnsi="Times New Roman" w:cs="Times New Roman"/>
      </w:rPr>
    </w:pPr>
    <w:r w:rsidRPr="00781124">
      <w:rPr>
        <w:rFonts w:ascii="Times New Roman" w:hAnsi="Times New Roman" w:cs="Times New Roman"/>
      </w:rPr>
      <w:t>FMZino_</w:t>
    </w:r>
    <w:r w:rsidR="00597F06">
      <w:rPr>
        <w:rFonts w:ascii="Times New Roman" w:hAnsi="Times New Roman" w:cs="Times New Roman"/>
      </w:rPr>
      <w:t>090316</w:t>
    </w:r>
    <w:r w:rsidRPr="009A4E2E">
      <w:rPr>
        <w:rFonts w:ascii="Times New Roman" w:hAnsi="Times New Roman" w:cs="Times New Roman"/>
      </w:rPr>
      <w:t>_</w:t>
    </w:r>
    <w:r w:rsidR="00014835">
      <w:rPr>
        <w:rFonts w:ascii="Times New Roman" w:hAnsi="Times New Roman" w:cs="Times New Roman"/>
      </w:rPr>
      <w:t>Tarifi</w:t>
    </w:r>
    <w:r w:rsidRPr="009A4E2E">
      <w:rPr>
        <w:rFonts w:ascii="Times New Roman" w:hAnsi="Times New Roman" w:cs="Times New Roman"/>
      </w:rPr>
      <w:t xml:space="preserve">; Informatīvais ziņojums “Par </w:t>
    </w:r>
    <w:r>
      <w:rPr>
        <w:rFonts w:ascii="Times New Roman" w:hAnsi="Times New Roman" w:cs="Times New Roman"/>
      </w:rPr>
      <w:t>tarifu, kas saistīti ar maksājumu kontu, salīdzināšanas mehānisma izstrādi"</w:t>
    </w:r>
  </w:p>
  <w:p w14:paraId="0E373A70" w14:textId="3142D142" w:rsidR="002D7291" w:rsidRPr="009A4E2E" w:rsidRDefault="002D7291" w:rsidP="00850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C7C0B" w14:textId="10EA3E83" w:rsidR="002D7291" w:rsidRPr="00781124" w:rsidRDefault="002D7291" w:rsidP="00781124">
    <w:pPr>
      <w:pStyle w:val="Footer"/>
      <w:jc w:val="both"/>
      <w:rPr>
        <w:rFonts w:ascii="Times New Roman" w:hAnsi="Times New Roman" w:cs="Times New Roman"/>
      </w:rPr>
    </w:pPr>
    <w:r w:rsidRPr="00781124">
      <w:rPr>
        <w:rFonts w:ascii="Times New Roman" w:hAnsi="Times New Roman" w:cs="Times New Roman"/>
      </w:rPr>
      <w:t>FMZino_</w:t>
    </w:r>
    <w:r>
      <w:rPr>
        <w:rFonts w:ascii="Times New Roman" w:hAnsi="Times New Roman" w:cs="Times New Roman"/>
      </w:rPr>
      <w:t>0</w:t>
    </w:r>
    <w:r w:rsidR="00143FA3">
      <w:rPr>
        <w:rFonts w:ascii="Times New Roman" w:hAnsi="Times New Roman" w:cs="Times New Roman"/>
      </w:rPr>
      <w:t>9</w:t>
    </w:r>
    <w:r w:rsidR="00597F06">
      <w:rPr>
        <w:rFonts w:ascii="Times New Roman" w:hAnsi="Times New Roman" w:cs="Times New Roman"/>
      </w:rPr>
      <w:t>0316</w:t>
    </w:r>
    <w:r w:rsidRPr="009A4E2E">
      <w:rPr>
        <w:rFonts w:ascii="Times New Roman" w:hAnsi="Times New Roman" w:cs="Times New Roman"/>
      </w:rPr>
      <w:t>_</w:t>
    </w:r>
    <w:r w:rsidR="00014835">
      <w:rPr>
        <w:rFonts w:ascii="Times New Roman" w:hAnsi="Times New Roman" w:cs="Times New Roman"/>
      </w:rPr>
      <w:t>Tarifi</w:t>
    </w:r>
    <w:r w:rsidRPr="009A4E2E">
      <w:rPr>
        <w:rFonts w:ascii="Times New Roman" w:hAnsi="Times New Roman" w:cs="Times New Roman"/>
      </w:rPr>
      <w:t xml:space="preserve">; Informatīvais ziņojums “Par </w:t>
    </w:r>
    <w:r>
      <w:rPr>
        <w:rFonts w:ascii="Times New Roman" w:hAnsi="Times New Roman" w:cs="Times New Roman"/>
      </w:rPr>
      <w:t>tarifu, kas saistīti ar maksājumu kontu, salīdzināšanas mehānisma izstrādi"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E0385" w14:textId="77777777" w:rsidR="00513D77" w:rsidRDefault="00513D77" w:rsidP="006D2104">
      <w:pPr>
        <w:spacing w:after="0" w:line="240" w:lineRule="auto"/>
      </w:pPr>
      <w:r>
        <w:separator/>
      </w:r>
    </w:p>
  </w:footnote>
  <w:footnote w:type="continuationSeparator" w:id="0">
    <w:p w14:paraId="445CA363" w14:textId="77777777" w:rsidR="00513D77" w:rsidRDefault="00513D77" w:rsidP="006D2104">
      <w:pPr>
        <w:spacing w:after="0" w:line="240" w:lineRule="auto"/>
      </w:pPr>
      <w:r>
        <w:continuationSeparator/>
      </w:r>
    </w:p>
  </w:footnote>
  <w:footnote w:type="continuationNotice" w:id="1">
    <w:p w14:paraId="6B0A1AC7" w14:textId="77777777" w:rsidR="00F25E6D" w:rsidRDefault="00F25E6D">
      <w:pPr>
        <w:spacing w:after="0" w:line="240" w:lineRule="auto"/>
      </w:pPr>
    </w:p>
  </w:footnote>
  <w:footnote w:id="2">
    <w:p w14:paraId="51CF9730" w14:textId="77777777" w:rsidR="002D7291" w:rsidRPr="00A24FF5" w:rsidRDefault="002D7291" w:rsidP="00865F1E">
      <w:pPr>
        <w:pStyle w:val="FootnoteText"/>
        <w:rPr>
          <w:rFonts w:ascii="Times New Roman" w:hAnsi="Times New Roman" w:cs="Times New Roman"/>
        </w:rPr>
      </w:pPr>
      <w:r w:rsidRPr="00A24FF5">
        <w:rPr>
          <w:rStyle w:val="FootnoteReference"/>
          <w:rFonts w:ascii="Times New Roman" w:hAnsi="Times New Roman" w:cs="Times New Roman"/>
        </w:rPr>
        <w:footnoteRef/>
      </w:r>
      <w:r w:rsidRPr="00A24FF5">
        <w:rPr>
          <w:rFonts w:ascii="Times New Roman" w:hAnsi="Times New Roman" w:cs="Times New Roman"/>
        </w:rPr>
        <w:t xml:space="preserve"> http://eur-lex.europa.eu/legal-content/LV/TXT/?uri=CELEX:32014L0092. </w:t>
      </w:r>
    </w:p>
  </w:footnote>
  <w:footnote w:id="3">
    <w:p w14:paraId="23E7FC88" w14:textId="77777777" w:rsidR="002D7291" w:rsidRPr="00A24FF5" w:rsidRDefault="002D7291">
      <w:pPr>
        <w:pStyle w:val="FootnoteText"/>
        <w:rPr>
          <w:rFonts w:ascii="Times New Roman" w:hAnsi="Times New Roman" w:cs="Times New Roman"/>
        </w:rPr>
      </w:pPr>
      <w:r w:rsidRPr="00A24FF5">
        <w:rPr>
          <w:rStyle w:val="FootnoteReference"/>
          <w:rFonts w:ascii="Times New Roman" w:hAnsi="Times New Roman" w:cs="Times New Roman"/>
        </w:rPr>
        <w:footnoteRef/>
      </w:r>
      <w:r w:rsidRPr="00A24FF5">
        <w:rPr>
          <w:rFonts w:ascii="Times New Roman" w:hAnsi="Times New Roman" w:cs="Times New Roman"/>
        </w:rPr>
        <w:t xml:space="preserve"> Direktīvas 29.panta otrās daļas "b" apakšpunkts</w:t>
      </w:r>
    </w:p>
  </w:footnote>
  <w:footnote w:id="4">
    <w:p w14:paraId="15CFBD0F" w14:textId="77777777" w:rsidR="002D7291" w:rsidRDefault="002D7291">
      <w:pPr>
        <w:pStyle w:val="FootnoteText"/>
      </w:pPr>
      <w:r w:rsidRPr="00A24FF5">
        <w:rPr>
          <w:rStyle w:val="FootnoteReference"/>
          <w:rFonts w:ascii="Times New Roman" w:hAnsi="Times New Roman" w:cs="Times New Roman"/>
        </w:rPr>
        <w:footnoteRef/>
      </w:r>
      <w:r w:rsidRPr="00A24FF5">
        <w:rPr>
          <w:rFonts w:ascii="Times New Roman" w:hAnsi="Times New Roman" w:cs="Times New Roman"/>
        </w:rPr>
        <w:t xml:space="preserve"> Direktīvas preambulas 23.punkts.</w:t>
      </w:r>
    </w:p>
  </w:footnote>
  <w:footnote w:id="5">
    <w:p w14:paraId="5D949F25" w14:textId="77777777" w:rsidR="002D7291" w:rsidRPr="00A24FF5" w:rsidRDefault="002D7291">
      <w:pPr>
        <w:pStyle w:val="FootnoteText"/>
        <w:rPr>
          <w:rFonts w:ascii="Times New Roman" w:hAnsi="Times New Roman" w:cs="Times New Roman"/>
        </w:rPr>
      </w:pPr>
      <w:r w:rsidRPr="00A24FF5">
        <w:rPr>
          <w:rStyle w:val="FootnoteReference"/>
          <w:rFonts w:ascii="Times New Roman" w:hAnsi="Times New Roman" w:cs="Times New Roman"/>
        </w:rPr>
        <w:footnoteRef/>
      </w:r>
      <w:r w:rsidRPr="00A24FF5">
        <w:rPr>
          <w:rFonts w:ascii="Times New Roman" w:hAnsi="Times New Roman" w:cs="Times New Roman"/>
        </w:rPr>
        <w:t xml:space="preserve"> https://www.ltab.lv/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594038"/>
      <w:docPartObj>
        <w:docPartGallery w:val="Page Numbers (Top of Page)"/>
        <w:docPartUnique/>
      </w:docPartObj>
    </w:sdtPr>
    <w:sdtEndPr>
      <w:rPr>
        <w:noProof/>
      </w:rPr>
    </w:sdtEndPr>
    <w:sdtContent>
      <w:p w14:paraId="53B6075D" w14:textId="77777777" w:rsidR="002D7291" w:rsidRDefault="00FF4AA2">
        <w:pPr>
          <w:pStyle w:val="Header"/>
          <w:jc w:val="center"/>
        </w:pPr>
        <w:r>
          <w:fldChar w:fldCharType="begin"/>
        </w:r>
        <w:r w:rsidR="007E639F">
          <w:instrText xml:space="preserve"> PAGE   \* MERGEFORMAT </w:instrText>
        </w:r>
        <w:r>
          <w:fldChar w:fldCharType="separate"/>
        </w:r>
        <w:r w:rsidR="002C2399">
          <w:rPr>
            <w:noProof/>
          </w:rPr>
          <w:t>5</w:t>
        </w:r>
        <w:r>
          <w:rPr>
            <w:noProof/>
          </w:rPr>
          <w:fldChar w:fldCharType="end"/>
        </w:r>
      </w:p>
    </w:sdtContent>
  </w:sdt>
  <w:p w14:paraId="094551EE" w14:textId="77777777" w:rsidR="002D7291" w:rsidRDefault="002D7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3E0"/>
    <w:multiLevelType w:val="hybridMultilevel"/>
    <w:tmpl w:val="D5A0F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4B7B9F"/>
    <w:multiLevelType w:val="hybridMultilevel"/>
    <w:tmpl w:val="E4C4DB6C"/>
    <w:lvl w:ilvl="0" w:tplc="8662E01A">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03F61CB3"/>
    <w:multiLevelType w:val="hybridMultilevel"/>
    <w:tmpl w:val="365239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F0F8D"/>
    <w:multiLevelType w:val="hybridMultilevel"/>
    <w:tmpl w:val="5D24BBD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D777F"/>
    <w:multiLevelType w:val="hybridMultilevel"/>
    <w:tmpl w:val="2A7C48E4"/>
    <w:lvl w:ilvl="0" w:tplc="031CA7B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098604A8"/>
    <w:multiLevelType w:val="hybridMultilevel"/>
    <w:tmpl w:val="1F7AEC0A"/>
    <w:lvl w:ilvl="0" w:tplc="F570766A">
      <w:start w:val="2"/>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111F7B22"/>
    <w:multiLevelType w:val="hybridMultilevel"/>
    <w:tmpl w:val="396EB710"/>
    <w:lvl w:ilvl="0" w:tplc="281E554E">
      <w:numFmt w:val="bullet"/>
      <w:lvlText w:val="-"/>
      <w:lvlJc w:val="left"/>
      <w:pPr>
        <w:ind w:left="2869" w:hanging="360"/>
      </w:pPr>
      <w:rPr>
        <w:rFonts w:ascii="Times New Roman" w:eastAsiaTheme="minorHAnsi" w:hAnsi="Times New Roman" w:cs="Times New Roman" w:hint="default"/>
      </w:rPr>
    </w:lvl>
    <w:lvl w:ilvl="1" w:tplc="04260003" w:tentative="1">
      <w:start w:val="1"/>
      <w:numFmt w:val="bullet"/>
      <w:lvlText w:val="o"/>
      <w:lvlJc w:val="left"/>
      <w:pPr>
        <w:ind w:left="3589" w:hanging="360"/>
      </w:pPr>
      <w:rPr>
        <w:rFonts w:ascii="Courier New" w:hAnsi="Courier New" w:cs="Courier New" w:hint="default"/>
      </w:rPr>
    </w:lvl>
    <w:lvl w:ilvl="2" w:tplc="04260005" w:tentative="1">
      <w:start w:val="1"/>
      <w:numFmt w:val="bullet"/>
      <w:lvlText w:val=""/>
      <w:lvlJc w:val="left"/>
      <w:pPr>
        <w:ind w:left="4309" w:hanging="360"/>
      </w:pPr>
      <w:rPr>
        <w:rFonts w:ascii="Wingdings" w:hAnsi="Wingdings" w:hint="default"/>
      </w:rPr>
    </w:lvl>
    <w:lvl w:ilvl="3" w:tplc="04260001" w:tentative="1">
      <w:start w:val="1"/>
      <w:numFmt w:val="bullet"/>
      <w:lvlText w:val=""/>
      <w:lvlJc w:val="left"/>
      <w:pPr>
        <w:ind w:left="5029" w:hanging="360"/>
      </w:pPr>
      <w:rPr>
        <w:rFonts w:ascii="Symbol" w:hAnsi="Symbol" w:hint="default"/>
      </w:rPr>
    </w:lvl>
    <w:lvl w:ilvl="4" w:tplc="04260003" w:tentative="1">
      <w:start w:val="1"/>
      <w:numFmt w:val="bullet"/>
      <w:lvlText w:val="o"/>
      <w:lvlJc w:val="left"/>
      <w:pPr>
        <w:ind w:left="5749" w:hanging="360"/>
      </w:pPr>
      <w:rPr>
        <w:rFonts w:ascii="Courier New" w:hAnsi="Courier New" w:cs="Courier New" w:hint="default"/>
      </w:rPr>
    </w:lvl>
    <w:lvl w:ilvl="5" w:tplc="04260005" w:tentative="1">
      <w:start w:val="1"/>
      <w:numFmt w:val="bullet"/>
      <w:lvlText w:val=""/>
      <w:lvlJc w:val="left"/>
      <w:pPr>
        <w:ind w:left="6469" w:hanging="360"/>
      </w:pPr>
      <w:rPr>
        <w:rFonts w:ascii="Wingdings" w:hAnsi="Wingdings" w:hint="default"/>
      </w:rPr>
    </w:lvl>
    <w:lvl w:ilvl="6" w:tplc="04260001" w:tentative="1">
      <w:start w:val="1"/>
      <w:numFmt w:val="bullet"/>
      <w:lvlText w:val=""/>
      <w:lvlJc w:val="left"/>
      <w:pPr>
        <w:ind w:left="7189" w:hanging="360"/>
      </w:pPr>
      <w:rPr>
        <w:rFonts w:ascii="Symbol" w:hAnsi="Symbol" w:hint="default"/>
      </w:rPr>
    </w:lvl>
    <w:lvl w:ilvl="7" w:tplc="04260003" w:tentative="1">
      <w:start w:val="1"/>
      <w:numFmt w:val="bullet"/>
      <w:lvlText w:val="o"/>
      <w:lvlJc w:val="left"/>
      <w:pPr>
        <w:ind w:left="7909" w:hanging="360"/>
      </w:pPr>
      <w:rPr>
        <w:rFonts w:ascii="Courier New" w:hAnsi="Courier New" w:cs="Courier New" w:hint="default"/>
      </w:rPr>
    </w:lvl>
    <w:lvl w:ilvl="8" w:tplc="04260005" w:tentative="1">
      <w:start w:val="1"/>
      <w:numFmt w:val="bullet"/>
      <w:lvlText w:val=""/>
      <w:lvlJc w:val="left"/>
      <w:pPr>
        <w:ind w:left="8629" w:hanging="360"/>
      </w:pPr>
      <w:rPr>
        <w:rFonts w:ascii="Wingdings" w:hAnsi="Wingdings" w:hint="default"/>
      </w:rPr>
    </w:lvl>
  </w:abstractNum>
  <w:abstractNum w:abstractNumId="7" w15:restartNumberingAfterBreak="0">
    <w:nsid w:val="140244C2"/>
    <w:multiLevelType w:val="hybridMultilevel"/>
    <w:tmpl w:val="3BCC6B60"/>
    <w:lvl w:ilvl="0" w:tplc="A5E253A4">
      <w:start w:val="2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AC1DD3"/>
    <w:multiLevelType w:val="hybridMultilevel"/>
    <w:tmpl w:val="AB5EB5CA"/>
    <w:lvl w:ilvl="0" w:tplc="32508B34">
      <w:start w:val="2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5A00C5"/>
    <w:multiLevelType w:val="hybridMultilevel"/>
    <w:tmpl w:val="D8CCC342"/>
    <w:lvl w:ilvl="0" w:tplc="E8605172">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0" w15:restartNumberingAfterBreak="0">
    <w:nsid w:val="1BD97E10"/>
    <w:multiLevelType w:val="hybridMultilevel"/>
    <w:tmpl w:val="5CFA524E"/>
    <w:lvl w:ilvl="0" w:tplc="C8F63D1A">
      <w:start w:val="15"/>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22BD6080"/>
    <w:multiLevelType w:val="multilevel"/>
    <w:tmpl w:val="F8D82E46"/>
    <w:lvl w:ilvl="0">
      <w:start w:val="1"/>
      <w:numFmt w:val="decimal"/>
      <w:lvlText w:val="%1."/>
      <w:lvlJc w:val="left"/>
      <w:pPr>
        <w:ind w:left="786" w:hanging="360"/>
      </w:pPr>
      <w:rPr>
        <w:rFonts w:hint="default"/>
      </w:rPr>
    </w:lvl>
    <w:lvl w:ilvl="1">
      <w:start w:val="1"/>
      <w:numFmt w:val="decimal"/>
      <w:isLgl/>
      <w:lvlText w:val="%1.%2."/>
      <w:lvlJc w:val="left"/>
      <w:pPr>
        <w:ind w:left="122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12" w15:restartNumberingAfterBreak="0">
    <w:nsid w:val="269E3CF4"/>
    <w:multiLevelType w:val="hybridMultilevel"/>
    <w:tmpl w:val="C3040142"/>
    <w:lvl w:ilvl="0" w:tplc="DF24234E">
      <w:start w:val="2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2D14B4C"/>
    <w:multiLevelType w:val="hybridMultilevel"/>
    <w:tmpl w:val="FBBE2C60"/>
    <w:lvl w:ilvl="0" w:tplc="29D4F42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396C35F5"/>
    <w:multiLevelType w:val="hybridMultilevel"/>
    <w:tmpl w:val="622A6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A84237"/>
    <w:multiLevelType w:val="hybridMultilevel"/>
    <w:tmpl w:val="7B421114"/>
    <w:lvl w:ilvl="0" w:tplc="7E66A8B8">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6" w15:restartNumberingAfterBreak="0">
    <w:nsid w:val="481A61C1"/>
    <w:multiLevelType w:val="hybridMultilevel"/>
    <w:tmpl w:val="B4DE3E0E"/>
    <w:lvl w:ilvl="0" w:tplc="97C60666">
      <w:start w:val="1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4B542AA1"/>
    <w:multiLevelType w:val="hybridMultilevel"/>
    <w:tmpl w:val="786EB27E"/>
    <w:lvl w:ilvl="0" w:tplc="1890B3D8">
      <w:start w:val="11"/>
      <w:numFmt w:val="decimal"/>
      <w:lvlText w:val="%1."/>
      <w:lvlJc w:val="left"/>
      <w:pPr>
        <w:ind w:left="786" w:hanging="360"/>
      </w:pPr>
      <w:rPr>
        <w:rFonts w:hint="default"/>
        <w:i/>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D1C7827"/>
    <w:multiLevelType w:val="hybridMultilevel"/>
    <w:tmpl w:val="FE92ABE8"/>
    <w:lvl w:ilvl="0" w:tplc="1890B3D8">
      <w:start w:val="11"/>
      <w:numFmt w:val="decimal"/>
      <w:lvlText w:val="%1."/>
      <w:lvlJc w:val="left"/>
      <w:pPr>
        <w:ind w:left="720" w:hanging="360"/>
      </w:pPr>
      <w:rPr>
        <w:rFonts w:hint="default"/>
        <w:i/>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926752"/>
    <w:multiLevelType w:val="hybridMultilevel"/>
    <w:tmpl w:val="E87C9748"/>
    <w:lvl w:ilvl="0" w:tplc="E5C69E7E">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20" w15:restartNumberingAfterBreak="0">
    <w:nsid w:val="4FAD552F"/>
    <w:multiLevelType w:val="hybridMultilevel"/>
    <w:tmpl w:val="E996B256"/>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6576EA"/>
    <w:multiLevelType w:val="hybridMultilevel"/>
    <w:tmpl w:val="40BE14FE"/>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F47858"/>
    <w:multiLevelType w:val="hybridMultilevel"/>
    <w:tmpl w:val="37C623F4"/>
    <w:lvl w:ilvl="0" w:tplc="2BA60B5C">
      <w:start w:val="13"/>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3" w15:restartNumberingAfterBreak="0">
    <w:nsid w:val="691C2278"/>
    <w:multiLevelType w:val="hybridMultilevel"/>
    <w:tmpl w:val="D98097D6"/>
    <w:lvl w:ilvl="0" w:tplc="684823C6">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24" w15:restartNumberingAfterBreak="0">
    <w:nsid w:val="6C4B53D3"/>
    <w:multiLevelType w:val="multilevel"/>
    <w:tmpl w:val="3A1CC9BE"/>
    <w:lvl w:ilvl="0">
      <w:start w:val="1"/>
      <w:numFmt w:val="decimal"/>
      <w:lvlText w:val="%1"/>
      <w:lvlJc w:val="left"/>
      <w:pPr>
        <w:ind w:left="360" w:hanging="360"/>
      </w:pPr>
      <w:rPr>
        <w:rFonts w:hint="default"/>
        <w:i/>
      </w:rPr>
    </w:lvl>
    <w:lvl w:ilvl="1">
      <w:start w:val="1"/>
      <w:numFmt w:val="decimal"/>
      <w:lvlText w:val="%1.%2"/>
      <w:lvlJc w:val="left"/>
      <w:pPr>
        <w:ind w:left="1354" w:hanging="360"/>
      </w:pPr>
      <w:rPr>
        <w:rFonts w:hint="default"/>
        <w:i/>
      </w:rPr>
    </w:lvl>
    <w:lvl w:ilvl="2">
      <w:start w:val="1"/>
      <w:numFmt w:val="decimal"/>
      <w:lvlText w:val="%1.%2.%3"/>
      <w:lvlJc w:val="left"/>
      <w:pPr>
        <w:ind w:left="2708" w:hanging="720"/>
      </w:pPr>
      <w:rPr>
        <w:rFonts w:hint="default"/>
        <w:i/>
      </w:rPr>
    </w:lvl>
    <w:lvl w:ilvl="3">
      <w:start w:val="1"/>
      <w:numFmt w:val="decimal"/>
      <w:lvlText w:val="%1.%2.%3.%4"/>
      <w:lvlJc w:val="left"/>
      <w:pPr>
        <w:ind w:left="3702" w:hanging="720"/>
      </w:pPr>
      <w:rPr>
        <w:rFonts w:hint="default"/>
        <w:i/>
      </w:rPr>
    </w:lvl>
    <w:lvl w:ilvl="4">
      <w:start w:val="1"/>
      <w:numFmt w:val="decimal"/>
      <w:lvlText w:val="%1.%2.%3.%4.%5"/>
      <w:lvlJc w:val="left"/>
      <w:pPr>
        <w:ind w:left="5056" w:hanging="1080"/>
      </w:pPr>
      <w:rPr>
        <w:rFonts w:hint="default"/>
        <w:i/>
      </w:rPr>
    </w:lvl>
    <w:lvl w:ilvl="5">
      <w:start w:val="1"/>
      <w:numFmt w:val="decimal"/>
      <w:lvlText w:val="%1.%2.%3.%4.%5.%6"/>
      <w:lvlJc w:val="left"/>
      <w:pPr>
        <w:ind w:left="6050" w:hanging="1080"/>
      </w:pPr>
      <w:rPr>
        <w:rFonts w:hint="default"/>
        <w:i/>
      </w:rPr>
    </w:lvl>
    <w:lvl w:ilvl="6">
      <w:start w:val="1"/>
      <w:numFmt w:val="decimal"/>
      <w:lvlText w:val="%1.%2.%3.%4.%5.%6.%7"/>
      <w:lvlJc w:val="left"/>
      <w:pPr>
        <w:ind w:left="7404" w:hanging="1440"/>
      </w:pPr>
      <w:rPr>
        <w:rFonts w:hint="default"/>
        <w:i/>
      </w:rPr>
    </w:lvl>
    <w:lvl w:ilvl="7">
      <w:start w:val="1"/>
      <w:numFmt w:val="decimal"/>
      <w:lvlText w:val="%1.%2.%3.%4.%5.%6.%7.%8"/>
      <w:lvlJc w:val="left"/>
      <w:pPr>
        <w:ind w:left="8398" w:hanging="1440"/>
      </w:pPr>
      <w:rPr>
        <w:rFonts w:hint="default"/>
        <w:i/>
      </w:rPr>
    </w:lvl>
    <w:lvl w:ilvl="8">
      <w:start w:val="1"/>
      <w:numFmt w:val="decimal"/>
      <w:lvlText w:val="%1.%2.%3.%4.%5.%6.%7.%8.%9"/>
      <w:lvlJc w:val="left"/>
      <w:pPr>
        <w:ind w:left="9752" w:hanging="1800"/>
      </w:pPr>
      <w:rPr>
        <w:rFonts w:hint="default"/>
        <w:i/>
      </w:rPr>
    </w:lvl>
  </w:abstractNum>
  <w:abstractNum w:abstractNumId="25" w15:restartNumberingAfterBreak="0">
    <w:nsid w:val="6D62158D"/>
    <w:multiLevelType w:val="hybridMultilevel"/>
    <w:tmpl w:val="7FD0D25A"/>
    <w:lvl w:ilvl="0" w:tplc="E9365B92">
      <w:start w:val="2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DD12B74"/>
    <w:multiLevelType w:val="hybridMultilevel"/>
    <w:tmpl w:val="59AA208A"/>
    <w:lvl w:ilvl="0" w:tplc="69186000">
      <w:start w:val="16"/>
      <w:numFmt w:val="decimal"/>
      <w:lvlText w:val="%1"/>
      <w:lvlJc w:val="left"/>
      <w:pPr>
        <w:ind w:left="1350" w:hanging="360"/>
      </w:pPr>
      <w:rPr>
        <w:rFonts w:hint="default"/>
        <w:i/>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27" w15:restartNumberingAfterBreak="0">
    <w:nsid w:val="71115B88"/>
    <w:multiLevelType w:val="hybridMultilevel"/>
    <w:tmpl w:val="E578D3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154755F"/>
    <w:multiLevelType w:val="hybridMultilevel"/>
    <w:tmpl w:val="28AE09D4"/>
    <w:lvl w:ilvl="0" w:tplc="281E554E">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9" w15:restartNumberingAfterBreak="0">
    <w:nsid w:val="7FB0627A"/>
    <w:multiLevelType w:val="hybridMultilevel"/>
    <w:tmpl w:val="0A22FD26"/>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1"/>
  </w:num>
  <w:num w:numId="2">
    <w:abstractNumId w:val="28"/>
  </w:num>
  <w:num w:numId="3">
    <w:abstractNumId w:val="5"/>
  </w:num>
  <w:num w:numId="4">
    <w:abstractNumId w:val="29"/>
  </w:num>
  <w:num w:numId="5">
    <w:abstractNumId w:val="9"/>
  </w:num>
  <w:num w:numId="6">
    <w:abstractNumId w:val="19"/>
  </w:num>
  <w:num w:numId="7">
    <w:abstractNumId w:val="15"/>
  </w:num>
  <w:num w:numId="8">
    <w:abstractNumId w:val="0"/>
  </w:num>
  <w:num w:numId="9">
    <w:abstractNumId w:val="16"/>
  </w:num>
  <w:num w:numId="10">
    <w:abstractNumId w:val="23"/>
  </w:num>
  <w:num w:numId="11">
    <w:abstractNumId w:val="20"/>
  </w:num>
  <w:num w:numId="12">
    <w:abstractNumId w:val="27"/>
  </w:num>
  <w:num w:numId="13">
    <w:abstractNumId w:val="7"/>
  </w:num>
  <w:num w:numId="14">
    <w:abstractNumId w:val="8"/>
  </w:num>
  <w:num w:numId="15">
    <w:abstractNumId w:val="25"/>
  </w:num>
  <w:num w:numId="16">
    <w:abstractNumId w:val="12"/>
  </w:num>
  <w:num w:numId="17">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1"/>
  </w:num>
  <w:num w:numId="20">
    <w:abstractNumId w:val="1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6"/>
  </w:num>
  <w:num w:numId="24">
    <w:abstractNumId w:val="22"/>
  </w:num>
  <w:num w:numId="25">
    <w:abstractNumId w:val="6"/>
  </w:num>
  <w:num w:numId="26">
    <w:abstractNumId w:val="3"/>
  </w:num>
  <w:num w:numId="27">
    <w:abstractNumId w:val="18"/>
  </w:num>
  <w:num w:numId="28">
    <w:abstractNumId w:val="17"/>
  </w:num>
  <w:num w:numId="29">
    <w:abstractNumId w:val="2"/>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CE"/>
    <w:rsid w:val="00004878"/>
    <w:rsid w:val="0000648D"/>
    <w:rsid w:val="00012D19"/>
    <w:rsid w:val="00014835"/>
    <w:rsid w:val="00032AF5"/>
    <w:rsid w:val="00040A12"/>
    <w:rsid w:val="00056601"/>
    <w:rsid w:val="000575F4"/>
    <w:rsid w:val="0006281E"/>
    <w:rsid w:val="000652AC"/>
    <w:rsid w:val="00082E51"/>
    <w:rsid w:val="0008549F"/>
    <w:rsid w:val="000869A3"/>
    <w:rsid w:val="00086E2B"/>
    <w:rsid w:val="00096F40"/>
    <w:rsid w:val="00097E4F"/>
    <w:rsid w:val="000A0DF9"/>
    <w:rsid w:val="000A37D2"/>
    <w:rsid w:val="000A74CE"/>
    <w:rsid w:val="000B16C8"/>
    <w:rsid w:val="000B58D4"/>
    <w:rsid w:val="000B6E5C"/>
    <w:rsid w:val="000D7AEA"/>
    <w:rsid w:val="00100001"/>
    <w:rsid w:val="00103C9E"/>
    <w:rsid w:val="001075DE"/>
    <w:rsid w:val="00120C08"/>
    <w:rsid w:val="00121188"/>
    <w:rsid w:val="0012258C"/>
    <w:rsid w:val="00125673"/>
    <w:rsid w:val="00143874"/>
    <w:rsid w:val="00143FA3"/>
    <w:rsid w:val="00146EEA"/>
    <w:rsid w:val="00151155"/>
    <w:rsid w:val="00156CC3"/>
    <w:rsid w:val="001603B7"/>
    <w:rsid w:val="00164D1E"/>
    <w:rsid w:val="00166FAE"/>
    <w:rsid w:val="00187ECB"/>
    <w:rsid w:val="00192C68"/>
    <w:rsid w:val="001B24DD"/>
    <w:rsid w:val="001B65AA"/>
    <w:rsid w:val="001B70C5"/>
    <w:rsid w:val="001C04EC"/>
    <w:rsid w:val="001D5524"/>
    <w:rsid w:val="001D570B"/>
    <w:rsid w:val="001E549D"/>
    <w:rsid w:val="001F468F"/>
    <w:rsid w:val="001F4D30"/>
    <w:rsid w:val="001F7391"/>
    <w:rsid w:val="00200752"/>
    <w:rsid w:val="002010E9"/>
    <w:rsid w:val="00220ACF"/>
    <w:rsid w:val="00221880"/>
    <w:rsid w:val="00234BE2"/>
    <w:rsid w:val="00242DC9"/>
    <w:rsid w:val="002470D8"/>
    <w:rsid w:val="00252C89"/>
    <w:rsid w:val="002539E0"/>
    <w:rsid w:val="002656E7"/>
    <w:rsid w:val="002804AB"/>
    <w:rsid w:val="00282121"/>
    <w:rsid w:val="002850BA"/>
    <w:rsid w:val="0029520E"/>
    <w:rsid w:val="002A0AAC"/>
    <w:rsid w:val="002A66FA"/>
    <w:rsid w:val="002B23FA"/>
    <w:rsid w:val="002C16CA"/>
    <w:rsid w:val="002C2399"/>
    <w:rsid w:val="002C3FCC"/>
    <w:rsid w:val="002D66C2"/>
    <w:rsid w:val="002D7291"/>
    <w:rsid w:val="002E7E30"/>
    <w:rsid w:val="002F5A9E"/>
    <w:rsid w:val="00310DC4"/>
    <w:rsid w:val="00312A93"/>
    <w:rsid w:val="0031520C"/>
    <w:rsid w:val="003354FC"/>
    <w:rsid w:val="003470E3"/>
    <w:rsid w:val="00354E3F"/>
    <w:rsid w:val="003615CA"/>
    <w:rsid w:val="00367E6E"/>
    <w:rsid w:val="00367F05"/>
    <w:rsid w:val="00380B00"/>
    <w:rsid w:val="00385438"/>
    <w:rsid w:val="003941E1"/>
    <w:rsid w:val="003944AE"/>
    <w:rsid w:val="003A269D"/>
    <w:rsid w:val="003A72BB"/>
    <w:rsid w:val="003B3F28"/>
    <w:rsid w:val="003D4A49"/>
    <w:rsid w:val="003F5E6A"/>
    <w:rsid w:val="00406E39"/>
    <w:rsid w:val="004150AE"/>
    <w:rsid w:val="004323F7"/>
    <w:rsid w:val="00435346"/>
    <w:rsid w:val="00441730"/>
    <w:rsid w:val="0044174C"/>
    <w:rsid w:val="0044405A"/>
    <w:rsid w:val="00444AF2"/>
    <w:rsid w:val="00457261"/>
    <w:rsid w:val="004649A8"/>
    <w:rsid w:val="00467554"/>
    <w:rsid w:val="00470D0D"/>
    <w:rsid w:val="0048460E"/>
    <w:rsid w:val="0048766B"/>
    <w:rsid w:val="004876F8"/>
    <w:rsid w:val="004A73E6"/>
    <w:rsid w:val="004B45ED"/>
    <w:rsid w:val="004C2A02"/>
    <w:rsid w:val="004C2A35"/>
    <w:rsid w:val="004D0DA7"/>
    <w:rsid w:val="004D1327"/>
    <w:rsid w:val="004D14DF"/>
    <w:rsid w:val="004D16DB"/>
    <w:rsid w:val="004D265E"/>
    <w:rsid w:val="004E0616"/>
    <w:rsid w:val="004E30E8"/>
    <w:rsid w:val="004E4E2B"/>
    <w:rsid w:val="004F232A"/>
    <w:rsid w:val="004F406E"/>
    <w:rsid w:val="00502662"/>
    <w:rsid w:val="00507ADA"/>
    <w:rsid w:val="00513D77"/>
    <w:rsid w:val="00523407"/>
    <w:rsid w:val="005256B9"/>
    <w:rsid w:val="005336B8"/>
    <w:rsid w:val="00540198"/>
    <w:rsid w:val="0054227E"/>
    <w:rsid w:val="005520E4"/>
    <w:rsid w:val="00553BD9"/>
    <w:rsid w:val="005561C4"/>
    <w:rsid w:val="00557F91"/>
    <w:rsid w:val="005670DA"/>
    <w:rsid w:val="005702BE"/>
    <w:rsid w:val="00574725"/>
    <w:rsid w:val="005770B0"/>
    <w:rsid w:val="00591764"/>
    <w:rsid w:val="00592984"/>
    <w:rsid w:val="00597F06"/>
    <w:rsid w:val="005A67F5"/>
    <w:rsid w:val="005C70C3"/>
    <w:rsid w:val="0060729A"/>
    <w:rsid w:val="006132FC"/>
    <w:rsid w:val="0062058A"/>
    <w:rsid w:val="006277D7"/>
    <w:rsid w:val="00635545"/>
    <w:rsid w:val="00640C7B"/>
    <w:rsid w:val="00650BA5"/>
    <w:rsid w:val="0065337F"/>
    <w:rsid w:val="0065722C"/>
    <w:rsid w:val="00660D43"/>
    <w:rsid w:val="006620D8"/>
    <w:rsid w:val="00680691"/>
    <w:rsid w:val="006920FE"/>
    <w:rsid w:val="00695034"/>
    <w:rsid w:val="0069611C"/>
    <w:rsid w:val="00696CCF"/>
    <w:rsid w:val="006A51D3"/>
    <w:rsid w:val="006B4665"/>
    <w:rsid w:val="006B5ED4"/>
    <w:rsid w:val="006C03BA"/>
    <w:rsid w:val="006C0A93"/>
    <w:rsid w:val="006D0CF5"/>
    <w:rsid w:val="006D2104"/>
    <w:rsid w:val="006E573F"/>
    <w:rsid w:val="006F6CDA"/>
    <w:rsid w:val="00704571"/>
    <w:rsid w:val="0070762B"/>
    <w:rsid w:val="00712324"/>
    <w:rsid w:val="0071236E"/>
    <w:rsid w:val="00725E38"/>
    <w:rsid w:val="00732409"/>
    <w:rsid w:val="0073420D"/>
    <w:rsid w:val="00740DAD"/>
    <w:rsid w:val="00744D90"/>
    <w:rsid w:val="0075004B"/>
    <w:rsid w:val="00750D8F"/>
    <w:rsid w:val="00752C7F"/>
    <w:rsid w:val="00754E94"/>
    <w:rsid w:val="007553A1"/>
    <w:rsid w:val="00763245"/>
    <w:rsid w:val="00766CA4"/>
    <w:rsid w:val="007719D0"/>
    <w:rsid w:val="00777EB3"/>
    <w:rsid w:val="00781124"/>
    <w:rsid w:val="00782867"/>
    <w:rsid w:val="00787BFC"/>
    <w:rsid w:val="00792FB1"/>
    <w:rsid w:val="007A425A"/>
    <w:rsid w:val="007A53B0"/>
    <w:rsid w:val="007A6206"/>
    <w:rsid w:val="007B0663"/>
    <w:rsid w:val="007B28F7"/>
    <w:rsid w:val="007B30F9"/>
    <w:rsid w:val="007C6D56"/>
    <w:rsid w:val="007D2D0E"/>
    <w:rsid w:val="007D71CE"/>
    <w:rsid w:val="007E639F"/>
    <w:rsid w:val="0080408E"/>
    <w:rsid w:val="0081147C"/>
    <w:rsid w:val="008200FE"/>
    <w:rsid w:val="00824862"/>
    <w:rsid w:val="00833DFB"/>
    <w:rsid w:val="00836F70"/>
    <w:rsid w:val="008420BD"/>
    <w:rsid w:val="00843064"/>
    <w:rsid w:val="00843B9E"/>
    <w:rsid w:val="00850633"/>
    <w:rsid w:val="00854A5F"/>
    <w:rsid w:val="00863CA4"/>
    <w:rsid w:val="00865F1E"/>
    <w:rsid w:val="00866319"/>
    <w:rsid w:val="0086658F"/>
    <w:rsid w:val="0087762B"/>
    <w:rsid w:val="00884DF5"/>
    <w:rsid w:val="0088702B"/>
    <w:rsid w:val="00890A6C"/>
    <w:rsid w:val="008A4957"/>
    <w:rsid w:val="008A4DDF"/>
    <w:rsid w:val="008B00F6"/>
    <w:rsid w:val="008B020E"/>
    <w:rsid w:val="008C216E"/>
    <w:rsid w:val="008D31ED"/>
    <w:rsid w:val="008D4198"/>
    <w:rsid w:val="008E1288"/>
    <w:rsid w:val="008E2AB1"/>
    <w:rsid w:val="008F3428"/>
    <w:rsid w:val="00904F4D"/>
    <w:rsid w:val="00910356"/>
    <w:rsid w:val="00910C80"/>
    <w:rsid w:val="00923D4C"/>
    <w:rsid w:val="00924CA2"/>
    <w:rsid w:val="00930E6F"/>
    <w:rsid w:val="0093180D"/>
    <w:rsid w:val="0093329B"/>
    <w:rsid w:val="00935DA1"/>
    <w:rsid w:val="00936E06"/>
    <w:rsid w:val="00944E6A"/>
    <w:rsid w:val="00957D25"/>
    <w:rsid w:val="00964204"/>
    <w:rsid w:val="009735B4"/>
    <w:rsid w:val="009766F0"/>
    <w:rsid w:val="00994A5A"/>
    <w:rsid w:val="00996C7E"/>
    <w:rsid w:val="009A4E2E"/>
    <w:rsid w:val="009A70B5"/>
    <w:rsid w:val="009B0C33"/>
    <w:rsid w:val="009B21B2"/>
    <w:rsid w:val="009B665C"/>
    <w:rsid w:val="009C1551"/>
    <w:rsid w:val="009D2A75"/>
    <w:rsid w:val="009D518F"/>
    <w:rsid w:val="009D73FF"/>
    <w:rsid w:val="009E0026"/>
    <w:rsid w:val="009E078C"/>
    <w:rsid w:val="009E0E0F"/>
    <w:rsid w:val="009E57F4"/>
    <w:rsid w:val="009F5A3D"/>
    <w:rsid w:val="00A0011E"/>
    <w:rsid w:val="00A01C36"/>
    <w:rsid w:val="00A03B30"/>
    <w:rsid w:val="00A23786"/>
    <w:rsid w:val="00A238A8"/>
    <w:rsid w:val="00A23A0A"/>
    <w:rsid w:val="00A2495B"/>
    <w:rsid w:val="00A24FF5"/>
    <w:rsid w:val="00A3416F"/>
    <w:rsid w:val="00A43377"/>
    <w:rsid w:val="00A435FB"/>
    <w:rsid w:val="00A4415D"/>
    <w:rsid w:val="00A45788"/>
    <w:rsid w:val="00A50FF2"/>
    <w:rsid w:val="00A630B0"/>
    <w:rsid w:val="00A6599B"/>
    <w:rsid w:val="00A95974"/>
    <w:rsid w:val="00A97DFE"/>
    <w:rsid w:val="00AA47C2"/>
    <w:rsid w:val="00AA6854"/>
    <w:rsid w:val="00AA73F8"/>
    <w:rsid w:val="00AB664C"/>
    <w:rsid w:val="00AC50BB"/>
    <w:rsid w:val="00AD4514"/>
    <w:rsid w:val="00AD5245"/>
    <w:rsid w:val="00AE21CE"/>
    <w:rsid w:val="00B00C16"/>
    <w:rsid w:val="00B078E7"/>
    <w:rsid w:val="00B12A16"/>
    <w:rsid w:val="00B1544A"/>
    <w:rsid w:val="00B20E68"/>
    <w:rsid w:val="00B27ED9"/>
    <w:rsid w:val="00B369C3"/>
    <w:rsid w:val="00B55CAE"/>
    <w:rsid w:val="00B56FF3"/>
    <w:rsid w:val="00B578E4"/>
    <w:rsid w:val="00B6500E"/>
    <w:rsid w:val="00B65EA2"/>
    <w:rsid w:val="00B73D62"/>
    <w:rsid w:val="00B7634F"/>
    <w:rsid w:val="00B857AE"/>
    <w:rsid w:val="00B876C4"/>
    <w:rsid w:val="00B92E87"/>
    <w:rsid w:val="00BA535C"/>
    <w:rsid w:val="00BA7222"/>
    <w:rsid w:val="00BA7A19"/>
    <w:rsid w:val="00BB2489"/>
    <w:rsid w:val="00BD6062"/>
    <w:rsid w:val="00BE42E2"/>
    <w:rsid w:val="00BE6C9C"/>
    <w:rsid w:val="00BE79EA"/>
    <w:rsid w:val="00BF2525"/>
    <w:rsid w:val="00BF57E6"/>
    <w:rsid w:val="00C02881"/>
    <w:rsid w:val="00C02C28"/>
    <w:rsid w:val="00C04B95"/>
    <w:rsid w:val="00C1581F"/>
    <w:rsid w:val="00C17ECD"/>
    <w:rsid w:val="00C42AD2"/>
    <w:rsid w:val="00C61652"/>
    <w:rsid w:val="00C80F99"/>
    <w:rsid w:val="00C909B7"/>
    <w:rsid w:val="00C949C1"/>
    <w:rsid w:val="00C96123"/>
    <w:rsid w:val="00CB2B66"/>
    <w:rsid w:val="00CC2439"/>
    <w:rsid w:val="00CD5F9B"/>
    <w:rsid w:val="00CE1CC4"/>
    <w:rsid w:val="00CE5A49"/>
    <w:rsid w:val="00CF2A2E"/>
    <w:rsid w:val="00CF39D4"/>
    <w:rsid w:val="00D03F44"/>
    <w:rsid w:val="00D042B4"/>
    <w:rsid w:val="00D06C2E"/>
    <w:rsid w:val="00D27A97"/>
    <w:rsid w:val="00D300D4"/>
    <w:rsid w:val="00D32997"/>
    <w:rsid w:val="00D377D7"/>
    <w:rsid w:val="00D566D5"/>
    <w:rsid w:val="00D6297D"/>
    <w:rsid w:val="00D70DBD"/>
    <w:rsid w:val="00D8078B"/>
    <w:rsid w:val="00D91B79"/>
    <w:rsid w:val="00DC62B8"/>
    <w:rsid w:val="00DD67D9"/>
    <w:rsid w:val="00DE1CEF"/>
    <w:rsid w:val="00DE3D02"/>
    <w:rsid w:val="00DF7E2D"/>
    <w:rsid w:val="00E20B0E"/>
    <w:rsid w:val="00E20E5A"/>
    <w:rsid w:val="00E37BC6"/>
    <w:rsid w:val="00E4014A"/>
    <w:rsid w:val="00E42065"/>
    <w:rsid w:val="00E5199A"/>
    <w:rsid w:val="00E53554"/>
    <w:rsid w:val="00E60BCD"/>
    <w:rsid w:val="00E60F4F"/>
    <w:rsid w:val="00E6501C"/>
    <w:rsid w:val="00E84058"/>
    <w:rsid w:val="00E915BF"/>
    <w:rsid w:val="00EA7D8B"/>
    <w:rsid w:val="00EB4724"/>
    <w:rsid w:val="00EB4962"/>
    <w:rsid w:val="00EC08E5"/>
    <w:rsid w:val="00EC4637"/>
    <w:rsid w:val="00EC47FB"/>
    <w:rsid w:val="00EC70FF"/>
    <w:rsid w:val="00EC7F11"/>
    <w:rsid w:val="00ED78AE"/>
    <w:rsid w:val="00EE4470"/>
    <w:rsid w:val="00EF482F"/>
    <w:rsid w:val="00EF49DF"/>
    <w:rsid w:val="00F02550"/>
    <w:rsid w:val="00F05C09"/>
    <w:rsid w:val="00F060D0"/>
    <w:rsid w:val="00F216E4"/>
    <w:rsid w:val="00F25E6D"/>
    <w:rsid w:val="00F314A2"/>
    <w:rsid w:val="00F31527"/>
    <w:rsid w:val="00F31CAD"/>
    <w:rsid w:val="00F34DE4"/>
    <w:rsid w:val="00F35DEF"/>
    <w:rsid w:val="00F401FB"/>
    <w:rsid w:val="00F606A8"/>
    <w:rsid w:val="00F762BE"/>
    <w:rsid w:val="00F76D55"/>
    <w:rsid w:val="00F8044E"/>
    <w:rsid w:val="00F87C18"/>
    <w:rsid w:val="00F950A1"/>
    <w:rsid w:val="00F97695"/>
    <w:rsid w:val="00FA7B98"/>
    <w:rsid w:val="00FB20A8"/>
    <w:rsid w:val="00FB5A49"/>
    <w:rsid w:val="00FB6A41"/>
    <w:rsid w:val="00FD4327"/>
    <w:rsid w:val="00FD67BC"/>
    <w:rsid w:val="00FF4A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20DE7F2"/>
  <w15:docId w15:val="{6065D3E8-7A6D-4625-A6AC-2027E84B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0A8"/>
  </w:style>
  <w:style w:type="paragraph" w:styleId="Heading2">
    <w:name w:val="heading 2"/>
    <w:basedOn w:val="Normal"/>
    <w:next w:val="Normal"/>
    <w:link w:val="Heading2Char"/>
    <w:qFormat/>
    <w:rsid w:val="00C17ECD"/>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C1"/>
    <w:pPr>
      <w:ind w:left="720"/>
      <w:contextualSpacing/>
    </w:pPr>
  </w:style>
  <w:style w:type="paragraph" w:styleId="Header">
    <w:name w:val="header"/>
    <w:basedOn w:val="Normal"/>
    <w:link w:val="HeaderChar"/>
    <w:uiPriority w:val="99"/>
    <w:unhideWhenUsed/>
    <w:rsid w:val="006D21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2104"/>
  </w:style>
  <w:style w:type="paragraph" w:styleId="Footer">
    <w:name w:val="footer"/>
    <w:basedOn w:val="Normal"/>
    <w:link w:val="FooterChar"/>
    <w:uiPriority w:val="99"/>
    <w:unhideWhenUsed/>
    <w:rsid w:val="006D21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2104"/>
  </w:style>
  <w:style w:type="paragraph" w:styleId="BalloonText">
    <w:name w:val="Balloon Text"/>
    <w:basedOn w:val="Normal"/>
    <w:link w:val="BalloonTextChar"/>
    <w:uiPriority w:val="99"/>
    <w:semiHidden/>
    <w:unhideWhenUsed/>
    <w:rsid w:val="00AC5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BB"/>
    <w:rPr>
      <w:rFonts w:ascii="Segoe UI" w:hAnsi="Segoe UI" w:cs="Segoe UI"/>
      <w:sz w:val="18"/>
      <w:szCs w:val="18"/>
    </w:rPr>
  </w:style>
  <w:style w:type="paragraph" w:customStyle="1" w:styleId="Default">
    <w:name w:val="Default"/>
    <w:rsid w:val="00097E4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804AB"/>
    <w:rPr>
      <w:color w:val="0563C1" w:themeColor="hyperlink"/>
      <w:u w:val="single"/>
    </w:rPr>
  </w:style>
  <w:style w:type="character" w:styleId="CommentReference">
    <w:name w:val="annotation reference"/>
    <w:basedOn w:val="DefaultParagraphFont"/>
    <w:uiPriority w:val="99"/>
    <w:semiHidden/>
    <w:unhideWhenUsed/>
    <w:rsid w:val="00ED78AE"/>
    <w:rPr>
      <w:sz w:val="16"/>
      <w:szCs w:val="16"/>
    </w:rPr>
  </w:style>
  <w:style w:type="paragraph" w:styleId="CommentText">
    <w:name w:val="annotation text"/>
    <w:basedOn w:val="Normal"/>
    <w:link w:val="CommentTextChar"/>
    <w:uiPriority w:val="99"/>
    <w:semiHidden/>
    <w:unhideWhenUsed/>
    <w:rsid w:val="00ED78AE"/>
    <w:pPr>
      <w:spacing w:line="240" w:lineRule="auto"/>
    </w:pPr>
    <w:rPr>
      <w:sz w:val="20"/>
      <w:szCs w:val="20"/>
    </w:rPr>
  </w:style>
  <w:style w:type="character" w:customStyle="1" w:styleId="CommentTextChar">
    <w:name w:val="Comment Text Char"/>
    <w:basedOn w:val="DefaultParagraphFont"/>
    <w:link w:val="CommentText"/>
    <w:uiPriority w:val="99"/>
    <w:semiHidden/>
    <w:rsid w:val="00ED78AE"/>
    <w:rPr>
      <w:sz w:val="20"/>
      <w:szCs w:val="20"/>
    </w:rPr>
  </w:style>
  <w:style w:type="paragraph" w:styleId="CommentSubject">
    <w:name w:val="annotation subject"/>
    <w:basedOn w:val="CommentText"/>
    <w:next w:val="CommentText"/>
    <w:link w:val="CommentSubjectChar"/>
    <w:uiPriority w:val="99"/>
    <w:semiHidden/>
    <w:unhideWhenUsed/>
    <w:rsid w:val="00ED78AE"/>
    <w:rPr>
      <w:b/>
      <w:bCs/>
    </w:rPr>
  </w:style>
  <w:style w:type="character" w:customStyle="1" w:styleId="CommentSubjectChar">
    <w:name w:val="Comment Subject Char"/>
    <w:basedOn w:val="CommentTextChar"/>
    <w:link w:val="CommentSubject"/>
    <w:uiPriority w:val="99"/>
    <w:semiHidden/>
    <w:rsid w:val="00ED78AE"/>
    <w:rPr>
      <w:b/>
      <w:bCs/>
      <w:sz w:val="20"/>
      <w:szCs w:val="20"/>
    </w:rPr>
  </w:style>
  <w:style w:type="table" w:styleId="TableGrid">
    <w:name w:val="Table Grid"/>
    <w:basedOn w:val="TableNormal"/>
    <w:uiPriority w:val="39"/>
    <w:rsid w:val="0077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D60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60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FD4327"/>
    <w:pPr>
      <w:spacing w:after="0" w:line="240" w:lineRule="auto"/>
    </w:pPr>
    <w:rPr>
      <w:sz w:val="20"/>
      <w:szCs w:val="20"/>
    </w:rPr>
  </w:style>
  <w:style w:type="character" w:customStyle="1" w:styleId="FootnoteTextChar">
    <w:name w:val="Footnote Text Char"/>
    <w:basedOn w:val="DefaultParagraphFont"/>
    <w:link w:val="FootnoteText"/>
    <w:rsid w:val="00FD4327"/>
    <w:rPr>
      <w:sz w:val="20"/>
      <w:szCs w:val="20"/>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
    <w:basedOn w:val="DefaultParagraphFont"/>
    <w:unhideWhenUsed/>
    <w:rsid w:val="00FD4327"/>
    <w:rPr>
      <w:vertAlign w:val="superscript"/>
    </w:rPr>
  </w:style>
  <w:style w:type="table" w:customStyle="1" w:styleId="TableGrid6">
    <w:name w:val="Table Grid6"/>
    <w:basedOn w:val="TableNormal"/>
    <w:next w:val="TableGrid"/>
    <w:uiPriority w:val="39"/>
    <w:rsid w:val="0091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1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17ECD"/>
    <w:rPr>
      <w:rFonts w:ascii="Times New Roman" w:eastAsia="Times New Roman" w:hAnsi="Times New Roman" w:cs="Times New Roman"/>
      <w:b/>
      <w:bCs/>
      <w:sz w:val="24"/>
      <w:szCs w:val="24"/>
    </w:rPr>
  </w:style>
  <w:style w:type="paragraph" w:styleId="BodyText">
    <w:name w:val="Body Text"/>
    <w:basedOn w:val="Normal"/>
    <w:link w:val="BodyTextChar"/>
    <w:rsid w:val="00C17EC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7ECD"/>
    <w:rPr>
      <w:rFonts w:ascii="Times New Roman" w:eastAsia="Times New Roman" w:hAnsi="Times New Roman" w:cs="Times New Roman"/>
      <w:sz w:val="24"/>
      <w:szCs w:val="24"/>
    </w:rPr>
  </w:style>
  <w:style w:type="paragraph" w:styleId="Revision">
    <w:name w:val="Revision"/>
    <w:hidden/>
    <w:uiPriority w:val="99"/>
    <w:semiHidden/>
    <w:rsid w:val="00F25E6D"/>
    <w:pPr>
      <w:spacing w:after="0" w:line="240" w:lineRule="auto"/>
    </w:pPr>
  </w:style>
  <w:style w:type="paragraph" w:styleId="NormalWeb">
    <w:name w:val="Normal (Web)"/>
    <w:basedOn w:val="Normal"/>
    <w:unhideWhenUsed/>
    <w:rsid w:val="0078286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868751">
      <w:bodyDiv w:val="1"/>
      <w:marLeft w:val="0"/>
      <w:marRight w:val="0"/>
      <w:marTop w:val="0"/>
      <w:marBottom w:val="0"/>
      <w:divBdr>
        <w:top w:val="none" w:sz="0" w:space="0" w:color="auto"/>
        <w:left w:val="none" w:sz="0" w:space="0" w:color="auto"/>
        <w:bottom w:val="none" w:sz="0" w:space="0" w:color="auto"/>
        <w:right w:val="none" w:sz="0" w:space="0" w:color="auto"/>
      </w:divBdr>
    </w:div>
    <w:div w:id="717776083">
      <w:bodyDiv w:val="1"/>
      <w:marLeft w:val="0"/>
      <w:marRight w:val="0"/>
      <w:marTop w:val="0"/>
      <w:marBottom w:val="0"/>
      <w:divBdr>
        <w:top w:val="none" w:sz="0" w:space="0" w:color="auto"/>
        <w:left w:val="none" w:sz="0" w:space="0" w:color="auto"/>
        <w:bottom w:val="none" w:sz="0" w:space="0" w:color="auto"/>
        <w:right w:val="none" w:sz="0" w:space="0" w:color="auto"/>
      </w:divBdr>
    </w:div>
    <w:div w:id="825779955">
      <w:bodyDiv w:val="1"/>
      <w:marLeft w:val="0"/>
      <w:marRight w:val="0"/>
      <w:marTop w:val="0"/>
      <w:marBottom w:val="0"/>
      <w:divBdr>
        <w:top w:val="none" w:sz="0" w:space="0" w:color="auto"/>
        <w:left w:val="none" w:sz="0" w:space="0" w:color="auto"/>
        <w:bottom w:val="none" w:sz="0" w:space="0" w:color="auto"/>
        <w:right w:val="none" w:sz="0" w:space="0" w:color="auto"/>
      </w:divBdr>
    </w:div>
    <w:div w:id="1078089067">
      <w:bodyDiv w:val="1"/>
      <w:marLeft w:val="0"/>
      <w:marRight w:val="0"/>
      <w:marTop w:val="0"/>
      <w:marBottom w:val="0"/>
      <w:divBdr>
        <w:top w:val="none" w:sz="0" w:space="0" w:color="auto"/>
        <w:left w:val="none" w:sz="0" w:space="0" w:color="auto"/>
        <w:bottom w:val="none" w:sz="0" w:space="0" w:color="auto"/>
        <w:right w:val="none" w:sz="0" w:space="0" w:color="auto"/>
      </w:divBdr>
    </w:div>
    <w:div w:id="1089691667">
      <w:bodyDiv w:val="1"/>
      <w:marLeft w:val="0"/>
      <w:marRight w:val="0"/>
      <w:marTop w:val="0"/>
      <w:marBottom w:val="0"/>
      <w:divBdr>
        <w:top w:val="none" w:sz="0" w:space="0" w:color="auto"/>
        <w:left w:val="none" w:sz="0" w:space="0" w:color="auto"/>
        <w:bottom w:val="none" w:sz="0" w:space="0" w:color="auto"/>
        <w:right w:val="none" w:sz="0" w:space="0" w:color="auto"/>
      </w:divBdr>
    </w:div>
    <w:div w:id="1119027985">
      <w:bodyDiv w:val="1"/>
      <w:marLeft w:val="0"/>
      <w:marRight w:val="0"/>
      <w:marTop w:val="0"/>
      <w:marBottom w:val="0"/>
      <w:divBdr>
        <w:top w:val="none" w:sz="0" w:space="0" w:color="auto"/>
        <w:left w:val="none" w:sz="0" w:space="0" w:color="auto"/>
        <w:bottom w:val="none" w:sz="0" w:space="0" w:color="auto"/>
        <w:right w:val="none" w:sz="0" w:space="0" w:color="auto"/>
      </w:divBdr>
    </w:div>
    <w:div w:id="1127048745">
      <w:bodyDiv w:val="1"/>
      <w:marLeft w:val="0"/>
      <w:marRight w:val="0"/>
      <w:marTop w:val="0"/>
      <w:marBottom w:val="0"/>
      <w:divBdr>
        <w:top w:val="none" w:sz="0" w:space="0" w:color="auto"/>
        <w:left w:val="none" w:sz="0" w:space="0" w:color="auto"/>
        <w:bottom w:val="none" w:sz="0" w:space="0" w:color="auto"/>
        <w:right w:val="none" w:sz="0" w:space="0" w:color="auto"/>
      </w:divBdr>
    </w:div>
    <w:div w:id="1789272649">
      <w:bodyDiv w:val="1"/>
      <w:marLeft w:val="0"/>
      <w:marRight w:val="0"/>
      <w:marTop w:val="0"/>
      <w:marBottom w:val="0"/>
      <w:divBdr>
        <w:top w:val="none" w:sz="0" w:space="0" w:color="auto"/>
        <w:left w:val="none" w:sz="0" w:space="0" w:color="auto"/>
        <w:bottom w:val="none" w:sz="0" w:space="0" w:color="auto"/>
        <w:right w:val="none" w:sz="0" w:space="0" w:color="auto"/>
      </w:divBdr>
    </w:div>
    <w:div w:id="1835098479">
      <w:bodyDiv w:val="1"/>
      <w:marLeft w:val="0"/>
      <w:marRight w:val="0"/>
      <w:marTop w:val="0"/>
      <w:marBottom w:val="0"/>
      <w:divBdr>
        <w:top w:val="none" w:sz="0" w:space="0" w:color="auto"/>
        <w:left w:val="none" w:sz="0" w:space="0" w:color="auto"/>
        <w:bottom w:val="none" w:sz="0" w:space="0" w:color="auto"/>
        <w:right w:val="none" w:sz="0" w:space="0" w:color="auto"/>
      </w:divBdr>
    </w:div>
    <w:div w:id="192980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lt/ikainiai/Local.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4C88E-3F07-423D-937A-F158856C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10529</Words>
  <Characters>6003</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Informatīvais ziņojums “Par tarifu, ka saistīti ar maksājumu kontu, salīdzināšanas mehānisma izstrādi”</vt:lpstr>
    </vt:vector>
  </TitlesOfParts>
  <Company>Valsts ieņēmumu dienests</Company>
  <LinksUpToDate>false</LinksUpToDate>
  <CharactersWithSpaces>16500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tarifu, ka saistīti ar maksājumu kontu, salīdzināšanas mehānisma izstrādi”</dc:title>
  <dc:subject>Informatīvais ziņojums</dc:subject>
  <dc:creator>Andra Gailite</dc:creator>
  <dc:description>Inta Repše
inta.repse@fm.gov.lv
tālr.67095490</dc:description>
  <cp:lastModifiedBy>Inta Repše</cp:lastModifiedBy>
  <cp:revision>40</cp:revision>
  <cp:lastPrinted>2015-10-06T10:39:00Z</cp:lastPrinted>
  <dcterms:created xsi:type="dcterms:W3CDTF">2015-10-09T07:34:00Z</dcterms:created>
  <dcterms:modified xsi:type="dcterms:W3CDTF">2016-03-15T06:57:00Z</dcterms:modified>
</cp:coreProperties>
</file>