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3033F" w14:textId="47DD7121" w:rsidR="009C0862" w:rsidRPr="00B57653" w:rsidRDefault="0024778B" w:rsidP="009C0862">
      <w:pPr>
        <w:pStyle w:val="BodyText"/>
        <w:jc w:val="both"/>
        <w:rPr>
          <w:b w:val="0"/>
          <w:color w:val="000000" w:themeColor="text1"/>
          <w:highlight w:val="yellow"/>
          <w:lang w:val="lv-LV"/>
        </w:rPr>
      </w:pPr>
      <w:r>
        <w:rPr>
          <w:noProof/>
          <w:lang w:val="lv-LV" w:eastAsia="lv-LV"/>
        </w:rPr>
        <w:drawing>
          <wp:inline distT="0" distB="0" distL="0" distR="0" wp14:anchorId="37A0ED0B" wp14:editId="37D581A6">
            <wp:extent cx="2038350" cy="755098"/>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58960" cy="762733"/>
                    </a:xfrm>
                    <a:prstGeom prst="rect">
                      <a:avLst/>
                    </a:prstGeom>
                  </pic:spPr>
                </pic:pic>
              </a:graphicData>
            </a:graphic>
          </wp:inline>
        </w:drawing>
      </w:r>
      <w:r w:rsidR="009C0862" w:rsidRPr="00B57653">
        <w:rPr>
          <w:noProof/>
          <w:color w:val="000000" w:themeColor="text1"/>
          <w:highlight w:val="yellow"/>
          <w:lang w:val="lv-LV" w:eastAsia="lv-LV"/>
        </w:rPr>
        <w:drawing>
          <wp:anchor distT="0" distB="0" distL="114300" distR="114300" simplePos="0" relativeHeight="251660288" behindDoc="0" locked="0" layoutInCell="1" allowOverlap="1" wp14:anchorId="1A00F4E0" wp14:editId="31BEEDCC">
            <wp:simplePos x="0" y="0"/>
            <wp:positionH relativeFrom="column">
              <wp:posOffset>742950</wp:posOffset>
            </wp:positionH>
            <wp:positionV relativeFrom="paragraph">
              <wp:posOffset>128270</wp:posOffset>
            </wp:positionV>
            <wp:extent cx="2604770" cy="701675"/>
            <wp:effectExtent l="0" t="0" r="5080" b="3175"/>
            <wp:wrapSquare wrapText="bothSides"/>
            <wp:docPr id="33" name="Picture 27" descr="Description: Description: Description: Description: Swiss Contribution_garaa_vers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Description: Description: Description: Swiss Contribution_garaa_versija"/>
                    <pic:cNvPicPr>
                      <a:picLocks noChangeAspect="1" noChangeArrowheads="1"/>
                    </pic:cNvPicPr>
                  </pic:nvPicPr>
                  <pic:blipFill>
                    <a:blip r:embed="rId9" r:link="rId10" cstate="print">
                      <a:extLst>
                        <a:ext uri="{28A0092B-C50C-407E-A947-70E740481C1C}">
                          <a14:useLocalDpi xmlns:a14="http://schemas.microsoft.com/office/drawing/2010/main"/>
                        </a:ext>
                      </a:extLst>
                    </a:blip>
                    <a:srcRect/>
                    <a:stretch>
                      <a:fillRect/>
                    </a:stretch>
                  </pic:blipFill>
                  <pic:spPr bwMode="auto">
                    <a:xfrm>
                      <a:off x="0" y="0"/>
                      <a:ext cx="2604770" cy="701675"/>
                    </a:xfrm>
                    <a:prstGeom prst="rect">
                      <a:avLst/>
                    </a:prstGeom>
                    <a:noFill/>
                    <a:ln>
                      <a:noFill/>
                    </a:ln>
                  </pic:spPr>
                </pic:pic>
              </a:graphicData>
            </a:graphic>
          </wp:anchor>
        </w:drawing>
      </w:r>
      <w:r w:rsidR="009C0862" w:rsidRPr="00B57653">
        <w:rPr>
          <w:noProof/>
          <w:color w:val="000000" w:themeColor="text1"/>
          <w:highlight w:val="yellow"/>
          <w:lang w:val="lv-LV" w:eastAsia="lv-LV"/>
        </w:rPr>
        <w:drawing>
          <wp:anchor distT="0" distB="0" distL="114300" distR="114300" simplePos="0" relativeHeight="251659264" behindDoc="0" locked="0" layoutInCell="1" allowOverlap="1" wp14:anchorId="04B57C56" wp14:editId="416F9ED2">
            <wp:simplePos x="0" y="0"/>
            <wp:positionH relativeFrom="column">
              <wp:posOffset>-485775</wp:posOffset>
            </wp:positionH>
            <wp:positionV relativeFrom="paragraph">
              <wp:posOffset>77470</wp:posOffset>
            </wp:positionV>
            <wp:extent cx="1137285" cy="924560"/>
            <wp:effectExtent l="0" t="0" r="5715" b="8890"/>
            <wp:wrapSquare wrapText="bothSides"/>
            <wp:docPr id="31" name="Picture 26" descr="Description: Description: http://www.esfondi.lv/upload/Logotipi/EK_logo_ar_atsauc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http://www.esfondi.lv/upload/Logotipi/EK_logo_ar_atsauci.bmp"/>
                    <pic:cNvPicPr>
                      <a:picLocks noChangeAspect="1" noChangeArrowheads="1"/>
                    </pic:cNvPicPr>
                  </pic:nvPicPr>
                  <pic:blipFill>
                    <a:blip r:embed="rId11" r:link="rId12" cstate="print">
                      <a:extLst>
                        <a:ext uri="{28A0092B-C50C-407E-A947-70E740481C1C}">
                          <a14:useLocalDpi xmlns:a14="http://schemas.microsoft.com/office/drawing/2010/main"/>
                        </a:ext>
                      </a:extLst>
                    </a:blip>
                    <a:srcRect/>
                    <a:stretch>
                      <a:fillRect/>
                    </a:stretch>
                  </pic:blipFill>
                  <pic:spPr bwMode="auto">
                    <a:xfrm>
                      <a:off x="0" y="0"/>
                      <a:ext cx="1137285" cy="924560"/>
                    </a:xfrm>
                    <a:prstGeom prst="rect">
                      <a:avLst/>
                    </a:prstGeom>
                    <a:noFill/>
                    <a:ln>
                      <a:noFill/>
                    </a:ln>
                  </pic:spPr>
                </pic:pic>
              </a:graphicData>
            </a:graphic>
          </wp:anchor>
        </w:drawing>
      </w:r>
      <w:r w:rsidR="009C0862" w:rsidRPr="00B57653">
        <w:rPr>
          <w:b w:val="0"/>
          <w:color w:val="000000" w:themeColor="text1"/>
          <w:highlight w:val="yellow"/>
          <w:lang w:val="lv-LV"/>
        </w:rPr>
        <w:t xml:space="preserve"> </w:t>
      </w:r>
    </w:p>
    <w:p w14:paraId="24F083F8" w14:textId="77777777" w:rsidR="009C0862" w:rsidRPr="00B57653" w:rsidRDefault="009C0862" w:rsidP="009C0862">
      <w:pPr>
        <w:pStyle w:val="BodyText"/>
        <w:jc w:val="both"/>
        <w:rPr>
          <w:b w:val="0"/>
          <w:color w:val="000000" w:themeColor="text1"/>
          <w:lang w:val="lv-LV"/>
        </w:rPr>
      </w:pPr>
    </w:p>
    <w:p w14:paraId="3A039324" w14:textId="77777777" w:rsidR="009C0862" w:rsidRPr="00B57653" w:rsidRDefault="009C0862" w:rsidP="009C0862">
      <w:pPr>
        <w:pStyle w:val="BodyText"/>
        <w:jc w:val="both"/>
        <w:rPr>
          <w:b w:val="0"/>
          <w:color w:val="000000" w:themeColor="text1"/>
          <w:lang w:val="lv-LV"/>
        </w:rPr>
      </w:pPr>
    </w:p>
    <w:p w14:paraId="3630A1F2" w14:textId="77777777" w:rsidR="009C0862" w:rsidRPr="00B57653" w:rsidRDefault="009C0862" w:rsidP="009C0862">
      <w:pPr>
        <w:pStyle w:val="BodyText"/>
        <w:jc w:val="both"/>
        <w:rPr>
          <w:b w:val="0"/>
          <w:color w:val="000000" w:themeColor="text1"/>
          <w:lang w:val="lv-LV"/>
        </w:rPr>
      </w:pPr>
    </w:p>
    <w:p w14:paraId="02C1A0E7" w14:textId="77777777" w:rsidR="009C0862" w:rsidRPr="00B57653" w:rsidRDefault="009C0862" w:rsidP="009C0862">
      <w:pPr>
        <w:pStyle w:val="BodyText"/>
        <w:jc w:val="both"/>
        <w:rPr>
          <w:b w:val="0"/>
          <w:color w:val="000000" w:themeColor="text1"/>
          <w:lang w:val="lv-LV"/>
        </w:rPr>
      </w:pPr>
    </w:p>
    <w:p w14:paraId="5946652E" w14:textId="77777777" w:rsidR="009C0862" w:rsidRPr="00B57653" w:rsidRDefault="009C0862" w:rsidP="009C0862">
      <w:pPr>
        <w:pStyle w:val="BodyText"/>
        <w:jc w:val="both"/>
        <w:rPr>
          <w:b w:val="0"/>
          <w:color w:val="000000" w:themeColor="text1"/>
          <w:lang w:val="lv-LV"/>
        </w:rPr>
      </w:pPr>
    </w:p>
    <w:p w14:paraId="7CA47671" w14:textId="77777777" w:rsidR="009C0862" w:rsidRPr="00B57653" w:rsidRDefault="009C0862" w:rsidP="009C0862">
      <w:pPr>
        <w:pStyle w:val="BodyText"/>
        <w:jc w:val="both"/>
        <w:rPr>
          <w:b w:val="0"/>
          <w:color w:val="000000" w:themeColor="text1"/>
          <w:lang w:val="lv-LV"/>
        </w:rPr>
      </w:pPr>
    </w:p>
    <w:p w14:paraId="4C60D100" w14:textId="77777777" w:rsidR="009C0862" w:rsidRPr="00B57653" w:rsidRDefault="009C0862" w:rsidP="009C0862">
      <w:pPr>
        <w:pStyle w:val="BodyText"/>
        <w:tabs>
          <w:tab w:val="left" w:pos="3765"/>
        </w:tabs>
        <w:jc w:val="both"/>
        <w:rPr>
          <w:b w:val="0"/>
          <w:color w:val="000000" w:themeColor="text1"/>
          <w:lang w:val="lv-LV"/>
        </w:rPr>
      </w:pPr>
      <w:r w:rsidRPr="00B57653">
        <w:rPr>
          <w:b w:val="0"/>
          <w:color w:val="000000" w:themeColor="text1"/>
          <w:lang w:val="lv-LV"/>
        </w:rPr>
        <w:tab/>
      </w:r>
    </w:p>
    <w:p w14:paraId="393EC1E5" w14:textId="77777777" w:rsidR="009C0862" w:rsidRPr="00B57653" w:rsidRDefault="009C0862" w:rsidP="009C0862">
      <w:pPr>
        <w:pStyle w:val="BodyText"/>
        <w:jc w:val="both"/>
        <w:rPr>
          <w:b w:val="0"/>
          <w:color w:val="000000" w:themeColor="text1"/>
          <w:lang w:val="lv-LV"/>
        </w:rPr>
      </w:pPr>
    </w:p>
    <w:p w14:paraId="37A14050" w14:textId="77777777" w:rsidR="009C0862" w:rsidRPr="00B57653" w:rsidDel="00392FDF" w:rsidRDefault="009C0862" w:rsidP="009C0862">
      <w:pPr>
        <w:pStyle w:val="BodyText"/>
        <w:spacing w:before="0" w:after="0"/>
        <w:jc w:val="center"/>
        <w:rPr>
          <w:color w:val="000000" w:themeColor="text1"/>
          <w:lang w:val="lv-LV"/>
        </w:rPr>
      </w:pPr>
      <w:bookmarkStart w:id="0" w:name="OLE_LINK8"/>
      <w:bookmarkStart w:id="1" w:name="OLE_LINK9"/>
      <w:r w:rsidRPr="00B57653">
        <w:rPr>
          <w:color w:val="000000" w:themeColor="text1"/>
          <w:lang w:val="lv-LV"/>
        </w:rPr>
        <w:t>Informatīvais ziņojums par</w:t>
      </w:r>
    </w:p>
    <w:p w14:paraId="402D19E6" w14:textId="4D51A7DB" w:rsidR="009C0862" w:rsidRPr="00B57653" w:rsidRDefault="009C0862" w:rsidP="009C0862">
      <w:pPr>
        <w:pStyle w:val="Title"/>
        <w:spacing w:before="0" w:after="0"/>
        <w:rPr>
          <w:color w:val="000000" w:themeColor="text1"/>
          <w:sz w:val="24"/>
          <w:szCs w:val="24"/>
        </w:rPr>
      </w:pPr>
      <w:r w:rsidRPr="00B57653">
        <w:rPr>
          <w:color w:val="000000" w:themeColor="text1"/>
          <w:sz w:val="24"/>
          <w:szCs w:val="24"/>
        </w:rPr>
        <w:t xml:space="preserve">Eiropas Savienības struktūrfondu un Kohēzijas fonda, Eiropas Ekonomikas zonas finanšu instrumenta, Norvēģijas finanšu instrumenta un Latvijas un Šveices sadarbības programmas investīciju progresu </w:t>
      </w:r>
      <w:r>
        <w:rPr>
          <w:color w:val="000000" w:themeColor="text1"/>
          <w:sz w:val="24"/>
          <w:szCs w:val="24"/>
        </w:rPr>
        <w:t xml:space="preserve">līdz 2015.gada </w:t>
      </w:r>
      <w:r w:rsidR="00030D6F">
        <w:rPr>
          <w:color w:val="000000" w:themeColor="text1"/>
          <w:sz w:val="24"/>
          <w:szCs w:val="24"/>
        </w:rPr>
        <w:t>31.decembrim</w:t>
      </w:r>
    </w:p>
    <w:bookmarkEnd w:id="0"/>
    <w:bookmarkEnd w:id="1"/>
    <w:p w14:paraId="1D47686B" w14:textId="77777777" w:rsidR="009C0862" w:rsidRPr="00B57653" w:rsidRDefault="009C0862" w:rsidP="009C0862">
      <w:pPr>
        <w:rPr>
          <w:b/>
        </w:rPr>
      </w:pPr>
      <w:r w:rsidRPr="00B57653">
        <w:br w:type="page"/>
      </w:r>
    </w:p>
    <w:sdt>
      <w:sdtPr>
        <w:rPr>
          <w:rFonts w:ascii="Times New Roman" w:eastAsiaTheme="minorHAnsi" w:hAnsi="Times New Roman" w:cstheme="minorBidi"/>
          <w:color w:val="auto"/>
          <w:sz w:val="24"/>
          <w:szCs w:val="22"/>
          <w:lang w:val="lv-LV"/>
        </w:rPr>
        <w:id w:val="1547027860"/>
        <w:docPartObj>
          <w:docPartGallery w:val="Table of Contents"/>
          <w:docPartUnique/>
        </w:docPartObj>
      </w:sdtPr>
      <w:sdtEndPr>
        <w:rPr>
          <w:b/>
          <w:bCs/>
        </w:rPr>
      </w:sdtEndPr>
      <w:sdtContent>
        <w:p w14:paraId="577D9EDF" w14:textId="1E92C57C" w:rsidR="009C0862" w:rsidRPr="004C5227" w:rsidRDefault="009C0862" w:rsidP="00BB21DD">
          <w:pPr>
            <w:pStyle w:val="TOCHeading"/>
            <w:tabs>
              <w:tab w:val="left" w:pos="2277"/>
            </w:tabs>
            <w:rPr>
              <w:rFonts w:ascii="Times New Roman" w:hAnsi="Times New Roman" w:cs="Times New Roman"/>
              <w:color w:val="auto"/>
              <w:lang w:val="lv-LV"/>
            </w:rPr>
          </w:pPr>
          <w:r w:rsidRPr="00D05205">
            <w:rPr>
              <w:rFonts w:ascii="Times New Roman" w:hAnsi="Times New Roman" w:cs="Times New Roman"/>
              <w:color w:val="auto"/>
              <w:lang w:val="lv-LV"/>
            </w:rPr>
            <w:t>Sat</w:t>
          </w:r>
          <w:r w:rsidRPr="004C5227">
            <w:rPr>
              <w:rFonts w:ascii="Times New Roman" w:hAnsi="Times New Roman" w:cs="Times New Roman"/>
              <w:color w:val="auto"/>
              <w:lang w:val="lv-LV"/>
            </w:rPr>
            <w:t>ura rādītājs</w:t>
          </w:r>
          <w:r w:rsidR="00BB21DD" w:rsidRPr="004C5227">
            <w:rPr>
              <w:rFonts w:ascii="Times New Roman" w:hAnsi="Times New Roman" w:cs="Times New Roman"/>
              <w:color w:val="auto"/>
              <w:lang w:val="lv-LV"/>
            </w:rPr>
            <w:tab/>
          </w:r>
        </w:p>
        <w:p w14:paraId="617EE1C4" w14:textId="77777777" w:rsidR="004C5227" w:rsidRPr="004C5227" w:rsidRDefault="009C0862">
          <w:pPr>
            <w:pStyle w:val="TOC1"/>
            <w:rPr>
              <w:rFonts w:asciiTheme="minorHAnsi" w:eastAsiaTheme="minorEastAsia" w:hAnsiTheme="minorHAnsi" w:cstheme="minorBidi"/>
              <w:b w:val="0"/>
              <w:bCs w:val="0"/>
              <w:sz w:val="22"/>
              <w:szCs w:val="22"/>
              <w:lang w:eastAsia="lv-LV"/>
            </w:rPr>
          </w:pPr>
          <w:r w:rsidRPr="004C5227">
            <w:rPr>
              <w:b w:val="0"/>
              <w:noProof w:val="0"/>
            </w:rPr>
            <w:fldChar w:fldCharType="begin"/>
          </w:r>
          <w:r w:rsidRPr="004C5227">
            <w:rPr>
              <w:b w:val="0"/>
              <w:noProof w:val="0"/>
            </w:rPr>
            <w:instrText xml:space="preserve"> TOC \o "1-3" \h \z \u </w:instrText>
          </w:r>
          <w:r w:rsidRPr="004C5227">
            <w:rPr>
              <w:b w:val="0"/>
              <w:noProof w:val="0"/>
            </w:rPr>
            <w:fldChar w:fldCharType="separate"/>
          </w:r>
          <w:hyperlink w:anchor="_Toc443658849" w:history="1">
            <w:r w:rsidR="004C5227" w:rsidRPr="004C5227">
              <w:rPr>
                <w:rStyle w:val="Hyperlink"/>
                <w:b w:val="0"/>
              </w:rPr>
              <w:t>Kopsavilkums</w:t>
            </w:r>
            <w:r w:rsidR="004C5227" w:rsidRPr="004C5227">
              <w:rPr>
                <w:b w:val="0"/>
                <w:webHidden/>
              </w:rPr>
              <w:tab/>
            </w:r>
            <w:r w:rsidR="004C5227" w:rsidRPr="004C5227">
              <w:rPr>
                <w:b w:val="0"/>
                <w:webHidden/>
              </w:rPr>
              <w:fldChar w:fldCharType="begin"/>
            </w:r>
            <w:r w:rsidR="004C5227" w:rsidRPr="004C5227">
              <w:rPr>
                <w:b w:val="0"/>
                <w:webHidden/>
              </w:rPr>
              <w:instrText xml:space="preserve"> PAGEREF _Toc443658849 \h </w:instrText>
            </w:r>
            <w:r w:rsidR="004C5227" w:rsidRPr="004C5227">
              <w:rPr>
                <w:b w:val="0"/>
                <w:webHidden/>
              </w:rPr>
            </w:r>
            <w:r w:rsidR="004C5227" w:rsidRPr="004C5227">
              <w:rPr>
                <w:b w:val="0"/>
                <w:webHidden/>
              </w:rPr>
              <w:fldChar w:fldCharType="separate"/>
            </w:r>
            <w:r w:rsidR="009E6319">
              <w:rPr>
                <w:b w:val="0"/>
                <w:webHidden/>
              </w:rPr>
              <w:t>6</w:t>
            </w:r>
            <w:r w:rsidR="004C5227" w:rsidRPr="004C5227">
              <w:rPr>
                <w:b w:val="0"/>
                <w:webHidden/>
              </w:rPr>
              <w:fldChar w:fldCharType="end"/>
            </w:r>
          </w:hyperlink>
        </w:p>
        <w:p w14:paraId="5BA80A1F" w14:textId="77777777" w:rsidR="004C5227" w:rsidRPr="004C5227" w:rsidRDefault="006E65A3">
          <w:pPr>
            <w:pStyle w:val="TOC1"/>
            <w:rPr>
              <w:rFonts w:asciiTheme="minorHAnsi" w:eastAsiaTheme="minorEastAsia" w:hAnsiTheme="minorHAnsi" w:cstheme="minorBidi"/>
              <w:b w:val="0"/>
              <w:bCs w:val="0"/>
              <w:sz w:val="22"/>
              <w:szCs w:val="22"/>
              <w:lang w:eastAsia="lv-LV"/>
            </w:rPr>
          </w:pPr>
          <w:hyperlink w:anchor="_Toc443658850" w:history="1">
            <w:r w:rsidR="004C5227" w:rsidRPr="004C5227">
              <w:rPr>
                <w:rStyle w:val="Hyperlink"/>
                <w:b w:val="0"/>
                <w:lang w:eastAsia="lv-LV"/>
              </w:rPr>
              <w:t>1.</w:t>
            </w:r>
            <w:r w:rsidR="004C5227" w:rsidRPr="004C5227">
              <w:rPr>
                <w:rFonts w:asciiTheme="minorHAnsi" w:eastAsiaTheme="minorEastAsia" w:hAnsiTheme="minorHAnsi" w:cstheme="minorBidi"/>
                <w:b w:val="0"/>
                <w:bCs w:val="0"/>
                <w:sz w:val="22"/>
                <w:szCs w:val="22"/>
                <w:lang w:eastAsia="lv-LV"/>
              </w:rPr>
              <w:tab/>
            </w:r>
            <w:r w:rsidR="004C5227" w:rsidRPr="004C5227">
              <w:rPr>
                <w:rStyle w:val="Hyperlink"/>
                <w:b w:val="0"/>
              </w:rPr>
              <w:t>ES fondu finansējuma ietekme uz Latvijas tautsaimniecības attīstību</w:t>
            </w:r>
            <w:r w:rsidR="004C5227" w:rsidRPr="004C5227">
              <w:rPr>
                <w:b w:val="0"/>
                <w:webHidden/>
              </w:rPr>
              <w:tab/>
            </w:r>
            <w:r w:rsidR="004C5227" w:rsidRPr="004C5227">
              <w:rPr>
                <w:b w:val="0"/>
                <w:webHidden/>
              </w:rPr>
              <w:fldChar w:fldCharType="begin"/>
            </w:r>
            <w:r w:rsidR="004C5227" w:rsidRPr="004C5227">
              <w:rPr>
                <w:b w:val="0"/>
                <w:webHidden/>
              </w:rPr>
              <w:instrText xml:space="preserve"> PAGEREF _Toc443658850 \h </w:instrText>
            </w:r>
            <w:r w:rsidR="004C5227" w:rsidRPr="004C5227">
              <w:rPr>
                <w:b w:val="0"/>
                <w:webHidden/>
              </w:rPr>
            </w:r>
            <w:r w:rsidR="004C5227" w:rsidRPr="004C5227">
              <w:rPr>
                <w:b w:val="0"/>
                <w:webHidden/>
              </w:rPr>
              <w:fldChar w:fldCharType="separate"/>
            </w:r>
            <w:r w:rsidR="009E6319">
              <w:rPr>
                <w:b w:val="0"/>
                <w:webHidden/>
              </w:rPr>
              <w:t>8</w:t>
            </w:r>
            <w:r w:rsidR="004C5227" w:rsidRPr="004C5227">
              <w:rPr>
                <w:b w:val="0"/>
                <w:webHidden/>
              </w:rPr>
              <w:fldChar w:fldCharType="end"/>
            </w:r>
          </w:hyperlink>
        </w:p>
        <w:p w14:paraId="58993302" w14:textId="77777777" w:rsidR="004C5227" w:rsidRPr="004C5227" w:rsidRDefault="006E65A3">
          <w:pPr>
            <w:pStyle w:val="TOC1"/>
            <w:rPr>
              <w:rFonts w:asciiTheme="minorHAnsi" w:eastAsiaTheme="minorEastAsia" w:hAnsiTheme="minorHAnsi" w:cstheme="minorBidi"/>
              <w:b w:val="0"/>
              <w:bCs w:val="0"/>
              <w:sz w:val="22"/>
              <w:szCs w:val="22"/>
              <w:lang w:eastAsia="lv-LV"/>
            </w:rPr>
          </w:pPr>
          <w:hyperlink w:anchor="_Toc443658851" w:history="1">
            <w:r w:rsidR="004C5227" w:rsidRPr="004C5227">
              <w:rPr>
                <w:rStyle w:val="Hyperlink"/>
                <w:b w:val="0"/>
              </w:rPr>
              <w:t>2.</w:t>
            </w:r>
            <w:r w:rsidR="004C5227" w:rsidRPr="004C5227">
              <w:rPr>
                <w:rFonts w:asciiTheme="minorHAnsi" w:eastAsiaTheme="minorEastAsia" w:hAnsiTheme="minorHAnsi" w:cstheme="minorBidi"/>
                <w:b w:val="0"/>
                <w:bCs w:val="0"/>
                <w:sz w:val="22"/>
                <w:szCs w:val="22"/>
                <w:lang w:eastAsia="lv-LV"/>
              </w:rPr>
              <w:tab/>
            </w:r>
            <w:r w:rsidR="004C5227" w:rsidRPr="004C5227">
              <w:rPr>
                <w:rStyle w:val="Hyperlink"/>
                <w:b w:val="0"/>
              </w:rPr>
              <w:t>2004.-2006.gada plānošanas perioda KF projektu slēgšana</w:t>
            </w:r>
            <w:r w:rsidR="004C5227" w:rsidRPr="004C5227">
              <w:rPr>
                <w:b w:val="0"/>
                <w:webHidden/>
              </w:rPr>
              <w:tab/>
            </w:r>
            <w:r w:rsidR="004C5227" w:rsidRPr="004C5227">
              <w:rPr>
                <w:b w:val="0"/>
                <w:webHidden/>
              </w:rPr>
              <w:fldChar w:fldCharType="begin"/>
            </w:r>
            <w:r w:rsidR="004C5227" w:rsidRPr="004C5227">
              <w:rPr>
                <w:b w:val="0"/>
                <w:webHidden/>
              </w:rPr>
              <w:instrText xml:space="preserve"> PAGEREF _Toc443658851 \h </w:instrText>
            </w:r>
            <w:r w:rsidR="004C5227" w:rsidRPr="004C5227">
              <w:rPr>
                <w:b w:val="0"/>
                <w:webHidden/>
              </w:rPr>
            </w:r>
            <w:r w:rsidR="004C5227" w:rsidRPr="004C5227">
              <w:rPr>
                <w:b w:val="0"/>
                <w:webHidden/>
              </w:rPr>
              <w:fldChar w:fldCharType="separate"/>
            </w:r>
            <w:r w:rsidR="009E6319">
              <w:rPr>
                <w:b w:val="0"/>
                <w:webHidden/>
              </w:rPr>
              <w:t>10</w:t>
            </w:r>
            <w:r w:rsidR="004C5227" w:rsidRPr="004C5227">
              <w:rPr>
                <w:b w:val="0"/>
                <w:webHidden/>
              </w:rPr>
              <w:fldChar w:fldCharType="end"/>
            </w:r>
          </w:hyperlink>
        </w:p>
        <w:p w14:paraId="0846B536" w14:textId="77777777" w:rsidR="004C5227" w:rsidRPr="004C5227" w:rsidRDefault="006E65A3">
          <w:pPr>
            <w:pStyle w:val="TOC1"/>
            <w:rPr>
              <w:rFonts w:asciiTheme="minorHAnsi" w:eastAsiaTheme="minorEastAsia" w:hAnsiTheme="minorHAnsi" w:cstheme="minorBidi"/>
              <w:b w:val="0"/>
              <w:bCs w:val="0"/>
              <w:sz w:val="22"/>
              <w:szCs w:val="22"/>
              <w:lang w:eastAsia="lv-LV"/>
            </w:rPr>
          </w:pPr>
          <w:hyperlink w:anchor="_Toc443658852" w:history="1">
            <w:r w:rsidR="004C5227" w:rsidRPr="004C5227">
              <w:rPr>
                <w:rStyle w:val="Hyperlink"/>
                <w:b w:val="0"/>
              </w:rPr>
              <w:t>3.</w:t>
            </w:r>
            <w:r w:rsidR="004C5227" w:rsidRPr="004C5227">
              <w:rPr>
                <w:rFonts w:asciiTheme="minorHAnsi" w:eastAsiaTheme="minorEastAsia" w:hAnsiTheme="minorHAnsi" w:cstheme="minorBidi"/>
                <w:b w:val="0"/>
                <w:bCs w:val="0"/>
                <w:sz w:val="22"/>
                <w:szCs w:val="22"/>
                <w:lang w:eastAsia="lv-LV"/>
              </w:rPr>
              <w:tab/>
            </w:r>
            <w:r w:rsidR="004C5227" w:rsidRPr="004C5227">
              <w:rPr>
                <w:rStyle w:val="Hyperlink"/>
                <w:b w:val="0"/>
              </w:rPr>
              <w:t>2007. -2013.gada plānošanas perioda ES fondu ieviešana</w:t>
            </w:r>
            <w:r w:rsidR="004C5227" w:rsidRPr="004C5227">
              <w:rPr>
                <w:b w:val="0"/>
                <w:webHidden/>
              </w:rPr>
              <w:tab/>
            </w:r>
            <w:r w:rsidR="004C5227" w:rsidRPr="004C5227">
              <w:rPr>
                <w:b w:val="0"/>
                <w:webHidden/>
              </w:rPr>
              <w:fldChar w:fldCharType="begin"/>
            </w:r>
            <w:r w:rsidR="004C5227" w:rsidRPr="004C5227">
              <w:rPr>
                <w:b w:val="0"/>
                <w:webHidden/>
              </w:rPr>
              <w:instrText xml:space="preserve"> PAGEREF _Toc443658852 \h </w:instrText>
            </w:r>
            <w:r w:rsidR="004C5227" w:rsidRPr="004C5227">
              <w:rPr>
                <w:b w:val="0"/>
                <w:webHidden/>
              </w:rPr>
            </w:r>
            <w:r w:rsidR="004C5227" w:rsidRPr="004C5227">
              <w:rPr>
                <w:b w:val="0"/>
                <w:webHidden/>
              </w:rPr>
              <w:fldChar w:fldCharType="separate"/>
            </w:r>
            <w:r w:rsidR="009E6319">
              <w:rPr>
                <w:b w:val="0"/>
                <w:webHidden/>
              </w:rPr>
              <w:t>10</w:t>
            </w:r>
            <w:r w:rsidR="004C5227" w:rsidRPr="004C5227">
              <w:rPr>
                <w:b w:val="0"/>
                <w:webHidden/>
              </w:rPr>
              <w:fldChar w:fldCharType="end"/>
            </w:r>
          </w:hyperlink>
        </w:p>
        <w:p w14:paraId="1BA29829" w14:textId="77777777" w:rsidR="004C5227" w:rsidRPr="004C5227" w:rsidRDefault="006E65A3">
          <w:pPr>
            <w:pStyle w:val="TOC2"/>
            <w:rPr>
              <w:rFonts w:asciiTheme="minorHAnsi" w:eastAsiaTheme="minorEastAsia" w:hAnsiTheme="minorHAnsi" w:cstheme="minorBidi"/>
              <w:bCs w:val="0"/>
              <w:sz w:val="22"/>
              <w:szCs w:val="22"/>
              <w:lang w:eastAsia="lv-LV"/>
            </w:rPr>
          </w:pPr>
          <w:hyperlink w:anchor="_Toc443658853" w:history="1">
            <w:r w:rsidR="004C5227" w:rsidRPr="004C5227">
              <w:rPr>
                <w:rStyle w:val="Hyperlink"/>
              </w:rPr>
              <w:t>3.1.</w:t>
            </w:r>
            <w:r w:rsidR="004C5227" w:rsidRPr="004C5227">
              <w:rPr>
                <w:rFonts w:asciiTheme="minorHAnsi" w:eastAsiaTheme="minorEastAsia" w:hAnsiTheme="minorHAnsi" w:cstheme="minorBidi"/>
                <w:bCs w:val="0"/>
                <w:sz w:val="22"/>
                <w:szCs w:val="22"/>
                <w:lang w:eastAsia="lv-LV"/>
              </w:rPr>
              <w:tab/>
            </w:r>
            <w:r w:rsidR="004C5227" w:rsidRPr="004C5227">
              <w:rPr>
                <w:rStyle w:val="Hyperlink"/>
              </w:rPr>
              <w:t>Darbības programmu un darbības programmu papildinājumu grozījumi</w:t>
            </w:r>
            <w:r w:rsidR="004C5227" w:rsidRPr="004C5227">
              <w:rPr>
                <w:webHidden/>
              </w:rPr>
              <w:tab/>
            </w:r>
            <w:r w:rsidR="004C5227" w:rsidRPr="004C5227">
              <w:rPr>
                <w:webHidden/>
              </w:rPr>
              <w:fldChar w:fldCharType="begin"/>
            </w:r>
            <w:r w:rsidR="004C5227" w:rsidRPr="004C5227">
              <w:rPr>
                <w:webHidden/>
              </w:rPr>
              <w:instrText xml:space="preserve"> PAGEREF _Toc443658853 \h </w:instrText>
            </w:r>
            <w:r w:rsidR="004C5227" w:rsidRPr="004C5227">
              <w:rPr>
                <w:webHidden/>
              </w:rPr>
            </w:r>
            <w:r w:rsidR="004C5227" w:rsidRPr="004C5227">
              <w:rPr>
                <w:webHidden/>
              </w:rPr>
              <w:fldChar w:fldCharType="separate"/>
            </w:r>
            <w:r w:rsidR="009E6319">
              <w:rPr>
                <w:webHidden/>
              </w:rPr>
              <w:t>10</w:t>
            </w:r>
            <w:r w:rsidR="004C5227" w:rsidRPr="004C5227">
              <w:rPr>
                <w:webHidden/>
              </w:rPr>
              <w:fldChar w:fldCharType="end"/>
            </w:r>
          </w:hyperlink>
        </w:p>
        <w:p w14:paraId="47B41192" w14:textId="77777777" w:rsidR="004C5227" w:rsidRPr="004C5227" w:rsidRDefault="006E65A3">
          <w:pPr>
            <w:pStyle w:val="TOC2"/>
            <w:rPr>
              <w:rFonts w:asciiTheme="minorHAnsi" w:eastAsiaTheme="minorEastAsia" w:hAnsiTheme="minorHAnsi" w:cstheme="minorBidi"/>
              <w:bCs w:val="0"/>
              <w:sz w:val="22"/>
              <w:szCs w:val="22"/>
              <w:lang w:eastAsia="lv-LV"/>
            </w:rPr>
          </w:pPr>
          <w:hyperlink w:anchor="_Toc443658854" w:history="1">
            <w:r w:rsidR="004C5227" w:rsidRPr="004C5227">
              <w:rPr>
                <w:rStyle w:val="Hyperlink"/>
              </w:rPr>
              <w:t>3.2.</w:t>
            </w:r>
            <w:r w:rsidR="004C5227" w:rsidRPr="004C5227">
              <w:rPr>
                <w:rFonts w:asciiTheme="minorHAnsi" w:eastAsiaTheme="minorEastAsia" w:hAnsiTheme="minorHAnsi" w:cstheme="minorBidi"/>
                <w:bCs w:val="0"/>
                <w:sz w:val="22"/>
                <w:szCs w:val="22"/>
                <w:lang w:eastAsia="lv-LV"/>
              </w:rPr>
              <w:tab/>
            </w:r>
            <w:r w:rsidR="004C5227" w:rsidRPr="004C5227">
              <w:rPr>
                <w:rStyle w:val="Hyperlink"/>
              </w:rPr>
              <w:t>ES fondu investīciju progress</w:t>
            </w:r>
            <w:r w:rsidR="004C5227" w:rsidRPr="004C5227">
              <w:rPr>
                <w:webHidden/>
              </w:rPr>
              <w:tab/>
            </w:r>
            <w:r w:rsidR="004C5227" w:rsidRPr="004C5227">
              <w:rPr>
                <w:webHidden/>
              </w:rPr>
              <w:fldChar w:fldCharType="begin"/>
            </w:r>
            <w:r w:rsidR="004C5227" w:rsidRPr="004C5227">
              <w:rPr>
                <w:webHidden/>
              </w:rPr>
              <w:instrText xml:space="preserve"> PAGEREF _Toc443658854 \h </w:instrText>
            </w:r>
            <w:r w:rsidR="004C5227" w:rsidRPr="004C5227">
              <w:rPr>
                <w:webHidden/>
              </w:rPr>
            </w:r>
            <w:r w:rsidR="004C5227" w:rsidRPr="004C5227">
              <w:rPr>
                <w:webHidden/>
              </w:rPr>
              <w:fldChar w:fldCharType="separate"/>
            </w:r>
            <w:r w:rsidR="009E6319">
              <w:rPr>
                <w:webHidden/>
              </w:rPr>
              <w:t>12</w:t>
            </w:r>
            <w:r w:rsidR="004C5227" w:rsidRPr="004C5227">
              <w:rPr>
                <w:webHidden/>
              </w:rPr>
              <w:fldChar w:fldCharType="end"/>
            </w:r>
          </w:hyperlink>
        </w:p>
        <w:p w14:paraId="6212DC1D" w14:textId="77777777" w:rsidR="004C5227" w:rsidRPr="004C5227" w:rsidRDefault="006E65A3">
          <w:pPr>
            <w:pStyle w:val="TOC2"/>
            <w:rPr>
              <w:rFonts w:asciiTheme="minorHAnsi" w:eastAsiaTheme="minorEastAsia" w:hAnsiTheme="minorHAnsi" w:cstheme="minorBidi"/>
              <w:bCs w:val="0"/>
              <w:sz w:val="22"/>
              <w:szCs w:val="22"/>
              <w:lang w:eastAsia="lv-LV"/>
            </w:rPr>
          </w:pPr>
          <w:hyperlink w:anchor="_Toc443658855" w:history="1">
            <w:r w:rsidR="004C5227" w:rsidRPr="004C5227">
              <w:rPr>
                <w:rStyle w:val="Hyperlink"/>
              </w:rPr>
              <w:t>3.3.</w:t>
            </w:r>
            <w:r w:rsidR="004C5227" w:rsidRPr="004C5227">
              <w:rPr>
                <w:rFonts w:asciiTheme="minorHAnsi" w:eastAsiaTheme="minorEastAsia" w:hAnsiTheme="minorHAnsi" w:cstheme="minorBidi"/>
                <w:bCs w:val="0"/>
                <w:sz w:val="22"/>
                <w:szCs w:val="22"/>
                <w:lang w:eastAsia="lv-LV"/>
              </w:rPr>
              <w:tab/>
            </w:r>
            <w:r w:rsidR="004C5227" w:rsidRPr="004C5227">
              <w:rPr>
                <w:rStyle w:val="Hyperlink"/>
              </w:rPr>
              <w:t>2007. -2013.gada plānošanas perioda slēgšana</w:t>
            </w:r>
            <w:r w:rsidR="004C5227" w:rsidRPr="004C5227">
              <w:rPr>
                <w:webHidden/>
              </w:rPr>
              <w:tab/>
            </w:r>
            <w:r w:rsidR="004C5227" w:rsidRPr="004C5227">
              <w:rPr>
                <w:webHidden/>
              </w:rPr>
              <w:fldChar w:fldCharType="begin"/>
            </w:r>
            <w:r w:rsidR="004C5227" w:rsidRPr="004C5227">
              <w:rPr>
                <w:webHidden/>
              </w:rPr>
              <w:instrText xml:space="preserve"> PAGEREF _Toc443658855 \h </w:instrText>
            </w:r>
            <w:r w:rsidR="004C5227" w:rsidRPr="004C5227">
              <w:rPr>
                <w:webHidden/>
              </w:rPr>
            </w:r>
            <w:r w:rsidR="004C5227" w:rsidRPr="004C5227">
              <w:rPr>
                <w:webHidden/>
              </w:rPr>
              <w:fldChar w:fldCharType="separate"/>
            </w:r>
            <w:r w:rsidR="009E6319">
              <w:rPr>
                <w:webHidden/>
              </w:rPr>
              <w:t>22</w:t>
            </w:r>
            <w:r w:rsidR="004C5227" w:rsidRPr="004C5227">
              <w:rPr>
                <w:webHidden/>
              </w:rPr>
              <w:fldChar w:fldCharType="end"/>
            </w:r>
          </w:hyperlink>
        </w:p>
        <w:p w14:paraId="089328B8" w14:textId="77777777" w:rsidR="004C5227" w:rsidRPr="004C5227" w:rsidRDefault="006E65A3">
          <w:pPr>
            <w:pStyle w:val="TOC1"/>
            <w:rPr>
              <w:rFonts w:asciiTheme="minorHAnsi" w:eastAsiaTheme="minorEastAsia" w:hAnsiTheme="minorHAnsi" w:cstheme="minorBidi"/>
              <w:b w:val="0"/>
              <w:bCs w:val="0"/>
              <w:sz w:val="22"/>
              <w:szCs w:val="22"/>
              <w:lang w:eastAsia="lv-LV"/>
            </w:rPr>
          </w:pPr>
          <w:hyperlink w:anchor="_Toc443658856" w:history="1">
            <w:r w:rsidR="004C5227" w:rsidRPr="004C5227">
              <w:rPr>
                <w:rStyle w:val="Hyperlink"/>
                <w:b w:val="0"/>
              </w:rPr>
              <w:t>4.</w:t>
            </w:r>
            <w:r w:rsidR="004C5227" w:rsidRPr="004C5227">
              <w:rPr>
                <w:rFonts w:asciiTheme="minorHAnsi" w:eastAsiaTheme="minorEastAsia" w:hAnsiTheme="minorHAnsi" w:cstheme="minorBidi"/>
                <w:b w:val="0"/>
                <w:bCs w:val="0"/>
                <w:sz w:val="22"/>
                <w:szCs w:val="22"/>
                <w:lang w:eastAsia="lv-LV"/>
              </w:rPr>
              <w:tab/>
            </w:r>
            <w:r w:rsidR="004C5227" w:rsidRPr="004C5227">
              <w:rPr>
                <w:rStyle w:val="Hyperlink"/>
                <w:b w:val="0"/>
              </w:rPr>
              <w:t>EEZ/Norvēģijas finanšu instrumentu ieviešana</w:t>
            </w:r>
            <w:r w:rsidR="004C5227" w:rsidRPr="004C5227">
              <w:rPr>
                <w:b w:val="0"/>
                <w:webHidden/>
              </w:rPr>
              <w:tab/>
            </w:r>
            <w:r w:rsidR="004C5227" w:rsidRPr="004C5227">
              <w:rPr>
                <w:b w:val="0"/>
                <w:webHidden/>
              </w:rPr>
              <w:fldChar w:fldCharType="begin"/>
            </w:r>
            <w:r w:rsidR="004C5227" w:rsidRPr="004C5227">
              <w:rPr>
                <w:b w:val="0"/>
                <w:webHidden/>
              </w:rPr>
              <w:instrText xml:space="preserve"> PAGEREF _Toc443658856 \h </w:instrText>
            </w:r>
            <w:r w:rsidR="004C5227" w:rsidRPr="004C5227">
              <w:rPr>
                <w:b w:val="0"/>
                <w:webHidden/>
              </w:rPr>
            </w:r>
            <w:r w:rsidR="004C5227" w:rsidRPr="004C5227">
              <w:rPr>
                <w:b w:val="0"/>
                <w:webHidden/>
              </w:rPr>
              <w:fldChar w:fldCharType="separate"/>
            </w:r>
            <w:r w:rsidR="009E6319">
              <w:rPr>
                <w:b w:val="0"/>
                <w:webHidden/>
              </w:rPr>
              <w:t>24</w:t>
            </w:r>
            <w:r w:rsidR="004C5227" w:rsidRPr="004C5227">
              <w:rPr>
                <w:b w:val="0"/>
                <w:webHidden/>
              </w:rPr>
              <w:fldChar w:fldCharType="end"/>
            </w:r>
          </w:hyperlink>
        </w:p>
        <w:p w14:paraId="108DC8B4" w14:textId="77777777" w:rsidR="004C5227" w:rsidRPr="004C5227" w:rsidRDefault="006E65A3">
          <w:pPr>
            <w:pStyle w:val="TOC1"/>
            <w:rPr>
              <w:rFonts w:asciiTheme="minorHAnsi" w:eastAsiaTheme="minorEastAsia" w:hAnsiTheme="minorHAnsi" w:cstheme="minorBidi"/>
              <w:b w:val="0"/>
              <w:bCs w:val="0"/>
              <w:sz w:val="22"/>
              <w:szCs w:val="22"/>
              <w:lang w:eastAsia="lv-LV"/>
            </w:rPr>
          </w:pPr>
          <w:hyperlink w:anchor="_Toc443658857" w:history="1">
            <w:r w:rsidR="004C5227" w:rsidRPr="004C5227">
              <w:rPr>
                <w:rStyle w:val="Hyperlink"/>
                <w:b w:val="0"/>
              </w:rPr>
              <w:t>5.</w:t>
            </w:r>
            <w:r w:rsidR="004C5227" w:rsidRPr="004C5227">
              <w:rPr>
                <w:rFonts w:asciiTheme="minorHAnsi" w:eastAsiaTheme="minorEastAsia" w:hAnsiTheme="minorHAnsi" w:cstheme="minorBidi"/>
                <w:b w:val="0"/>
                <w:bCs w:val="0"/>
                <w:sz w:val="22"/>
                <w:szCs w:val="22"/>
                <w:lang w:eastAsia="lv-LV"/>
              </w:rPr>
              <w:tab/>
            </w:r>
            <w:r w:rsidR="004C5227" w:rsidRPr="004C5227">
              <w:rPr>
                <w:rStyle w:val="Hyperlink"/>
                <w:b w:val="0"/>
              </w:rPr>
              <w:t>Šveices programmas ieviešana</w:t>
            </w:r>
            <w:r w:rsidR="004C5227" w:rsidRPr="004C5227">
              <w:rPr>
                <w:b w:val="0"/>
                <w:webHidden/>
              </w:rPr>
              <w:tab/>
            </w:r>
            <w:r w:rsidR="004C5227" w:rsidRPr="004C5227">
              <w:rPr>
                <w:b w:val="0"/>
                <w:webHidden/>
              </w:rPr>
              <w:fldChar w:fldCharType="begin"/>
            </w:r>
            <w:r w:rsidR="004C5227" w:rsidRPr="004C5227">
              <w:rPr>
                <w:b w:val="0"/>
                <w:webHidden/>
              </w:rPr>
              <w:instrText xml:space="preserve"> PAGEREF _Toc443658857 \h </w:instrText>
            </w:r>
            <w:r w:rsidR="004C5227" w:rsidRPr="004C5227">
              <w:rPr>
                <w:b w:val="0"/>
                <w:webHidden/>
              </w:rPr>
            </w:r>
            <w:r w:rsidR="004C5227" w:rsidRPr="004C5227">
              <w:rPr>
                <w:b w:val="0"/>
                <w:webHidden/>
              </w:rPr>
              <w:fldChar w:fldCharType="separate"/>
            </w:r>
            <w:r w:rsidR="009E6319">
              <w:rPr>
                <w:b w:val="0"/>
                <w:webHidden/>
              </w:rPr>
              <w:t>30</w:t>
            </w:r>
            <w:r w:rsidR="004C5227" w:rsidRPr="004C5227">
              <w:rPr>
                <w:b w:val="0"/>
                <w:webHidden/>
              </w:rPr>
              <w:fldChar w:fldCharType="end"/>
            </w:r>
          </w:hyperlink>
        </w:p>
        <w:p w14:paraId="2A595B29" w14:textId="77777777" w:rsidR="004C5227" w:rsidRPr="004C5227" w:rsidRDefault="006E65A3">
          <w:pPr>
            <w:pStyle w:val="TOC1"/>
            <w:rPr>
              <w:rFonts w:asciiTheme="minorHAnsi" w:eastAsiaTheme="minorEastAsia" w:hAnsiTheme="minorHAnsi" w:cstheme="minorBidi"/>
              <w:b w:val="0"/>
              <w:bCs w:val="0"/>
              <w:sz w:val="22"/>
              <w:szCs w:val="22"/>
              <w:lang w:eastAsia="lv-LV"/>
            </w:rPr>
          </w:pPr>
          <w:hyperlink w:anchor="_Toc443658858" w:history="1">
            <w:r w:rsidR="004C5227" w:rsidRPr="004C5227">
              <w:rPr>
                <w:rStyle w:val="Hyperlink"/>
                <w:b w:val="0"/>
              </w:rPr>
              <w:t>6.</w:t>
            </w:r>
            <w:r w:rsidR="004C5227" w:rsidRPr="004C5227">
              <w:rPr>
                <w:rFonts w:asciiTheme="minorHAnsi" w:eastAsiaTheme="minorEastAsia" w:hAnsiTheme="minorHAnsi" w:cstheme="minorBidi"/>
                <w:b w:val="0"/>
                <w:bCs w:val="0"/>
                <w:sz w:val="22"/>
                <w:szCs w:val="22"/>
                <w:lang w:eastAsia="lv-LV"/>
              </w:rPr>
              <w:tab/>
            </w:r>
            <w:r w:rsidR="004C5227" w:rsidRPr="004C5227">
              <w:rPr>
                <w:rStyle w:val="Hyperlink"/>
                <w:b w:val="0"/>
              </w:rPr>
              <w:t>Neatbilstības ES fondu un citas ārvalstu finanšu palīdzības līdzfinansētos projektos</w:t>
            </w:r>
            <w:r w:rsidR="004C5227" w:rsidRPr="004C5227">
              <w:rPr>
                <w:b w:val="0"/>
                <w:webHidden/>
              </w:rPr>
              <w:tab/>
            </w:r>
            <w:r w:rsidR="004C5227" w:rsidRPr="004C5227">
              <w:rPr>
                <w:b w:val="0"/>
                <w:webHidden/>
              </w:rPr>
              <w:fldChar w:fldCharType="begin"/>
            </w:r>
            <w:r w:rsidR="004C5227" w:rsidRPr="004C5227">
              <w:rPr>
                <w:b w:val="0"/>
                <w:webHidden/>
              </w:rPr>
              <w:instrText xml:space="preserve"> PAGEREF _Toc443658858 \h </w:instrText>
            </w:r>
            <w:r w:rsidR="004C5227" w:rsidRPr="004C5227">
              <w:rPr>
                <w:b w:val="0"/>
                <w:webHidden/>
              </w:rPr>
            </w:r>
            <w:r w:rsidR="004C5227" w:rsidRPr="004C5227">
              <w:rPr>
                <w:b w:val="0"/>
                <w:webHidden/>
              </w:rPr>
              <w:fldChar w:fldCharType="separate"/>
            </w:r>
            <w:r w:rsidR="009E6319">
              <w:rPr>
                <w:b w:val="0"/>
                <w:webHidden/>
              </w:rPr>
              <w:t>31</w:t>
            </w:r>
            <w:r w:rsidR="004C5227" w:rsidRPr="004C5227">
              <w:rPr>
                <w:b w:val="0"/>
                <w:webHidden/>
              </w:rPr>
              <w:fldChar w:fldCharType="end"/>
            </w:r>
          </w:hyperlink>
        </w:p>
        <w:p w14:paraId="410B0F75" w14:textId="77777777" w:rsidR="004C5227" w:rsidRPr="004C5227" w:rsidRDefault="006E65A3">
          <w:pPr>
            <w:pStyle w:val="TOC2"/>
            <w:rPr>
              <w:rFonts w:asciiTheme="minorHAnsi" w:eastAsiaTheme="minorEastAsia" w:hAnsiTheme="minorHAnsi" w:cstheme="minorBidi"/>
              <w:bCs w:val="0"/>
              <w:sz w:val="22"/>
              <w:szCs w:val="22"/>
              <w:lang w:eastAsia="lv-LV"/>
            </w:rPr>
          </w:pPr>
          <w:hyperlink w:anchor="_Toc443658859" w:history="1">
            <w:r w:rsidR="004C5227" w:rsidRPr="004C5227">
              <w:rPr>
                <w:rStyle w:val="Hyperlink"/>
              </w:rPr>
              <w:t>6.1.</w:t>
            </w:r>
            <w:r w:rsidR="004C5227" w:rsidRPr="004C5227">
              <w:rPr>
                <w:rFonts w:asciiTheme="minorHAnsi" w:eastAsiaTheme="minorEastAsia" w:hAnsiTheme="minorHAnsi" w:cstheme="minorBidi"/>
                <w:bCs w:val="0"/>
                <w:sz w:val="22"/>
                <w:szCs w:val="22"/>
                <w:lang w:eastAsia="lv-LV"/>
              </w:rPr>
              <w:tab/>
            </w:r>
            <w:r w:rsidR="004C5227" w:rsidRPr="004C5227">
              <w:rPr>
                <w:rStyle w:val="Hyperlink"/>
              </w:rPr>
              <w:t>Neatbilstības ar finansiālu ietekmi ES fondu 2007.-2013.gada plānošanas periodā ES fondos līdz 2015.gada 31.decembrim</w:t>
            </w:r>
            <w:r w:rsidR="004C5227" w:rsidRPr="004C5227">
              <w:rPr>
                <w:webHidden/>
              </w:rPr>
              <w:tab/>
            </w:r>
            <w:r w:rsidR="004C5227" w:rsidRPr="004C5227">
              <w:rPr>
                <w:webHidden/>
              </w:rPr>
              <w:fldChar w:fldCharType="begin"/>
            </w:r>
            <w:r w:rsidR="004C5227" w:rsidRPr="004C5227">
              <w:rPr>
                <w:webHidden/>
              </w:rPr>
              <w:instrText xml:space="preserve"> PAGEREF _Toc443658859 \h </w:instrText>
            </w:r>
            <w:r w:rsidR="004C5227" w:rsidRPr="004C5227">
              <w:rPr>
                <w:webHidden/>
              </w:rPr>
            </w:r>
            <w:r w:rsidR="004C5227" w:rsidRPr="004C5227">
              <w:rPr>
                <w:webHidden/>
              </w:rPr>
              <w:fldChar w:fldCharType="separate"/>
            </w:r>
            <w:r w:rsidR="009E6319">
              <w:rPr>
                <w:webHidden/>
              </w:rPr>
              <w:t>31</w:t>
            </w:r>
            <w:r w:rsidR="004C5227" w:rsidRPr="004C5227">
              <w:rPr>
                <w:webHidden/>
              </w:rPr>
              <w:fldChar w:fldCharType="end"/>
            </w:r>
          </w:hyperlink>
        </w:p>
        <w:p w14:paraId="605CD3FE" w14:textId="77777777" w:rsidR="004C5227" w:rsidRPr="004C5227" w:rsidRDefault="006E65A3">
          <w:pPr>
            <w:pStyle w:val="TOC2"/>
            <w:rPr>
              <w:rFonts w:asciiTheme="minorHAnsi" w:eastAsiaTheme="minorEastAsia" w:hAnsiTheme="minorHAnsi" w:cstheme="minorBidi"/>
              <w:bCs w:val="0"/>
              <w:sz w:val="22"/>
              <w:szCs w:val="22"/>
              <w:lang w:eastAsia="lv-LV"/>
            </w:rPr>
          </w:pPr>
          <w:hyperlink w:anchor="_Toc443658860" w:history="1">
            <w:r w:rsidR="004C5227" w:rsidRPr="004C5227">
              <w:rPr>
                <w:rStyle w:val="Hyperlink"/>
              </w:rPr>
              <w:t>6.2.</w:t>
            </w:r>
            <w:r w:rsidR="004C5227" w:rsidRPr="004C5227">
              <w:rPr>
                <w:rFonts w:asciiTheme="minorHAnsi" w:eastAsiaTheme="minorEastAsia" w:hAnsiTheme="minorHAnsi" w:cstheme="minorBidi"/>
                <w:bCs w:val="0"/>
                <w:sz w:val="22"/>
                <w:szCs w:val="22"/>
                <w:lang w:eastAsia="lv-LV"/>
              </w:rPr>
              <w:tab/>
            </w:r>
            <w:r w:rsidR="004C5227" w:rsidRPr="004C5227">
              <w:rPr>
                <w:rStyle w:val="Hyperlink"/>
              </w:rPr>
              <w:t>Neatbilstības ES fondu 2014.-2020.gada plānošanas periodā ES fondos līdz 2015.gada 31.decembrim</w:t>
            </w:r>
            <w:r w:rsidR="004C5227" w:rsidRPr="004C5227">
              <w:rPr>
                <w:webHidden/>
              </w:rPr>
              <w:tab/>
            </w:r>
            <w:r w:rsidR="004C5227" w:rsidRPr="004C5227">
              <w:rPr>
                <w:webHidden/>
              </w:rPr>
              <w:fldChar w:fldCharType="begin"/>
            </w:r>
            <w:r w:rsidR="004C5227" w:rsidRPr="004C5227">
              <w:rPr>
                <w:webHidden/>
              </w:rPr>
              <w:instrText xml:space="preserve"> PAGEREF _Toc443658860 \h </w:instrText>
            </w:r>
            <w:r w:rsidR="004C5227" w:rsidRPr="004C5227">
              <w:rPr>
                <w:webHidden/>
              </w:rPr>
            </w:r>
            <w:r w:rsidR="004C5227" w:rsidRPr="004C5227">
              <w:rPr>
                <w:webHidden/>
              </w:rPr>
              <w:fldChar w:fldCharType="separate"/>
            </w:r>
            <w:r w:rsidR="009E6319">
              <w:rPr>
                <w:webHidden/>
              </w:rPr>
              <w:t>40</w:t>
            </w:r>
            <w:r w:rsidR="004C5227" w:rsidRPr="004C5227">
              <w:rPr>
                <w:webHidden/>
              </w:rPr>
              <w:fldChar w:fldCharType="end"/>
            </w:r>
          </w:hyperlink>
        </w:p>
        <w:p w14:paraId="643DA4F7" w14:textId="77777777" w:rsidR="004C5227" w:rsidRPr="004C5227" w:rsidRDefault="006E65A3">
          <w:pPr>
            <w:pStyle w:val="TOC2"/>
            <w:rPr>
              <w:rFonts w:asciiTheme="minorHAnsi" w:eastAsiaTheme="minorEastAsia" w:hAnsiTheme="minorHAnsi" w:cstheme="minorBidi"/>
              <w:bCs w:val="0"/>
              <w:sz w:val="22"/>
              <w:szCs w:val="22"/>
              <w:lang w:eastAsia="lv-LV"/>
            </w:rPr>
          </w:pPr>
          <w:hyperlink w:anchor="_Toc443658861" w:history="1">
            <w:r w:rsidR="004C5227" w:rsidRPr="004C5227">
              <w:rPr>
                <w:rStyle w:val="Hyperlink"/>
              </w:rPr>
              <w:t>6.3.</w:t>
            </w:r>
            <w:r w:rsidR="004C5227" w:rsidRPr="004C5227">
              <w:rPr>
                <w:rFonts w:asciiTheme="minorHAnsi" w:eastAsiaTheme="minorEastAsia" w:hAnsiTheme="minorHAnsi" w:cstheme="minorBidi"/>
                <w:bCs w:val="0"/>
                <w:sz w:val="22"/>
                <w:szCs w:val="22"/>
                <w:lang w:eastAsia="lv-LV"/>
              </w:rPr>
              <w:tab/>
            </w:r>
            <w:r w:rsidR="004C5227" w:rsidRPr="004C5227">
              <w:rPr>
                <w:rStyle w:val="Hyperlink"/>
              </w:rPr>
              <w:t>Neatbilstības EEZ/Norvēģijas finanšu instrumentos un Šveices programmā</w:t>
            </w:r>
            <w:r w:rsidR="004C5227" w:rsidRPr="004C5227">
              <w:rPr>
                <w:webHidden/>
              </w:rPr>
              <w:tab/>
            </w:r>
            <w:r w:rsidR="004C5227" w:rsidRPr="004C5227">
              <w:rPr>
                <w:webHidden/>
              </w:rPr>
              <w:fldChar w:fldCharType="begin"/>
            </w:r>
            <w:r w:rsidR="004C5227" w:rsidRPr="004C5227">
              <w:rPr>
                <w:webHidden/>
              </w:rPr>
              <w:instrText xml:space="preserve"> PAGEREF _Toc443658861 \h </w:instrText>
            </w:r>
            <w:r w:rsidR="004C5227" w:rsidRPr="004C5227">
              <w:rPr>
                <w:webHidden/>
              </w:rPr>
            </w:r>
            <w:r w:rsidR="004C5227" w:rsidRPr="004C5227">
              <w:rPr>
                <w:webHidden/>
              </w:rPr>
              <w:fldChar w:fldCharType="separate"/>
            </w:r>
            <w:r w:rsidR="009E6319">
              <w:rPr>
                <w:webHidden/>
              </w:rPr>
              <w:t>42</w:t>
            </w:r>
            <w:r w:rsidR="004C5227" w:rsidRPr="004C5227">
              <w:rPr>
                <w:webHidden/>
              </w:rPr>
              <w:fldChar w:fldCharType="end"/>
            </w:r>
          </w:hyperlink>
        </w:p>
        <w:p w14:paraId="2BEE94F0" w14:textId="77777777" w:rsidR="004C5227" w:rsidRPr="004C5227" w:rsidRDefault="006E65A3">
          <w:pPr>
            <w:pStyle w:val="TOC1"/>
            <w:rPr>
              <w:rFonts w:asciiTheme="minorHAnsi" w:eastAsiaTheme="minorEastAsia" w:hAnsiTheme="minorHAnsi" w:cstheme="minorBidi"/>
              <w:b w:val="0"/>
              <w:bCs w:val="0"/>
              <w:sz w:val="22"/>
              <w:szCs w:val="22"/>
              <w:lang w:eastAsia="lv-LV"/>
            </w:rPr>
          </w:pPr>
          <w:hyperlink w:anchor="_Toc443658862" w:history="1">
            <w:r w:rsidR="004C5227" w:rsidRPr="004C5227">
              <w:rPr>
                <w:rStyle w:val="Hyperlink"/>
                <w:b w:val="0"/>
              </w:rPr>
              <w:t>7.</w:t>
            </w:r>
            <w:r w:rsidR="004C5227" w:rsidRPr="004C5227">
              <w:rPr>
                <w:rFonts w:asciiTheme="minorHAnsi" w:eastAsiaTheme="minorEastAsia" w:hAnsiTheme="minorHAnsi" w:cstheme="minorBidi"/>
                <w:b w:val="0"/>
                <w:bCs w:val="0"/>
                <w:sz w:val="22"/>
                <w:szCs w:val="22"/>
                <w:lang w:eastAsia="lv-LV"/>
              </w:rPr>
              <w:tab/>
            </w:r>
            <w:r w:rsidR="004C5227" w:rsidRPr="004C5227">
              <w:rPr>
                <w:rStyle w:val="Hyperlink"/>
                <w:b w:val="0"/>
              </w:rPr>
              <w:t>2014.–2020.gada plānošanas perioda ES fondu ieviešana</w:t>
            </w:r>
            <w:r w:rsidR="004C5227" w:rsidRPr="004C5227">
              <w:rPr>
                <w:b w:val="0"/>
                <w:webHidden/>
              </w:rPr>
              <w:tab/>
            </w:r>
            <w:r w:rsidR="004C5227" w:rsidRPr="004C5227">
              <w:rPr>
                <w:b w:val="0"/>
                <w:webHidden/>
              </w:rPr>
              <w:fldChar w:fldCharType="begin"/>
            </w:r>
            <w:r w:rsidR="004C5227" w:rsidRPr="004C5227">
              <w:rPr>
                <w:b w:val="0"/>
                <w:webHidden/>
              </w:rPr>
              <w:instrText xml:space="preserve"> PAGEREF _Toc443658862 \h </w:instrText>
            </w:r>
            <w:r w:rsidR="004C5227" w:rsidRPr="004C5227">
              <w:rPr>
                <w:b w:val="0"/>
                <w:webHidden/>
              </w:rPr>
            </w:r>
            <w:r w:rsidR="004C5227" w:rsidRPr="004C5227">
              <w:rPr>
                <w:b w:val="0"/>
                <w:webHidden/>
              </w:rPr>
              <w:fldChar w:fldCharType="separate"/>
            </w:r>
            <w:r w:rsidR="009E6319">
              <w:rPr>
                <w:b w:val="0"/>
                <w:webHidden/>
              </w:rPr>
              <w:t>42</w:t>
            </w:r>
            <w:r w:rsidR="004C5227" w:rsidRPr="004C5227">
              <w:rPr>
                <w:b w:val="0"/>
                <w:webHidden/>
              </w:rPr>
              <w:fldChar w:fldCharType="end"/>
            </w:r>
          </w:hyperlink>
        </w:p>
        <w:p w14:paraId="7AD482AA" w14:textId="77777777" w:rsidR="004C5227" w:rsidRPr="004C5227" w:rsidRDefault="006E65A3">
          <w:pPr>
            <w:pStyle w:val="TOC2"/>
            <w:rPr>
              <w:rFonts w:asciiTheme="minorHAnsi" w:eastAsiaTheme="minorEastAsia" w:hAnsiTheme="minorHAnsi" w:cstheme="minorBidi"/>
              <w:bCs w:val="0"/>
              <w:sz w:val="22"/>
              <w:szCs w:val="22"/>
              <w:lang w:eastAsia="lv-LV"/>
            </w:rPr>
          </w:pPr>
          <w:hyperlink w:anchor="_Toc443658863" w:history="1">
            <w:r w:rsidR="004C5227" w:rsidRPr="004C5227">
              <w:rPr>
                <w:rStyle w:val="Hyperlink"/>
              </w:rPr>
              <w:t>7.1.</w:t>
            </w:r>
            <w:r w:rsidR="004C5227" w:rsidRPr="004C5227">
              <w:rPr>
                <w:rFonts w:asciiTheme="minorHAnsi" w:eastAsiaTheme="minorEastAsia" w:hAnsiTheme="minorHAnsi" w:cstheme="minorBidi"/>
                <w:bCs w:val="0"/>
                <w:sz w:val="22"/>
                <w:szCs w:val="22"/>
                <w:lang w:eastAsia="lv-LV"/>
              </w:rPr>
              <w:tab/>
            </w:r>
            <w:r w:rsidR="004C5227" w:rsidRPr="004C5227">
              <w:rPr>
                <w:rStyle w:val="Hyperlink"/>
              </w:rPr>
              <w:t>Ex-ante nosacījumu izpildes progress</w:t>
            </w:r>
            <w:r w:rsidR="004C5227" w:rsidRPr="004C5227">
              <w:rPr>
                <w:webHidden/>
              </w:rPr>
              <w:tab/>
            </w:r>
            <w:r w:rsidR="004C5227" w:rsidRPr="004C5227">
              <w:rPr>
                <w:webHidden/>
              </w:rPr>
              <w:fldChar w:fldCharType="begin"/>
            </w:r>
            <w:r w:rsidR="004C5227" w:rsidRPr="004C5227">
              <w:rPr>
                <w:webHidden/>
              </w:rPr>
              <w:instrText xml:space="preserve"> PAGEREF _Toc443658863 \h </w:instrText>
            </w:r>
            <w:r w:rsidR="004C5227" w:rsidRPr="004C5227">
              <w:rPr>
                <w:webHidden/>
              </w:rPr>
            </w:r>
            <w:r w:rsidR="004C5227" w:rsidRPr="004C5227">
              <w:rPr>
                <w:webHidden/>
              </w:rPr>
              <w:fldChar w:fldCharType="separate"/>
            </w:r>
            <w:r w:rsidR="009E6319">
              <w:rPr>
                <w:webHidden/>
              </w:rPr>
              <w:t>51</w:t>
            </w:r>
            <w:r w:rsidR="004C5227" w:rsidRPr="004C5227">
              <w:rPr>
                <w:webHidden/>
              </w:rPr>
              <w:fldChar w:fldCharType="end"/>
            </w:r>
          </w:hyperlink>
        </w:p>
        <w:p w14:paraId="45A5BEE6" w14:textId="77777777" w:rsidR="004C5227" w:rsidRPr="004C5227" w:rsidRDefault="006E65A3">
          <w:pPr>
            <w:pStyle w:val="TOC2"/>
            <w:rPr>
              <w:rFonts w:asciiTheme="minorHAnsi" w:eastAsiaTheme="minorEastAsia" w:hAnsiTheme="minorHAnsi" w:cstheme="minorBidi"/>
              <w:bCs w:val="0"/>
              <w:sz w:val="22"/>
              <w:szCs w:val="22"/>
              <w:lang w:eastAsia="lv-LV"/>
            </w:rPr>
          </w:pPr>
          <w:hyperlink w:anchor="_Toc443658864" w:history="1">
            <w:r w:rsidR="004C5227" w:rsidRPr="004C5227">
              <w:rPr>
                <w:rStyle w:val="Hyperlink"/>
              </w:rPr>
              <w:t>7.2.</w:t>
            </w:r>
            <w:r w:rsidR="004C5227" w:rsidRPr="004C5227">
              <w:rPr>
                <w:rFonts w:asciiTheme="minorHAnsi" w:eastAsiaTheme="minorEastAsia" w:hAnsiTheme="minorHAnsi" w:cstheme="minorBidi"/>
                <w:bCs w:val="0"/>
                <w:sz w:val="22"/>
                <w:szCs w:val="22"/>
                <w:lang w:eastAsia="lv-LV"/>
              </w:rPr>
              <w:tab/>
            </w:r>
            <w:r w:rsidR="004C5227" w:rsidRPr="004C5227">
              <w:rPr>
                <w:rStyle w:val="Hyperlink"/>
              </w:rPr>
              <w:t>Valsts budžeta izdevumi 2014.-2020.gada plānošanas periodam</w:t>
            </w:r>
            <w:r w:rsidR="004C5227" w:rsidRPr="004C5227">
              <w:rPr>
                <w:webHidden/>
              </w:rPr>
              <w:tab/>
            </w:r>
            <w:r w:rsidR="004C5227" w:rsidRPr="004C5227">
              <w:rPr>
                <w:webHidden/>
              </w:rPr>
              <w:fldChar w:fldCharType="begin"/>
            </w:r>
            <w:r w:rsidR="004C5227" w:rsidRPr="004C5227">
              <w:rPr>
                <w:webHidden/>
              </w:rPr>
              <w:instrText xml:space="preserve"> PAGEREF _Toc443658864 \h </w:instrText>
            </w:r>
            <w:r w:rsidR="004C5227" w:rsidRPr="004C5227">
              <w:rPr>
                <w:webHidden/>
              </w:rPr>
            </w:r>
            <w:r w:rsidR="004C5227" w:rsidRPr="004C5227">
              <w:rPr>
                <w:webHidden/>
              </w:rPr>
              <w:fldChar w:fldCharType="separate"/>
            </w:r>
            <w:r w:rsidR="009E6319">
              <w:rPr>
                <w:webHidden/>
              </w:rPr>
              <w:t>54</w:t>
            </w:r>
            <w:r w:rsidR="004C5227" w:rsidRPr="004C5227">
              <w:rPr>
                <w:webHidden/>
              </w:rPr>
              <w:fldChar w:fldCharType="end"/>
            </w:r>
          </w:hyperlink>
        </w:p>
        <w:p w14:paraId="0299633D" w14:textId="77777777" w:rsidR="004C5227" w:rsidRPr="004C5227" w:rsidRDefault="006E65A3">
          <w:pPr>
            <w:pStyle w:val="TOC1"/>
            <w:rPr>
              <w:rFonts w:asciiTheme="minorHAnsi" w:eastAsiaTheme="minorEastAsia" w:hAnsiTheme="minorHAnsi" w:cstheme="minorBidi"/>
              <w:b w:val="0"/>
              <w:bCs w:val="0"/>
              <w:sz w:val="22"/>
              <w:szCs w:val="22"/>
              <w:lang w:eastAsia="lv-LV"/>
            </w:rPr>
          </w:pPr>
          <w:hyperlink w:anchor="_Toc443658865" w:history="1">
            <w:r w:rsidR="004C5227" w:rsidRPr="004C5227">
              <w:rPr>
                <w:rStyle w:val="Hyperlink"/>
                <w:b w:val="0"/>
              </w:rPr>
              <w:t>8.</w:t>
            </w:r>
            <w:r w:rsidR="004C5227" w:rsidRPr="004C5227">
              <w:rPr>
                <w:rFonts w:asciiTheme="minorHAnsi" w:eastAsiaTheme="minorEastAsia" w:hAnsiTheme="minorHAnsi" w:cstheme="minorBidi"/>
                <w:b w:val="0"/>
                <w:bCs w:val="0"/>
                <w:sz w:val="22"/>
                <w:szCs w:val="22"/>
                <w:lang w:eastAsia="lv-LV"/>
              </w:rPr>
              <w:tab/>
            </w:r>
            <w:r w:rsidR="004C5227" w:rsidRPr="004C5227">
              <w:rPr>
                <w:rStyle w:val="Hyperlink"/>
                <w:b w:val="0"/>
              </w:rPr>
              <w:t>ES fondu ieviešanas, vadības, kontroles un uzraudzības sistēmas darbība un pasākumi tās pilnveidošanai ES fondu 2007.-2013. un 2014.-2020.gada plānošanas periodiem</w:t>
            </w:r>
            <w:r w:rsidR="004C5227" w:rsidRPr="004C5227">
              <w:rPr>
                <w:b w:val="0"/>
                <w:webHidden/>
              </w:rPr>
              <w:tab/>
            </w:r>
            <w:r w:rsidR="004C5227" w:rsidRPr="004C5227">
              <w:rPr>
                <w:b w:val="0"/>
                <w:webHidden/>
              </w:rPr>
              <w:fldChar w:fldCharType="begin"/>
            </w:r>
            <w:r w:rsidR="004C5227" w:rsidRPr="004C5227">
              <w:rPr>
                <w:b w:val="0"/>
                <w:webHidden/>
              </w:rPr>
              <w:instrText xml:space="preserve"> PAGEREF _Toc443658865 \h </w:instrText>
            </w:r>
            <w:r w:rsidR="004C5227" w:rsidRPr="004C5227">
              <w:rPr>
                <w:b w:val="0"/>
                <w:webHidden/>
              </w:rPr>
            </w:r>
            <w:r w:rsidR="004C5227" w:rsidRPr="004C5227">
              <w:rPr>
                <w:b w:val="0"/>
                <w:webHidden/>
              </w:rPr>
              <w:fldChar w:fldCharType="separate"/>
            </w:r>
            <w:r w:rsidR="009E6319">
              <w:rPr>
                <w:b w:val="0"/>
                <w:webHidden/>
              </w:rPr>
              <w:t>54</w:t>
            </w:r>
            <w:r w:rsidR="004C5227" w:rsidRPr="004C5227">
              <w:rPr>
                <w:b w:val="0"/>
                <w:webHidden/>
              </w:rPr>
              <w:fldChar w:fldCharType="end"/>
            </w:r>
          </w:hyperlink>
        </w:p>
        <w:p w14:paraId="5180BAEE" w14:textId="77777777" w:rsidR="004C5227" w:rsidRPr="004C5227" w:rsidRDefault="006E65A3">
          <w:pPr>
            <w:pStyle w:val="TOC1"/>
            <w:rPr>
              <w:rFonts w:asciiTheme="minorHAnsi" w:eastAsiaTheme="minorEastAsia" w:hAnsiTheme="minorHAnsi" w:cstheme="minorBidi"/>
              <w:b w:val="0"/>
              <w:bCs w:val="0"/>
              <w:sz w:val="22"/>
              <w:szCs w:val="22"/>
              <w:lang w:eastAsia="lv-LV"/>
            </w:rPr>
          </w:pPr>
          <w:hyperlink w:anchor="_Toc443658866" w:history="1">
            <w:r w:rsidR="004C5227" w:rsidRPr="004C5227">
              <w:rPr>
                <w:rStyle w:val="Hyperlink"/>
                <w:b w:val="0"/>
              </w:rPr>
              <w:t>9.</w:t>
            </w:r>
            <w:r w:rsidR="004C5227" w:rsidRPr="004C5227">
              <w:rPr>
                <w:rFonts w:asciiTheme="minorHAnsi" w:eastAsiaTheme="minorEastAsia" w:hAnsiTheme="minorHAnsi" w:cstheme="minorBidi"/>
                <w:b w:val="0"/>
                <w:bCs w:val="0"/>
                <w:sz w:val="22"/>
                <w:szCs w:val="22"/>
                <w:lang w:eastAsia="lv-LV"/>
              </w:rPr>
              <w:tab/>
            </w:r>
            <w:r w:rsidR="004C5227" w:rsidRPr="004C5227">
              <w:rPr>
                <w:rStyle w:val="Hyperlink"/>
                <w:b w:val="0"/>
              </w:rPr>
              <w:t>2007-2013. un 2014.-2020.gada plānošanas periodu ES fondu izvērtēšanas jautājumi</w:t>
            </w:r>
            <w:r w:rsidR="004C5227" w:rsidRPr="004C5227">
              <w:rPr>
                <w:b w:val="0"/>
                <w:webHidden/>
              </w:rPr>
              <w:tab/>
            </w:r>
            <w:r w:rsidR="004C5227" w:rsidRPr="004C5227">
              <w:rPr>
                <w:b w:val="0"/>
                <w:webHidden/>
              </w:rPr>
              <w:fldChar w:fldCharType="begin"/>
            </w:r>
            <w:r w:rsidR="004C5227" w:rsidRPr="004C5227">
              <w:rPr>
                <w:b w:val="0"/>
                <w:webHidden/>
              </w:rPr>
              <w:instrText xml:space="preserve"> PAGEREF _Toc443658866 \h </w:instrText>
            </w:r>
            <w:r w:rsidR="004C5227" w:rsidRPr="004C5227">
              <w:rPr>
                <w:b w:val="0"/>
                <w:webHidden/>
              </w:rPr>
            </w:r>
            <w:r w:rsidR="004C5227" w:rsidRPr="004C5227">
              <w:rPr>
                <w:b w:val="0"/>
                <w:webHidden/>
              </w:rPr>
              <w:fldChar w:fldCharType="separate"/>
            </w:r>
            <w:r w:rsidR="009E6319">
              <w:rPr>
                <w:b w:val="0"/>
                <w:webHidden/>
              </w:rPr>
              <w:t>59</w:t>
            </w:r>
            <w:r w:rsidR="004C5227" w:rsidRPr="004C5227">
              <w:rPr>
                <w:b w:val="0"/>
                <w:webHidden/>
              </w:rPr>
              <w:fldChar w:fldCharType="end"/>
            </w:r>
          </w:hyperlink>
        </w:p>
        <w:p w14:paraId="529016E7" w14:textId="77777777" w:rsidR="004C5227" w:rsidRPr="004C5227" w:rsidRDefault="006E65A3">
          <w:pPr>
            <w:pStyle w:val="TOC1"/>
            <w:rPr>
              <w:rFonts w:asciiTheme="minorHAnsi" w:eastAsiaTheme="minorEastAsia" w:hAnsiTheme="minorHAnsi" w:cstheme="minorBidi"/>
              <w:b w:val="0"/>
              <w:bCs w:val="0"/>
              <w:sz w:val="22"/>
              <w:szCs w:val="22"/>
              <w:lang w:eastAsia="lv-LV"/>
            </w:rPr>
          </w:pPr>
          <w:hyperlink w:anchor="_Toc443658867" w:history="1">
            <w:r w:rsidR="004C5227" w:rsidRPr="004C5227">
              <w:rPr>
                <w:rStyle w:val="Hyperlink"/>
                <w:b w:val="0"/>
              </w:rPr>
              <w:t>10.</w:t>
            </w:r>
            <w:r w:rsidR="004C5227" w:rsidRPr="004C5227">
              <w:rPr>
                <w:rFonts w:asciiTheme="minorHAnsi" w:eastAsiaTheme="minorEastAsia" w:hAnsiTheme="minorHAnsi" w:cstheme="minorBidi"/>
                <w:b w:val="0"/>
                <w:bCs w:val="0"/>
                <w:sz w:val="22"/>
                <w:szCs w:val="22"/>
                <w:lang w:eastAsia="lv-LV"/>
              </w:rPr>
              <w:tab/>
            </w:r>
            <w:r w:rsidR="004C5227" w:rsidRPr="004C5227">
              <w:rPr>
                <w:rStyle w:val="Hyperlink"/>
                <w:b w:val="0"/>
              </w:rPr>
              <w:t>Nākamā pārskata perioda aktualitātes</w:t>
            </w:r>
            <w:r w:rsidR="004C5227" w:rsidRPr="004C5227">
              <w:rPr>
                <w:b w:val="0"/>
                <w:webHidden/>
              </w:rPr>
              <w:tab/>
            </w:r>
            <w:r w:rsidR="004C5227" w:rsidRPr="004C5227">
              <w:rPr>
                <w:b w:val="0"/>
                <w:webHidden/>
              </w:rPr>
              <w:fldChar w:fldCharType="begin"/>
            </w:r>
            <w:r w:rsidR="004C5227" w:rsidRPr="004C5227">
              <w:rPr>
                <w:b w:val="0"/>
                <w:webHidden/>
              </w:rPr>
              <w:instrText xml:space="preserve"> PAGEREF _Toc443658867 \h </w:instrText>
            </w:r>
            <w:r w:rsidR="004C5227" w:rsidRPr="004C5227">
              <w:rPr>
                <w:b w:val="0"/>
                <w:webHidden/>
              </w:rPr>
            </w:r>
            <w:r w:rsidR="004C5227" w:rsidRPr="004C5227">
              <w:rPr>
                <w:b w:val="0"/>
                <w:webHidden/>
              </w:rPr>
              <w:fldChar w:fldCharType="separate"/>
            </w:r>
            <w:r w:rsidR="009E6319">
              <w:rPr>
                <w:b w:val="0"/>
                <w:webHidden/>
              </w:rPr>
              <w:t>60</w:t>
            </w:r>
            <w:r w:rsidR="004C5227" w:rsidRPr="004C5227">
              <w:rPr>
                <w:b w:val="0"/>
                <w:webHidden/>
              </w:rPr>
              <w:fldChar w:fldCharType="end"/>
            </w:r>
          </w:hyperlink>
        </w:p>
        <w:p w14:paraId="0A0044C6" w14:textId="1FC7D374" w:rsidR="009C0862" w:rsidRPr="00B57653" w:rsidRDefault="009C0862" w:rsidP="009C0862">
          <w:r w:rsidRPr="004C5227">
            <w:rPr>
              <w:bCs/>
            </w:rPr>
            <w:fldChar w:fldCharType="end"/>
          </w:r>
        </w:p>
      </w:sdtContent>
    </w:sdt>
    <w:p w14:paraId="475B076B" w14:textId="77777777" w:rsidR="009C0862" w:rsidRPr="00B57653" w:rsidRDefault="009C0862" w:rsidP="009C0862">
      <w:pPr>
        <w:tabs>
          <w:tab w:val="right" w:leader="dot" w:pos="9072"/>
        </w:tabs>
        <w:spacing w:line="360" w:lineRule="auto"/>
        <w:rPr>
          <w:bCs/>
          <w:color w:val="000000" w:themeColor="text1"/>
          <w:szCs w:val="24"/>
        </w:rPr>
      </w:pPr>
    </w:p>
    <w:p w14:paraId="0A386326" w14:textId="77777777" w:rsidR="009C0862" w:rsidRPr="00B57653" w:rsidRDefault="009C0862" w:rsidP="009C0862">
      <w:pPr>
        <w:tabs>
          <w:tab w:val="right" w:leader="dot" w:pos="9072"/>
        </w:tabs>
        <w:spacing w:line="360" w:lineRule="auto"/>
        <w:rPr>
          <w:bCs/>
          <w:color w:val="000000" w:themeColor="text1"/>
          <w:szCs w:val="24"/>
        </w:rPr>
      </w:pPr>
    </w:p>
    <w:p w14:paraId="30406306" w14:textId="77777777" w:rsidR="009C0862" w:rsidRPr="00B57653" w:rsidRDefault="009C0862" w:rsidP="009C0862">
      <w:pPr>
        <w:tabs>
          <w:tab w:val="right" w:leader="dot" w:pos="9072"/>
        </w:tabs>
        <w:spacing w:line="360" w:lineRule="auto"/>
        <w:rPr>
          <w:bCs/>
          <w:color w:val="000000" w:themeColor="text1"/>
          <w:szCs w:val="24"/>
        </w:rPr>
      </w:pPr>
    </w:p>
    <w:p w14:paraId="2B8C54B1" w14:textId="7DAFD851" w:rsidR="009C0862" w:rsidRPr="00CD0471" w:rsidRDefault="00CD0471" w:rsidP="00CD0471">
      <w:pPr>
        <w:rPr>
          <w:bCs/>
          <w:color w:val="000000" w:themeColor="text1"/>
          <w:szCs w:val="24"/>
        </w:rPr>
      </w:pPr>
      <w:r>
        <w:rPr>
          <w:bCs/>
          <w:color w:val="000000" w:themeColor="text1"/>
          <w:szCs w:val="24"/>
        </w:rPr>
        <w:br w:type="page"/>
      </w:r>
      <w:r w:rsidR="009C0862" w:rsidRPr="00B57653">
        <w:rPr>
          <w:bCs/>
          <w:color w:val="000000" w:themeColor="text1"/>
          <w:szCs w:val="24"/>
        </w:rPr>
        <w:lastRenderedPageBreak/>
        <w:t>PIELIKUM</w:t>
      </w:r>
      <w:r w:rsidR="007B79E4">
        <w:rPr>
          <w:bCs/>
          <w:color w:val="000000" w:themeColor="text1"/>
          <w:szCs w:val="24"/>
        </w:rPr>
        <w:t>I</w:t>
      </w:r>
      <w:r w:rsidR="009C0862" w:rsidRPr="00B57653">
        <w:rPr>
          <w:bCs/>
          <w:color w:val="000000" w:themeColor="text1"/>
          <w:szCs w:val="24"/>
        </w:rPr>
        <w:t>:</w:t>
      </w:r>
    </w:p>
    <w:p w14:paraId="4199C93E" w14:textId="4A9B0828" w:rsidR="009C0862" w:rsidRPr="007B79E4" w:rsidRDefault="007B79E4" w:rsidP="007B79E4">
      <w:pPr>
        <w:pStyle w:val="Default"/>
        <w:spacing w:line="23" w:lineRule="atLeast"/>
        <w:rPr>
          <w:rFonts w:eastAsia="Times New Roman"/>
          <w:color w:val="000000" w:themeColor="text1"/>
          <w:lang w:eastAsia="en-US"/>
        </w:rPr>
      </w:pPr>
      <w:r w:rsidRPr="007B79E4">
        <w:rPr>
          <w:rFonts w:eastAsia="Times New Roman"/>
          <w:color w:val="000000" w:themeColor="text1"/>
          <w:lang w:eastAsia="en-US"/>
        </w:rPr>
        <w:t xml:space="preserve">1.pielikums </w:t>
      </w:r>
      <w:r w:rsidRPr="007B79E4">
        <w:t xml:space="preserve">informatīvajam ziņojumam </w:t>
      </w:r>
      <w:r w:rsidR="009C0862" w:rsidRPr="007B79E4">
        <w:rPr>
          <w:rFonts w:eastAsia="Times New Roman"/>
          <w:color w:val="000000" w:themeColor="text1"/>
          <w:lang w:eastAsia="en-US"/>
        </w:rPr>
        <w:t>„2007. – 2013.gada plānošanas perioda ES fondu finanšu investīcijas prioritāšu līmenī līdz 2015.gada 3</w:t>
      </w:r>
      <w:r w:rsidR="00030D6F" w:rsidRPr="007B79E4">
        <w:rPr>
          <w:rFonts w:eastAsia="Times New Roman"/>
          <w:color w:val="000000" w:themeColor="text1"/>
          <w:lang w:eastAsia="en-US"/>
        </w:rPr>
        <w:t>1</w:t>
      </w:r>
      <w:r w:rsidR="009C0862" w:rsidRPr="007B79E4">
        <w:rPr>
          <w:rFonts w:eastAsia="Times New Roman"/>
          <w:color w:val="000000" w:themeColor="text1"/>
          <w:lang w:eastAsia="en-US"/>
        </w:rPr>
        <w:t>.</w:t>
      </w:r>
      <w:r w:rsidR="00030D6F" w:rsidRPr="007B79E4">
        <w:rPr>
          <w:rFonts w:eastAsia="Times New Roman"/>
          <w:color w:val="000000" w:themeColor="text1"/>
          <w:lang w:eastAsia="en-US"/>
        </w:rPr>
        <w:t>decembrim</w:t>
      </w:r>
      <w:r>
        <w:rPr>
          <w:rFonts w:eastAsia="Times New Roman"/>
          <w:color w:val="000000" w:themeColor="text1"/>
          <w:lang w:eastAsia="en-US"/>
        </w:rPr>
        <w:t>”;</w:t>
      </w:r>
    </w:p>
    <w:p w14:paraId="6BB4A339" w14:textId="3E8AC3D7" w:rsidR="007B79E4" w:rsidRDefault="007B79E4" w:rsidP="007B79E4">
      <w:pPr>
        <w:pStyle w:val="Default"/>
        <w:spacing w:line="23" w:lineRule="atLeast"/>
      </w:pPr>
      <w:r w:rsidRPr="007B79E4">
        <w:t>2.pielikums informatīvajam ziņojumam “2014. - 2020.gada plānošanas perioda ES fondu investīcijas prioritāro virzienu līmenī līdz 2015.gada 31.decembrim”</w:t>
      </w:r>
      <w:r>
        <w:t>;</w:t>
      </w:r>
    </w:p>
    <w:p w14:paraId="3894C65E" w14:textId="5A2E6E3D" w:rsidR="007B79E4" w:rsidRDefault="007B79E4" w:rsidP="007B79E4">
      <w:pPr>
        <w:pStyle w:val="Default"/>
        <w:spacing w:line="23" w:lineRule="atLeast"/>
        <w:rPr>
          <w:rFonts w:eastAsia="Times New Roman"/>
          <w:color w:val="000000" w:themeColor="text1"/>
          <w:lang w:eastAsia="en-US"/>
        </w:rPr>
      </w:pPr>
      <w:r w:rsidRPr="007B79E4">
        <w:rPr>
          <w:rFonts w:eastAsia="Times New Roman"/>
          <w:color w:val="000000" w:themeColor="text1"/>
          <w:lang w:eastAsia="en-US"/>
        </w:rPr>
        <w:t>3.pielikums informatīvajam ziņojumam “Mērķis maksājumiem Eiropas Ekonomikas zonas finanšu instrumenta un Norvēģijas finanšu instrumenta programmās 2016.gadā un indikatīvi 2017.gadā”</w:t>
      </w:r>
      <w:r w:rsidR="006253D8">
        <w:rPr>
          <w:rFonts w:eastAsia="Times New Roman"/>
          <w:color w:val="000000" w:themeColor="text1"/>
          <w:lang w:eastAsia="en-US"/>
        </w:rPr>
        <w:t>;</w:t>
      </w:r>
    </w:p>
    <w:p w14:paraId="4AA7FD20" w14:textId="5DDB3028" w:rsidR="00521355" w:rsidRDefault="00521355" w:rsidP="007B79E4">
      <w:pPr>
        <w:pStyle w:val="Default"/>
        <w:spacing w:line="23" w:lineRule="atLeast"/>
        <w:rPr>
          <w:rFonts w:eastAsia="Times New Roman"/>
          <w:color w:val="000000" w:themeColor="text1"/>
          <w:lang w:eastAsia="en-US"/>
        </w:rPr>
      </w:pPr>
      <w:r>
        <w:rPr>
          <w:rFonts w:eastAsia="Times New Roman"/>
          <w:color w:val="000000" w:themeColor="text1"/>
          <w:lang w:eastAsia="en-US"/>
        </w:rPr>
        <w:t xml:space="preserve">4.pielikums </w:t>
      </w:r>
      <w:r w:rsidRPr="007B79E4">
        <w:rPr>
          <w:rFonts w:eastAsia="Times New Roman"/>
          <w:color w:val="000000" w:themeColor="text1"/>
          <w:lang w:eastAsia="en-US"/>
        </w:rPr>
        <w:t>informatīvajam ziņojumam</w:t>
      </w:r>
      <w:r>
        <w:rPr>
          <w:rFonts w:eastAsia="Times New Roman"/>
          <w:color w:val="000000" w:themeColor="text1"/>
          <w:lang w:eastAsia="en-US"/>
        </w:rPr>
        <w:t xml:space="preserve"> “</w:t>
      </w:r>
      <w:r w:rsidR="000F7E6B" w:rsidRPr="000F7E6B">
        <w:rPr>
          <w:rFonts w:eastAsia="Times New Roman"/>
          <w:color w:val="000000" w:themeColor="text1"/>
          <w:lang w:eastAsia="en-US"/>
        </w:rPr>
        <w:t>Eiropas Savienības Kohēzijas politikas fondu 2014. - 2020. gada plānošanas perioda darbības programmas "Izaugsme un nodarbinātība" un tās papildinājuma rādītāju saraksts un prognozes</w:t>
      </w:r>
      <w:r>
        <w:rPr>
          <w:rFonts w:eastAsia="Times New Roman"/>
          <w:color w:val="000000" w:themeColor="text1"/>
          <w:lang w:eastAsia="en-US"/>
        </w:rPr>
        <w:t>”</w:t>
      </w:r>
      <w:r w:rsidR="000F7E6B">
        <w:rPr>
          <w:rFonts w:eastAsia="Times New Roman"/>
          <w:color w:val="000000" w:themeColor="text1"/>
          <w:lang w:eastAsia="en-US"/>
        </w:rPr>
        <w:t>;</w:t>
      </w:r>
    </w:p>
    <w:p w14:paraId="3C941A97" w14:textId="77777777" w:rsidR="008F72C7" w:rsidRDefault="00521355" w:rsidP="007B79E4">
      <w:pPr>
        <w:pStyle w:val="Default"/>
        <w:spacing w:line="23" w:lineRule="atLeast"/>
        <w:rPr>
          <w:rFonts w:eastAsia="Times New Roman"/>
          <w:color w:val="000000" w:themeColor="text1"/>
          <w:lang w:eastAsia="en-US"/>
        </w:rPr>
      </w:pPr>
      <w:r>
        <w:rPr>
          <w:rFonts w:eastAsia="Times New Roman"/>
          <w:color w:val="000000" w:themeColor="text1"/>
          <w:lang w:eastAsia="en-US"/>
        </w:rPr>
        <w:t xml:space="preserve">5.pielikums </w:t>
      </w:r>
      <w:r w:rsidRPr="007B79E4">
        <w:rPr>
          <w:rFonts w:eastAsia="Times New Roman"/>
          <w:color w:val="000000" w:themeColor="text1"/>
          <w:lang w:eastAsia="en-US"/>
        </w:rPr>
        <w:t>informatīvajam ziņojumam</w:t>
      </w:r>
      <w:r>
        <w:rPr>
          <w:rFonts w:eastAsia="Times New Roman"/>
          <w:color w:val="000000" w:themeColor="text1"/>
          <w:lang w:eastAsia="en-US"/>
        </w:rPr>
        <w:t xml:space="preserve"> “</w:t>
      </w:r>
      <w:r w:rsidRPr="00521355">
        <w:rPr>
          <w:rFonts w:eastAsia="Times New Roman"/>
          <w:color w:val="000000" w:themeColor="text1"/>
          <w:lang w:eastAsia="en-US"/>
        </w:rPr>
        <w:t>Maksājumu mērķi finansējuma saņēmējiem 2014.-2020. ES fondu plānošanas periodā</w:t>
      </w:r>
      <w:r>
        <w:rPr>
          <w:rFonts w:eastAsia="Times New Roman"/>
          <w:color w:val="000000" w:themeColor="text1"/>
          <w:lang w:eastAsia="en-US"/>
        </w:rPr>
        <w:t>”</w:t>
      </w:r>
      <w:r w:rsidR="0049246C">
        <w:rPr>
          <w:rFonts w:eastAsia="Times New Roman"/>
          <w:color w:val="000000" w:themeColor="text1"/>
          <w:lang w:eastAsia="en-US"/>
        </w:rPr>
        <w:t>;</w:t>
      </w:r>
    </w:p>
    <w:p w14:paraId="26093A49" w14:textId="3F2E8830" w:rsidR="003A3B4F" w:rsidRPr="007B79E4" w:rsidRDefault="003A3B4F" w:rsidP="007B79E4">
      <w:pPr>
        <w:pStyle w:val="Default"/>
        <w:spacing w:line="23" w:lineRule="atLeast"/>
        <w:rPr>
          <w:rFonts w:eastAsia="Times New Roman"/>
          <w:color w:val="000000" w:themeColor="text1"/>
          <w:lang w:eastAsia="en-US"/>
        </w:rPr>
      </w:pPr>
      <w:r>
        <w:rPr>
          <w:rFonts w:eastAsia="Times New Roman"/>
          <w:color w:val="000000" w:themeColor="text1"/>
          <w:lang w:eastAsia="en-US"/>
        </w:rPr>
        <w:t>6.pielikums informatīvajam ziņojumam “</w:t>
      </w:r>
      <w:r w:rsidR="0049246C" w:rsidRPr="0049246C">
        <w:rPr>
          <w:rFonts w:eastAsia="Times New Roman"/>
          <w:color w:val="000000" w:themeColor="text1"/>
          <w:lang w:eastAsia="en-US"/>
        </w:rPr>
        <w:t>Eiropas Savienības struktūrfondu un Kohēzijas fonda 2014.-2020.gada plānošanas perioda specifisko atbalsta mērķu ieviešanas laika grafiks</w:t>
      </w:r>
      <w:r w:rsidR="0049246C">
        <w:rPr>
          <w:rFonts w:eastAsia="Times New Roman"/>
          <w:color w:val="000000" w:themeColor="text1"/>
          <w:lang w:eastAsia="en-US"/>
        </w:rPr>
        <w:t>”</w:t>
      </w:r>
    </w:p>
    <w:p w14:paraId="43CA192E" w14:textId="3CD34B25" w:rsidR="009C0862" w:rsidRPr="00B57653" w:rsidRDefault="009C0862" w:rsidP="000F7E6B">
      <w:pPr>
        <w:pStyle w:val="Default"/>
        <w:spacing w:line="23" w:lineRule="atLeast"/>
      </w:pPr>
      <w:r w:rsidRPr="00B57653">
        <w:rPr>
          <w:highlight w:val="yellow"/>
        </w:rPr>
        <w:br w:type="page"/>
      </w:r>
      <w:r w:rsidRPr="00B57653">
        <w:lastRenderedPageBreak/>
        <w:t>Saīsinājumi</w:t>
      </w:r>
    </w:p>
    <w:p w14:paraId="3B34C264" w14:textId="77777777" w:rsidR="009C0862" w:rsidRPr="00B57653" w:rsidRDefault="009C0862" w:rsidP="009C0862">
      <w:pPr>
        <w:tabs>
          <w:tab w:val="left" w:pos="1276"/>
          <w:tab w:val="left" w:pos="1418"/>
          <w:tab w:val="left" w:pos="2127"/>
        </w:tabs>
        <w:rPr>
          <w:color w:val="000000" w:themeColor="text1"/>
          <w:szCs w:val="24"/>
        </w:rPr>
      </w:pPr>
      <w:r w:rsidRPr="00B57653">
        <w:rPr>
          <w:color w:val="000000" w:themeColor="text1"/>
          <w:szCs w:val="24"/>
        </w:rPr>
        <w:t>AI</w:t>
      </w:r>
      <w:r w:rsidRPr="00B57653">
        <w:rPr>
          <w:color w:val="000000" w:themeColor="text1"/>
          <w:szCs w:val="24"/>
        </w:rPr>
        <w:tab/>
        <w:t xml:space="preserve">- </w:t>
      </w:r>
      <w:r w:rsidRPr="00B57653">
        <w:rPr>
          <w:color w:val="000000" w:themeColor="text1"/>
          <w:szCs w:val="24"/>
        </w:rPr>
        <w:tab/>
      </w:r>
      <w:r w:rsidRPr="00B57653">
        <w:rPr>
          <w:color w:val="000000" w:themeColor="text1"/>
          <w:szCs w:val="24"/>
        </w:rPr>
        <w:tab/>
        <w:t>ES fondu atbildīgā iestāde</w:t>
      </w:r>
    </w:p>
    <w:p w14:paraId="72125782" w14:textId="77777777" w:rsidR="009C0862" w:rsidRPr="00B57653" w:rsidRDefault="009C0862" w:rsidP="009C0862">
      <w:pPr>
        <w:tabs>
          <w:tab w:val="left" w:pos="1276"/>
          <w:tab w:val="left" w:pos="1418"/>
          <w:tab w:val="left" w:pos="2127"/>
        </w:tabs>
        <w:ind w:left="2127" w:hanging="2127"/>
        <w:rPr>
          <w:color w:val="000000" w:themeColor="text1"/>
          <w:szCs w:val="24"/>
        </w:rPr>
      </w:pPr>
      <w:r w:rsidRPr="00B57653">
        <w:rPr>
          <w:color w:val="000000" w:themeColor="text1"/>
          <w:szCs w:val="24"/>
        </w:rPr>
        <w:t>ALTUM</w:t>
      </w:r>
      <w:r w:rsidRPr="00B57653">
        <w:rPr>
          <w:color w:val="000000" w:themeColor="text1"/>
          <w:szCs w:val="24"/>
        </w:rPr>
        <w:tab/>
        <w:t>-</w:t>
      </w:r>
      <w:r w:rsidRPr="00B57653">
        <w:rPr>
          <w:color w:val="000000" w:themeColor="text1"/>
          <w:szCs w:val="24"/>
        </w:rPr>
        <w:tab/>
      </w:r>
      <w:r w:rsidRPr="00B57653">
        <w:rPr>
          <w:color w:val="000000" w:themeColor="text1"/>
          <w:szCs w:val="24"/>
        </w:rPr>
        <w:tab/>
        <w:t>Valsts akciju sabiedrība „Latvijas attīstības finanšu institūcija ALTUM”</w:t>
      </w:r>
    </w:p>
    <w:p w14:paraId="44B4069E" w14:textId="77777777" w:rsidR="009C0862" w:rsidRPr="00B57653" w:rsidRDefault="009C0862" w:rsidP="009C0862">
      <w:pPr>
        <w:tabs>
          <w:tab w:val="left" w:pos="1276"/>
          <w:tab w:val="left" w:pos="1418"/>
          <w:tab w:val="left" w:pos="2127"/>
        </w:tabs>
        <w:rPr>
          <w:color w:val="000000" w:themeColor="text1"/>
          <w:szCs w:val="24"/>
        </w:rPr>
      </w:pPr>
      <w:r w:rsidRPr="00B57653">
        <w:rPr>
          <w:color w:val="000000" w:themeColor="text1"/>
          <w:szCs w:val="24"/>
        </w:rPr>
        <w:t>CFLA</w:t>
      </w:r>
      <w:r w:rsidRPr="00B57653">
        <w:rPr>
          <w:color w:val="000000" w:themeColor="text1"/>
          <w:szCs w:val="24"/>
        </w:rPr>
        <w:tab/>
        <w:t xml:space="preserve">- </w:t>
      </w:r>
      <w:r w:rsidRPr="00B57653">
        <w:rPr>
          <w:color w:val="000000" w:themeColor="text1"/>
          <w:szCs w:val="24"/>
        </w:rPr>
        <w:tab/>
      </w:r>
      <w:r w:rsidRPr="00B57653">
        <w:rPr>
          <w:color w:val="000000" w:themeColor="text1"/>
          <w:szCs w:val="24"/>
        </w:rPr>
        <w:tab/>
        <w:t>Centrālā finanšu un līgumu aģentūra</w:t>
      </w:r>
    </w:p>
    <w:p w14:paraId="496EC6EC" w14:textId="77777777" w:rsidR="009C0862" w:rsidRPr="00B57653" w:rsidRDefault="009C0862" w:rsidP="009C0862">
      <w:pPr>
        <w:tabs>
          <w:tab w:val="left" w:pos="1276"/>
          <w:tab w:val="left" w:pos="1418"/>
          <w:tab w:val="left" w:pos="2127"/>
        </w:tabs>
        <w:rPr>
          <w:color w:val="000000" w:themeColor="text1"/>
          <w:szCs w:val="24"/>
        </w:rPr>
      </w:pPr>
      <w:r w:rsidRPr="00B57653">
        <w:rPr>
          <w:color w:val="000000" w:themeColor="text1"/>
          <w:szCs w:val="24"/>
        </w:rPr>
        <w:t>DP</w:t>
      </w:r>
      <w:r w:rsidRPr="00B57653">
        <w:rPr>
          <w:color w:val="000000" w:themeColor="text1"/>
          <w:szCs w:val="24"/>
        </w:rPr>
        <w:tab/>
        <w:t>-</w:t>
      </w:r>
      <w:r w:rsidRPr="00B57653">
        <w:rPr>
          <w:color w:val="000000" w:themeColor="text1"/>
          <w:szCs w:val="24"/>
        </w:rPr>
        <w:tab/>
      </w:r>
      <w:r w:rsidRPr="00B57653">
        <w:rPr>
          <w:color w:val="000000" w:themeColor="text1"/>
          <w:szCs w:val="24"/>
        </w:rPr>
        <w:tab/>
        <w:t>Darbības programma</w:t>
      </w:r>
    </w:p>
    <w:p w14:paraId="39D21850" w14:textId="77777777" w:rsidR="009C0862" w:rsidRPr="00B57653" w:rsidRDefault="009C0862" w:rsidP="009C0862">
      <w:pPr>
        <w:tabs>
          <w:tab w:val="left" w:pos="1276"/>
          <w:tab w:val="left" w:pos="1418"/>
          <w:tab w:val="left" w:pos="2127"/>
        </w:tabs>
        <w:rPr>
          <w:color w:val="000000" w:themeColor="text1"/>
          <w:szCs w:val="24"/>
        </w:rPr>
      </w:pPr>
      <w:r w:rsidRPr="00B57653">
        <w:rPr>
          <w:color w:val="000000" w:themeColor="text1"/>
          <w:szCs w:val="24"/>
        </w:rPr>
        <w:t>DPP</w:t>
      </w:r>
      <w:r w:rsidRPr="00B57653">
        <w:rPr>
          <w:color w:val="000000" w:themeColor="text1"/>
          <w:szCs w:val="24"/>
        </w:rPr>
        <w:tab/>
        <w:t>-</w:t>
      </w:r>
      <w:r w:rsidRPr="00B57653">
        <w:rPr>
          <w:color w:val="000000" w:themeColor="text1"/>
          <w:szCs w:val="24"/>
        </w:rPr>
        <w:tab/>
      </w:r>
      <w:r w:rsidRPr="00B57653">
        <w:rPr>
          <w:color w:val="000000" w:themeColor="text1"/>
          <w:szCs w:val="24"/>
        </w:rPr>
        <w:tab/>
        <w:t>Darbības programmas papildinājums</w:t>
      </w:r>
    </w:p>
    <w:p w14:paraId="4BFB80F7" w14:textId="77777777" w:rsidR="009C0862" w:rsidRPr="00B57653" w:rsidRDefault="009C0862" w:rsidP="009C0862">
      <w:pPr>
        <w:tabs>
          <w:tab w:val="left" w:pos="1276"/>
          <w:tab w:val="left" w:pos="1418"/>
          <w:tab w:val="left" w:pos="2127"/>
        </w:tabs>
        <w:rPr>
          <w:rFonts w:eastAsia="EUAlbertina-Bold-Identity-H"/>
          <w:color w:val="000000" w:themeColor="text1"/>
          <w:szCs w:val="24"/>
          <w:lang w:eastAsia="lv-LV"/>
        </w:rPr>
      </w:pPr>
      <w:r w:rsidRPr="00B57653">
        <w:rPr>
          <w:rFonts w:eastAsia="EUAlbertina-Bold-Identity-H"/>
          <w:color w:val="000000" w:themeColor="text1"/>
          <w:szCs w:val="24"/>
          <w:lang w:eastAsia="lv-LV"/>
        </w:rPr>
        <w:t>EEZ</w:t>
      </w:r>
      <w:r w:rsidRPr="00B57653">
        <w:rPr>
          <w:rFonts w:eastAsia="EUAlbertina-Bold-Identity-H"/>
          <w:color w:val="000000" w:themeColor="text1"/>
          <w:szCs w:val="24"/>
          <w:lang w:eastAsia="lv-LV"/>
        </w:rPr>
        <w:tab/>
        <w:t xml:space="preserve">- </w:t>
      </w:r>
      <w:r w:rsidRPr="00B57653">
        <w:rPr>
          <w:rFonts w:eastAsia="EUAlbertina-Bold-Identity-H"/>
          <w:color w:val="000000" w:themeColor="text1"/>
          <w:szCs w:val="24"/>
          <w:lang w:eastAsia="lv-LV"/>
        </w:rPr>
        <w:tab/>
      </w:r>
      <w:r w:rsidRPr="00B57653">
        <w:rPr>
          <w:rFonts w:eastAsia="EUAlbertina-Bold-Identity-H"/>
          <w:color w:val="000000" w:themeColor="text1"/>
          <w:szCs w:val="24"/>
          <w:lang w:eastAsia="lv-LV"/>
        </w:rPr>
        <w:tab/>
        <w:t>Eiropas Ekonomikas zona</w:t>
      </w:r>
    </w:p>
    <w:p w14:paraId="0A8F5DA6" w14:textId="77777777" w:rsidR="009C0862" w:rsidRPr="00B57653" w:rsidRDefault="009C0862" w:rsidP="009C0862">
      <w:pPr>
        <w:tabs>
          <w:tab w:val="left" w:pos="3686"/>
          <w:tab w:val="left" w:pos="3969"/>
        </w:tabs>
        <w:rPr>
          <w:rFonts w:eastAsia="EUAlbertina-Bold-Identity-H"/>
          <w:color w:val="000000" w:themeColor="text1"/>
          <w:szCs w:val="24"/>
          <w:lang w:eastAsia="lv-LV"/>
        </w:rPr>
      </w:pPr>
      <w:r w:rsidRPr="00B57653">
        <w:rPr>
          <w:rFonts w:eastAsia="EUAlbertina-Bold-Identity-H"/>
          <w:color w:val="000000" w:themeColor="text1"/>
          <w:szCs w:val="24"/>
          <w:lang w:eastAsia="lv-LV"/>
        </w:rPr>
        <w:t xml:space="preserve">EEZ/Norvēģijas finanšu instrumenti – 2009. – 2014.gada perioda Eiropas Ekonomikas </w:t>
      </w:r>
    </w:p>
    <w:p w14:paraId="39085B95" w14:textId="77777777" w:rsidR="009C0862" w:rsidRPr="00B57653" w:rsidRDefault="009C0862" w:rsidP="009C0862">
      <w:pPr>
        <w:tabs>
          <w:tab w:val="left" w:pos="3686"/>
          <w:tab w:val="left" w:pos="3969"/>
        </w:tabs>
        <w:rPr>
          <w:rFonts w:eastAsia="EUAlbertina-Bold-Identity-H"/>
          <w:color w:val="000000" w:themeColor="text1"/>
          <w:szCs w:val="24"/>
          <w:lang w:eastAsia="lv-LV"/>
        </w:rPr>
      </w:pPr>
      <w:r w:rsidRPr="00B57653">
        <w:rPr>
          <w:rFonts w:eastAsia="EUAlbertina-Bold-Identity-H"/>
          <w:color w:val="000000" w:themeColor="text1"/>
          <w:szCs w:val="24"/>
          <w:lang w:eastAsia="lv-LV"/>
        </w:rPr>
        <w:tab/>
        <w:t>zonas finanšu instruments un Norvēģijas finanšu</w:t>
      </w:r>
    </w:p>
    <w:p w14:paraId="10AE3867" w14:textId="77777777" w:rsidR="009C0862" w:rsidRPr="00B57653" w:rsidRDefault="009C0862" w:rsidP="009C0862">
      <w:pPr>
        <w:tabs>
          <w:tab w:val="left" w:pos="3686"/>
          <w:tab w:val="left" w:pos="3969"/>
        </w:tabs>
        <w:rPr>
          <w:rFonts w:eastAsia="EUAlbertina-Bold-Identity-H"/>
          <w:color w:val="000000" w:themeColor="text1"/>
          <w:szCs w:val="24"/>
          <w:lang w:eastAsia="lv-LV"/>
        </w:rPr>
      </w:pPr>
      <w:r w:rsidRPr="00B57653">
        <w:rPr>
          <w:rFonts w:eastAsia="EUAlbertina-Bold-Identity-H"/>
          <w:color w:val="000000" w:themeColor="text1"/>
          <w:szCs w:val="24"/>
          <w:lang w:eastAsia="lv-LV"/>
        </w:rPr>
        <w:tab/>
        <w:t>instruments</w:t>
      </w:r>
    </w:p>
    <w:p w14:paraId="06B66FA9" w14:textId="77777777" w:rsidR="009C0862" w:rsidRPr="00B57653" w:rsidRDefault="009C0862" w:rsidP="009C0862">
      <w:pPr>
        <w:tabs>
          <w:tab w:val="left" w:pos="1276"/>
          <w:tab w:val="left" w:pos="1418"/>
          <w:tab w:val="left" w:pos="2127"/>
        </w:tabs>
        <w:rPr>
          <w:rFonts w:eastAsia="EUAlbertina-Bold-Identity-H"/>
          <w:color w:val="000000" w:themeColor="text1"/>
          <w:szCs w:val="24"/>
          <w:lang w:eastAsia="lv-LV"/>
        </w:rPr>
      </w:pPr>
      <w:r w:rsidRPr="00B57653">
        <w:rPr>
          <w:rFonts w:eastAsia="EUAlbertina-Bold-Identity-H"/>
          <w:color w:val="000000" w:themeColor="text1"/>
          <w:szCs w:val="24"/>
          <w:lang w:eastAsia="lv-LV"/>
        </w:rPr>
        <w:t>EK</w:t>
      </w:r>
      <w:r w:rsidRPr="00B57653">
        <w:rPr>
          <w:rFonts w:eastAsia="EUAlbertina-Bold-Identity-H"/>
          <w:color w:val="000000" w:themeColor="text1"/>
          <w:szCs w:val="24"/>
          <w:lang w:eastAsia="lv-LV"/>
        </w:rPr>
        <w:tab/>
        <w:t xml:space="preserve">- </w:t>
      </w:r>
      <w:r w:rsidRPr="00B57653">
        <w:rPr>
          <w:rFonts w:eastAsia="EUAlbertina-Bold-Identity-H"/>
          <w:color w:val="000000" w:themeColor="text1"/>
          <w:szCs w:val="24"/>
          <w:lang w:eastAsia="lv-LV"/>
        </w:rPr>
        <w:tab/>
      </w:r>
      <w:r w:rsidRPr="00B57653">
        <w:rPr>
          <w:rFonts w:eastAsia="EUAlbertina-Bold-Identity-H"/>
          <w:color w:val="000000" w:themeColor="text1"/>
          <w:szCs w:val="24"/>
          <w:lang w:eastAsia="lv-LV"/>
        </w:rPr>
        <w:tab/>
        <w:t>Eiropas Komisija</w:t>
      </w:r>
    </w:p>
    <w:p w14:paraId="1FE64844" w14:textId="77777777" w:rsidR="009C0862" w:rsidRPr="00B57653" w:rsidRDefault="009C0862" w:rsidP="009C0862">
      <w:pPr>
        <w:tabs>
          <w:tab w:val="left" w:pos="1276"/>
          <w:tab w:val="left" w:pos="1418"/>
          <w:tab w:val="left" w:pos="2127"/>
        </w:tabs>
        <w:rPr>
          <w:color w:val="000000" w:themeColor="text1"/>
          <w:szCs w:val="24"/>
        </w:rPr>
      </w:pPr>
      <w:r w:rsidRPr="00B57653">
        <w:rPr>
          <w:color w:val="000000" w:themeColor="text1"/>
          <w:szCs w:val="24"/>
        </w:rPr>
        <w:t>ERAF</w:t>
      </w:r>
      <w:r w:rsidRPr="00B57653">
        <w:rPr>
          <w:color w:val="000000" w:themeColor="text1"/>
          <w:szCs w:val="24"/>
        </w:rPr>
        <w:tab/>
        <w:t xml:space="preserve">- </w:t>
      </w:r>
      <w:r w:rsidRPr="00B57653">
        <w:rPr>
          <w:color w:val="000000" w:themeColor="text1"/>
          <w:szCs w:val="24"/>
        </w:rPr>
        <w:tab/>
      </w:r>
      <w:r w:rsidRPr="00B57653">
        <w:rPr>
          <w:color w:val="000000" w:themeColor="text1"/>
          <w:szCs w:val="24"/>
        </w:rPr>
        <w:tab/>
        <w:t>Eiropas Reģionālās attīstības fonds</w:t>
      </w:r>
    </w:p>
    <w:p w14:paraId="606F1013" w14:textId="77777777" w:rsidR="009C0862" w:rsidRPr="00B57653" w:rsidRDefault="009C0862" w:rsidP="009C0862">
      <w:pPr>
        <w:tabs>
          <w:tab w:val="left" w:pos="1276"/>
          <w:tab w:val="left" w:pos="1418"/>
          <w:tab w:val="left" w:pos="2127"/>
        </w:tabs>
        <w:rPr>
          <w:color w:val="000000" w:themeColor="text1"/>
          <w:szCs w:val="24"/>
        </w:rPr>
      </w:pPr>
      <w:r w:rsidRPr="00B57653">
        <w:rPr>
          <w:color w:val="000000" w:themeColor="text1"/>
          <w:szCs w:val="24"/>
        </w:rPr>
        <w:t>ES</w:t>
      </w:r>
      <w:r w:rsidRPr="00B57653">
        <w:rPr>
          <w:color w:val="000000" w:themeColor="text1"/>
          <w:szCs w:val="24"/>
        </w:rPr>
        <w:tab/>
        <w:t xml:space="preserve">- </w:t>
      </w:r>
      <w:r w:rsidRPr="00B57653">
        <w:rPr>
          <w:color w:val="000000" w:themeColor="text1"/>
          <w:szCs w:val="24"/>
        </w:rPr>
        <w:tab/>
      </w:r>
      <w:r w:rsidRPr="00B57653">
        <w:rPr>
          <w:color w:val="000000" w:themeColor="text1"/>
          <w:szCs w:val="24"/>
        </w:rPr>
        <w:tab/>
        <w:t>Eiropas Savienība</w:t>
      </w:r>
    </w:p>
    <w:p w14:paraId="1FC88BA9" w14:textId="77777777" w:rsidR="009C0862" w:rsidRPr="00B57653" w:rsidRDefault="009C0862" w:rsidP="009C0862">
      <w:pPr>
        <w:tabs>
          <w:tab w:val="left" w:pos="1276"/>
          <w:tab w:val="left" w:pos="1418"/>
          <w:tab w:val="left" w:pos="2127"/>
        </w:tabs>
        <w:rPr>
          <w:rFonts w:eastAsia="EUAlbertina-Bold-Identity-H"/>
          <w:color w:val="000000" w:themeColor="text1"/>
          <w:szCs w:val="24"/>
          <w:lang w:eastAsia="lv-LV"/>
        </w:rPr>
      </w:pPr>
      <w:r w:rsidRPr="00B57653">
        <w:rPr>
          <w:rFonts w:eastAsia="EUAlbertina-Bold-Identity-H"/>
          <w:color w:val="000000" w:themeColor="text1"/>
          <w:szCs w:val="24"/>
          <w:lang w:eastAsia="lv-LV"/>
        </w:rPr>
        <w:t>ESF</w:t>
      </w:r>
      <w:r w:rsidRPr="00B57653">
        <w:rPr>
          <w:rFonts w:eastAsia="EUAlbertina-Bold-Identity-H"/>
          <w:color w:val="000000" w:themeColor="text1"/>
          <w:szCs w:val="24"/>
          <w:lang w:eastAsia="lv-LV"/>
        </w:rPr>
        <w:tab/>
        <w:t xml:space="preserve">- </w:t>
      </w:r>
      <w:r w:rsidRPr="00B57653">
        <w:rPr>
          <w:rFonts w:eastAsia="EUAlbertina-Bold-Identity-H"/>
          <w:color w:val="000000" w:themeColor="text1"/>
          <w:szCs w:val="24"/>
          <w:lang w:eastAsia="lv-LV"/>
        </w:rPr>
        <w:tab/>
      </w:r>
      <w:r w:rsidRPr="00B57653">
        <w:rPr>
          <w:rFonts w:eastAsia="EUAlbertina-Bold-Identity-H"/>
          <w:color w:val="000000" w:themeColor="text1"/>
          <w:szCs w:val="24"/>
          <w:lang w:eastAsia="lv-LV"/>
        </w:rPr>
        <w:tab/>
        <w:t>Eiropas Sociālais fonds</w:t>
      </w:r>
    </w:p>
    <w:p w14:paraId="6BA2954E" w14:textId="77777777" w:rsidR="009C0862" w:rsidRPr="00B57653" w:rsidRDefault="009C0862" w:rsidP="009C0862">
      <w:pPr>
        <w:tabs>
          <w:tab w:val="left" w:pos="1276"/>
          <w:tab w:val="left" w:pos="1418"/>
          <w:tab w:val="left" w:pos="2127"/>
        </w:tabs>
        <w:rPr>
          <w:rFonts w:eastAsia="EUAlbertina-Bold-Identity-H"/>
          <w:color w:val="000000" w:themeColor="text1"/>
          <w:szCs w:val="24"/>
          <w:lang w:eastAsia="lv-LV"/>
        </w:rPr>
      </w:pPr>
      <w:r w:rsidRPr="00B57653">
        <w:rPr>
          <w:color w:val="000000" w:themeColor="text1"/>
          <w:szCs w:val="24"/>
        </w:rPr>
        <w:t>ES fondi</w:t>
      </w:r>
      <w:r w:rsidRPr="00B57653">
        <w:rPr>
          <w:color w:val="000000" w:themeColor="text1"/>
          <w:szCs w:val="24"/>
        </w:rPr>
        <w:tab/>
        <w:t xml:space="preserve">- </w:t>
      </w:r>
      <w:r w:rsidRPr="00B57653">
        <w:rPr>
          <w:color w:val="000000" w:themeColor="text1"/>
          <w:szCs w:val="24"/>
        </w:rPr>
        <w:tab/>
      </w:r>
      <w:r w:rsidRPr="00B57653">
        <w:rPr>
          <w:color w:val="000000" w:themeColor="text1"/>
          <w:szCs w:val="24"/>
        </w:rPr>
        <w:tab/>
      </w:r>
      <w:r w:rsidRPr="00B57653">
        <w:rPr>
          <w:rFonts w:eastAsia="EUAlbertina-Bold-Identity-H"/>
          <w:color w:val="000000" w:themeColor="text1"/>
          <w:szCs w:val="24"/>
          <w:lang w:eastAsia="lv-LV"/>
        </w:rPr>
        <w:t>2007. – 2013.g. plānošanas perioda 1.mērķa</w:t>
      </w:r>
      <w:r w:rsidRPr="00B57653">
        <w:rPr>
          <w:rStyle w:val="FootnoteReference"/>
          <w:rFonts w:eastAsia="EUAlbertina-Bold-Identity-H"/>
          <w:color w:val="000000" w:themeColor="text1"/>
          <w:szCs w:val="24"/>
          <w:lang w:eastAsia="lv-LV"/>
        </w:rPr>
        <w:footnoteReference w:id="1"/>
      </w:r>
      <w:r w:rsidRPr="00B57653">
        <w:rPr>
          <w:rFonts w:eastAsia="EUAlbertina-Bold-Identity-H"/>
          <w:color w:val="000000" w:themeColor="text1"/>
          <w:szCs w:val="24"/>
          <w:lang w:eastAsia="lv-LV"/>
        </w:rPr>
        <w:t xml:space="preserve"> Eiropas Sociālais</w:t>
      </w:r>
    </w:p>
    <w:p w14:paraId="5746B30B" w14:textId="77777777" w:rsidR="009C0862" w:rsidRPr="00B57653" w:rsidRDefault="009C0862" w:rsidP="009C0862">
      <w:pPr>
        <w:tabs>
          <w:tab w:val="left" w:pos="1276"/>
          <w:tab w:val="left" w:pos="1418"/>
          <w:tab w:val="left" w:pos="2127"/>
        </w:tabs>
        <w:rPr>
          <w:rFonts w:eastAsia="EUAlbertina-Bold-Identity-H"/>
          <w:color w:val="000000" w:themeColor="text1"/>
          <w:szCs w:val="24"/>
          <w:lang w:eastAsia="lv-LV"/>
        </w:rPr>
      </w:pPr>
      <w:r w:rsidRPr="00B57653">
        <w:rPr>
          <w:rFonts w:eastAsia="EUAlbertina-Bold-Identity-H"/>
          <w:color w:val="000000" w:themeColor="text1"/>
          <w:szCs w:val="24"/>
          <w:lang w:eastAsia="lv-LV"/>
        </w:rPr>
        <w:tab/>
      </w:r>
      <w:r w:rsidRPr="00B57653">
        <w:rPr>
          <w:rFonts w:eastAsia="EUAlbertina-Bold-Identity-H"/>
          <w:color w:val="000000" w:themeColor="text1"/>
          <w:szCs w:val="24"/>
          <w:lang w:eastAsia="lv-LV"/>
        </w:rPr>
        <w:tab/>
      </w:r>
      <w:r w:rsidRPr="00B57653">
        <w:rPr>
          <w:rFonts w:eastAsia="EUAlbertina-Bold-Identity-H"/>
          <w:color w:val="000000" w:themeColor="text1"/>
          <w:szCs w:val="24"/>
          <w:lang w:eastAsia="lv-LV"/>
        </w:rPr>
        <w:tab/>
        <w:t xml:space="preserve">fonds, </w:t>
      </w:r>
      <w:r w:rsidRPr="00B57653">
        <w:rPr>
          <w:color w:val="000000" w:themeColor="text1"/>
          <w:szCs w:val="24"/>
        </w:rPr>
        <w:t>Eiropas Reģionālās attīstības fonds</w:t>
      </w:r>
      <w:r w:rsidRPr="00B57653">
        <w:rPr>
          <w:rFonts w:eastAsia="EUAlbertina-Bold-Identity-H"/>
          <w:color w:val="000000" w:themeColor="text1"/>
          <w:szCs w:val="24"/>
          <w:lang w:eastAsia="lv-LV"/>
        </w:rPr>
        <w:t xml:space="preserve"> un Kohēzijas fonds</w:t>
      </w:r>
    </w:p>
    <w:p w14:paraId="4E4F8171" w14:textId="77777777" w:rsidR="009C0862" w:rsidRPr="00B57653" w:rsidRDefault="009C0862" w:rsidP="009C0862">
      <w:pPr>
        <w:tabs>
          <w:tab w:val="left" w:pos="1276"/>
          <w:tab w:val="left" w:pos="1418"/>
          <w:tab w:val="left" w:pos="2127"/>
        </w:tabs>
        <w:rPr>
          <w:rFonts w:eastAsia="EUAlbertina-Bold-Identity-H"/>
          <w:color w:val="000000" w:themeColor="text1"/>
          <w:szCs w:val="24"/>
          <w:lang w:eastAsia="lv-LV"/>
        </w:rPr>
      </w:pPr>
      <w:r w:rsidRPr="00B57653">
        <w:rPr>
          <w:rFonts w:eastAsia="EUAlbertina-Bold-Identity-H"/>
          <w:color w:val="000000" w:themeColor="text1"/>
          <w:szCs w:val="24"/>
          <w:lang w:eastAsia="lv-LV"/>
        </w:rPr>
        <w:t>EM</w:t>
      </w:r>
      <w:r w:rsidRPr="00B57653">
        <w:rPr>
          <w:rFonts w:eastAsia="EUAlbertina-Bold-Identity-H"/>
          <w:color w:val="000000" w:themeColor="text1"/>
          <w:szCs w:val="24"/>
          <w:lang w:eastAsia="lv-LV"/>
        </w:rPr>
        <w:tab/>
        <w:t xml:space="preserve">- </w:t>
      </w:r>
      <w:r w:rsidRPr="00B57653">
        <w:rPr>
          <w:rFonts w:eastAsia="EUAlbertina-Bold-Identity-H"/>
          <w:color w:val="000000" w:themeColor="text1"/>
          <w:szCs w:val="24"/>
          <w:lang w:eastAsia="lv-LV"/>
        </w:rPr>
        <w:tab/>
      </w:r>
      <w:r w:rsidRPr="00B57653">
        <w:rPr>
          <w:rFonts w:eastAsia="EUAlbertina-Bold-Identity-H"/>
          <w:color w:val="000000" w:themeColor="text1"/>
          <w:szCs w:val="24"/>
          <w:lang w:eastAsia="lv-LV"/>
        </w:rPr>
        <w:tab/>
        <w:t>Ekonomikas ministrija</w:t>
      </w:r>
    </w:p>
    <w:p w14:paraId="5B259AB9" w14:textId="77777777" w:rsidR="009C0862" w:rsidRPr="00B57653" w:rsidRDefault="009C0862" w:rsidP="009C0862">
      <w:pPr>
        <w:tabs>
          <w:tab w:val="left" w:pos="1276"/>
          <w:tab w:val="left" w:pos="1418"/>
          <w:tab w:val="left" w:pos="2127"/>
        </w:tabs>
        <w:rPr>
          <w:rFonts w:eastAsia="EUAlbertina-Bold-Identity-H"/>
          <w:color w:val="000000" w:themeColor="text1"/>
          <w:szCs w:val="24"/>
          <w:lang w:eastAsia="lv-LV"/>
        </w:rPr>
      </w:pPr>
      <w:r w:rsidRPr="00B57653">
        <w:rPr>
          <w:rFonts w:eastAsia="EUAlbertina-Bold-Identity-H"/>
          <w:color w:val="000000" w:themeColor="text1"/>
          <w:szCs w:val="24"/>
          <w:lang w:eastAsia="lv-LV"/>
        </w:rPr>
        <w:t>FM</w:t>
      </w:r>
      <w:r w:rsidRPr="00B57653">
        <w:rPr>
          <w:rFonts w:eastAsia="EUAlbertina-Bold-Identity-H"/>
          <w:color w:val="000000" w:themeColor="text1"/>
          <w:szCs w:val="24"/>
          <w:lang w:eastAsia="lv-LV"/>
        </w:rPr>
        <w:tab/>
        <w:t xml:space="preserve">- </w:t>
      </w:r>
      <w:r w:rsidRPr="00B57653">
        <w:rPr>
          <w:rFonts w:eastAsia="EUAlbertina-Bold-Identity-H"/>
          <w:color w:val="000000" w:themeColor="text1"/>
          <w:szCs w:val="24"/>
          <w:lang w:eastAsia="lv-LV"/>
        </w:rPr>
        <w:tab/>
      </w:r>
      <w:r w:rsidRPr="00B57653">
        <w:rPr>
          <w:rFonts w:eastAsia="EUAlbertina-Bold-Identity-H"/>
          <w:color w:val="000000" w:themeColor="text1"/>
          <w:szCs w:val="24"/>
          <w:lang w:eastAsia="lv-LV"/>
        </w:rPr>
        <w:tab/>
        <w:t>Finanšu ministrija</w:t>
      </w:r>
    </w:p>
    <w:p w14:paraId="4CADA0C5" w14:textId="77777777" w:rsidR="009C0862" w:rsidRPr="00B57653" w:rsidRDefault="009C0862" w:rsidP="009C0862">
      <w:pPr>
        <w:tabs>
          <w:tab w:val="left" w:pos="1276"/>
          <w:tab w:val="left" w:pos="1418"/>
          <w:tab w:val="left" w:pos="2127"/>
        </w:tabs>
        <w:rPr>
          <w:rFonts w:eastAsia="EUAlbertina-Bold-Identity-H"/>
          <w:color w:val="000000" w:themeColor="text1"/>
          <w:szCs w:val="24"/>
          <w:lang w:eastAsia="lv-LV"/>
        </w:rPr>
      </w:pPr>
      <w:r w:rsidRPr="00B57653">
        <w:rPr>
          <w:rFonts w:eastAsia="EUAlbertina-Bold-Identity-H"/>
          <w:color w:val="000000" w:themeColor="text1"/>
          <w:szCs w:val="24"/>
          <w:lang w:eastAsia="lv-LV"/>
        </w:rPr>
        <w:t>IKP</w:t>
      </w:r>
      <w:r w:rsidRPr="00B57653">
        <w:rPr>
          <w:rFonts w:eastAsia="EUAlbertina-Bold-Identity-H"/>
          <w:color w:val="000000" w:themeColor="text1"/>
          <w:szCs w:val="24"/>
          <w:lang w:eastAsia="lv-LV"/>
        </w:rPr>
        <w:tab/>
        <w:t xml:space="preserve">- </w:t>
      </w:r>
      <w:r w:rsidRPr="00B57653">
        <w:rPr>
          <w:rFonts w:eastAsia="EUAlbertina-Bold-Identity-H"/>
          <w:color w:val="000000" w:themeColor="text1"/>
          <w:szCs w:val="24"/>
          <w:lang w:eastAsia="lv-LV"/>
        </w:rPr>
        <w:tab/>
      </w:r>
      <w:r w:rsidRPr="00B57653">
        <w:rPr>
          <w:rFonts w:eastAsia="EUAlbertina-Bold-Identity-H"/>
          <w:color w:val="000000" w:themeColor="text1"/>
          <w:szCs w:val="24"/>
          <w:lang w:eastAsia="lv-LV"/>
        </w:rPr>
        <w:tab/>
        <w:t>Iekšzemes kopprodukts</w:t>
      </w:r>
      <w:r w:rsidRPr="00B57653">
        <w:rPr>
          <w:rFonts w:eastAsia="EUAlbertina-Bold-Identity-H"/>
          <w:color w:val="000000" w:themeColor="text1"/>
          <w:szCs w:val="24"/>
          <w:lang w:eastAsia="lv-LV"/>
        </w:rPr>
        <w:tab/>
      </w:r>
    </w:p>
    <w:p w14:paraId="3BFD7F2E" w14:textId="77777777" w:rsidR="009C0862" w:rsidRPr="00B57653" w:rsidRDefault="009C0862" w:rsidP="009C0862">
      <w:pPr>
        <w:tabs>
          <w:tab w:val="left" w:pos="1276"/>
          <w:tab w:val="left" w:pos="1418"/>
          <w:tab w:val="left" w:pos="2127"/>
        </w:tabs>
        <w:rPr>
          <w:rFonts w:eastAsia="EUAlbertina-Bold-Identity-H"/>
          <w:color w:val="000000" w:themeColor="text1"/>
          <w:szCs w:val="24"/>
          <w:lang w:eastAsia="lv-LV"/>
        </w:rPr>
      </w:pPr>
      <w:r w:rsidRPr="00B57653">
        <w:rPr>
          <w:color w:val="000000" w:themeColor="text1"/>
          <w:szCs w:val="24"/>
        </w:rPr>
        <w:t>IUB</w:t>
      </w:r>
      <w:r w:rsidRPr="00B57653">
        <w:rPr>
          <w:color w:val="000000" w:themeColor="text1"/>
          <w:szCs w:val="24"/>
        </w:rPr>
        <w:tab/>
        <w:t>-</w:t>
      </w:r>
      <w:r w:rsidRPr="00B57653">
        <w:rPr>
          <w:color w:val="000000" w:themeColor="text1"/>
          <w:szCs w:val="24"/>
        </w:rPr>
        <w:tab/>
      </w:r>
      <w:r w:rsidRPr="00B57653">
        <w:rPr>
          <w:color w:val="000000" w:themeColor="text1"/>
          <w:szCs w:val="24"/>
        </w:rPr>
        <w:tab/>
        <w:t>Iepirkumu uzraudzības birojs</w:t>
      </w:r>
    </w:p>
    <w:p w14:paraId="0704EAD8" w14:textId="77777777" w:rsidR="009C0862" w:rsidRPr="00B57653" w:rsidRDefault="009C0862" w:rsidP="009C0862">
      <w:pPr>
        <w:tabs>
          <w:tab w:val="left" w:pos="1276"/>
          <w:tab w:val="left" w:pos="1418"/>
          <w:tab w:val="left" w:pos="2127"/>
        </w:tabs>
        <w:rPr>
          <w:color w:val="000000" w:themeColor="text1"/>
          <w:szCs w:val="24"/>
        </w:rPr>
      </w:pPr>
      <w:r w:rsidRPr="00B57653">
        <w:rPr>
          <w:rFonts w:eastAsia="EUAlbertina-Bold-Identity-H"/>
          <w:color w:val="000000" w:themeColor="text1"/>
          <w:szCs w:val="24"/>
          <w:lang w:eastAsia="lv-LV"/>
        </w:rPr>
        <w:t>IZM</w:t>
      </w:r>
      <w:r w:rsidRPr="00B57653">
        <w:rPr>
          <w:rFonts w:eastAsia="EUAlbertina-Bold-Identity-H"/>
          <w:color w:val="000000" w:themeColor="text1"/>
          <w:szCs w:val="24"/>
          <w:lang w:eastAsia="lv-LV"/>
        </w:rPr>
        <w:tab/>
        <w:t xml:space="preserve">- </w:t>
      </w:r>
      <w:r w:rsidRPr="00B57653">
        <w:rPr>
          <w:rFonts w:eastAsia="EUAlbertina-Bold-Identity-H"/>
          <w:color w:val="000000" w:themeColor="text1"/>
          <w:szCs w:val="24"/>
          <w:lang w:eastAsia="lv-LV"/>
        </w:rPr>
        <w:tab/>
      </w:r>
      <w:r w:rsidRPr="00B57653">
        <w:rPr>
          <w:rFonts w:eastAsia="EUAlbertina-Bold-Identity-H"/>
          <w:color w:val="000000" w:themeColor="text1"/>
          <w:szCs w:val="24"/>
          <w:lang w:eastAsia="lv-LV"/>
        </w:rPr>
        <w:tab/>
      </w:r>
      <w:r w:rsidRPr="00B57653">
        <w:rPr>
          <w:color w:val="000000" w:themeColor="text1"/>
          <w:szCs w:val="24"/>
        </w:rPr>
        <w:t>Izglītības un zinātnes ministrija</w:t>
      </w:r>
    </w:p>
    <w:p w14:paraId="62B21FDB" w14:textId="77777777" w:rsidR="009C0862" w:rsidRPr="00B57653" w:rsidRDefault="009C0862" w:rsidP="009C0862">
      <w:pPr>
        <w:tabs>
          <w:tab w:val="left" w:pos="1276"/>
          <w:tab w:val="left" w:pos="1418"/>
          <w:tab w:val="left" w:pos="2127"/>
        </w:tabs>
        <w:ind w:left="2127" w:hanging="2127"/>
        <w:rPr>
          <w:color w:val="000000" w:themeColor="text1"/>
          <w:szCs w:val="24"/>
        </w:rPr>
      </w:pPr>
      <w:r w:rsidRPr="00B57653">
        <w:rPr>
          <w:color w:val="000000" w:themeColor="text1"/>
          <w:szCs w:val="24"/>
        </w:rPr>
        <w:t>KDG</w:t>
      </w:r>
      <w:r w:rsidRPr="00B57653">
        <w:rPr>
          <w:color w:val="000000" w:themeColor="text1"/>
          <w:szCs w:val="24"/>
        </w:rPr>
        <w:tab/>
        <w:t>-</w:t>
      </w:r>
      <w:r w:rsidRPr="00B57653">
        <w:rPr>
          <w:color w:val="000000" w:themeColor="text1"/>
          <w:szCs w:val="24"/>
        </w:rPr>
        <w:tab/>
      </w:r>
      <w:r w:rsidRPr="00B57653">
        <w:rPr>
          <w:color w:val="000000" w:themeColor="text1"/>
          <w:szCs w:val="24"/>
        </w:rPr>
        <w:tab/>
        <w:t>Koalīcijas</w:t>
      </w:r>
      <w:r>
        <w:rPr>
          <w:color w:val="000000" w:themeColor="text1"/>
          <w:szCs w:val="24"/>
        </w:rPr>
        <w:t xml:space="preserve"> partneru</w:t>
      </w:r>
      <w:r w:rsidRPr="00B57653">
        <w:rPr>
          <w:color w:val="000000" w:themeColor="text1"/>
          <w:szCs w:val="24"/>
        </w:rPr>
        <w:t xml:space="preserve"> darba grupa</w:t>
      </w:r>
      <w:r>
        <w:rPr>
          <w:color w:val="000000" w:themeColor="text1"/>
          <w:szCs w:val="24"/>
        </w:rPr>
        <w:t xml:space="preserve"> “</w:t>
      </w:r>
      <w:r>
        <w:t>Par Eiropas Savienības struktūrfondu un Kohēzijas fonda jautājumiem”</w:t>
      </w:r>
    </w:p>
    <w:p w14:paraId="667D0805" w14:textId="77777777" w:rsidR="009C0862" w:rsidRPr="00B57653" w:rsidRDefault="009C0862" w:rsidP="009C0862">
      <w:pPr>
        <w:tabs>
          <w:tab w:val="left" w:pos="1276"/>
          <w:tab w:val="left" w:pos="1418"/>
          <w:tab w:val="left" w:pos="2127"/>
        </w:tabs>
        <w:rPr>
          <w:color w:val="000000" w:themeColor="text1"/>
          <w:szCs w:val="24"/>
        </w:rPr>
      </w:pPr>
      <w:r w:rsidRPr="00B57653">
        <w:rPr>
          <w:color w:val="000000" w:themeColor="text1"/>
          <w:szCs w:val="24"/>
        </w:rPr>
        <w:t>KF</w:t>
      </w:r>
      <w:r w:rsidRPr="00B57653">
        <w:rPr>
          <w:color w:val="000000" w:themeColor="text1"/>
          <w:szCs w:val="24"/>
        </w:rPr>
        <w:tab/>
        <w:t xml:space="preserve">- </w:t>
      </w:r>
      <w:r w:rsidRPr="00B57653">
        <w:rPr>
          <w:color w:val="000000" w:themeColor="text1"/>
          <w:szCs w:val="24"/>
        </w:rPr>
        <w:tab/>
      </w:r>
      <w:r w:rsidRPr="00B57653">
        <w:rPr>
          <w:color w:val="000000" w:themeColor="text1"/>
          <w:szCs w:val="24"/>
        </w:rPr>
        <w:tab/>
        <w:t>Kohēzijas fonds</w:t>
      </w:r>
    </w:p>
    <w:p w14:paraId="65A9A47F" w14:textId="77777777" w:rsidR="009C0862" w:rsidRPr="00B57653" w:rsidRDefault="009C0862" w:rsidP="009C0862">
      <w:pPr>
        <w:tabs>
          <w:tab w:val="left" w:pos="1276"/>
          <w:tab w:val="left" w:pos="1418"/>
          <w:tab w:val="left" w:pos="2127"/>
        </w:tabs>
        <w:rPr>
          <w:color w:val="000000" w:themeColor="text1"/>
          <w:szCs w:val="24"/>
        </w:rPr>
      </w:pPr>
      <w:r w:rsidRPr="00B57653">
        <w:rPr>
          <w:color w:val="000000" w:themeColor="text1"/>
          <w:szCs w:val="24"/>
        </w:rPr>
        <w:t>KM</w:t>
      </w:r>
      <w:r w:rsidRPr="00B57653">
        <w:rPr>
          <w:color w:val="000000" w:themeColor="text1"/>
          <w:szCs w:val="24"/>
        </w:rPr>
        <w:tab/>
        <w:t xml:space="preserve">- </w:t>
      </w:r>
      <w:r w:rsidRPr="00B57653">
        <w:rPr>
          <w:color w:val="000000" w:themeColor="text1"/>
          <w:szCs w:val="24"/>
        </w:rPr>
        <w:tab/>
      </w:r>
      <w:r w:rsidRPr="00B57653">
        <w:rPr>
          <w:color w:val="000000" w:themeColor="text1"/>
          <w:szCs w:val="24"/>
        </w:rPr>
        <w:tab/>
        <w:t>Kultūras ministrija</w:t>
      </w:r>
    </w:p>
    <w:p w14:paraId="38187F91" w14:textId="77777777" w:rsidR="009C0862" w:rsidRPr="00B57653" w:rsidRDefault="009C0862" w:rsidP="009C0862">
      <w:pPr>
        <w:tabs>
          <w:tab w:val="left" w:pos="1276"/>
          <w:tab w:val="left" w:pos="1418"/>
          <w:tab w:val="left" w:pos="2127"/>
        </w:tabs>
        <w:rPr>
          <w:color w:val="000000" w:themeColor="text1"/>
          <w:szCs w:val="24"/>
        </w:rPr>
      </w:pPr>
      <w:r w:rsidRPr="00B57653">
        <w:rPr>
          <w:color w:val="000000" w:themeColor="text1"/>
          <w:szCs w:val="24"/>
        </w:rPr>
        <w:t>JASPERS</w:t>
      </w:r>
      <w:r w:rsidRPr="00B57653">
        <w:rPr>
          <w:color w:val="000000" w:themeColor="text1"/>
          <w:szCs w:val="24"/>
        </w:rPr>
        <w:tab/>
        <w:t>-</w:t>
      </w:r>
      <w:r w:rsidRPr="00B57653">
        <w:rPr>
          <w:color w:val="000000" w:themeColor="text1"/>
          <w:szCs w:val="24"/>
        </w:rPr>
        <w:tab/>
      </w:r>
      <w:r w:rsidRPr="00B57653">
        <w:rPr>
          <w:color w:val="000000" w:themeColor="text1"/>
          <w:szCs w:val="24"/>
        </w:rPr>
        <w:tab/>
      </w:r>
      <w:proofErr w:type="spellStart"/>
      <w:r w:rsidRPr="00B57653">
        <w:rPr>
          <w:color w:val="000000" w:themeColor="text1"/>
          <w:szCs w:val="24"/>
        </w:rPr>
        <w:t>Joint</w:t>
      </w:r>
      <w:proofErr w:type="spellEnd"/>
      <w:r w:rsidRPr="00B57653">
        <w:rPr>
          <w:color w:val="000000" w:themeColor="text1"/>
          <w:szCs w:val="24"/>
        </w:rPr>
        <w:t xml:space="preserve"> </w:t>
      </w:r>
      <w:proofErr w:type="spellStart"/>
      <w:r w:rsidRPr="00B57653">
        <w:rPr>
          <w:color w:val="000000" w:themeColor="text1"/>
          <w:szCs w:val="24"/>
        </w:rPr>
        <w:t>Assistance</w:t>
      </w:r>
      <w:proofErr w:type="spellEnd"/>
      <w:r w:rsidRPr="00B57653">
        <w:rPr>
          <w:color w:val="000000" w:themeColor="text1"/>
          <w:szCs w:val="24"/>
        </w:rPr>
        <w:t xml:space="preserve"> to </w:t>
      </w:r>
      <w:proofErr w:type="spellStart"/>
      <w:r w:rsidRPr="00B57653">
        <w:rPr>
          <w:color w:val="000000" w:themeColor="text1"/>
          <w:szCs w:val="24"/>
        </w:rPr>
        <w:t>Support</w:t>
      </w:r>
      <w:proofErr w:type="spellEnd"/>
      <w:r w:rsidRPr="00B57653">
        <w:rPr>
          <w:color w:val="000000" w:themeColor="text1"/>
          <w:szCs w:val="24"/>
        </w:rPr>
        <w:t xml:space="preserve"> </w:t>
      </w:r>
      <w:proofErr w:type="spellStart"/>
      <w:r w:rsidRPr="00B57653">
        <w:rPr>
          <w:color w:val="000000" w:themeColor="text1"/>
          <w:szCs w:val="24"/>
        </w:rPr>
        <w:t>Projects</w:t>
      </w:r>
      <w:proofErr w:type="spellEnd"/>
      <w:r w:rsidRPr="00B57653">
        <w:rPr>
          <w:color w:val="000000" w:themeColor="text1"/>
          <w:szCs w:val="24"/>
        </w:rPr>
        <w:t xml:space="preserve"> </w:t>
      </w:r>
      <w:proofErr w:type="spellStart"/>
      <w:r w:rsidRPr="00B57653">
        <w:rPr>
          <w:color w:val="000000" w:themeColor="text1"/>
          <w:szCs w:val="24"/>
        </w:rPr>
        <w:t>in</w:t>
      </w:r>
      <w:proofErr w:type="spellEnd"/>
      <w:r w:rsidRPr="00B57653">
        <w:rPr>
          <w:color w:val="000000" w:themeColor="text1"/>
          <w:szCs w:val="24"/>
        </w:rPr>
        <w:t xml:space="preserve"> </w:t>
      </w:r>
      <w:proofErr w:type="spellStart"/>
      <w:r w:rsidRPr="00B57653">
        <w:rPr>
          <w:color w:val="000000" w:themeColor="text1"/>
          <w:szCs w:val="24"/>
        </w:rPr>
        <w:t>European</w:t>
      </w:r>
      <w:proofErr w:type="spellEnd"/>
      <w:r w:rsidRPr="00B57653">
        <w:rPr>
          <w:color w:val="000000" w:themeColor="text1"/>
          <w:szCs w:val="24"/>
        </w:rPr>
        <w:t xml:space="preserve"> </w:t>
      </w:r>
      <w:proofErr w:type="spellStart"/>
      <w:r w:rsidRPr="00B57653">
        <w:rPr>
          <w:color w:val="000000" w:themeColor="text1"/>
          <w:szCs w:val="24"/>
        </w:rPr>
        <w:t>Regions</w:t>
      </w:r>
      <w:proofErr w:type="spellEnd"/>
      <w:r w:rsidRPr="00B57653">
        <w:rPr>
          <w:color w:val="000000" w:themeColor="text1"/>
          <w:szCs w:val="24"/>
        </w:rPr>
        <w:t xml:space="preserve"> </w:t>
      </w:r>
    </w:p>
    <w:p w14:paraId="1EE2B8F1" w14:textId="77777777" w:rsidR="009C0862" w:rsidRPr="00B57653" w:rsidRDefault="009C0862" w:rsidP="009C0862">
      <w:pPr>
        <w:tabs>
          <w:tab w:val="left" w:pos="1276"/>
          <w:tab w:val="left" w:pos="1418"/>
          <w:tab w:val="left" w:pos="2127"/>
        </w:tabs>
        <w:rPr>
          <w:color w:val="000000" w:themeColor="text1"/>
          <w:szCs w:val="24"/>
        </w:rPr>
      </w:pPr>
      <w:r w:rsidRPr="00B57653">
        <w:rPr>
          <w:color w:val="000000" w:themeColor="text1"/>
          <w:szCs w:val="24"/>
        </w:rPr>
        <w:tab/>
      </w:r>
      <w:r w:rsidRPr="00B57653">
        <w:rPr>
          <w:color w:val="000000" w:themeColor="text1"/>
          <w:szCs w:val="24"/>
        </w:rPr>
        <w:tab/>
      </w:r>
      <w:r w:rsidRPr="00B57653">
        <w:rPr>
          <w:color w:val="000000" w:themeColor="text1"/>
          <w:szCs w:val="24"/>
        </w:rPr>
        <w:tab/>
        <w:t>(Kopējā palīdzība projektu sagatavošanai Eiropas reģionos)</w:t>
      </w:r>
    </w:p>
    <w:p w14:paraId="7ADDB22A" w14:textId="77777777" w:rsidR="009C0862" w:rsidRPr="00B57653" w:rsidRDefault="009C0862" w:rsidP="009C0862">
      <w:pPr>
        <w:tabs>
          <w:tab w:val="left" w:pos="1276"/>
          <w:tab w:val="left" w:pos="1418"/>
          <w:tab w:val="left" w:pos="2127"/>
        </w:tabs>
        <w:rPr>
          <w:rFonts w:eastAsia="EUAlbertina-Bold-Identity-H"/>
          <w:color w:val="000000" w:themeColor="text1"/>
          <w:szCs w:val="24"/>
          <w:lang w:eastAsia="lv-LV"/>
        </w:rPr>
      </w:pPr>
      <w:r w:rsidRPr="00B57653">
        <w:rPr>
          <w:color w:val="000000" w:themeColor="text1"/>
          <w:szCs w:val="24"/>
        </w:rPr>
        <w:t>LIAA</w:t>
      </w:r>
      <w:r w:rsidRPr="00B57653">
        <w:rPr>
          <w:color w:val="000000" w:themeColor="text1"/>
          <w:szCs w:val="24"/>
        </w:rPr>
        <w:tab/>
        <w:t xml:space="preserve">- </w:t>
      </w:r>
      <w:r w:rsidRPr="00B57653">
        <w:rPr>
          <w:color w:val="000000" w:themeColor="text1"/>
          <w:szCs w:val="24"/>
        </w:rPr>
        <w:tab/>
      </w:r>
      <w:r w:rsidRPr="00B57653">
        <w:rPr>
          <w:color w:val="000000" w:themeColor="text1"/>
          <w:szCs w:val="24"/>
        </w:rPr>
        <w:tab/>
        <w:t>Valsts aģentūra „Latvijas Investīciju un attīstības aģentūra”</w:t>
      </w:r>
    </w:p>
    <w:p w14:paraId="2608F370" w14:textId="77777777" w:rsidR="009C0862" w:rsidRPr="00B57653" w:rsidRDefault="009C0862" w:rsidP="009C0862">
      <w:pPr>
        <w:tabs>
          <w:tab w:val="left" w:pos="1276"/>
          <w:tab w:val="left" w:pos="1418"/>
          <w:tab w:val="left" w:pos="2127"/>
        </w:tabs>
        <w:rPr>
          <w:rFonts w:eastAsia="EUAlbertina-Bold-Identity-H"/>
          <w:color w:val="000000" w:themeColor="text1"/>
          <w:szCs w:val="24"/>
          <w:lang w:eastAsia="lv-LV"/>
        </w:rPr>
      </w:pPr>
      <w:r w:rsidRPr="00B57653">
        <w:rPr>
          <w:rFonts w:eastAsia="EUAlbertina-Bold-Identity-H"/>
          <w:color w:val="000000" w:themeColor="text1"/>
          <w:szCs w:val="24"/>
          <w:lang w:eastAsia="lv-LV"/>
        </w:rPr>
        <w:t>LGA</w:t>
      </w:r>
      <w:r w:rsidRPr="00B57653">
        <w:rPr>
          <w:rFonts w:eastAsia="EUAlbertina-Bold-Identity-H"/>
          <w:color w:val="000000" w:themeColor="text1"/>
          <w:szCs w:val="24"/>
          <w:lang w:eastAsia="lv-LV"/>
        </w:rPr>
        <w:tab/>
        <w:t xml:space="preserve">- </w:t>
      </w:r>
      <w:r w:rsidRPr="00B57653">
        <w:rPr>
          <w:rFonts w:eastAsia="EUAlbertina-Bold-Identity-H"/>
          <w:color w:val="000000" w:themeColor="text1"/>
          <w:szCs w:val="24"/>
          <w:lang w:eastAsia="lv-LV"/>
        </w:rPr>
        <w:tab/>
      </w:r>
      <w:r w:rsidRPr="00B57653">
        <w:rPr>
          <w:rFonts w:eastAsia="EUAlbertina-Bold-Identity-H"/>
          <w:color w:val="000000" w:themeColor="text1"/>
          <w:szCs w:val="24"/>
          <w:lang w:eastAsia="lv-LV"/>
        </w:rPr>
        <w:tab/>
        <w:t xml:space="preserve">Sabiedrība ar ierobežotu atbildību „Latvijas Garantiju aģentūra” </w:t>
      </w:r>
    </w:p>
    <w:p w14:paraId="406FE508" w14:textId="77777777" w:rsidR="009C0862" w:rsidRPr="00B57653" w:rsidRDefault="009C0862" w:rsidP="009C0862">
      <w:pPr>
        <w:tabs>
          <w:tab w:val="left" w:pos="1276"/>
          <w:tab w:val="left" w:pos="1418"/>
          <w:tab w:val="left" w:pos="2127"/>
          <w:tab w:val="left" w:pos="5556"/>
        </w:tabs>
        <w:rPr>
          <w:color w:val="000000" w:themeColor="text1"/>
          <w:szCs w:val="24"/>
        </w:rPr>
      </w:pPr>
      <w:r w:rsidRPr="00B57653">
        <w:rPr>
          <w:rFonts w:eastAsia="EUAlbertina-Bold-Identity-H"/>
          <w:color w:val="000000" w:themeColor="text1"/>
          <w:szCs w:val="24"/>
          <w:lang w:eastAsia="lv-LV"/>
        </w:rPr>
        <w:t>LM</w:t>
      </w:r>
      <w:r w:rsidRPr="00B57653">
        <w:rPr>
          <w:rFonts w:eastAsia="EUAlbertina-Bold-Identity-H"/>
          <w:color w:val="000000" w:themeColor="text1"/>
          <w:szCs w:val="24"/>
          <w:lang w:eastAsia="lv-LV"/>
        </w:rPr>
        <w:tab/>
        <w:t>-</w:t>
      </w:r>
      <w:r w:rsidRPr="00B57653">
        <w:rPr>
          <w:rFonts w:eastAsia="EUAlbertina-Bold-Identity-H"/>
          <w:color w:val="000000" w:themeColor="text1"/>
          <w:szCs w:val="24"/>
          <w:lang w:eastAsia="lv-LV"/>
        </w:rPr>
        <w:tab/>
        <w:t xml:space="preserve"> </w:t>
      </w:r>
      <w:r w:rsidRPr="00B57653">
        <w:rPr>
          <w:rFonts w:eastAsia="EUAlbertina-Bold-Identity-H"/>
          <w:color w:val="000000" w:themeColor="text1"/>
          <w:szCs w:val="24"/>
          <w:lang w:eastAsia="lv-LV"/>
        </w:rPr>
        <w:tab/>
      </w:r>
      <w:r w:rsidRPr="00B57653">
        <w:rPr>
          <w:color w:val="000000" w:themeColor="text1"/>
          <w:szCs w:val="24"/>
        </w:rPr>
        <w:t>Labklājības ministrija</w:t>
      </w:r>
      <w:r w:rsidRPr="00B57653">
        <w:rPr>
          <w:color w:val="000000" w:themeColor="text1"/>
          <w:szCs w:val="24"/>
        </w:rPr>
        <w:tab/>
      </w:r>
    </w:p>
    <w:p w14:paraId="1FB2397A" w14:textId="77777777" w:rsidR="009C0862" w:rsidRPr="00B57653" w:rsidRDefault="009C0862" w:rsidP="009C0862">
      <w:pPr>
        <w:tabs>
          <w:tab w:val="left" w:pos="1276"/>
          <w:tab w:val="left" w:pos="1418"/>
          <w:tab w:val="left" w:pos="2127"/>
        </w:tabs>
        <w:rPr>
          <w:color w:val="000000" w:themeColor="text1"/>
          <w:szCs w:val="24"/>
        </w:rPr>
      </w:pPr>
      <w:r w:rsidRPr="00B57653">
        <w:rPr>
          <w:color w:val="000000" w:themeColor="text1"/>
          <w:szCs w:val="24"/>
        </w:rPr>
        <w:t xml:space="preserve">MK </w:t>
      </w:r>
      <w:r w:rsidRPr="00B57653">
        <w:rPr>
          <w:color w:val="000000" w:themeColor="text1"/>
          <w:szCs w:val="24"/>
        </w:rPr>
        <w:tab/>
        <w:t>-</w:t>
      </w:r>
      <w:r w:rsidRPr="00B57653">
        <w:rPr>
          <w:color w:val="000000" w:themeColor="text1"/>
          <w:szCs w:val="24"/>
        </w:rPr>
        <w:tab/>
        <w:t xml:space="preserve"> </w:t>
      </w:r>
      <w:r w:rsidRPr="00B57653">
        <w:rPr>
          <w:color w:val="000000" w:themeColor="text1"/>
          <w:szCs w:val="24"/>
        </w:rPr>
        <w:tab/>
        <w:t>Ministru kabinets</w:t>
      </w:r>
    </w:p>
    <w:p w14:paraId="1353C16F" w14:textId="77777777" w:rsidR="009C0862" w:rsidRPr="00B57653" w:rsidRDefault="009C0862" w:rsidP="009C0862">
      <w:pPr>
        <w:tabs>
          <w:tab w:val="left" w:pos="1276"/>
          <w:tab w:val="left" w:pos="1418"/>
          <w:tab w:val="left" w:pos="2127"/>
        </w:tabs>
        <w:rPr>
          <w:color w:val="000000" w:themeColor="text1"/>
          <w:szCs w:val="24"/>
        </w:rPr>
      </w:pPr>
      <w:r w:rsidRPr="00B57653">
        <w:rPr>
          <w:color w:val="000000" w:themeColor="text1"/>
          <w:szCs w:val="24"/>
        </w:rPr>
        <w:t>MVK</w:t>
      </w:r>
      <w:r w:rsidRPr="00B57653">
        <w:rPr>
          <w:color w:val="000000" w:themeColor="text1"/>
          <w:szCs w:val="24"/>
        </w:rPr>
        <w:tab/>
        <w:t>-</w:t>
      </w:r>
      <w:r w:rsidRPr="00B57653">
        <w:rPr>
          <w:color w:val="000000" w:themeColor="text1"/>
          <w:szCs w:val="24"/>
        </w:rPr>
        <w:tab/>
      </w:r>
      <w:r w:rsidRPr="00B57653">
        <w:rPr>
          <w:color w:val="000000" w:themeColor="text1"/>
          <w:szCs w:val="24"/>
        </w:rPr>
        <w:tab/>
        <w:t>Mazie un vidējie komersanti</w:t>
      </w:r>
    </w:p>
    <w:p w14:paraId="0F307713" w14:textId="77777777" w:rsidR="009C0862" w:rsidRDefault="009C0862" w:rsidP="009C0862">
      <w:pPr>
        <w:tabs>
          <w:tab w:val="left" w:pos="1276"/>
          <w:tab w:val="left" w:pos="1418"/>
          <w:tab w:val="left" w:pos="2127"/>
        </w:tabs>
        <w:rPr>
          <w:color w:val="000000" w:themeColor="text1"/>
          <w:szCs w:val="24"/>
        </w:rPr>
      </w:pPr>
      <w:r>
        <w:rPr>
          <w:color w:val="000000" w:themeColor="text1"/>
          <w:szCs w:val="24"/>
        </w:rPr>
        <w:t xml:space="preserve">NVA            </w:t>
      </w:r>
      <w:r w:rsidRPr="00B57653">
        <w:rPr>
          <w:color w:val="000000" w:themeColor="text1"/>
          <w:szCs w:val="24"/>
        </w:rPr>
        <w:t>-</w:t>
      </w:r>
      <w:r>
        <w:rPr>
          <w:color w:val="000000" w:themeColor="text1"/>
          <w:szCs w:val="24"/>
        </w:rPr>
        <w:t xml:space="preserve">             Nodarbinātības valsts aģentūra</w:t>
      </w:r>
    </w:p>
    <w:p w14:paraId="5154CCC6" w14:textId="77777777" w:rsidR="009C0862" w:rsidRDefault="009C0862" w:rsidP="009C0862">
      <w:pPr>
        <w:tabs>
          <w:tab w:val="left" w:pos="1276"/>
          <w:tab w:val="left" w:pos="1418"/>
          <w:tab w:val="left" w:pos="2127"/>
        </w:tabs>
        <w:rPr>
          <w:color w:val="000000" w:themeColor="text1"/>
          <w:szCs w:val="24"/>
        </w:rPr>
      </w:pPr>
      <w:r w:rsidRPr="00B57653">
        <w:rPr>
          <w:color w:val="000000" w:themeColor="text1"/>
          <w:szCs w:val="24"/>
        </w:rPr>
        <w:t>NVO</w:t>
      </w:r>
      <w:r w:rsidRPr="00B57653">
        <w:rPr>
          <w:color w:val="000000" w:themeColor="text1"/>
          <w:szCs w:val="24"/>
        </w:rPr>
        <w:tab/>
        <w:t xml:space="preserve">- </w:t>
      </w:r>
      <w:r w:rsidRPr="00B57653">
        <w:rPr>
          <w:color w:val="000000" w:themeColor="text1"/>
          <w:szCs w:val="24"/>
        </w:rPr>
        <w:tab/>
      </w:r>
      <w:r w:rsidRPr="00B57653">
        <w:rPr>
          <w:color w:val="000000" w:themeColor="text1"/>
          <w:szCs w:val="24"/>
        </w:rPr>
        <w:tab/>
        <w:t>Nevalstiskā organizācija</w:t>
      </w:r>
    </w:p>
    <w:p w14:paraId="3D409C99" w14:textId="77777777" w:rsidR="009C0862" w:rsidRPr="00B57653" w:rsidRDefault="009C0862" w:rsidP="009C0862">
      <w:pPr>
        <w:tabs>
          <w:tab w:val="left" w:pos="1276"/>
          <w:tab w:val="left" w:pos="1418"/>
          <w:tab w:val="left" w:pos="2127"/>
        </w:tabs>
        <w:rPr>
          <w:color w:val="000000" w:themeColor="text1"/>
          <w:szCs w:val="24"/>
        </w:rPr>
      </w:pPr>
      <w:r w:rsidRPr="00B57653">
        <w:rPr>
          <w:color w:val="000000" w:themeColor="text1"/>
          <w:szCs w:val="24"/>
        </w:rPr>
        <w:t>P&amp;A</w:t>
      </w:r>
      <w:r w:rsidRPr="00B57653">
        <w:rPr>
          <w:color w:val="000000" w:themeColor="text1"/>
          <w:szCs w:val="24"/>
        </w:rPr>
        <w:tab/>
        <w:t>-</w:t>
      </w:r>
      <w:r w:rsidRPr="00B57653">
        <w:rPr>
          <w:color w:val="000000" w:themeColor="text1"/>
          <w:szCs w:val="24"/>
        </w:rPr>
        <w:tab/>
      </w:r>
      <w:r w:rsidRPr="00B57653">
        <w:rPr>
          <w:color w:val="000000" w:themeColor="text1"/>
          <w:szCs w:val="24"/>
        </w:rPr>
        <w:tab/>
        <w:t>Pētniecība un attīstība</w:t>
      </w:r>
    </w:p>
    <w:p w14:paraId="72C47D29" w14:textId="77777777" w:rsidR="009C0862" w:rsidRPr="00B57653" w:rsidRDefault="009C0862" w:rsidP="009C0862">
      <w:pPr>
        <w:tabs>
          <w:tab w:val="left" w:pos="1276"/>
          <w:tab w:val="left" w:pos="1418"/>
          <w:tab w:val="left" w:pos="2127"/>
        </w:tabs>
        <w:rPr>
          <w:color w:val="000000" w:themeColor="text1"/>
          <w:szCs w:val="24"/>
        </w:rPr>
      </w:pPr>
      <w:r w:rsidRPr="00B57653">
        <w:rPr>
          <w:color w:val="000000" w:themeColor="text1"/>
          <w:szCs w:val="24"/>
        </w:rPr>
        <w:t>PPIV</w:t>
      </w:r>
      <w:r w:rsidRPr="00B57653">
        <w:rPr>
          <w:color w:val="000000" w:themeColor="text1"/>
          <w:szCs w:val="24"/>
        </w:rPr>
        <w:tab/>
        <w:t>-</w:t>
      </w:r>
      <w:r w:rsidRPr="00B57653">
        <w:rPr>
          <w:color w:val="000000" w:themeColor="text1"/>
          <w:szCs w:val="24"/>
        </w:rPr>
        <w:tab/>
      </w:r>
      <w:r w:rsidRPr="00B57653">
        <w:rPr>
          <w:color w:val="000000" w:themeColor="text1"/>
          <w:szCs w:val="24"/>
        </w:rPr>
        <w:tab/>
      </w:r>
      <w:r w:rsidRPr="00B57653">
        <w:rPr>
          <w:bCs/>
          <w:color w:val="000000" w:themeColor="text1"/>
          <w:szCs w:val="24"/>
        </w:rPr>
        <w:t>Pārbaudes projektu īstenošanas vietās</w:t>
      </w:r>
    </w:p>
    <w:p w14:paraId="77027717" w14:textId="77777777" w:rsidR="009C0862" w:rsidRPr="00B57653" w:rsidRDefault="009C0862" w:rsidP="009C0862">
      <w:pPr>
        <w:tabs>
          <w:tab w:val="left" w:pos="1276"/>
          <w:tab w:val="left" w:pos="1418"/>
          <w:tab w:val="left" w:pos="2127"/>
        </w:tabs>
        <w:rPr>
          <w:color w:val="000000" w:themeColor="text1"/>
          <w:szCs w:val="24"/>
        </w:rPr>
      </w:pPr>
      <w:r w:rsidRPr="00B57653">
        <w:rPr>
          <w:color w:val="000000" w:themeColor="text1"/>
          <w:szCs w:val="24"/>
        </w:rPr>
        <w:t>RI</w:t>
      </w:r>
      <w:r w:rsidRPr="00B57653">
        <w:rPr>
          <w:color w:val="000000" w:themeColor="text1"/>
          <w:szCs w:val="24"/>
        </w:rPr>
        <w:tab/>
        <w:t>-</w:t>
      </w:r>
      <w:r w:rsidRPr="00B57653">
        <w:rPr>
          <w:color w:val="000000" w:themeColor="text1"/>
          <w:szCs w:val="24"/>
        </w:rPr>
        <w:tab/>
      </w:r>
      <w:r w:rsidRPr="00B57653">
        <w:rPr>
          <w:color w:val="000000" w:themeColor="text1"/>
          <w:szCs w:val="24"/>
        </w:rPr>
        <w:tab/>
        <w:t xml:space="preserve">ES fondu, </w:t>
      </w:r>
      <w:r w:rsidRPr="00B57653">
        <w:rPr>
          <w:rFonts w:eastAsia="EUAlbertina-Bold-Identity-H"/>
          <w:color w:val="000000" w:themeColor="text1"/>
          <w:szCs w:val="24"/>
          <w:lang w:eastAsia="lv-LV"/>
        </w:rPr>
        <w:t>EEZ/Norvēģijas finanšu instrumentu</w:t>
      </w:r>
      <w:r w:rsidRPr="00B57653">
        <w:rPr>
          <w:color w:val="000000" w:themeColor="text1"/>
          <w:szCs w:val="24"/>
        </w:rPr>
        <w:t xml:space="preserve"> revīzijas iestāde</w:t>
      </w:r>
    </w:p>
    <w:p w14:paraId="349FAE75" w14:textId="77777777" w:rsidR="009C0862" w:rsidRPr="00B57653" w:rsidRDefault="009C0862" w:rsidP="009C0862">
      <w:pPr>
        <w:tabs>
          <w:tab w:val="left" w:pos="1276"/>
          <w:tab w:val="left" w:pos="1418"/>
          <w:tab w:val="left" w:pos="2127"/>
        </w:tabs>
        <w:rPr>
          <w:color w:val="000000" w:themeColor="text1"/>
          <w:szCs w:val="24"/>
        </w:rPr>
      </w:pPr>
      <w:r w:rsidRPr="00B57653">
        <w:rPr>
          <w:color w:val="000000" w:themeColor="text1"/>
          <w:szCs w:val="24"/>
        </w:rPr>
        <w:t xml:space="preserve">SAM </w:t>
      </w:r>
      <w:r w:rsidRPr="00B57653">
        <w:rPr>
          <w:color w:val="000000" w:themeColor="text1"/>
          <w:szCs w:val="24"/>
        </w:rPr>
        <w:tab/>
        <w:t>-</w:t>
      </w:r>
      <w:r w:rsidRPr="00B57653">
        <w:rPr>
          <w:color w:val="000000" w:themeColor="text1"/>
          <w:szCs w:val="24"/>
        </w:rPr>
        <w:tab/>
      </w:r>
      <w:r w:rsidRPr="00B57653">
        <w:rPr>
          <w:color w:val="000000" w:themeColor="text1"/>
          <w:szCs w:val="24"/>
        </w:rPr>
        <w:tab/>
        <w:t>Specifiskais atbalsta mērķis</w:t>
      </w:r>
    </w:p>
    <w:p w14:paraId="6CF49724" w14:textId="77777777" w:rsidR="009C0862" w:rsidRPr="00B57653" w:rsidRDefault="009C0862" w:rsidP="009C0862">
      <w:pPr>
        <w:tabs>
          <w:tab w:val="left" w:pos="1276"/>
          <w:tab w:val="left" w:pos="1418"/>
          <w:tab w:val="left" w:pos="2127"/>
        </w:tabs>
        <w:rPr>
          <w:rFonts w:eastAsia="EUAlbertina-Bold-Identity-H"/>
          <w:color w:val="000000" w:themeColor="text1"/>
          <w:szCs w:val="24"/>
          <w:lang w:eastAsia="lv-LV"/>
        </w:rPr>
      </w:pPr>
      <w:r w:rsidRPr="00B57653">
        <w:rPr>
          <w:rFonts w:eastAsia="EUAlbertina-Bold-Identity-H"/>
          <w:color w:val="000000" w:themeColor="text1"/>
          <w:szCs w:val="24"/>
          <w:lang w:eastAsia="lv-LV"/>
        </w:rPr>
        <w:t>SM</w:t>
      </w:r>
      <w:r w:rsidRPr="00B57653">
        <w:rPr>
          <w:rFonts w:eastAsia="EUAlbertina-Bold-Identity-H"/>
          <w:color w:val="000000" w:themeColor="text1"/>
          <w:szCs w:val="24"/>
          <w:lang w:eastAsia="lv-LV"/>
        </w:rPr>
        <w:tab/>
        <w:t xml:space="preserve">- </w:t>
      </w:r>
      <w:r w:rsidRPr="00B57653">
        <w:rPr>
          <w:rFonts w:eastAsia="EUAlbertina-Bold-Identity-H"/>
          <w:color w:val="000000" w:themeColor="text1"/>
          <w:szCs w:val="24"/>
          <w:lang w:eastAsia="lv-LV"/>
        </w:rPr>
        <w:tab/>
      </w:r>
      <w:r w:rsidRPr="00B57653">
        <w:rPr>
          <w:rFonts w:eastAsia="EUAlbertina-Bold-Identity-H"/>
          <w:color w:val="000000" w:themeColor="text1"/>
          <w:szCs w:val="24"/>
          <w:lang w:eastAsia="lv-LV"/>
        </w:rPr>
        <w:tab/>
        <w:t>Satiksmes ministrija</w:t>
      </w:r>
    </w:p>
    <w:p w14:paraId="7E573BB5" w14:textId="77777777" w:rsidR="009C0862" w:rsidRPr="00B57653" w:rsidRDefault="009C0862" w:rsidP="009C0862">
      <w:pPr>
        <w:tabs>
          <w:tab w:val="left" w:pos="1276"/>
          <w:tab w:val="left" w:pos="1418"/>
          <w:tab w:val="left" w:pos="2127"/>
        </w:tabs>
        <w:rPr>
          <w:rFonts w:eastAsia="EUAlbertina-Bold-Identity-H"/>
          <w:color w:val="000000" w:themeColor="text1"/>
          <w:szCs w:val="24"/>
          <w:lang w:eastAsia="lv-LV"/>
        </w:rPr>
      </w:pPr>
      <w:r w:rsidRPr="00B57653">
        <w:rPr>
          <w:rFonts w:eastAsia="EUAlbertina-Bold-Identity-H"/>
          <w:color w:val="000000" w:themeColor="text1"/>
          <w:szCs w:val="24"/>
          <w:lang w:eastAsia="lv-LV"/>
        </w:rPr>
        <w:t xml:space="preserve">SI </w:t>
      </w:r>
      <w:r w:rsidRPr="00B57653">
        <w:rPr>
          <w:rFonts w:eastAsia="EUAlbertina-Bold-Identity-H"/>
          <w:color w:val="000000" w:themeColor="text1"/>
          <w:szCs w:val="24"/>
          <w:lang w:eastAsia="lv-LV"/>
        </w:rPr>
        <w:tab/>
        <w:t xml:space="preserve">- </w:t>
      </w:r>
      <w:r w:rsidRPr="00B57653">
        <w:rPr>
          <w:rFonts w:eastAsia="EUAlbertina-Bold-Identity-H"/>
          <w:color w:val="000000" w:themeColor="text1"/>
          <w:szCs w:val="24"/>
          <w:lang w:eastAsia="lv-LV"/>
        </w:rPr>
        <w:tab/>
      </w:r>
      <w:r w:rsidRPr="00B57653">
        <w:rPr>
          <w:rFonts w:eastAsia="EUAlbertina-Bold-Identity-H"/>
          <w:color w:val="000000" w:themeColor="text1"/>
          <w:szCs w:val="24"/>
          <w:lang w:eastAsia="lv-LV"/>
        </w:rPr>
        <w:tab/>
        <w:t>ES fondu sadarbības iestāde</w:t>
      </w:r>
    </w:p>
    <w:p w14:paraId="739A83DD" w14:textId="77777777" w:rsidR="009C0862" w:rsidRPr="00B57653" w:rsidRDefault="009C0862" w:rsidP="009C0862">
      <w:pPr>
        <w:tabs>
          <w:tab w:val="left" w:pos="1276"/>
          <w:tab w:val="left" w:pos="1418"/>
          <w:tab w:val="left" w:pos="2127"/>
        </w:tabs>
        <w:rPr>
          <w:rFonts w:eastAsia="EUAlbertina-Bold-Identity-H"/>
          <w:color w:val="000000" w:themeColor="text1"/>
          <w:szCs w:val="24"/>
          <w:lang w:eastAsia="lv-LV"/>
        </w:rPr>
      </w:pPr>
      <w:r w:rsidRPr="00B57653">
        <w:rPr>
          <w:rFonts w:eastAsia="EUAlbertina-Bold-Identity-H"/>
          <w:color w:val="000000" w:themeColor="text1"/>
          <w:szCs w:val="24"/>
          <w:lang w:eastAsia="lv-LV"/>
        </w:rPr>
        <w:t>SIA</w:t>
      </w:r>
      <w:r w:rsidRPr="00B57653">
        <w:rPr>
          <w:rFonts w:eastAsia="EUAlbertina-Bold-Identity-H"/>
          <w:color w:val="000000" w:themeColor="text1"/>
          <w:szCs w:val="24"/>
          <w:lang w:eastAsia="lv-LV"/>
        </w:rPr>
        <w:tab/>
        <w:t>-</w:t>
      </w:r>
      <w:r w:rsidRPr="00B57653">
        <w:rPr>
          <w:rFonts w:eastAsia="EUAlbertina-Bold-Identity-H"/>
          <w:color w:val="000000" w:themeColor="text1"/>
          <w:szCs w:val="24"/>
          <w:lang w:eastAsia="lv-LV"/>
        </w:rPr>
        <w:tab/>
      </w:r>
      <w:r w:rsidRPr="00B57653">
        <w:rPr>
          <w:rFonts w:eastAsia="EUAlbertina-Bold-Identity-H"/>
          <w:color w:val="000000" w:themeColor="text1"/>
          <w:szCs w:val="24"/>
          <w:lang w:eastAsia="lv-LV"/>
        </w:rPr>
        <w:tab/>
        <w:t>Sabiedrība ar ierobežotu atbildību</w:t>
      </w:r>
    </w:p>
    <w:p w14:paraId="09C1B1E5" w14:textId="77777777" w:rsidR="009C0862" w:rsidRPr="00B57653" w:rsidRDefault="009C0862" w:rsidP="009C0862">
      <w:pPr>
        <w:tabs>
          <w:tab w:val="left" w:pos="1276"/>
          <w:tab w:val="left" w:pos="1418"/>
          <w:tab w:val="left" w:pos="2127"/>
        </w:tabs>
        <w:rPr>
          <w:color w:val="000000" w:themeColor="text1"/>
          <w:szCs w:val="24"/>
        </w:rPr>
      </w:pPr>
      <w:r w:rsidRPr="00B57653">
        <w:rPr>
          <w:rFonts w:eastAsia="EUAlbertina-Bold-Identity-H"/>
          <w:color w:val="000000" w:themeColor="text1"/>
          <w:szCs w:val="24"/>
          <w:lang w:eastAsia="lv-LV"/>
        </w:rPr>
        <w:t>SIF</w:t>
      </w:r>
      <w:r w:rsidRPr="00B57653">
        <w:rPr>
          <w:rFonts w:eastAsia="EUAlbertina-Bold-Identity-H"/>
          <w:color w:val="000000" w:themeColor="text1"/>
          <w:szCs w:val="24"/>
          <w:lang w:eastAsia="lv-LV"/>
        </w:rPr>
        <w:tab/>
        <w:t>-</w:t>
      </w:r>
      <w:r w:rsidRPr="00B57653">
        <w:rPr>
          <w:rFonts w:eastAsia="EUAlbertina-Bold-Identity-H"/>
          <w:color w:val="000000" w:themeColor="text1"/>
          <w:szCs w:val="24"/>
          <w:lang w:eastAsia="lv-LV"/>
        </w:rPr>
        <w:tab/>
      </w:r>
      <w:r w:rsidRPr="00B57653">
        <w:rPr>
          <w:rFonts w:eastAsia="EUAlbertina-Bold-Identity-H"/>
          <w:color w:val="000000" w:themeColor="text1"/>
          <w:szCs w:val="24"/>
          <w:lang w:eastAsia="lv-LV"/>
        </w:rPr>
        <w:tab/>
      </w:r>
      <w:r w:rsidRPr="00B57653">
        <w:rPr>
          <w:color w:val="000000" w:themeColor="text1"/>
          <w:szCs w:val="24"/>
        </w:rPr>
        <w:t>Sabiedrības integrācijas fonds</w:t>
      </w:r>
    </w:p>
    <w:p w14:paraId="66D2545D" w14:textId="77777777" w:rsidR="009C0862" w:rsidRPr="00B57653" w:rsidRDefault="009C0862" w:rsidP="009C0862">
      <w:pPr>
        <w:tabs>
          <w:tab w:val="left" w:pos="2694"/>
          <w:tab w:val="left" w:pos="3261"/>
        </w:tabs>
        <w:rPr>
          <w:color w:val="000000" w:themeColor="text1"/>
          <w:szCs w:val="24"/>
        </w:rPr>
      </w:pPr>
      <w:r w:rsidRPr="00B57653">
        <w:rPr>
          <w:color w:val="000000" w:themeColor="text1"/>
          <w:szCs w:val="24"/>
        </w:rPr>
        <w:t xml:space="preserve">Šveices programma </w:t>
      </w:r>
      <w:r w:rsidRPr="00B57653">
        <w:rPr>
          <w:color w:val="000000" w:themeColor="text1"/>
          <w:szCs w:val="24"/>
        </w:rPr>
        <w:tab/>
        <w:t>-</w:t>
      </w:r>
      <w:r w:rsidRPr="00B57653">
        <w:rPr>
          <w:color w:val="000000" w:themeColor="text1"/>
          <w:szCs w:val="24"/>
        </w:rPr>
        <w:tab/>
        <w:t>Latvijas un Šveices sadarbības programma</w:t>
      </w:r>
    </w:p>
    <w:p w14:paraId="2DFB5A23" w14:textId="77777777" w:rsidR="009C0862" w:rsidRPr="00B57653" w:rsidRDefault="009C0862" w:rsidP="009C0862">
      <w:pPr>
        <w:tabs>
          <w:tab w:val="left" w:pos="1276"/>
          <w:tab w:val="left" w:pos="1418"/>
          <w:tab w:val="left" w:pos="2127"/>
        </w:tabs>
        <w:rPr>
          <w:rFonts w:eastAsia="EUAlbertina-Bold-Identity-H"/>
          <w:color w:val="000000" w:themeColor="text1"/>
          <w:szCs w:val="24"/>
          <w:lang w:eastAsia="lv-LV"/>
        </w:rPr>
      </w:pPr>
      <w:r w:rsidRPr="00B57653">
        <w:rPr>
          <w:rFonts w:eastAsia="EUAlbertina-Bold-Identity-H"/>
          <w:color w:val="000000" w:themeColor="text1"/>
          <w:szCs w:val="24"/>
          <w:lang w:eastAsia="lv-LV"/>
        </w:rPr>
        <w:t>TM</w:t>
      </w:r>
      <w:r w:rsidRPr="00B57653">
        <w:rPr>
          <w:rFonts w:eastAsia="EUAlbertina-Bold-Identity-H"/>
          <w:color w:val="000000" w:themeColor="text1"/>
          <w:szCs w:val="24"/>
          <w:lang w:eastAsia="lv-LV"/>
        </w:rPr>
        <w:tab/>
        <w:t xml:space="preserve">- </w:t>
      </w:r>
      <w:r w:rsidRPr="00B57653">
        <w:rPr>
          <w:rFonts w:eastAsia="EUAlbertina-Bold-Identity-H"/>
          <w:color w:val="000000" w:themeColor="text1"/>
          <w:szCs w:val="24"/>
          <w:lang w:eastAsia="lv-LV"/>
        </w:rPr>
        <w:tab/>
      </w:r>
      <w:r w:rsidRPr="00B57653">
        <w:rPr>
          <w:rFonts w:eastAsia="EUAlbertina-Bold-Identity-H"/>
          <w:color w:val="000000" w:themeColor="text1"/>
          <w:szCs w:val="24"/>
          <w:lang w:eastAsia="lv-LV"/>
        </w:rPr>
        <w:tab/>
        <w:t>Tieslietu ministrija</w:t>
      </w:r>
    </w:p>
    <w:p w14:paraId="1EBDCF34" w14:textId="77777777" w:rsidR="009C0862" w:rsidRDefault="009C0862" w:rsidP="009C0862">
      <w:pPr>
        <w:tabs>
          <w:tab w:val="left" w:pos="1276"/>
          <w:tab w:val="left" w:pos="1418"/>
          <w:tab w:val="left" w:pos="2127"/>
        </w:tabs>
        <w:rPr>
          <w:color w:val="000000" w:themeColor="text1"/>
          <w:szCs w:val="24"/>
        </w:rPr>
      </w:pPr>
      <w:r w:rsidRPr="00B57653">
        <w:rPr>
          <w:rFonts w:eastAsia="EUAlbertina-Bold-Identity-H"/>
          <w:color w:val="000000" w:themeColor="text1"/>
          <w:szCs w:val="24"/>
          <w:lang w:eastAsia="lv-LV"/>
        </w:rPr>
        <w:lastRenderedPageBreak/>
        <w:t>TP</w:t>
      </w:r>
      <w:r w:rsidRPr="00B57653">
        <w:rPr>
          <w:rFonts w:eastAsia="EUAlbertina-Bold-Identity-H"/>
          <w:color w:val="000000" w:themeColor="text1"/>
          <w:szCs w:val="24"/>
          <w:lang w:eastAsia="lv-LV"/>
        </w:rPr>
        <w:tab/>
        <w:t xml:space="preserve">- </w:t>
      </w:r>
      <w:r w:rsidRPr="00B57653">
        <w:rPr>
          <w:rFonts w:eastAsia="EUAlbertina-Bold-Identity-H"/>
          <w:color w:val="000000" w:themeColor="text1"/>
          <w:szCs w:val="24"/>
          <w:lang w:eastAsia="lv-LV"/>
        </w:rPr>
        <w:tab/>
      </w:r>
      <w:r w:rsidRPr="00B57653">
        <w:rPr>
          <w:rFonts w:eastAsia="EUAlbertina-Bold-Identity-H"/>
          <w:color w:val="000000" w:themeColor="text1"/>
          <w:szCs w:val="24"/>
          <w:lang w:eastAsia="lv-LV"/>
        </w:rPr>
        <w:tab/>
      </w:r>
      <w:r w:rsidRPr="00B57653">
        <w:rPr>
          <w:color w:val="000000" w:themeColor="text1"/>
          <w:szCs w:val="24"/>
        </w:rPr>
        <w:t xml:space="preserve">ES fondu tehniskā palīdzība </w:t>
      </w:r>
    </w:p>
    <w:p w14:paraId="72C2B33D" w14:textId="77777777" w:rsidR="009C0862" w:rsidRPr="00B57653" w:rsidRDefault="009C0862" w:rsidP="009C0862">
      <w:pPr>
        <w:tabs>
          <w:tab w:val="left" w:pos="1276"/>
          <w:tab w:val="left" w:pos="1418"/>
          <w:tab w:val="left" w:pos="2127"/>
        </w:tabs>
        <w:rPr>
          <w:color w:val="000000" w:themeColor="text1"/>
          <w:szCs w:val="24"/>
        </w:rPr>
      </w:pPr>
      <w:r>
        <w:rPr>
          <w:color w:val="000000" w:themeColor="text1"/>
          <w:szCs w:val="24"/>
        </w:rPr>
        <w:t xml:space="preserve">UK </w:t>
      </w:r>
      <w:r>
        <w:rPr>
          <w:color w:val="000000" w:themeColor="text1"/>
          <w:szCs w:val="24"/>
        </w:rPr>
        <w:tab/>
        <w:t xml:space="preserve">- </w:t>
      </w:r>
      <w:r>
        <w:rPr>
          <w:color w:val="000000" w:themeColor="text1"/>
          <w:szCs w:val="24"/>
        </w:rPr>
        <w:tab/>
      </w:r>
      <w:r>
        <w:rPr>
          <w:color w:val="000000" w:themeColor="text1"/>
          <w:szCs w:val="24"/>
        </w:rPr>
        <w:tab/>
        <w:t>Uzraudzības komiteja</w:t>
      </w:r>
    </w:p>
    <w:p w14:paraId="32631197" w14:textId="77777777" w:rsidR="009C0862" w:rsidRPr="00B57653" w:rsidRDefault="009C0862" w:rsidP="009C0862">
      <w:pPr>
        <w:tabs>
          <w:tab w:val="left" w:pos="1276"/>
          <w:tab w:val="left" w:pos="1418"/>
          <w:tab w:val="left" w:pos="2127"/>
        </w:tabs>
        <w:rPr>
          <w:color w:val="000000" w:themeColor="text1"/>
          <w:szCs w:val="24"/>
        </w:rPr>
      </w:pPr>
      <w:r w:rsidRPr="00B57653">
        <w:rPr>
          <w:rFonts w:eastAsia="EUAlbertina-Bold-Identity-H"/>
          <w:color w:val="000000" w:themeColor="text1"/>
          <w:szCs w:val="24"/>
          <w:lang w:eastAsia="lv-LV"/>
        </w:rPr>
        <w:t>VARAM</w:t>
      </w:r>
      <w:r w:rsidRPr="00B57653">
        <w:rPr>
          <w:rFonts w:eastAsia="EUAlbertina-Bold-Identity-H"/>
          <w:color w:val="000000" w:themeColor="text1"/>
          <w:szCs w:val="24"/>
          <w:lang w:eastAsia="lv-LV"/>
        </w:rPr>
        <w:tab/>
        <w:t xml:space="preserve">- </w:t>
      </w:r>
      <w:r w:rsidRPr="00B57653">
        <w:rPr>
          <w:rFonts w:eastAsia="EUAlbertina-Bold-Identity-H"/>
          <w:color w:val="000000" w:themeColor="text1"/>
          <w:szCs w:val="24"/>
          <w:lang w:eastAsia="lv-LV"/>
        </w:rPr>
        <w:tab/>
      </w:r>
      <w:r w:rsidRPr="00B57653">
        <w:rPr>
          <w:rFonts w:eastAsia="EUAlbertina-Bold-Identity-H"/>
          <w:color w:val="000000" w:themeColor="text1"/>
          <w:szCs w:val="24"/>
          <w:lang w:eastAsia="lv-LV"/>
        </w:rPr>
        <w:tab/>
      </w:r>
      <w:r w:rsidRPr="00B57653">
        <w:rPr>
          <w:color w:val="000000" w:themeColor="text1"/>
          <w:szCs w:val="24"/>
        </w:rPr>
        <w:t>Vides aizsardzības un reģionālās attīstības ministrija</w:t>
      </w:r>
    </w:p>
    <w:p w14:paraId="1DA68D06" w14:textId="77777777" w:rsidR="009C0862" w:rsidRPr="00B57653" w:rsidRDefault="009C0862" w:rsidP="009C0862">
      <w:pPr>
        <w:tabs>
          <w:tab w:val="left" w:pos="1276"/>
          <w:tab w:val="left" w:pos="2127"/>
        </w:tabs>
        <w:ind w:left="1275" w:hanging="1275"/>
        <w:rPr>
          <w:color w:val="000000" w:themeColor="text1"/>
          <w:szCs w:val="24"/>
        </w:rPr>
      </w:pPr>
      <w:r w:rsidRPr="00B57653">
        <w:rPr>
          <w:rFonts w:eastAsia="EUAlbertina-Bold-Identity-H"/>
          <w:color w:val="000000" w:themeColor="text1"/>
          <w:szCs w:val="24"/>
          <w:lang w:eastAsia="lv-LV"/>
        </w:rPr>
        <w:t>VI</w:t>
      </w:r>
      <w:r w:rsidRPr="00B57653">
        <w:rPr>
          <w:rFonts w:eastAsia="EUAlbertina-Bold-Identity-H"/>
          <w:color w:val="000000" w:themeColor="text1"/>
          <w:szCs w:val="24"/>
          <w:lang w:eastAsia="lv-LV"/>
        </w:rPr>
        <w:tab/>
      </w:r>
      <w:r w:rsidRPr="00B57653">
        <w:rPr>
          <w:rFonts w:eastAsia="EUAlbertina-Bold-Identity-H"/>
          <w:color w:val="000000" w:themeColor="text1"/>
          <w:szCs w:val="24"/>
          <w:lang w:eastAsia="lv-LV"/>
        </w:rPr>
        <w:tab/>
        <w:t xml:space="preserve">- </w:t>
      </w:r>
      <w:r w:rsidRPr="00B57653">
        <w:rPr>
          <w:rFonts w:eastAsia="EUAlbertina-Bold-Identity-H"/>
          <w:color w:val="000000" w:themeColor="text1"/>
          <w:szCs w:val="24"/>
          <w:lang w:eastAsia="lv-LV"/>
        </w:rPr>
        <w:tab/>
        <w:t>ES fondu,</w:t>
      </w:r>
      <w:r w:rsidRPr="00B57653">
        <w:rPr>
          <w:color w:val="000000" w:themeColor="text1"/>
          <w:szCs w:val="24"/>
        </w:rPr>
        <w:t xml:space="preserve"> EEZ/Norvēģijas finanšu instrumentu un Šveices</w:t>
      </w:r>
    </w:p>
    <w:p w14:paraId="197CD761" w14:textId="77777777" w:rsidR="009C0862" w:rsidRPr="00B57653" w:rsidRDefault="009C0862" w:rsidP="009C0862">
      <w:pPr>
        <w:tabs>
          <w:tab w:val="left" w:pos="1276"/>
          <w:tab w:val="left" w:pos="2127"/>
        </w:tabs>
        <w:ind w:left="1275" w:hanging="1275"/>
        <w:rPr>
          <w:rFonts w:eastAsia="EUAlbertina-Bold-Identity-H"/>
          <w:color w:val="000000" w:themeColor="text1"/>
          <w:szCs w:val="24"/>
          <w:lang w:eastAsia="lv-LV"/>
        </w:rPr>
      </w:pPr>
      <w:r w:rsidRPr="00B57653">
        <w:rPr>
          <w:rFonts w:eastAsia="EUAlbertina-Bold-Identity-H"/>
          <w:color w:val="000000" w:themeColor="text1"/>
          <w:szCs w:val="24"/>
          <w:lang w:eastAsia="lv-LV"/>
        </w:rPr>
        <w:tab/>
      </w:r>
      <w:r w:rsidRPr="00B57653">
        <w:rPr>
          <w:rFonts w:eastAsia="EUAlbertina-Bold-Identity-H"/>
          <w:color w:val="000000" w:themeColor="text1"/>
          <w:szCs w:val="24"/>
          <w:lang w:eastAsia="lv-LV"/>
        </w:rPr>
        <w:tab/>
      </w:r>
      <w:r w:rsidRPr="00B57653">
        <w:rPr>
          <w:rFonts w:eastAsia="EUAlbertina-Bold-Identity-H"/>
          <w:color w:val="000000" w:themeColor="text1"/>
          <w:szCs w:val="24"/>
          <w:lang w:eastAsia="lv-LV"/>
        </w:rPr>
        <w:tab/>
      </w:r>
      <w:r w:rsidRPr="00B57653">
        <w:rPr>
          <w:color w:val="000000" w:themeColor="text1"/>
          <w:szCs w:val="24"/>
        </w:rPr>
        <w:t>programmas</w:t>
      </w:r>
      <w:r w:rsidRPr="00B57653">
        <w:rPr>
          <w:rFonts w:eastAsia="EUAlbertina-Bold-Identity-H"/>
          <w:color w:val="000000" w:themeColor="text1"/>
          <w:szCs w:val="24"/>
          <w:lang w:eastAsia="lv-LV"/>
        </w:rPr>
        <w:t xml:space="preserve"> vadošā iestāde</w:t>
      </w:r>
    </w:p>
    <w:p w14:paraId="655F608E" w14:textId="77777777" w:rsidR="009C0862" w:rsidRPr="00B57653" w:rsidRDefault="009C0862" w:rsidP="009C0862">
      <w:pPr>
        <w:tabs>
          <w:tab w:val="left" w:pos="1276"/>
          <w:tab w:val="left" w:pos="2127"/>
        </w:tabs>
        <w:ind w:left="1275" w:hanging="1275"/>
        <w:rPr>
          <w:rFonts w:eastAsia="EUAlbertina-Bold-Identity-H"/>
          <w:color w:val="000000" w:themeColor="text1"/>
          <w:szCs w:val="24"/>
          <w:lang w:eastAsia="lv-LV"/>
        </w:rPr>
      </w:pPr>
      <w:r w:rsidRPr="00B57653">
        <w:rPr>
          <w:rFonts w:eastAsia="EUAlbertina-Bold-Identity-H"/>
          <w:color w:val="000000" w:themeColor="text1"/>
          <w:szCs w:val="24"/>
          <w:lang w:eastAsia="lv-LV"/>
        </w:rPr>
        <w:t>VID</w:t>
      </w:r>
      <w:r w:rsidRPr="00B57653">
        <w:rPr>
          <w:rFonts w:eastAsia="EUAlbertina-Bold-Identity-H"/>
          <w:color w:val="000000" w:themeColor="text1"/>
          <w:szCs w:val="24"/>
          <w:lang w:eastAsia="lv-LV"/>
        </w:rPr>
        <w:tab/>
        <w:t>-</w:t>
      </w:r>
      <w:r w:rsidRPr="00B57653">
        <w:rPr>
          <w:rFonts w:eastAsia="EUAlbertina-Bold-Identity-H"/>
          <w:color w:val="000000" w:themeColor="text1"/>
          <w:szCs w:val="24"/>
          <w:lang w:eastAsia="lv-LV"/>
        </w:rPr>
        <w:tab/>
        <w:t>Valsts ieņēmumu dienests</w:t>
      </w:r>
    </w:p>
    <w:p w14:paraId="170809E5" w14:textId="77777777" w:rsidR="009C0862" w:rsidRPr="00B57653" w:rsidRDefault="009C0862" w:rsidP="009C0862">
      <w:pPr>
        <w:tabs>
          <w:tab w:val="left" w:pos="1276"/>
          <w:tab w:val="left" w:pos="2127"/>
        </w:tabs>
        <w:ind w:left="1275" w:hanging="1275"/>
        <w:rPr>
          <w:color w:val="000000" w:themeColor="text1"/>
          <w:szCs w:val="24"/>
        </w:rPr>
      </w:pPr>
      <w:r w:rsidRPr="00B57653">
        <w:rPr>
          <w:rFonts w:eastAsia="EUAlbertina-Bold-Identity-H"/>
          <w:color w:val="000000" w:themeColor="text1"/>
          <w:szCs w:val="24"/>
          <w:lang w:eastAsia="lv-LV"/>
        </w:rPr>
        <w:t>VIAA</w:t>
      </w:r>
      <w:r w:rsidRPr="00B57653">
        <w:rPr>
          <w:rFonts w:eastAsia="EUAlbertina-Bold-Identity-H"/>
          <w:color w:val="000000" w:themeColor="text1"/>
          <w:szCs w:val="24"/>
          <w:lang w:eastAsia="lv-LV"/>
        </w:rPr>
        <w:tab/>
        <w:t>-</w:t>
      </w:r>
      <w:r w:rsidRPr="00B57653">
        <w:rPr>
          <w:rFonts w:eastAsia="EUAlbertina-Bold-Identity-H"/>
          <w:color w:val="000000" w:themeColor="text1"/>
          <w:szCs w:val="24"/>
          <w:lang w:eastAsia="lv-LV"/>
        </w:rPr>
        <w:tab/>
      </w:r>
      <w:r w:rsidRPr="00B57653">
        <w:rPr>
          <w:color w:val="000000" w:themeColor="text1"/>
          <w:szCs w:val="24"/>
        </w:rPr>
        <w:t>Valsts Izglītības attīstības aģentūra</w:t>
      </w:r>
    </w:p>
    <w:p w14:paraId="2A7055A8" w14:textId="77777777" w:rsidR="009C0862" w:rsidRPr="00B57653" w:rsidRDefault="009C0862" w:rsidP="009C0862">
      <w:pPr>
        <w:tabs>
          <w:tab w:val="left" w:pos="1276"/>
          <w:tab w:val="left" w:pos="1418"/>
          <w:tab w:val="left" w:pos="2127"/>
        </w:tabs>
        <w:rPr>
          <w:color w:val="000000" w:themeColor="text1"/>
          <w:szCs w:val="24"/>
        </w:rPr>
      </w:pPr>
      <w:r w:rsidRPr="00B57653">
        <w:rPr>
          <w:rFonts w:eastAsia="EUAlbertina-Bold-Identity-H"/>
          <w:color w:val="000000" w:themeColor="text1"/>
          <w:szCs w:val="24"/>
          <w:lang w:eastAsia="lv-LV"/>
        </w:rPr>
        <w:t>VIS</w:t>
      </w:r>
      <w:r w:rsidRPr="00B57653">
        <w:rPr>
          <w:rFonts w:eastAsia="EUAlbertina-Bold-Identity-H"/>
          <w:color w:val="000000" w:themeColor="text1"/>
          <w:szCs w:val="24"/>
          <w:lang w:eastAsia="lv-LV"/>
        </w:rPr>
        <w:tab/>
        <w:t xml:space="preserve">- </w:t>
      </w:r>
      <w:r w:rsidRPr="00B57653">
        <w:rPr>
          <w:rFonts w:eastAsia="EUAlbertina-Bold-Identity-H"/>
          <w:color w:val="000000" w:themeColor="text1"/>
          <w:szCs w:val="24"/>
          <w:lang w:eastAsia="lv-LV"/>
        </w:rPr>
        <w:tab/>
      </w:r>
      <w:r w:rsidRPr="00B57653">
        <w:rPr>
          <w:rFonts w:eastAsia="EUAlbertina-Bold-Identity-H"/>
          <w:color w:val="000000" w:themeColor="text1"/>
          <w:szCs w:val="24"/>
          <w:lang w:eastAsia="lv-LV"/>
        </w:rPr>
        <w:tab/>
        <w:t>ES fondu vadības informācijas sistēmas</w:t>
      </w:r>
      <w:r w:rsidRPr="00B57653">
        <w:rPr>
          <w:color w:val="000000" w:themeColor="text1"/>
          <w:szCs w:val="24"/>
        </w:rPr>
        <w:t xml:space="preserve"> </w:t>
      </w:r>
    </w:p>
    <w:p w14:paraId="3292E21A" w14:textId="77777777" w:rsidR="009C0862" w:rsidRPr="00B57653" w:rsidRDefault="009C0862" w:rsidP="009C0862">
      <w:pPr>
        <w:tabs>
          <w:tab w:val="left" w:pos="1276"/>
          <w:tab w:val="left" w:pos="1418"/>
          <w:tab w:val="left" w:pos="2127"/>
        </w:tabs>
        <w:rPr>
          <w:rFonts w:eastAsia="EUAlbertina-Bold-Identity-H"/>
          <w:color w:val="000000" w:themeColor="text1"/>
          <w:szCs w:val="24"/>
          <w:lang w:eastAsia="lv-LV"/>
        </w:rPr>
      </w:pPr>
      <w:proofErr w:type="spellStart"/>
      <w:r w:rsidRPr="00B57653">
        <w:rPr>
          <w:color w:val="000000" w:themeColor="text1"/>
          <w:szCs w:val="24"/>
        </w:rPr>
        <w:t>VKanc</w:t>
      </w:r>
      <w:proofErr w:type="spellEnd"/>
      <w:r w:rsidRPr="00B57653">
        <w:rPr>
          <w:color w:val="000000" w:themeColor="text1"/>
          <w:szCs w:val="24"/>
        </w:rPr>
        <w:tab/>
        <w:t xml:space="preserve">- </w:t>
      </w:r>
      <w:r w:rsidRPr="00B57653">
        <w:rPr>
          <w:color w:val="000000" w:themeColor="text1"/>
          <w:szCs w:val="24"/>
        </w:rPr>
        <w:tab/>
      </w:r>
      <w:r w:rsidRPr="00B57653">
        <w:rPr>
          <w:color w:val="000000" w:themeColor="text1"/>
          <w:szCs w:val="24"/>
        </w:rPr>
        <w:tab/>
      </w:r>
      <w:r w:rsidRPr="00B57653">
        <w:rPr>
          <w:rFonts w:eastAsia="EUAlbertina-Bold-Identity-H"/>
          <w:color w:val="000000" w:themeColor="text1"/>
          <w:szCs w:val="24"/>
          <w:lang w:eastAsia="lv-LV"/>
        </w:rPr>
        <w:t>Valsts kanceleja</w:t>
      </w:r>
    </w:p>
    <w:p w14:paraId="47F8D1A4" w14:textId="77777777" w:rsidR="009C0862" w:rsidRDefault="009C0862" w:rsidP="009C0862">
      <w:pPr>
        <w:tabs>
          <w:tab w:val="left" w:pos="1276"/>
          <w:tab w:val="left" w:pos="1418"/>
          <w:tab w:val="left" w:pos="2127"/>
        </w:tabs>
        <w:rPr>
          <w:rFonts w:eastAsia="EUAlbertina-Bold-Identity-H"/>
          <w:color w:val="000000" w:themeColor="text1"/>
          <w:szCs w:val="24"/>
          <w:lang w:eastAsia="lv-LV"/>
        </w:rPr>
      </w:pPr>
      <w:r w:rsidRPr="00B57653">
        <w:rPr>
          <w:rFonts w:eastAsia="EUAlbertina-Bold-Identity-H"/>
          <w:color w:val="000000" w:themeColor="text1"/>
          <w:szCs w:val="24"/>
          <w:lang w:eastAsia="lv-LV"/>
        </w:rPr>
        <w:t>VM</w:t>
      </w:r>
      <w:r w:rsidRPr="00B57653">
        <w:rPr>
          <w:rFonts w:eastAsia="EUAlbertina-Bold-Identity-H"/>
          <w:color w:val="000000" w:themeColor="text1"/>
          <w:szCs w:val="24"/>
          <w:lang w:eastAsia="lv-LV"/>
        </w:rPr>
        <w:tab/>
        <w:t xml:space="preserve">- </w:t>
      </w:r>
      <w:r w:rsidRPr="00B57653">
        <w:rPr>
          <w:rFonts w:eastAsia="EUAlbertina-Bold-Identity-H"/>
          <w:color w:val="000000" w:themeColor="text1"/>
          <w:szCs w:val="24"/>
          <w:lang w:eastAsia="lv-LV"/>
        </w:rPr>
        <w:tab/>
      </w:r>
      <w:r w:rsidRPr="00B57653">
        <w:rPr>
          <w:rFonts w:eastAsia="EUAlbertina-Bold-Identity-H"/>
          <w:color w:val="000000" w:themeColor="text1"/>
          <w:szCs w:val="24"/>
          <w:lang w:eastAsia="lv-LV"/>
        </w:rPr>
        <w:tab/>
        <w:t>Veselības ministrija</w:t>
      </w:r>
    </w:p>
    <w:p w14:paraId="2F8F6462" w14:textId="77777777" w:rsidR="009C0862" w:rsidRPr="003D57A3" w:rsidRDefault="009C0862" w:rsidP="009C0862">
      <w:pPr>
        <w:tabs>
          <w:tab w:val="left" w:pos="1276"/>
          <w:tab w:val="left" w:pos="1418"/>
          <w:tab w:val="left" w:pos="2127"/>
        </w:tabs>
        <w:rPr>
          <w:rFonts w:eastAsia="Times New Roman" w:cs="Times New Roman"/>
          <w:color w:val="000000"/>
        </w:rPr>
      </w:pPr>
      <w:r>
        <w:rPr>
          <w:rFonts w:eastAsia="Times New Roman" w:cs="Times New Roman"/>
          <w:color w:val="000000"/>
        </w:rPr>
        <w:t>VRAA</w:t>
      </w:r>
      <w:r>
        <w:rPr>
          <w:rFonts w:eastAsia="Times New Roman" w:cs="Times New Roman"/>
          <w:color w:val="000000"/>
        </w:rPr>
        <w:tab/>
        <w:t>-</w:t>
      </w:r>
      <w:r>
        <w:rPr>
          <w:rFonts w:eastAsia="Times New Roman" w:cs="Times New Roman"/>
          <w:color w:val="000000"/>
        </w:rPr>
        <w:tab/>
        <w:t xml:space="preserve"> </w:t>
      </w:r>
      <w:r>
        <w:rPr>
          <w:rFonts w:eastAsia="Times New Roman" w:cs="Times New Roman"/>
          <w:color w:val="000000"/>
        </w:rPr>
        <w:tab/>
        <w:t>Valsts reģionālās attīstības aģentūra</w:t>
      </w:r>
    </w:p>
    <w:p w14:paraId="2B0ADB58" w14:textId="77777777" w:rsidR="009C0862" w:rsidRPr="00B57653" w:rsidRDefault="009C0862" w:rsidP="009C0862">
      <w:pPr>
        <w:tabs>
          <w:tab w:val="left" w:pos="1276"/>
          <w:tab w:val="left" w:pos="1418"/>
          <w:tab w:val="left" w:pos="2127"/>
        </w:tabs>
        <w:rPr>
          <w:rFonts w:eastAsia="EUAlbertina-Bold-Identity-H"/>
          <w:color w:val="000000" w:themeColor="text1"/>
          <w:szCs w:val="24"/>
          <w:lang w:eastAsia="lv-LV"/>
        </w:rPr>
      </w:pPr>
      <w:r w:rsidRPr="00B57653">
        <w:rPr>
          <w:color w:val="000000" w:themeColor="text1"/>
          <w:szCs w:val="24"/>
        </w:rPr>
        <w:t>VSS</w:t>
      </w:r>
      <w:r w:rsidRPr="00B57653">
        <w:rPr>
          <w:color w:val="000000" w:themeColor="text1"/>
          <w:szCs w:val="24"/>
        </w:rPr>
        <w:tab/>
        <w:t xml:space="preserve">- </w:t>
      </w:r>
      <w:r w:rsidRPr="00B57653">
        <w:rPr>
          <w:color w:val="000000" w:themeColor="text1"/>
          <w:szCs w:val="24"/>
        </w:rPr>
        <w:tab/>
      </w:r>
      <w:r w:rsidRPr="00B57653">
        <w:rPr>
          <w:color w:val="000000" w:themeColor="text1"/>
          <w:szCs w:val="24"/>
        </w:rPr>
        <w:tab/>
      </w:r>
      <w:r w:rsidRPr="00B57653">
        <w:rPr>
          <w:rFonts w:eastAsia="EUAlbertina-Bold-Identity-H"/>
          <w:color w:val="000000" w:themeColor="text1"/>
          <w:szCs w:val="24"/>
          <w:lang w:eastAsia="lv-LV"/>
        </w:rPr>
        <w:t>Valsts sekretāru sanāksme</w:t>
      </w:r>
    </w:p>
    <w:p w14:paraId="5A8D8D58" w14:textId="77777777" w:rsidR="009C0862" w:rsidRDefault="009C0862" w:rsidP="009C0862">
      <w:pPr>
        <w:tabs>
          <w:tab w:val="left" w:pos="1276"/>
          <w:tab w:val="left" w:pos="1418"/>
          <w:tab w:val="left" w:pos="2127"/>
        </w:tabs>
        <w:rPr>
          <w:rFonts w:eastAsia="EUAlbertina-Bold-Identity-H"/>
          <w:color w:val="000000" w:themeColor="text1"/>
          <w:szCs w:val="24"/>
          <w:lang w:eastAsia="lv-LV"/>
        </w:rPr>
      </w:pPr>
      <w:r w:rsidRPr="00B57653">
        <w:rPr>
          <w:rFonts w:eastAsia="EUAlbertina-Bold-Identity-H"/>
          <w:color w:val="000000" w:themeColor="text1"/>
          <w:szCs w:val="24"/>
          <w:lang w:eastAsia="lv-LV"/>
        </w:rPr>
        <w:t>VVD</w:t>
      </w:r>
      <w:r w:rsidRPr="00B57653">
        <w:rPr>
          <w:rFonts w:eastAsia="EUAlbertina-Bold-Identity-H"/>
          <w:color w:val="000000" w:themeColor="text1"/>
          <w:szCs w:val="24"/>
          <w:lang w:eastAsia="lv-LV"/>
        </w:rPr>
        <w:tab/>
        <w:t>-</w:t>
      </w:r>
      <w:r w:rsidRPr="00B57653">
        <w:rPr>
          <w:rFonts w:eastAsia="EUAlbertina-Bold-Identity-H"/>
          <w:color w:val="000000" w:themeColor="text1"/>
          <w:szCs w:val="24"/>
          <w:lang w:eastAsia="lv-LV"/>
        </w:rPr>
        <w:tab/>
      </w:r>
      <w:r w:rsidRPr="00B57653">
        <w:rPr>
          <w:rFonts w:eastAsia="EUAlbertina-Bold-Identity-H"/>
          <w:color w:val="000000" w:themeColor="text1"/>
          <w:szCs w:val="24"/>
          <w:lang w:eastAsia="lv-LV"/>
        </w:rPr>
        <w:tab/>
        <w:t>Valsts vides dienests</w:t>
      </w:r>
    </w:p>
    <w:p w14:paraId="1DD9071A" w14:textId="15C71010" w:rsidR="00DA56E0" w:rsidRPr="00B57653" w:rsidRDefault="00DA56E0" w:rsidP="009C0862">
      <w:pPr>
        <w:tabs>
          <w:tab w:val="left" w:pos="1276"/>
          <w:tab w:val="left" w:pos="1418"/>
          <w:tab w:val="left" w:pos="2127"/>
        </w:tabs>
        <w:rPr>
          <w:rFonts w:eastAsia="EUAlbertina-Bold-Identity-H"/>
          <w:color w:val="000000" w:themeColor="text1"/>
          <w:szCs w:val="24"/>
          <w:lang w:eastAsia="lv-LV"/>
        </w:rPr>
      </w:pPr>
      <w:r>
        <w:rPr>
          <w:rFonts w:eastAsia="EUAlbertina-Bold-Identity-H"/>
          <w:color w:val="000000" w:themeColor="text1"/>
          <w:szCs w:val="24"/>
          <w:lang w:eastAsia="lv-LV"/>
        </w:rPr>
        <w:t>ZM</w:t>
      </w:r>
      <w:r>
        <w:rPr>
          <w:rFonts w:eastAsia="EUAlbertina-Bold-Identity-H"/>
          <w:color w:val="000000" w:themeColor="text1"/>
          <w:szCs w:val="24"/>
          <w:lang w:eastAsia="lv-LV"/>
        </w:rPr>
        <w:tab/>
        <w:t>-</w:t>
      </w:r>
      <w:r>
        <w:rPr>
          <w:rFonts w:eastAsia="EUAlbertina-Bold-Identity-H"/>
          <w:color w:val="000000" w:themeColor="text1"/>
          <w:szCs w:val="24"/>
          <w:lang w:eastAsia="lv-LV"/>
        </w:rPr>
        <w:tab/>
      </w:r>
      <w:r>
        <w:rPr>
          <w:rFonts w:eastAsia="EUAlbertina-Bold-Identity-H"/>
          <w:color w:val="000000" w:themeColor="text1"/>
          <w:szCs w:val="24"/>
          <w:lang w:eastAsia="lv-LV"/>
        </w:rPr>
        <w:tab/>
        <w:t>Zemkopības ministrija</w:t>
      </w:r>
    </w:p>
    <w:p w14:paraId="037442A9" w14:textId="77777777" w:rsidR="009C0862" w:rsidRPr="00B57653" w:rsidRDefault="009C0862" w:rsidP="009C0862">
      <w:pPr>
        <w:rPr>
          <w:b/>
          <w:color w:val="000000" w:themeColor="text1"/>
          <w:szCs w:val="24"/>
          <w:highlight w:val="yellow"/>
        </w:rPr>
      </w:pPr>
      <w:r w:rsidRPr="00B57653">
        <w:rPr>
          <w:b/>
          <w:color w:val="000000" w:themeColor="text1"/>
          <w:szCs w:val="24"/>
          <w:highlight w:val="yellow"/>
        </w:rPr>
        <w:br w:type="page"/>
      </w:r>
    </w:p>
    <w:p w14:paraId="1E2E1122" w14:textId="77777777" w:rsidR="009C0862" w:rsidRPr="000022B9" w:rsidRDefault="009C0862" w:rsidP="004D147C">
      <w:pPr>
        <w:pStyle w:val="1lmenis"/>
        <w:numPr>
          <w:ilvl w:val="0"/>
          <w:numId w:val="0"/>
        </w:numPr>
      </w:pPr>
      <w:bookmarkStart w:id="2" w:name="_Toc443658849"/>
      <w:r w:rsidRPr="000022B9">
        <w:lastRenderedPageBreak/>
        <w:t>Kopsavilkums</w:t>
      </w:r>
      <w:bookmarkEnd w:id="2"/>
    </w:p>
    <w:p w14:paraId="0C68A96C" w14:textId="66E80A8D" w:rsidR="004145C0" w:rsidRPr="00517B67" w:rsidRDefault="004145C0" w:rsidP="004145C0">
      <w:pPr>
        <w:spacing w:before="120" w:after="120" w:line="276" w:lineRule="auto"/>
        <w:jc w:val="both"/>
        <w:rPr>
          <w:color w:val="1F497D"/>
        </w:rPr>
      </w:pPr>
      <w:r w:rsidRPr="00517B67">
        <w:rPr>
          <w:szCs w:val="24"/>
        </w:rPr>
        <w:t>Ņemot vērā statistikas publicēšanas periodiskumu, informācija par makroekonomiskās situācijas attīstību ietver informāciju par 2015.gada trešo ceturksni. 2015.gada pirmaj</w:t>
      </w:r>
      <w:r>
        <w:rPr>
          <w:szCs w:val="24"/>
        </w:rPr>
        <w:t>os trīs ceturkšņos iekšzemes</w:t>
      </w:r>
      <w:r w:rsidRPr="00517B67">
        <w:rPr>
          <w:szCs w:val="24"/>
        </w:rPr>
        <w:t xml:space="preserve"> kopprodukta pieaugums </w:t>
      </w:r>
      <w:r>
        <w:rPr>
          <w:szCs w:val="24"/>
        </w:rPr>
        <w:t>kļuvis nedaudz straujāks, sa</w:t>
      </w:r>
      <w:r w:rsidR="00782262">
        <w:rPr>
          <w:szCs w:val="24"/>
        </w:rPr>
        <w:t>s</w:t>
      </w:r>
      <w:r>
        <w:rPr>
          <w:szCs w:val="24"/>
        </w:rPr>
        <w:t>niedzot 2,7% salīdz</w:t>
      </w:r>
      <w:r w:rsidR="00782262">
        <w:rPr>
          <w:szCs w:val="24"/>
        </w:rPr>
        <w:t>ināj</w:t>
      </w:r>
      <w:r>
        <w:rPr>
          <w:szCs w:val="24"/>
        </w:rPr>
        <w:t>umā ar 2,4% 2014.gadā.</w:t>
      </w:r>
      <w:r w:rsidRPr="00517B67">
        <w:rPr>
          <w:szCs w:val="24"/>
        </w:rPr>
        <w:t xml:space="preserve"> </w:t>
      </w:r>
      <w:r>
        <w:rPr>
          <w:szCs w:val="24"/>
        </w:rPr>
        <w:t xml:space="preserve">Straujāku IKP pieaugumu nodrošināja spēcīgi augošais iekšzemes pieprasījums, veicinot ar to saistīto nozaru izaugsmi, kā arī apstrādes rūpniecības veiksmīgā darbība. Savukārt kā izaugsmi bremzējošie faktori saglabājās </w:t>
      </w:r>
      <w:r w:rsidRPr="00517B67">
        <w:rPr>
          <w:szCs w:val="24"/>
        </w:rPr>
        <w:t xml:space="preserve">ārējās vides negatīvā ietekme, tajā skaitā saspīlētā ģeopolitiskā situācija reģionā un </w:t>
      </w:r>
      <w:proofErr w:type="spellStart"/>
      <w:r w:rsidRPr="00517B67">
        <w:rPr>
          <w:szCs w:val="24"/>
        </w:rPr>
        <w:t>eirozonas</w:t>
      </w:r>
      <w:proofErr w:type="spellEnd"/>
      <w:r w:rsidRPr="00517B67">
        <w:rPr>
          <w:szCs w:val="24"/>
        </w:rPr>
        <w:t xml:space="preserve"> ekonomiskās izaugsmes lēnā atjaunošanās</w:t>
      </w:r>
      <w:r>
        <w:rPr>
          <w:szCs w:val="24"/>
        </w:rPr>
        <w:t xml:space="preserve">. </w:t>
      </w:r>
      <w:r w:rsidRPr="00517B67">
        <w:rPr>
          <w:szCs w:val="24"/>
        </w:rPr>
        <w:t xml:space="preserve">Galvenais ekonomiskās izaugsmes nodrošinātājs pēdējos ceturkšņos bijis privātais patēriņš, kas 2015.gada </w:t>
      </w:r>
      <w:r>
        <w:rPr>
          <w:szCs w:val="24"/>
        </w:rPr>
        <w:t>pirmajos trīs ceturkšņos palielinājies par 3</w:t>
      </w:r>
      <w:r w:rsidRPr="00517B67">
        <w:rPr>
          <w:szCs w:val="24"/>
        </w:rPr>
        <w:t>,6</w:t>
      </w:r>
      <w:r w:rsidRPr="00717FB7">
        <w:rPr>
          <w:szCs w:val="24"/>
        </w:rPr>
        <w:t xml:space="preserve">%. </w:t>
      </w:r>
      <w:r w:rsidRPr="00717FB7">
        <w:t xml:space="preserve">Saskaņā ar Finanšu ministrijas novērtējumu, ES fondu investīcijas 2015.gadā IKP izaugsmi </w:t>
      </w:r>
      <w:r>
        <w:t xml:space="preserve">varētu būt </w:t>
      </w:r>
      <w:r w:rsidRPr="00717FB7">
        <w:t>palielināj</w:t>
      </w:r>
      <w:r>
        <w:t>usi</w:t>
      </w:r>
      <w:r w:rsidRPr="00717FB7">
        <w:t xml:space="preserve"> par 1,4 procentpunktiem, privātā patēriņa izaugsmes tempu par 0,8 procentpunktiem, </w:t>
      </w:r>
      <w:r w:rsidRPr="00717FB7">
        <w:rPr>
          <w:szCs w:val="24"/>
        </w:rPr>
        <w:t>kā arī saglabāj</w:t>
      </w:r>
      <w:r>
        <w:rPr>
          <w:szCs w:val="24"/>
        </w:rPr>
        <w:t>usi</w:t>
      </w:r>
      <w:r w:rsidRPr="00717FB7">
        <w:rPr>
          <w:szCs w:val="24"/>
        </w:rPr>
        <w:t xml:space="preserve"> pozitīvu ietekmi uz nodarbinātības dinamiku, palielinot nodarbināto skaita pieauguma tempu par 0,4 procentpunktiem. </w:t>
      </w:r>
      <w:r w:rsidRPr="00717FB7">
        <w:t xml:space="preserve">Savukārt ES fondu ietekme uz pieprasījumu </w:t>
      </w:r>
      <w:r w:rsidRPr="00717FB7">
        <w:rPr>
          <w:lang w:eastAsia="lv-LV"/>
        </w:rPr>
        <w:t>pēc ārvalstu precēm un pakalpojumiem 2015</w:t>
      </w:r>
      <w:r>
        <w:rPr>
          <w:lang w:eastAsia="lv-LV"/>
        </w:rPr>
        <w:t xml:space="preserve">.gadā </w:t>
      </w:r>
      <w:r w:rsidRPr="00717FB7">
        <w:rPr>
          <w:lang w:eastAsia="lv-LV"/>
        </w:rPr>
        <w:t>salīdzinājumā ar iepriekšējo gadu</w:t>
      </w:r>
      <w:r>
        <w:rPr>
          <w:lang w:eastAsia="lv-LV"/>
        </w:rPr>
        <w:t xml:space="preserve"> ir </w:t>
      </w:r>
      <w:r w:rsidRPr="00717FB7">
        <w:rPr>
          <w:lang w:eastAsia="lv-LV"/>
        </w:rPr>
        <w:t>nedaudz samazinājusies</w:t>
      </w:r>
      <w:r w:rsidR="00E10163">
        <w:rPr>
          <w:lang w:eastAsia="lv-LV"/>
        </w:rPr>
        <w:t>.</w:t>
      </w:r>
    </w:p>
    <w:p w14:paraId="79A8A13C" w14:textId="69F2A559" w:rsidR="009C0862" w:rsidRPr="00907F13" w:rsidRDefault="00CC1A11" w:rsidP="001E4C59">
      <w:pPr>
        <w:spacing w:before="120" w:after="120" w:line="276" w:lineRule="auto"/>
        <w:jc w:val="both"/>
        <w:rPr>
          <w:color w:val="000000" w:themeColor="text1"/>
          <w:szCs w:val="24"/>
          <w:highlight w:val="yellow"/>
        </w:rPr>
      </w:pPr>
      <w:r w:rsidRPr="00CC1A11">
        <w:t xml:space="preserve">2015.gada 31.decembrī noslēdzās </w:t>
      </w:r>
      <w:r w:rsidR="009C0862" w:rsidRPr="00CC1A11">
        <w:t>20</w:t>
      </w:r>
      <w:r w:rsidRPr="00CC1A11">
        <w:t xml:space="preserve">07.-2013.gada plānošanas perioda izmaksu </w:t>
      </w:r>
      <w:proofErr w:type="spellStart"/>
      <w:r w:rsidRPr="00CC1A11">
        <w:t>attiecinām</w:t>
      </w:r>
      <w:r>
        <w:t>ības</w:t>
      </w:r>
      <w:proofErr w:type="spellEnd"/>
      <w:r>
        <w:t xml:space="preserve"> periods.</w:t>
      </w:r>
      <w:r w:rsidR="009C0862" w:rsidRPr="00CC1A11">
        <w:t xml:space="preserve"> </w:t>
      </w:r>
      <w:r w:rsidRPr="00CC1A11">
        <w:t>Šobrīd vēl tiek vērt</w:t>
      </w:r>
      <w:r>
        <w:t>ēti atsevišķu projektu</w:t>
      </w:r>
      <w:r w:rsidRPr="00CC1A11">
        <w:t xml:space="preserve"> īstenotāju iesniegtie maksājumu pieprasījumi, galējais termiņš maksājumu veikšanai ir 2016.gada 31.marts.</w:t>
      </w:r>
      <w:r>
        <w:t xml:space="preserve"> </w:t>
      </w:r>
      <w:r w:rsidR="004A6AB9">
        <w:t xml:space="preserve">Prognozējams, ka kopā plānošanas periodā Latvija būs spējusi pilnībā izmantot ES finansējuma iespējas investīcijām Latvijā. </w:t>
      </w:r>
    </w:p>
    <w:p w14:paraId="3217A1A3" w14:textId="376820F2" w:rsidR="00776D04" w:rsidRPr="00A47298" w:rsidRDefault="004A6AB9" w:rsidP="001E4C59">
      <w:pPr>
        <w:shd w:val="clear" w:color="auto" w:fill="FFFFFF"/>
        <w:spacing w:before="120" w:after="120" w:line="276" w:lineRule="auto"/>
        <w:jc w:val="both"/>
        <w:rPr>
          <w:shd w:val="clear" w:color="auto" w:fill="FFFFFF"/>
        </w:rPr>
      </w:pPr>
      <w:r w:rsidRPr="00A47298">
        <w:rPr>
          <w:szCs w:val="24"/>
        </w:rPr>
        <w:t xml:space="preserve">Vienlaikus aizvien aktīvāk sākas reāls investīciju iespēju cikls </w:t>
      </w:r>
      <w:r w:rsidR="002B0E3B" w:rsidRPr="00A47298">
        <w:rPr>
          <w:szCs w:val="24"/>
        </w:rPr>
        <w:t>ES fondu</w:t>
      </w:r>
      <w:r w:rsidRPr="00A47298">
        <w:rPr>
          <w:szCs w:val="24"/>
        </w:rPr>
        <w:t xml:space="preserve"> 2014.–2020.gada plānošanas perioda ietvaros. </w:t>
      </w:r>
      <w:r w:rsidRPr="00A47298">
        <w:rPr>
          <w:shd w:val="clear" w:color="auto" w:fill="FFFFFF"/>
        </w:rPr>
        <w:t>Līdz 2015.gada 31.decembrim apstiprināti projekti par 442,9 milj. </w:t>
      </w:r>
      <w:r w:rsidRPr="00A47298">
        <w:rPr>
          <w:i/>
          <w:iCs/>
          <w:shd w:val="clear" w:color="auto" w:fill="FFFFFF"/>
        </w:rPr>
        <w:t>euro</w:t>
      </w:r>
      <w:r w:rsidRPr="00A47298">
        <w:rPr>
          <w:shd w:val="clear" w:color="auto" w:fill="FFFFFF"/>
        </w:rPr>
        <w:t> jeb 10,0%, noslēgti līgumi par 369,1 milj. </w:t>
      </w:r>
      <w:r w:rsidRPr="00A47298">
        <w:rPr>
          <w:i/>
          <w:iCs/>
          <w:shd w:val="clear" w:color="auto" w:fill="FFFFFF"/>
        </w:rPr>
        <w:t>euro</w:t>
      </w:r>
      <w:r w:rsidRPr="00A47298">
        <w:rPr>
          <w:shd w:val="clear" w:color="auto" w:fill="FFFFFF"/>
        </w:rPr>
        <w:t> jeb 8,4%</w:t>
      </w:r>
      <w:r w:rsidR="00405866" w:rsidRPr="00A47298">
        <w:rPr>
          <w:shd w:val="clear" w:color="auto" w:fill="FFFFFF"/>
        </w:rPr>
        <w:t>, m</w:t>
      </w:r>
      <w:r w:rsidRPr="00A47298">
        <w:rPr>
          <w:shd w:val="clear" w:color="auto" w:fill="FFFFFF"/>
        </w:rPr>
        <w:t>aksājumi finansējuma saņēmējiem veikti 37,1 milj. </w:t>
      </w:r>
      <w:r w:rsidRPr="00A47298">
        <w:rPr>
          <w:i/>
          <w:iCs/>
          <w:shd w:val="clear" w:color="auto" w:fill="FFFFFF"/>
        </w:rPr>
        <w:t>euro</w:t>
      </w:r>
      <w:r w:rsidRPr="00A47298">
        <w:rPr>
          <w:shd w:val="clear" w:color="auto" w:fill="FFFFFF"/>
        </w:rPr>
        <w:t> jeb 0,8%</w:t>
      </w:r>
      <w:r w:rsidR="00405866" w:rsidRPr="00A47298">
        <w:rPr>
          <w:shd w:val="clear" w:color="auto" w:fill="FFFFFF"/>
        </w:rPr>
        <w:t xml:space="preserve"> no pieejamā ES fondu finansējuma attiecīgi</w:t>
      </w:r>
      <w:r w:rsidRPr="00A47298">
        <w:rPr>
          <w:shd w:val="clear" w:color="auto" w:fill="FFFFFF"/>
        </w:rPr>
        <w:t>. </w:t>
      </w:r>
      <w:r w:rsidR="00405866" w:rsidRPr="00A47298">
        <w:rPr>
          <w:shd w:val="clear" w:color="auto" w:fill="FFFFFF"/>
        </w:rPr>
        <w:t>2015.gadā reāli publiskā finansējuma investīcijas jau uzsāktu projektu ietvaros bija 127,4 milj.</w:t>
      </w:r>
      <w:r w:rsidR="00405866" w:rsidRPr="00A47298">
        <w:rPr>
          <w:b/>
          <w:bCs/>
          <w:sz w:val="20"/>
          <w:szCs w:val="20"/>
          <w:shd w:val="clear" w:color="auto" w:fill="FFFFFF"/>
        </w:rPr>
        <w:t> </w:t>
      </w:r>
      <w:r w:rsidR="00405866" w:rsidRPr="00A47298">
        <w:rPr>
          <w:i/>
          <w:iCs/>
          <w:shd w:val="clear" w:color="auto" w:fill="FFFFFF"/>
        </w:rPr>
        <w:t>euro</w:t>
      </w:r>
      <w:r w:rsidR="00405866" w:rsidRPr="00A47298">
        <w:rPr>
          <w:shd w:val="clear" w:color="auto" w:fill="FFFFFF"/>
        </w:rPr>
        <w:t>  apmērā (</w:t>
      </w:r>
      <w:r w:rsidRPr="00A47298">
        <w:rPr>
          <w:shd w:val="clear" w:color="auto" w:fill="FFFFFF"/>
        </w:rPr>
        <w:t xml:space="preserve">valsts budžeta </w:t>
      </w:r>
      <w:r w:rsidR="00405866" w:rsidRPr="00A47298">
        <w:rPr>
          <w:shd w:val="clear" w:color="auto" w:fill="FFFFFF"/>
        </w:rPr>
        <w:t>izdevumi)</w:t>
      </w:r>
      <w:r w:rsidRPr="00A47298">
        <w:rPr>
          <w:shd w:val="clear" w:color="auto" w:fill="FFFFFF"/>
        </w:rPr>
        <w:t>.</w:t>
      </w:r>
      <w:r w:rsidR="00405866" w:rsidRPr="00A47298">
        <w:rPr>
          <w:shd w:val="clear" w:color="auto" w:fill="FFFFFF"/>
        </w:rPr>
        <w:t xml:space="preserve"> Lai arī programmas ieviešanas plānā konstatējami kavējumi, </w:t>
      </w:r>
      <w:r w:rsidRPr="00A47298">
        <w:rPr>
          <w:shd w:val="clear" w:color="auto" w:fill="FFFFFF"/>
        </w:rPr>
        <w:t xml:space="preserve">aktualizētās investīciju gaitas un finanšu plūsmu prognozes liecina par Latvijai joprojām iespējamu, atbilstoši un </w:t>
      </w:r>
      <w:proofErr w:type="spellStart"/>
      <w:r w:rsidRPr="00A47298">
        <w:rPr>
          <w:shd w:val="clear" w:color="auto" w:fill="FFFFFF"/>
        </w:rPr>
        <w:t>proaktīvi</w:t>
      </w:r>
      <w:proofErr w:type="spellEnd"/>
      <w:r w:rsidRPr="00A47298">
        <w:rPr>
          <w:shd w:val="clear" w:color="auto" w:fill="FFFFFF"/>
        </w:rPr>
        <w:t xml:space="preserve"> vadot konstatētos investīciju uzsākšanas kavējumu un citus riskus, izpildīt Eiropas Komisijas noteiktos maksājumu mērķus (sarkanās līnijas), lai neiestātos ES finansējuma zaudēšana.</w:t>
      </w:r>
      <w:r w:rsidR="00405866" w:rsidRPr="00A47298">
        <w:rPr>
          <w:shd w:val="clear" w:color="auto" w:fill="FFFFFF"/>
        </w:rPr>
        <w:t xml:space="preserve"> </w:t>
      </w:r>
    </w:p>
    <w:p w14:paraId="7DF6AF72" w14:textId="4FA0B8F7" w:rsidR="004A6AB9" w:rsidRPr="00A47298" w:rsidRDefault="004A6AB9" w:rsidP="001E4C59">
      <w:pPr>
        <w:shd w:val="clear" w:color="auto" w:fill="FFFFFF"/>
        <w:spacing w:before="120" w:after="120" w:line="276" w:lineRule="auto"/>
        <w:jc w:val="both"/>
        <w:rPr>
          <w:shd w:val="clear" w:color="auto" w:fill="FFFFFF"/>
        </w:rPr>
      </w:pPr>
      <w:r w:rsidRPr="00A47298">
        <w:rPr>
          <w:shd w:val="clear" w:color="auto" w:fill="FFFFFF"/>
        </w:rPr>
        <w:t xml:space="preserve">Lai nodrošinātu ātrāku ES fondu 2014.-2020.g. plānošanas perioda </w:t>
      </w:r>
      <w:r w:rsidR="00405866" w:rsidRPr="00A47298">
        <w:rPr>
          <w:shd w:val="clear" w:color="auto" w:fill="FFFFFF"/>
        </w:rPr>
        <w:t xml:space="preserve">investīciju ieplūšanu tautsaimniecībā, nepieciešams veikt virkni priekšdarbu un izpildīt investīciju kvalitātes priekšnosacījumus efektīvā veidā, tai skaitā nodrošinot partnerības principu ievērošanu. </w:t>
      </w:r>
      <w:r w:rsidR="00776D04" w:rsidRPr="00A47298">
        <w:rPr>
          <w:shd w:val="clear" w:color="auto" w:fill="FFFFFF"/>
        </w:rPr>
        <w:t xml:space="preserve">Finanšu ministrija sadarbībā ar citām iestādēm ir veikusi virkni pasākumus, lai nodrošinātu </w:t>
      </w:r>
      <w:r w:rsidRPr="00A47298">
        <w:rPr>
          <w:shd w:val="clear" w:color="auto" w:fill="FFFFFF"/>
        </w:rPr>
        <w:t>operatīvāku lēmumu pieņemšanas procesu</w:t>
      </w:r>
      <w:r w:rsidR="00776D04" w:rsidRPr="00A47298">
        <w:rPr>
          <w:shd w:val="clear" w:color="auto" w:fill="FFFFFF"/>
        </w:rPr>
        <w:t>. T</w:t>
      </w:r>
      <w:r w:rsidRPr="00A47298">
        <w:rPr>
          <w:shd w:val="clear" w:color="auto" w:fill="FFFFFF"/>
        </w:rPr>
        <w:t xml:space="preserve">ika plaši izmantoti ES fondu uzraudzības komitejas </w:t>
      </w:r>
      <w:r w:rsidR="00776D04" w:rsidRPr="00A47298">
        <w:rPr>
          <w:shd w:val="clear" w:color="auto" w:fill="FFFFFF"/>
        </w:rPr>
        <w:t xml:space="preserve">un tās apakškomiteju </w:t>
      </w:r>
      <w:r w:rsidRPr="00A47298">
        <w:rPr>
          <w:shd w:val="clear" w:color="auto" w:fill="FFFFFF"/>
        </w:rPr>
        <w:t>forumi</w:t>
      </w:r>
      <w:r w:rsidR="00776D04" w:rsidRPr="00A47298">
        <w:rPr>
          <w:shd w:val="clear" w:color="auto" w:fill="FFFFFF"/>
        </w:rPr>
        <w:t xml:space="preserve">, kā arī jautājumi skatīti Koalīcijas partneru darba grupas </w:t>
      </w:r>
      <w:r w:rsidRPr="00A47298">
        <w:rPr>
          <w:shd w:val="clear" w:color="auto" w:fill="FFFFFF"/>
        </w:rPr>
        <w:t xml:space="preserve">par ES fondu jautājumiem </w:t>
      </w:r>
      <w:r w:rsidR="00776D04" w:rsidRPr="00A47298">
        <w:rPr>
          <w:shd w:val="clear" w:color="auto" w:fill="FFFFFF"/>
        </w:rPr>
        <w:t xml:space="preserve">sanāksmēs. </w:t>
      </w:r>
    </w:p>
    <w:p w14:paraId="5787A120" w14:textId="1CBE3DA5" w:rsidR="004A6AB9" w:rsidRPr="00D53808" w:rsidRDefault="00776D04" w:rsidP="001E4C59">
      <w:pPr>
        <w:shd w:val="clear" w:color="auto" w:fill="FFFFFF"/>
        <w:spacing w:before="120" w:after="120" w:line="276" w:lineRule="auto"/>
        <w:jc w:val="both"/>
        <w:rPr>
          <w:shd w:val="clear" w:color="auto" w:fill="FFFFFF"/>
        </w:rPr>
      </w:pPr>
      <w:r w:rsidRPr="00A47298">
        <w:rPr>
          <w:shd w:val="clear" w:color="auto" w:fill="FFFFFF"/>
        </w:rPr>
        <w:t xml:space="preserve">Lai nodrošinātu valdības un plašākas sabiedrības informētību par </w:t>
      </w:r>
      <w:r w:rsidR="004A6AB9" w:rsidRPr="00A47298">
        <w:rPr>
          <w:shd w:val="clear" w:color="auto" w:fill="FFFFFF"/>
        </w:rPr>
        <w:t xml:space="preserve">ES fondu </w:t>
      </w:r>
      <w:r w:rsidRPr="00A47298">
        <w:rPr>
          <w:shd w:val="clear" w:color="auto" w:fill="FFFFFF"/>
        </w:rPr>
        <w:t xml:space="preserve">ieviešana gaitu, </w:t>
      </w:r>
      <w:r w:rsidR="00BD3346" w:rsidRPr="00A47298">
        <w:rPr>
          <w:shd w:val="clear" w:color="auto" w:fill="FFFFFF"/>
        </w:rPr>
        <w:t>Finanšu ministrija</w:t>
      </w:r>
      <w:r w:rsidR="004A6AB9" w:rsidRPr="00A47298">
        <w:rPr>
          <w:shd w:val="clear" w:color="auto" w:fill="FFFFFF"/>
        </w:rPr>
        <w:t xml:space="preserve"> sniedz Ministru kabinetam ikmēneša operatīvo informāciju par ES Kohēzijas politikas fondu ieviešanas plānu izpildi, kā arī reizi pusgadā - informatīvo ziņojumu par investīciju progresu, minot būtiskas problēmas ES fondu ieviešanā un sniedzot </w:t>
      </w:r>
      <w:r w:rsidR="004A6AB9" w:rsidRPr="00A47298">
        <w:rPr>
          <w:shd w:val="clear" w:color="auto" w:fill="FFFFFF"/>
        </w:rPr>
        <w:lastRenderedPageBreak/>
        <w:t xml:space="preserve">priekšlikumus to risinājumiem (pieejami ES fondu </w:t>
      </w:r>
      <w:r w:rsidR="004A6AB9">
        <w:rPr>
          <w:color w:val="212121"/>
          <w:shd w:val="clear" w:color="auto" w:fill="FFFFFF"/>
        </w:rPr>
        <w:t>tīmekļa vietnē </w:t>
      </w:r>
      <w:hyperlink r:id="rId13" w:tgtFrame="_blank" w:history="1">
        <w:r w:rsidR="004A6AB9">
          <w:rPr>
            <w:rStyle w:val="Hyperlink"/>
            <w:shd w:val="clear" w:color="auto" w:fill="FFFFFF"/>
          </w:rPr>
          <w:t>http://www.esfondi.lv/zinojumi-par-es-fondu-istenosanu-1</w:t>
        </w:r>
      </w:hyperlink>
      <w:r w:rsidR="004A6AB9">
        <w:rPr>
          <w:color w:val="212121"/>
          <w:shd w:val="clear" w:color="auto" w:fill="FFFFFF"/>
        </w:rPr>
        <w:t>).</w:t>
      </w:r>
      <w:r w:rsidR="00BD3346">
        <w:rPr>
          <w:color w:val="212121"/>
          <w:shd w:val="clear" w:color="auto" w:fill="FFFFFF"/>
        </w:rPr>
        <w:t xml:space="preserve"> </w:t>
      </w:r>
      <w:r w:rsidR="00BD3346" w:rsidRPr="00A47298">
        <w:rPr>
          <w:shd w:val="clear" w:color="auto" w:fill="FFFFFF"/>
        </w:rPr>
        <w:t>Papildus, s</w:t>
      </w:r>
      <w:r w:rsidR="004A6AB9" w:rsidRPr="00A47298">
        <w:rPr>
          <w:shd w:val="clear" w:color="auto" w:fill="FFFFFF"/>
        </w:rPr>
        <w:t>ākot ar 2016.gadu ES fondu vadošā iestāde katru ceturksni iesniedz pārskatus par ES fondu investīciju progresu Saeimas Publisko izdevumu un revīzijas komisijai (pārskats par progresu līdz 2015.gada 31.decembrim pieejam</w:t>
      </w:r>
      <w:r w:rsidR="00BD3346" w:rsidRPr="00A47298">
        <w:rPr>
          <w:shd w:val="clear" w:color="auto" w:fill="FFFFFF"/>
        </w:rPr>
        <w:t>s</w:t>
      </w:r>
      <w:r w:rsidR="004A6AB9" w:rsidRPr="00A47298">
        <w:rPr>
          <w:shd w:val="clear" w:color="auto" w:fill="FFFFFF"/>
        </w:rPr>
        <w:t> ES fondu tīmekļa vietnē </w:t>
      </w:r>
      <w:hyperlink r:id="rId14" w:tgtFrame="_blank" w:history="1">
        <w:r w:rsidR="004A6AB9">
          <w:rPr>
            <w:rStyle w:val="Hyperlink"/>
            <w:shd w:val="clear" w:color="auto" w:fill="FFFFFF"/>
          </w:rPr>
          <w:t>http://www.esfondi.lv/iesniegtie-parskati-saeimas-publisko-izdevumu-un-revizijas-komisijai</w:t>
        </w:r>
      </w:hyperlink>
      <w:r w:rsidR="004A6AB9">
        <w:rPr>
          <w:color w:val="212121"/>
          <w:shd w:val="clear" w:color="auto" w:fill="FFFFFF"/>
        </w:rPr>
        <w:t xml:space="preserve">). </w:t>
      </w:r>
    </w:p>
    <w:p w14:paraId="6905DBBC" w14:textId="77777777" w:rsidR="009C0862" w:rsidRPr="00842332" w:rsidRDefault="009C0862" w:rsidP="009C0862">
      <w:pPr>
        <w:pStyle w:val="Default"/>
        <w:spacing w:line="276" w:lineRule="auto"/>
        <w:rPr>
          <w:i/>
          <w:color w:val="auto"/>
        </w:rPr>
      </w:pPr>
      <w:r w:rsidRPr="00842332">
        <w:rPr>
          <w:i/>
          <w:color w:val="auto"/>
        </w:rPr>
        <w:t>EEZ/Norvēģijas finanšu instrumentu un Šveices programmas ieviešana</w:t>
      </w:r>
    </w:p>
    <w:p w14:paraId="3EC3C550" w14:textId="3C594E83" w:rsidR="00842332" w:rsidRPr="00842332" w:rsidRDefault="00842332" w:rsidP="00842332">
      <w:pPr>
        <w:spacing w:before="120" w:after="120" w:line="276" w:lineRule="auto"/>
        <w:jc w:val="both"/>
        <w:rPr>
          <w:rFonts w:eastAsia="Times New Roman" w:cs="Times New Roman"/>
          <w:color w:val="000000"/>
        </w:rPr>
      </w:pPr>
      <w:r w:rsidRPr="00842332">
        <w:rPr>
          <w:rFonts w:eastAsia="Times New Roman" w:cs="Times New Roman"/>
          <w:color w:val="000000"/>
        </w:rPr>
        <w:t xml:space="preserve">Pārskata periodā turpinājās 7 EEZ/Norvēģijas finanšu instrumentu līdzfinansēto programmu ieviešana, un ar </w:t>
      </w:r>
      <w:proofErr w:type="spellStart"/>
      <w:r w:rsidRPr="00842332">
        <w:rPr>
          <w:rFonts w:eastAsia="Times New Roman" w:cs="Times New Roman"/>
          <w:color w:val="000000"/>
        </w:rPr>
        <w:t>donorvalstīm</w:t>
      </w:r>
      <w:proofErr w:type="spellEnd"/>
      <w:r w:rsidRPr="00842332">
        <w:rPr>
          <w:rFonts w:eastAsia="Times New Roman" w:cs="Times New Roman"/>
          <w:color w:val="000000"/>
        </w:rPr>
        <w:t xml:space="preserve"> tika panākta vienošanās par projektu pagarināšanu </w:t>
      </w:r>
      <w:r w:rsidR="002B0E3B" w:rsidRPr="00842332">
        <w:rPr>
          <w:rFonts w:eastAsia="Times New Roman" w:cs="Times New Roman"/>
          <w:color w:val="000000"/>
        </w:rPr>
        <w:t xml:space="preserve">6 programmās </w:t>
      </w:r>
      <w:r w:rsidRPr="00842332">
        <w:rPr>
          <w:rFonts w:eastAsia="Times New Roman" w:cs="Times New Roman"/>
          <w:color w:val="000000"/>
        </w:rPr>
        <w:t>līdz pat vienam gadam</w:t>
      </w:r>
      <w:r w:rsidR="00C007DE">
        <w:rPr>
          <w:rFonts w:eastAsia="Times New Roman" w:cs="Times New Roman"/>
          <w:color w:val="000000"/>
        </w:rPr>
        <w:t xml:space="preserve"> – maksimums līdz</w:t>
      </w:r>
      <w:r w:rsidR="00C007DE" w:rsidRPr="00C007DE">
        <w:rPr>
          <w:rFonts w:eastAsia="Times New Roman" w:cs="Times New Roman"/>
          <w:color w:val="000000"/>
        </w:rPr>
        <w:t xml:space="preserve"> 2017.gada 30.aprīlim</w:t>
      </w:r>
      <w:r w:rsidR="00C007DE">
        <w:rPr>
          <w:rFonts w:eastAsia="Times New Roman" w:cs="Times New Roman"/>
          <w:color w:val="000000"/>
        </w:rPr>
        <w:t xml:space="preserve"> </w:t>
      </w:r>
      <w:r w:rsidRPr="00842332">
        <w:rPr>
          <w:rFonts w:eastAsia="Times New Roman" w:cs="Times New Roman"/>
          <w:color w:val="000000"/>
        </w:rPr>
        <w:t xml:space="preserve">, </w:t>
      </w:r>
    </w:p>
    <w:p w14:paraId="6E0E3DDF" w14:textId="6F0A28CB" w:rsidR="004068CE" w:rsidRDefault="004068CE" w:rsidP="009C0862">
      <w:pPr>
        <w:spacing w:before="120" w:after="120" w:line="276" w:lineRule="auto"/>
        <w:jc w:val="both"/>
        <w:rPr>
          <w:rFonts w:eastAsia="Times New Roman" w:cs="Times New Roman"/>
          <w:color w:val="000000"/>
        </w:rPr>
      </w:pPr>
      <w:r w:rsidRPr="004068CE">
        <w:rPr>
          <w:rFonts w:eastAsia="Times New Roman" w:cs="Times New Roman"/>
          <w:color w:val="000000"/>
        </w:rPr>
        <w:t xml:space="preserve">Līdz pārskata perioda beigām Šveices programmā noslēgusies jau 8 projektu īstenošana, savukārt atlikušo 4 projektu īstenošana vēl turpināsies 2016. un 2017.gadā. </w:t>
      </w:r>
    </w:p>
    <w:p w14:paraId="713A85FA" w14:textId="74791BDD" w:rsidR="001E4C59" w:rsidRDefault="009C0862" w:rsidP="00D53808">
      <w:pPr>
        <w:spacing w:before="120" w:after="120" w:line="276" w:lineRule="auto"/>
        <w:jc w:val="both"/>
        <w:rPr>
          <w:rFonts w:eastAsia="Times New Roman" w:cs="Times New Roman"/>
          <w:color w:val="000000"/>
          <w:szCs w:val="24"/>
          <w:lang w:eastAsia="lv-LV"/>
        </w:rPr>
      </w:pPr>
      <w:r w:rsidRPr="00D53808">
        <w:rPr>
          <w:b/>
        </w:rPr>
        <w:t xml:space="preserve">Ziņojumā iekļautie </w:t>
      </w:r>
      <w:proofErr w:type="spellStart"/>
      <w:r w:rsidRPr="00D53808">
        <w:rPr>
          <w:b/>
        </w:rPr>
        <w:t>protokollēmuma</w:t>
      </w:r>
      <w:proofErr w:type="spellEnd"/>
      <w:r w:rsidRPr="00D53808">
        <w:rPr>
          <w:b/>
        </w:rPr>
        <w:t xml:space="preserve"> punkti paredz</w:t>
      </w:r>
      <w:r w:rsidR="002B0E3B" w:rsidRPr="00D53808">
        <w:rPr>
          <w:b/>
        </w:rPr>
        <w:t xml:space="preserve"> </w:t>
      </w:r>
      <w:r w:rsidR="002B0E3B" w:rsidRPr="00D53808">
        <w:t>(1)</w:t>
      </w:r>
      <w:r w:rsidR="002B0E3B" w:rsidRPr="00D53808">
        <w:rPr>
          <w:b/>
        </w:rPr>
        <w:t xml:space="preserve"> </w:t>
      </w:r>
      <w:r w:rsidR="002B0E3B" w:rsidRPr="00D53808">
        <w:t>apstiprināt</w:t>
      </w:r>
      <w:r w:rsidR="002B0E3B" w:rsidRPr="00D53808">
        <w:rPr>
          <w:b/>
        </w:rPr>
        <w:t xml:space="preserve"> </w:t>
      </w:r>
      <w:r w:rsidR="002B0E3B" w:rsidRPr="00D53808">
        <w:rPr>
          <w:color w:val="000000" w:themeColor="text1"/>
          <w:szCs w:val="24"/>
        </w:rPr>
        <w:t xml:space="preserve">ES fondu 2014.–2020.gada plānošanas perioda pasākumu </w:t>
      </w:r>
      <w:r w:rsidR="002B0E3B">
        <w:t xml:space="preserve">ieviešanas laika grafiku, finanšu mērķus un noteikto rādītāju sasniedzamās vērtības 2016.gadam; (2) noteiktā kārtībā slēgt neatbilstoši veikto izdevumu lietas gadījumos, kad šie izdevumi nav reāli atgūstami; (3) </w:t>
      </w:r>
      <w:r w:rsidR="002B0E3B" w:rsidRPr="00D53808">
        <w:rPr>
          <w:rFonts w:eastAsia="Times New Roman" w:cs="Times New Roman"/>
          <w:color w:val="000000"/>
          <w:szCs w:val="24"/>
          <w:lang w:eastAsia="lv-LV"/>
        </w:rPr>
        <w:t xml:space="preserve">apstiprināt </w:t>
      </w:r>
      <w:r w:rsidR="007F39F2" w:rsidRPr="00D53808">
        <w:rPr>
          <w:rFonts w:eastAsia="Times New Roman" w:cs="Times New Roman"/>
          <w:color w:val="000000"/>
          <w:szCs w:val="24"/>
          <w:lang w:eastAsia="lv-LV"/>
        </w:rPr>
        <w:t>finanšu</w:t>
      </w:r>
      <w:r w:rsidR="002B0E3B" w:rsidRPr="00D53808">
        <w:rPr>
          <w:rFonts w:eastAsia="Times New Roman" w:cs="Times New Roman"/>
          <w:color w:val="000000"/>
          <w:szCs w:val="24"/>
          <w:lang w:eastAsia="lv-LV"/>
        </w:rPr>
        <w:t xml:space="preserve"> mērķus 2016.gadam EEZ/Norvēģijas finanšu instrumentu ietvaros.</w:t>
      </w:r>
    </w:p>
    <w:p w14:paraId="652EEE89" w14:textId="77777777" w:rsidR="001E4C59" w:rsidRDefault="001E4C59">
      <w:pPr>
        <w:rPr>
          <w:rFonts w:eastAsia="Times New Roman" w:cs="Times New Roman"/>
          <w:color w:val="000000"/>
          <w:szCs w:val="24"/>
          <w:lang w:eastAsia="lv-LV"/>
        </w:rPr>
      </w:pPr>
      <w:r>
        <w:rPr>
          <w:rFonts w:eastAsia="Times New Roman" w:cs="Times New Roman"/>
          <w:color w:val="000000"/>
          <w:szCs w:val="24"/>
          <w:lang w:eastAsia="lv-LV"/>
        </w:rPr>
        <w:br w:type="page"/>
      </w:r>
    </w:p>
    <w:p w14:paraId="3BE8FE86" w14:textId="77777777" w:rsidR="00942C37" w:rsidRPr="00D53808" w:rsidRDefault="00942C37" w:rsidP="00D53808">
      <w:pPr>
        <w:spacing w:before="120" w:after="120" w:line="276" w:lineRule="auto"/>
        <w:jc w:val="both"/>
        <w:rPr>
          <w:rFonts w:eastAsia="Times New Roman" w:cs="Times New Roman"/>
          <w:color w:val="000000"/>
          <w:szCs w:val="24"/>
          <w:lang w:eastAsia="lv-LV"/>
        </w:rPr>
      </w:pPr>
    </w:p>
    <w:p w14:paraId="6E29FC47" w14:textId="73794FB9" w:rsidR="009C0862" w:rsidRPr="004145C0" w:rsidRDefault="009C0862" w:rsidP="004D147C">
      <w:pPr>
        <w:pStyle w:val="1lmenis"/>
        <w:rPr>
          <w:rFonts w:eastAsia="Calibri"/>
          <w:lang w:eastAsia="lv-LV"/>
        </w:rPr>
      </w:pPr>
      <w:bookmarkStart w:id="3" w:name="_Toc443658850"/>
      <w:r w:rsidRPr="004145C0">
        <w:t>ES fondu finansējuma ietekme uz Latvijas tautsaimniecības attīstību</w:t>
      </w:r>
      <w:r w:rsidRPr="004145C0">
        <w:rPr>
          <w:rStyle w:val="FootnoteReference"/>
        </w:rPr>
        <w:footnoteReference w:id="2"/>
      </w:r>
      <w:bookmarkStart w:id="4" w:name="_Toc378254572"/>
      <w:bookmarkStart w:id="5" w:name="_Toc378256172"/>
      <w:bookmarkEnd w:id="3"/>
    </w:p>
    <w:bookmarkEnd w:id="4"/>
    <w:bookmarkEnd w:id="5"/>
    <w:p w14:paraId="17D1C799" w14:textId="77777777" w:rsidR="004145C0" w:rsidRPr="00517B67" w:rsidRDefault="004145C0" w:rsidP="004145C0">
      <w:pPr>
        <w:spacing w:before="120" w:after="120" w:line="276" w:lineRule="auto"/>
        <w:jc w:val="both"/>
      </w:pPr>
      <w:r w:rsidRPr="00517B67">
        <w:t xml:space="preserve">Ņemot vērā statistikas publicēšanas periodiskumu, šī ziņojuma ietvaros tiek sniegts apskats par makroekonomiskās situācijas attīstību, ietverot 2015.gada </w:t>
      </w:r>
      <w:r>
        <w:t>trešo</w:t>
      </w:r>
      <w:r w:rsidRPr="00517B67">
        <w:t xml:space="preserve"> ceturksni. Informācija par tautsaimniecības attīstību līdz 2015.gada 3</w:t>
      </w:r>
      <w:r>
        <w:t>1.decembrim</w:t>
      </w:r>
      <w:r w:rsidRPr="00517B67">
        <w:t xml:space="preserve"> tiks iekļauta nākamajā ziņojum</w:t>
      </w:r>
      <w:r>
        <w:t>ā par pārskata periodu līdz 2016.gada 30.jūnijam</w:t>
      </w:r>
      <w:r w:rsidRPr="00517B67">
        <w:t>.</w:t>
      </w:r>
    </w:p>
    <w:p w14:paraId="65E300A9" w14:textId="77777777" w:rsidR="004145C0" w:rsidRDefault="004145C0" w:rsidP="004145C0">
      <w:pPr>
        <w:spacing w:before="120" w:after="120" w:line="276" w:lineRule="auto"/>
        <w:jc w:val="both"/>
      </w:pPr>
      <w:r w:rsidRPr="00517B67">
        <w:rPr>
          <w:szCs w:val="24"/>
        </w:rPr>
        <w:t>Saskaņā ar</w:t>
      </w:r>
      <w:r>
        <w:rPr>
          <w:szCs w:val="24"/>
        </w:rPr>
        <w:t xml:space="preserve"> CSP datiem Latvijas IKP 2015.gada pirmajos trīs ceturkšņos</w:t>
      </w:r>
      <w:r w:rsidRPr="00517B67">
        <w:rPr>
          <w:szCs w:val="24"/>
        </w:rPr>
        <w:t xml:space="preserve">, salīdzinot ar </w:t>
      </w:r>
      <w:r>
        <w:rPr>
          <w:szCs w:val="24"/>
        </w:rPr>
        <w:t>attiecīgo periodu pirms gada</w:t>
      </w:r>
      <w:r w:rsidRPr="00517B67">
        <w:rPr>
          <w:szCs w:val="24"/>
        </w:rPr>
        <w:t xml:space="preserve">, </w:t>
      </w:r>
      <w:r>
        <w:rPr>
          <w:szCs w:val="24"/>
        </w:rPr>
        <w:t>palielinājās par 2,7%, uzrādot nedaudz straujāku pieaugumu nekā 2014.gadā, kad ekonomika bija augusi par 2,4%. 2015.gada 3</w:t>
      </w:r>
      <w:r w:rsidRPr="00517B67">
        <w:rPr>
          <w:szCs w:val="24"/>
        </w:rPr>
        <w:t>.ceturksnī ekonomikas izaugsme p</w:t>
      </w:r>
      <w:r>
        <w:rPr>
          <w:szCs w:val="24"/>
        </w:rPr>
        <w:t>aātrinājās līdz 3,3</w:t>
      </w:r>
      <w:r w:rsidRPr="00517B67">
        <w:rPr>
          <w:szCs w:val="24"/>
        </w:rPr>
        <w:t xml:space="preserve">%. </w:t>
      </w:r>
      <w:r>
        <w:rPr>
          <w:szCs w:val="24"/>
        </w:rPr>
        <w:t xml:space="preserve">Straujāku IKP pieaugumu nodrošināja spēcīgi augošais iekšzemes pieprasījums, veicinot ar to saistīto nozaru izaugsmi, kā arī apstrādes rūpniecības veiksmīgā darbība. Savukārt izaugsmi bremzējošie faktori tāpat kā iepriekšējā gadā bija </w:t>
      </w:r>
      <w:r w:rsidRPr="00517B67">
        <w:rPr>
          <w:szCs w:val="24"/>
        </w:rPr>
        <w:t xml:space="preserve">ārējās vides negatīvā ietekme, tajā skaitā saspīlētā ģeopolitiskā situācija reģionā un </w:t>
      </w:r>
      <w:proofErr w:type="spellStart"/>
      <w:r w:rsidRPr="00517B67">
        <w:rPr>
          <w:szCs w:val="24"/>
        </w:rPr>
        <w:t>eirozonas</w:t>
      </w:r>
      <w:proofErr w:type="spellEnd"/>
      <w:r w:rsidRPr="00517B67">
        <w:rPr>
          <w:szCs w:val="24"/>
        </w:rPr>
        <w:t xml:space="preserve"> ekonomiskās izaugsmes lēnā atjaunošanās.</w:t>
      </w:r>
      <w:r w:rsidRPr="00517B67">
        <w:t xml:space="preserve"> </w:t>
      </w:r>
      <w:r w:rsidRPr="00482F00">
        <w:t xml:space="preserve">Analīzes </w:t>
      </w:r>
      <w:r>
        <w:t xml:space="preserve">rezultāti </w:t>
      </w:r>
      <w:r w:rsidRPr="00482F00">
        <w:t>apliecina, ka 2014.gadā bez ES fondu ieguldījumiem (plašākā izpratnē)</w:t>
      </w:r>
      <w:r w:rsidRPr="00482F00">
        <w:rPr>
          <w:rStyle w:val="FootnoteReference"/>
        </w:rPr>
        <w:footnoteReference w:id="3"/>
      </w:r>
      <w:r w:rsidRPr="00482F00">
        <w:t xml:space="preserve"> IKP pieaugums būtu aptuveni par 1,3 procentpunktiem zemāks. Līdzīga pozitīva ES fondu ietekme vērojama arī turpmāk, un saskaņā ar FM novērtējumu ES fondu investīcijas 2015.gadā </w:t>
      </w:r>
      <w:r>
        <w:t xml:space="preserve">varētu </w:t>
      </w:r>
      <w:r w:rsidRPr="00482F00">
        <w:t>bū</w:t>
      </w:r>
      <w:r>
        <w:t>t</w:t>
      </w:r>
      <w:r w:rsidRPr="00482F00">
        <w:t xml:space="preserve"> palielinājušas Latvijas reālo IKP izaugsmi par 1,4 procentpunktiem.</w:t>
      </w:r>
    </w:p>
    <w:p w14:paraId="509D498E" w14:textId="77777777" w:rsidR="004145C0" w:rsidRDefault="004145C0" w:rsidP="004145C0">
      <w:pPr>
        <w:spacing w:before="120" w:after="120" w:line="276" w:lineRule="auto"/>
        <w:jc w:val="both"/>
        <w:rPr>
          <w:szCs w:val="24"/>
        </w:rPr>
      </w:pPr>
      <w:r w:rsidRPr="00517B67">
        <w:rPr>
          <w:szCs w:val="24"/>
        </w:rPr>
        <w:t xml:space="preserve">No izlietojuma puses lielāko pozitīvo devumu izaugsmē </w:t>
      </w:r>
      <w:r>
        <w:rPr>
          <w:szCs w:val="24"/>
        </w:rPr>
        <w:t xml:space="preserve">2015.gada pirmajos trīs ceturkšņos </w:t>
      </w:r>
      <w:r w:rsidRPr="00517B67">
        <w:rPr>
          <w:szCs w:val="24"/>
        </w:rPr>
        <w:t xml:space="preserve">deva privātais patēriņš, atspoguļojot uzlabojumus darba tirgū un </w:t>
      </w:r>
      <w:r>
        <w:rPr>
          <w:szCs w:val="24"/>
        </w:rPr>
        <w:t xml:space="preserve">spēcīgo </w:t>
      </w:r>
      <w:r w:rsidRPr="00517B67">
        <w:rPr>
          <w:szCs w:val="24"/>
        </w:rPr>
        <w:t>algu pieaugumu.</w:t>
      </w:r>
      <w:r w:rsidRPr="00517B67">
        <w:rPr>
          <w:color w:val="FF0000"/>
          <w:szCs w:val="24"/>
        </w:rPr>
        <w:t xml:space="preserve"> </w:t>
      </w:r>
      <w:r w:rsidRPr="00517B67">
        <w:rPr>
          <w:szCs w:val="24"/>
        </w:rPr>
        <w:t xml:space="preserve">2015.gada </w:t>
      </w:r>
      <w:r>
        <w:rPr>
          <w:szCs w:val="24"/>
        </w:rPr>
        <w:t>pirmajos trīs ceturkšņos kopā</w:t>
      </w:r>
      <w:r w:rsidRPr="00517B67">
        <w:rPr>
          <w:szCs w:val="24"/>
        </w:rPr>
        <w:t xml:space="preserve">, salīdzinot ar iepriekšējā gada attiecīgo </w:t>
      </w:r>
      <w:r>
        <w:rPr>
          <w:szCs w:val="24"/>
        </w:rPr>
        <w:t>periodu</w:t>
      </w:r>
      <w:r w:rsidRPr="00517B67">
        <w:rPr>
          <w:szCs w:val="24"/>
        </w:rPr>
        <w:t>, privā</w:t>
      </w:r>
      <w:r>
        <w:rPr>
          <w:szCs w:val="24"/>
        </w:rPr>
        <w:t>tais patēriņš palielinājās par 3</w:t>
      </w:r>
      <w:r w:rsidRPr="00517B67">
        <w:rPr>
          <w:szCs w:val="24"/>
        </w:rPr>
        <w:t xml:space="preserve">,6%. </w:t>
      </w:r>
      <w:r>
        <w:rPr>
          <w:szCs w:val="24"/>
        </w:rPr>
        <w:t xml:space="preserve">Trešajā ceturksnī privātā patēriņa pieaugums palielinājās līdz 5,2% gada griezumā. </w:t>
      </w:r>
      <w:r w:rsidRPr="00975495">
        <w:rPr>
          <w:szCs w:val="24"/>
        </w:rPr>
        <w:t>Prognozējams, ka 2015.gadā ES fondu investīcijas būs labvēlīgi ietekmējušas privātā patēriņa izaugsmi, palielinot pieauguma tempu par 0,8 procentpunktiem.</w:t>
      </w:r>
      <w:r w:rsidRPr="00517B67">
        <w:rPr>
          <w:szCs w:val="24"/>
        </w:rPr>
        <w:t xml:space="preserve"> </w:t>
      </w:r>
    </w:p>
    <w:p w14:paraId="3D1BB796" w14:textId="77777777" w:rsidR="004145C0" w:rsidRPr="00517B67" w:rsidRDefault="004145C0" w:rsidP="004145C0">
      <w:pPr>
        <w:spacing w:before="120" w:after="120" w:line="276" w:lineRule="auto"/>
        <w:jc w:val="both"/>
        <w:rPr>
          <w:szCs w:val="24"/>
        </w:rPr>
      </w:pPr>
      <w:r>
        <w:t xml:space="preserve">2015.gadā </w:t>
      </w:r>
      <w:r w:rsidRPr="00517B67">
        <w:t xml:space="preserve">spēcīgi palielinājies arī </w:t>
      </w:r>
      <w:r>
        <w:t>sabiedriskais patēriņš – par 3,5</w:t>
      </w:r>
      <w:r w:rsidRPr="00517B67">
        <w:t>%</w:t>
      </w:r>
      <w:r>
        <w:t xml:space="preserve"> trīs ceturkšņos kopā un par 3,7% trešajā ceturksnī, salīdzinot ar 2014.gada attiecīgo ceturksni. Savukārt preču un pakalpojumu eksports audzis lēnāk - attiecīgi par 2,2</w:t>
      </w:r>
      <w:r w:rsidRPr="00517B67">
        <w:t>%</w:t>
      </w:r>
      <w:r>
        <w:t xml:space="preserve"> trīs ceturkšņos un par 1,1% trešajā ceturksnī. Investīcijas pēc vājā 2015.gada sākuma trīs ceturkšņos kopā palielinājušās par 3,2%, trešajā ceturksnī uzrādot visai strauju 6,4% pieaugumu.</w:t>
      </w:r>
      <w:r w:rsidRPr="00517B67">
        <w:t xml:space="preserve"> </w:t>
      </w:r>
      <w:r w:rsidRPr="00517B67">
        <w:rPr>
          <w:szCs w:val="24"/>
        </w:rPr>
        <w:t xml:space="preserve">Kopējo investīciju </w:t>
      </w:r>
      <w:r>
        <w:rPr>
          <w:szCs w:val="24"/>
        </w:rPr>
        <w:t xml:space="preserve">nestabilo </w:t>
      </w:r>
      <w:r w:rsidRPr="00517B67">
        <w:rPr>
          <w:szCs w:val="24"/>
        </w:rPr>
        <w:t xml:space="preserve">dinamiku </w:t>
      </w:r>
      <w:r>
        <w:rPr>
          <w:szCs w:val="24"/>
        </w:rPr>
        <w:t>turpina ietekmēt</w:t>
      </w:r>
      <w:r w:rsidRPr="00517B67">
        <w:rPr>
          <w:szCs w:val="24"/>
        </w:rPr>
        <w:t xml:space="preserve"> nenoteiktība ārējā vidē, kā arī komercbanku piesardzīgā kreditēšanas politika. Lai nodrošinātu stabilu izaugsmi, investīciju loma kļūs arvien svarīgāka. Vēl jo vairāk to apstiprina rūpniecības </w:t>
      </w:r>
      <w:proofErr w:type="spellStart"/>
      <w:r w:rsidRPr="00517B67">
        <w:rPr>
          <w:szCs w:val="24"/>
        </w:rPr>
        <w:t>apakšnozarēs</w:t>
      </w:r>
      <w:proofErr w:type="spellEnd"/>
      <w:r w:rsidRPr="00517B67">
        <w:rPr>
          <w:szCs w:val="24"/>
        </w:rPr>
        <w:t xml:space="preserve"> vērojamās augstās jaudu noslodzes, kas liecina par nepieciešamību investēt. </w:t>
      </w:r>
    </w:p>
    <w:p w14:paraId="5B60302A" w14:textId="75BE84F7" w:rsidR="00E10163" w:rsidRPr="00517B67" w:rsidRDefault="004145C0" w:rsidP="004145C0">
      <w:pPr>
        <w:spacing w:before="120" w:after="120" w:line="276" w:lineRule="auto"/>
        <w:jc w:val="both"/>
        <w:rPr>
          <w:lang w:eastAsia="lv-LV"/>
        </w:rPr>
      </w:pPr>
      <w:r w:rsidRPr="00517B67">
        <w:lastRenderedPageBreak/>
        <w:t xml:space="preserve">Neskatoties uz </w:t>
      </w:r>
      <w:r>
        <w:t>sarežģīto situāciju ārējā vidē un Krievijas noteiktajām sankcijām</w:t>
      </w:r>
      <w:r w:rsidRPr="00517B67">
        <w:t xml:space="preserve">, </w:t>
      </w:r>
      <w:r>
        <w:t xml:space="preserve">Latvijas kopējais </w:t>
      </w:r>
      <w:r w:rsidRPr="00517B67">
        <w:t xml:space="preserve">preču eksports naudas izteiksmē </w:t>
      </w:r>
      <w:r>
        <w:t xml:space="preserve">2015.gada pirmajos trīs ceturkšņos palielinājies par 2,2%, bet trešajā ceturksnī – par 0,8%. Preču eksporta kritumu uz Krieviju par 24,4% gada </w:t>
      </w:r>
      <w:r w:rsidRPr="00975495">
        <w:t xml:space="preserve">pirmajos trīs ceturkšņos kompensējis eksporta pieaugums uz tādām tradicionālajiem noieta tirgiem, kā Lietuva, Nīderlande, Dānija, kā arī samērā jauniem tirgiem, piemēram, Alžīriju un Apvienotajiem Arābu Emirātiem. </w:t>
      </w:r>
      <w:r w:rsidRPr="00975495">
        <w:rPr>
          <w:szCs w:val="24"/>
        </w:rPr>
        <w:t>Novērtēts, ka ES fondu ietekme uz preču un pakalpojumu eksporta pieaugumu 2015.gadā būs</w:t>
      </w:r>
      <w:r>
        <w:rPr>
          <w:szCs w:val="24"/>
        </w:rPr>
        <w:t xml:space="preserve"> bijusi</w:t>
      </w:r>
      <w:r w:rsidRPr="00975495">
        <w:rPr>
          <w:szCs w:val="24"/>
        </w:rPr>
        <w:t xml:space="preserve"> aptuveni 0,2 procentpunkti. </w:t>
      </w:r>
      <w:r w:rsidRPr="00975495">
        <w:rPr>
          <w:iCs/>
        </w:rPr>
        <w:t xml:space="preserve">Preču un pakalpojumu imports 2015.gada trīs </w:t>
      </w:r>
      <w:r w:rsidR="00782262">
        <w:rPr>
          <w:iCs/>
        </w:rPr>
        <w:t>ceturkšņos palielinājās vien</w:t>
      </w:r>
      <w:r w:rsidRPr="00975495">
        <w:rPr>
          <w:iCs/>
        </w:rPr>
        <w:t xml:space="preserve"> </w:t>
      </w:r>
      <w:r>
        <w:rPr>
          <w:iCs/>
        </w:rPr>
        <w:t xml:space="preserve">par </w:t>
      </w:r>
      <w:r w:rsidRPr="00975495">
        <w:rPr>
          <w:iCs/>
        </w:rPr>
        <w:t xml:space="preserve">0,8%. </w:t>
      </w:r>
      <w:r w:rsidR="00E10163" w:rsidRPr="00975495">
        <w:t xml:space="preserve">Jāatzīmē, ka prognozējamā ES fondu ietekme uz pieprasījumu </w:t>
      </w:r>
      <w:r w:rsidR="00E10163" w:rsidRPr="00975495">
        <w:rPr>
          <w:lang w:eastAsia="lv-LV"/>
        </w:rPr>
        <w:t>pēc ārvalstu precēm un pakalpojumiem 2015.gadā nedaudz samazinā</w:t>
      </w:r>
      <w:r w:rsidR="00E10163">
        <w:rPr>
          <w:lang w:eastAsia="lv-LV"/>
        </w:rPr>
        <w:t>ju</w:t>
      </w:r>
      <w:r w:rsidR="00E10163" w:rsidRPr="00975495">
        <w:rPr>
          <w:lang w:eastAsia="lv-LV"/>
        </w:rPr>
        <w:t>sies salīdzinājumā a</w:t>
      </w:r>
      <w:r w:rsidR="00E10163">
        <w:rPr>
          <w:lang w:eastAsia="lv-LV"/>
        </w:rPr>
        <w:t>r iepriekšējo gadu (importa pieauguma temps 2015.gadā 0,9 procentpunkti savukārt 2014.gadā viens procentpunkts).</w:t>
      </w:r>
      <w:r w:rsidR="00E10163" w:rsidRPr="00975495">
        <w:rPr>
          <w:lang w:eastAsia="lv-LV"/>
        </w:rPr>
        <w:t xml:space="preserve"> </w:t>
      </w:r>
    </w:p>
    <w:p w14:paraId="2BB86A6B" w14:textId="6FE89C8C" w:rsidR="004145C0" w:rsidRDefault="004145C0" w:rsidP="004145C0">
      <w:pPr>
        <w:spacing w:before="120" w:after="120" w:line="276" w:lineRule="auto"/>
        <w:jc w:val="both"/>
      </w:pPr>
      <w:r w:rsidRPr="00517B67">
        <w:t>Nozaru griezumā liel</w:t>
      </w:r>
      <w:r>
        <w:t>ākie pieaugumi 2015.gada pirmajos trīs</w:t>
      </w:r>
      <w:r w:rsidRPr="00517B67">
        <w:t xml:space="preserve"> </w:t>
      </w:r>
      <w:r>
        <w:t>ceturkšņos</w:t>
      </w:r>
      <w:r w:rsidRPr="00517B67">
        <w:t xml:space="preserve"> reģistrēti </w:t>
      </w:r>
      <w:r>
        <w:t>i</w:t>
      </w:r>
      <w:r w:rsidRPr="00246846">
        <w:t>zmitināšana</w:t>
      </w:r>
      <w:r>
        <w:t>s</w:t>
      </w:r>
      <w:r w:rsidRPr="00246846">
        <w:t xml:space="preserve"> un ēdināšanas pakalpojum</w:t>
      </w:r>
      <w:r>
        <w:t>u</w:t>
      </w:r>
      <w:r w:rsidRPr="00246846">
        <w:t xml:space="preserve"> </w:t>
      </w:r>
      <w:r w:rsidRPr="00517B67">
        <w:t xml:space="preserve">nozarē - par </w:t>
      </w:r>
      <w:r>
        <w:t>6,1</w:t>
      </w:r>
      <w:r w:rsidRPr="00517B67">
        <w:t xml:space="preserve">% </w:t>
      </w:r>
      <w:r>
        <w:t xml:space="preserve">un mākslas izklaides un atpūtas nozarē – par 4,8% </w:t>
      </w:r>
      <w:r w:rsidRPr="00517B67">
        <w:t xml:space="preserve">salīdzinājumā ar iepriekšējā gada attiecīgo </w:t>
      </w:r>
      <w:r>
        <w:t>periodu. Īpaši jāatzīmē</w:t>
      </w:r>
      <w:r w:rsidRPr="00517B67">
        <w:t xml:space="preserve"> apstrād</w:t>
      </w:r>
      <w:r>
        <w:t>es rūpniecības pieaugums par 4,8</w:t>
      </w:r>
      <w:r w:rsidRPr="00517B67">
        <w:t xml:space="preserve">%, ko </w:t>
      </w:r>
      <w:r w:rsidR="00F01D7F">
        <w:t xml:space="preserve">pārskata periodā </w:t>
      </w:r>
      <w:r w:rsidRPr="00517B67">
        <w:t xml:space="preserve">pozitīvi ietekmēja arī darbības atjaunošana  AS "KVV Liepājas </w:t>
      </w:r>
      <w:r w:rsidRPr="00246846">
        <w:t xml:space="preserve">metalurgs", kā arī kokapstrādes nozares </w:t>
      </w:r>
      <w:r>
        <w:t>labie rezultāti</w:t>
      </w:r>
      <w:r w:rsidRPr="00246846">
        <w:t xml:space="preserve">. </w:t>
      </w:r>
      <w:r>
        <w:t>No visām ekonomikas nozarēm s</w:t>
      </w:r>
      <w:r w:rsidRPr="00246846">
        <w:t xml:space="preserve">amazinājums </w:t>
      </w:r>
      <w:r>
        <w:t xml:space="preserve">2015.gada pirmajos trīs ceturkšņos </w:t>
      </w:r>
      <w:r w:rsidRPr="00246846">
        <w:t xml:space="preserve">bijis vienīgi </w:t>
      </w:r>
      <w:r w:rsidRPr="00246846">
        <w:rPr>
          <w:bCs/>
          <w:iCs/>
        </w:rPr>
        <w:t xml:space="preserve">transporta un uzglabāšanas nozarē – par </w:t>
      </w:r>
      <w:r>
        <w:rPr>
          <w:bCs/>
          <w:iCs/>
        </w:rPr>
        <w:t>1,3%, ko note</w:t>
      </w:r>
      <w:r w:rsidRPr="00246846">
        <w:rPr>
          <w:bCs/>
          <w:iCs/>
        </w:rPr>
        <w:t>ica galvenokārt</w:t>
      </w:r>
      <w:r w:rsidRPr="00246846">
        <w:rPr>
          <w:iCs/>
        </w:rPr>
        <w:t xml:space="preserve"> ārējās vides faktori, </w:t>
      </w:r>
      <w:r>
        <w:rPr>
          <w:iCs/>
        </w:rPr>
        <w:t xml:space="preserve">tajā skaitā </w:t>
      </w:r>
      <w:r w:rsidRPr="00246846">
        <w:rPr>
          <w:iCs/>
        </w:rPr>
        <w:t>Krievijas ekonomikas recesija un zemais rubļa kurss, kā rezultātā samazinājusies kravu plūsma caur Latvijas ostām.</w:t>
      </w:r>
    </w:p>
    <w:p w14:paraId="5CD76250" w14:textId="77777777" w:rsidR="004145C0" w:rsidRPr="00517B67" w:rsidRDefault="004145C0" w:rsidP="004145C0">
      <w:pPr>
        <w:spacing w:before="120" w:after="120" w:line="276" w:lineRule="auto"/>
        <w:jc w:val="both"/>
        <w:rPr>
          <w:szCs w:val="24"/>
        </w:rPr>
      </w:pPr>
      <w:r w:rsidRPr="00517B67">
        <w:t xml:space="preserve">Saglabājoties ekonomikas izaugsmei, turpina uzlaboties situācija darba tirgū. Pēc CSP veiktā darbaspēka </w:t>
      </w:r>
      <w:proofErr w:type="spellStart"/>
      <w:r w:rsidRPr="00517B67">
        <w:t>apsekojuma</w:t>
      </w:r>
      <w:proofErr w:type="spellEnd"/>
      <w:r w:rsidRPr="00517B67">
        <w:t xml:space="preserve"> rezultātiem 2015.gada pirmaj</w:t>
      </w:r>
      <w:r>
        <w:t>os trīs ceturkšņos</w:t>
      </w:r>
      <w:r w:rsidRPr="00517B67">
        <w:t xml:space="preserve"> nodarbināto </w:t>
      </w:r>
      <w:r>
        <w:t>iedzīvotāju skaits 15-74 gadu vecumā bijis par 1,0% lielāks nekā attiecīgajā laika posmā pirms gada. Trešajā ceturksnī, salīdzinot ar 2014.gada trešo ceturksni, nodarbināto skaits palielinājies par 1,8%, sasniedzot 902 tūkstošus.</w:t>
      </w:r>
      <w:r w:rsidRPr="00517B67">
        <w:rPr>
          <w:szCs w:val="24"/>
        </w:rPr>
        <w:t xml:space="preserve"> </w:t>
      </w:r>
      <w:r w:rsidRPr="00D2301B">
        <w:rPr>
          <w:szCs w:val="24"/>
        </w:rPr>
        <w:t xml:space="preserve">ES fondu projektu īstenošana būs saglabājusi pozitīvu ietekmi uz nodarbinātības dinamiku arī 2015.gadā, palielinot nodarbināto skaita pieauguma tempu aptuveni par 0,4 procentpunktiem, un jāatzīmē, ka ES fondu investīcijas pēdējos gados ir būtiski stimulējušas </w:t>
      </w:r>
      <w:proofErr w:type="spellStart"/>
      <w:r w:rsidRPr="00D2301B">
        <w:rPr>
          <w:szCs w:val="24"/>
        </w:rPr>
        <w:t>cilvēkkapitāla</w:t>
      </w:r>
      <w:proofErr w:type="spellEnd"/>
      <w:r w:rsidRPr="00D2301B">
        <w:rPr>
          <w:szCs w:val="24"/>
        </w:rPr>
        <w:t xml:space="preserve"> attīstību.</w:t>
      </w:r>
    </w:p>
    <w:p w14:paraId="4DE36FED" w14:textId="77777777" w:rsidR="004145C0" w:rsidRPr="00517B67" w:rsidRDefault="004145C0" w:rsidP="004145C0">
      <w:pPr>
        <w:spacing w:before="120" w:after="120" w:line="276" w:lineRule="auto"/>
        <w:jc w:val="both"/>
      </w:pPr>
      <w:r w:rsidRPr="00517B67">
        <w:rPr>
          <w:szCs w:val="24"/>
        </w:rPr>
        <w:t>Darba meklētāju īpatsvars 2015.gadā turpināja samazināties,</w:t>
      </w:r>
      <w:r w:rsidRPr="00517B67">
        <w:t xml:space="preserve"> 2015.gada </w:t>
      </w:r>
      <w:r>
        <w:rPr>
          <w:szCs w:val="24"/>
        </w:rPr>
        <w:t>trešajā</w:t>
      </w:r>
      <w:r w:rsidRPr="00517B67">
        <w:rPr>
          <w:szCs w:val="24"/>
        </w:rPr>
        <w:t xml:space="preserve"> ceturksnī </w:t>
      </w:r>
      <w:r w:rsidRPr="00517B67">
        <w:t xml:space="preserve">veidojot </w:t>
      </w:r>
      <w:r>
        <w:t>9,7</w:t>
      </w:r>
      <w:r w:rsidRPr="00517B67">
        <w:t xml:space="preserve">% no ekonomiski aktīvajiem iedzīvotājiem, kas ir par </w:t>
      </w:r>
      <w:r>
        <w:t>0,9</w:t>
      </w:r>
      <w:r w:rsidRPr="00517B67">
        <w:t xml:space="preserve"> procentpunktiem mazāk nekā </w:t>
      </w:r>
      <w:r>
        <w:t xml:space="preserve">attiecīgajā ceturksnī </w:t>
      </w:r>
      <w:r w:rsidRPr="00517B67">
        <w:t>pirms gada. Vidējā termiņā nodarbinātības pieaugums turpinās pakāpeniski samazināsies, un ekonomikas izaugsme galvenokārt balstīsies uz produktivitātes pieaugumu.</w:t>
      </w:r>
    </w:p>
    <w:p w14:paraId="32418D2D" w14:textId="56BCC90A" w:rsidR="004145C0" w:rsidRPr="004C6CBD" w:rsidRDefault="004145C0" w:rsidP="004C6CBD">
      <w:pPr>
        <w:pStyle w:val="Default"/>
        <w:spacing w:line="276" w:lineRule="auto"/>
      </w:pPr>
      <w:r w:rsidRPr="00517B67">
        <w:t>Lai gan ekonomikā saglabājās samērā augsti izaugsmes t</w:t>
      </w:r>
      <w:r>
        <w:t>empi, patēriņa cenas vidēji 2015.gadā kopā palielinājās tikai par 0,2</w:t>
      </w:r>
      <w:r w:rsidRPr="00517B67">
        <w:t xml:space="preserve">%, </w:t>
      </w:r>
      <w:r>
        <w:t>tajā skaitā</w:t>
      </w:r>
      <w:r w:rsidRPr="00517B67">
        <w:t xml:space="preserve"> 2015.gada </w:t>
      </w:r>
      <w:r>
        <w:t>otrajā pusē</w:t>
      </w:r>
      <w:r w:rsidRPr="00517B67">
        <w:t xml:space="preserve"> </w:t>
      </w:r>
      <w:r>
        <w:t>– samazinājās par 0,1%. Zemo inflācijas līmeni turpināja</w:t>
      </w:r>
      <w:r w:rsidRPr="00517B67">
        <w:t xml:space="preserve"> noteikt ārējie procesi jeb tā sauktā importētā inflācija, pirmkārt energoresursu un </w:t>
      </w:r>
      <w:r>
        <w:t>pārtikas izejvielu cenu kritums pasaules tirgū.</w:t>
      </w:r>
      <w:r w:rsidRPr="00517B67">
        <w:t xml:space="preserve"> Preču cenas, ko vairāk ietekmē importētā inflācija, </w:t>
      </w:r>
      <w:r>
        <w:t>2015.gadā</w:t>
      </w:r>
      <w:r w:rsidRPr="00517B67">
        <w:t xml:space="preserve"> samazinājās par </w:t>
      </w:r>
      <w:r>
        <w:t>0,7</w:t>
      </w:r>
      <w:r w:rsidRPr="00517B67">
        <w:t>%, bet pakalpojumu cenas</w:t>
      </w:r>
      <w:r>
        <w:t>, ko ietekmē iekšējie procesi,</w:t>
      </w:r>
      <w:r w:rsidRPr="00517B67">
        <w:t xml:space="preserve"> pieauga par 2,</w:t>
      </w:r>
      <w:r>
        <w:t>6</w:t>
      </w:r>
      <w:r w:rsidRPr="00517B67">
        <w:t>%.</w:t>
      </w:r>
      <w:r>
        <w:t xml:space="preserve"> Gada otrajā pusē preču cenas kritās par 1,0%, bet pakalpojumu cenas pieauga par 2,4%.</w:t>
      </w:r>
      <w:r w:rsidRPr="00517B67">
        <w:t xml:space="preserve"> </w:t>
      </w:r>
      <w:r w:rsidRPr="00D2301B">
        <w:t>Inflāciju paaugstinošu efektu rada ES fondi – prognozējams, ka Kohēzijas politikas investīcijas 2015.gadā būs palielināju</w:t>
      </w:r>
      <w:r>
        <w:t>šas</w:t>
      </w:r>
      <w:r w:rsidRPr="00D2301B">
        <w:t xml:space="preserve"> inflāciju par 0,3 procentpunktiem.</w:t>
      </w:r>
    </w:p>
    <w:p w14:paraId="6F84E43A" w14:textId="77777777" w:rsidR="00EE4632" w:rsidRPr="000D1C84" w:rsidRDefault="00EE4632" w:rsidP="004D147C">
      <w:pPr>
        <w:pStyle w:val="1lmenis"/>
      </w:pPr>
      <w:bookmarkStart w:id="6" w:name="_Toc424637649"/>
      <w:bookmarkStart w:id="7" w:name="_Toc443658851"/>
      <w:r w:rsidRPr="000D1C84">
        <w:lastRenderedPageBreak/>
        <w:t>2004.-2006.gada plānošanas perioda KF projektu slēgšana</w:t>
      </w:r>
      <w:bookmarkEnd w:id="6"/>
      <w:bookmarkEnd w:id="7"/>
    </w:p>
    <w:p w14:paraId="1C22076C" w14:textId="4A97E5AD" w:rsidR="004643AB" w:rsidRPr="00B87B97" w:rsidRDefault="004643AB" w:rsidP="004643AB">
      <w:pPr>
        <w:spacing w:before="120" w:after="120" w:line="276" w:lineRule="auto"/>
        <w:jc w:val="both"/>
      </w:pPr>
      <w:r w:rsidRPr="00957C94">
        <w:rPr>
          <w:szCs w:val="24"/>
        </w:rPr>
        <w:t>2004.-2006.gada</w:t>
      </w:r>
      <w:r>
        <w:rPr>
          <w:szCs w:val="24"/>
        </w:rPr>
        <w:t xml:space="preserve"> plānošanas perioda KF </w:t>
      </w:r>
      <w:r w:rsidRPr="00957C94">
        <w:rPr>
          <w:szCs w:val="24"/>
        </w:rPr>
        <w:t>ietvaros</w:t>
      </w:r>
      <w:r>
        <w:rPr>
          <w:szCs w:val="24"/>
        </w:rPr>
        <w:t xml:space="preserve"> 2015.gada II</w:t>
      </w:r>
      <w:r w:rsidR="009A163D">
        <w:rPr>
          <w:szCs w:val="24"/>
        </w:rPr>
        <w:t xml:space="preserve"> </w:t>
      </w:r>
      <w:r>
        <w:rPr>
          <w:szCs w:val="24"/>
        </w:rPr>
        <w:t xml:space="preserve">pusgadā </w:t>
      </w:r>
      <w:proofErr w:type="spellStart"/>
      <w:r>
        <w:rPr>
          <w:szCs w:val="24"/>
        </w:rPr>
        <w:t>pēcuzraudzīb</w:t>
      </w:r>
      <w:r w:rsidR="009A163D">
        <w:rPr>
          <w:szCs w:val="24"/>
        </w:rPr>
        <w:t>as</w:t>
      </w:r>
      <w:proofErr w:type="spellEnd"/>
      <w:r>
        <w:rPr>
          <w:szCs w:val="24"/>
        </w:rPr>
        <w:t xml:space="preserve"> </w:t>
      </w:r>
      <w:r w:rsidR="009A163D">
        <w:rPr>
          <w:szCs w:val="24"/>
        </w:rPr>
        <w:t>statusā atradās</w:t>
      </w:r>
      <w:r>
        <w:rPr>
          <w:szCs w:val="24"/>
        </w:rPr>
        <w:t xml:space="preserve"> viens projekts Nr.</w:t>
      </w:r>
      <w:r w:rsidRPr="00236BC0">
        <w:rPr>
          <w:szCs w:val="24"/>
        </w:rPr>
        <w:t xml:space="preserve">2001/LV/16/P/PE/007 „Ūdenssaimniecības attīstība </w:t>
      </w:r>
      <w:proofErr w:type="spellStart"/>
      <w:r w:rsidRPr="00236BC0">
        <w:rPr>
          <w:szCs w:val="24"/>
        </w:rPr>
        <w:t>Austrumlatvijas</w:t>
      </w:r>
      <w:proofErr w:type="spellEnd"/>
      <w:r w:rsidRPr="00236BC0">
        <w:rPr>
          <w:szCs w:val="24"/>
        </w:rPr>
        <w:t xml:space="preserve"> upju baseinos”</w:t>
      </w:r>
      <w:r>
        <w:rPr>
          <w:szCs w:val="24"/>
        </w:rPr>
        <w:t xml:space="preserve"> (turpmāk – projekts). Pārskata periodā VARAM, veico</w:t>
      </w:r>
      <w:r w:rsidR="00F01D7F">
        <w:rPr>
          <w:szCs w:val="24"/>
        </w:rPr>
        <w:t>t</w:t>
      </w:r>
      <w:r>
        <w:rPr>
          <w:szCs w:val="24"/>
        </w:rPr>
        <w:t xml:space="preserve"> </w:t>
      </w:r>
      <w:proofErr w:type="spellStart"/>
      <w:r>
        <w:rPr>
          <w:szCs w:val="24"/>
        </w:rPr>
        <w:t>pēcuzraudzības</w:t>
      </w:r>
      <w:proofErr w:type="spellEnd"/>
      <w:r>
        <w:rPr>
          <w:szCs w:val="24"/>
        </w:rPr>
        <w:t xml:space="preserve"> pārbaudi projekta īstenošanas vietā, projektā ir </w:t>
      </w:r>
      <w:r w:rsidR="00F01D7F">
        <w:rPr>
          <w:szCs w:val="24"/>
        </w:rPr>
        <w:t>piemērojusi finanšu korekcijas par neatbilstoši iegādātu vai izmantotu iekārtu un transportlīdzekli</w:t>
      </w:r>
      <w:r>
        <w:rPr>
          <w:szCs w:val="24"/>
        </w:rPr>
        <w:t>, t.i., līgumā “</w:t>
      </w:r>
      <w:r w:rsidRPr="007F1CA7">
        <w:t>Dzeramā ūdens sagatavošanas iekārtu izbūve Alūksnē</w:t>
      </w:r>
      <w:r>
        <w:t>” (atbalsta saņēmēj</w:t>
      </w:r>
      <w:r w:rsidR="00F01D7F">
        <w:t>a</w:t>
      </w:r>
      <w:r>
        <w:rPr>
          <w:szCs w:val="24"/>
        </w:rPr>
        <w:t xml:space="preserve"> </w:t>
      </w:r>
      <w:r w:rsidRPr="00A33FDC">
        <w:rPr>
          <w:szCs w:val="24"/>
        </w:rPr>
        <w:t>SIA „Rūpe”</w:t>
      </w:r>
      <w:r w:rsidR="00F01D7F">
        <w:rPr>
          <w:szCs w:val="24"/>
        </w:rPr>
        <w:t xml:space="preserve"> </w:t>
      </w:r>
      <w:r w:rsidR="00F01D7F">
        <w:t xml:space="preserve">neatbilstoši veiktie izdevumi 15 163 </w:t>
      </w:r>
      <w:r w:rsidR="00F01D7F" w:rsidRPr="00BE1EEA">
        <w:rPr>
          <w:i/>
        </w:rPr>
        <w:t>euro</w:t>
      </w:r>
      <w:r w:rsidR="00F01D7F">
        <w:t xml:space="preserve"> </w:t>
      </w:r>
      <w:r w:rsidR="00F01D7F" w:rsidRPr="002137D0">
        <w:t xml:space="preserve">(KF </w:t>
      </w:r>
      <w:r w:rsidR="00F01D7F">
        <w:t xml:space="preserve">– </w:t>
      </w:r>
      <w:r w:rsidR="00F01D7F">
        <w:rPr>
          <w:i/>
        </w:rPr>
        <w:t xml:space="preserve"> </w:t>
      </w:r>
      <w:r w:rsidR="00F01D7F">
        <w:t xml:space="preserve">6 222 </w:t>
      </w:r>
      <w:r w:rsidR="00F01D7F" w:rsidRPr="002137D0">
        <w:rPr>
          <w:i/>
        </w:rPr>
        <w:t>euro</w:t>
      </w:r>
      <w:r w:rsidR="00F01D7F">
        <w:t xml:space="preserve"> un valsts budžeta finansējums – 8 941 </w:t>
      </w:r>
      <w:r w:rsidR="00F01D7F" w:rsidRPr="002137D0">
        <w:rPr>
          <w:i/>
        </w:rPr>
        <w:t>euro</w:t>
      </w:r>
      <w:r w:rsidR="00F01D7F">
        <w:t>)</w:t>
      </w:r>
      <w:r>
        <w:rPr>
          <w:szCs w:val="24"/>
        </w:rPr>
        <w:t>)</w:t>
      </w:r>
      <w:r>
        <w:t xml:space="preserve"> un līgumā „</w:t>
      </w:r>
      <w:r w:rsidRPr="007F1CA7">
        <w:t xml:space="preserve">Dzeramā ūdens sagatavošanas iekārtu izbūve </w:t>
      </w:r>
      <w:r>
        <w:t>Siguldā” (atbalsta saņēmēj</w:t>
      </w:r>
      <w:r w:rsidR="00F01D7F">
        <w:t>a</w:t>
      </w:r>
      <w:r>
        <w:t xml:space="preserve"> </w:t>
      </w:r>
      <w:r w:rsidRPr="00D06519">
        <w:t>SIA „</w:t>
      </w:r>
      <w:proofErr w:type="spellStart"/>
      <w:r w:rsidRPr="00D06519">
        <w:t>Saltavots</w:t>
      </w:r>
      <w:proofErr w:type="spellEnd"/>
      <w:r w:rsidRPr="00D06519">
        <w:t>”</w:t>
      </w:r>
      <w:r w:rsidR="00F01D7F">
        <w:t xml:space="preserve"> neatbilstoši veiktie izdevumi 20 495 </w:t>
      </w:r>
      <w:r w:rsidR="00F01D7F" w:rsidRPr="00B87B97">
        <w:rPr>
          <w:i/>
        </w:rPr>
        <w:t>euro</w:t>
      </w:r>
      <w:r w:rsidR="00F01D7F">
        <w:rPr>
          <w:i/>
        </w:rPr>
        <w:t xml:space="preserve"> </w:t>
      </w:r>
      <w:r w:rsidR="00F01D7F" w:rsidRPr="002137D0">
        <w:t xml:space="preserve">(KF </w:t>
      </w:r>
      <w:r w:rsidR="00F01D7F">
        <w:t xml:space="preserve">– </w:t>
      </w:r>
      <w:r w:rsidR="00F01D7F">
        <w:rPr>
          <w:i/>
        </w:rPr>
        <w:t xml:space="preserve"> </w:t>
      </w:r>
      <w:r w:rsidR="00F01D7F">
        <w:t xml:space="preserve">14 271 </w:t>
      </w:r>
      <w:r w:rsidR="00F01D7F" w:rsidRPr="002137D0">
        <w:rPr>
          <w:i/>
        </w:rPr>
        <w:t>euro</w:t>
      </w:r>
      <w:r w:rsidR="00F01D7F">
        <w:t xml:space="preserve"> un valsts budžeta finansējums – 6 224 </w:t>
      </w:r>
      <w:r w:rsidR="00F01D7F" w:rsidRPr="002137D0">
        <w:rPr>
          <w:i/>
        </w:rPr>
        <w:t>euro</w:t>
      </w:r>
      <w:r w:rsidR="00F01D7F">
        <w:t>)</w:t>
      </w:r>
      <w:r>
        <w:rPr>
          <w:szCs w:val="24"/>
        </w:rPr>
        <w:t>)</w:t>
      </w:r>
      <w:r>
        <w:t xml:space="preserve">. </w:t>
      </w:r>
      <w:r w:rsidR="00F01D7F">
        <w:t>Atbalsta saņēmēj</w:t>
      </w:r>
      <w:r w:rsidR="005C6F23">
        <w:t xml:space="preserve">s </w:t>
      </w:r>
      <w:r w:rsidR="005C6F23" w:rsidRPr="00D06519">
        <w:t>SIA „</w:t>
      </w:r>
      <w:proofErr w:type="spellStart"/>
      <w:r w:rsidR="005C6F23" w:rsidRPr="00D06519">
        <w:t>Saltavots</w:t>
      </w:r>
      <w:proofErr w:type="spellEnd"/>
      <w:r w:rsidR="005C6F23" w:rsidRPr="00D06519">
        <w:t>”</w:t>
      </w:r>
      <w:r w:rsidR="005C6F23">
        <w:t xml:space="preserve"> ir veicis</w:t>
      </w:r>
      <w:r w:rsidR="00F01D7F">
        <w:t xml:space="preserve"> neatbilstoši veikto izdevumu atmaksu valsts budžetā</w:t>
      </w:r>
      <w:r w:rsidR="005C6F23">
        <w:t>, bet SIA “Rūpe” veic neatbilstoši veikto izdevumu atmaksu atbilstoši grafikam</w:t>
      </w:r>
      <w:r w:rsidR="00F01D7F">
        <w:t>.</w:t>
      </w:r>
      <w:r>
        <w:t xml:space="preserve"> </w:t>
      </w:r>
      <w:r w:rsidR="00F01D7F">
        <w:rPr>
          <w:szCs w:val="24"/>
        </w:rPr>
        <w:t>Vienlaikus,</w:t>
      </w:r>
      <w:r>
        <w:rPr>
          <w:szCs w:val="24"/>
        </w:rPr>
        <w:t xml:space="preserve"> valsts budžetā pārskaitīti</w:t>
      </w:r>
      <w:r w:rsidR="009A163D">
        <w:rPr>
          <w:szCs w:val="24"/>
        </w:rPr>
        <w:t>e</w:t>
      </w:r>
      <w:r>
        <w:rPr>
          <w:szCs w:val="24"/>
        </w:rPr>
        <w:t xml:space="preserve"> neatbilstoši veiktie izdevumi nav jāatmaksā EK</w:t>
      </w:r>
      <w:r w:rsidR="00F01D7F">
        <w:rPr>
          <w:szCs w:val="24"/>
        </w:rPr>
        <w:t xml:space="preserve">, tā kā projekta īstenošanai papildus tika izmantots valsts budžeta </w:t>
      </w:r>
      <w:proofErr w:type="spellStart"/>
      <w:r w:rsidR="00F01D7F">
        <w:rPr>
          <w:szCs w:val="24"/>
        </w:rPr>
        <w:t>virssaistību</w:t>
      </w:r>
      <w:proofErr w:type="spellEnd"/>
      <w:r w:rsidR="00F01D7F">
        <w:rPr>
          <w:szCs w:val="24"/>
        </w:rPr>
        <w:t xml:space="preserve"> finansējums (20 milj. </w:t>
      </w:r>
      <w:r w:rsidR="00F01D7F" w:rsidRPr="009A163D">
        <w:rPr>
          <w:i/>
          <w:szCs w:val="24"/>
        </w:rPr>
        <w:t>euro</w:t>
      </w:r>
      <w:r w:rsidR="00F01D7F">
        <w:rPr>
          <w:szCs w:val="24"/>
        </w:rPr>
        <w:t>)</w:t>
      </w:r>
      <w:r>
        <w:rPr>
          <w:szCs w:val="24"/>
        </w:rPr>
        <w:t xml:space="preserve">. </w:t>
      </w:r>
    </w:p>
    <w:p w14:paraId="608383E3" w14:textId="4A3149E5" w:rsidR="004643AB" w:rsidRDefault="004643AB" w:rsidP="004643AB">
      <w:pPr>
        <w:spacing w:before="120" w:after="120" w:line="276" w:lineRule="auto"/>
        <w:jc w:val="both"/>
        <w:rPr>
          <w:szCs w:val="24"/>
        </w:rPr>
      </w:pPr>
      <w:r>
        <w:rPr>
          <w:szCs w:val="24"/>
        </w:rPr>
        <w:t xml:space="preserve">Ņemot vērā, ka </w:t>
      </w:r>
      <w:r w:rsidRPr="00957C94">
        <w:rPr>
          <w:szCs w:val="24"/>
        </w:rPr>
        <w:t>2004.-2006.gada plānošanas perioda KF ietvaros</w:t>
      </w:r>
      <w:r>
        <w:rPr>
          <w:szCs w:val="24"/>
        </w:rPr>
        <w:t xml:space="preserve"> projektu </w:t>
      </w:r>
      <w:proofErr w:type="spellStart"/>
      <w:r>
        <w:rPr>
          <w:szCs w:val="24"/>
        </w:rPr>
        <w:t>pēcuzraudzības</w:t>
      </w:r>
      <w:proofErr w:type="spellEnd"/>
      <w:r>
        <w:rPr>
          <w:szCs w:val="24"/>
        </w:rPr>
        <w:t xml:space="preserve"> periods ir beidzies 2015.gada 31.decembrī, nākamajos ziņojumos MK informācija par </w:t>
      </w:r>
      <w:r w:rsidRPr="00F5180C">
        <w:rPr>
          <w:szCs w:val="24"/>
        </w:rPr>
        <w:t>2004.-2006.gada plānošanas perioda KF</w:t>
      </w:r>
      <w:r>
        <w:rPr>
          <w:szCs w:val="24"/>
        </w:rPr>
        <w:t xml:space="preserve"> vairs netiks sniegta.   </w:t>
      </w:r>
    </w:p>
    <w:p w14:paraId="26D1D966" w14:textId="7E4989C3" w:rsidR="009C0862" w:rsidRPr="00DB530C" w:rsidRDefault="009C0862" w:rsidP="004D147C">
      <w:pPr>
        <w:pStyle w:val="1lmenis"/>
      </w:pPr>
      <w:bookmarkStart w:id="8" w:name="_Toc443658852"/>
      <w:r w:rsidRPr="00DB530C">
        <w:t>2007. -2013.gada plānošanas perioda ES fondu ieviešana</w:t>
      </w:r>
      <w:bookmarkEnd w:id="8"/>
    </w:p>
    <w:p w14:paraId="6BD712A0" w14:textId="1201D868" w:rsidR="009C0862" w:rsidRPr="002C6E59" w:rsidRDefault="009C0862" w:rsidP="00ED7675">
      <w:pPr>
        <w:pStyle w:val="2lmenis"/>
      </w:pPr>
      <w:bookmarkStart w:id="9" w:name="_Toc443658853"/>
      <w:r w:rsidRPr="002C6E59">
        <w:t>Darbības programmu un darbības programmu papildinājumu grozījumi</w:t>
      </w:r>
      <w:bookmarkEnd w:id="9"/>
    </w:p>
    <w:p w14:paraId="7D08744F" w14:textId="6F483F1F" w:rsidR="009678C2" w:rsidRDefault="009C0862" w:rsidP="009C0862">
      <w:pPr>
        <w:spacing w:before="120" w:after="120" w:line="276" w:lineRule="auto"/>
        <w:jc w:val="both"/>
      </w:pPr>
      <w:r w:rsidRPr="002C6E59">
        <w:t>Lai nodrošinātu efektīvu un operatīvu ES fondu ieviešanu, kā arī lai reaģētu uz pārmaiņām nozaru politikās, pārska</w:t>
      </w:r>
      <w:r w:rsidR="002C6E59">
        <w:t>ta periodā AI un VI</w:t>
      </w:r>
      <w:r w:rsidR="009678C2">
        <w:t xml:space="preserve"> </w:t>
      </w:r>
      <w:r w:rsidR="002C6E59">
        <w:t>ir veikušas</w:t>
      </w:r>
      <w:r w:rsidR="009678C2">
        <w:t xml:space="preserve"> </w:t>
      </w:r>
      <w:r w:rsidR="001546CB">
        <w:t>šādus</w:t>
      </w:r>
      <w:r w:rsidR="002C6E59">
        <w:t xml:space="preserve"> grozījumus</w:t>
      </w:r>
      <w:r w:rsidRPr="002C6E59">
        <w:t xml:space="preserve"> DPP. </w:t>
      </w:r>
    </w:p>
    <w:p w14:paraId="09A0F4F6" w14:textId="77777777" w:rsidR="0005711D" w:rsidRDefault="0005711D" w:rsidP="00CA399F">
      <w:pPr>
        <w:spacing w:before="120" w:after="120" w:line="276" w:lineRule="auto"/>
        <w:jc w:val="both"/>
      </w:pPr>
      <w:r>
        <w:t xml:space="preserve">DP “Uzņēmējdarbība un inovācijas” </w:t>
      </w:r>
    </w:p>
    <w:p w14:paraId="7EE24A6B" w14:textId="08E7790C" w:rsidR="0005711D" w:rsidRDefault="0005711D" w:rsidP="00CA399F">
      <w:pPr>
        <w:spacing w:before="120" w:after="120" w:line="276" w:lineRule="auto"/>
        <w:jc w:val="both"/>
      </w:pPr>
      <w:r>
        <w:t xml:space="preserve">Reaģējot uz Krievijas Federācijas noteikto sagatavotu un konservētu zivju produktu importa aizliegumu un izpildot MK </w:t>
      </w:r>
      <w:r w:rsidR="00CF4D07">
        <w:t xml:space="preserve">2015.gada 16.jūnija </w:t>
      </w:r>
      <w:r>
        <w:t>sēdes protokola Nr.29 87.§ 5.punktu, tika veikti grozījumi DP “Uzņēmējdarbība un inovācijas” papildinājumā</w:t>
      </w:r>
      <w:r>
        <w:rPr>
          <w:rStyle w:val="FootnoteReference"/>
        </w:rPr>
        <w:footnoteReference w:id="4"/>
      </w:r>
      <w:r>
        <w:t>, kas paredzēja:</w:t>
      </w:r>
    </w:p>
    <w:p w14:paraId="4A4DEEE5" w14:textId="7C750C85" w:rsidR="0005711D" w:rsidRDefault="0005711D" w:rsidP="00190973">
      <w:pPr>
        <w:pStyle w:val="ListParagraph"/>
        <w:numPr>
          <w:ilvl w:val="0"/>
          <w:numId w:val="19"/>
        </w:numPr>
        <w:spacing w:before="120" w:after="120" w:line="276" w:lineRule="auto"/>
        <w:jc w:val="both"/>
      </w:pPr>
      <w:r>
        <w:t>papildināt apakšaktivitātes „Ārējo tirgu apgūšana – ārējais mārketings” atbalsta saņēmēju loku ar saimnieciskās darbības veicējiem, kas darbojas NACE 2.red. A sadaļas „Lauksaimniecība, mežsaimniecība un zivsaimniecība” 03.nodaļas „Zivsaimniecība” (zemnieku un zvejnieku saimniecības) nozarē;</w:t>
      </w:r>
    </w:p>
    <w:p w14:paraId="2AD2A321" w14:textId="56F8AA53" w:rsidR="0005711D" w:rsidRDefault="0005711D" w:rsidP="00190973">
      <w:pPr>
        <w:pStyle w:val="ListParagraph"/>
        <w:numPr>
          <w:ilvl w:val="0"/>
          <w:numId w:val="19"/>
        </w:numPr>
        <w:spacing w:before="120" w:after="120" w:line="276" w:lineRule="auto"/>
        <w:jc w:val="both"/>
      </w:pPr>
      <w:r>
        <w:t xml:space="preserve">noteikt atbalsta intensitāti 90% apmērā dalībai starptautiskajās izstādēs un konferencēs (semināros), tirdzniecības misijās, </w:t>
      </w:r>
      <w:proofErr w:type="spellStart"/>
      <w:r>
        <w:t>kontaktbiržās</w:t>
      </w:r>
      <w:proofErr w:type="spellEnd"/>
      <w:r>
        <w:t xml:space="preserve"> ārvalstīs atbalsta pretendentiem, kuru darbība ir saistīta ar Krievijas Federācijas noteiktajam ierobežojumam pakļauto preču eksportu.</w:t>
      </w:r>
    </w:p>
    <w:p w14:paraId="15F01C4F" w14:textId="547EE457" w:rsidR="009678C2" w:rsidRDefault="0005711D" w:rsidP="00CA399F">
      <w:pPr>
        <w:spacing w:before="120" w:after="120" w:line="276" w:lineRule="auto"/>
        <w:jc w:val="both"/>
      </w:pPr>
      <w:r>
        <w:t xml:space="preserve">Lai nodrošinātu 2007.-2013.gada plānošanas perioda publiskā finansējuma pilnīgu </w:t>
      </w:r>
      <w:r w:rsidR="007F4F76">
        <w:t>izmantošanu</w:t>
      </w:r>
      <w:r>
        <w:t xml:space="preserve"> un pietiekošu finansējumu aizdevumu garantiju, īstermiņa eksporta kredītu garantiju un </w:t>
      </w:r>
      <w:proofErr w:type="spellStart"/>
      <w:r>
        <w:t>mezanīna</w:t>
      </w:r>
      <w:proofErr w:type="spellEnd"/>
      <w:r>
        <w:t xml:space="preserve"> aizdevumu piešķiršanai saimnieciskās darbības veicējiem līdz </w:t>
      </w:r>
      <w:r>
        <w:lastRenderedPageBreak/>
        <w:t>2015.gada beigām, tika veikti grozījumi DP “Uzņēmējdarbība un inovācijas” papildinājumā</w:t>
      </w:r>
      <w:r>
        <w:rPr>
          <w:rStyle w:val="FootnoteReference"/>
        </w:rPr>
        <w:footnoteReference w:id="5"/>
      </w:r>
      <w:r>
        <w:t>, pārdalot brīvo finansējumu no apakšaktivitātes „Atbalsts aizdevumu veidā komersantu konku</w:t>
      </w:r>
      <w:r w:rsidR="00266F5C">
        <w:t>rētspējas uzlabošanai” 156 179</w:t>
      </w:r>
      <w:r>
        <w:t xml:space="preserve"> </w:t>
      </w:r>
      <w:r w:rsidRPr="00E50CE7">
        <w:rPr>
          <w:i/>
        </w:rPr>
        <w:t>euro</w:t>
      </w:r>
      <w:r>
        <w:t xml:space="preserve"> apmērā uz </w:t>
      </w:r>
      <w:proofErr w:type="spellStart"/>
      <w:r>
        <w:t>apakšaktivitāti</w:t>
      </w:r>
      <w:proofErr w:type="spellEnd"/>
      <w:r>
        <w:t xml:space="preserve"> “</w:t>
      </w:r>
      <w:proofErr w:type="spellStart"/>
      <w:r>
        <w:t>Mezanīna</w:t>
      </w:r>
      <w:proofErr w:type="spellEnd"/>
      <w:r>
        <w:t xml:space="preserve"> aizdevumi un nodrošinājuma garantijas saimnieciskās darbības veicēju konkurētspējas uzlabošanai”.</w:t>
      </w:r>
    </w:p>
    <w:p w14:paraId="357F8B47" w14:textId="75AB9197" w:rsidR="00A52F5D" w:rsidRPr="00A52F5D" w:rsidRDefault="00A52F5D" w:rsidP="00A52F5D">
      <w:pPr>
        <w:spacing w:before="120" w:after="120" w:line="276" w:lineRule="auto"/>
        <w:jc w:val="both"/>
      </w:pPr>
      <w:r w:rsidRPr="005A6118">
        <w:t>Pamatojoties uz EK lēmumu, ar kuru tika nodrošināta iespēja pagarināt 2007.-2013.gada plānošanas perioda ietvaros īstenoto finanšu instrumentu termiņu, tika veikti grozījumi finanšu instrumentu īstenošanas MK noteikumos</w:t>
      </w:r>
      <w:r w:rsidR="003F3D21" w:rsidRPr="005A6118">
        <w:t>.</w:t>
      </w:r>
      <w:r w:rsidRPr="005A6118">
        <w:t xml:space="preserve"> Attiecīgi līdz 2016.gada 31.oktobrim tika pagarināts izmaksu </w:t>
      </w:r>
      <w:proofErr w:type="spellStart"/>
      <w:r w:rsidRPr="005A6118">
        <w:t>attiecināmības</w:t>
      </w:r>
      <w:proofErr w:type="spellEnd"/>
      <w:r w:rsidRPr="005A6118">
        <w:t xml:space="preserve"> un investīciju veikšanas termiņš riska kapitāla, sagatavošanas kapitāla un sākuma kapitāla un izaugsmes kapitāla fondos</w:t>
      </w:r>
      <w:r w:rsidRPr="005A6118">
        <w:rPr>
          <w:vertAlign w:val="superscript"/>
        </w:rPr>
        <w:footnoteReference w:id="6"/>
      </w:r>
      <w:r w:rsidRPr="005A6118">
        <w:t>, kā arī līdz 2016.gada 30.jūnijam tika pagarināts lēmumu pieņemšanas un līgumu slēgšanas termiņš aizdevumu garantijām, īstermiņa eksporta kredītu garantijām</w:t>
      </w:r>
      <w:r w:rsidR="004F1BFE" w:rsidRPr="004F1BFE">
        <w:t xml:space="preserve">, </w:t>
      </w:r>
      <w:proofErr w:type="spellStart"/>
      <w:r w:rsidR="004F1BFE" w:rsidRPr="004F1BFE">
        <w:t>mikroaizdevumiem</w:t>
      </w:r>
      <w:proofErr w:type="spellEnd"/>
      <w:r w:rsidR="009F372B" w:rsidRPr="004F1BFE">
        <w:t xml:space="preserve"> </w:t>
      </w:r>
      <w:r w:rsidR="009F372B" w:rsidRPr="005A6118">
        <w:t xml:space="preserve">un </w:t>
      </w:r>
      <w:proofErr w:type="spellStart"/>
      <w:r w:rsidR="009F372B" w:rsidRPr="005A6118">
        <w:t>mezanīna</w:t>
      </w:r>
      <w:proofErr w:type="spellEnd"/>
      <w:r w:rsidR="009F372B" w:rsidRPr="005A6118">
        <w:t xml:space="preserve"> aizdevumiem</w:t>
      </w:r>
      <w:r w:rsidRPr="005A6118">
        <w:rPr>
          <w:vertAlign w:val="superscript"/>
        </w:rPr>
        <w:footnoteReference w:id="7"/>
      </w:r>
      <w:r w:rsidR="009F372B" w:rsidRPr="005A6118">
        <w:rPr>
          <w:vertAlign w:val="superscript"/>
        </w:rPr>
        <w:t>;</w:t>
      </w:r>
      <w:r w:rsidR="009F372B" w:rsidRPr="005A6118">
        <w:rPr>
          <w:vertAlign w:val="superscript"/>
        </w:rPr>
        <w:footnoteReference w:id="8"/>
      </w:r>
      <w:r w:rsidRPr="005A6118">
        <w:t xml:space="preserve">, konkurētspējas </w:t>
      </w:r>
      <w:proofErr w:type="spellStart"/>
      <w:r w:rsidRPr="005A6118">
        <w:t>aizdevumiemun</w:t>
      </w:r>
      <w:proofErr w:type="spellEnd"/>
      <w:r w:rsidRPr="005A6118">
        <w:t xml:space="preserve"> aizdevumiem uzņēmējdarbības uzsākšanai</w:t>
      </w:r>
      <w:r w:rsidR="009F372B" w:rsidRPr="005A6118">
        <w:rPr>
          <w:vertAlign w:val="superscript"/>
        </w:rPr>
        <w:footnoteReference w:id="9"/>
      </w:r>
      <w:r w:rsidRPr="005A6118">
        <w:rPr>
          <w:vertAlign w:val="subscript"/>
        </w:rPr>
        <w:t xml:space="preserve">, </w:t>
      </w:r>
      <w:r w:rsidRPr="005A6118">
        <w:t>tādejādi nodrošinot atbalsta pieejamības nepārtrauktību līdz jaunu atbalsta instrumentu izstrādei 2014.-2020.gada plānošanas periodā</w:t>
      </w:r>
      <w:r w:rsidR="00DC755D" w:rsidRPr="005A6118">
        <w:t xml:space="preserve">. </w:t>
      </w:r>
      <w:r w:rsidR="00091DE7">
        <w:t>EM paredz, ka tik</w:t>
      </w:r>
      <w:r w:rsidR="00DC755D" w:rsidRPr="005A6118">
        <w:t>s</w:t>
      </w:r>
      <w:r w:rsidRPr="005A6118">
        <w:t xml:space="preserve"> </w:t>
      </w:r>
      <w:r w:rsidR="00DC755D" w:rsidRPr="005A6118">
        <w:t>nodrošināta pilnīga</w:t>
      </w:r>
      <w:r w:rsidRPr="005A6118">
        <w:t xml:space="preserve"> ES fondu finansējuma, t.sk. papildus finanšu instrumentiem novirzītā finansējuma, ko veido ieņēmumi no brīvo publisko līdzekļu noguldījumiem (procentu ieņēmumu) </w:t>
      </w:r>
      <w:proofErr w:type="spellStart"/>
      <w:r w:rsidRPr="005A6118">
        <w:t>apakšaktivitātē</w:t>
      </w:r>
      <w:proofErr w:type="spellEnd"/>
      <w:r w:rsidRPr="005A6118">
        <w:t xml:space="preserve"> “Atbalsts aizdevumu veidā komersantu konkurētspējas uzlabošanai”, </w:t>
      </w:r>
      <w:proofErr w:type="spellStart"/>
      <w:r w:rsidRPr="005A6118">
        <w:t>apakšaktivitātē</w:t>
      </w:r>
      <w:proofErr w:type="spellEnd"/>
      <w:r w:rsidRPr="005A6118">
        <w:t xml:space="preserve"> “</w:t>
      </w:r>
      <w:proofErr w:type="spellStart"/>
      <w:r w:rsidRPr="005A6118">
        <w:t>Mezanīna</w:t>
      </w:r>
      <w:proofErr w:type="spellEnd"/>
      <w:r w:rsidRPr="005A6118">
        <w:t xml:space="preserve"> aizdevumi un nodrošinājuma garantijas saimnieciskās darbības veicēju konkurētspējas uzlabošanai” un </w:t>
      </w:r>
      <w:proofErr w:type="spellStart"/>
      <w:r w:rsidRPr="005A6118">
        <w:t>apakšaktivitātē</w:t>
      </w:r>
      <w:proofErr w:type="spellEnd"/>
      <w:r w:rsidRPr="005A6118">
        <w:t xml:space="preserve"> “Ieguldījumu fonds investīcijām garantijās, paaugstināta riska aizdevumos, riska kapitāla fondos un cita veida finanšu instrumentos”   </w:t>
      </w:r>
      <w:r w:rsidR="006669E6" w:rsidRPr="005A6118">
        <w:t>iz</w:t>
      </w:r>
      <w:r w:rsidR="005A6118" w:rsidRPr="005A6118">
        <w:t>lietošana</w:t>
      </w:r>
      <w:r w:rsidRPr="005A6118">
        <w:t>.</w:t>
      </w:r>
    </w:p>
    <w:p w14:paraId="34F27D49" w14:textId="4862EB77" w:rsidR="009C0862" w:rsidRPr="002C6E59" w:rsidRDefault="009C0862" w:rsidP="009C0862">
      <w:pPr>
        <w:spacing w:before="120" w:after="120" w:line="276" w:lineRule="auto"/>
        <w:jc w:val="both"/>
      </w:pPr>
      <w:r w:rsidRPr="002C6E59">
        <w:t xml:space="preserve">Plānošanas dokumenti ir pieejami </w:t>
      </w:r>
      <w:hyperlink r:id="rId15" w:history="1">
        <w:r w:rsidRPr="002C6E59">
          <w:rPr>
            <w:rStyle w:val="Hyperlink"/>
            <w:rFonts w:cs="Times New Roman"/>
            <w:color w:val="000000" w:themeColor="text1"/>
            <w:szCs w:val="24"/>
          </w:rPr>
          <w:t>ES fondu tīmekļa vietnē</w:t>
        </w:r>
      </w:hyperlink>
      <w:r w:rsidRPr="002C6E59">
        <w:rPr>
          <w:rStyle w:val="FootnoteReference"/>
          <w:color w:val="000000" w:themeColor="text1"/>
          <w:szCs w:val="24"/>
        </w:rPr>
        <w:footnoteReference w:id="10"/>
      </w:r>
      <w:r w:rsidRPr="002C6E59">
        <w:t xml:space="preserve">. </w:t>
      </w:r>
    </w:p>
    <w:p w14:paraId="33E6F88C" w14:textId="1EDA1D81" w:rsidR="0078527C" w:rsidRDefault="00E10163" w:rsidP="009C0862">
      <w:pPr>
        <w:pStyle w:val="BodyTextIndent"/>
        <w:ind w:left="0"/>
        <w:rPr>
          <w:lang w:val="lv-LV"/>
        </w:rPr>
      </w:pPr>
      <w:r>
        <w:rPr>
          <w:lang w:val="lv-LV"/>
        </w:rPr>
        <w:t xml:space="preserve">Pārskata periodā projektu pieņemšana </w:t>
      </w:r>
      <w:proofErr w:type="spellStart"/>
      <w:r w:rsidR="001B304A" w:rsidRPr="001B304A">
        <w:rPr>
          <w:lang w:val="lv-LV"/>
        </w:rPr>
        <w:t>grantu</w:t>
      </w:r>
      <w:proofErr w:type="spellEnd"/>
      <w:r w:rsidR="001B304A" w:rsidRPr="001B304A">
        <w:rPr>
          <w:lang w:val="lv-LV"/>
        </w:rPr>
        <w:t xml:space="preserve"> programmās</w:t>
      </w:r>
      <w:r w:rsidR="001B304A">
        <w:rPr>
          <w:lang w:val="lv-LV"/>
        </w:rPr>
        <w:t xml:space="preserve"> </w:t>
      </w:r>
      <w:r>
        <w:rPr>
          <w:lang w:val="lv-LV"/>
        </w:rPr>
        <w:t xml:space="preserve">turpinājās tikai </w:t>
      </w:r>
      <w:proofErr w:type="spellStart"/>
      <w:r>
        <w:rPr>
          <w:lang w:val="lv-LV"/>
        </w:rPr>
        <w:t>apakšaktivitātē</w:t>
      </w:r>
      <w:proofErr w:type="spellEnd"/>
      <w:r>
        <w:rPr>
          <w:lang w:val="lv-LV"/>
        </w:rPr>
        <w:t xml:space="preserve"> “Ārējo tirgu apgūšana – ārējais mārketings”, kura noslēdzās 2015.gada 30.septembrī. </w:t>
      </w:r>
      <w:r w:rsidR="0078527C" w:rsidRPr="002C6E59">
        <w:rPr>
          <w:lang w:val="lv-LV"/>
        </w:rPr>
        <w:t>I</w:t>
      </w:r>
      <w:r w:rsidR="009C0862" w:rsidRPr="002C6E59">
        <w:rPr>
          <w:lang w:val="lv-LV"/>
        </w:rPr>
        <w:t xml:space="preserve">nformācija atlasēm pieejama </w:t>
      </w:r>
      <w:hyperlink r:id="rId16" w:history="1">
        <w:r w:rsidR="009C0862" w:rsidRPr="002C6E59">
          <w:rPr>
            <w:rStyle w:val="Hyperlink"/>
            <w:rFonts w:eastAsiaTheme="majorEastAsia"/>
            <w:color w:val="auto"/>
            <w:lang w:val="lv-LV"/>
          </w:rPr>
          <w:t>ES fondu tīmekļa vietnē</w:t>
        </w:r>
      </w:hyperlink>
      <w:r w:rsidR="009C0862" w:rsidRPr="002C6E59">
        <w:rPr>
          <w:rStyle w:val="FootnoteReference"/>
          <w:lang w:val="lv-LV"/>
        </w:rPr>
        <w:footnoteReference w:id="11"/>
      </w:r>
      <w:r w:rsidR="009C0862" w:rsidRPr="002C6E59">
        <w:rPr>
          <w:lang w:val="lv-LV"/>
        </w:rPr>
        <w:t>.</w:t>
      </w:r>
    </w:p>
    <w:p w14:paraId="78CB2845" w14:textId="77777777" w:rsidR="00D05205" w:rsidRPr="002C6E59" w:rsidRDefault="00D05205" w:rsidP="009C0862">
      <w:pPr>
        <w:pStyle w:val="BodyTextIndent"/>
        <w:ind w:left="0"/>
        <w:rPr>
          <w:lang w:val="lv-LV"/>
        </w:rPr>
      </w:pPr>
    </w:p>
    <w:p w14:paraId="2971E8D6" w14:textId="4CD4ECA7" w:rsidR="009C0862" w:rsidRPr="000E449A" w:rsidRDefault="009C0862" w:rsidP="00ED7675">
      <w:pPr>
        <w:pStyle w:val="2lmenis"/>
      </w:pPr>
      <w:bookmarkStart w:id="10" w:name="_Toc443658854"/>
      <w:r w:rsidRPr="000E449A">
        <w:lastRenderedPageBreak/>
        <w:t>ES fondu investīciju progress</w:t>
      </w:r>
      <w:bookmarkEnd w:id="10"/>
    </w:p>
    <w:p w14:paraId="11FE35AF" w14:textId="77777777" w:rsidR="009C0862" w:rsidRPr="00CF474E" w:rsidRDefault="009C0862" w:rsidP="00A47298">
      <w:pPr>
        <w:jc w:val="center"/>
        <w:rPr>
          <w:b/>
        </w:rPr>
      </w:pPr>
      <w:r w:rsidRPr="00CF474E">
        <w:rPr>
          <w:b/>
        </w:rPr>
        <w:t>Kopējais ES fondu investīciju progress un mērķu sasniegšana</w:t>
      </w:r>
    </w:p>
    <w:p w14:paraId="605E292E" w14:textId="77777777" w:rsidR="009C0862" w:rsidRPr="000E449A" w:rsidRDefault="009C0862" w:rsidP="009C0862">
      <w:pPr>
        <w:spacing w:before="120" w:after="120" w:line="276" w:lineRule="auto"/>
        <w:jc w:val="both"/>
        <w:rPr>
          <w:b/>
          <w:i/>
          <w:color w:val="000000" w:themeColor="text1"/>
          <w:szCs w:val="24"/>
        </w:rPr>
      </w:pPr>
      <w:r w:rsidRPr="000E449A">
        <w:rPr>
          <w:b/>
          <w:i/>
          <w:color w:val="000000" w:themeColor="text1"/>
          <w:szCs w:val="24"/>
        </w:rPr>
        <w:t>Investīciju progress:</w:t>
      </w:r>
    </w:p>
    <w:p w14:paraId="175EA2CE" w14:textId="2DF63E20" w:rsidR="009C0862" w:rsidRPr="000E449A" w:rsidRDefault="009C0862" w:rsidP="009C0862">
      <w:pPr>
        <w:spacing w:before="120" w:after="120" w:line="276" w:lineRule="auto"/>
        <w:jc w:val="both"/>
      </w:pPr>
      <w:r w:rsidRPr="000E449A">
        <w:t>Ziņojuma ievaddaļā analizēts pieejamais publiskais finansējums, savukārt maksājumu mērķu izpildes, tostarp arī ministriju un fondu griezumā, anal</w:t>
      </w:r>
      <w:r w:rsidR="00CF4D07">
        <w:t>ī</w:t>
      </w:r>
      <w:r w:rsidRPr="000E449A">
        <w:t>zē izmantots pieejamais ES fondu finansējums.</w:t>
      </w:r>
    </w:p>
    <w:p w14:paraId="24986B31" w14:textId="6A2AF2B2" w:rsidR="009C0862" w:rsidRPr="00907F13" w:rsidRDefault="009C0862" w:rsidP="009C0862">
      <w:pPr>
        <w:spacing w:before="120" w:after="120" w:line="276" w:lineRule="auto"/>
        <w:jc w:val="both"/>
        <w:rPr>
          <w:highlight w:val="yellow"/>
        </w:rPr>
      </w:pPr>
      <w:r w:rsidRPr="00B02C80">
        <w:t>Kopā no ES fondu projektu īstenošanai pieejamiem</w:t>
      </w:r>
      <w:r w:rsidRPr="00B02C80">
        <w:rPr>
          <w:color w:val="000000" w:themeColor="text1"/>
          <w:szCs w:val="24"/>
        </w:rPr>
        <w:t xml:space="preserve"> 5,</w:t>
      </w:r>
      <w:r w:rsidR="006A502F">
        <w:rPr>
          <w:color w:val="000000" w:themeColor="text1"/>
          <w:szCs w:val="24"/>
        </w:rPr>
        <w:t>4</w:t>
      </w:r>
      <w:r w:rsidRPr="00B02C80">
        <w:rPr>
          <w:color w:val="000000" w:themeColor="text1"/>
          <w:szCs w:val="24"/>
        </w:rPr>
        <w:t xml:space="preserve"> mljrd. </w:t>
      </w:r>
      <w:r w:rsidRPr="00B02C80">
        <w:rPr>
          <w:i/>
          <w:color w:val="000000" w:themeColor="text1"/>
          <w:szCs w:val="24"/>
        </w:rPr>
        <w:t>euro</w:t>
      </w:r>
      <w:r w:rsidRPr="00B02C80">
        <w:rPr>
          <w:color w:val="000000" w:themeColor="text1"/>
          <w:szCs w:val="24"/>
        </w:rPr>
        <w:t xml:space="preserve"> publiskā finansējuma, kas ietver gan ES fondu finansējumu, gan arī valsts budžeta un pašvaldību budžeta līdzfinansējumu</w:t>
      </w:r>
      <w:r w:rsidR="00B92FA3">
        <w:rPr>
          <w:color w:val="000000" w:themeColor="text1"/>
          <w:szCs w:val="24"/>
        </w:rPr>
        <w:t xml:space="preserve"> </w:t>
      </w:r>
      <w:r w:rsidR="006A502F">
        <w:rPr>
          <w:color w:val="000000" w:themeColor="text1"/>
          <w:szCs w:val="24"/>
        </w:rPr>
        <w:t>(i</w:t>
      </w:r>
      <w:r w:rsidR="006A502F" w:rsidRPr="00B02C80">
        <w:rPr>
          <w:color w:val="000000" w:themeColor="text1"/>
          <w:szCs w:val="24"/>
        </w:rPr>
        <w:t xml:space="preserve">eskaitot </w:t>
      </w:r>
      <w:r w:rsidR="00B92FA3">
        <w:rPr>
          <w:color w:val="000000" w:themeColor="text1"/>
          <w:szCs w:val="24"/>
        </w:rPr>
        <w:t>pieejamās</w:t>
      </w:r>
      <w:r w:rsidR="006A502F" w:rsidRPr="00B02C80">
        <w:rPr>
          <w:color w:val="000000" w:themeColor="text1"/>
          <w:szCs w:val="24"/>
        </w:rPr>
        <w:t xml:space="preserve"> valsts budžeta </w:t>
      </w:r>
      <w:proofErr w:type="spellStart"/>
      <w:r w:rsidR="006A502F" w:rsidRPr="00B02C80">
        <w:rPr>
          <w:color w:val="000000" w:themeColor="text1"/>
          <w:szCs w:val="24"/>
        </w:rPr>
        <w:t>virssaistīb</w:t>
      </w:r>
      <w:r w:rsidR="006A502F">
        <w:rPr>
          <w:color w:val="000000" w:themeColor="text1"/>
          <w:szCs w:val="24"/>
        </w:rPr>
        <w:t>as</w:t>
      </w:r>
      <w:proofErr w:type="spellEnd"/>
      <w:r w:rsidR="006A502F" w:rsidRPr="00B02C80">
        <w:rPr>
          <w:color w:val="000000" w:themeColor="text1"/>
          <w:szCs w:val="24"/>
        </w:rPr>
        <w:t xml:space="preserve"> 402,3 milj. </w:t>
      </w:r>
      <w:r w:rsidR="006A502F" w:rsidRPr="00B02C80">
        <w:rPr>
          <w:i/>
          <w:color w:val="000000" w:themeColor="text1"/>
          <w:szCs w:val="24"/>
        </w:rPr>
        <w:t>euro</w:t>
      </w:r>
      <w:r w:rsidR="006A502F" w:rsidRPr="00B02C80">
        <w:rPr>
          <w:color w:val="000000" w:themeColor="text1"/>
          <w:szCs w:val="24"/>
        </w:rPr>
        <w:t>)</w:t>
      </w:r>
      <w:r w:rsidR="006A502F">
        <w:rPr>
          <w:color w:val="000000" w:themeColor="text1"/>
          <w:szCs w:val="24"/>
        </w:rPr>
        <w:t xml:space="preserve"> </w:t>
      </w:r>
      <w:r w:rsidR="00B02C80">
        <w:rPr>
          <w:color w:val="000000" w:themeColor="text1"/>
          <w:szCs w:val="24"/>
        </w:rPr>
        <w:t>ir noslēgti 8,</w:t>
      </w:r>
      <w:r w:rsidR="00B02C80" w:rsidRPr="00B02C80">
        <w:rPr>
          <w:color w:val="000000" w:themeColor="text1"/>
          <w:szCs w:val="24"/>
        </w:rPr>
        <w:t>3</w:t>
      </w:r>
      <w:r w:rsidRPr="00B02C80">
        <w:rPr>
          <w:color w:val="000000" w:themeColor="text1"/>
          <w:szCs w:val="24"/>
        </w:rPr>
        <w:t xml:space="preserve"> tūkst. līgumi par projektu īstenošanu 5</w:t>
      </w:r>
      <w:r w:rsidR="00B02C80" w:rsidRPr="00B02C80">
        <w:rPr>
          <w:color w:val="000000" w:themeColor="text1"/>
          <w:szCs w:val="24"/>
        </w:rPr>
        <w:t xml:space="preserve">,2 mljrd. </w:t>
      </w:r>
      <w:r w:rsidR="00FC0A51" w:rsidRPr="00FC0A51">
        <w:rPr>
          <w:i/>
          <w:color w:val="000000" w:themeColor="text1"/>
          <w:szCs w:val="24"/>
        </w:rPr>
        <w:t>euro</w:t>
      </w:r>
      <w:r w:rsidR="00FC0A51">
        <w:rPr>
          <w:color w:val="000000" w:themeColor="text1"/>
          <w:szCs w:val="24"/>
        </w:rPr>
        <w:t xml:space="preserve"> </w:t>
      </w:r>
      <w:r w:rsidR="006A502F">
        <w:rPr>
          <w:color w:val="000000" w:themeColor="text1"/>
          <w:szCs w:val="24"/>
        </w:rPr>
        <w:t>jeb</w:t>
      </w:r>
      <w:r w:rsidR="00B02C80" w:rsidRPr="00B02C80">
        <w:rPr>
          <w:color w:val="000000" w:themeColor="text1"/>
          <w:szCs w:val="24"/>
        </w:rPr>
        <w:t xml:space="preserve"> 105,8</w:t>
      </w:r>
      <w:r w:rsidRPr="00B02C80">
        <w:rPr>
          <w:color w:val="000000" w:themeColor="text1"/>
          <w:szCs w:val="24"/>
        </w:rPr>
        <w:t>%</w:t>
      </w:r>
      <w:r w:rsidR="006A502F">
        <w:rPr>
          <w:color w:val="000000" w:themeColor="text1"/>
          <w:szCs w:val="24"/>
        </w:rPr>
        <w:t xml:space="preserve"> no </w:t>
      </w:r>
      <w:r w:rsidR="00D86AEE">
        <w:rPr>
          <w:color w:val="000000" w:themeColor="text1"/>
          <w:szCs w:val="24"/>
        </w:rPr>
        <w:t>publiskā</w:t>
      </w:r>
      <w:r w:rsidR="006A502F">
        <w:rPr>
          <w:color w:val="000000" w:themeColor="text1"/>
          <w:szCs w:val="24"/>
        </w:rPr>
        <w:t xml:space="preserve"> finansējuma un </w:t>
      </w:r>
      <w:r w:rsidR="006A502F" w:rsidRPr="00B02C80">
        <w:t xml:space="preserve">finansējuma saņēmējiem ir izmaksāti 5,1 mljrd. </w:t>
      </w:r>
      <w:r w:rsidR="006A502F" w:rsidRPr="00B02C80">
        <w:rPr>
          <w:i/>
        </w:rPr>
        <w:t>euro</w:t>
      </w:r>
      <w:r w:rsidR="006A502F" w:rsidRPr="00B02C80">
        <w:t xml:space="preserve"> jeb 102,0%</w:t>
      </w:r>
      <w:r w:rsidRPr="00B02C80">
        <w:rPr>
          <w:color w:val="000000" w:themeColor="text1"/>
          <w:szCs w:val="24"/>
        </w:rPr>
        <w:t>.</w:t>
      </w:r>
      <w:r w:rsidRPr="00B02C80">
        <w:t xml:space="preserve"> </w:t>
      </w:r>
      <w:r w:rsidR="002571DE">
        <w:t xml:space="preserve">Noslēgtie projektu īstenošanas līgumi virs 100% no pieejamā </w:t>
      </w:r>
      <w:r w:rsidR="00D86AEE">
        <w:t xml:space="preserve">publiskā </w:t>
      </w:r>
      <w:r w:rsidR="002571DE">
        <w:t>finansējuma nodrošina drošības rezervi, lai perioda noslēgumā Latvija spētu saņemt EK līdzfinansējumu pilnā apmērā.</w:t>
      </w:r>
      <w:r w:rsidR="00B92FA3">
        <w:t xml:space="preserve"> </w:t>
      </w:r>
      <w:r w:rsidR="006A502F">
        <w:t>T</w:t>
      </w:r>
      <w:r w:rsidRPr="00B02C80">
        <w:t>o parāda arī grafiks</w:t>
      </w:r>
      <w:r w:rsidR="00C731D5">
        <w:t xml:space="preserve"> Nr.1</w:t>
      </w:r>
      <w:r w:rsidRPr="00B02C80">
        <w:t xml:space="preserve">. </w:t>
      </w:r>
    </w:p>
    <w:p w14:paraId="0654ECAE" w14:textId="444BF557" w:rsidR="009C0862" w:rsidRDefault="009C0862" w:rsidP="00C731D5">
      <w:pPr>
        <w:rPr>
          <w:rFonts w:eastAsia="EUAlbertina-Bold-Identity-H"/>
          <w:color w:val="000000" w:themeColor="text1"/>
          <w:szCs w:val="24"/>
          <w:lang w:eastAsia="lv-LV"/>
        </w:rPr>
      </w:pPr>
      <w:r w:rsidRPr="00B02C80">
        <w:rPr>
          <w:rFonts w:eastAsia="EUAlbertina-Bold-Identity-H"/>
          <w:color w:val="000000" w:themeColor="text1"/>
          <w:szCs w:val="24"/>
          <w:lang w:eastAsia="lv-LV"/>
        </w:rPr>
        <w:t>Grafiks Nr</w:t>
      </w:r>
      <w:r w:rsidRPr="00B02C80">
        <w:rPr>
          <w:rFonts w:eastAsia="EUAlbertina-Bold-Identity-H"/>
          <w:szCs w:val="24"/>
          <w:lang w:eastAsia="lv-LV"/>
        </w:rPr>
        <w:t>.1</w:t>
      </w:r>
      <w:r w:rsidRPr="00B02C80">
        <w:rPr>
          <w:rFonts w:eastAsia="EUAlbertina-Bold-Identity-H"/>
          <w:color w:val="FF0000"/>
          <w:szCs w:val="24"/>
          <w:lang w:eastAsia="lv-LV"/>
        </w:rPr>
        <w:t xml:space="preserve"> </w:t>
      </w:r>
      <w:r w:rsidRPr="00B02C80">
        <w:rPr>
          <w:rFonts w:eastAsia="EUAlbertina-Bold-Identity-H"/>
          <w:i/>
          <w:color w:val="000000" w:themeColor="text1"/>
          <w:szCs w:val="24"/>
        </w:rPr>
        <w:t>„</w:t>
      </w:r>
      <w:r w:rsidRPr="00B02C80">
        <w:rPr>
          <w:i/>
          <w:iCs/>
          <w:color w:val="000000" w:themeColor="text1"/>
          <w:szCs w:val="24"/>
        </w:rPr>
        <w:t>ES fondu finanš</w:t>
      </w:r>
      <w:r w:rsidR="00B02C80" w:rsidRPr="00B02C80">
        <w:rPr>
          <w:i/>
          <w:iCs/>
          <w:color w:val="000000" w:themeColor="text1"/>
          <w:szCs w:val="24"/>
        </w:rPr>
        <w:t>u investīcijas līdz 2015.gada 31.decembrim</w:t>
      </w:r>
      <w:r w:rsidRPr="00B02C80">
        <w:rPr>
          <w:i/>
          <w:iCs/>
          <w:color w:val="000000" w:themeColor="text1"/>
          <w:szCs w:val="24"/>
        </w:rPr>
        <w:t>; Publiskais finansējums, milj. euro (% no pieejamā publiskā finansējuma)</w:t>
      </w:r>
      <w:r w:rsidR="00B02C80" w:rsidRPr="00B02C80">
        <w:rPr>
          <w:i/>
          <w:iCs/>
          <w:color w:val="000000" w:themeColor="text1"/>
          <w:szCs w:val="24"/>
        </w:rPr>
        <w:t>; progress pret datiem līdz 2015</w:t>
      </w:r>
      <w:r w:rsidRPr="00B02C80">
        <w:rPr>
          <w:i/>
          <w:iCs/>
          <w:color w:val="000000" w:themeColor="text1"/>
          <w:szCs w:val="24"/>
        </w:rPr>
        <w:t xml:space="preserve">.gada </w:t>
      </w:r>
      <w:r w:rsidR="00B02C80" w:rsidRPr="00B02C80">
        <w:rPr>
          <w:i/>
          <w:iCs/>
          <w:color w:val="000000" w:themeColor="text1"/>
          <w:szCs w:val="24"/>
        </w:rPr>
        <w:t>30.jūnijam</w:t>
      </w:r>
      <w:r w:rsidRPr="00B02C80">
        <w:rPr>
          <w:i/>
          <w:iCs/>
          <w:color w:val="000000" w:themeColor="text1"/>
          <w:szCs w:val="24"/>
        </w:rPr>
        <w:t>, %.</w:t>
      </w:r>
      <w:r w:rsidRPr="00B02C80">
        <w:rPr>
          <w:rFonts w:eastAsia="EUAlbertina-Bold-Identity-H"/>
          <w:i/>
          <w:color w:val="000000" w:themeColor="text1"/>
          <w:szCs w:val="24"/>
        </w:rPr>
        <w:t>”</w:t>
      </w:r>
      <w:r w:rsidRPr="00B02C80">
        <w:rPr>
          <w:rFonts w:eastAsia="EUAlbertina-Bold-Identity-H"/>
          <w:color w:val="000000" w:themeColor="text1"/>
          <w:szCs w:val="24"/>
          <w:lang w:eastAsia="lv-LV"/>
        </w:rPr>
        <w:tab/>
      </w:r>
    </w:p>
    <w:p w14:paraId="56A6C431" w14:textId="77777777" w:rsidR="006E65A3" w:rsidRPr="00C731D5" w:rsidRDefault="006E65A3" w:rsidP="00C731D5">
      <w:pPr>
        <w:rPr>
          <w:rFonts w:eastAsia="EUAlbertina-Bold-Identity-H"/>
          <w:color w:val="000000" w:themeColor="text1"/>
          <w:szCs w:val="24"/>
          <w:lang w:eastAsia="lv-LV"/>
        </w:rPr>
      </w:pPr>
    </w:p>
    <w:p w14:paraId="03087355" w14:textId="3809A654" w:rsidR="009C0862" w:rsidRPr="00907F13" w:rsidRDefault="006E65A3" w:rsidP="009C0862">
      <w:pPr>
        <w:spacing w:after="240" w:line="276" w:lineRule="auto"/>
        <w:jc w:val="center"/>
        <w:rPr>
          <w:rFonts w:eastAsia="EUAlbertina-Bold-Identity-H"/>
          <w:color w:val="000000" w:themeColor="text1"/>
          <w:szCs w:val="24"/>
          <w:highlight w:val="yellow"/>
          <w:lang w:eastAsia="lv-LV"/>
        </w:rPr>
      </w:pPr>
      <w:r w:rsidRPr="006E65A3">
        <w:rPr>
          <w:rFonts w:eastAsia="EUAlbertina-Bold-Identity-H"/>
          <w:noProof/>
          <w:color w:val="000000" w:themeColor="text1"/>
          <w:szCs w:val="24"/>
          <w:lang w:eastAsia="lv-LV"/>
        </w:rPr>
        <w:drawing>
          <wp:inline distT="0" distB="0" distL="0" distR="0" wp14:anchorId="68608D93" wp14:editId="1C3BAA86">
            <wp:extent cx="5648325" cy="27432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48325" cy="2743200"/>
                    </a:xfrm>
                    <a:prstGeom prst="rect">
                      <a:avLst/>
                    </a:prstGeom>
                    <a:noFill/>
                    <a:ln>
                      <a:noFill/>
                    </a:ln>
                  </pic:spPr>
                </pic:pic>
              </a:graphicData>
            </a:graphic>
          </wp:inline>
        </w:drawing>
      </w:r>
    </w:p>
    <w:p w14:paraId="763D261E" w14:textId="63BB7957" w:rsidR="009C0862" w:rsidRPr="00907F13" w:rsidRDefault="009C0862" w:rsidP="009C0862">
      <w:pPr>
        <w:spacing w:before="120" w:after="120" w:line="276" w:lineRule="auto"/>
        <w:jc w:val="both"/>
        <w:rPr>
          <w:rFonts w:eastAsia="EUAlbertina-Bold-Identity-H"/>
          <w:szCs w:val="24"/>
          <w:highlight w:val="yellow"/>
          <w:lang w:eastAsia="lv-LV"/>
        </w:rPr>
      </w:pPr>
      <w:r w:rsidRPr="000960C0">
        <w:rPr>
          <w:rFonts w:eastAsia="EUAlbertina-Bold-Identity-H"/>
          <w:szCs w:val="24"/>
          <w:lang w:eastAsia="lv-LV"/>
        </w:rPr>
        <w:t xml:space="preserve">Lai gan katru </w:t>
      </w:r>
      <w:r w:rsidR="000960C0" w:rsidRPr="000960C0">
        <w:rPr>
          <w:rFonts w:eastAsia="EUAlbertina-Bold-Identity-H"/>
          <w:szCs w:val="24"/>
          <w:lang w:eastAsia="lv-LV"/>
        </w:rPr>
        <w:t>pārskata periodu ir</w:t>
      </w:r>
      <w:r w:rsidRPr="000960C0">
        <w:rPr>
          <w:rFonts w:eastAsia="EUAlbertina-Bold-Identity-H"/>
          <w:szCs w:val="24"/>
          <w:lang w:eastAsia="lv-LV"/>
        </w:rPr>
        <w:t xml:space="preserve"> </w:t>
      </w:r>
      <w:r w:rsidRPr="002176A7">
        <w:rPr>
          <w:rFonts w:eastAsia="EUAlbertina-Bold-Identity-H"/>
          <w:szCs w:val="24"/>
          <w:lang w:eastAsia="lv-LV"/>
        </w:rPr>
        <w:t>vērojams būtisks progress veiktajos maksājumos,</w:t>
      </w:r>
      <w:r w:rsidR="00E71A72">
        <w:rPr>
          <w:rFonts w:eastAsia="EUAlbertina-Bold-Identity-H"/>
          <w:szCs w:val="24"/>
          <w:lang w:eastAsia="lv-LV"/>
        </w:rPr>
        <w:t xml:space="preserve"> noslēgtajos lī</w:t>
      </w:r>
      <w:r w:rsidR="00536789">
        <w:rPr>
          <w:rFonts w:eastAsia="EUAlbertina-Bold-Identity-H"/>
          <w:szCs w:val="24"/>
          <w:lang w:eastAsia="lv-LV"/>
        </w:rPr>
        <w:t>gumos teorētiski iespējamo maksā</w:t>
      </w:r>
      <w:r w:rsidR="00E71A72">
        <w:rPr>
          <w:rFonts w:eastAsia="EUAlbertina-Bold-Identity-H"/>
          <w:szCs w:val="24"/>
          <w:lang w:eastAsia="lv-LV"/>
        </w:rPr>
        <w:t>jumu apjoms kopumā</w:t>
      </w:r>
      <w:r w:rsidR="00536789">
        <w:rPr>
          <w:rFonts w:eastAsia="EUAlbertina-Bold-Identity-H"/>
          <w:szCs w:val="24"/>
          <w:lang w:eastAsia="lv-LV"/>
        </w:rPr>
        <w:t>,</w:t>
      </w:r>
      <w:r w:rsidRPr="002176A7">
        <w:rPr>
          <w:rFonts w:eastAsia="EUAlbertina-Bold-Identity-H"/>
          <w:szCs w:val="24"/>
          <w:lang w:eastAsia="lv-LV"/>
        </w:rPr>
        <w:t xml:space="preserve"> </w:t>
      </w:r>
      <w:r w:rsidR="00E71A72">
        <w:rPr>
          <w:rFonts w:eastAsia="EUAlbertina-Bold-Identity-H"/>
          <w:bCs/>
          <w:szCs w:val="24"/>
          <w:lang w:eastAsia="lv-LV"/>
        </w:rPr>
        <w:t>kas veicams</w:t>
      </w:r>
      <w:r w:rsidR="00E71A72" w:rsidRPr="00B92FA3">
        <w:rPr>
          <w:rFonts w:eastAsia="EUAlbertina-Bold-Identity-H"/>
          <w:bCs/>
          <w:szCs w:val="24"/>
          <w:lang w:eastAsia="lv-LV"/>
        </w:rPr>
        <w:t xml:space="preserve"> līdz 2016.gada 31.martam ir</w:t>
      </w:r>
      <w:r w:rsidR="00E71A72">
        <w:rPr>
          <w:rFonts w:eastAsia="EUAlbertina-Bold-Identity-H"/>
          <w:szCs w:val="24"/>
          <w:lang w:eastAsia="lv-LV"/>
        </w:rPr>
        <w:t xml:space="preserve"> 328,4 milj. </w:t>
      </w:r>
      <w:r w:rsidR="00E71A72" w:rsidRPr="00E71A72">
        <w:rPr>
          <w:rFonts w:eastAsia="EUAlbertina-Bold-Identity-H"/>
          <w:i/>
          <w:szCs w:val="24"/>
          <w:lang w:eastAsia="lv-LV"/>
        </w:rPr>
        <w:t>euro</w:t>
      </w:r>
      <w:r w:rsidR="00E71A72">
        <w:rPr>
          <w:rFonts w:eastAsia="EUAlbertina-Bold-Identity-H"/>
          <w:szCs w:val="24"/>
          <w:lang w:eastAsia="lv-LV"/>
        </w:rPr>
        <w:t>. V</w:t>
      </w:r>
      <w:r w:rsidR="00B92FA3">
        <w:rPr>
          <w:rFonts w:eastAsia="EUAlbertina-Bold-Identity-H"/>
          <w:szCs w:val="24"/>
          <w:lang w:eastAsia="lv-LV"/>
        </w:rPr>
        <w:t xml:space="preserve">islielākais </w:t>
      </w:r>
      <w:r w:rsidR="00536789">
        <w:rPr>
          <w:rFonts w:eastAsia="EUAlbertina-Bold-Identity-H"/>
          <w:szCs w:val="24"/>
          <w:lang w:eastAsia="lv-LV"/>
        </w:rPr>
        <w:t xml:space="preserve">- </w:t>
      </w:r>
      <w:r w:rsidRPr="002176A7">
        <w:rPr>
          <w:rFonts w:eastAsia="EUAlbertina-Bold-Identity-H"/>
          <w:szCs w:val="24"/>
          <w:lang w:eastAsia="lv-LV"/>
        </w:rPr>
        <w:t>EM, VARAM, SM un IZM</w:t>
      </w:r>
      <w:r w:rsidR="00E71A72">
        <w:rPr>
          <w:rFonts w:eastAsia="EUAlbertina-Bold-Identity-H"/>
          <w:szCs w:val="24"/>
          <w:lang w:eastAsia="lv-LV"/>
        </w:rPr>
        <w:t xml:space="preserve"> (kopā 305,4 milj. </w:t>
      </w:r>
      <w:r w:rsidR="00E71A72" w:rsidRPr="00E71A72">
        <w:rPr>
          <w:rFonts w:eastAsia="EUAlbertina-Bold-Identity-H"/>
          <w:i/>
          <w:szCs w:val="24"/>
          <w:lang w:eastAsia="lv-LV"/>
        </w:rPr>
        <w:t>euro</w:t>
      </w:r>
      <w:r w:rsidR="00E71A72">
        <w:rPr>
          <w:rFonts w:eastAsia="EUAlbertina-Bold-Identity-H"/>
          <w:szCs w:val="24"/>
          <w:lang w:eastAsia="lv-LV"/>
        </w:rPr>
        <w:t>)</w:t>
      </w:r>
      <w:r w:rsidR="00B92FA3">
        <w:rPr>
          <w:rFonts w:eastAsia="EUAlbertina-Bold-Identity-H"/>
          <w:szCs w:val="24"/>
          <w:lang w:eastAsia="lv-LV"/>
        </w:rPr>
        <w:t>.</w:t>
      </w:r>
      <w:r w:rsidRPr="002176A7">
        <w:rPr>
          <w:rFonts w:eastAsia="EUAlbertina-Bold-Identity-H"/>
          <w:szCs w:val="24"/>
          <w:lang w:eastAsia="lv-LV"/>
        </w:rPr>
        <w:t xml:space="preserve"> </w:t>
      </w:r>
      <w:r w:rsidR="00B92FA3">
        <w:rPr>
          <w:rFonts w:eastAsia="EUAlbertina-Bold-Identity-H"/>
          <w:szCs w:val="24"/>
          <w:lang w:eastAsia="lv-LV"/>
        </w:rPr>
        <w:t>T</w:t>
      </w:r>
      <w:r w:rsidRPr="002176A7">
        <w:rPr>
          <w:rFonts w:eastAsia="EUAlbertina-Bold-Identity-H"/>
          <w:szCs w:val="24"/>
          <w:lang w:eastAsia="lv-LV"/>
        </w:rPr>
        <w:t>o parāda arī zemāk esošais grafiks. Kopumā finansējuma s</w:t>
      </w:r>
      <w:r w:rsidR="002176A7" w:rsidRPr="002176A7">
        <w:rPr>
          <w:rFonts w:eastAsia="EUAlbertina-Bold-Identity-H"/>
          <w:szCs w:val="24"/>
          <w:lang w:eastAsia="lv-LV"/>
        </w:rPr>
        <w:t>aņēmējiem veikti maksājumi 4 384</w:t>
      </w:r>
      <w:r w:rsidRPr="002176A7">
        <w:rPr>
          <w:rFonts w:eastAsia="EUAlbertina-Bold-Identity-H"/>
          <w:szCs w:val="24"/>
          <w:lang w:eastAsia="lv-LV"/>
        </w:rPr>
        <w:t xml:space="preserve">,9 milj. </w:t>
      </w:r>
      <w:r w:rsidRPr="002176A7">
        <w:rPr>
          <w:rFonts w:eastAsia="EUAlbertina-Bold-Identity-H"/>
          <w:i/>
          <w:szCs w:val="24"/>
          <w:lang w:eastAsia="lv-LV"/>
        </w:rPr>
        <w:t>euro</w:t>
      </w:r>
      <w:r w:rsidR="002176A7" w:rsidRPr="002176A7">
        <w:rPr>
          <w:rFonts w:eastAsia="EUAlbertina-Bold-Identity-H"/>
          <w:szCs w:val="24"/>
          <w:lang w:eastAsia="lv-LV"/>
        </w:rPr>
        <w:t>, kas ir 96,8</w:t>
      </w:r>
      <w:r w:rsidRPr="002176A7">
        <w:rPr>
          <w:rFonts w:eastAsia="EUAlbertina-Bold-Identity-H"/>
          <w:szCs w:val="24"/>
          <w:lang w:eastAsia="lv-LV"/>
        </w:rPr>
        <w:t>% no pieejamā ES fondu finansējuma.</w:t>
      </w:r>
    </w:p>
    <w:p w14:paraId="55755D4C" w14:textId="77777777" w:rsidR="00A47298" w:rsidRDefault="00A47298">
      <w:pPr>
        <w:rPr>
          <w:rFonts w:eastAsia="EUAlbertina-Bold-Identity-H"/>
          <w:szCs w:val="24"/>
          <w:lang w:eastAsia="lv-LV"/>
        </w:rPr>
      </w:pPr>
      <w:r>
        <w:rPr>
          <w:rFonts w:eastAsia="EUAlbertina-Bold-Identity-H"/>
          <w:szCs w:val="24"/>
          <w:lang w:eastAsia="lv-LV"/>
        </w:rPr>
        <w:br w:type="page"/>
      </w:r>
    </w:p>
    <w:p w14:paraId="55DB9276" w14:textId="3B981BF5" w:rsidR="000F1CDD" w:rsidRDefault="009C0862" w:rsidP="00E444B0">
      <w:pPr>
        <w:spacing w:before="120" w:after="120" w:line="276" w:lineRule="auto"/>
        <w:jc w:val="both"/>
        <w:rPr>
          <w:rFonts w:eastAsia="EUAlbertina-Bold-Identity-H"/>
          <w:i/>
          <w:color w:val="000000" w:themeColor="text1"/>
          <w:szCs w:val="24"/>
          <w:lang w:eastAsia="lv-LV"/>
        </w:rPr>
      </w:pPr>
      <w:r w:rsidRPr="002176A7">
        <w:rPr>
          <w:rFonts w:eastAsia="EUAlbertina-Bold-Identity-H"/>
          <w:szCs w:val="24"/>
          <w:lang w:eastAsia="lv-LV"/>
        </w:rPr>
        <w:lastRenderedPageBreak/>
        <w:t>Grafiks Nr.2</w:t>
      </w:r>
      <w:r w:rsidRPr="002176A7">
        <w:rPr>
          <w:rFonts w:eastAsia="EUAlbertina-Bold-Identity-H"/>
          <w:i/>
          <w:color w:val="000000" w:themeColor="text1"/>
          <w:szCs w:val="24"/>
          <w:lang w:eastAsia="lv-LV"/>
        </w:rPr>
        <w:t xml:space="preserve"> „ES fondu finanšu investīcijas līdz 2015.gada 3</w:t>
      </w:r>
      <w:r w:rsidR="002176A7" w:rsidRPr="002176A7">
        <w:rPr>
          <w:rFonts w:eastAsia="EUAlbertina-Bold-Identity-H"/>
          <w:i/>
          <w:color w:val="000000" w:themeColor="text1"/>
          <w:szCs w:val="24"/>
          <w:lang w:eastAsia="lv-LV"/>
        </w:rPr>
        <w:t>1.decembri</w:t>
      </w:r>
      <w:r w:rsidRPr="002176A7">
        <w:rPr>
          <w:rFonts w:eastAsia="EUAlbertina-Bold-Identity-H"/>
          <w:i/>
          <w:color w:val="000000" w:themeColor="text1"/>
          <w:szCs w:val="24"/>
          <w:lang w:eastAsia="lv-LV"/>
        </w:rPr>
        <w:t>m; ES fondu finansējums, milj. euro (% no pieejamā ES fondu finansējuma)</w:t>
      </w:r>
      <w:r w:rsidR="002176A7" w:rsidRPr="002176A7">
        <w:rPr>
          <w:rFonts w:eastAsia="EUAlbertina-Bold-Identity-H"/>
          <w:i/>
          <w:color w:val="000000" w:themeColor="text1"/>
          <w:szCs w:val="24"/>
          <w:lang w:eastAsia="lv-LV"/>
        </w:rPr>
        <w:t>; progress pret datiem līdz 2015</w:t>
      </w:r>
      <w:r w:rsidRPr="002176A7">
        <w:rPr>
          <w:rFonts w:eastAsia="EUAlbertina-Bold-Identity-H"/>
          <w:i/>
          <w:color w:val="000000" w:themeColor="text1"/>
          <w:szCs w:val="24"/>
          <w:lang w:eastAsia="lv-LV"/>
        </w:rPr>
        <w:t xml:space="preserve">.gada </w:t>
      </w:r>
      <w:r w:rsidR="002176A7" w:rsidRPr="002176A7">
        <w:rPr>
          <w:rFonts w:eastAsia="EUAlbertina-Bold-Identity-H"/>
          <w:i/>
          <w:color w:val="000000" w:themeColor="text1"/>
          <w:szCs w:val="24"/>
          <w:lang w:eastAsia="lv-LV"/>
        </w:rPr>
        <w:t>30.jūnijam, %</w:t>
      </w:r>
      <w:r w:rsidRPr="002176A7">
        <w:rPr>
          <w:rFonts w:eastAsia="EUAlbertina-Bold-Identity-H"/>
          <w:i/>
          <w:color w:val="000000" w:themeColor="text1"/>
          <w:szCs w:val="24"/>
          <w:lang w:eastAsia="lv-LV"/>
        </w:rPr>
        <w:t>”</w:t>
      </w:r>
    </w:p>
    <w:p w14:paraId="66BED3E6" w14:textId="11656E0A" w:rsidR="006E65A3" w:rsidRPr="002176A7" w:rsidRDefault="006E65A3" w:rsidP="00E444B0">
      <w:pPr>
        <w:spacing w:before="120" w:after="120" w:line="276" w:lineRule="auto"/>
        <w:jc w:val="both"/>
        <w:rPr>
          <w:rFonts w:eastAsia="EUAlbertina-Bold-Identity-H"/>
          <w:i/>
          <w:color w:val="000000" w:themeColor="text1"/>
          <w:szCs w:val="24"/>
          <w:lang w:eastAsia="lv-LV"/>
        </w:rPr>
      </w:pPr>
      <w:r>
        <w:rPr>
          <w:rFonts w:eastAsia="EUAlbertina-Bold-Identity-H"/>
          <w:i/>
          <w:noProof/>
          <w:color w:val="000000" w:themeColor="text1"/>
          <w:szCs w:val="24"/>
          <w:lang w:eastAsia="lv-LV"/>
        </w:rPr>
        <w:drawing>
          <wp:inline distT="0" distB="0" distL="0" distR="0" wp14:anchorId="3CE83B48" wp14:editId="45AC7CBF">
            <wp:extent cx="5669280" cy="521970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69280" cy="5219700"/>
                    </a:xfrm>
                    <a:prstGeom prst="rect">
                      <a:avLst/>
                    </a:prstGeom>
                    <a:noFill/>
                    <a:ln>
                      <a:noFill/>
                    </a:ln>
                  </pic:spPr>
                </pic:pic>
              </a:graphicData>
            </a:graphic>
          </wp:inline>
        </w:drawing>
      </w:r>
    </w:p>
    <w:p w14:paraId="1E448570" w14:textId="2577CA62" w:rsidR="00340A09" w:rsidRDefault="00C731D5" w:rsidP="009C0862">
      <w:pPr>
        <w:spacing w:before="120" w:after="120" w:line="276" w:lineRule="auto"/>
        <w:jc w:val="both"/>
        <w:rPr>
          <w:color w:val="000000" w:themeColor="text1"/>
          <w:szCs w:val="24"/>
        </w:rPr>
      </w:pPr>
      <w:r>
        <w:rPr>
          <w:color w:val="000000" w:themeColor="text1"/>
          <w:szCs w:val="24"/>
        </w:rPr>
        <w:t xml:space="preserve">Kā </w:t>
      </w:r>
      <w:r w:rsidR="00646419">
        <w:rPr>
          <w:color w:val="000000" w:themeColor="text1"/>
          <w:szCs w:val="24"/>
        </w:rPr>
        <w:t>redzams</w:t>
      </w:r>
      <w:r>
        <w:rPr>
          <w:color w:val="000000" w:themeColor="text1"/>
          <w:szCs w:val="24"/>
        </w:rPr>
        <w:t xml:space="preserve"> grafik</w:t>
      </w:r>
      <w:r w:rsidR="00646419">
        <w:rPr>
          <w:color w:val="000000" w:themeColor="text1"/>
          <w:szCs w:val="24"/>
        </w:rPr>
        <w:t>ā</w:t>
      </w:r>
      <w:r>
        <w:rPr>
          <w:color w:val="000000" w:themeColor="text1"/>
          <w:szCs w:val="24"/>
        </w:rPr>
        <w:t xml:space="preserve"> Nr.2, v</w:t>
      </w:r>
      <w:r w:rsidR="008F1FC8" w:rsidRPr="00CE555E">
        <w:rPr>
          <w:color w:val="000000" w:themeColor="text1"/>
          <w:szCs w:val="24"/>
        </w:rPr>
        <w:t>islielākais maksājumu prog</w:t>
      </w:r>
      <w:r w:rsidR="00CE555E" w:rsidRPr="00CE555E">
        <w:rPr>
          <w:color w:val="000000" w:themeColor="text1"/>
          <w:szCs w:val="24"/>
        </w:rPr>
        <w:t>ress pusgada ietvaros ir KM un F</w:t>
      </w:r>
      <w:r w:rsidR="008F1FC8" w:rsidRPr="00CE555E">
        <w:rPr>
          <w:color w:val="000000" w:themeColor="text1"/>
          <w:szCs w:val="24"/>
        </w:rPr>
        <w:t xml:space="preserve">M administrētājās aktivitātēs (attiecīgi </w:t>
      </w:r>
      <w:r w:rsidR="00CE555E" w:rsidRPr="00CE555E">
        <w:rPr>
          <w:color w:val="000000" w:themeColor="text1"/>
          <w:szCs w:val="24"/>
        </w:rPr>
        <w:t>16,7</w:t>
      </w:r>
      <w:r w:rsidR="008F1FC8" w:rsidRPr="00CE555E">
        <w:rPr>
          <w:color w:val="000000" w:themeColor="text1"/>
          <w:szCs w:val="24"/>
        </w:rPr>
        <w:t xml:space="preserve">% un </w:t>
      </w:r>
      <w:r w:rsidR="00CE555E" w:rsidRPr="00CE555E">
        <w:rPr>
          <w:color w:val="000000" w:themeColor="text1"/>
          <w:szCs w:val="24"/>
        </w:rPr>
        <w:t>7,4</w:t>
      </w:r>
      <w:r w:rsidR="008F1FC8" w:rsidRPr="00CE555E">
        <w:rPr>
          <w:color w:val="000000" w:themeColor="text1"/>
          <w:szCs w:val="24"/>
        </w:rPr>
        <w:t>%). Kā nākamās institūcij</w:t>
      </w:r>
      <w:r w:rsidR="00CE555E" w:rsidRPr="00CE555E">
        <w:rPr>
          <w:color w:val="000000" w:themeColor="text1"/>
          <w:szCs w:val="24"/>
        </w:rPr>
        <w:t>as ar labāko progresu ir EM,  IZ</w:t>
      </w:r>
      <w:r w:rsidR="008F1FC8" w:rsidRPr="00CE555E">
        <w:rPr>
          <w:color w:val="000000" w:themeColor="text1"/>
          <w:szCs w:val="24"/>
        </w:rPr>
        <w:t>M</w:t>
      </w:r>
      <w:r w:rsidR="00CE555E" w:rsidRPr="00CE555E">
        <w:rPr>
          <w:color w:val="000000" w:themeColor="text1"/>
          <w:szCs w:val="24"/>
        </w:rPr>
        <w:t xml:space="preserve"> un VARAM</w:t>
      </w:r>
      <w:r w:rsidR="008F1FC8" w:rsidRPr="00CE555E">
        <w:rPr>
          <w:color w:val="000000" w:themeColor="text1"/>
          <w:szCs w:val="24"/>
        </w:rPr>
        <w:t xml:space="preserve"> (</w:t>
      </w:r>
      <w:r w:rsidR="00CE555E" w:rsidRPr="00CE555E">
        <w:rPr>
          <w:color w:val="000000" w:themeColor="text1"/>
          <w:szCs w:val="24"/>
        </w:rPr>
        <w:t>visām 6,4</w:t>
      </w:r>
      <w:r w:rsidR="008F1FC8" w:rsidRPr="00CE555E">
        <w:rPr>
          <w:color w:val="000000" w:themeColor="text1"/>
          <w:szCs w:val="24"/>
        </w:rPr>
        <w:t>%). Savukārt, ja aplūkojam absolūtos skaitļos, tad vislielākai</w:t>
      </w:r>
      <w:r w:rsidR="00CE555E" w:rsidRPr="00CE555E">
        <w:rPr>
          <w:color w:val="000000" w:themeColor="text1"/>
          <w:szCs w:val="24"/>
        </w:rPr>
        <w:t>s progress vērojams VARAM</w:t>
      </w:r>
      <w:r w:rsidR="008F1FC8" w:rsidRPr="00CE555E">
        <w:rPr>
          <w:color w:val="000000" w:themeColor="text1"/>
          <w:szCs w:val="24"/>
        </w:rPr>
        <w:t xml:space="preserve"> – </w:t>
      </w:r>
      <w:r w:rsidR="00CE555E" w:rsidRPr="00CE555E">
        <w:rPr>
          <w:color w:val="000000" w:themeColor="text1"/>
          <w:szCs w:val="24"/>
        </w:rPr>
        <w:t>77,9</w:t>
      </w:r>
      <w:r w:rsidR="008F1FC8" w:rsidRPr="00CE555E">
        <w:rPr>
          <w:color w:val="000000" w:themeColor="text1"/>
          <w:szCs w:val="24"/>
        </w:rPr>
        <w:t xml:space="preserve"> milj. </w:t>
      </w:r>
      <w:r w:rsidR="008F1FC8" w:rsidRPr="00CE555E">
        <w:rPr>
          <w:i/>
          <w:color w:val="000000" w:themeColor="text1"/>
          <w:szCs w:val="24"/>
        </w:rPr>
        <w:t>euro</w:t>
      </w:r>
      <w:r w:rsidR="00CE555E" w:rsidRPr="00CE555E">
        <w:rPr>
          <w:color w:val="000000" w:themeColor="text1"/>
          <w:szCs w:val="24"/>
        </w:rPr>
        <w:t>, S</w:t>
      </w:r>
      <w:r w:rsidR="008F1FC8" w:rsidRPr="00CE555E">
        <w:rPr>
          <w:color w:val="000000" w:themeColor="text1"/>
          <w:szCs w:val="24"/>
        </w:rPr>
        <w:t xml:space="preserve">M – </w:t>
      </w:r>
      <w:r w:rsidR="00CE555E" w:rsidRPr="00CE555E">
        <w:rPr>
          <w:color w:val="000000" w:themeColor="text1"/>
          <w:szCs w:val="24"/>
        </w:rPr>
        <w:t>61,5</w:t>
      </w:r>
      <w:r w:rsidR="008F1FC8" w:rsidRPr="00CE555E">
        <w:rPr>
          <w:color w:val="000000" w:themeColor="text1"/>
          <w:szCs w:val="24"/>
        </w:rPr>
        <w:t xml:space="preserve"> milj. </w:t>
      </w:r>
      <w:r w:rsidR="008F1FC8" w:rsidRPr="00CE555E">
        <w:rPr>
          <w:i/>
          <w:color w:val="000000" w:themeColor="text1"/>
          <w:szCs w:val="24"/>
        </w:rPr>
        <w:t>euro</w:t>
      </w:r>
      <w:r w:rsidR="00CE555E" w:rsidRPr="00CE555E">
        <w:rPr>
          <w:color w:val="000000" w:themeColor="text1"/>
          <w:szCs w:val="24"/>
        </w:rPr>
        <w:t>, kā arī EM</w:t>
      </w:r>
      <w:r w:rsidR="008F1FC8" w:rsidRPr="00CE555E">
        <w:rPr>
          <w:color w:val="000000" w:themeColor="text1"/>
          <w:szCs w:val="24"/>
        </w:rPr>
        <w:t xml:space="preserve"> – </w:t>
      </w:r>
      <w:r w:rsidR="00CE555E" w:rsidRPr="00CE555E">
        <w:rPr>
          <w:color w:val="000000" w:themeColor="text1"/>
          <w:szCs w:val="24"/>
        </w:rPr>
        <w:t>47,5</w:t>
      </w:r>
      <w:r w:rsidR="008F1FC8" w:rsidRPr="00CE555E">
        <w:rPr>
          <w:color w:val="000000" w:themeColor="text1"/>
          <w:szCs w:val="24"/>
        </w:rPr>
        <w:t xml:space="preserve"> milj. </w:t>
      </w:r>
      <w:r w:rsidR="008F1FC8" w:rsidRPr="00CE555E">
        <w:rPr>
          <w:i/>
          <w:color w:val="000000" w:themeColor="text1"/>
          <w:szCs w:val="24"/>
        </w:rPr>
        <w:t>euro</w:t>
      </w:r>
      <w:r w:rsidR="008F1FC8" w:rsidRPr="00CE555E">
        <w:rPr>
          <w:color w:val="000000" w:themeColor="text1"/>
          <w:szCs w:val="24"/>
        </w:rPr>
        <w:t xml:space="preserve">. </w:t>
      </w:r>
      <w:r w:rsidR="008F1FC8" w:rsidRPr="001344DE">
        <w:rPr>
          <w:color w:val="000000" w:themeColor="text1"/>
          <w:szCs w:val="24"/>
        </w:rPr>
        <w:t xml:space="preserve">Attiecībā uz maksājumu mērķu izpildi, skatīt pie </w:t>
      </w:r>
      <w:proofErr w:type="spellStart"/>
      <w:r w:rsidR="008F1FC8" w:rsidRPr="001344DE">
        <w:rPr>
          <w:color w:val="000000" w:themeColor="text1"/>
          <w:szCs w:val="24"/>
        </w:rPr>
        <w:t>apakšsadaļas</w:t>
      </w:r>
      <w:proofErr w:type="spellEnd"/>
      <w:r w:rsidR="008F1FC8" w:rsidRPr="001344DE">
        <w:rPr>
          <w:color w:val="000000" w:themeColor="text1"/>
          <w:szCs w:val="24"/>
        </w:rPr>
        <w:t xml:space="preserve"> maksājumu mērķu sasniegšana</w:t>
      </w:r>
      <w:r w:rsidR="00E444B0" w:rsidRPr="001344DE">
        <w:rPr>
          <w:color w:val="000000" w:themeColor="text1"/>
          <w:szCs w:val="24"/>
        </w:rPr>
        <w:t>.</w:t>
      </w:r>
    </w:p>
    <w:p w14:paraId="65660E5A" w14:textId="32A4A201" w:rsidR="009779F1" w:rsidRDefault="009779F1" w:rsidP="00173D1C">
      <w:pPr>
        <w:pStyle w:val="Default"/>
        <w:spacing w:line="276" w:lineRule="auto"/>
        <w:rPr>
          <w:color w:val="000000" w:themeColor="text1"/>
        </w:rPr>
      </w:pPr>
      <w:r>
        <w:rPr>
          <w:color w:val="000000" w:themeColor="text1"/>
        </w:rPr>
        <w:t xml:space="preserve">Savukārt, </w:t>
      </w:r>
      <w:r w:rsidRPr="009779F1">
        <w:rPr>
          <w:color w:val="000000" w:themeColor="text1"/>
        </w:rPr>
        <w:t xml:space="preserve">EM prognozē, ka finanšu instrumentu </w:t>
      </w:r>
      <w:proofErr w:type="spellStart"/>
      <w:r w:rsidRPr="009779F1">
        <w:rPr>
          <w:color w:val="000000" w:themeColor="text1"/>
        </w:rPr>
        <w:t>apakšaktivitātē</w:t>
      </w:r>
      <w:proofErr w:type="spellEnd"/>
      <w:r w:rsidRPr="009779F1">
        <w:rPr>
          <w:color w:val="000000" w:themeColor="text1"/>
        </w:rPr>
        <w:t xml:space="preserve"> “Atbalsts aizdevumu veidā komersantu konkurētspējas uzlabošanai” un </w:t>
      </w:r>
      <w:proofErr w:type="spellStart"/>
      <w:r w:rsidRPr="009779F1">
        <w:rPr>
          <w:color w:val="000000" w:themeColor="text1"/>
        </w:rPr>
        <w:t>apakšaktivitātē</w:t>
      </w:r>
      <w:proofErr w:type="spellEnd"/>
      <w:r w:rsidRPr="009779F1">
        <w:rPr>
          <w:color w:val="000000" w:themeColor="text1"/>
        </w:rPr>
        <w:t xml:space="preserve"> “</w:t>
      </w:r>
      <w:proofErr w:type="spellStart"/>
      <w:r w:rsidRPr="009779F1">
        <w:rPr>
          <w:color w:val="000000" w:themeColor="text1"/>
        </w:rPr>
        <w:t>Mezanīna</w:t>
      </w:r>
      <w:proofErr w:type="spellEnd"/>
      <w:r w:rsidRPr="009779F1">
        <w:rPr>
          <w:color w:val="000000" w:themeColor="text1"/>
        </w:rPr>
        <w:t xml:space="preserve"> aizdevumi un nodrošinājuma garantijas saimnieciskās darbības veicēju konkurētspējas uzlabošanai” pieejamais finansējums gala labuma saņēmējiem tiks izmaksāts līdz 2016.gada 30.jūnijam, aktivitātei “Ieguldījumu fonds investīcijām garantijās, paaugstināta riska aizdevumos, riska kapitāla fondos un citos finanšu instrumentos” līdz 2016.gada 31.oktobim. Termiņa pagarinājums finanšu instrumentos un pieejamās</w:t>
      </w:r>
      <w:r w:rsidR="00536789">
        <w:rPr>
          <w:color w:val="000000" w:themeColor="text1"/>
        </w:rPr>
        <w:t xml:space="preserve"> atmaksas palīdz kompensēt pārrā</w:t>
      </w:r>
      <w:r w:rsidRPr="009779F1">
        <w:rPr>
          <w:color w:val="000000" w:themeColor="text1"/>
        </w:rPr>
        <w:t>vumu starp 2007.-2013. un 2014.-2020.gada plānošanas periodu.</w:t>
      </w:r>
      <w:r>
        <w:rPr>
          <w:color w:val="000000" w:themeColor="text1"/>
        </w:rPr>
        <w:t xml:space="preserve"> </w:t>
      </w:r>
      <w:r w:rsidRPr="00B93298">
        <w:rPr>
          <w:color w:val="000000" w:themeColor="text1"/>
        </w:rPr>
        <w:t xml:space="preserve">Detalizēta informācija par finanšu </w:t>
      </w:r>
      <w:r w:rsidRPr="00B93298">
        <w:rPr>
          <w:color w:val="000000" w:themeColor="text1"/>
        </w:rPr>
        <w:lastRenderedPageBreak/>
        <w:t xml:space="preserve">instrumentu ieviešanas progresu pieejama </w:t>
      </w:r>
      <w:hyperlink r:id="rId19" w:history="1">
        <w:r w:rsidRPr="00B93298">
          <w:rPr>
            <w:rStyle w:val="Hyperlink"/>
            <w:color w:val="000000" w:themeColor="text1"/>
          </w:rPr>
          <w:t>ES fondu tīmekļa vietnē</w:t>
        </w:r>
      </w:hyperlink>
      <w:r w:rsidRPr="00B93298">
        <w:rPr>
          <w:rStyle w:val="FootnoteReference"/>
          <w:color w:val="000000" w:themeColor="text1"/>
        </w:rPr>
        <w:footnoteReference w:id="12"/>
      </w:r>
      <w:r>
        <w:rPr>
          <w:color w:val="000000" w:themeColor="text1"/>
        </w:rPr>
        <w:t xml:space="preserve"> un informatīvajā</w:t>
      </w:r>
      <w:r w:rsidRPr="009779F1">
        <w:rPr>
          <w:color w:val="000000" w:themeColor="text1"/>
        </w:rPr>
        <w:t xml:space="preserve"> </w:t>
      </w:r>
      <w:r>
        <w:rPr>
          <w:color w:val="000000" w:themeColor="text1"/>
        </w:rPr>
        <w:t>ziņojumā</w:t>
      </w:r>
      <w:r w:rsidRPr="009779F1">
        <w:rPr>
          <w:color w:val="000000" w:themeColor="text1"/>
        </w:rPr>
        <w:t xml:space="preserve"> par </w:t>
      </w:r>
      <w:r>
        <w:rPr>
          <w:color w:val="000000" w:themeColor="text1"/>
        </w:rPr>
        <w:t>ES fondu</w:t>
      </w:r>
      <w:r w:rsidRPr="009779F1">
        <w:rPr>
          <w:color w:val="000000" w:themeColor="text1"/>
        </w:rPr>
        <w:t xml:space="preserve"> un </w:t>
      </w:r>
      <w:r>
        <w:rPr>
          <w:color w:val="000000" w:themeColor="text1"/>
        </w:rPr>
        <w:t>KF</w:t>
      </w:r>
      <w:r w:rsidRPr="009779F1">
        <w:rPr>
          <w:color w:val="000000" w:themeColor="text1"/>
        </w:rPr>
        <w:t xml:space="preserve"> investī</w:t>
      </w:r>
      <w:r w:rsidR="00033009">
        <w:rPr>
          <w:color w:val="000000" w:themeColor="text1"/>
        </w:rPr>
        <w:t>ciju progresu līdz 2015. gada 30</w:t>
      </w:r>
      <w:r w:rsidRPr="009779F1">
        <w:rPr>
          <w:color w:val="000000" w:themeColor="text1"/>
        </w:rPr>
        <w:t>. novembrim</w:t>
      </w:r>
      <w:r>
        <w:rPr>
          <w:rStyle w:val="FootnoteReference"/>
          <w:color w:val="000000" w:themeColor="text1"/>
        </w:rPr>
        <w:footnoteReference w:id="13"/>
      </w:r>
    </w:p>
    <w:p w14:paraId="08BF1706" w14:textId="15528E5D" w:rsidR="00033009" w:rsidRPr="00033009" w:rsidRDefault="00033009" w:rsidP="00033009">
      <w:pPr>
        <w:spacing w:before="120" w:after="120" w:line="276" w:lineRule="auto"/>
        <w:jc w:val="both"/>
      </w:pPr>
      <w:r w:rsidRPr="001B66EA">
        <w:t xml:space="preserve">Attiecībā uz sasniegto </w:t>
      </w:r>
      <w:r w:rsidR="00091DE7">
        <w:t>rezultātu</w:t>
      </w:r>
      <w:r w:rsidR="00091DE7" w:rsidRPr="001B66EA">
        <w:t xml:space="preserve"> </w:t>
      </w:r>
      <w:r w:rsidRPr="001B66EA">
        <w:t>progresu un to analīzi aicinām skatīt ES fondu tīmekļa vietnē</w:t>
      </w:r>
      <w:r w:rsidRPr="001B66EA">
        <w:rPr>
          <w:rStyle w:val="FootnoteReference"/>
        </w:rPr>
        <w:footnoteReference w:id="14"/>
      </w:r>
      <w:r w:rsidR="00123472">
        <w:t>, tāpat</w:t>
      </w:r>
      <w:r>
        <w:t xml:space="preserve"> arī 2015.gada 3.jūlija Uzraudzības komitejā prezentēto materiālu</w:t>
      </w:r>
      <w:r>
        <w:rPr>
          <w:rStyle w:val="FootnoteReference"/>
        </w:rPr>
        <w:footnoteReference w:id="15"/>
      </w:r>
      <w:r w:rsidR="00123472">
        <w:t>. Kā arī s</w:t>
      </w:r>
      <w:r>
        <w:t>agatavotos materiālus ikgadējai tikšanās ar EK pārstāvjiem, kas norisinājās 2015.gada 23., 25.novembrī</w:t>
      </w:r>
      <w:r>
        <w:rPr>
          <w:rStyle w:val="FootnoteReference"/>
        </w:rPr>
        <w:footnoteReference w:id="16"/>
      </w:r>
      <w:r>
        <w:t xml:space="preserve">. </w:t>
      </w:r>
    </w:p>
    <w:p w14:paraId="0EA52043" w14:textId="77777777" w:rsidR="009A2823" w:rsidRPr="00033009" w:rsidRDefault="009A2823" w:rsidP="001344DE">
      <w:pPr>
        <w:rPr>
          <w:b/>
          <w:i/>
        </w:rPr>
      </w:pPr>
      <w:r w:rsidRPr="00033009">
        <w:rPr>
          <w:b/>
          <w:i/>
        </w:rPr>
        <w:t>Lielo projektu īstenošana</w:t>
      </w:r>
    </w:p>
    <w:p w14:paraId="07145AE8" w14:textId="4B9BA22B" w:rsidR="00216BAC" w:rsidRDefault="00216BAC" w:rsidP="00216BAC">
      <w:pPr>
        <w:spacing w:before="120" w:after="120" w:line="276" w:lineRule="auto"/>
        <w:jc w:val="both"/>
      </w:pPr>
      <w:r w:rsidRPr="00E4425F">
        <w:t xml:space="preserve">Informācija par </w:t>
      </w:r>
      <w:r w:rsidR="00F207B1">
        <w:t xml:space="preserve">visiem </w:t>
      </w:r>
      <w:r w:rsidRPr="00E4425F">
        <w:t xml:space="preserve">lielajiem projektiem Latvijā ir pieejama ES fondu tīmekļa vietnē </w:t>
      </w:r>
      <w:hyperlink r:id="rId20" w:history="1">
        <w:r w:rsidRPr="00050B02">
          <w:rPr>
            <w:rStyle w:val="Hyperlink"/>
          </w:rPr>
          <w:t>http://www.esfondi.lv/2007.-2013.gada-planosanas-perioda-lielie-projekti</w:t>
        </w:r>
      </w:hyperlink>
      <w:r>
        <w:t xml:space="preserve"> .</w:t>
      </w:r>
    </w:p>
    <w:p w14:paraId="647CCE73" w14:textId="1A177702" w:rsidR="00A40054" w:rsidRPr="00E4425F" w:rsidRDefault="00A40054" w:rsidP="00216BAC">
      <w:pPr>
        <w:spacing w:before="120" w:after="120" w:line="276" w:lineRule="auto"/>
        <w:jc w:val="both"/>
      </w:pPr>
      <w:r w:rsidRPr="00A40054">
        <w:t xml:space="preserve">Atbilstoši AI </w:t>
      </w:r>
      <w:r>
        <w:t>veiktajām maksājumu mērķa prognozēm līdz 2015.gada 31.decembr</w:t>
      </w:r>
      <w:r w:rsidR="00EB0A24">
        <w:t xml:space="preserve">im bija plānots izmaksāt finansējuma saņēmējiem 451,0 milj. </w:t>
      </w:r>
      <w:r w:rsidR="00EB0A24" w:rsidRPr="00942E5A">
        <w:rPr>
          <w:i/>
        </w:rPr>
        <w:t>euro</w:t>
      </w:r>
      <w:r w:rsidR="00EB0A24">
        <w:t>, 2015.gadā izmaksājot 69,9 milj.</w:t>
      </w:r>
      <w:r w:rsidR="00942E5A">
        <w:t xml:space="preserve"> </w:t>
      </w:r>
      <w:r w:rsidR="00EB0A24" w:rsidRPr="00E11AA3">
        <w:rPr>
          <w:i/>
        </w:rPr>
        <w:t>euro</w:t>
      </w:r>
      <w:r w:rsidR="00EB0A24">
        <w:t>, t.sk. 45,5 milj.</w:t>
      </w:r>
      <w:r w:rsidR="00942E5A">
        <w:t xml:space="preserve"> </w:t>
      </w:r>
      <w:r w:rsidR="00EB0A24" w:rsidRPr="00E11AA3">
        <w:rPr>
          <w:i/>
        </w:rPr>
        <w:t>euro</w:t>
      </w:r>
      <w:r w:rsidR="00EB0A24">
        <w:t xml:space="preserve"> 2015.gada 2.pusgadā. </w:t>
      </w:r>
    </w:p>
    <w:p w14:paraId="10285A75" w14:textId="355DB0DA" w:rsidR="006123B0" w:rsidRDefault="00C8406D" w:rsidP="009A2823">
      <w:pPr>
        <w:spacing w:before="120" w:after="120" w:line="276" w:lineRule="auto"/>
        <w:jc w:val="both"/>
      </w:pPr>
      <w:r w:rsidRPr="00C8406D">
        <w:t xml:space="preserve">Līdzīgi </w:t>
      </w:r>
      <w:r w:rsidRPr="00A47298">
        <w:t>kā kop</w:t>
      </w:r>
      <w:r w:rsidR="00FB601B" w:rsidRPr="00A47298">
        <w:t>ējā DP</w:t>
      </w:r>
      <w:r w:rsidR="00A47298">
        <w:t>,</w:t>
      </w:r>
      <w:r w:rsidRPr="00C8406D">
        <w:t xml:space="preserve"> lielo projektu īstenošanas gaitā bijuši sarežģījumi, radot īstenošanas termiņu kavējumus un maksājumu plūsmas nobīdes.</w:t>
      </w:r>
      <w:r w:rsidR="00EB0A24">
        <w:t xml:space="preserve"> </w:t>
      </w:r>
      <w:r w:rsidR="006123B0">
        <w:t xml:space="preserve">Piemēram, </w:t>
      </w:r>
      <w:r w:rsidR="00EB0A24">
        <w:t>2015.gada 2.pusgad</w:t>
      </w:r>
      <w:r w:rsidR="006123B0">
        <w:t>ā ir izmaksāti tikai 24,3 milj.</w:t>
      </w:r>
      <w:r w:rsidR="00942E5A">
        <w:t xml:space="preserve"> </w:t>
      </w:r>
      <w:r w:rsidR="006123B0" w:rsidRPr="00E11AA3">
        <w:rPr>
          <w:i/>
        </w:rPr>
        <w:t>euro</w:t>
      </w:r>
      <w:r w:rsidR="006123B0">
        <w:t>, kas ir 53,3% no pusgadā plānotā, tādējādi radot nelielu nobīdi arī kopējā līdz 2015.gada beigām plānotajā apjomā un izmaksājot  429,6 milj.</w:t>
      </w:r>
      <w:r w:rsidR="00942E5A">
        <w:t xml:space="preserve"> </w:t>
      </w:r>
      <w:r w:rsidR="006123B0" w:rsidRPr="00E11AA3">
        <w:rPr>
          <w:i/>
        </w:rPr>
        <w:t>euro</w:t>
      </w:r>
      <w:r w:rsidR="006123B0">
        <w:t xml:space="preserve"> jeb 95,3% no plānotā. L</w:t>
      </w:r>
      <w:r w:rsidR="00EB0A24">
        <w:t xml:space="preserve">ielākās nobīdes maksājumu plūsmās </w:t>
      </w:r>
      <w:r w:rsidR="006123B0">
        <w:t xml:space="preserve">2015.gada pusgadā gan ir </w:t>
      </w:r>
      <w:r w:rsidR="00EB0A24">
        <w:t xml:space="preserve">saistītas ar </w:t>
      </w:r>
      <w:r w:rsidR="006123B0">
        <w:t xml:space="preserve">sarežģīto un </w:t>
      </w:r>
      <w:r w:rsidR="00EB0A24">
        <w:t>laikietilpīgo lielo projektu noslēgumu maksājumu izskatīšanu, t.sk. pārbaužu veikšanu un papildus tehniskās informācijas pieprasīšanu.</w:t>
      </w:r>
      <w:r w:rsidRPr="00C8406D">
        <w:t xml:space="preserve"> </w:t>
      </w:r>
    </w:p>
    <w:p w14:paraId="3B9220FD" w14:textId="113D585A" w:rsidR="00A40054" w:rsidRDefault="00C8406D" w:rsidP="009A2823">
      <w:pPr>
        <w:spacing w:before="120" w:after="120" w:line="276" w:lineRule="auto"/>
        <w:jc w:val="both"/>
      </w:pPr>
      <w:r w:rsidRPr="00C8406D">
        <w:t xml:space="preserve">No kopējiem </w:t>
      </w:r>
      <w:r w:rsidR="00FB601B">
        <w:t>DP</w:t>
      </w:r>
      <w:r w:rsidRPr="00C8406D">
        <w:t xml:space="preserve"> iespējamiem maksājumiem lielo projektu ietvaros atlikuši </w:t>
      </w:r>
      <w:r w:rsidR="0072260F">
        <w:t>40,6</w:t>
      </w:r>
      <w:r w:rsidR="00CA0455">
        <w:t xml:space="preserve"> milj.</w:t>
      </w:r>
      <w:r w:rsidR="00FB601B">
        <w:t xml:space="preserve"> </w:t>
      </w:r>
      <w:r w:rsidR="00FB601B" w:rsidRPr="001C2CF4">
        <w:rPr>
          <w:i/>
        </w:rPr>
        <w:t>euro</w:t>
      </w:r>
      <w:r w:rsidR="00FB601B">
        <w:t xml:space="preserve"> </w:t>
      </w:r>
      <w:r w:rsidR="00CA0455">
        <w:t xml:space="preserve">jeb </w:t>
      </w:r>
      <w:r w:rsidR="0072260F">
        <w:t>12,4</w:t>
      </w:r>
      <w:r w:rsidR="0095376D">
        <w:t>%</w:t>
      </w:r>
      <w:r w:rsidR="00FB601B">
        <w:t xml:space="preserve"> </w:t>
      </w:r>
      <w:r w:rsidR="00E11AA3">
        <w:t xml:space="preserve">(skatot pret šī brīža </w:t>
      </w:r>
      <w:r w:rsidR="0072260F">
        <w:t xml:space="preserve">līgumos paredzētajiem </w:t>
      </w:r>
      <w:r w:rsidR="00FB601B">
        <w:t>maksājumiem</w:t>
      </w:r>
      <w:r w:rsidR="00E11AA3">
        <w:t>)</w:t>
      </w:r>
      <w:r w:rsidR="0095376D">
        <w:t xml:space="preserve">. </w:t>
      </w:r>
      <w:r w:rsidR="0072260F">
        <w:t xml:space="preserve">Pamatojoties uz </w:t>
      </w:r>
      <w:r w:rsidR="0072260F" w:rsidRPr="0072260F">
        <w:t>neprognozētiem ietaupījumiem vairākos projektos (projektu attiecināmie izdevumi mazākā apjomā nekā paredzēts noslēgtajos līgumos)</w:t>
      </w:r>
      <w:r w:rsidR="0072260F">
        <w:t xml:space="preserve">, šobrīd notiek pēdējo grozījumu veikšana projektu līgumos, precizējot projektu attiecināmās izmaksas atbilstoši faktiskajai situācijai. Tādējādi pēc projekta grozījumu veikšanas finansējumu saņēmējiem noslēguma maksājumos veicamā summa </w:t>
      </w:r>
      <w:r w:rsidR="00E11AA3">
        <w:t xml:space="preserve">varētu </w:t>
      </w:r>
      <w:r w:rsidR="0072260F">
        <w:t>samazinā</w:t>
      </w:r>
      <w:r w:rsidR="00E11AA3">
        <w:t xml:space="preserve">ties (atbilstoši prognozēm par aptuveni 2,2 milj. </w:t>
      </w:r>
      <w:r w:rsidR="00E11AA3" w:rsidRPr="00E11AA3">
        <w:rPr>
          <w:i/>
        </w:rPr>
        <w:t>euro</w:t>
      </w:r>
      <w:r w:rsidR="00E11AA3">
        <w:t>).</w:t>
      </w:r>
      <w:r w:rsidR="0072260F">
        <w:t xml:space="preserve"> </w:t>
      </w:r>
    </w:p>
    <w:p w14:paraId="32ED8573" w14:textId="77777777" w:rsidR="00377E39" w:rsidRDefault="00C8406D" w:rsidP="009A2823">
      <w:pPr>
        <w:spacing w:before="120" w:after="120" w:line="276" w:lineRule="auto"/>
        <w:jc w:val="both"/>
      </w:pPr>
      <w:r w:rsidRPr="00C8406D">
        <w:t xml:space="preserve">Operatīvas risku vadības rezultātā ir ievērojami mazinājušies lielo projektu mērķa nesasniegšanas riski, lielākā daļa projektu ir sekmīgi pabeigti. </w:t>
      </w:r>
      <w:r w:rsidR="00CA0455">
        <w:t>Trim</w:t>
      </w:r>
      <w:r w:rsidRPr="00C8406D">
        <w:t xml:space="preserve"> projektiem ir noteikts nefunkcionējošo projektu status un izstrādāts plāns projekta mērķa sasniegšanai.  </w:t>
      </w:r>
    </w:p>
    <w:p w14:paraId="0E5BEBA6" w14:textId="5D254E0A" w:rsidR="00123472" w:rsidRPr="009247B2" w:rsidRDefault="00C8406D" w:rsidP="009A2823">
      <w:pPr>
        <w:spacing w:before="120" w:after="120" w:line="276" w:lineRule="auto"/>
        <w:jc w:val="both"/>
      </w:pPr>
      <w:r w:rsidRPr="00C8406D">
        <w:t>Zemāk ir sniegts detalizētāks izklāsts par projektu aktualitātēm pusgadā, vērtējot pēc riskiem projekta īstenošanā.</w:t>
      </w:r>
    </w:p>
    <w:p w14:paraId="14D8A4E3" w14:textId="1B2C3957" w:rsidR="009A2823" w:rsidRDefault="00C8406D" w:rsidP="009A2823">
      <w:pPr>
        <w:spacing w:before="120" w:after="120" w:line="276" w:lineRule="auto"/>
        <w:jc w:val="both"/>
      </w:pPr>
      <w:r w:rsidRPr="00C8406D">
        <w:lastRenderedPageBreak/>
        <w:t>Projektā “Infrastruktūras attīstība Krievu salā ostas aktivitāšu pārcelšanai no pilsētas centra” 2015.gada 21.decembrī veikti projekta grozījumi pagarinot projekta īstenošanas termiņu līdz 2018.gada 31.decembrim, attiecīgi veic</w:t>
      </w:r>
      <w:r w:rsidR="009D0509">
        <w:t>ot nepieciešamos grozījumus akti</w:t>
      </w:r>
      <w:r w:rsidRPr="00C8406D">
        <w:t>vitāti regulējošajos MK noteikumos. Projektam ir noteikts nefunkcionējošā projekta statuss, pamatojoties uz EK norādīto, ka EK veiks galīgo projekta mērķa izpildes vērtējumu un tā atbilstību EK lēmumam un spēkā esošajiem nacionālajiem normatīviem, t.sk. Rīgas teritoriālajam plānojumam, 2019.gadā, kad tiks iesniegta gala atskaite par projekta pabeigšanu un mērķu sasniegšanu. Projektam ir izstrādāts projekta mērķa sasniegšanas uzraudzības mehānisms, kas atrunāts aktivitāti reglamentējošos MK noteikumos un projekta līgumā. Ir izstrādāts rīcības plāns paredzot finansējuma saņēmēja un SM darbības sekmīgai projekta mērķa sasniegšanai, t.sk. ceturkšņa atskaišu sniegšana un s</w:t>
      </w:r>
      <w:r w:rsidRPr="00C8406D">
        <w:rPr>
          <w:bCs/>
        </w:rPr>
        <w:t>adarbības līguma starp SM, VARAM Rīgas pilsētas pašvaldību un Rīgas Brīvostas pārvaldi noslēgšanu,</w:t>
      </w:r>
      <w:r w:rsidRPr="00C8406D">
        <w:t xml:space="preserve"> lai nodrošinātu savstarpēji koordinētu rīcību jaunā Rīgas pilsētas teritorijas plāna 2018.-2030.gadam izstrādē un </w:t>
      </w:r>
      <w:proofErr w:type="spellStart"/>
      <w:r w:rsidRPr="00C8406D">
        <w:t>Eksportostas</w:t>
      </w:r>
      <w:proofErr w:type="spellEnd"/>
      <w:r w:rsidRPr="00C8406D">
        <w:t xml:space="preserve"> teritorijas izmantošanā plānotā Daugavas Ziemeļu šķērsojuma perspektīvā. Pamatojoties projekta mērķa sasniegšanas rīcības plānu, kā arī panākto vienošanos ar EK VI 2015.gada 21.decembrī atjaunoja projekta izdevumu deklarēšanu. Joprojām turpinās Valsts kontroles revīzija Rīgas brīvostas pārvaldē saistībā ar projekta īstenošanas un vadīšanas aspektiem. Pateicoties operatīvai risku vadībai un izstrādātajam projekta uzraudzības mehānismam projekta </w:t>
      </w:r>
      <w:r w:rsidR="00091DE7">
        <w:t xml:space="preserve">ieviešanas </w:t>
      </w:r>
      <w:r w:rsidRPr="00C8406D">
        <w:t xml:space="preserve">risks </w:t>
      </w:r>
      <w:r w:rsidR="00091DE7">
        <w:t>samazinājies</w:t>
      </w:r>
      <w:r w:rsidR="00FE6A61">
        <w:t xml:space="preserve">, tomēr projektam nepieciešams </w:t>
      </w:r>
      <w:r w:rsidR="00FE6A61">
        <w:rPr>
          <w:iCs/>
        </w:rPr>
        <w:t>turpināt</w:t>
      </w:r>
      <w:r w:rsidR="00FE6A61" w:rsidRPr="00FE6A61">
        <w:rPr>
          <w:iCs/>
        </w:rPr>
        <w:t xml:space="preserve"> nodrošināt pastiprinātu uzraudzību līdz projekta mērķus sasniegšanai, t.i. 2018.gada 31.decembrim</w:t>
      </w:r>
    </w:p>
    <w:p w14:paraId="3AC371A8" w14:textId="5D7C9FB7" w:rsidR="00C8406D" w:rsidRDefault="00C8406D" w:rsidP="009A2823">
      <w:pPr>
        <w:spacing w:before="120" w:after="120" w:line="276" w:lineRule="auto"/>
        <w:jc w:val="both"/>
        <w:rPr>
          <w:rFonts w:cs="Times New Roman"/>
          <w:szCs w:val="24"/>
        </w:rPr>
      </w:pPr>
      <w:r w:rsidRPr="002F7608">
        <w:rPr>
          <w:rFonts w:cs="Times New Roman"/>
          <w:szCs w:val="24"/>
        </w:rPr>
        <w:t xml:space="preserve">Projekta “Vēsturiski piesārņoto vietu „Inčukalna </w:t>
      </w:r>
      <w:proofErr w:type="spellStart"/>
      <w:r w:rsidRPr="002F7608">
        <w:rPr>
          <w:rFonts w:cs="Times New Roman"/>
          <w:szCs w:val="24"/>
        </w:rPr>
        <w:t>sērskābā</w:t>
      </w:r>
      <w:proofErr w:type="spellEnd"/>
      <w:r w:rsidRPr="002F7608">
        <w:rPr>
          <w:rFonts w:cs="Times New Roman"/>
          <w:szCs w:val="24"/>
        </w:rPr>
        <w:t xml:space="preserve"> gudrona dīķi” sanācijas darbi” ietvaros 2015.gada 30.oktobrī EK tika iesniegts grozījumu priekšlikums projekta pabeigšanai 2014.-2020.gada plānošanas perioda ietvaros. </w:t>
      </w:r>
      <w:r w:rsidRPr="00E904E0">
        <w:rPr>
          <w:rFonts w:cs="Times New Roman"/>
          <w:szCs w:val="24"/>
        </w:rPr>
        <w:t>MK 2015.gada 22.septembra sēdē tika izskatīts VARAM informatīvais ziņojums par projekta turpmāku īstenošanu, kas paredz V</w:t>
      </w:r>
      <w:r>
        <w:rPr>
          <w:rFonts w:cs="Times New Roman"/>
          <w:szCs w:val="24"/>
        </w:rPr>
        <w:t>VD turpināt projekta īstenošanu, kā arī</w:t>
      </w:r>
      <w:r w:rsidRPr="00E904E0">
        <w:rPr>
          <w:rFonts w:cs="Times New Roman"/>
          <w:szCs w:val="24"/>
        </w:rPr>
        <w:t xml:space="preserve"> MK 2015.gada 15.decembrī </w:t>
      </w:r>
      <w:r>
        <w:rPr>
          <w:rFonts w:cs="Times New Roman"/>
          <w:szCs w:val="24"/>
        </w:rPr>
        <w:t xml:space="preserve">MK </w:t>
      </w:r>
      <w:r w:rsidRPr="00E904E0">
        <w:rPr>
          <w:rFonts w:cs="Times New Roman"/>
          <w:szCs w:val="24"/>
        </w:rPr>
        <w:t>sēdē atbalstīti grozījumi MK 2008.gada 30.septembra noteikumos Nr.817</w:t>
      </w:r>
      <w:r>
        <w:rPr>
          <w:rFonts w:cs="Times New Roman"/>
          <w:szCs w:val="24"/>
        </w:rPr>
        <w:t xml:space="preserve"> “</w:t>
      </w:r>
      <w:r w:rsidRPr="003810B0">
        <w:rPr>
          <w:rFonts w:cs="Times New Roman"/>
          <w:szCs w:val="24"/>
        </w:rPr>
        <w:t>Noteikumi par darbības programmas “Infrastruktūra un pakalpojumi” papildinājuma 3.4.1.4.aktivitāti “Vēsturiski piesārņoto vietu sanācija”</w:t>
      </w:r>
      <w:r>
        <w:rPr>
          <w:rFonts w:cs="Times New Roman"/>
          <w:szCs w:val="24"/>
        </w:rPr>
        <w:t>”</w:t>
      </w:r>
      <w:r w:rsidRPr="00E904E0">
        <w:rPr>
          <w:rFonts w:cs="Times New Roman"/>
          <w:szCs w:val="24"/>
        </w:rPr>
        <w:t>, paredzot iespēju projekta pabeigšanai pēc 2015.gada 31.decembra, sasniedzot mērķi līdz 2019.gada 31.martam.</w:t>
      </w:r>
      <w:r>
        <w:rPr>
          <w:rFonts w:cs="Times New Roman"/>
          <w:szCs w:val="24"/>
        </w:rPr>
        <w:t xml:space="preserve"> Vienlaikus būtiskākais 2016.gada uzdevums VARAM ir sniegt priekšlikumu finansējuma avot</w:t>
      </w:r>
      <w:r w:rsidR="009D0509">
        <w:rPr>
          <w:rFonts w:cs="Times New Roman"/>
          <w:szCs w:val="24"/>
        </w:rPr>
        <w:t>iem. Ņemot vērā projekta ievieša</w:t>
      </w:r>
      <w:r>
        <w:rPr>
          <w:rFonts w:cs="Times New Roman"/>
          <w:szCs w:val="24"/>
        </w:rPr>
        <w:t xml:space="preserve">nā un uzraudzībā iesaistīto institūciju projekta mērķa sasniegšanas vīziju un veikto mērķa sasniegšanas </w:t>
      </w:r>
      <w:proofErr w:type="spellStart"/>
      <w:r>
        <w:rPr>
          <w:rFonts w:cs="Times New Roman"/>
          <w:szCs w:val="24"/>
        </w:rPr>
        <w:t>izvērtējumu</w:t>
      </w:r>
      <w:proofErr w:type="spellEnd"/>
      <w:r>
        <w:rPr>
          <w:rFonts w:cs="Times New Roman"/>
          <w:szCs w:val="24"/>
        </w:rPr>
        <w:t xml:space="preserve"> projekta risks ir vērtējams kā zems.</w:t>
      </w:r>
    </w:p>
    <w:p w14:paraId="243DE15E" w14:textId="26C224C5" w:rsidR="00C8406D" w:rsidRDefault="00C8406D" w:rsidP="009A2823">
      <w:pPr>
        <w:spacing w:before="120" w:after="120" w:line="276" w:lineRule="auto"/>
        <w:jc w:val="both"/>
      </w:pPr>
      <w:r w:rsidRPr="00C8406D">
        <w:t xml:space="preserve">EK 2015.gada 30.septembrī ir pieņēmusi pozitīvu lēmumu par VM projekta (ERAF) “Jaunā slimnīcas korpusa A1 būvniecība” apstiprināšanu. Pārskata periodā turpinājās būvdarbi projektā, CFLA 2016.gada janvārī pirms noslēguma maksājuma veikšanas veiks pārbaudi projektu īstenošanas vietā un nepieciešamo iesniegto maksājumu dokumentu pārbaudi. Vienlaikus iesniegto maksājuma pieprasījumu apjoms ir pietiekams, lai attiecinātu visu piešķirto ERAF finansējumu, ja netiks konstatēti neatbilstoši veiktie izdevumi. Jaunā korpusa būvdarbu līgums ir pagarināts līdz 2016.gada 17.oktobrim, kas atbilst iepriekš sniegtajiem </w:t>
      </w:r>
      <w:proofErr w:type="spellStart"/>
      <w:r w:rsidRPr="00C8406D">
        <w:t>būvekspertu</w:t>
      </w:r>
      <w:proofErr w:type="spellEnd"/>
      <w:r w:rsidRPr="00C8406D">
        <w:t xml:space="preserve"> atzinumiem. Ņemot vērā minēto un projekta pastiprināto uzraudzību no VM puses, projekta risks ir zems.</w:t>
      </w:r>
    </w:p>
    <w:p w14:paraId="151F48D2" w14:textId="444C021D" w:rsidR="00C8406D" w:rsidRPr="00C8406D" w:rsidRDefault="00C8406D" w:rsidP="00C8406D">
      <w:pPr>
        <w:spacing w:before="120" w:after="120" w:line="276" w:lineRule="auto"/>
        <w:jc w:val="both"/>
      </w:pPr>
      <w:r w:rsidRPr="00C8406D">
        <w:t xml:space="preserve">Projektā “Otrā sliežu ceļa būvniecība Skrīveri- Krustpils (Rīga- Krustpils iecirknis)” visi būvdarbi pabeigti. SM izskata Latvijas dzelzceļa (LDZ) iesniegto noslēguma maksājumu, </w:t>
      </w:r>
      <w:r w:rsidR="00420C0B">
        <w:lastRenderedPageBreak/>
        <w:t>detalizētāk</w:t>
      </w:r>
      <w:r w:rsidR="00420C0B" w:rsidRPr="00C8406D">
        <w:t xml:space="preserve"> </w:t>
      </w:r>
      <w:r w:rsidRPr="00C8406D">
        <w:t xml:space="preserve">izvērtējot būvdarbu termiņa pagarinājuma atbilstību. Joprojām turpinās tiesvedība saistībā LDZ pārsūdzēto SM finanšu korekcijas lēmumu. </w:t>
      </w:r>
      <w:r w:rsidR="00420C0B" w:rsidRPr="00420C0B">
        <w:t>Līdz gala lēmuma pieņemšanai projektam saglabājas zems risks saistībā ar iespējamo korekciju par būvniecības termiņa pagarinājumu.</w:t>
      </w:r>
      <w:r w:rsidR="00420C0B">
        <w:t xml:space="preserve"> </w:t>
      </w:r>
      <w:r w:rsidRPr="00C8406D">
        <w:t xml:space="preserve">Administratīvā procesa dalībnieki līdz pat 2016.gada 1.aprīlim var iesniegt papildu paskaidrojumus, kā arī cita rakstura iesniegumus un lūgumus t.sk. pierādījumus. Uzsāktā tiesvedība neietekmē projekta noslēgšanas procesu. </w:t>
      </w:r>
    </w:p>
    <w:p w14:paraId="3EF41B1C" w14:textId="51015439" w:rsidR="009A2823" w:rsidRPr="002F7608" w:rsidRDefault="009A2823" w:rsidP="009A2823">
      <w:pPr>
        <w:spacing w:before="120" w:after="120" w:line="276" w:lineRule="auto"/>
        <w:jc w:val="both"/>
      </w:pPr>
      <w:r w:rsidRPr="00E4425F">
        <w:t xml:space="preserve">Projektā „Starptautiskās lidostas „Rīga” infrastruktūras attīstība” īstenotas visas </w:t>
      </w:r>
      <w:r>
        <w:t>paredzētās aktivitātes</w:t>
      </w:r>
      <w:r w:rsidRPr="00E4425F">
        <w:t>. Revīzijas iestāde projekta ietvaros veiktās revīzijas ietvaros konstatējusi neatbilstību iepirkumu jom</w:t>
      </w:r>
      <w:r w:rsidR="00502A3B">
        <w:t>ā.</w:t>
      </w:r>
      <w:r w:rsidR="00426258">
        <w:t xml:space="preserve"> Detalizētāk par konkrēto neatbilstību </w:t>
      </w:r>
      <w:r w:rsidR="004F1BFE">
        <w:t xml:space="preserve">skatīt </w:t>
      </w:r>
      <w:r w:rsidR="00502A3B">
        <w:t>sadaļā 6.1. “</w:t>
      </w:r>
      <w:r w:rsidR="00502A3B" w:rsidRPr="00502A3B">
        <w:t>Neatbilstības ar finansiālu ietekmi ES fondu 2007.-2013.gada plānošanas periodā ES fondos līdz 2015.gada 31.decembrim</w:t>
      </w:r>
      <w:r w:rsidR="00502A3B">
        <w:t>”</w:t>
      </w:r>
      <w:r w:rsidRPr="00E4425F">
        <w:t xml:space="preserve"> </w:t>
      </w:r>
      <w:r w:rsidR="00C8406D">
        <w:t xml:space="preserve">Līdz 2015.gada beigām sekmīgi pabeigti un visi maksājumi ir veikti projektos: </w:t>
      </w:r>
      <w:r w:rsidR="003A5FCA">
        <w:t xml:space="preserve"> “Liepājas ostas padziļināšana”</w:t>
      </w:r>
      <w:r w:rsidR="00C8406D">
        <w:t>; “</w:t>
      </w:r>
      <w:r w:rsidR="00C8406D" w:rsidRPr="008E1C27">
        <w:t>Autoceļa E22 posma Rīga (Tīnūži) - Koknese būvniecība</w:t>
      </w:r>
      <w:r w:rsidR="00C8406D">
        <w:t>”.</w:t>
      </w:r>
    </w:p>
    <w:p w14:paraId="5C7DEFD0" w14:textId="692F0EC1" w:rsidR="009C0862" w:rsidRPr="00EF19CF" w:rsidRDefault="009C0862" w:rsidP="009C0862">
      <w:pPr>
        <w:spacing w:before="120" w:after="120" w:line="276" w:lineRule="auto"/>
        <w:jc w:val="both"/>
        <w:rPr>
          <w:rFonts w:eastAsia="Times New Roman" w:cs="Times New Roman"/>
          <w:b/>
          <w:i/>
          <w:szCs w:val="20"/>
        </w:rPr>
      </w:pPr>
      <w:r w:rsidRPr="00EF19CF">
        <w:rPr>
          <w:rFonts w:eastAsia="Times New Roman" w:cs="Times New Roman"/>
          <w:b/>
          <w:i/>
          <w:color w:val="000000"/>
          <w:szCs w:val="24"/>
        </w:rPr>
        <w:t xml:space="preserve">Noslēgto līgumu </w:t>
      </w:r>
      <w:r w:rsidR="00EF19CF">
        <w:rPr>
          <w:rFonts w:eastAsia="Times New Roman" w:cs="Times New Roman"/>
          <w:b/>
          <w:i/>
          <w:color w:val="000000"/>
          <w:szCs w:val="24"/>
        </w:rPr>
        <w:t>statuss</w:t>
      </w:r>
      <w:r w:rsidRPr="00EF19CF">
        <w:rPr>
          <w:rFonts w:eastAsia="Times New Roman" w:cs="Times New Roman"/>
          <w:b/>
          <w:i/>
          <w:color w:val="000000"/>
          <w:szCs w:val="24"/>
        </w:rPr>
        <w:t xml:space="preserve">: </w:t>
      </w:r>
    </w:p>
    <w:p w14:paraId="206E5AA5" w14:textId="04028124" w:rsidR="00340A09" w:rsidRDefault="009C0862" w:rsidP="009C0862">
      <w:pPr>
        <w:spacing w:before="120" w:after="120" w:line="276" w:lineRule="auto"/>
        <w:jc w:val="both"/>
        <w:rPr>
          <w:rFonts w:eastAsia="Times New Roman" w:cs="Times New Roman"/>
          <w:color w:val="000000"/>
          <w:szCs w:val="24"/>
          <w:highlight w:val="yellow"/>
        </w:rPr>
      </w:pPr>
      <w:r w:rsidRPr="00EF19CF">
        <w:rPr>
          <w:rFonts w:eastAsia="Times New Roman" w:cs="Times New Roman"/>
          <w:color w:val="000000"/>
          <w:szCs w:val="24"/>
        </w:rPr>
        <w:t>Kopumā noslēgto līgumu apjoms ir 4</w:t>
      </w:r>
      <w:r w:rsidR="00091DE7">
        <w:rPr>
          <w:rFonts w:eastAsia="Times New Roman" w:cs="Times New Roman"/>
          <w:color w:val="000000"/>
          <w:szCs w:val="24"/>
        </w:rPr>
        <w:t>,7</w:t>
      </w:r>
      <w:r w:rsidRPr="00EF19CF">
        <w:rPr>
          <w:rFonts w:eastAsia="Times New Roman" w:cs="Times New Roman"/>
          <w:color w:val="000000"/>
          <w:szCs w:val="24"/>
        </w:rPr>
        <w:t>  m</w:t>
      </w:r>
      <w:r w:rsidR="00091DE7">
        <w:rPr>
          <w:rFonts w:eastAsia="Times New Roman" w:cs="Times New Roman"/>
          <w:color w:val="000000"/>
          <w:szCs w:val="24"/>
        </w:rPr>
        <w:t>ljrd</w:t>
      </w:r>
      <w:r w:rsidRPr="00EF19CF">
        <w:rPr>
          <w:rFonts w:eastAsia="Times New Roman" w:cs="Times New Roman"/>
          <w:color w:val="000000"/>
          <w:szCs w:val="24"/>
        </w:rPr>
        <w:t xml:space="preserve">. </w:t>
      </w:r>
      <w:r w:rsidRPr="00EF19CF">
        <w:rPr>
          <w:rFonts w:eastAsia="Times New Roman" w:cs="Times New Roman"/>
          <w:i/>
          <w:color w:val="000000"/>
          <w:szCs w:val="24"/>
        </w:rPr>
        <w:t>euro</w:t>
      </w:r>
      <w:r w:rsidR="00EF19CF" w:rsidRPr="00EF19CF">
        <w:rPr>
          <w:rFonts w:eastAsia="Times New Roman" w:cs="Times New Roman"/>
          <w:color w:val="000000"/>
          <w:szCs w:val="24"/>
        </w:rPr>
        <w:t xml:space="preserve"> jeb 104,0</w:t>
      </w:r>
      <w:r w:rsidRPr="00EF19CF">
        <w:rPr>
          <w:rFonts w:eastAsia="Times New Roman" w:cs="Times New Roman"/>
          <w:color w:val="000000"/>
          <w:szCs w:val="24"/>
        </w:rPr>
        <w:t xml:space="preserve">% no pieejamā ES fondu </w:t>
      </w:r>
      <w:r w:rsidRPr="00E37C4E">
        <w:rPr>
          <w:rFonts w:eastAsia="Times New Roman" w:cs="Times New Roman"/>
          <w:color w:val="000000"/>
          <w:szCs w:val="24"/>
        </w:rPr>
        <w:t xml:space="preserve">finansējuma. Tas nozīmē, ka līgumi </w:t>
      </w:r>
      <w:r w:rsidR="00E37C4E" w:rsidRPr="00E37C4E">
        <w:rPr>
          <w:rFonts w:eastAsia="Times New Roman" w:cs="Times New Roman"/>
          <w:color w:val="000000"/>
          <w:szCs w:val="24"/>
        </w:rPr>
        <w:t xml:space="preserve">ir </w:t>
      </w:r>
      <w:r w:rsidRPr="00E37C4E">
        <w:rPr>
          <w:rFonts w:eastAsia="Times New Roman" w:cs="Times New Roman"/>
          <w:color w:val="000000"/>
          <w:szCs w:val="24"/>
        </w:rPr>
        <w:t xml:space="preserve">slēgti par piešķirto </w:t>
      </w:r>
      <w:proofErr w:type="spellStart"/>
      <w:r w:rsidRPr="00E37C4E">
        <w:rPr>
          <w:rFonts w:eastAsia="Times New Roman" w:cs="Times New Roman"/>
          <w:color w:val="000000"/>
          <w:szCs w:val="24"/>
        </w:rPr>
        <w:t>virssaistību</w:t>
      </w:r>
      <w:proofErr w:type="spellEnd"/>
      <w:r w:rsidRPr="00E37C4E">
        <w:rPr>
          <w:rFonts w:eastAsia="Times New Roman" w:cs="Times New Roman"/>
          <w:color w:val="000000"/>
          <w:szCs w:val="24"/>
        </w:rPr>
        <w:t xml:space="preserve"> apjomu. </w:t>
      </w:r>
    </w:p>
    <w:p w14:paraId="71825D61" w14:textId="6F20FA92" w:rsidR="009555BE" w:rsidRPr="001344DE" w:rsidRDefault="00646419" w:rsidP="009C0862">
      <w:pPr>
        <w:spacing w:before="120" w:after="120" w:line="276" w:lineRule="auto"/>
        <w:jc w:val="both"/>
        <w:rPr>
          <w:rFonts w:eastAsia="Times New Roman" w:cs="Times New Roman"/>
          <w:color w:val="000000"/>
          <w:szCs w:val="24"/>
        </w:rPr>
      </w:pPr>
      <w:r>
        <w:rPr>
          <w:rFonts w:eastAsia="Times New Roman" w:cs="Times New Roman"/>
          <w:color w:val="000000"/>
          <w:szCs w:val="24"/>
        </w:rPr>
        <w:t>Kā redzams grafikā Nr. 3, p</w:t>
      </w:r>
      <w:r w:rsidR="00E4425F" w:rsidRPr="00E4425F">
        <w:rPr>
          <w:rFonts w:eastAsia="Times New Roman" w:cs="Times New Roman"/>
          <w:color w:val="000000"/>
          <w:szCs w:val="24"/>
        </w:rPr>
        <w:t>rogress noslēgtajos līgumos vērojams transporta nozarē. Tas saistīts ar 4</w:t>
      </w:r>
      <w:r w:rsidR="00091DE7">
        <w:rPr>
          <w:rFonts w:eastAsia="Times New Roman" w:cs="Times New Roman"/>
          <w:color w:val="000000"/>
          <w:szCs w:val="24"/>
        </w:rPr>
        <w:t>,4 milj.</w:t>
      </w:r>
      <w:r w:rsidR="00E4425F" w:rsidRPr="00E4425F">
        <w:rPr>
          <w:rFonts w:eastAsia="Times New Roman" w:cs="Times New Roman"/>
          <w:color w:val="000000"/>
          <w:szCs w:val="24"/>
        </w:rPr>
        <w:t xml:space="preserve"> </w:t>
      </w:r>
      <w:r w:rsidR="00E4425F" w:rsidRPr="00E4425F">
        <w:rPr>
          <w:rFonts w:eastAsia="Times New Roman" w:cs="Times New Roman"/>
          <w:i/>
          <w:color w:val="000000"/>
          <w:szCs w:val="24"/>
        </w:rPr>
        <w:t>euro</w:t>
      </w:r>
      <w:r w:rsidR="00E4425F" w:rsidRPr="00E4425F">
        <w:rPr>
          <w:rFonts w:eastAsia="Times New Roman" w:cs="Times New Roman"/>
          <w:color w:val="000000"/>
          <w:szCs w:val="24"/>
        </w:rPr>
        <w:t xml:space="preserve"> papildus fi</w:t>
      </w:r>
      <w:r w:rsidR="0020618B">
        <w:rPr>
          <w:rFonts w:eastAsia="Times New Roman" w:cs="Times New Roman"/>
          <w:color w:val="000000"/>
          <w:szCs w:val="24"/>
        </w:rPr>
        <w:t>n</w:t>
      </w:r>
      <w:r w:rsidR="00E4425F" w:rsidRPr="00E4425F">
        <w:rPr>
          <w:rFonts w:eastAsia="Times New Roman" w:cs="Times New Roman"/>
          <w:color w:val="000000"/>
          <w:szCs w:val="24"/>
        </w:rPr>
        <w:t xml:space="preserve">ansējuma piešķiršanu aktivitātes </w:t>
      </w:r>
      <w:r w:rsidR="0020618B">
        <w:rPr>
          <w:rFonts w:eastAsia="Times New Roman" w:cs="Times New Roman"/>
          <w:color w:val="000000"/>
          <w:szCs w:val="24"/>
        </w:rPr>
        <w:t>“</w:t>
      </w:r>
      <w:r w:rsidR="00E4425F" w:rsidRPr="00E4425F">
        <w:rPr>
          <w:rFonts w:eastAsia="Times New Roman" w:cs="Times New Roman"/>
          <w:color w:val="000000"/>
          <w:szCs w:val="24"/>
        </w:rPr>
        <w:t>Publiskais transports ārpus Rīgas</w:t>
      </w:r>
      <w:r w:rsidR="0020618B">
        <w:rPr>
          <w:rFonts w:eastAsia="Times New Roman" w:cs="Times New Roman"/>
          <w:color w:val="000000"/>
          <w:szCs w:val="24"/>
        </w:rPr>
        <w:t>”</w:t>
      </w:r>
      <w:r w:rsidR="00E4425F" w:rsidRPr="00E4425F">
        <w:rPr>
          <w:rFonts w:eastAsia="Times New Roman" w:cs="Times New Roman"/>
          <w:color w:val="000000"/>
          <w:szCs w:val="24"/>
        </w:rPr>
        <w:t xml:space="preserve"> ietvaros īstenotajam projektam „Jaunas tramvaja līnijas izbūve un esošo sliežu posmu rekonstrukcija</w:t>
      </w:r>
      <w:r w:rsidR="004F5CF5">
        <w:rPr>
          <w:rFonts w:eastAsia="Times New Roman" w:cs="Times New Roman"/>
          <w:color w:val="000000"/>
          <w:szCs w:val="24"/>
        </w:rPr>
        <w:t xml:space="preserve"> Liepājā</w:t>
      </w:r>
      <w:r w:rsidR="00E4425F" w:rsidRPr="00E4425F">
        <w:rPr>
          <w:rFonts w:eastAsia="Times New Roman" w:cs="Times New Roman"/>
          <w:color w:val="000000"/>
          <w:szCs w:val="24"/>
        </w:rPr>
        <w:t>” papildu attiecināmo izmaksu līdzfinansēšanai</w:t>
      </w:r>
      <w:r w:rsidR="001344DE">
        <w:rPr>
          <w:rFonts w:eastAsia="Times New Roman" w:cs="Times New Roman"/>
          <w:color w:val="000000"/>
          <w:szCs w:val="24"/>
        </w:rPr>
        <w:t xml:space="preserve">. </w:t>
      </w:r>
    </w:p>
    <w:p w14:paraId="70B224F8" w14:textId="0A913D0C" w:rsidR="009C0862" w:rsidRDefault="009C0862" w:rsidP="003D1AAF">
      <w:pPr>
        <w:jc w:val="both"/>
        <w:rPr>
          <w:i/>
          <w:color w:val="000000" w:themeColor="text1"/>
          <w:szCs w:val="24"/>
          <w:lang w:eastAsia="lv-LV"/>
        </w:rPr>
      </w:pPr>
      <w:r w:rsidRPr="00EF19CF">
        <w:rPr>
          <w:szCs w:val="24"/>
          <w:lang w:eastAsia="lv-LV"/>
        </w:rPr>
        <w:t>Grafiks Nr.</w:t>
      </w:r>
      <w:r w:rsidR="00942E5A">
        <w:rPr>
          <w:szCs w:val="24"/>
          <w:lang w:eastAsia="lv-LV"/>
        </w:rPr>
        <w:t>3</w:t>
      </w:r>
      <w:r w:rsidRPr="00EF19CF">
        <w:rPr>
          <w:szCs w:val="24"/>
          <w:lang w:eastAsia="lv-LV"/>
        </w:rPr>
        <w:t xml:space="preserve"> </w:t>
      </w:r>
      <w:r w:rsidRPr="00EF19CF">
        <w:rPr>
          <w:i/>
          <w:color w:val="000000" w:themeColor="text1"/>
          <w:szCs w:val="24"/>
          <w:lang w:eastAsia="lv-LV"/>
        </w:rPr>
        <w:t>„Informācija par noslēgtajiem lī</w:t>
      </w:r>
      <w:r w:rsidR="00EF19CF" w:rsidRPr="00EF19CF">
        <w:rPr>
          <w:i/>
          <w:color w:val="000000" w:themeColor="text1"/>
          <w:szCs w:val="24"/>
          <w:lang w:eastAsia="lv-LV"/>
        </w:rPr>
        <w:t>gumiem nozarēs līdz 2015.gada 31.decembrim</w:t>
      </w:r>
      <w:r w:rsidRPr="00EF19CF">
        <w:rPr>
          <w:i/>
          <w:color w:val="000000" w:themeColor="text1"/>
          <w:szCs w:val="24"/>
          <w:lang w:eastAsia="lv-LV"/>
        </w:rPr>
        <w:t xml:space="preserve">; ES fondu finansējums, milj. </w:t>
      </w:r>
      <w:r w:rsidRPr="00EF19CF">
        <w:rPr>
          <w:rFonts w:eastAsia="EUAlbertina-Bold-Identity-H"/>
          <w:i/>
          <w:color w:val="000000" w:themeColor="text1"/>
          <w:szCs w:val="24"/>
        </w:rPr>
        <w:t>euro</w:t>
      </w:r>
      <w:r w:rsidRPr="00EF19CF">
        <w:rPr>
          <w:i/>
          <w:color w:val="000000" w:themeColor="text1"/>
          <w:szCs w:val="24"/>
          <w:lang w:eastAsia="lv-LV"/>
        </w:rPr>
        <w:t xml:space="preserve"> (% no kopējā </w:t>
      </w:r>
      <w:bookmarkStart w:id="11" w:name="_GoBack"/>
      <w:bookmarkEnd w:id="11"/>
      <w:r w:rsidRPr="00EF19CF">
        <w:rPr>
          <w:i/>
          <w:color w:val="000000" w:themeColor="text1"/>
          <w:szCs w:val="24"/>
          <w:lang w:eastAsia="lv-LV"/>
        </w:rPr>
        <w:t xml:space="preserve">noslēgto līgumu apjoma), </w:t>
      </w:r>
      <w:r w:rsidRPr="00EF19CF">
        <w:rPr>
          <w:i/>
          <w:iCs/>
          <w:color w:val="000000" w:themeColor="text1"/>
        </w:rPr>
        <w:t>progress pret datiem</w:t>
      </w:r>
      <w:r w:rsidR="00EF19CF" w:rsidRPr="00EF19CF">
        <w:rPr>
          <w:i/>
          <w:color w:val="000000" w:themeColor="text1"/>
        </w:rPr>
        <w:t xml:space="preserve"> līdz 2015</w:t>
      </w:r>
      <w:r w:rsidRPr="00EF19CF">
        <w:rPr>
          <w:i/>
          <w:color w:val="000000" w:themeColor="text1"/>
        </w:rPr>
        <w:t xml:space="preserve">.gada </w:t>
      </w:r>
      <w:r w:rsidR="00EF19CF" w:rsidRPr="00EF19CF">
        <w:rPr>
          <w:i/>
          <w:color w:val="000000" w:themeColor="text1"/>
          <w:szCs w:val="24"/>
          <w:lang w:eastAsia="lv-LV"/>
        </w:rPr>
        <w:t>30.jūnijam</w:t>
      </w:r>
      <w:r w:rsidRPr="00EF19CF">
        <w:rPr>
          <w:i/>
          <w:color w:val="000000" w:themeColor="text1"/>
        </w:rPr>
        <w:t>, %</w:t>
      </w:r>
      <w:r w:rsidRPr="00EF19CF">
        <w:rPr>
          <w:i/>
          <w:color w:val="000000" w:themeColor="text1"/>
          <w:szCs w:val="24"/>
          <w:lang w:eastAsia="lv-LV"/>
        </w:rPr>
        <w:t>”</w:t>
      </w:r>
    </w:p>
    <w:p w14:paraId="6A9222C2" w14:textId="2F49083C" w:rsidR="009A4C2D" w:rsidRDefault="009A4C2D" w:rsidP="003D1AAF">
      <w:pPr>
        <w:jc w:val="both"/>
        <w:rPr>
          <w:i/>
          <w:color w:val="000000" w:themeColor="text1"/>
          <w:szCs w:val="24"/>
          <w:lang w:eastAsia="lv-LV"/>
        </w:rPr>
      </w:pPr>
      <w:r>
        <w:rPr>
          <w:i/>
          <w:noProof/>
          <w:color w:val="000000" w:themeColor="text1"/>
          <w:szCs w:val="24"/>
          <w:lang w:eastAsia="lv-LV"/>
        </w:rPr>
        <w:drawing>
          <wp:inline distT="0" distB="0" distL="0" distR="0" wp14:anchorId="7872120B" wp14:editId="4C42C73D">
            <wp:extent cx="5650230" cy="3303917"/>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51658" cy="3304752"/>
                    </a:xfrm>
                    <a:prstGeom prst="rect">
                      <a:avLst/>
                    </a:prstGeom>
                    <a:noFill/>
                    <a:ln>
                      <a:noFill/>
                    </a:ln>
                  </pic:spPr>
                </pic:pic>
              </a:graphicData>
            </a:graphic>
          </wp:inline>
        </w:drawing>
      </w:r>
    </w:p>
    <w:p w14:paraId="49422F54" w14:textId="77777777" w:rsidR="009C0862" w:rsidRPr="00EF19CF" w:rsidRDefault="009C0862" w:rsidP="009C0862">
      <w:pPr>
        <w:spacing w:after="240" w:line="276" w:lineRule="auto"/>
        <w:jc w:val="both"/>
        <w:rPr>
          <w:rFonts w:eastAsia="Times New Roman" w:cs="Times New Roman"/>
          <w:color w:val="000000"/>
          <w:szCs w:val="24"/>
        </w:rPr>
      </w:pPr>
      <w:r w:rsidRPr="00EF19CF">
        <w:rPr>
          <w:rFonts w:eastAsia="Times New Roman" w:cs="Times New Roman"/>
          <w:color w:val="000000"/>
          <w:szCs w:val="24"/>
        </w:rPr>
        <w:t>* - noslēgtie līgumi % pret pieejamo ES fondu finansējumu nozarē</w:t>
      </w:r>
    </w:p>
    <w:p w14:paraId="6F9E5309" w14:textId="752F5FC9" w:rsidR="006A1BF8" w:rsidRPr="002A650D" w:rsidRDefault="00DB03C3" w:rsidP="009C0862">
      <w:pPr>
        <w:spacing w:before="120" w:after="120" w:line="276" w:lineRule="auto"/>
        <w:jc w:val="both"/>
        <w:rPr>
          <w:color w:val="000000" w:themeColor="text1"/>
          <w:szCs w:val="24"/>
        </w:rPr>
      </w:pPr>
      <w:r w:rsidRPr="002A650D">
        <w:rPr>
          <w:rFonts w:eastAsia="Times New Roman" w:cs="Times New Roman"/>
          <w:color w:val="000000"/>
          <w:szCs w:val="24"/>
        </w:rPr>
        <w:lastRenderedPageBreak/>
        <w:t>J</w:t>
      </w:r>
      <w:r w:rsidR="009C0862" w:rsidRPr="002A650D">
        <w:rPr>
          <w:rFonts w:eastAsia="Times New Roman" w:cs="Times New Roman"/>
          <w:color w:val="000000"/>
          <w:szCs w:val="24"/>
        </w:rPr>
        <w:t>omā</w:t>
      </w:r>
      <w:r w:rsidR="006A1BF8" w:rsidRPr="002A650D">
        <w:rPr>
          <w:rFonts w:eastAsia="Times New Roman" w:cs="Times New Roman"/>
          <w:color w:val="000000"/>
          <w:szCs w:val="24"/>
        </w:rPr>
        <w:t>s, kurās ir vērojami regresi,</w:t>
      </w:r>
      <w:r w:rsidR="009C0862" w:rsidRPr="002A650D">
        <w:rPr>
          <w:rFonts w:eastAsia="Times New Roman" w:cs="Times New Roman"/>
          <w:color w:val="000000"/>
          <w:szCs w:val="24"/>
        </w:rPr>
        <w:t xml:space="preserve"> </w:t>
      </w:r>
      <w:r w:rsidRPr="002A650D">
        <w:rPr>
          <w:rFonts w:eastAsia="Times New Roman" w:cs="Times New Roman"/>
          <w:color w:val="000000"/>
          <w:szCs w:val="24"/>
        </w:rPr>
        <w:t xml:space="preserve">tie ir skaidrojami ar </w:t>
      </w:r>
      <w:r w:rsidR="009C0862" w:rsidRPr="002A650D">
        <w:rPr>
          <w:color w:val="000000"/>
          <w:szCs w:val="24"/>
        </w:rPr>
        <w:t>pārskata periodā precizēti</w:t>
      </w:r>
      <w:r w:rsidR="006A1BF8" w:rsidRPr="002A650D">
        <w:rPr>
          <w:color w:val="000000"/>
          <w:szCs w:val="24"/>
        </w:rPr>
        <w:t>em</w:t>
      </w:r>
      <w:r w:rsidR="009C0862" w:rsidRPr="002A650D">
        <w:rPr>
          <w:color w:val="000000"/>
          <w:szCs w:val="24"/>
        </w:rPr>
        <w:t xml:space="preserve"> projektu finansēšanas plāni</w:t>
      </w:r>
      <w:r w:rsidR="006A1BF8" w:rsidRPr="002A650D">
        <w:rPr>
          <w:color w:val="000000"/>
          <w:szCs w:val="24"/>
        </w:rPr>
        <w:t>em atbilstoši faktiskajām izmaksām (pārsvarā pabeigtajos projektos), kā arī p</w:t>
      </w:r>
      <w:r w:rsidR="002A650D">
        <w:rPr>
          <w:color w:val="000000"/>
          <w:szCs w:val="24"/>
        </w:rPr>
        <w:t>ārtrauktajiem</w:t>
      </w:r>
      <w:r w:rsidR="006A1BF8" w:rsidRPr="002A650D">
        <w:rPr>
          <w:color w:val="000000"/>
          <w:szCs w:val="24"/>
        </w:rPr>
        <w:t xml:space="preserve"> projektiem</w:t>
      </w:r>
      <w:r w:rsidR="009C0862" w:rsidRPr="002A650D">
        <w:rPr>
          <w:color w:val="000000" w:themeColor="text1"/>
          <w:szCs w:val="24"/>
        </w:rPr>
        <w:t xml:space="preserve">. </w:t>
      </w:r>
      <w:r w:rsidR="006A1BF8" w:rsidRPr="002A650D">
        <w:rPr>
          <w:color w:val="000000" w:themeColor="text1"/>
          <w:szCs w:val="24"/>
        </w:rPr>
        <w:t xml:space="preserve">Kopumā pusgada laikā pabeigti 1 012 projekti </w:t>
      </w:r>
      <w:r w:rsidR="002A650D">
        <w:rPr>
          <w:color w:val="000000" w:themeColor="text1"/>
          <w:szCs w:val="24"/>
        </w:rPr>
        <w:t xml:space="preserve"> (503 projekti </w:t>
      </w:r>
      <w:proofErr w:type="spellStart"/>
      <w:r w:rsidR="002A650D">
        <w:rPr>
          <w:color w:val="000000" w:themeColor="text1"/>
          <w:szCs w:val="24"/>
        </w:rPr>
        <w:t>apakšaktivitātē</w:t>
      </w:r>
      <w:proofErr w:type="spellEnd"/>
      <w:r w:rsidR="002A650D">
        <w:rPr>
          <w:color w:val="000000" w:themeColor="text1"/>
          <w:szCs w:val="24"/>
        </w:rPr>
        <w:t xml:space="preserve"> “</w:t>
      </w:r>
      <w:r w:rsidR="002A650D" w:rsidRPr="002A650D">
        <w:rPr>
          <w:color w:val="000000" w:themeColor="text1"/>
          <w:szCs w:val="24"/>
        </w:rPr>
        <w:t>Ārējo tirgu apgūšana - ārējais mārketings</w:t>
      </w:r>
      <w:r w:rsidR="002A650D">
        <w:rPr>
          <w:color w:val="000000" w:themeColor="text1"/>
          <w:szCs w:val="24"/>
        </w:rPr>
        <w:t xml:space="preserve">”, 68 projekti  </w:t>
      </w:r>
      <w:r w:rsidR="00F74558">
        <w:rPr>
          <w:color w:val="000000" w:themeColor="text1"/>
          <w:szCs w:val="24"/>
        </w:rPr>
        <w:t xml:space="preserve">aktivitātē </w:t>
      </w:r>
      <w:r w:rsidR="002A650D">
        <w:rPr>
          <w:color w:val="000000" w:themeColor="text1"/>
          <w:szCs w:val="24"/>
        </w:rPr>
        <w:t>“</w:t>
      </w:r>
      <w:r w:rsidR="00F74558" w:rsidRPr="00F74558">
        <w:rPr>
          <w:color w:val="000000" w:themeColor="text1"/>
          <w:szCs w:val="24"/>
        </w:rPr>
        <w:t>Ūdenssaimniecības infrastruktūras attīstība apdzīvotās vietās ar iedzīvotāju skaitu līdz 2000</w:t>
      </w:r>
      <w:r w:rsidR="00F74558">
        <w:rPr>
          <w:color w:val="000000" w:themeColor="text1"/>
          <w:szCs w:val="24"/>
        </w:rPr>
        <w:t>”</w:t>
      </w:r>
      <w:r w:rsidR="002A650D">
        <w:rPr>
          <w:color w:val="000000" w:themeColor="text1"/>
          <w:szCs w:val="24"/>
        </w:rPr>
        <w:t>)</w:t>
      </w:r>
      <w:r w:rsidR="00091DE7">
        <w:rPr>
          <w:color w:val="000000" w:themeColor="text1"/>
          <w:szCs w:val="24"/>
        </w:rPr>
        <w:t>,</w:t>
      </w:r>
      <w:r w:rsidR="00F74558">
        <w:rPr>
          <w:color w:val="000000" w:themeColor="text1"/>
          <w:szCs w:val="24"/>
        </w:rPr>
        <w:t xml:space="preserve"> </w:t>
      </w:r>
      <w:r w:rsidR="006A1BF8" w:rsidRPr="002A650D">
        <w:rPr>
          <w:color w:val="000000" w:themeColor="text1"/>
          <w:szCs w:val="24"/>
        </w:rPr>
        <w:t xml:space="preserve">savukārt pārtraukti 99 </w:t>
      </w:r>
      <w:r w:rsidR="002A650D">
        <w:rPr>
          <w:color w:val="000000" w:themeColor="text1"/>
          <w:szCs w:val="24"/>
        </w:rPr>
        <w:t xml:space="preserve">projekti </w:t>
      </w:r>
      <w:r w:rsidR="006A1BF8" w:rsidRPr="002A650D">
        <w:rPr>
          <w:color w:val="000000" w:themeColor="text1"/>
          <w:szCs w:val="24"/>
        </w:rPr>
        <w:t>(70 projekti aktivitātē “</w:t>
      </w:r>
      <w:r w:rsidR="002A650D" w:rsidRPr="002A650D">
        <w:rPr>
          <w:color w:val="000000" w:themeColor="text1"/>
          <w:szCs w:val="24"/>
        </w:rPr>
        <w:t xml:space="preserve">Daudzdzīvokļu māju </w:t>
      </w:r>
      <w:proofErr w:type="spellStart"/>
      <w:r w:rsidR="002A650D" w:rsidRPr="002A650D">
        <w:rPr>
          <w:color w:val="000000" w:themeColor="text1"/>
          <w:szCs w:val="24"/>
        </w:rPr>
        <w:t>siltumnoturības</w:t>
      </w:r>
      <w:proofErr w:type="spellEnd"/>
      <w:r w:rsidR="002A650D" w:rsidRPr="002A650D">
        <w:rPr>
          <w:color w:val="000000" w:themeColor="text1"/>
          <w:szCs w:val="24"/>
        </w:rPr>
        <w:t xml:space="preserve"> uzlabošanas pasākumi”, 13 projekti finansiāli ietilpīgajā aktivitātē “Augstas pievienotas vērtības investīcijas”).</w:t>
      </w:r>
    </w:p>
    <w:p w14:paraId="796F4268" w14:textId="7A689712" w:rsidR="009C0862" w:rsidRPr="00EF19CF" w:rsidRDefault="009C0862" w:rsidP="009C0862">
      <w:pPr>
        <w:pStyle w:val="NormalWeb"/>
        <w:shd w:val="clear" w:color="auto" w:fill="FFFFFF"/>
        <w:spacing w:before="120" w:beforeAutospacing="0" w:after="120" w:afterAutospacing="0" w:line="276" w:lineRule="auto"/>
        <w:jc w:val="both"/>
        <w:rPr>
          <w:color w:val="000000" w:themeColor="text1"/>
          <w:lang w:val="lv-LV"/>
        </w:rPr>
      </w:pPr>
      <w:r w:rsidRPr="00EF19CF">
        <w:rPr>
          <w:color w:val="000000" w:themeColor="text1"/>
          <w:lang w:val="lv-LV"/>
        </w:rPr>
        <w:t xml:space="preserve">Detalizētāku informāciju par veiktajām finanšu investīcijām un finanšu progresu skatīt </w:t>
      </w:r>
      <w:r w:rsidRPr="00EF19CF">
        <w:rPr>
          <w:color w:val="000000" w:themeColor="text1"/>
          <w:u w:val="single"/>
          <w:lang w:val="lv-LV"/>
        </w:rPr>
        <w:t>pielikumā Nr</w:t>
      </w:r>
      <w:r w:rsidRPr="00EF19CF">
        <w:rPr>
          <w:color w:val="000000" w:themeColor="text1"/>
          <w:lang w:val="lv-LV"/>
        </w:rPr>
        <w:t>.</w:t>
      </w:r>
      <w:r w:rsidRPr="00EF19CF">
        <w:rPr>
          <w:color w:val="000000" w:themeColor="text1"/>
          <w:u w:val="single"/>
          <w:lang w:val="lv-LV"/>
        </w:rPr>
        <w:t>1</w:t>
      </w:r>
      <w:r w:rsidRPr="00EF19CF">
        <w:rPr>
          <w:color w:val="000000" w:themeColor="text1"/>
          <w:lang w:val="lv-LV"/>
        </w:rPr>
        <w:t xml:space="preserve">, </w:t>
      </w:r>
      <w:r w:rsidRPr="00EF19CF">
        <w:rPr>
          <w:color w:val="000000" w:themeColor="text1"/>
          <w:u w:val="single"/>
          <w:lang w:val="lv-LV"/>
        </w:rPr>
        <w:t>ES fondu tīmekļa vietnē</w:t>
      </w:r>
      <w:r w:rsidRPr="00EF19CF">
        <w:rPr>
          <w:rStyle w:val="FootnoteReference"/>
          <w:color w:val="000000" w:themeColor="text1"/>
          <w:u w:val="single"/>
          <w:lang w:val="lv-LV"/>
        </w:rPr>
        <w:footnoteReference w:id="17"/>
      </w:r>
      <w:r w:rsidRPr="00EF19CF">
        <w:rPr>
          <w:color w:val="000000" w:themeColor="text1"/>
          <w:lang w:val="lv-LV"/>
        </w:rPr>
        <w:t>.</w:t>
      </w:r>
    </w:p>
    <w:p w14:paraId="3C537A08" w14:textId="77777777" w:rsidR="009C0862" w:rsidRPr="00EF19CF" w:rsidRDefault="009C0862" w:rsidP="009C0862">
      <w:pPr>
        <w:spacing w:before="120" w:after="120" w:line="276" w:lineRule="auto"/>
        <w:jc w:val="both"/>
        <w:rPr>
          <w:b/>
          <w:i/>
          <w:color w:val="000000" w:themeColor="text1"/>
          <w:szCs w:val="24"/>
        </w:rPr>
      </w:pPr>
      <w:r w:rsidRPr="00EF19CF">
        <w:rPr>
          <w:b/>
          <w:i/>
          <w:color w:val="000000" w:themeColor="text1"/>
          <w:szCs w:val="24"/>
        </w:rPr>
        <w:t>Iesniegtie un saņemtie maksājumi no EK:</w:t>
      </w:r>
    </w:p>
    <w:p w14:paraId="697D4E42" w14:textId="0BD540B0" w:rsidR="009C0862" w:rsidRPr="00AA6BC5" w:rsidRDefault="009C0862" w:rsidP="009C0862">
      <w:pPr>
        <w:spacing w:before="120" w:after="120" w:line="276" w:lineRule="auto"/>
        <w:jc w:val="both"/>
        <w:rPr>
          <w:color w:val="000000" w:themeColor="text1"/>
          <w:szCs w:val="24"/>
        </w:rPr>
      </w:pPr>
      <w:r w:rsidRPr="00AA6BC5">
        <w:rPr>
          <w:color w:val="000000" w:themeColor="text1"/>
          <w:szCs w:val="24"/>
        </w:rPr>
        <w:t>Līd</w:t>
      </w:r>
      <w:r w:rsidR="00AA6BC5" w:rsidRPr="00AA6BC5">
        <w:rPr>
          <w:color w:val="000000" w:themeColor="text1"/>
          <w:szCs w:val="24"/>
        </w:rPr>
        <w:t>z 2015.gada 31.decembrim</w:t>
      </w:r>
      <w:r w:rsidRPr="00AA6BC5">
        <w:rPr>
          <w:color w:val="000000" w:themeColor="text1"/>
          <w:szCs w:val="24"/>
        </w:rPr>
        <w:t xml:space="preserve"> no EK saņemti st</w:t>
      </w:r>
      <w:r w:rsidR="00AA6BC5" w:rsidRPr="00AA6BC5">
        <w:rPr>
          <w:color w:val="000000" w:themeColor="text1"/>
          <w:szCs w:val="24"/>
        </w:rPr>
        <w:t>arpposma maksājumi un avansi 4,3</w:t>
      </w:r>
      <w:r w:rsidRPr="00AA6BC5">
        <w:rPr>
          <w:color w:val="000000" w:themeColor="text1"/>
          <w:szCs w:val="24"/>
        </w:rPr>
        <w:t xml:space="preserve"> mljrd. </w:t>
      </w:r>
      <w:r w:rsidRPr="00AA6BC5">
        <w:rPr>
          <w:i/>
          <w:color w:val="000000" w:themeColor="text1"/>
          <w:szCs w:val="24"/>
        </w:rPr>
        <w:t>euro</w:t>
      </w:r>
      <w:r w:rsidR="0022055E">
        <w:rPr>
          <w:color w:val="000000" w:themeColor="text1"/>
          <w:szCs w:val="24"/>
        </w:rPr>
        <w:t xml:space="preserve"> apmērā, kas ir 95,</w:t>
      </w:r>
      <w:r w:rsidR="00AA6BC5" w:rsidRPr="00AA6BC5">
        <w:rPr>
          <w:color w:val="000000" w:themeColor="text1"/>
          <w:szCs w:val="24"/>
        </w:rPr>
        <w:t>0</w:t>
      </w:r>
      <w:r w:rsidRPr="00AA6BC5">
        <w:rPr>
          <w:color w:val="000000" w:themeColor="text1"/>
          <w:szCs w:val="24"/>
        </w:rPr>
        <w:t>% no pieejamā ES fondu finansējuma. Sīkāk skatīt grafikā</w:t>
      </w:r>
      <w:r w:rsidR="00C731D5">
        <w:rPr>
          <w:color w:val="000000" w:themeColor="text1"/>
          <w:szCs w:val="24"/>
        </w:rPr>
        <w:t xml:space="preserve"> Nr.4</w:t>
      </w:r>
      <w:r w:rsidRPr="00AA6BC5">
        <w:rPr>
          <w:color w:val="000000" w:themeColor="text1"/>
          <w:szCs w:val="24"/>
        </w:rPr>
        <w:t>.</w:t>
      </w:r>
    </w:p>
    <w:p w14:paraId="07303384" w14:textId="5E09D864" w:rsidR="009C0862" w:rsidRDefault="009C0862" w:rsidP="00E207FF">
      <w:pPr>
        <w:jc w:val="both"/>
        <w:rPr>
          <w:i/>
          <w:color w:val="000000" w:themeColor="text1"/>
          <w:szCs w:val="24"/>
          <w:lang w:eastAsia="lv-LV"/>
        </w:rPr>
      </w:pPr>
      <w:r w:rsidRPr="00AA6BC5">
        <w:rPr>
          <w:szCs w:val="24"/>
          <w:lang w:eastAsia="lv-LV"/>
        </w:rPr>
        <w:t>Grafiks Nr.</w:t>
      </w:r>
      <w:r w:rsidR="00942E5A">
        <w:rPr>
          <w:szCs w:val="24"/>
          <w:lang w:eastAsia="lv-LV"/>
        </w:rPr>
        <w:t>4</w:t>
      </w:r>
      <w:r w:rsidRPr="00AA6BC5">
        <w:rPr>
          <w:szCs w:val="24"/>
          <w:lang w:eastAsia="lv-LV"/>
        </w:rPr>
        <w:t xml:space="preserve"> „</w:t>
      </w:r>
      <w:r w:rsidRPr="00AA6BC5">
        <w:rPr>
          <w:i/>
          <w:color w:val="000000" w:themeColor="text1"/>
          <w:szCs w:val="24"/>
          <w:lang w:eastAsia="lv-LV"/>
        </w:rPr>
        <w:t>EK iesniegtie starpposma maksājumu pieprasījumi un no EK saņemtie starpposma un av</w:t>
      </w:r>
      <w:r w:rsidR="00AA6BC5" w:rsidRPr="00AA6BC5">
        <w:rPr>
          <w:i/>
          <w:color w:val="000000" w:themeColor="text1"/>
          <w:szCs w:val="24"/>
          <w:lang w:eastAsia="lv-LV"/>
        </w:rPr>
        <w:t>ansu maksājumi līdz 2015.gada 31.decembrim</w:t>
      </w:r>
      <w:r w:rsidRPr="00AA6BC5">
        <w:rPr>
          <w:i/>
          <w:color w:val="000000" w:themeColor="text1"/>
          <w:szCs w:val="24"/>
          <w:lang w:eastAsia="lv-LV"/>
        </w:rPr>
        <w:t xml:space="preserve">, milj. euro (% no pieejamā ES fondu finansējuma)” </w:t>
      </w:r>
    </w:p>
    <w:p w14:paraId="3EF01695" w14:textId="3E7818E9" w:rsidR="006E65A3" w:rsidRDefault="006E65A3" w:rsidP="00E207FF">
      <w:pPr>
        <w:jc w:val="both"/>
        <w:rPr>
          <w:i/>
          <w:color w:val="000000" w:themeColor="text1"/>
          <w:szCs w:val="24"/>
          <w:lang w:eastAsia="lv-LV"/>
        </w:rPr>
      </w:pPr>
      <w:r>
        <w:rPr>
          <w:i/>
          <w:noProof/>
          <w:color w:val="000000" w:themeColor="text1"/>
          <w:szCs w:val="24"/>
          <w:lang w:eastAsia="lv-LV"/>
        </w:rPr>
        <w:drawing>
          <wp:inline distT="0" distB="0" distL="0" distR="0" wp14:anchorId="024EF836" wp14:editId="3872ADD8">
            <wp:extent cx="5648325" cy="33051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48325" cy="3305175"/>
                    </a:xfrm>
                    <a:prstGeom prst="rect">
                      <a:avLst/>
                    </a:prstGeom>
                    <a:noFill/>
                    <a:ln>
                      <a:noFill/>
                    </a:ln>
                  </pic:spPr>
                </pic:pic>
              </a:graphicData>
            </a:graphic>
          </wp:inline>
        </w:drawing>
      </w:r>
    </w:p>
    <w:p w14:paraId="007A7F4F" w14:textId="77777777" w:rsidR="006E65A3" w:rsidRPr="00E207FF" w:rsidRDefault="006E65A3" w:rsidP="00E207FF">
      <w:pPr>
        <w:jc w:val="both"/>
        <w:rPr>
          <w:szCs w:val="24"/>
          <w:lang w:eastAsia="lv-LV"/>
        </w:rPr>
      </w:pPr>
    </w:p>
    <w:p w14:paraId="0D7D60BA" w14:textId="4FDA3661" w:rsidR="009C0862" w:rsidRPr="0022055E" w:rsidRDefault="0022055E" w:rsidP="009C0862">
      <w:pPr>
        <w:spacing w:before="120" w:after="120" w:line="276" w:lineRule="auto"/>
        <w:jc w:val="both"/>
        <w:rPr>
          <w:color w:val="000000" w:themeColor="text1"/>
          <w:szCs w:val="24"/>
        </w:rPr>
      </w:pPr>
      <w:r w:rsidRPr="0022055E">
        <w:rPr>
          <w:color w:val="000000" w:themeColor="text1"/>
          <w:szCs w:val="24"/>
        </w:rPr>
        <w:t xml:space="preserve">2015.gadā </w:t>
      </w:r>
      <w:r w:rsidR="009C0862" w:rsidRPr="0022055E">
        <w:rPr>
          <w:color w:val="000000" w:themeColor="text1"/>
          <w:szCs w:val="24"/>
        </w:rPr>
        <w:t xml:space="preserve">no EK pieprasīti </w:t>
      </w:r>
      <w:r w:rsidRPr="0022055E">
        <w:rPr>
          <w:color w:val="000000" w:themeColor="text1"/>
          <w:szCs w:val="24"/>
        </w:rPr>
        <w:t xml:space="preserve">un saņemti </w:t>
      </w:r>
      <w:r w:rsidR="009C0862" w:rsidRPr="0022055E">
        <w:rPr>
          <w:color w:val="000000" w:themeColor="text1"/>
          <w:szCs w:val="24"/>
        </w:rPr>
        <w:t xml:space="preserve">maksājumi </w:t>
      </w:r>
      <w:r w:rsidRPr="0022055E">
        <w:rPr>
          <w:color w:val="000000" w:themeColor="text1"/>
          <w:szCs w:val="24"/>
        </w:rPr>
        <w:t>474,9</w:t>
      </w:r>
      <w:r w:rsidR="009C0862" w:rsidRPr="0022055E">
        <w:rPr>
          <w:color w:val="000000" w:themeColor="text1"/>
          <w:szCs w:val="24"/>
        </w:rPr>
        <w:t xml:space="preserve"> milj. </w:t>
      </w:r>
      <w:r w:rsidR="009C0862" w:rsidRPr="0022055E">
        <w:rPr>
          <w:i/>
          <w:color w:val="000000" w:themeColor="text1"/>
          <w:szCs w:val="24"/>
        </w:rPr>
        <w:t xml:space="preserve">euro </w:t>
      </w:r>
      <w:r w:rsidRPr="0022055E">
        <w:rPr>
          <w:color w:val="000000" w:themeColor="text1"/>
          <w:szCs w:val="24"/>
        </w:rPr>
        <w:t xml:space="preserve">jeb 10,5% </w:t>
      </w:r>
      <w:r w:rsidR="009C0862" w:rsidRPr="0022055E">
        <w:rPr>
          <w:color w:val="000000" w:themeColor="text1"/>
          <w:szCs w:val="24"/>
        </w:rPr>
        <w:t xml:space="preserve">no pieejamā ES fondu finansējuma. Dalījumā pa fondiem – KF ietvaros saņemti </w:t>
      </w:r>
      <w:r w:rsidRPr="0022055E">
        <w:rPr>
          <w:color w:val="000000" w:themeColor="text1"/>
          <w:szCs w:val="24"/>
        </w:rPr>
        <w:t>194,3</w:t>
      </w:r>
      <w:r w:rsidR="009C0862" w:rsidRPr="0022055E">
        <w:rPr>
          <w:color w:val="000000" w:themeColor="text1"/>
          <w:szCs w:val="24"/>
        </w:rPr>
        <w:t xml:space="preserve"> milj. </w:t>
      </w:r>
      <w:r w:rsidR="009C0862" w:rsidRPr="0022055E">
        <w:rPr>
          <w:i/>
          <w:color w:val="000000" w:themeColor="text1"/>
          <w:szCs w:val="24"/>
        </w:rPr>
        <w:t>euro</w:t>
      </w:r>
      <w:r w:rsidRPr="0022055E">
        <w:rPr>
          <w:color w:val="000000" w:themeColor="text1"/>
          <w:szCs w:val="24"/>
        </w:rPr>
        <w:t xml:space="preserve"> (12,6</w:t>
      </w:r>
      <w:r w:rsidR="009C0862" w:rsidRPr="0022055E">
        <w:rPr>
          <w:color w:val="000000" w:themeColor="text1"/>
          <w:szCs w:val="24"/>
        </w:rPr>
        <w:t xml:space="preserve">%), </w:t>
      </w:r>
      <w:r w:rsidRPr="0022055E">
        <w:rPr>
          <w:color w:val="000000" w:themeColor="text1"/>
          <w:szCs w:val="24"/>
        </w:rPr>
        <w:t>ERAF – 280,6</w:t>
      </w:r>
      <w:r w:rsidR="009C0862" w:rsidRPr="0022055E">
        <w:rPr>
          <w:color w:val="000000" w:themeColor="text1"/>
          <w:szCs w:val="24"/>
        </w:rPr>
        <w:t xml:space="preserve"> milj. </w:t>
      </w:r>
      <w:r w:rsidR="009C0862" w:rsidRPr="0022055E">
        <w:rPr>
          <w:i/>
          <w:color w:val="000000" w:themeColor="text1"/>
          <w:szCs w:val="24"/>
        </w:rPr>
        <w:t>euro</w:t>
      </w:r>
      <w:r w:rsidRPr="0022055E">
        <w:rPr>
          <w:color w:val="000000" w:themeColor="text1"/>
          <w:szCs w:val="24"/>
        </w:rPr>
        <w:t xml:space="preserve"> (11,7</w:t>
      </w:r>
      <w:r w:rsidR="009C0862" w:rsidRPr="0022055E">
        <w:rPr>
          <w:color w:val="000000" w:themeColor="text1"/>
          <w:szCs w:val="24"/>
        </w:rPr>
        <w:t xml:space="preserve">%). ESF ietvaros kopumā saņemts maksimāli iespējamais finansējuma apjoms līdz noslēguma maksājuma iesniegšanai – 553,9 milj. </w:t>
      </w:r>
      <w:r w:rsidR="009C0862" w:rsidRPr="0022055E">
        <w:rPr>
          <w:i/>
          <w:color w:val="000000" w:themeColor="text1"/>
          <w:szCs w:val="24"/>
        </w:rPr>
        <w:t>euro</w:t>
      </w:r>
      <w:r w:rsidR="009C0862" w:rsidRPr="0022055E">
        <w:rPr>
          <w:color w:val="000000" w:themeColor="text1"/>
          <w:szCs w:val="24"/>
        </w:rPr>
        <w:t xml:space="preserve"> jeb 95,0%. </w:t>
      </w:r>
    </w:p>
    <w:p w14:paraId="665448B7" w14:textId="77777777" w:rsidR="00DD2617" w:rsidRDefault="00DD2617">
      <w:pPr>
        <w:rPr>
          <w:b/>
          <w:i/>
          <w:color w:val="000000" w:themeColor="text1"/>
          <w:szCs w:val="24"/>
        </w:rPr>
      </w:pPr>
      <w:r>
        <w:rPr>
          <w:b/>
          <w:i/>
          <w:color w:val="000000" w:themeColor="text1"/>
          <w:szCs w:val="24"/>
        </w:rPr>
        <w:br w:type="page"/>
      </w:r>
    </w:p>
    <w:p w14:paraId="78284758" w14:textId="03CCE405" w:rsidR="009C0862" w:rsidRPr="00006CA1" w:rsidRDefault="009C0862" w:rsidP="00D05205">
      <w:pPr>
        <w:rPr>
          <w:b/>
          <w:i/>
          <w:color w:val="000000" w:themeColor="text1"/>
          <w:szCs w:val="24"/>
        </w:rPr>
      </w:pPr>
      <w:r w:rsidRPr="00006CA1">
        <w:rPr>
          <w:b/>
          <w:i/>
          <w:color w:val="000000" w:themeColor="text1"/>
          <w:szCs w:val="24"/>
        </w:rPr>
        <w:lastRenderedPageBreak/>
        <w:t>Maksājumu mērķu sasniegšana:</w:t>
      </w:r>
    </w:p>
    <w:p w14:paraId="5F3C3ED2" w14:textId="2AAED4D5" w:rsidR="00340A09" w:rsidRPr="00C731D5" w:rsidRDefault="009C0862" w:rsidP="00E444B0">
      <w:pPr>
        <w:spacing w:before="120" w:after="120" w:line="276" w:lineRule="auto"/>
        <w:jc w:val="both"/>
        <w:rPr>
          <w:szCs w:val="24"/>
          <w:highlight w:val="yellow"/>
        </w:rPr>
      </w:pPr>
      <w:r w:rsidRPr="00006CA1">
        <w:rPr>
          <w:color w:val="000000" w:themeColor="text1"/>
          <w:szCs w:val="24"/>
        </w:rPr>
        <w:t xml:space="preserve">Lai nodrošinātu sekmīgu ES fondu investīciju projektu īstenošanu, MK </w:t>
      </w:r>
      <w:r w:rsidR="00451254" w:rsidRPr="00006CA1">
        <w:rPr>
          <w:color w:val="000000" w:themeColor="text1"/>
          <w:szCs w:val="24"/>
        </w:rPr>
        <w:t xml:space="preserve">2015.gada 10.marta </w:t>
      </w:r>
      <w:r w:rsidRPr="00006CA1">
        <w:rPr>
          <w:color w:val="000000" w:themeColor="text1"/>
          <w:szCs w:val="24"/>
        </w:rPr>
        <w:t>sēdē</w:t>
      </w:r>
      <w:r w:rsidRPr="00006CA1">
        <w:rPr>
          <w:color w:val="000000" w:themeColor="text1"/>
          <w:szCs w:val="24"/>
          <w:vertAlign w:val="superscript"/>
        </w:rPr>
        <w:footnoteReference w:id="18"/>
      </w:r>
      <w:r w:rsidRPr="00006CA1">
        <w:rPr>
          <w:color w:val="000000" w:themeColor="text1"/>
          <w:szCs w:val="24"/>
        </w:rPr>
        <w:t xml:space="preserve"> tika apstiprināti 2015.gada mērķi maksājumiem finansējuma saņēmējiem par ES </w:t>
      </w:r>
      <w:r w:rsidRPr="00006CA1">
        <w:rPr>
          <w:szCs w:val="24"/>
        </w:rPr>
        <w:t xml:space="preserve">līdzfinansējuma daļu kopā </w:t>
      </w:r>
      <w:r w:rsidRPr="00006CA1">
        <w:rPr>
          <w:color w:val="000000" w:themeColor="text1"/>
          <w:szCs w:val="24"/>
        </w:rPr>
        <w:t xml:space="preserve">vismaz 669,6 milj. </w:t>
      </w:r>
      <w:r w:rsidRPr="00571CF3">
        <w:rPr>
          <w:i/>
          <w:szCs w:val="24"/>
        </w:rPr>
        <w:t>euro</w:t>
      </w:r>
      <w:r w:rsidRPr="00571CF3">
        <w:rPr>
          <w:szCs w:val="24"/>
        </w:rPr>
        <w:t xml:space="preserve">, kas </w:t>
      </w:r>
      <w:r w:rsidR="00F17143" w:rsidRPr="00571CF3">
        <w:rPr>
          <w:szCs w:val="24"/>
        </w:rPr>
        <w:t xml:space="preserve">izpildīti </w:t>
      </w:r>
      <w:r w:rsidR="00571CF3" w:rsidRPr="00571CF3">
        <w:rPr>
          <w:szCs w:val="24"/>
        </w:rPr>
        <w:t>82,5</w:t>
      </w:r>
      <w:r w:rsidR="00F17143" w:rsidRPr="00571CF3">
        <w:rPr>
          <w:szCs w:val="24"/>
        </w:rPr>
        <w:t xml:space="preserve">% apmērā. </w:t>
      </w:r>
      <w:r w:rsidR="005A13D7" w:rsidRPr="00571CF3">
        <w:rPr>
          <w:szCs w:val="24"/>
        </w:rPr>
        <w:t xml:space="preserve">Savukārt, ņemot vērā </w:t>
      </w:r>
      <w:r w:rsidR="005A13D7" w:rsidRPr="00571CF3">
        <w:rPr>
          <w:rFonts w:eastAsia="Calibri" w:cs="Times New Roman"/>
          <w:szCs w:val="24"/>
          <w:lang w:eastAsia="ar-SA"/>
        </w:rPr>
        <w:t>aktu</w:t>
      </w:r>
      <w:r w:rsidR="00782262">
        <w:rPr>
          <w:rFonts w:eastAsia="Calibri" w:cs="Times New Roman"/>
          <w:szCs w:val="24"/>
          <w:lang w:eastAsia="ar-SA"/>
        </w:rPr>
        <w:t>a</w:t>
      </w:r>
      <w:r w:rsidR="005A13D7" w:rsidRPr="00571CF3">
        <w:rPr>
          <w:rFonts w:eastAsia="Calibri" w:cs="Times New Roman"/>
          <w:szCs w:val="24"/>
          <w:lang w:eastAsia="ar-SA"/>
        </w:rPr>
        <w:t>lizētās prognozes</w:t>
      </w:r>
      <w:r w:rsidR="00006CA1" w:rsidRPr="00571CF3">
        <w:rPr>
          <w:rStyle w:val="FootnoteReference"/>
          <w:rFonts w:eastAsia="Times New Roman" w:cs="Times New Roman"/>
          <w:szCs w:val="24"/>
          <w:lang w:eastAsia="lv-LV"/>
        </w:rPr>
        <w:footnoteReference w:id="19"/>
      </w:r>
      <w:r w:rsidR="005A13D7" w:rsidRPr="00571CF3">
        <w:rPr>
          <w:rFonts w:eastAsia="Calibri" w:cs="Times New Roman"/>
          <w:szCs w:val="24"/>
          <w:lang w:eastAsia="ar-SA"/>
        </w:rPr>
        <w:t xml:space="preserve">  - tās izpildītas </w:t>
      </w:r>
      <w:r w:rsidR="00571CF3" w:rsidRPr="00571CF3">
        <w:rPr>
          <w:rFonts w:eastAsia="Calibri" w:cs="Times New Roman"/>
          <w:szCs w:val="24"/>
          <w:lang w:eastAsia="ar-SA"/>
        </w:rPr>
        <w:t xml:space="preserve">89,5% apmērā. </w:t>
      </w:r>
      <w:r w:rsidR="001344DE">
        <w:rPr>
          <w:rFonts w:eastAsia="Calibri" w:cs="Times New Roman"/>
          <w:szCs w:val="24"/>
          <w:lang w:eastAsia="ar-SA"/>
        </w:rPr>
        <w:t>Detalizētāka informācija</w:t>
      </w:r>
      <w:r w:rsidR="00097E5C">
        <w:rPr>
          <w:rFonts w:eastAsia="Calibri" w:cs="Times New Roman"/>
          <w:szCs w:val="24"/>
          <w:lang w:eastAsia="ar-SA"/>
        </w:rPr>
        <w:t>, t.sk.</w:t>
      </w:r>
      <w:r w:rsidR="001344DE">
        <w:rPr>
          <w:rFonts w:eastAsia="Calibri" w:cs="Times New Roman"/>
          <w:szCs w:val="24"/>
          <w:lang w:eastAsia="ar-SA"/>
        </w:rPr>
        <w:t xml:space="preserve"> </w:t>
      </w:r>
      <w:r w:rsidR="00097E5C">
        <w:rPr>
          <w:rFonts w:eastAsia="Calibri" w:cs="Times New Roman"/>
          <w:szCs w:val="24"/>
          <w:lang w:eastAsia="ar-SA"/>
        </w:rPr>
        <w:t>par ES fondu valsts budžeta izpildi, katru</w:t>
      </w:r>
      <w:r w:rsidR="001344DE">
        <w:rPr>
          <w:rFonts w:eastAsia="Calibri" w:cs="Times New Roman"/>
          <w:szCs w:val="24"/>
          <w:lang w:eastAsia="ar-SA"/>
        </w:rPr>
        <w:t xml:space="preserve"> mēnesi tiek </w:t>
      </w:r>
      <w:r w:rsidR="001344DE" w:rsidRPr="00C731D5">
        <w:rPr>
          <w:rFonts w:eastAsia="Calibri" w:cs="Times New Roman"/>
          <w:szCs w:val="24"/>
          <w:lang w:eastAsia="ar-SA"/>
        </w:rPr>
        <w:t>apkopota</w:t>
      </w:r>
      <w:r w:rsidR="00F12F7A" w:rsidRPr="00C731D5">
        <w:rPr>
          <w:rFonts w:eastAsia="Calibri" w:cs="Times New Roman"/>
          <w:szCs w:val="24"/>
          <w:lang w:eastAsia="ar-SA"/>
        </w:rPr>
        <w:t xml:space="preserve"> un iesniegta MK ar </w:t>
      </w:r>
      <w:r w:rsidR="00F12F7A" w:rsidRPr="00C731D5">
        <w:rPr>
          <w:shd w:val="clear" w:color="auto" w:fill="FFFFFF"/>
        </w:rPr>
        <w:t>operatīvo pārskatu par ES Kohēzijas politikas fondu ieviešanas plānu izpildi</w:t>
      </w:r>
      <w:r w:rsidR="00F12F7A" w:rsidRPr="00C731D5">
        <w:rPr>
          <w:rStyle w:val="FootnoteReference"/>
          <w:shd w:val="clear" w:color="auto" w:fill="FFFFFF"/>
        </w:rPr>
        <w:footnoteReference w:id="20"/>
      </w:r>
      <w:r w:rsidR="00F12F7A" w:rsidRPr="00C731D5">
        <w:rPr>
          <w:shd w:val="clear" w:color="auto" w:fill="FFFFFF"/>
        </w:rPr>
        <w:t xml:space="preserve">. </w:t>
      </w:r>
      <w:r w:rsidR="00091DE7">
        <w:rPr>
          <w:shd w:val="clear" w:color="auto" w:fill="FFFFFF"/>
        </w:rPr>
        <w:t>I</w:t>
      </w:r>
      <w:r w:rsidR="00F12F7A" w:rsidRPr="00C731D5">
        <w:rPr>
          <w:shd w:val="clear" w:color="auto" w:fill="FFFFFF"/>
        </w:rPr>
        <w:t xml:space="preserve">kmēneša informatīvais ziņojums par Eiropas Savienības struktūrfondu un Kohēzijas fonda investīciju progresu līdz 2015.gada 31.decembrim iesniegts MK 2016.gada 29.janvārī. </w:t>
      </w:r>
    </w:p>
    <w:p w14:paraId="7119418D" w14:textId="5BB75310" w:rsidR="008F60A3" w:rsidRPr="00033009" w:rsidRDefault="008F60A3" w:rsidP="00E80989">
      <w:pPr>
        <w:rPr>
          <w:i/>
          <w:szCs w:val="24"/>
          <w:lang w:eastAsia="lv-LV"/>
        </w:rPr>
      </w:pPr>
      <w:r w:rsidRPr="00033009">
        <w:rPr>
          <w:rFonts w:eastAsia="EUAlbertina-Bold-Identity-H"/>
          <w:b/>
          <w:i/>
          <w:color w:val="000000" w:themeColor="text1"/>
          <w:szCs w:val="24"/>
        </w:rPr>
        <w:t>Izdevumu plūsma 2007.-2013. gada plānošanas periodā</w:t>
      </w:r>
    </w:p>
    <w:p w14:paraId="002B85AC" w14:textId="4D60E2E9" w:rsidR="008F60A3" w:rsidRPr="001344DE" w:rsidRDefault="008F60A3" w:rsidP="008F60A3">
      <w:pPr>
        <w:spacing w:before="120" w:after="120" w:line="276" w:lineRule="auto"/>
        <w:jc w:val="both"/>
        <w:rPr>
          <w:rFonts w:eastAsia="Times New Roman" w:cs="Times New Roman"/>
          <w:color w:val="000000"/>
          <w:szCs w:val="24"/>
        </w:rPr>
      </w:pPr>
      <w:r w:rsidRPr="00F81C02">
        <w:rPr>
          <w:rFonts w:eastAsia="Times New Roman" w:cs="Times New Roman"/>
          <w:color w:val="000000"/>
          <w:szCs w:val="24"/>
        </w:rPr>
        <w:t xml:space="preserve">Šobrīd secināms, ka </w:t>
      </w:r>
      <w:r>
        <w:rPr>
          <w:rFonts w:eastAsia="Times New Roman" w:cs="Times New Roman"/>
          <w:color w:val="000000"/>
          <w:szCs w:val="24"/>
        </w:rPr>
        <w:t xml:space="preserve">dēļ iepriekšējo gadu finanšu plānu novirzēm 2007.-2013.gada plānošanas periodam palielinājies plānotais </w:t>
      </w:r>
      <w:r w:rsidRPr="00F81C02">
        <w:rPr>
          <w:rFonts w:eastAsia="Times New Roman" w:cs="Times New Roman"/>
          <w:color w:val="000000"/>
          <w:szCs w:val="24"/>
        </w:rPr>
        <w:t xml:space="preserve">izdevumu </w:t>
      </w:r>
      <w:r>
        <w:rPr>
          <w:rFonts w:eastAsia="Times New Roman" w:cs="Times New Roman"/>
          <w:color w:val="000000"/>
          <w:szCs w:val="24"/>
        </w:rPr>
        <w:t>apjoms</w:t>
      </w:r>
      <w:r w:rsidRPr="00F81C02">
        <w:rPr>
          <w:rFonts w:eastAsia="Times New Roman" w:cs="Times New Roman"/>
          <w:color w:val="000000"/>
          <w:szCs w:val="24"/>
        </w:rPr>
        <w:t xml:space="preserve"> </w:t>
      </w:r>
      <w:r>
        <w:rPr>
          <w:rFonts w:eastAsia="Times New Roman" w:cs="Times New Roman"/>
          <w:color w:val="000000"/>
          <w:szCs w:val="24"/>
        </w:rPr>
        <w:t>2016.gada sākumā</w:t>
      </w:r>
      <w:r w:rsidR="00C731D5">
        <w:rPr>
          <w:rFonts w:eastAsia="Times New Roman" w:cs="Times New Roman"/>
          <w:color w:val="000000"/>
          <w:szCs w:val="24"/>
        </w:rPr>
        <w:t xml:space="preserve"> (skatīt grafik</w:t>
      </w:r>
      <w:r w:rsidR="00367480">
        <w:rPr>
          <w:rFonts w:eastAsia="Times New Roman" w:cs="Times New Roman"/>
          <w:color w:val="000000"/>
          <w:szCs w:val="24"/>
        </w:rPr>
        <w:t>u</w:t>
      </w:r>
      <w:r w:rsidR="00C731D5">
        <w:rPr>
          <w:rFonts w:eastAsia="Times New Roman" w:cs="Times New Roman"/>
          <w:color w:val="000000"/>
          <w:szCs w:val="24"/>
        </w:rPr>
        <w:t xml:space="preserve"> Nr.5)</w:t>
      </w:r>
      <w:r>
        <w:rPr>
          <w:rFonts w:eastAsia="Times New Roman" w:cs="Times New Roman"/>
          <w:color w:val="000000"/>
          <w:szCs w:val="24"/>
        </w:rPr>
        <w:t>, ņemot vērā, ka turpinās projektu noslēguma pārskatu izskatīšana un neatbilstību kontrole, kas liedza veikt plānotās atmaksas finansējuma saņēmējiem 2015.gadā.</w:t>
      </w:r>
    </w:p>
    <w:p w14:paraId="20B3C6B1" w14:textId="3D8E152D" w:rsidR="008F60A3" w:rsidRDefault="002A71B1" w:rsidP="008F60A3">
      <w:pPr>
        <w:spacing w:before="120" w:after="120" w:line="276" w:lineRule="auto"/>
        <w:jc w:val="both"/>
        <w:rPr>
          <w:rFonts w:eastAsia="EUAlbertina-Bold-Identity-H"/>
          <w:i/>
          <w:color w:val="000000" w:themeColor="text1"/>
          <w:szCs w:val="24"/>
        </w:rPr>
      </w:pPr>
      <w:r>
        <w:rPr>
          <w:szCs w:val="24"/>
          <w:lang w:eastAsia="lv-LV"/>
        </w:rPr>
        <w:t>Grafiks Nr.</w:t>
      </w:r>
      <w:r w:rsidR="00942E5A">
        <w:rPr>
          <w:szCs w:val="24"/>
          <w:lang w:eastAsia="lv-LV"/>
        </w:rPr>
        <w:t>5</w:t>
      </w:r>
      <w:r w:rsidR="008F60A3" w:rsidRPr="002735F4">
        <w:rPr>
          <w:szCs w:val="24"/>
          <w:lang w:eastAsia="lv-LV"/>
        </w:rPr>
        <w:t xml:space="preserve"> </w:t>
      </w:r>
      <w:r w:rsidR="008F60A3" w:rsidRPr="002735F4">
        <w:rPr>
          <w:rFonts w:eastAsia="EUAlbertina-Bold-Identity-H"/>
          <w:i/>
          <w:color w:val="000000" w:themeColor="text1"/>
          <w:szCs w:val="24"/>
        </w:rPr>
        <w:t>„Izdevumu plūsma 2007.-2013. gada plānošanas periodā, milj. euro”</w:t>
      </w:r>
    </w:p>
    <w:p w14:paraId="2BDA386A" w14:textId="7B9B23D3" w:rsidR="008F60A3" w:rsidRPr="009A4C2D" w:rsidRDefault="009A4C2D" w:rsidP="008F60A3">
      <w:pPr>
        <w:spacing w:before="120" w:after="120" w:line="276" w:lineRule="auto"/>
        <w:jc w:val="both"/>
        <w:rPr>
          <w:rFonts w:eastAsia="EUAlbertina-Bold-Identity-H"/>
          <w:szCs w:val="24"/>
          <w:lang w:eastAsia="lv-LV"/>
        </w:rPr>
      </w:pPr>
      <w:r>
        <w:rPr>
          <w:rFonts w:eastAsia="EUAlbertina-Bold-Identity-H"/>
          <w:noProof/>
          <w:szCs w:val="24"/>
          <w:lang w:eastAsia="lv-LV"/>
        </w:rPr>
        <w:drawing>
          <wp:inline distT="0" distB="0" distL="0" distR="0" wp14:anchorId="7CBD0711" wp14:editId="30F9E483">
            <wp:extent cx="5648325" cy="32004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48325" cy="3200400"/>
                    </a:xfrm>
                    <a:prstGeom prst="rect">
                      <a:avLst/>
                    </a:prstGeom>
                    <a:noFill/>
                    <a:ln>
                      <a:noFill/>
                    </a:ln>
                  </pic:spPr>
                </pic:pic>
              </a:graphicData>
            </a:graphic>
          </wp:inline>
        </w:drawing>
      </w:r>
    </w:p>
    <w:p w14:paraId="42CFC63B" w14:textId="0425D43C" w:rsidR="00054C21" w:rsidRPr="00033009" w:rsidRDefault="00054C21" w:rsidP="00BD7DB8">
      <w:pPr>
        <w:spacing w:before="120" w:after="120" w:line="276" w:lineRule="auto"/>
        <w:jc w:val="both"/>
        <w:rPr>
          <w:b/>
          <w:i/>
          <w:szCs w:val="24"/>
        </w:rPr>
      </w:pPr>
      <w:r w:rsidRPr="00033009">
        <w:rPr>
          <w:b/>
          <w:i/>
          <w:szCs w:val="24"/>
        </w:rPr>
        <w:t>Prognoze ES finansējuma izmantošanai 2007-2013.gadu perioda noslēgumā</w:t>
      </w:r>
    </w:p>
    <w:p w14:paraId="36AC2FB1" w14:textId="6A8CB486" w:rsidR="00AA6B06" w:rsidRDefault="009422D6" w:rsidP="00FB601B">
      <w:pPr>
        <w:spacing w:before="120" w:after="120" w:line="276" w:lineRule="auto"/>
        <w:jc w:val="both"/>
      </w:pPr>
      <w:r>
        <w:t>Tabulā Nr.1</w:t>
      </w:r>
      <w:r w:rsidR="00AA6B06">
        <w:t xml:space="preserve"> attēlotas VI aktualizētās a</w:t>
      </w:r>
      <w:r w:rsidR="00AA6B06" w:rsidRPr="00AA6B06">
        <w:t>plēses deklarējamiem ES fondu izdevumiem līdz perioda beigām</w:t>
      </w:r>
      <w:r w:rsidR="00AA6B06">
        <w:t xml:space="preserve">, par kuriem attiecīgi varēsim saņemt EK atmaksas (skatīt 4.kolonnu), </w:t>
      </w:r>
      <w:r w:rsidR="00381841">
        <w:t>ņ</w:t>
      </w:r>
      <w:r w:rsidR="003B5F19" w:rsidRPr="008754F5">
        <w:t xml:space="preserve">emot vērā </w:t>
      </w:r>
      <w:r w:rsidR="00946CD0" w:rsidRPr="00946CD0">
        <w:t>VI “reālistisk</w:t>
      </w:r>
      <w:r w:rsidR="00946CD0">
        <w:t>o” scenāriju</w:t>
      </w:r>
      <w:r w:rsidR="00946CD0" w:rsidRPr="00946CD0">
        <w:t>, ko varētu apzīmēt ar vidēji augstas varbūtības riska kategoriju – vadāmie riski un normālā situācijā maksimāli iespējamie, balstoties uz šī brīža zināmiem faktiem un saprātīgiem pieņēmumiem.</w:t>
      </w:r>
      <w:r w:rsidR="00AA6B06">
        <w:t xml:space="preserve"> </w:t>
      </w:r>
      <w:r w:rsidR="00CD3090">
        <w:t>A</w:t>
      </w:r>
      <w:r w:rsidR="00CD3090" w:rsidRPr="00CD3090">
        <w:t xml:space="preserve">ktuālākās aplēses liecina, ka Latvijai ir iespēja </w:t>
      </w:r>
      <w:r w:rsidR="00CD3090" w:rsidRPr="00CD3090">
        <w:lastRenderedPageBreak/>
        <w:t xml:space="preserve">sekmīgi saņemt visu Latvijai plānoto ES līdzfinansējumu. Tomēr, ņemot vērā to, ka vēl notiek pēdējās pārbaudes un slēguma dokumentu gatavošana, precīzāka informācija būs pieejama 2016.gada 2.pusē. </w:t>
      </w:r>
    </w:p>
    <w:p w14:paraId="3914C8E9" w14:textId="02234DAC" w:rsidR="00AA6B06" w:rsidRPr="001A67AD" w:rsidRDefault="00AA6B06" w:rsidP="001A67AD">
      <w:r w:rsidRPr="00C51850">
        <w:t>Tabula Nr.1 “</w:t>
      </w:r>
      <w:r w:rsidRPr="00C51850">
        <w:rPr>
          <w:i/>
        </w:rPr>
        <w:t xml:space="preserve">Aplēses teorētiski deklarējamiem ES fondu izdevumiem līdz perioda beigām </w:t>
      </w:r>
      <w:r>
        <w:rPr>
          <w:i/>
        </w:rPr>
        <w:t>reālistiskā</w:t>
      </w:r>
      <w:r w:rsidRPr="00C51850">
        <w:rPr>
          <w:i/>
        </w:rPr>
        <w:t xml:space="preserve"> scenārija uz 11.01.2016., milj.</w:t>
      </w:r>
      <w:r w:rsidR="00A81B18">
        <w:rPr>
          <w:i/>
        </w:rPr>
        <w:t xml:space="preserve"> </w:t>
      </w:r>
      <w:r w:rsidRPr="00C51850">
        <w:rPr>
          <w:i/>
        </w:rPr>
        <w:t>euro</w:t>
      </w:r>
      <w:r w:rsidR="00A47298">
        <w:rPr>
          <w:i/>
        </w:rPr>
        <w:t>”</w:t>
      </w:r>
    </w:p>
    <w:tbl>
      <w:tblPr>
        <w:tblW w:w="9072" w:type="dxa"/>
        <w:tblInd w:w="-5" w:type="dxa"/>
        <w:tblLayout w:type="fixed"/>
        <w:tblLook w:val="04A0" w:firstRow="1" w:lastRow="0" w:firstColumn="1" w:lastColumn="0" w:noHBand="0" w:noVBand="1"/>
      </w:tblPr>
      <w:tblGrid>
        <w:gridCol w:w="2268"/>
        <w:gridCol w:w="1701"/>
        <w:gridCol w:w="1701"/>
        <w:gridCol w:w="1701"/>
        <w:gridCol w:w="1701"/>
      </w:tblGrid>
      <w:tr w:rsidR="00AA6B06" w:rsidRPr="00907F13" w14:paraId="65618D84" w14:textId="77777777" w:rsidTr="00062EEB">
        <w:trPr>
          <w:trHeight w:val="1209"/>
          <w:tblHeader/>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C7732" w14:textId="77777777" w:rsidR="00AA6B06" w:rsidRPr="00545679" w:rsidRDefault="00AA6B06" w:rsidP="00062EEB">
            <w:pPr>
              <w:jc w:val="center"/>
              <w:rPr>
                <w:rFonts w:eastAsia="Times New Roman" w:cs="Times New Roman"/>
                <w:bCs/>
                <w:color w:val="000000"/>
                <w:sz w:val="20"/>
                <w:szCs w:val="20"/>
                <w:lang w:eastAsia="lv-LV"/>
              </w:rPr>
            </w:pPr>
            <w:r w:rsidRPr="00545679">
              <w:rPr>
                <w:rFonts w:eastAsia="Times New Roman" w:cs="Times New Roman"/>
                <w:bCs/>
                <w:color w:val="000000"/>
                <w:sz w:val="20"/>
                <w:szCs w:val="20"/>
                <w:lang w:eastAsia="lv-LV"/>
              </w:rPr>
              <w:t>Prioritāte</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525B039" w14:textId="77777777" w:rsidR="00AA6B06" w:rsidRPr="00545679" w:rsidRDefault="00AA6B06" w:rsidP="00062EEB">
            <w:pPr>
              <w:jc w:val="center"/>
              <w:rPr>
                <w:rFonts w:eastAsia="Times New Roman" w:cs="Times New Roman"/>
                <w:bCs/>
                <w:color w:val="000000"/>
                <w:sz w:val="20"/>
                <w:szCs w:val="20"/>
                <w:lang w:eastAsia="lv-LV"/>
              </w:rPr>
            </w:pPr>
            <w:r w:rsidRPr="00545679">
              <w:rPr>
                <w:rFonts w:eastAsia="Times New Roman" w:cs="Times New Roman"/>
                <w:bCs/>
                <w:color w:val="000000"/>
                <w:sz w:val="20"/>
                <w:szCs w:val="20"/>
                <w:lang w:eastAsia="lv-LV"/>
              </w:rPr>
              <w:t>ES fondu piešķīrums</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1E66CAC" w14:textId="77777777" w:rsidR="00AA6B06" w:rsidRPr="00545679" w:rsidRDefault="00AA6B06" w:rsidP="00062EEB">
            <w:pPr>
              <w:jc w:val="center"/>
              <w:rPr>
                <w:rFonts w:eastAsia="Times New Roman" w:cs="Times New Roman"/>
                <w:bCs/>
                <w:color w:val="000000"/>
                <w:sz w:val="20"/>
                <w:szCs w:val="20"/>
                <w:lang w:eastAsia="lv-LV"/>
              </w:rPr>
            </w:pPr>
            <w:proofErr w:type="spellStart"/>
            <w:r w:rsidRPr="00545679">
              <w:rPr>
                <w:rFonts w:eastAsia="Times New Roman" w:cs="Times New Roman"/>
                <w:bCs/>
                <w:color w:val="000000"/>
                <w:sz w:val="20"/>
                <w:szCs w:val="20"/>
                <w:lang w:eastAsia="lv-LV"/>
              </w:rPr>
              <w:t>Virssaistības</w:t>
            </w:r>
            <w:proofErr w:type="spellEnd"/>
            <w:r w:rsidRPr="00545679">
              <w:rPr>
                <w:rFonts w:eastAsia="Times New Roman" w:cs="Times New Roman"/>
                <w:bCs/>
                <w:color w:val="000000"/>
                <w:sz w:val="20"/>
                <w:szCs w:val="20"/>
                <w:lang w:eastAsia="lv-LV"/>
              </w:rPr>
              <w:t>, ES fondu daļa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FE3E6F7" w14:textId="77777777" w:rsidR="00AA6B06" w:rsidRPr="00545679" w:rsidRDefault="00AA6B06" w:rsidP="00062EEB">
            <w:pPr>
              <w:jc w:val="center"/>
              <w:rPr>
                <w:rFonts w:eastAsia="Times New Roman" w:cs="Times New Roman"/>
                <w:bCs/>
                <w:color w:val="000000"/>
                <w:sz w:val="20"/>
                <w:szCs w:val="20"/>
                <w:lang w:eastAsia="lv-LV"/>
              </w:rPr>
            </w:pPr>
            <w:r>
              <w:rPr>
                <w:rFonts w:eastAsia="Times New Roman" w:cs="Times New Roman"/>
                <w:bCs/>
                <w:color w:val="000000"/>
                <w:sz w:val="20"/>
                <w:szCs w:val="20"/>
                <w:lang w:eastAsia="lv-LV"/>
              </w:rPr>
              <w:t xml:space="preserve">Prognozētā </w:t>
            </w:r>
            <w:r w:rsidRPr="00545679">
              <w:rPr>
                <w:rFonts w:eastAsia="Times New Roman" w:cs="Times New Roman"/>
                <w:bCs/>
                <w:color w:val="000000"/>
                <w:sz w:val="20"/>
                <w:szCs w:val="20"/>
                <w:lang w:eastAsia="lv-LV"/>
              </w:rPr>
              <w:t>EK pieprasāmā summa</w:t>
            </w:r>
            <w:r w:rsidRPr="00545679">
              <w:rPr>
                <w:rStyle w:val="FootnoteReference"/>
                <w:rFonts w:eastAsia="Times New Roman" w:cs="Times New Roman"/>
                <w:bCs/>
                <w:color w:val="000000"/>
                <w:sz w:val="20"/>
                <w:szCs w:val="20"/>
                <w:lang w:eastAsia="lv-LV"/>
              </w:rPr>
              <w:footnoteReference w:id="21"/>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5205B76" w14:textId="68484B03" w:rsidR="00AA6B06" w:rsidRPr="00545679" w:rsidRDefault="00AA6B06" w:rsidP="00062EEB">
            <w:pPr>
              <w:jc w:val="center"/>
              <w:rPr>
                <w:rFonts w:eastAsia="Times New Roman" w:cs="Times New Roman"/>
                <w:bCs/>
                <w:color w:val="000000"/>
                <w:sz w:val="20"/>
                <w:szCs w:val="20"/>
                <w:lang w:eastAsia="lv-LV"/>
              </w:rPr>
            </w:pPr>
            <w:r w:rsidRPr="00545679">
              <w:rPr>
                <w:rFonts w:eastAsia="Times New Roman" w:cs="Times New Roman"/>
                <w:bCs/>
                <w:color w:val="000000"/>
                <w:sz w:val="20"/>
                <w:szCs w:val="20"/>
                <w:lang w:eastAsia="lv-LV"/>
              </w:rPr>
              <w:t>EK pieprasāmās summas starpība ar  ES fondu piešķīrumu</w:t>
            </w:r>
            <w:r w:rsidR="00066537">
              <w:rPr>
                <w:rStyle w:val="FootnoteReference"/>
                <w:rFonts w:eastAsia="Times New Roman" w:cs="Times New Roman"/>
                <w:bCs/>
                <w:color w:val="000000"/>
                <w:sz w:val="20"/>
                <w:szCs w:val="20"/>
                <w:lang w:eastAsia="lv-LV"/>
              </w:rPr>
              <w:footnoteReference w:id="22"/>
            </w:r>
          </w:p>
        </w:tc>
      </w:tr>
      <w:tr w:rsidR="00AA6B06" w:rsidRPr="00907F13" w14:paraId="07A0D412" w14:textId="77777777" w:rsidTr="00062EEB">
        <w:trPr>
          <w:trHeight w:val="174"/>
          <w:tblHeader/>
        </w:trPr>
        <w:tc>
          <w:tcPr>
            <w:tcW w:w="2268" w:type="dxa"/>
            <w:tcBorders>
              <w:top w:val="nil"/>
              <w:left w:val="single" w:sz="4" w:space="0" w:color="auto"/>
              <w:bottom w:val="single" w:sz="4" w:space="0" w:color="auto"/>
              <w:right w:val="single" w:sz="4" w:space="0" w:color="auto"/>
            </w:tcBorders>
            <w:shd w:val="clear" w:color="auto" w:fill="auto"/>
            <w:vAlign w:val="center"/>
          </w:tcPr>
          <w:p w14:paraId="6A7EDE03" w14:textId="77777777" w:rsidR="00AA6B06" w:rsidRPr="00545679" w:rsidRDefault="00AA6B06" w:rsidP="00062EEB">
            <w:pPr>
              <w:jc w:val="center"/>
              <w:rPr>
                <w:rFonts w:eastAsia="Times New Roman" w:cs="Times New Roman"/>
                <w:color w:val="000000"/>
                <w:sz w:val="20"/>
                <w:szCs w:val="20"/>
                <w:lang w:eastAsia="lv-LV"/>
              </w:rPr>
            </w:pPr>
            <w:r>
              <w:rPr>
                <w:rFonts w:eastAsia="Times New Roman" w:cs="Times New Roman"/>
                <w:color w:val="000000"/>
                <w:sz w:val="20"/>
                <w:szCs w:val="20"/>
                <w:lang w:eastAsia="lv-LV"/>
              </w:rPr>
              <w:t>1</w:t>
            </w:r>
          </w:p>
        </w:tc>
        <w:tc>
          <w:tcPr>
            <w:tcW w:w="1701" w:type="dxa"/>
            <w:tcBorders>
              <w:top w:val="nil"/>
              <w:left w:val="nil"/>
              <w:bottom w:val="single" w:sz="4" w:space="0" w:color="auto"/>
              <w:right w:val="single" w:sz="4" w:space="0" w:color="auto"/>
            </w:tcBorders>
            <w:shd w:val="clear" w:color="auto" w:fill="auto"/>
            <w:vAlign w:val="center"/>
          </w:tcPr>
          <w:p w14:paraId="201809DC" w14:textId="77777777" w:rsidR="00AA6B06" w:rsidRPr="00545679" w:rsidRDefault="00AA6B06" w:rsidP="00062EEB">
            <w:pPr>
              <w:jc w:val="center"/>
              <w:rPr>
                <w:rFonts w:eastAsia="Times New Roman" w:cs="Times New Roman"/>
                <w:bCs/>
                <w:color w:val="000000"/>
                <w:sz w:val="20"/>
                <w:szCs w:val="20"/>
                <w:lang w:eastAsia="lv-LV"/>
              </w:rPr>
            </w:pPr>
            <w:r>
              <w:rPr>
                <w:rFonts w:eastAsia="Times New Roman" w:cs="Times New Roman"/>
                <w:bCs/>
                <w:color w:val="000000"/>
                <w:sz w:val="20"/>
                <w:szCs w:val="20"/>
                <w:lang w:eastAsia="lv-LV"/>
              </w:rPr>
              <w:t>2</w:t>
            </w:r>
          </w:p>
        </w:tc>
        <w:tc>
          <w:tcPr>
            <w:tcW w:w="1701" w:type="dxa"/>
            <w:tcBorders>
              <w:top w:val="nil"/>
              <w:left w:val="nil"/>
              <w:bottom w:val="single" w:sz="4" w:space="0" w:color="auto"/>
              <w:right w:val="single" w:sz="4" w:space="0" w:color="auto"/>
            </w:tcBorders>
            <w:shd w:val="clear" w:color="auto" w:fill="auto"/>
            <w:vAlign w:val="center"/>
          </w:tcPr>
          <w:p w14:paraId="553EFE8F" w14:textId="77777777" w:rsidR="00AA6B06" w:rsidRPr="00545679" w:rsidRDefault="00AA6B06" w:rsidP="00062EEB">
            <w:pPr>
              <w:jc w:val="center"/>
              <w:rPr>
                <w:rFonts w:eastAsia="Times New Roman" w:cs="Times New Roman"/>
                <w:bCs/>
                <w:color w:val="000000"/>
                <w:sz w:val="20"/>
                <w:szCs w:val="20"/>
                <w:lang w:eastAsia="lv-LV"/>
              </w:rPr>
            </w:pPr>
            <w:r>
              <w:rPr>
                <w:rFonts w:eastAsia="Times New Roman" w:cs="Times New Roman"/>
                <w:bCs/>
                <w:color w:val="000000"/>
                <w:sz w:val="20"/>
                <w:szCs w:val="20"/>
                <w:lang w:eastAsia="lv-LV"/>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CB89248" w14:textId="77777777" w:rsidR="00AA6B06" w:rsidRPr="001B6C30" w:rsidRDefault="00AA6B06" w:rsidP="00062EEB">
            <w:pPr>
              <w:jc w:val="center"/>
              <w:rPr>
                <w:rFonts w:eastAsia="Times New Roman" w:cs="Times New Roman"/>
                <w:bCs/>
                <w:color w:val="000000"/>
                <w:sz w:val="20"/>
                <w:szCs w:val="20"/>
                <w:lang w:eastAsia="lv-LV"/>
              </w:rPr>
            </w:pPr>
            <w:r>
              <w:rPr>
                <w:rFonts w:eastAsia="Times New Roman" w:cs="Times New Roman"/>
                <w:bCs/>
                <w:color w:val="000000"/>
                <w:sz w:val="20"/>
                <w:szCs w:val="20"/>
                <w:lang w:eastAsia="lv-LV"/>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FD0C84B" w14:textId="77777777" w:rsidR="00AA6B06" w:rsidRPr="001B6C30" w:rsidRDefault="00AA6B06" w:rsidP="00062EEB">
            <w:pPr>
              <w:jc w:val="center"/>
              <w:rPr>
                <w:rFonts w:eastAsia="Times New Roman" w:cs="Times New Roman"/>
                <w:bCs/>
                <w:color w:val="000000"/>
                <w:sz w:val="20"/>
                <w:szCs w:val="20"/>
                <w:lang w:eastAsia="lv-LV"/>
              </w:rPr>
            </w:pPr>
            <w:r>
              <w:rPr>
                <w:rFonts w:eastAsia="Times New Roman" w:cs="Times New Roman"/>
                <w:bCs/>
                <w:color w:val="000000"/>
                <w:sz w:val="20"/>
                <w:szCs w:val="20"/>
                <w:lang w:eastAsia="lv-LV"/>
              </w:rPr>
              <w:t>5</w:t>
            </w:r>
          </w:p>
        </w:tc>
      </w:tr>
      <w:tr w:rsidR="00AA6B06" w:rsidRPr="00907F13" w14:paraId="3B4DFF8D" w14:textId="77777777" w:rsidTr="00062EEB">
        <w:trPr>
          <w:trHeight w:val="174"/>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FF45C87" w14:textId="77777777" w:rsidR="00AA6B06" w:rsidRPr="00545679" w:rsidRDefault="00AA6B06" w:rsidP="00062EEB">
            <w:pPr>
              <w:rPr>
                <w:rFonts w:eastAsia="Times New Roman" w:cs="Times New Roman"/>
                <w:color w:val="000000"/>
                <w:sz w:val="20"/>
                <w:szCs w:val="20"/>
                <w:lang w:eastAsia="lv-LV"/>
              </w:rPr>
            </w:pPr>
            <w:r w:rsidRPr="00545679">
              <w:rPr>
                <w:rFonts w:eastAsia="Times New Roman" w:cs="Times New Roman"/>
                <w:color w:val="000000"/>
                <w:sz w:val="20"/>
                <w:szCs w:val="20"/>
                <w:lang w:eastAsia="lv-LV"/>
              </w:rPr>
              <w:t>1.1.Augstākā izglītība un zinātne</w:t>
            </w:r>
          </w:p>
        </w:tc>
        <w:tc>
          <w:tcPr>
            <w:tcW w:w="1701" w:type="dxa"/>
            <w:tcBorders>
              <w:top w:val="nil"/>
              <w:left w:val="nil"/>
              <w:bottom w:val="single" w:sz="4" w:space="0" w:color="auto"/>
              <w:right w:val="single" w:sz="4" w:space="0" w:color="auto"/>
            </w:tcBorders>
            <w:shd w:val="clear" w:color="auto" w:fill="auto"/>
            <w:vAlign w:val="center"/>
            <w:hideMark/>
          </w:tcPr>
          <w:p w14:paraId="1C8E8468" w14:textId="77777777" w:rsidR="00AA6B06" w:rsidRPr="00545679" w:rsidRDefault="00AA6B06" w:rsidP="00062EEB">
            <w:pPr>
              <w:jc w:val="center"/>
              <w:rPr>
                <w:rFonts w:eastAsia="Times New Roman" w:cs="Times New Roman"/>
                <w:bCs/>
                <w:color w:val="000000"/>
                <w:sz w:val="20"/>
                <w:szCs w:val="20"/>
                <w:lang w:eastAsia="lv-LV"/>
              </w:rPr>
            </w:pPr>
            <w:r w:rsidRPr="00545679">
              <w:rPr>
                <w:rFonts w:eastAsia="Times New Roman" w:cs="Times New Roman"/>
                <w:bCs/>
                <w:color w:val="000000"/>
                <w:sz w:val="20"/>
                <w:szCs w:val="20"/>
                <w:lang w:eastAsia="lv-LV"/>
              </w:rPr>
              <w:t>116,9</w:t>
            </w:r>
          </w:p>
        </w:tc>
        <w:tc>
          <w:tcPr>
            <w:tcW w:w="1701" w:type="dxa"/>
            <w:tcBorders>
              <w:top w:val="nil"/>
              <w:left w:val="nil"/>
              <w:bottom w:val="single" w:sz="4" w:space="0" w:color="auto"/>
              <w:right w:val="single" w:sz="4" w:space="0" w:color="auto"/>
            </w:tcBorders>
            <w:shd w:val="clear" w:color="auto" w:fill="auto"/>
            <w:vAlign w:val="center"/>
            <w:hideMark/>
          </w:tcPr>
          <w:p w14:paraId="227A49B2" w14:textId="77777777" w:rsidR="00AA6B06" w:rsidRPr="00545679" w:rsidRDefault="00AA6B06" w:rsidP="00062EEB">
            <w:pPr>
              <w:jc w:val="center"/>
              <w:rPr>
                <w:rFonts w:eastAsia="Times New Roman" w:cs="Times New Roman"/>
                <w:bCs/>
                <w:color w:val="000000"/>
                <w:sz w:val="20"/>
                <w:szCs w:val="20"/>
                <w:lang w:eastAsia="lv-LV"/>
              </w:rPr>
            </w:pPr>
            <w:r w:rsidRPr="00545679">
              <w:rPr>
                <w:rFonts w:eastAsia="Times New Roman" w:cs="Times New Roman"/>
                <w:bCs/>
                <w:color w:val="000000"/>
                <w:sz w:val="20"/>
                <w:szCs w:val="20"/>
                <w:lang w:eastAsia="lv-LV"/>
              </w:rPr>
              <w:t>13,2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86A092E" w14:textId="77777777" w:rsidR="00AA6B06" w:rsidRPr="001B6C30" w:rsidRDefault="00AA6B06" w:rsidP="00062EEB">
            <w:pPr>
              <w:jc w:val="center"/>
              <w:rPr>
                <w:rFonts w:eastAsia="Times New Roman" w:cs="Times New Roman"/>
                <w:bCs/>
                <w:color w:val="000000"/>
                <w:sz w:val="20"/>
                <w:szCs w:val="20"/>
                <w:lang w:eastAsia="lv-LV"/>
              </w:rPr>
            </w:pPr>
            <w:r w:rsidRPr="001B6C30">
              <w:rPr>
                <w:rFonts w:eastAsia="Times New Roman" w:cs="Times New Roman"/>
                <w:bCs/>
                <w:color w:val="000000"/>
                <w:sz w:val="20"/>
                <w:szCs w:val="20"/>
                <w:lang w:eastAsia="lv-LV"/>
              </w:rPr>
              <w:t>127,9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6EF098C" w14:textId="77777777" w:rsidR="00AA6B06" w:rsidRPr="001B6C30" w:rsidRDefault="00AA6B06" w:rsidP="00062EEB">
            <w:pPr>
              <w:jc w:val="center"/>
              <w:rPr>
                <w:rFonts w:eastAsia="Times New Roman" w:cs="Times New Roman"/>
                <w:bCs/>
                <w:color w:val="000000"/>
                <w:sz w:val="20"/>
                <w:szCs w:val="20"/>
                <w:lang w:eastAsia="lv-LV"/>
              </w:rPr>
            </w:pPr>
            <w:r w:rsidRPr="001B6C30">
              <w:rPr>
                <w:rFonts w:eastAsia="Times New Roman" w:cs="Times New Roman"/>
                <w:bCs/>
                <w:color w:val="000000"/>
                <w:sz w:val="20"/>
                <w:szCs w:val="20"/>
                <w:lang w:eastAsia="lv-LV"/>
              </w:rPr>
              <w:t>11,1</w:t>
            </w:r>
          </w:p>
        </w:tc>
      </w:tr>
      <w:tr w:rsidR="00AA6B06" w:rsidRPr="00907F13" w14:paraId="1E0A04D3" w14:textId="77777777" w:rsidTr="00062EEB">
        <w:trPr>
          <w:trHeight w:val="192"/>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A5186D6" w14:textId="77777777" w:rsidR="00AA6B06" w:rsidRPr="00545679" w:rsidRDefault="00AA6B06" w:rsidP="00062EEB">
            <w:pPr>
              <w:rPr>
                <w:rFonts w:eastAsia="Times New Roman" w:cs="Times New Roman"/>
                <w:color w:val="000000"/>
                <w:sz w:val="20"/>
                <w:szCs w:val="20"/>
                <w:lang w:eastAsia="lv-LV"/>
              </w:rPr>
            </w:pPr>
            <w:r w:rsidRPr="00545679">
              <w:rPr>
                <w:rFonts w:eastAsia="Times New Roman" w:cs="Times New Roman"/>
                <w:color w:val="000000"/>
                <w:sz w:val="20"/>
                <w:szCs w:val="20"/>
                <w:lang w:eastAsia="lv-LV"/>
              </w:rPr>
              <w:t>1.2.Izglītība un prasmes</w:t>
            </w:r>
          </w:p>
        </w:tc>
        <w:tc>
          <w:tcPr>
            <w:tcW w:w="1701" w:type="dxa"/>
            <w:tcBorders>
              <w:top w:val="nil"/>
              <w:left w:val="nil"/>
              <w:bottom w:val="single" w:sz="4" w:space="0" w:color="auto"/>
              <w:right w:val="single" w:sz="4" w:space="0" w:color="auto"/>
            </w:tcBorders>
            <w:shd w:val="clear" w:color="auto" w:fill="auto"/>
            <w:vAlign w:val="center"/>
            <w:hideMark/>
          </w:tcPr>
          <w:p w14:paraId="64AE8593" w14:textId="77777777" w:rsidR="00AA6B06" w:rsidRPr="00545679" w:rsidRDefault="00AA6B06" w:rsidP="00062EEB">
            <w:pPr>
              <w:jc w:val="center"/>
              <w:rPr>
                <w:rFonts w:eastAsia="Times New Roman" w:cs="Times New Roman"/>
                <w:bCs/>
                <w:color w:val="000000"/>
                <w:sz w:val="20"/>
                <w:szCs w:val="20"/>
                <w:lang w:eastAsia="lv-LV"/>
              </w:rPr>
            </w:pPr>
            <w:r w:rsidRPr="00545679">
              <w:rPr>
                <w:rFonts w:eastAsia="Times New Roman" w:cs="Times New Roman"/>
                <w:bCs/>
                <w:color w:val="000000"/>
                <w:sz w:val="20"/>
                <w:szCs w:val="20"/>
                <w:lang w:eastAsia="lv-LV"/>
              </w:rPr>
              <w:t>127,8</w:t>
            </w:r>
          </w:p>
        </w:tc>
        <w:tc>
          <w:tcPr>
            <w:tcW w:w="1701" w:type="dxa"/>
            <w:tcBorders>
              <w:top w:val="nil"/>
              <w:left w:val="nil"/>
              <w:bottom w:val="single" w:sz="4" w:space="0" w:color="auto"/>
              <w:right w:val="single" w:sz="4" w:space="0" w:color="auto"/>
            </w:tcBorders>
            <w:shd w:val="clear" w:color="auto" w:fill="auto"/>
            <w:vAlign w:val="center"/>
            <w:hideMark/>
          </w:tcPr>
          <w:p w14:paraId="16473D55" w14:textId="77777777" w:rsidR="00AA6B06" w:rsidRPr="00545679" w:rsidRDefault="00AA6B06" w:rsidP="00062EEB">
            <w:pPr>
              <w:jc w:val="center"/>
              <w:rPr>
                <w:rFonts w:eastAsia="Times New Roman" w:cs="Times New Roman"/>
                <w:bCs/>
                <w:color w:val="000000"/>
                <w:sz w:val="20"/>
                <w:szCs w:val="20"/>
                <w:lang w:eastAsia="lv-LV"/>
              </w:rPr>
            </w:pPr>
            <w:r w:rsidRPr="00545679">
              <w:rPr>
                <w:rFonts w:eastAsia="Times New Roman" w:cs="Times New Roman"/>
                <w:bCs/>
                <w:color w:val="000000"/>
                <w:sz w:val="20"/>
                <w:szCs w:val="20"/>
                <w:lang w:eastAsia="lv-LV"/>
              </w:rPr>
              <w:t>15,9</w:t>
            </w:r>
          </w:p>
        </w:tc>
        <w:tc>
          <w:tcPr>
            <w:tcW w:w="1701" w:type="dxa"/>
            <w:tcBorders>
              <w:top w:val="nil"/>
              <w:left w:val="nil"/>
              <w:bottom w:val="single" w:sz="4" w:space="0" w:color="auto"/>
              <w:right w:val="single" w:sz="4" w:space="0" w:color="auto"/>
            </w:tcBorders>
            <w:shd w:val="clear" w:color="auto" w:fill="auto"/>
            <w:noWrap/>
            <w:vAlign w:val="center"/>
            <w:hideMark/>
          </w:tcPr>
          <w:p w14:paraId="4608B30E" w14:textId="77777777" w:rsidR="00AA6B06" w:rsidRPr="001B6C30" w:rsidRDefault="00AA6B06" w:rsidP="00062EEB">
            <w:pPr>
              <w:jc w:val="center"/>
              <w:rPr>
                <w:rFonts w:eastAsia="Times New Roman" w:cs="Times New Roman"/>
                <w:bCs/>
                <w:color w:val="000000"/>
                <w:sz w:val="20"/>
                <w:szCs w:val="20"/>
                <w:lang w:eastAsia="lv-LV"/>
              </w:rPr>
            </w:pPr>
            <w:r w:rsidRPr="001B6C30">
              <w:rPr>
                <w:rFonts w:eastAsia="Times New Roman" w:cs="Times New Roman"/>
                <w:bCs/>
                <w:color w:val="000000"/>
                <w:sz w:val="20"/>
                <w:szCs w:val="20"/>
                <w:lang w:eastAsia="lv-LV"/>
              </w:rPr>
              <w:t>140,3</w:t>
            </w:r>
          </w:p>
        </w:tc>
        <w:tc>
          <w:tcPr>
            <w:tcW w:w="1701" w:type="dxa"/>
            <w:tcBorders>
              <w:top w:val="nil"/>
              <w:left w:val="nil"/>
              <w:bottom w:val="single" w:sz="4" w:space="0" w:color="auto"/>
              <w:right w:val="single" w:sz="4" w:space="0" w:color="auto"/>
            </w:tcBorders>
            <w:shd w:val="clear" w:color="auto" w:fill="auto"/>
            <w:noWrap/>
            <w:vAlign w:val="center"/>
            <w:hideMark/>
          </w:tcPr>
          <w:p w14:paraId="56C9FD5F" w14:textId="77777777" w:rsidR="00AA6B06" w:rsidRPr="001B6C30" w:rsidRDefault="00AA6B06" w:rsidP="00062EEB">
            <w:pPr>
              <w:jc w:val="center"/>
              <w:rPr>
                <w:rFonts w:eastAsia="Times New Roman" w:cs="Times New Roman"/>
                <w:bCs/>
                <w:color w:val="000000"/>
                <w:sz w:val="20"/>
                <w:szCs w:val="20"/>
                <w:lang w:eastAsia="lv-LV"/>
              </w:rPr>
            </w:pPr>
            <w:r w:rsidRPr="001B6C30">
              <w:rPr>
                <w:rFonts w:eastAsia="Times New Roman" w:cs="Times New Roman"/>
                <w:bCs/>
                <w:color w:val="000000"/>
                <w:sz w:val="20"/>
                <w:szCs w:val="20"/>
                <w:lang w:eastAsia="lv-LV"/>
              </w:rPr>
              <w:t>12,5</w:t>
            </w:r>
          </w:p>
        </w:tc>
      </w:tr>
      <w:tr w:rsidR="00AA6B06" w:rsidRPr="00907F13" w14:paraId="4D47E0DE" w14:textId="77777777" w:rsidTr="00062EEB">
        <w:trPr>
          <w:trHeight w:val="209"/>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167C7EE" w14:textId="77777777" w:rsidR="00AA6B06" w:rsidRPr="00545679" w:rsidRDefault="00AA6B06" w:rsidP="00062EEB">
            <w:pPr>
              <w:rPr>
                <w:rFonts w:eastAsia="Times New Roman" w:cs="Times New Roman"/>
                <w:color w:val="000000"/>
                <w:sz w:val="20"/>
                <w:szCs w:val="20"/>
                <w:lang w:eastAsia="lv-LV"/>
              </w:rPr>
            </w:pPr>
            <w:r w:rsidRPr="00545679">
              <w:rPr>
                <w:rFonts w:eastAsia="Times New Roman" w:cs="Times New Roman"/>
                <w:color w:val="000000"/>
                <w:sz w:val="20"/>
                <w:szCs w:val="20"/>
                <w:lang w:eastAsia="lv-LV"/>
              </w:rPr>
              <w:t>1.3.Nodarbinātības veicināšana un veselība darbā</w:t>
            </w:r>
          </w:p>
        </w:tc>
        <w:tc>
          <w:tcPr>
            <w:tcW w:w="1701" w:type="dxa"/>
            <w:tcBorders>
              <w:top w:val="nil"/>
              <w:left w:val="nil"/>
              <w:bottom w:val="single" w:sz="4" w:space="0" w:color="auto"/>
              <w:right w:val="single" w:sz="4" w:space="0" w:color="auto"/>
            </w:tcBorders>
            <w:shd w:val="clear" w:color="auto" w:fill="auto"/>
            <w:vAlign w:val="center"/>
            <w:hideMark/>
          </w:tcPr>
          <w:p w14:paraId="056DAE8F" w14:textId="77777777" w:rsidR="00AA6B06" w:rsidRPr="00545679" w:rsidRDefault="00AA6B06" w:rsidP="00062EEB">
            <w:pPr>
              <w:jc w:val="center"/>
              <w:rPr>
                <w:rFonts w:eastAsia="Times New Roman" w:cs="Times New Roman"/>
                <w:bCs/>
                <w:color w:val="000000"/>
                <w:sz w:val="20"/>
                <w:szCs w:val="20"/>
                <w:lang w:eastAsia="lv-LV"/>
              </w:rPr>
            </w:pPr>
            <w:r w:rsidRPr="00545679">
              <w:rPr>
                <w:rFonts w:eastAsia="Times New Roman" w:cs="Times New Roman"/>
                <w:bCs/>
                <w:color w:val="000000"/>
                <w:sz w:val="20"/>
                <w:szCs w:val="20"/>
                <w:lang w:eastAsia="lv-LV"/>
              </w:rPr>
              <w:t>249,3</w:t>
            </w:r>
          </w:p>
        </w:tc>
        <w:tc>
          <w:tcPr>
            <w:tcW w:w="1701" w:type="dxa"/>
            <w:tcBorders>
              <w:top w:val="nil"/>
              <w:left w:val="nil"/>
              <w:bottom w:val="single" w:sz="4" w:space="0" w:color="auto"/>
              <w:right w:val="single" w:sz="4" w:space="0" w:color="auto"/>
            </w:tcBorders>
            <w:shd w:val="clear" w:color="auto" w:fill="auto"/>
            <w:vAlign w:val="center"/>
            <w:hideMark/>
          </w:tcPr>
          <w:p w14:paraId="5BCE6729" w14:textId="77777777" w:rsidR="00AA6B06" w:rsidRPr="00545679" w:rsidRDefault="00AA6B06" w:rsidP="00062EEB">
            <w:pPr>
              <w:jc w:val="center"/>
              <w:rPr>
                <w:rFonts w:eastAsia="Times New Roman" w:cs="Times New Roman"/>
                <w:bCs/>
                <w:color w:val="000000"/>
                <w:sz w:val="20"/>
                <w:szCs w:val="20"/>
                <w:lang w:eastAsia="lv-LV"/>
              </w:rPr>
            </w:pPr>
            <w:r w:rsidRPr="00545679">
              <w:rPr>
                <w:rFonts w:eastAsia="Times New Roman" w:cs="Times New Roman"/>
                <w:bCs/>
                <w:color w:val="000000"/>
                <w:sz w:val="20"/>
                <w:szCs w:val="20"/>
                <w:lang w:eastAsia="lv-LV"/>
              </w:rPr>
              <w:t>36,8</w:t>
            </w:r>
          </w:p>
        </w:tc>
        <w:tc>
          <w:tcPr>
            <w:tcW w:w="1701" w:type="dxa"/>
            <w:tcBorders>
              <w:top w:val="nil"/>
              <w:left w:val="nil"/>
              <w:bottom w:val="single" w:sz="4" w:space="0" w:color="auto"/>
              <w:right w:val="single" w:sz="4" w:space="0" w:color="auto"/>
            </w:tcBorders>
            <w:shd w:val="clear" w:color="auto" w:fill="auto"/>
            <w:noWrap/>
            <w:vAlign w:val="center"/>
            <w:hideMark/>
          </w:tcPr>
          <w:p w14:paraId="1858729C" w14:textId="77777777" w:rsidR="00AA6B06" w:rsidRPr="001B6C30" w:rsidRDefault="00AA6B06" w:rsidP="00062EEB">
            <w:pPr>
              <w:jc w:val="center"/>
              <w:rPr>
                <w:rFonts w:eastAsia="Times New Roman" w:cs="Times New Roman"/>
                <w:bCs/>
                <w:color w:val="000000"/>
                <w:sz w:val="20"/>
                <w:szCs w:val="20"/>
                <w:lang w:eastAsia="lv-LV"/>
              </w:rPr>
            </w:pPr>
            <w:r w:rsidRPr="001B6C30">
              <w:rPr>
                <w:rFonts w:eastAsia="Times New Roman" w:cs="Times New Roman"/>
                <w:bCs/>
                <w:color w:val="000000"/>
                <w:sz w:val="20"/>
                <w:szCs w:val="20"/>
                <w:lang w:eastAsia="lv-LV"/>
              </w:rPr>
              <w:t>274,2</w:t>
            </w:r>
          </w:p>
        </w:tc>
        <w:tc>
          <w:tcPr>
            <w:tcW w:w="1701" w:type="dxa"/>
            <w:tcBorders>
              <w:top w:val="nil"/>
              <w:left w:val="nil"/>
              <w:bottom w:val="single" w:sz="4" w:space="0" w:color="auto"/>
              <w:right w:val="single" w:sz="4" w:space="0" w:color="auto"/>
            </w:tcBorders>
            <w:shd w:val="clear" w:color="auto" w:fill="auto"/>
            <w:noWrap/>
            <w:vAlign w:val="center"/>
            <w:hideMark/>
          </w:tcPr>
          <w:p w14:paraId="143195AE" w14:textId="77777777" w:rsidR="00AA6B06" w:rsidRPr="001B6C30" w:rsidRDefault="00AA6B06" w:rsidP="00062EEB">
            <w:pPr>
              <w:jc w:val="center"/>
              <w:rPr>
                <w:rFonts w:eastAsia="Times New Roman" w:cs="Times New Roman"/>
                <w:bCs/>
                <w:color w:val="000000"/>
                <w:sz w:val="20"/>
                <w:szCs w:val="20"/>
                <w:lang w:eastAsia="lv-LV"/>
              </w:rPr>
            </w:pPr>
            <w:r w:rsidRPr="001B6C30">
              <w:rPr>
                <w:rFonts w:eastAsia="Times New Roman" w:cs="Times New Roman"/>
                <w:bCs/>
                <w:color w:val="000000"/>
                <w:sz w:val="20"/>
                <w:szCs w:val="20"/>
                <w:lang w:eastAsia="lv-LV"/>
              </w:rPr>
              <w:t>24,9</w:t>
            </w:r>
          </w:p>
        </w:tc>
      </w:tr>
      <w:tr w:rsidR="00AA6B06" w:rsidRPr="00907F13" w14:paraId="02275A62" w14:textId="77777777" w:rsidTr="00062EEB">
        <w:trPr>
          <w:trHeight w:val="229"/>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98A8860" w14:textId="77777777" w:rsidR="00AA6B06" w:rsidRPr="00545679" w:rsidRDefault="00AA6B06" w:rsidP="00062EEB">
            <w:pPr>
              <w:rPr>
                <w:rFonts w:eastAsia="Times New Roman" w:cs="Times New Roman"/>
                <w:color w:val="000000"/>
                <w:sz w:val="20"/>
                <w:szCs w:val="20"/>
                <w:lang w:eastAsia="lv-LV"/>
              </w:rPr>
            </w:pPr>
            <w:r w:rsidRPr="00545679">
              <w:rPr>
                <w:rFonts w:eastAsia="Times New Roman" w:cs="Times New Roman"/>
                <w:color w:val="000000"/>
                <w:sz w:val="20"/>
                <w:szCs w:val="20"/>
                <w:lang w:eastAsia="lv-LV"/>
              </w:rPr>
              <w:t>1.4.Sociālās iekļaušanas veicināšana</w:t>
            </w:r>
          </w:p>
        </w:tc>
        <w:tc>
          <w:tcPr>
            <w:tcW w:w="1701" w:type="dxa"/>
            <w:tcBorders>
              <w:top w:val="nil"/>
              <w:left w:val="nil"/>
              <w:bottom w:val="single" w:sz="4" w:space="0" w:color="auto"/>
              <w:right w:val="single" w:sz="4" w:space="0" w:color="auto"/>
            </w:tcBorders>
            <w:shd w:val="clear" w:color="auto" w:fill="auto"/>
            <w:vAlign w:val="center"/>
            <w:hideMark/>
          </w:tcPr>
          <w:p w14:paraId="329EC203" w14:textId="77777777" w:rsidR="00AA6B06" w:rsidRPr="00545679" w:rsidRDefault="00AA6B06" w:rsidP="00062EEB">
            <w:pPr>
              <w:jc w:val="center"/>
              <w:rPr>
                <w:rFonts w:eastAsia="Times New Roman" w:cs="Times New Roman"/>
                <w:bCs/>
                <w:color w:val="000000"/>
                <w:sz w:val="20"/>
                <w:szCs w:val="20"/>
                <w:lang w:eastAsia="lv-LV"/>
              </w:rPr>
            </w:pPr>
            <w:r w:rsidRPr="00545679">
              <w:rPr>
                <w:rFonts w:eastAsia="Times New Roman" w:cs="Times New Roman"/>
                <w:bCs/>
                <w:color w:val="000000"/>
                <w:sz w:val="20"/>
                <w:szCs w:val="20"/>
                <w:lang w:eastAsia="lv-LV"/>
              </w:rPr>
              <w:t>48,0</w:t>
            </w:r>
          </w:p>
        </w:tc>
        <w:tc>
          <w:tcPr>
            <w:tcW w:w="1701" w:type="dxa"/>
            <w:tcBorders>
              <w:top w:val="nil"/>
              <w:left w:val="nil"/>
              <w:bottom w:val="single" w:sz="4" w:space="0" w:color="auto"/>
              <w:right w:val="single" w:sz="4" w:space="0" w:color="auto"/>
            </w:tcBorders>
            <w:shd w:val="clear" w:color="auto" w:fill="auto"/>
            <w:vAlign w:val="center"/>
            <w:hideMark/>
          </w:tcPr>
          <w:p w14:paraId="0F85BF97" w14:textId="77777777" w:rsidR="00AA6B06" w:rsidRPr="00545679" w:rsidRDefault="00AA6B06" w:rsidP="00062EEB">
            <w:pPr>
              <w:jc w:val="center"/>
              <w:rPr>
                <w:rFonts w:eastAsia="Times New Roman" w:cs="Times New Roman"/>
                <w:bCs/>
                <w:color w:val="000000"/>
                <w:sz w:val="20"/>
                <w:szCs w:val="20"/>
                <w:lang w:eastAsia="lv-LV"/>
              </w:rPr>
            </w:pPr>
            <w:r w:rsidRPr="00545679">
              <w:rPr>
                <w:rFonts w:eastAsia="Times New Roman" w:cs="Times New Roman"/>
                <w:bCs/>
                <w:color w:val="000000"/>
                <w:sz w:val="20"/>
                <w:szCs w:val="20"/>
                <w:lang w:eastAsia="lv-LV"/>
              </w:rPr>
              <w:t>4,4</w:t>
            </w:r>
          </w:p>
        </w:tc>
        <w:tc>
          <w:tcPr>
            <w:tcW w:w="1701" w:type="dxa"/>
            <w:tcBorders>
              <w:top w:val="nil"/>
              <w:left w:val="nil"/>
              <w:bottom w:val="single" w:sz="4" w:space="0" w:color="auto"/>
              <w:right w:val="single" w:sz="4" w:space="0" w:color="auto"/>
            </w:tcBorders>
            <w:shd w:val="clear" w:color="auto" w:fill="auto"/>
            <w:noWrap/>
            <w:vAlign w:val="center"/>
            <w:hideMark/>
          </w:tcPr>
          <w:p w14:paraId="1913B6CF" w14:textId="77777777" w:rsidR="00AA6B06" w:rsidRPr="001B6C30" w:rsidRDefault="00AA6B06" w:rsidP="00062EEB">
            <w:pPr>
              <w:jc w:val="center"/>
              <w:rPr>
                <w:rFonts w:eastAsia="Times New Roman" w:cs="Times New Roman"/>
                <w:bCs/>
                <w:color w:val="000000"/>
                <w:sz w:val="20"/>
                <w:szCs w:val="20"/>
                <w:lang w:eastAsia="lv-LV"/>
              </w:rPr>
            </w:pPr>
            <w:r w:rsidRPr="001B6C30">
              <w:rPr>
                <w:rFonts w:eastAsia="Times New Roman" w:cs="Times New Roman"/>
                <w:bCs/>
                <w:color w:val="000000"/>
                <w:sz w:val="20"/>
                <w:szCs w:val="20"/>
                <w:lang w:eastAsia="lv-LV"/>
              </w:rPr>
              <w:t>50,7</w:t>
            </w:r>
          </w:p>
        </w:tc>
        <w:tc>
          <w:tcPr>
            <w:tcW w:w="1701" w:type="dxa"/>
            <w:tcBorders>
              <w:top w:val="nil"/>
              <w:left w:val="nil"/>
              <w:bottom w:val="single" w:sz="4" w:space="0" w:color="auto"/>
              <w:right w:val="single" w:sz="4" w:space="0" w:color="auto"/>
            </w:tcBorders>
            <w:shd w:val="clear" w:color="auto" w:fill="auto"/>
            <w:noWrap/>
            <w:vAlign w:val="center"/>
            <w:hideMark/>
          </w:tcPr>
          <w:p w14:paraId="2458EA75" w14:textId="77777777" w:rsidR="00AA6B06" w:rsidRPr="001B6C30" w:rsidRDefault="00AA6B06" w:rsidP="00062EEB">
            <w:pPr>
              <w:jc w:val="center"/>
              <w:rPr>
                <w:rFonts w:eastAsia="Times New Roman" w:cs="Times New Roman"/>
                <w:bCs/>
                <w:color w:val="000000"/>
                <w:sz w:val="20"/>
                <w:szCs w:val="20"/>
                <w:lang w:eastAsia="lv-LV"/>
              </w:rPr>
            </w:pPr>
            <w:r w:rsidRPr="001B6C30">
              <w:rPr>
                <w:rFonts w:eastAsia="Times New Roman" w:cs="Times New Roman"/>
                <w:bCs/>
                <w:color w:val="000000"/>
                <w:sz w:val="20"/>
                <w:szCs w:val="20"/>
                <w:lang w:eastAsia="lv-LV"/>
              </w:rPr>
              <w:t>2,7</w:t>
            </w:r>
          </w:p>
        </w:tc>
      </w:tr>
      <w:tr w:rsidR="00AA6B06" w:rsidRPr="00907F13" w14:paraId="27A7AE8C" w14:textId="77777777" w:rsidTr="00062EEB">
        <w:trPr>
          <w:trHeight w:val="64"/>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AC306D7" w14:textId="77777777" w:rsidR="00AA6B06" w:rsidRPr="00545679" w:rsidRDefault="00AA6B06" w:rsidP="00062EEB">
            <w:pPr>
              <w:rPr>
                <w:rFonts w:eastAsia="Times New Roman" w:cs="Times New Roman"/>
                <w:color w:val="000000"/>
                <w:sz w:val="20"/>
                <w:szCs w:val="20"/>
                <w:lang w:eastAsia="lv-LV"/>
              </w:rPr>
            </w:pPr>
            <w:r w:rsidRPr="00545679">
              <w:rPr>
                <w:rFonts w:eastAsia="Times New Roman" w:cs="Times New Roman"/>
                <w:color w:val="000000"/>
                <w:sz w:val="20"/>
                <w:szCs w:val="20"/>
                <w:lang w:eastAsia="lv-LV"/>
              </w:rPr>
              <w:t>1.5.Administratīvās kapacitātes stiprināšana</w:t>
            </w:r>
          </w:p>
        </w:tc>
        <w:tc>
          <w:tcPr>
            <w:tcW w:w="1701" w:type="dxa"/>
            <w:tcBorders>
              <w:top w:val="nil"/>
              <w:left w:val="nil"/>
              <w:bottom w:val="single" w:sz="4" w:space="0" w:color="auto"/>
              <w:right w:val="single" w:sz="4" w:space="0" w:color="auto"/>
            </w:tcBorders>
            <w:shd w:val="clear" w:color="auto" w:fill="auto"/>
            <w:vAlign w:val="center"/>
            <w:hideMark/>
          </w:tcPr>
          <w:p w14:paraId="66EA4A82" w14:textId="77777777" w:rsidR="00AA6B06" w:rsidRPr="00545679" w:rsidRDefault="00AA6B06" w:rsidP="00062EEB">
            <w:pPr>
              <w:jc w:val="center"/>
              <w:rPr>
                <w:rFonts w:eastAsia="Times New Roman" w:cs="Times New Roman"/>
                <w:bCs/>
                <w:color w:val="000000"/>
                <w:sz w:val="20"/>
                <w:szCs w:val="20"/>
                <w:lang w:eastAsia="lv-LV"/>
              </w:rPr>
            </w:pPr>
            <w:r w:rsidRPr="00545679">
              <w:rPr>
                <w:rFonts w:eastAsia="Times New Roman" w:cs="Times New Roman"/>
                <w:bCs/>
                <w:color w:val="000000"/>
                <w:sz w:val="20"/>
                <w:szCs w:val="20"/>
                <w:lang w:eastAsia="lv-LV"/>
              </w:rPr>
              <w:t>22,9</w:t>
            </w:r>
          </w:p>
        </w:tc>
        <w:tc>
          <w:tcPr>
            <w:tcW w:w="1701" w:type="dxa"/>
            <w:tcBorders>
              <w:top w:val="nil"/>
              <w:left w:val="nil"/>
              <w:bottom w:val="single" w:sz="4" w:space="0" w:color="auto"/>
              <w:right w:val="single" w:sz="4" w:space="0" w:color="auto"/>
            </w:tcBorders>
            <w:shd w:val="clear" w:color="auto" w:fill="auto"/>
            <w:vAlign w:val="center"/>
            <w:hideMark/>
          </w:tcPr>
          <w:p w14:paraId="45395D5B" w14:textId="77777777" w:rsidR="00AA6B06" w:rsidRPr="00545679" w:rsidRDefault="00AA6B06" w:rsidP="00062EEB">
            <w:pPr>
              <w:jc w:val="center"/>
              <w:rPr>
                <w:rFonts w:eastAsia="Times New Roman" w:cs="Times New Roman"/>
                <w:bCs/>
                <w:color w:val="000000"/>
                <w:sz w:val="20"/>
                <w:szCs w:val="20"/>
                <w:lang w:eastAsia="lv-LV"/>
              </w:rPr>
            </w:pPr>
            <w:r w:rsidRPr="00545679">
              <w:rPr>
                <w:rFonts w:eastAsia="Times New Roman" w:cs="Times New Roman"/>
                <w:bCs/>
                <w:color w:val="000000"/>
                <w:sz w:val="20"/>
                <w:szCs w:val="20"/>
                <w:lang w:eastAsia="lv-LV"/>
              </w:rPr>
              <w:t>0,0</w:t>
            </w:r>
          </w:p>
        </w:tc>
        <w:tc>
          <w:tcPr>
            <w:tcW w:w="1701" w:type="dxa"/>
            <w:tcBorders>
              <w:top w:val="nil"/>
              <w:left w:val="nil"/>
              <w:bottom w:val="single" w:sz="4" w:space="0" w:color="auto"/>
              <w:right w:val="single" w:sz="4" w:space="0" w:color="auto"/>
            </w:tcBorders>
            <w:shd w:val="clear" w:color="auto" w:fill="auto"/>
            <w:noWrap/>
            <w:vAlign w:val="center"/>
            <w:hideMark/>
          </w:tcPr>
          <w:p w14:paraId="44BF36C3" w14:textId="77777777" w:rsidR="00AA6B06" w:rsidRPr="001B6C30" w:rsidRDefault="00AA6B06" w:rsidP="00062EEB">
            <w:pPr>
              <w:jc w:val="center"/>
              <w:rPr>
                <w:rFonts w:eastAsia="Times New Roman" w:cs="Times New Roman"/>
                <w:bCs/>
                <w:color w:val="000000"/>
                <w:sz w:val="20"/>
                <w:szCs w:val="20"/>
                <w:lang w:eastAsia="lv-LV"/>
              </w:rPr>
            </w:pPr>
            <w:r w:rsidRPr="001B6C30">
              <w:rPr>
                <w:rFonts w:eastAsia="Times New Roman" w:cs="Times New Roman"/>
                <w:bCs/>
                <w:color w:val="000000"/>
                <w:sz w:val="20"/>
                <w:szCs w:val="20"/>
                <w:lang w:eastAsia="lv-LV"/>
              </w:rPr>
              <w:t>21,9</w:t>
            </w:r>
          </w:p>
        </w:tc>
        <w:tc>
          <w:tcPr>
            <w:tcW w:w="1701" w:type="dxa"/>
            <w:tcBorders>
              <w:top w:val="nil"/>
              <w:left w:val="nil"/>
              <w:bottom w:val="single" w:sz="4" w:space="0" w:color="auto"/>
              <w:right w:val="single" w:sz="4" w:space="0" w:color="auto"/>
            </w:tcBorders>
            <w:shd w:val="clear" w:color="auto" w:fill="auto"/>
            <w:noWrap/>
            <w:vAlign w:val="center"/>
            <w:hideMark/>
          </w:tcPr>
          <w:p w14:paraId="76A4B459" w14:textId="77777777" w:rsidR="00AA6B06" w:rsidRPr="001B6C30" w:rsidRDefault="00AA6B06" w:rsidP="00062EEB">
            <w:pPr>
              <w:jc w:val="center"/>
              <w:rPr>
                <w:rFonts w:eastAsia="Times New Roman" w:cs="Times New Roman"/>
                <w:bCs/>
                <w:color w:val="000000"/>
                <w:sz w:val="20"/>
                <w:szCs w:val="20"/>
                <w:lang w:eastAsia="lv-LV"/>
              </w:rPr>
            </w:pPr>
            <w:r w:rsidRPr="001B6C30">
              <w:rPr>
                <w:rFonts w:eastAsia="Times New Roman" w:cs="Times New Roman"/>
                <w:bCs/>
                <w:color w:val="000000"/>
                <w:sz w:val="20"/>
                <w:szCs w:val="20"/>
                <w:lang w:eastAsia="lv-LV"/>
              </w:rPr>
              <w:t>-1,0</w:t>
            </w:r>
          </w:p>
        </w:tc>
      </w:tr>
      <w:tr w:rsidR="00AA6B06" w:rsidRPr="00907F13" w14:paraId="435EB9D1" w14:textId="77777777" w:rsidTr="00062EEB">
        <w:trPr>
          <w:trHeight w:val="122"/>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66E00035" w14:textId="77777777" w:rsidR="00AA6B06" w:rsidRPr="00545679" w:rsidRDefault="00AA6B06" w:rsidP="00062EEB">
            <w:pPr>
              <w:rPr>
                <w:rFonts w:eastAsia="Times New Roman" w:cs="Times New Roman"/>
                <w:color w:val="000000"/>
                <w:sz w:val="20"/>
                <w:szCs w:val="20"/>
                <w:lang w:eastAsia="lv-LV"/>
              </w:rPr>
            </w:pPr>
            <w:r w:rsidRPr="00545679">
              <w:rPr>
                <w:rFonts w:eastAsia="Times New Roman" w:cs="Times New Roman"/>
                <w:color w:val="000000"/>
                <w:sz w:val="20"/>
                <w:szCs w:val="20"/>
                <w:lang w:eastAsia="lv-LV"/>
              </w:rPr>
              <w:t>1.6.Tehniskā palīdzība</w:t>
            </w:r>
          </w:p>
        </w:tc>
        <w:tc>
          <w:tcPr>
            <w:tcW w:w="1701" w:type="dxa"/>
            <w:tcBorders>
              <w:top w:val="nil"/>
              <w:left w:val="nil"/>
              <w:bottom w:val="single" w:sz="4" w:space="0" w:color="auto"/>
              <w:right w:val="single" w:sz="4" w:space="0" w:color="auto"/>
            </w:tcBorders>
            <w:shd w:val="clear" w:color="auto" w:fill="auto"/>
            <w:vAlign w:val="center"/>
            <w:hideMark/>
          </w:tcPr>
          <w:p w14:paraId="3A74D8CE" w14:textId="77777777" w:rsidR="00AA6B06" w:rsidRPr="00545679" w:rsidRDefault="00AA6B06" w:rsidP="00062EEB">
            <w:pPr>
              <w:jc w:val="center"/>
              <w:rPr>
                <w:rFonts w:eastAsia="Times New Roman" w:cs="Times New Roman"/>
                <w:bCs/>
                <w:color w:val="000000"/>
                <w:sz w:val="20"/>
                <w:szCs w:val="20"/>
                <w:lang w:eastAsia="lv-LV"/>
              </w:rPr>
            </w:pPr>
            <w:r w:rsidRPr="00545679">
              <w:rPr>
                <w:rFonts w:eastAsia="Times New Roman" w:cs="Times New Roman"/>
                <w:bCs/>
                <w:color w:val="000000"/>
                <w:sz w:val="20"/>
                <w:szCs w:val="20"/>
                <w:lang w:eastAsia="lv-LV"/>
              </w:rPr>
              <w:t>18,3</w:t>
            </w:r>
          </w:p>
        </w:tc>
        <w:tc>
          <w:tcPr>
            <w:tcW w:w="1701" w:type="dxa"/>
            <w:tcBorders>
              <w:top w:val="nil"/>
              <w:left w:val="nil"/>
              <w:bottom w:val="single" w:sz="4" w:space="0" w:color="auto"/>
              <w:right w:val="single" w:sz="4" w:space="0" w:color="auto"/>
            </w:tcBorders>
            <w:shd w:val="clear" w:color="auto" w:fill="auto"/>
            <w:vAlign w:val="center"/>
            <w:hideMark/>
          </w:tcPr>
          <w:p w14:paraId="2FAE31BA" w14:textId="77777777" w:rsidR="00AA6B06" w:rsidRPr="00545679" w:rsidRDefault="00AA6B06" w:rsidP="00062EEB">
            <w:pPr>
              <w:jc w:val="center"/>
              <w:rPr>
                <w:rFonts w:eastAsia="Times New Roman" w:cs="Times New Roman"/>
                <w:bCs/>
                <w:color w:val="000000"/>
                <w:sz w:val="20"/>
                <w:szCs w:val="20"/>
                <w:lang w:eastAsia="lv-LV"/>
              </w:rPr>
            </w:pPr>
            <w:r w:rsidRPr="00545679">
              <w:rPr>
                <w:rFonts w:eastAsia="Times New Roman" w:cs="Times New Roman"/>
                <w:bCs/>
                <w:color w:val="000000"/>
                <w:sz w:val="20"/>
                <w:szCs w:val="20"/>
                <w:lang w:eastAsia="lv-LV"/>
              </w:rPr>
              <w:t>0,0</w:t>
            </w:r>
          </w:p>
        </w:tc>
        <w:tc>
          <w:tcPr>
            <w:tcW w:w="1701" w:type="dxa"/>
            <w:tcBorders>
              <w:top w:val="nil"/>
              <w:left w:val="nil"/>
              <w:bottom w:val="single" w:sz="4" w:space="0" w:color="auto"/>
              <w:right w:val="single" w:sz="4" w:space="0" w:color="auto"/>
            </w:tcBorders>
            <w:shd w:val="clear" w:color="auto" w:fill="auto"/>
            <w:noWrap/>
            <w:vAlign w:val="center"/>
            <w:hideMark/>
          </w:tcPr>
          <w:p w14:paraId="48B66CB5" w14:textId="77777777" w:rsidR="00AA6B06" w:rsidRPr="001B6C30" w:rsidRDefault="00AA6B06" w:rsidP="00062EEB">
            <w:pPr>
              <w:jc w:val="center"/>
              <w:rPr>
                <w:rFonts w:eastAsia="Times New Roman" w:cs="Times New Roman"/>
                <w:bCs/>
                <w:color w:val="000000"/>
                <w:sz w:val="20"/>
                <w:szCs w:val="20"/>
                <w:lang w:eastAsia="lv-LV"/>
              </w:rPr>
            </w:pPr>
            <w:r w:rsidRPr="001B6C30">
              <w:rPr>
                <w:rFonts w:eastAsia="Times New Roman" w:cs="Times New Roman"/>
                <w:bCs/>
                <w:color w:val="000000"/>
                <w:sz w:val="20"/>
                <w:szCs w:val="20"/>
                <w:lang w:eastAsia="lv-LV"/>
              </w:rPr>
              <w:t>18,1</w:t>
            </w:r>
          </w:p>
        </w:tc>
        <w:tc>
          <w:tcPr>
            <w:tcW w:w="1701" w:type="dxa"/>
            <w:tcBorders>
              <w:top w:val="nil"/>
              <w:left w:val="nil"/>
              <w:bottom w:val="single" w:sz="4" w:space="0" w:color="auto"/>
              <w:right w:val="single" w:sz="4" w:space="0" w:color="auto"/>
            </w:tcBorders>
            <w:shd w:val="clear" w:color="auto" w:fill="auto"/>
            <w:noWrap/>
            <w:vAlign w:val="center"/>
            <w:hideMark/>
          </w:tcPr>
          <w:p w14:paraId="1975482E" w14:textId="77777777" w:rsidR="00AA6B06" w:rsidRPr="001B6C30" w:rsidRDefault="00AA6B06" w:rsidP="00062EEB">
            <w:pPr>
              <w:jc w:val="center"/>
              <w:rPr>
                <w:rFonts w:eastAsia="Times New Roman" w:cs="Times New Roman"/>
                <w:bCs/>
                <w:color w:val="000000"/>
                <w:sz w:val="20"/>
                <w:szCs w:val="20"/>
                <w:lang w:eastAsia="lv-LV"/>
              </w:rPr>
            </w:pPr>
            <w:r w:rsidRPr="001B6C30">
              <w:rPr>
                <w:rFonts w:eastAsia="Times New Roman" w:cs="Times New Roman"/>
                <w:bCs/>
                <w:color w:val="000000"/>
                <w:sz w:val="20"/>
                <w:szCs w:val="20"/>
                <w:lang w:eastAsia="lv-LV"/>
              </w:rPr>
              <w:t>-0,2</w:t>
            </w:r>
          </w:p>
        </w:tc>
      </w:tr>
      <w:tr w:rsidR="00AA6B06" w:rsidRPr="00907F13" w14:paraId="7746FFCD" w14:textId="77777777" w:rsidTr="00062EEB">
        <w:trPr>
          <w:trHeight w:val="153"/>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240B6E1B" w14:textId="77777777" w:rsidR="00AA6B06" w:rsidRPr="00545679" w:rsidRDefault="00AA6B06" w:rsidP="00062EEB">
            <w:pPr>
              <w:rPr>
                <w:rFonts w:eastAsia="Times New Roman" w:cs="Times New Roman"/>
                <w:color w:val="000000"/>
                <w:sz w:val="20"/>
                <w:szCs w:val="20"/>
                <w:lang w:eastAsia="lv-LV"/>
              </w:rPr>
            </w:pPr>
            <w:r w:rsidRPr="00545679">
              <w:rPr>
                <w:rFonts w:eastAsia="Times New Roman" w:cs="Times New Roman"/>
                <w:color w:val="000000"/>
                <w:sz w:val="20"/>
                <w:szCs w:val="20"/>
                <w:lang w:eastAsia="lv-LV"/>
              </w:rPr>
              <w:t>2.1.Zinātne un inovācijas</w:t>
            </w:r>
          </w:p>
        </w:tc>
        <w:tc>
          <w:tcPr>
            <w:tcW w:w="1701" w:type="dxa"/>
            <w:tcBorders>
              <w:top w:val="nil"/>
              <w:left w:val="nil"/>
              <w:bottom w:val="single" w:sz="4" w:space="0" w:color="auto"/>
              <w:right w:val="single" w:sz="4" w:space="0" w:color="auto"/>
            </w:tcBorders>
            <w:shd w:val="clear" w:color="auto" w:fill="auto"/>
            <w:vAlign w:val="center"/>
            <w:hideMark/>
          </w:tcPr>
          <w:p w14:paraId="658BB9DA" w14:textId="77777777" w:rsidR="00AA6B06" w:rsidRPr="00545679" w:rsidRDefault="00AA6B06" w:rsidP="00062EEB">
            <w:pPr>
              <w:jc w:val="center"/>
              <w:rPr>
                <w:rFonts w:eastAsia="Times New Roman" w:cs="Times New Roman"/>
                <w:bCs/>
                <w:color w:val="000000"/>
                <w:sz w:val="20"/>
                <w:szCs w:val="20"/>
                <w:lang w:eastAsia="lv-LV"/>
              </w:rPr>
            </w:pPr>
            <w:r w:rsidRPr="00545679">
              <w:rPr>
                <w:rFonts w:eastAsia="Times New Roman" w:cs="Times New Roman"/>
                <w:bCs/>
                <w:color w:val="000000"/>
                <w:sz w:val="20"/>
                <w:szCs w:val="20"/>
                <w:lang w:eastAsia="lv-LV"/>
              </w:rPr>
              <w:t>451,9</w:t>
            </w:r>
          </w:p>
        </w:tc>
        <w:tc>
          <w:tcPr>
            <w:tcW w:w="1701" w:type="dxa"/>
            <w:tcBorders>
              <w:top w:val="nil"/>
              <w:left w:val="nil"/>
              <w:bottom w:val="single" w:sz="4" w:space="0" w:color="auto"/>
              <w:right w:val="single" w:sz="4" w:space="0" w:color="auto"/>
            </w:tcBorders>
            <w:shd w:val="clear" w:color="auto" w:fill="auto"/>
            <w:vAlign w:val="center"/>
            <w:hideMark/>
          </w:tcPr>
          <w:p w14:paraId="3C65DB4E" w14:textId="77777777" w:rsidR="00AA6B06" w:rsidRPr="00545679" w:rsidRDefault="00AA6B06" w:rsidP="00062EEB">
            <w:pPr>
              <w:jc w:val="center"/>
              <w:rPr>
                <w:rFonts w:eastAsia="Times New Roman" w:cs="Times New Roman"/>
                <w:bCs/>
                <w:color w:val="000000"/>
                <w:sz w:val="20"/>
                <w:szCs w:val="20"/>
                <w:lang w:eastAsia="lv-LV"/>
              </w:rPr>
            </w:pPr>
            <w:r w:rsidRPr="00545679">
              <w:rPr>
                <w:rFonts w:eastAsia="Times New Roman" w:cs="Times New Roman"/>
                <w:bCs/>
                <w:color w:val="000000"/>
                <w:sz w:val="20"/>
                <w:szCs w:val="20"/>
                <w:lang w:eastAsia="lv-LV"/>
              </w:rPr>
              <w:t>6</w:t>
            </w:r>
            <w:r>
              <w:rPr>
                <w:rFonts w:eastAsia="Times New Roman" w:cs="Times New Roman"/>
                <w:bCs/>
                <w:color w:val="000000"/>
                <w:sz w:val="20"/>
                <w:szCs w:val="20"/>
                <w:lang w:eastAsia="lv-LV"/>
              </w:rPr>
              <w:t>3</w:t>
            </w:r>
            <w:r w:rsidRPr="00545679">
              <w:rPr>
                <w:rFonts w:eastAsia="Times New Roman" w:cs="Times New Roman"/>
                <w:bCs/>
                <w:color w:val="000000"/>
                <w:sz w:val="20"/>
                <w:szCs w:val="20"/>
                <w:lang w:eastAsia="lv-LV"/>
              </w:rPr>
              <w:t>,</w:t>
            </w:r>
            <w:r>
              <w:rPr>
                <w:rFonts w:eastAsia="Times New Roman" w:cs="Times New Roman"/>
                <w:bCs/>
                <w:color w:val="000000"/>
                <w:sz w:val="20"/>
                <w:szCs w:val="20"/>
                <w:lang w:eastAsia="lv-LV"/>
              </w:rPr>
              <w:t>3</w:t>
            </w:r>
          </w:p>
        </w:tc>
        <w:tc>
          <w:tcPr>
            <w:tcW w:w="1701" w:type="dxa"/>
            <w:tcBorders>
              <w:top w:val="nil"/>
              <w:left w:val="nil"/>
              <w:bottom w:val="single" w:sz="4" w:space="0" w:color="auto"/>
              <w:right w:val="single" w:sz="4" w:space="0" w:color="auto"/>
            </w:tcBorders>
            <w:shd w:val="clear" w:color="auto" w:fill="auto"/>
            <w:noWrap/>
            <w:vAlign w:val="center"/>
            <w:hideMark/>
          </w:tcPr>
          <w:p w14:paraId="2A9B0386" w14:textId="77777777" w:rsidR="00AA6B06" w:rsidRPr="001B6C30" w:rsidRDefault="00AA6B06" w:rsidP="00062EEB">
            <w:pPr>
              <w:jc w:val="center"/>
              <w:rPr>
                <w:rFonts w:eastAsia="Times New Roman" w:cs="Times New Roman"/>
                <w:bCs/>
                <w:color w:val="000000"/>
                <w:sz w:val="20"/>
                <w:szCs w:val="20"/>
                <w:lang w:eastAsia="lv-LV"/>
              </w:rPr>
            </w:pPr>
            <w:r w:rsidRPr="001B6C30">
              <w:rPr>
                <w:rFonts w:eastAsia="Times New Roman" w:cs="Times New Roman"/>
                <w:bCs/>
                <w:color w:val="000000"/>
                <w:sz w:val="20"/>
                <w:szCs w:val="20"/>
                <w:lang w:eastAsia="lv-LV"/>
              </w:rPr>
              <w:t>497,1</w:t>
            </w:r>
          </w:p>
        </w:tc>
        <w:tc>
          <w:tcPr>
            <w:tcW w:w="1701" w:type="dxa"/>
            <w:tcBorders>
              <w:top w:val="nil"/>
              <w:left w:val="nil"/>
              <w:bottom w:val="single" w:sz="4" w:space="0" w:color="auto"/>
              <w:right w:val="single" w:sz="4" w:space="0" w:color="auto"/>
            </w:tcBorders>
            <w:shd w:val="clear" w:color="auto" w:fill="auto"/>
            <w:noWrap/>
            <w:vAlign w:val="center"/>
            <w:hideMark/>
          </w:tcPr>
          <w:p w14:paraId="17E2EA66" w14:textId="77777777" w:rsidR="00AA6B06" w:rsidRPr="001B6C30" w:rsidRDefault="00AA6B06" w:rsidP="00062EEB">
            <w:pPr>
              <w:jc w:val="center"/>
              <w:rPr>
                <w:rFonts w:eastAsia="Times New Roman" w:cs="Times New Roman"/>
                <w:bCs/>
                <w:color w:val="000000"/>
                <w:sz w:val="20"/>
                <w:szCs w:val="20"/>
                <w:lang w:eastAsia="lv-LV"/>
              </w:rPr>
            </w:pPr>
            <w:r w:rsidRPr="001B6C30">
              <w:rPr>
                <w:rFonts w:eastAsia="Times New Roman" w:cs="Times New Roman"/>
                <w:bCs/>
                <w:color w:val="000000"/>
                <w:sz w:val="20"/>
                <w:szCs w:val="20"/>
                <w:lang w:eastAsia="lv-LV"/>
              </w:rPr>
              <w:t>45,2</w:t>
            </w:r>
          </w:p>
        </w:tc>
      </w:tr>
      <w:tr w:rsidR="00AA6B06" w:rsidRPr="00907F13" w14:paraId="53864DB9" w14:textId="77777777" w:rsidTr="00062EEB">
        <w:trPr>
          <w:trHeight w:val="172"/>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79D056E0" w14:textId="77777777" w:rsidR="00AA6B06" w:rsidRPr="00545679" w:rsidRDefault="00AA6B06" w:rsidP="00062EEB">
            <w:pPr>
              <w:rPr>
                <w:rFonts w:eastAsia="Times New Roman" w:cs="Times New Roman"/>
                <w:color w:val="000000"/>
                <w:sz w:val="20"/>
                <w:szCs w:val="20"/>
                <w:lang w:eastAsia="lv-LV"/>
              </w:rPr>
            </w:pPr>
            <w:r w:rsidRPr="00545679">
              <w:rPr>
                <w:rFonts w:eastAsia="Times New Roman" w:cs="Times New Roman"/>
                <w:color w:val="000000"/>
                <w:sz w:val="20"/>
                <w:szCs w:val="20"/>
                <w:lang w:eastAsia="lv-LV"/>
              </w:rPr>
              <w:t>2.2.Finanšu pieejamība</w:t>
            </w:r>
          </w:p>
        </w:tc>
        <w:tc>
          <w:tcPr>
            <w:tcW w:w="1701" w:type="dxa"/>
            <w:tcBorders>
              <w:top w:val="nil"/>
              <w:left w:val="nil"/>
              <w:bottom w:val="single" w:sz="4" w:space="0" w:color="auto"/>
              <w:right w:val="single" w:sz="4" w:space="0" w:color="auto"/>
            </w:tcBorders>
            <w:shd w:val="clear" w:color="auto" w:fill="auto"/>
            <w:vAlign w:val="center"/>
            <w:hideMark/>
          </w:tcPr>
          <w:p w14:paraId="48A1D5DF" w14:textId="77777777" w:rsidR="00AA6B06" w:rsidRPr="00545679" w:rsidRDefault="00AA6B06" w:rsidP="00062EEB">
            <w:pPr>
              <w:jc w:val="center"/>
              <w:rPr>
                <w:rFonts w:eastAsia="Times New Roman" w:cs="Times New Roman"/>
                <w:bCs/>
                <w:color w:val="000000"/>
                <w:sz w:val="20"/>
                <w:szCs w:val="20"/>
                <w:lang w:eastAsia="lv-LV"/>
              </w:rPr>
            </w:pPr>
            <w:r w:rsidRPr="00545679">
              <w:rPr>
                <w:rFonts w:eastAsia="Times New Roman" w:cs="Times New Roman"/>
                <w:bCs/>
                <w:color w:val="000000"/>
                <w:sz w:val="20"/>
                <w:szCs w:val="20"/>
                <w:lang w:eastAsia="lv-LV"/>
              </w:rPr>
              <w:t>147,5</w:t>
            </w:r>
          </w:p>
        </w:tc>
        <w:tc>
          <w:tcPr>
            <w:tcW w:w="1701" w:type="dxa"/>
            <w:tcBorders>
              <w:top w:val="nil"/>
              <w:left w:val="nil"/>
              <w:bottom w:val="single" w:sz="4" w:space="0" w:color="auto"/>
              <w:right w:val="single" w:sz="4" w:space="0" w:color="auto"/>
            </w:tcBorders>
            <w:shd w:val="clear" w:color="auto" w:fill="auto"/>
            <w:vAlign w:val="center"/>
            <w:hideMark/>
          </w:tcPr>
          <w:p w14:paraId="0396A7A7" w14:textId="77777777" w:rsidR="00AA6B06" w:rsidRPr="00545679" w:rsidRDefault="00AA6B06" w:rsidP="00062EEB">
            <w:pPr>
              <w:jc w:val="center"/>
              <w:rPr>
                <w:rFonts w:eastAsia="Times New Roman" w:cs="Times New Roman"/>
                <w:bCs/>
                <w:color w:val="000000"/>
                <w:sz w:val="20"/>
                <w:szCs w:val="20"/>
                <w:lang w:eastAsia="lv-LV"/>
              </w:rPr>
            </w:pPr>
            <w:r w:rsidRPr="00545679">
              <w:rPr>
                <w:rFonts w:eastAsia="Times New Roman" w:cs="Times New Roman"/>
                <w:bCs/>
                <w:color w:val="000000"/>
                <w:sz w:val="20"/>
                <w:szCs w:val="20"/>
                <w:lang w:eastAsia="lv-LV"/>
              </w:rPr>
              <w:t>0,0</w:t>
            </w:r>
          </w:p>
        </w:tc>
        <w:tc>
          <w:tcPr>
            <w:tcW w:w="1701" w:type="dxa"/>
            <w:tcBorders>
              <w:top w:val="nil"/>
              <w:left w:val="nil"/>
              <w:bottom w:val="single" w:sz="4" w:space="0" w:color="auto"/>
              <w:right w:val="single" w:sz="4" w:space="0" w:color="auto"/>
            </w:tcBorders>
            <w:shd w:val="clear" w:color="auto" w:fill="auto"/>
            <w:noWrap/>
            <w:vAlign w:val="center"/>
            <w:hideMark/>
          </w:tcPr>
          <w:p w14:paraId="45AA6AC3" w14:textId="77777777" w:rsidR="00AA6B06" w:rsidRPr="001B6C30" w:rsidRDefault="00AA6B06" w:rsidP="00062EEB">
            <w:pPr>
              <w:jc w:val="center"/>
              <w:rPr>
                <w:rFonts w:eastAsia="Times New Roman" w:cs="Times New Roman"/>
                <w:bCs/>
                <w:color w:val="000000"/>
                <w:sz w:val="20"/>
                <w:szCs w:val="20"/>
                <w:lang w:eastAsia="lv-LV"/>
              </w:rPr>
            </w:pPr>
            <w:r w:rsidRPr="001B6C30">
              <w:rPr>
                <w:rFonts w:eastAsia="Times New Roman" w:cs="Times New Roman"/>
                <w:bCs/>
                <w:color w:val="000000"/>
                <w:sz w:val="20"/>
                <w:szCs w:val="20"/>
                <w:lang w:eastAsia="lv-LV"/>
              </w:rPr>
              <w:t>147,4</w:t>
            </w:r>
          </w:p>
        </w:tc>
        <w:tc>
          <w:tcPr>
            <w:tcW w:w="1701" w:type="dxa"/>
            <w:tcBorders>
              <w:top w:val="nil"/>
              <w:left w:val="nil"/>
              <w:bottom w:val="single" w:sz="4" w:space="0" w:color="auto"/>
              <w:right w:val="single" w:sz="4" w:space="0" w:color="auto"/>
            </w:tcBorders>
            <w:shd w:val="clear" w:color="auto" w:fill="auto"/>
            <w:noWrap/>
            <w:vAlign w:val="center"/>
            <w:hideMark/>
          </w:tcPr>
          <w:p w14:paraId="35CEA46A" w14:textId="77777777" w:rsidR="00AA6B06" w:rsidRPr="001B6C30" w:rsidRDefault="00AA6B06" w:rsidP="00062EEB">
            <w:pPr>
              <w:jc w:val="center"/>
              <w:rPr>
                <w:rFonts w:eastAsia="Times New Roman" w:cs="Times New Roman"/>
                <w:bCs/>
                <w:color w:val="000000"/>
                <w:sz w:val="20"/>
                <w:szCs w:val="20"/>
                <w:lang w:eastAsia="lv-LV"/>
              </w:rPr>
            </w:pPr>
            <w:r w:rsidRPr="001B6C30">
              <w:rPr>
                <w:rFonts w:eastAsia="Times New Roman" w:cs="Times New Roman"/>
                <w:bCs/>
                <w:color w:val="000000"/>
                <w:sz w:val="20"/>
                <w:szCs w:val="20"/>
                <w:lang w:eastAsia="lv-LV"/>
              </w:rPr>
              <w:t>-0,1</w:t>
            </w:r>
          </w:p>
        </w:tc>
      </w:tr>
      <w:tr w:rsidR="00AA6B06" w:rsidRPr="00907F13" w14:paraId="4B9FEB88" w14:textId="77777777" w:rsidTr="00062EEB">
        <w:trPr>
          <w:trHeight w:val="5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62609C87" w14:textId="77777777" w:rsidR="00AA6B06" w:rsidRPr="00545679" w:rsidRDefault="00AA6B06" w:rsidP="00062EEB">
            <w:pPr>
              <w:rPr>
                <w:rFonts w:eastAsia="Times New Roman" w:cs="Times New Roman"/>
                <w:color w:val="000000"/>
                <w:sz w:val="20"/>
                <w:szCs w:val="20"/>
                <w:lang w:eastAsia="lv-LV"/>
              </w:rPr>
            </w:pPr>
            <w:r w:rsidRPr="00545679">
              <w:rPr>
                <w:rFonts w:eastAsia="Times New Roman" w:cs="Times New Roman"/>
                <w:color w:val="000000"/>
                <w:sz w:val="20"/>
                <w:szCs w:val="20"/>
                <w:lang w:eastAsia="lv-LV"/>
              </w:rPr>
              <w:t>2.3.Uzņēmējdarbības veicināšana</w:t>
            </w:r>
          </w:p>
        </w:tc>
        <w:tc>
          <w:tcPr>
            <w:tcW w:w="1701" w:type="dxa"/>
            <w:tcBorders>
              <w:top w:val="nil"/>
              <w:left w:val="nil"/>
              <w:bottom w:val="single" w:sz="4" w:space="0" w:color="auto"/>
              <w:right w:val="single" w:sz="4" w:space="0" w:color="auto"/>
            </w:tcBorders>
            <w:shd w:val="clear" w:color="auto" w:fill="auto"/>
            <w:vAlign w:val="center"/>
            <w:hideMark/>
          </w:tcPr>
          <w:p w14:paraId="2F61DD95" w14:textId="77777777" w:rsidR="00AA6B06" w:rsidRPr="00545679" w:rsidRDefault="00AA6B06" w:rsidP="00062EEB">
            <w:pPr>
              <w:jc w:val="center"/>
              <w:rPr>
                <w:rFonts w:eastAsia="Times New Roman" w:cs="Times New Roman"/>
                <w:bCs/>
                <w:color w:val="000000"/>
                <w:sz w:val="20"/>
                <w:szCs w:val="20"/>
                <w:lang w:eastAsia="lv-LV"/>
              </w:rPr>
            </w:pPr>
            <w:r w:rsidRPr="00545679">
              <w:rPr>
                <w:rFonts w:eastAsia="Times New Roman" w:cs="Times New Roman"/>
                <w:bCs/>
                <w:color w:val="000000"/>
                <w:sz w:val="20"/>
                <w:szCs w:val="20"/>
                <w:lang w:eastAsia="lv-LV"/>
              </w:rPr>
              <w:t>73,9</w:t>
            </w:r>
          </w:p>
        </w:tc>
        <w:tc>
          <w:tcPr>
            <w:tcW w:w="1701" w:type="dxa"/>
            <w:tcBorders>
              <w:top w:val="nil"/>
              <w:left w:val="nil"/>
              <w:bottom w:val="single" w:sz="4" w:space="0" w:color="auto"/>
              <w:right w:val="single" w:sz="4" w:space="0" w:color="auto"/>
            </w:tcBorders>
            <w:shd w:val="clear" w:color="auto" w:fill="auto"/>
            <w:vAlign w:val="center"/>
            <w:hideMark/>
          </w:tcPr>
          <w:p w14:paraId="587E5E3E" w14:textId="77777777" w:rsidR="00AA6B06" w:rsidRPr="00545679" w:rsidRDefault="00AA6B06" w:rsidP="00062EEB">
            <w:pPr>
              <w:jc w:val="center"/>
              <w:rPr>
                <w:rFonts w:eastAsia="Times New Roman" w:cs="Times New Roman"/>
                <w:bCs/>
                <w:color w:val="000000"/>
                <w:sz w:val="20"/>
                <w:szCs w:val="20"/>
                <w:lang w:eastAsia="lv-LV"/>
              </w:rPr>
            </w:pPr>
            <w:r w:rsidRPr="00545679">
              <w:rPr>
                <w:rFonts w:eastAsia="Times New Roman" w:cs="Times New Roman"/>
                <w:bCs/>
                <w:color w:val="000000"/>
                <w:sz w:val="20"/>
                <w:szCs w:val="20"/>
                <w:lang w:eastAsia="lv-LV"/>
              </w:rPr>
              <w:t>7</w:t>
            </w:r>
            <w:r>
              <w:rPr>
                <w:rFonts w:eastAsia="Times New Roman" w:cs="Times New Roman"/>
                <w:bCs/>
                <w:color w:val="000000"/>
                <w:sz w:val="20"/>
                <w:szCs w:val="20"/>
                <w:lang w:eastAsia="lv-LV"/>
              </w:rPr>
              <w:t>3,8</w:t>
            </w:r>
          </w:p>
        </w:tc>
        <w:tc>
          <w:tcPr>
            <w:tcW w:w="1701" w:type="dxa"/>
            <w:tcBorders>
              <w:top w:val="nil"/>
              <w:left w:val="nil"/>
              <w:bottom w:val="single" w:sz="4" w:space="0" w:color="auto"/>
              <w:right w:val="single" w:sz="4" w:space="0" w:color="auto"/>
            </w:tcBorders>
            <w:shd w:val="clear" w:color="auto" w:fill="auto"/>
            <w:noWrap/>
            <w:vAlign w:val="center"/>
            <w:hideMark/>
          </w:tcPr>
          <w:p w14:paraId="02F24472" w14:textId="77777777" w:rsidR="00AA6B06" w:rsidRPr="001B6C30" w:rsidRDefault="00AA6B06" w:rsidP="00062EEB">
            <w:pPr>
              <w:jc w:val="center"/>
              <w:rPr>
                <w:rFonts w:eastAsia="Times New Roman" w:cs="Times New Roman"/>
                <w:bCs/>
                <w:color w:val="000000"/>
                <w:sz w:val="20"/>
                <w:szCs w:val="20"/>
                <w:lang w:eastAsia="lv-LV"/>
              </w:rPr>
            </w:pPr>
            <w:r w:rsidRPr="001B6C30">
              <w:rPr>
                <w:rFonts w:eastAsia="Times New Roman" w:cs="Times New Roman"/>
                <w:bCs/>
                <w:color w:val="000000"/>
                <w:sz w:val="20"/>
                <w:szCs w:val="20"/>
                <w:lang w:eastAsia="lv-LV"/>
              </w:rPr>
              <w:t>81,3</w:t>
            </w:r>
          </w:p>
        </w:tc>
        <w:tc>
          <w:tcPr>
            <w:tcW w:w="1701" w:type="dxa"/>
            <w:tcBorders>
              <w:top w:val="nil"/>
              <w:left w:val="nil"/>
              <w:bottom w:val="single" w:sz="4" w:space="0" w:color="auto"/>
              <w:right w:val="single" w:sz="4" w:space="0" w:color="auto"/>
            </w:tcBorders>
            <w:shd w:val="clear" w:color="auto" w:fill="auto"/>
            <w:noWrap/>
            <w:vAlign w:val="center"/>
            <w:hideMark/>
          </w:tcPr>
          <w:p w14:paraId="23388DAD" w14:textId="77777777" w:rsidR="00AA6B06" w:rsidRPr="001B6C30" w:rsidRDefault="00AA6B06" w:rsidP="00062EEB">
            <w:pPr>
              <w:jc w:val="center"/>
              <w:rPr>
                <w:rFonts w:eastAsia="Times New Roman" w:cs="Times New Roman"/>
                <w:bCs/>
                <w:color w:val="000000"/>
                <w:sz w:val="20"/>
                <w:szCs w:val="20"/>
                <w:lang w:eastAsia="lv-LV"/>
              </w:rPr>
            </w:pPr>
            <w:r w:rsidRPr="001B6C30">
              <w:rPr>
                <w:rFonts w:eastAsia="Times New Roman" w:cs="Times New Roman"/>
                <w:bCs/>
                <w:color w:val="000000"/>
                <w:sz w:val="20"/>
                <w:szCs w:val="20"/>
                <w:lang w:eastAsia="lv-LV"/>
              </w:rPr>
              <w:t>7,4</w:t>
            </w:r>
          </w:p>
        </w:tc>
      </w:tr>
      <w:tr w:rsidR="00AA6B06" w:rsidRPr="00907F13" w14:paraId="2276532A" w14:textId="77777777" w:rsidTr="00062EEB">
        <w:trPr>
          <w:trHeight w:val="208"/>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11BAE66" w14:textId="77777777" w:rsidR="00AA6B06" w:rsidRPr="00545679" w:rsidRDefault="00AA6B06" w:rsidP="00062EEB">
            <w:pPr>
              <w:rPr>
                <w:rFonts w:eastAsia="Times New Roman" w:cs="Times New Roman"/>
                <w:color w:val="000000"/>
                <w:sz w:val="20"/>
                <w:szCs w:val="20"/>
                <w:lang w:eastAsia="lv-LV"/>
              </w:rPr>
            </w:pPr>
            <w:r w:rsidRPr="00545679">
              <w:rPr>
                <w:rFonts w:eastAsia="Times New Roman" w:cs="Times New Roman"/>
                <w:color w:val="000000"/>
                <w:sz w:val="20"/>
                <w:szCs w:val="20"/>
                <w:lang w:eastAsia="lv-LV"/>
              </w:rPr>
              <w:t>2.4.Tehniskā palīdzība</w:t>
            </w:r>
          </w:p>
        </w:tc>
        <w:tc>
          <w:tcPr>
            <w:tcW w:w="1701" w:type="dxa"/>
            <w:tcBorders>
              <w:top w:val="nil"/>
              <w:left w:val="nil"/>
              <w:bottom w:val="single" w:sz="4" w:space="0" w:color="auto"/>
              <w:right w:val="single" w:sz="4" w:space="0" w:color="auto"/>
            </w:tcBorders>
            <w:shd w:val="clear" w:color="auto" w:fill="auto"/>
            <w:vAlign w:val="center"/>
            <w:hideMark/>
          </w:tcPr>
          <w:p w14:paraId="2DFE71C5" w14:textId="77777777" w:rsidR="00AA6B06" w:rsidRPr="00545679" w:rsidRDefault="00AA6B06" w:rsidP="00062EEB">
            <w:pPr>
              <w:jc w:val="center"/>
              <w:rPr>
                <w:rFonts w:eastAsia="Times New Roman" w:cs="Times New Roman"/>
                <w:bCs/>
                <w:color w:val="000000"/>
                <w:sz w:val="20"/>
                <w:szCs w:val="20"/>
                <w:lang w:eastAsia="lv-LV"/>
              </w:rPr>
            </w:pPr>
            <w:r w:rsidRPr="00545679">
              <w:rPr>
                <w:rFonts w:eastAsia="Times New Roman" w:cs="Times New Roman"/>
                <w:bCs/>
                <w:color w:val="000000"/>
                <w:sz w:val="20"/>
                <w:szCs w:val="20"/>
                <w:lang w:eastAsia="lv-LV"/>
              </w:rPr>
              <w:t>23,0</w:t>
            </w:r>
          </w:p>
        </w:tc>
        <w:tc>
          <w:tcPr>
            <w:tcW w:w="1701" w:type="dxa"/>
            <w:tcBorders>
              <w:top w:val="nil"/>
              <w:left w:val="nil"/>
              <w:bottom w:val="single" w:sz="4" w:space="0" w:color="auto"/>
              <w:right w:val="single" w:sz="4" w:space="0" w:color="auto"/>
            </w:tcBorders>
            <w:shd w:val="clear" w:color="auto" w:fill="auto"/>
            <w:vAlign w:val="center"/>
            <w:hideMark/>
          </w:tcPr>
          <w:p w14:paraId="155F6FEE" w14:textId="77777777" w:rsidR="00AA6B06" w:rsidRPr="00545679" w:rsidRDefault="00AA6B06" w:rsidP="00062EEB">
            <w:pPr>
              <w:jc w:val="center"/>
              <w:rPr>
                <w:rFonts w:eastAsia="Times New Roman" w:cs="Times New Roman"/>
                <w:bCs/>
                <w:color w:val="000000"/>
                <w:sz w:val="20"/>
                <w:szCs w:val="20"/>
                <w:lang w:eastAsia="lv-LV"/>
              </w:rPr>
            </w:pPr>
            <w:r w:rsidRPr="00545679">
              <w:rPr>
                <w:rFonts w:eastAsia="Times New Roman" w:cs="Times New Roman"/>
                <w:bCs/>
                <w:color w:val="000000"/>
                <w:sz w:val="20"/>
                <w:szCs w:val="20"/>
                <w:lang w:eastAsia="lv-LV"/>
              </w:rPr>
              <w:t>0,0</w:t>
            </w:r>
          </w:p>
        </w:tc>
        <w:tc>
          <w:tcPr>
            <w:tcW w:w="1701" w:type="dxa"/>
            <w:tcBorders>
              <w:top w:val="nil"/>
              <w:left w:val="nil"/>
              <w:bottom w:val="single" w:sz="4" w:space="0" w:color="auto"/>
              <w:right w:val="single" w:sz="4" w:space="0" w:color="auto"/>
            </w:tcBorders>
            <w:shd w:val="clear" w:color="auto" w:fill="auto"/>
            <w:noWrap/>
            <w:vAlign w:val="center"/>
            <w:hideMark/>
          </w:tcPr>
          <w:p w14:paraId="0955BD61" w14:textId="77777777" w:rsidR="00AA6B06" w:rsidRPr="001B6C30" w:rsidRDefault="00AA6B06" w:rsidP="00062EEB">
            <w:pPr>
              <w:jc w:val="center"/>
              <w:rPr>
                <w:rFonts w:eastAsia="Times New Roman" w:cs="Times New Roman"/>
                <w:bCs/>
                <w:color w:val="000000"/>
                <w:sz w:val="20"/>
                <w:szCs w:val="20"/>
                <w:lang w:eastAsia="lv-LV"/>
              </w:rPr>
            </w:pPr>
            <w:r w:rsidRPr="001B6C30">
              <w:rPr>
                <w:rFonts w:eastAsia="Times New Roman" w:cs="Times New Roman"/>
                <w:bCs/>
                <w:color w:val="000000"/>
                <w:sz w:val="20"/>
                <w:szCs w:val="20"/>
                <w:lang w:eastAsia="lv-LV"/>
              </w:rPr>
              <w:t>22,5</w:t>
            </w:r>
          </w:p>
        </w:tc>
        <w:tc>
          <w:tcPr>
            <w:tcW w:w="1701" w:type="dxa"/>
            <w:tcBorders>
              <w:top w:val="nil"/>
              <w:left w:val="nil"/>
              <w:bottom w:val="single" w:sz="4" w:space="0" w:color="auto"/>
              <w:right w:val="single" w:sz="4" w:space="0" w:color="auto"/>
            </w:tcBorders>
            <w:shd w:val="clear" w:color="auto" w:fill="auto"/>
            <w:noWrap/>
            <w:vAlign w:val="center"/>
            <w:hideMark/>
          </w:tcPr>
          <w:p w14:paraId="394EE364" w14:textId="77777777" w:rsidR="00AA6B06" w:rsidRPr="001B6C30" w:rsidRDefault="00AA6B06" w:rsidP="00062EEB">
            <w:pPr>
              <w:jc w:val="center"/>
              <w:rPr>
                <w:rFonts w:eastAsia="Times New Roman" w:cs="Times New Roman"/>
                <w:bCs/>
                <w:color w:val="000000"/>
                <w:sz w:val="20"/>
                <w:szCs w:val="20"/>
                <w:lang w:eastAsia="lv-LV"/>
              </w:rPr>
            </w:pPr>
            <w:r w:rsidRPr="001B6C30">
              <w:rPr>
                <w:rFonts w:eastAsia="Times New Roman" w:cs="Times New Roman"/>
                <w:bCs/>
                <w:color w:val="000000"/>
                <w:sz w:val="20"/>
                <w:szCs w:val="20"/>
                <w:lang w:eastAsia="lv-LV"/>
              </w:rPr>
              <w:t>-0,5</w:t>
            </w:r>
          </w:p>
        </w:tc>
      </w:tr>
      <w:tr w:rsidR="00AA6B06" w:rsidRPr="00907F13" w14:paraId="79E68DCC" w14:textId="77777777" w:rsidTr="00062EEB">
        <w:trPr>
          <w:trHeight w:val="226"/>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06131F3" w14:textId="77777777" w:rsidR="00AA6B06" w:rsidRPr="00545679" w:rsidRDefault="00AA6B06" w:rsidP="00062EEB">
            <w:pPr>
              <w:rPr>
                <w:rFonts w:eastAsia="Times New Roman" w:cs="Times New Roman"/>
                <w:color w:val="000000"/>
                <w:sz w:val="20"/>
                <w:szCs w:val="20"/>
                <w:lang w:eastAsia="lv-LV"/>
              </w:rPr>
            </w:pPr>
            <w:r w:rsidRPr="00545679">
              <w:rPr>
                <w:rFonts w:eastAsia="Times New Roman" w:cs="Times New Roman"/>
                <w:color w:val="000000"/>
                <w:sz w:val="20"/>
                <w:szCs w:val="20"/>
                <w:lang w:eastAsia="lv-LV"/>
              </w:rPr>
              <w:t>3.1.Infrastruktūra cilvēku kapitāla nostiprināšanai</w:t>
            </w:r>
          </w:p>
        </w:tc>
        <w:tc>
          <w:tcPr>
            <w:tcW w:w="1701" w:type="dxa"/>
            <w:tcBorders>
              <w:top w:val="nil"/>
              <w:left w:val="nil"/>
              <w:bottom w:val="single" w:sz="4" w:space="0" w:color="auto"/>
              <w:right w:val="single" w:sz="4" w:space="0" w:color="auto"/>
            </w:tcBorders>
            <w:shd w:val="clear" w:color="auto" w:fill="auto"/>
            <w:vAlign w:val="center"/>
            <w:hideMark/>
          </w:tcPr>
          <w:p w14:paraId="1BC5F9E4" w14:textId="77777777" w:rsidR="00AA6B06" w:rsidRPr="00545679" w:rsidRDefault="00AA6B06" w:rsidP="00062EEB">
            <w:pPr>
              <w:jc w:val="center"/>
              <w:rPr>
                <w:rFonts w:eastAsia="Times New Roman" w:cs="Times New Roman"/>
                <w:bCs/>
                <w:color w:val="000000"/>
                <w:sz w:val="20"/>
                <w:szCs w:val="20"/>
                <w:lang w:eastAsia="lv-LV"/>
              </w:rPr>
            </w:pPr>
            <w:r w:rsidRPr="00545679">
              <w:rPr>
                <w:rFonts w:eastAsia="Times New Roman" w:cs="Times New Roman"/>
                <w:bCs/>
                <w:color w:val="000000"/>
                <w:sz w:val="20"/>
                <w:szCs w:val="20"/>
                <w:lang w:eastAsia="lv-LV"/>
              </w:rPr>
              <w:t>535,1</w:t>
            </w:r>
          </w:p>
        </w:tc>
        <w:tc>
          <w:tcPr>
            <w:tcW w:w="1701" w:type="dxa"/>
            <w:tcBorders>
              <w:top w:val="nil"/>
              <w:left w:val="nil"/>
              <w:bottom w:val="single" w:sz="4" w:space="0" w:color="auto"/>
              <w:right w:val="single" w:sz="4" w:space="0" w:color="auto"/>
            </w:tcBorders>
            <w:shd w:val="clear" w:color="auto" w:fill="auto"/>
            <w:vAlign w:val="center"/>
            <w:hideMark/>
          </w:tcPr>
          <w:p w14:paraId="151065AA" w14:textId="77777777" w:rsidR="00AA6B06" w:rsidRPr="00545679" w:rsidRDefault="00AA6B06" w:rsidP="00062EEB">
            <w:pPr>
              <w:jc w:val="center"/>
              <w:rPr>
                <w:rFonts w:eastAsia="Times New Roman" w:cs="Times New Roman"/>
                <w:bCs/>
                <w:color w:val="000000"/>
                <w:sz w:val="20"/>
                <w:szCs w:val="20"/>
                <w:lang w:eastAsia="lv-LV"/>
              </w:rPr>
            </w:pPr>
            <w:r w:rsidRPr="00545679">
              <w:rPr>
                <w:rFonts w:eastAsia="Times New Roman" w:cs="Times New Roman"/>
                <w:bCs/>
                <w:color w:val="000000"/>
                <w:sz w:val="20"/>
                <w:szCs w:val="20"/>
                <w:lang w:eastAsia="lv-LV"/>
              </w:rPr>
              <w:t>49,9</w:t>
            </w:r>
          </w:p>
        </w:tc>
        <w:tc>
          <w:tcPr>
            <w:tcW w:w="1701" w:type="dxa"/>
            <w:tcBorders>
              <w:top w:val="nil"/>
              <w:left w:val="nil"/>
              <w:bottom w:val="single" w:sz="4" w:space="0" w:color="auto"/>
              <w:right w:val="single" w:sz="4" w:space="0" w:color="auto"/>
            </w:tcBorders>
            <w:shd w:val="clear" w:color="auto" w:fill="auto"/>
            <w:noWrap/>
            <w:vAlign w:val="center"/>
            <w:hideMark/>
          </w:tcPr>
          <w:p w14:paraId="3118E953" w14:textId="77777777" w:rsidR="00AA6B06" w:rsidRPr="001B6C30" w:rsidRDefault="00AA6B06" w:rsidP="00062EEB">
            <w:pPr>
              <w:jc w:val="center"/>
              <w:rPr>
                <w:rFonts w:eastAsia="Times New Roman" w:cs="Times New Roman"/>
                <w:bCs/>
                <w:color w:val="000000"/>
                <w:sz w:val="20"/>
                <w:szCs w:val="20"/>
                <w:lang w:eastAsia="lv-LV"/>
              </w:rPr>
            </w:pPr>
            <w:r>
              <w:rPr>
                <w:rFonts w:eastAsia="Times New Roman" w:cs="Times New Roman"/>
                <w:bCs/>
                <w:color w:val="000000"/>
                <w:sz w:val="20"/>
                <w:szCs w:val="20"/>
                <w:lang w:eastAsia="lv-LV"/>
              </w:rPr>
              <w:t>558,3</w:t>
            </w:r>
          </w:p>
        </w:tc>
        <w:tc>
          <w:tcPr>
            <w:tcW w:w="1701" w:type="dxa"/>
            <w:tcBorders>
              <w:top w:val="nil"/>
              <w:left w:val="nil"/>
              <w:bottom w:val="single" w:sz="4" w:space="0" w:color="auto"/>
              <w:right w:val="single" w:sz="4" w:space="0" w:color="auto"/>
            </w:tcBorders>
            <w:shd w:val="clear" w:color="auto" w:fill="auto"/>
            <w:noWrap/>
            <w:vAlign w:val="center"/>
            <w:hideMark/>
          </w:tcPr>
          <w:p w14:paraId="23BBE255" w14:textId="225F7DF2" w:rsidR="00AA6B06" w:rsidRPr="001B6C30" w:rsidRDefault="006364C4" w:rsidP="00062EEB">
            <w:pPr>
              <w:jc w:val="center"/>
              <w:rPr>
                <w:rFonts w:eastAsia="Times New Roman" w:cs="Times New Roman"/>
                <w:bCs/>
                <w:color w:val="000000"/>
                <w:sz w:val="20"/>
                <w:szCs w:val="20"/>
                <w:lang w:eastAsia="lv-LV"/>
              </w:rPr>
            </w:pPr>
            <w:r>
              <w:rPr>
                <w:rFonts w:eastAsia="Times New Roman" w:cs="Times New Roman"/>
                <w:bCs/>
                <w:color w:val="000000"/>
                <w:sz w:val="20"/>
                <w:szCs w:val="20"/>
                <w:lang w:eastAsia="lv-LV"/>
              </w:rPr>
              <w:t>23,2</w:t>
            </w:r>
          </w:p>
        </w:tc>
      </w:tr>
      <w:tr w:rsidR="00AA6B06" w:rsidRPr="00907F13" w14:paraId="66C2023C" w14:textId="77777777" w:rsidTr="00062EEB">
        <w:trPr>
          <w:trHeight w:val="102"/>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CDAD0C9" w14:textId="77777777" w:rsidR="00AA6B06" w:rsidRPr="00545679" w:rsidRDefault="00AA6B06" w:rsidP="00062EEB">
            <w:pPr>
              <w:rPr>
                <w:rFonts w:eastAsia="Times New Roman" w:cs="Times New Roman"/>
                <w:color w:val="000000"/>
                <w:sz w:val="20"/>
                <w:szCs w:val="20"/>
                <w:lang w:eastAsia="lv-LV"/>
              </w:rPr>
            </w:pPr>
            <w:r w:rsidRPr="00545679">
              <w:rPr>
                <w:rFonts w:eastAsia="Times New Roman" w:cs="Times New Roman"/>
                <w:color w:val="000000"/>
                <w:sz w:val="20"/>
                <w:szCs w:val="20"/>
                <w:lang w:eastAsia="lv-LV"/>
              </w:rPr>
              <w:t>3.2.Teritoriju pieejamības un sasniedzamības veicināšana</w:t>
            </w:r>
          </w:p>
        </w:tc>
        <w:tc>
          <w:tcPr>
            <w:tcW w:w="1701" w:type="dxa"/>
            <w:tcBorders>
              <w:top w:val="nil"/>
              <w:left w:val="nil"/>
              <w:bottom w:val="single" w:sz="4" w:space="0" w:color="auto"/>
              <w:right w:val="single" w:sz="4" w:space="0" w:color="auto"/>
            </w:tcBorders>
            <w:shd w:val="clear" w:color="auto" w:fill="auto"/>
            <w:vAlign w:val="center"/>
            <w:hideMark/>
          </w:tcPr>
          <w:p w14:paraId="1188644C" w14:textId="77777777" w:rsidR="00AA6B06" w:rsidRPr="00545679" w:rsidRDefault="00AA6B06" w:rsidP="00062EEB">
            <w:pPr>
              <w:jc w:val="center"/>
              <w:rPr>
                <w:rFonts w:eastAsia="Times New Roman" w:cs="Times New Roman"/>
                <w:bCs/>
                <w:color w:val="000000"/>
                <w:sz w:val="20"/>
                <w:szCs w:val="20"/>
                <w:lang w:eastAsia="lv-LV"/>
              </w:rPr>
            </w:pPr>
            <w:r w:rsidRPr="00545679">
              <w:rPr>
                <w:rFonts w:eastAsia="Times New Roman" w:cs="Times New Roman"/>
                <w:bCs/>
                <w:color w:val="000000"/>
                <w:sz w:val="20"/>
                <w:szCs w:val="20"/>
                <w:lang w:eastAsia="lv-LV"/>
              </w:rPr>
              <w:t>511,2</w:t>
            </w:r>
          </w:p>
        </w:tc>
        <w:tc>
          <w:tcPr>
            <w:tcW w:w="1701" w:type="dxa"/>
            <w:tcBorders>
              <w:top w:val="nil"/>
              <w:left w:val="nil"/>
              <w:bottom w:val="single" w:sz="4" w:space="0" w:color="auto"/>
              <w:right w:val="single" w:sz="4" w:space="0" w:color="auto"/>
            </w:tcBorders>
            <w:shd w:val="clear" w:color="auto" w:fill="auto"/>
            <w:vAlign w:val="center"/>
            <w:hideMark/>
          </w:tcPr>
          <w:p w14:paraId="387C70B5" w14:textId="77777777" w:rsidR="00AA6B06" w:rsidRPr="00545679" w:rsidRDefault="00AA6B06" w:rsidP="00062EEB">
            <w:pPr>
              <w:jc w:val="center"/>
              <w:rPr>
                <w:rFonts w:eastAsia="Times New Roman" w:cs="Times New Roman"/>
                <w:bCs/>
                <w:color w:val="000000"/>
                <w:sz w:val="20"/>
                <w:szCs w:val="20"/>
                <w:lang w:eastAsia="lv-LV"/>
              </w:rPr>
            </w:pPr>
            <w:r w:rsidRPr="00545679">
              <w:rPr>
                <w:rFonts w:eastAsia="Times New Roman" w:cs="Times New Roman"/>
                <w:bCs/>
                <w:color w:val="000000"/>
                <w:sz w:val="20"/>
                <w:szCs w:val="20"/>
                <w:lang w:eastAsia="lv-LV"/>
              </w:rPr>
              <w:t>34,9</w:t>
            </w:r>
          </w:p>
        </w:tc>
        <w:tc>
          <w:tcPr>
            <w:tcW w:w="1701" w:type="dxa"/>
            <w:tcBorders>
              <w:top w:val="nil"/>
              <w:left w:val="nil"/>
              <w:bottom w:val="single" w:sz="4" w:space="0" w:color="auto"/>
              <w:right w:val="single" w:sz="4" w:space="0" w:color="auto"/>
            </w:tcBorders>
            <w:shd w:val="clear" w:color="auto" w:fill="auto"/>
            <w:noWrap/>
            <w:vAlign w:val="center"/>
            <w:hideMark/>
          </w:tcPr>
          <w:p w14:paraId="18FC92F8" w14:textId="77777777" w:rsidR="00AA6B06" w:rsidRPr="001B6C30" w:rsidRDefault="00AA6B06" w:rsidP="00062EEB">
            <w:pPr>
              <w:jc w:val="center"/>
              <w:rPr>
                <w:rFonts w:eastAsia="Times New Roman" w:cs="Times New Roman"/>
                <w:bCs/>
                <w:color w:val="000000"/>
                <w:sz w:val="20"/>
                <w:szCs w:val="20"/>
                <w:lang w:eastAsia="lv-LV"/>
              </w:rPr>
            </w:pPr>
            <w:r>
              <w:rPr>
                <w:rFonts w:eastAsia="Times New Roman" w:cs="Times New Roman"/>
                <w:bCs/>
                <w:color w:val="000000"/>
                <w:sz w:val="20"/>
                <w:szCs w:val="20"/>
                <w:lang w:eastAsia="lv-LV"/>
              </w:rPr>
              <w:t>514,3</w:t>
            </w:r>
          </w:p>
        </w:tc>
        <w:tc>
          <w:tcPr>
            <w:tcW w:w="1701" w:type="dxa"/>
            <w:tcBorders>
              <w:top w:val="nil"/>
              <w:left w:val="nil"/>
              <w:bottom w:val="single" w:sz="4" w:space="0" w:color="auto"/>
              <w:right w:val="single" w:sz="4" w:space="0" w:color="auto"/>
            </w:tcBorders>
            <w:shd w:val="clear" w:color="auto" w:fill="auto"/>
            <w:noWrap/>
            <w:vAlign w:val="center"/>
            <w:hideMark/>
          </w:tcPr>
          <w:p w14:paraId="2C9EE4F3" w14:textId="77777777" w:rsidR="00AA6B06" w:rsidRPr="001B6C30" w:rsidRDefault="00AA6B06" w:rsidP="00062EEB">
            <w:pPr>
              <w:jc w:val="center"/>
              <w:rPr>
                <w:rFonts w:eastAsia="Times New Roman" w:cs="Times New Roman"/>
                <w:bCs/>
                <w:color w:val="000000"/>
                <w:sz w:val="20"/>
                <w:szCs w:val="20"/>
                <w:lang w:eastAsia="lv-LV"/>
              </w:rPr>
            </w:pPr>
            <w:r>
              <w:rPr>
                <w:rFonts w:eastAsia="Times New Roman" w:cs="Times New Roman"/>
                <w:bCs/>
                <w:color w:val="000000"/>
                <w:sz w:val="20"/>
                <w:szCs w:val="20"/>
                <w:lang w:eastAsia="lv-LV"/>
              </w:rPr>
              <w:t>3,1</w:t>
            </w:r>
          </w:p>
        </w:tc>
      </w:tr>
      <w:tr w:rsidR="00AA6B06" w:rsidRPr="00907F13" w14:paraId="744AA19C" w14:textId="77777777" w:rsidTr="00062EEB">
        <w:trPr>
          <w:trHeight w:val="27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BDCAE56" w14:textId="77777777" w:rsidR="00AA6B06" w:rsidRPr="00545679" w:rsidRDefault="00AA6B06" w:rsidP="00062EEB">
            <w:pPr>
              <w:rPr>
                <w:rFonts w:eastAsia="Times New Roman" w:cs="Times New Roman"/>
                <w:color w:val="000000"/>
                <w:sz w:val="20"/>
                <w:szCs w:val="20"/>
                <w:lang w:eastAsia="lv-LV"/>
              </w:rPr>
            </w:pPr>
            <w:r w:rsidRPr="00545679">
              <w:rPr>
                <w:rFonts w:eastAsia="Times New Roman" w:cs="Times New Roman"/>
                <w:color w:val="000000"/>
                <w:sz w:val="20"/>
                <w:szCs w:val="20"/>
                <w:lang w:eastAsia="lv-LV"/>
              </w:rPr>
              <w:t>3.3.Eiropas nozīmes transporta tīklu attīstība un ilgtspējīga transporta veicināšana</w:t>
            </w:r>
          </w:p>
        </w:tc>
        <w:tc>
          <w:tcPr>
            <w:tcW w:w="1701" w:type="dxa"/>
            <w:tcBorders>
              <w:top w:val="nil"/>
              <w:left w:val="nil"/>
              <w:bottom w:val="single" w:sz="4" w:space="0" w:color="auto"/>
              <w:right w:val="single" w:sz="4" w:space="0" w:color="auto"/>
            </w:tcBorders>
            <w:shd w:val="clear" w:color="auto" w:fill="auto"/>
            <w:vAlign w:val="center"/>
            <w:hideMark/>
          </w:tcPr>
          <w:p w14:paraId="1C18DA5B" w14:textId="77777777" w:rsidR="00AA6B06" w:rsidRPr="00545679" w:rsidRDefault="00AA6B06" w:rsidP="00062EEB">
            <w:pPr>
              <w:jc w:val="center"/>
              <w:rPr>
                <w:rFonts w:eastAsia="Times New Roman" w:cs="Times New Roman"/>
                <w:bCs/>
                <w:color w:val="000000"/>
                <w:sz w:val="20"/>
                <w:szCs w:val="20"/>
                <w:lang w:eastAsia="lv-LV"/>
              </w:rPr>
            </w:pPr>
            <w:r w:rsidRPr="00545679">
              <w:rPr>
                <w:rFonts w:eastAsia="Times New Roman" w:cs="Times New Roman"/>
                <w:bCs/>
                <w:color w:val="000000"/>
                <w:sz w:val="20"/>
                <w:szCs w:val="20"/>
                <w:lang w:eastAsia="lv-LV"/>
              </w:rPr>
              <w:t>857,0</w:t>
            </w:r>
          </w:p>
        </w:tc>
        <w:tc>
          <w:tcPr>
            <w:tcW w:w="1701" w:type="dxa"/>
            <w:tcBorders>
              <w:top w:val="nil"/>
              <w:left w:val="nil"/>
              <w:bottom w:val="single" w:sz="4" w:space="0" w:color="auto"/>
              <w:right w:val="single" w:sz="4" w:space="0" w:color="auto"/>
            </w:tcBorders>
            <w:shd w:val="clear" w:color="auto" w:fill="auto"/>
            <w:vAlign w:val="center"/>
            <w:hideMark/>
          </w:tcPr>
          <w:p w14:paraId="007DA8FC" w14:textId="77777777" w:rsidR="00AA6B06" w:rsidRPr="00545679" w:rsidRDefault="00AA6B06" w:rsidP="00062EEB">
            <w:pPr>
              <w:jc w:val="center"/>
              <w:rPr>
                <w:rFonts w:eastAsia="Times New Roman" w:cs="Times New Roman"/>
                <w:bCs/>
                <w:color w:val="000000"/>
                <w:sz w:val="20"/>
                <w:szCs w:val="20"/>
                <w:lang w:eastAsia="lv-LV"/>
              </w:rPr>
            </w:pPr>
            <w:r w:rsidRPr="00545679">
              <w:rPr>
                <w:rFonts w:eastAsia="Times New Roman" w:cs="Times New Roman"/>
                <w:bCs/>
                <w:color w:val="000000"/>
                <w:sz w:val="20"/>
                <w:szCs w:val="20"/>
                <w:lang w:eastAsia="lv-LV"/>
              </w:rPr>
              <w:t>42,0</w:t>
            </w:r>
          </w:p>
        </w:tc>
        <w:tc>
          <w:tcPr>
            <w:tcW w:w="1701" w:type="dxa"/>
            <w:tcBorders>
              <w:top w:val="nil"/>
              <w:left w:val="nil"/>
              <w:bottom w:val="single" w:sz="4" w:space="0" w:color="auto"/>
              <w:right w:val="single" w:sz="4" w:space="0" w:color="auto"/>
            </w:tcBorders>
            <w:shd w:val="clear" w:color="auto" w:fill="auto"/>
            <w:vAlign w:val="center"/>
            <w:hideMark/>
          </w:tcPr>
          <w:p w14:paraId="6FC86971" w14:textId="77777777" w:rsidR="00AA6B06" w:rsidRPr="001B6C30" w:rsidRDefault="00AA6B06" w:rsidP="00062EEB">
            <w:pPr>
              <w:jc w:val="center"/>
              <w:rPr>
                <w:rFonts w:eastAsia="Times New Roman" w:cs="Times New Roman"/>
                <w:bCs/>
                <w:color w:val="000000"/>
                <w:sz w:val="20"/>
                <w:szCs w:val="20"/>
                <w:lang w:eastAsia="lv-LV"/>
              </w:rPr>
            </w:pPr>
            <w:r>
              <w:rPr>
                <w:rFonts w:eastAsia="Times New Roman" w:cs="Times New Roman"/>
                <w:bCs/>
                <w:color w:val="000000"/>
                <w:sz w:val="20"/>
                <w:szCs w:val="20"/>
                <w:lang w:eastAsia="lv-LV"/>
              </w:rPr>
              <w:t>942,7</w:t>
            </w:r>
          </w:p>
        </w:tc>
        <w:tc>
          <w:tcPr>
            <w:tcW w:w="1701" w:type="dxa"/>
            <w:tcBorders>
              <w:top w:val="nil"/>
              <w:left w:val="nil"/>
              <w:bottom w:val="single" w:sz="4" w:space="0" w:color="auto"/>
              <w:right w:val="single" w:sz="4" w:space="0" w:color="auto"/>
            </w:tcBorders>
            <w:shd w:val="clear" w:color="auto" w:fill="auto"/>
            <w:vAlign w:val="center"/>
            <w:hideMark/>
          </w:tcPr>
          <w:p w14:paraId="76820018" w14:textId="77777777" w:rsidR="00AA6B06" w:rsidRPr="001B6C30" w:rsidRDefault="00AA6B06" w:rsidP="00062EEB">
            <w:pPr>
              <w:jc w:val="center"/>
              <w:rPr>
                <w:rFonts w:eastAsia="Times New Roman" w:cs="Times New Roman"/>
                <w:bCs/>
                <w:color w:val="000000"/>
                <w:sz w:val="20"/>
                <w:szCs w:val="20"/>
                <w:lang w:eastAsia="lv-LV"/>
              </w:rPr>
            </w:pPr>
            <w:r>
              <w:rPr>
                <w:rFonts w:eastAsia="Times New Roman" w:cs="Times New Roman"/>
                <w:bCs/>
                <w:color w:val="000000"/>
                <w:sz w:val="20"/>
                <w:szCs w:val="20"/>
                <w:lang w:eastAsia="lv-LV"/>
              </w:rPr>
              <w:t>85,7</w:t>
            </w:r>
          </w:p>
        </w:tc>
      </w:tr>
      <w:tr w:rsidR="00AA6B06" w:rsidRPr="00907F13" w14:paraId="3DB233B0" w14:textId="77777777" w:rsidTr="00062EEB">
        <w:trPr>
          <w:trHeight w:val="184"/>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6E26D87A" w14:textId="77777777" w:rsidR="00AA6B06" w:rsidRPr="00545679" w:rsidRDefault="00AA6B06" w:rsidP="00062EEB">
            <w:pPr>
              <w:rPr>
                <w:rFonts w:eastAsia="Times New Roman" w:cs="Times New Roman"/>
                <w:color w:val="000000"/>
                <w:sz w:val="20"/>
                <w:szCs w:val="20"/>
                <w:lang w:eastAsia="lv-LV"/>
              </w:rPr>
            </w:pPr>
            <w:r w:rsidRPr="00545679">
              <w:rPr>
                <w:rFonts w:eastAsia="Times New Roman" w:cs="Times New Roman"/>
                <w:color w:val="000000"/>
                <w:sz w:val="20"/>
                <w:szCs w:val="20"/>
                <w:lang w:eastAsia="lv-LV"/>
              </w:rPr>
              <w:t>3.4.Kvalitatīvas vides dzīvei un ekonomiskai aktivitātei nodrošināšana</w:t>
            </w:r>
          </w:p>
        </w:tc>
        <w:tc>
          <w:tcPr>
            <w:tcW w:w="1701" w:type="dxa"/>
            <w:tcBorders>
              <w:top w:val="nil"/>
              <w:left w:val="nil"/>
              <w:bottom w:val="single" w:sz="4" w:space="0" w:color="auto"/>
              <w:right w:val="single" w:sz="4" w:space="0" w:color="auto"/>
            </w:tcBorders>
            <w:shd w:val="clear" w:color="auto" w:fill="auto"/>
            <w:vAlign w:val="center"/>
            <w:hideMark/>
          </w:tcPr>
          <w:p w14:paraId="634BB56E" w14:textId="77777777" w:rsidR="00AA6B06" w:rsidRPr="00545679" w:rsidRDefault="00AA6B06" w:rsidP="00062EEB">
            <w:pPr>
              <w:jc w:val="center"/>
              <w:rPr>
                <w:rFonts w:eastAsia="Times New Roman" w:cs="Times New Roman"/>
                <w:bCs/>
                <w:color w:val="000000"/>
                <w:sz w:val="20"/>
                <w:szCs w:val="20"/>
                <w:lang w:eastAsia="lv-LV"/>
              </w:rPr>
            </w:pPr>
            <w:r w:rsidRPr="00545679">
              <w:rPr>
                <w:rFonts w:eastAsia="Times New Roman" w:cs="Times New Roman"/>
                <w:bCs/>
                <w:color w:val="000000"/>
                <w:sz w:val="20"/>
                <w:szCs w:val="20"/>
                <w:lang w:eastAsia="lv-LV"/>
              </w:rPr>
              <w:t>332,9</w:t>
            </w:r>
          </w:p>
        </w:tc>
        <w:tc>
          <w:tcPr>
            <w:tcW w:w="1701" w:type="dxa"/>
            <w:tcBorders>
              <w:top w:val="nil"/>
              <w:left w:val="nil"/>
              <w:bottom w:val="single" w:sz="4" w:space="0" w:color="auto"/>
              <w:right w:val="single" w:sz="4" w:space="0" w:color="auto"/>
            </w:tcBorders>
            <w:shd w:val="clear" w:color="auto" w:fill="auto"/>
            <w:vAlign w:val="center"/>
            <w:hideMark/>
          </w:tcPr>
          <w:p w14:paraId="6A7C3990" w14:textId="77777777" w:rsidR="00AA6B06" w:rsidRPr="00545679" w:rsidRDefault="00AA6B06" w:rsidP="00062EEB">
            <w:pPr>
              <w:jc w:val="center"/>
              <w:rPr>
                <w:rFonts w:eastAsia="Times New Roman" w:cs="Times New Roman"/>
                <w:bCs/>
                <w:color w:val="000000"/>
                <w:sz w:val="20"/>
                <w:szCs w:val="20"/>
                <w:lang w:eastAsia="lv-LV"/>
              </w:rPr>
            </w:pPr>
            <w:r w:rsidRPr="00545679">
              <w:rPr>
                <w:rFonts w:eastAsia="Times New Roman" w:cs="Times New Roman"/>
                <w:bCs/>
                <w:color w:val="000000"/>
                <w:sz w:val="20"/>
                <w:szCs w:val="20"/>
                <w:lang w:eastAsia="lv-LV"/>
              </w:rPr>
              <w:t>27,9</w:t>
            </w:r>
          </w:p>
        </w:tc>
        <w:tc>
          <w:tcPr>
            <w:tcW w:w="1701" w:type="dxa"/>
            <w:tcBorders>
              <w:top w:val="nil"/>
              <w:left w:val="nil"/>
              <w:bottom w:val="single" w:sz="4" w:space="0" w:color="auto"/>
              <w:right w:val="single" w:sz="4" w:space="0" w:color="auto"/>
            </w:tcBorders>
            <w:shd w:val="clear" w:color="auto" w:fill="auto"/>
            <w:noWrap/>
            <w:vAlign w:val="center"/>
            <w:hideMark/>
          </w:tcPr>
          <w:p w14:paraId="3AB94C23" w14:textId="77777777" w:rsidR="00AA6B06" w:rsidRPr="001B6C30" w:rsidRDefault="00AA6B06" w:rsidP="00062EEB">
            <w:pPr>
              <w:jc w:val="center"/>
              <w:rPr>
                <w:rFonts w:eastAsia="Times New Roman" w:cs="Times New Roman"/>
                <w:bCs/>
                <w:color w:val="000000"/>
                <w:sz w:val="20"/>
                <w:szCs w:val="20"/>
                <w:lang w:eastAsia="lv-LV"/>
              </w:rPr>
            </w:pPr>
            <w:r>
              <w:rPr>
                <w:rFonts w:eastAsia="Times New Roman" w:cs="Times New Roman"/>
                <w:bCs/>
                <w:color w:val="000000"/>
                <w:sz w:val="20"/>
                <w:szCs w:val="20"/>
                <w:lang w:eastAsia="lv-LV"/>
              </w:rPr>
              <w:t>329,2</w:t>
            </w:r>
          </w:p>
        </w:tc>
        <w:tc>
          <w:tcPr>
            <w:tcW w:w="1701" w:type="dxa"/>
            <w:tcBorders>
              <w:top w:val="nil"/>
              <w:left w:val="nil"/>
              <w:bottom w:val="single" w:sz="4" w:space="0" w:color="auto"/>
              <w:right w:val="single" w:sz="4" w:space="0" w:color="auto"/>
            </w:tcBorders>
            <w:shd w:val="clear" w:color="auto" w:fill="auto"/>
            <w:noWrap/>
            <w:vAlign w:val="center"/>
            <w:hideMark/>
          </w:tcPr>
          <w:p w14:paraId="71AABA19" w14:textId="77777777" w:rsidR="00AA6B06" w:rsidRPr="001B6C30" w:rsidRDefault="00AA6B06" w:rsidP="00062EEB">
            <w:pPr>
              <w:jc w:val="center"/>
              <w:rPr>
                <w:rFonts w:eastAsia="Times New Roman" w:cs="Times New Roman"/>
                <w:bCs/>
                <w:color w:val="000000"/>
                <w:sz w:val="20"/>
                <w:szCs w:val="20"/>
                <w:lang w:eastAsia="lv-LV"/>
              </w:rPr>
            </w:pPr>
            <w:r w:rsidRPr="001B6C30">
              <w:rPr>
                <w:rFonts w:eastAsia="Times New Roman" w:cs="Times New Roman"/>
                <w:bCs/>
                <w:color w:val="000000"/>
                <w:sz w:val="20"/>
                <w:szCs w:val="20"/>
                <w:lang w:eastAsia="lv-LV"/>
              </w:rPr>
              <w:t>-</w:t>
            </w:r>
            <w:r>
              <w:rPr>
                <w:rFonts w:eastAsia="Times New Roman" w:cs="Times New Roman"/>
                <w:bCs/>
                <w:color w:val="000000"/>
                <w:sz w:val="20"/>
                <w:szCs w:val="20"/>
                <w:lang w:eastAsia="lv-LV"/>
              </w:rPr>
              <w:t>3</w:t>
            </w:r>
            <w:r w:rsidRPr="001B6C30">
              <w:rPr>
                <w:rFonts w:eastAsia="Times New Roman" w:cs="Times New Roman"/>
                <w:bCs/>
                <w:color w:val="000000"/>
                <w:sz w:val="20"/>
                <w:szCs w:val="20"/>
                <w:lang w:eastAsia="lv-LV"/>
              </w:rPr>
              <w:t>,</w:t>
            </w:r>
            <w:r>
              <w:rPr>
                <w:rFonts w:eastAsia="Times New Roman" w:cs="Times New Roman"/>
                <w:bCs/>
                <w:color w:val="000000"/>
                <w:sz w:val="20"/>
                <w:szCs w:val="20"/>
                <w:lang w:eastAsia="lv-LV"/>
              </w:rPr>
              <w:t>6</w:t>
            </w:r>
          </w:p>
        </w:tc>
      </w:tr>
      <w:tr w:rsidR="00AA6B06" w:rsidRPr="00907F13" w14:paraId="18C96BC6" w14:textId="77777777" w:rsidTr="00062EEB">
        <w:trPr>
          <w:trHeight w:val="92"/>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7875C246" w14:textId="77777777" w:rsidR="00AA6B06" w:rsidRPr="00545679" w:rsidRDefault="00AA6B06" w:rsidP="00062EEB">
            <w:pPr>
              <w:rPr>
                <w:rFonts w:eastAsia="Times New Roman" w:cs="Times New Roman"/>
                <w:color w:val="000000"/>
                <w:sz w:val="20"/>
                <w:szCs w:val="20"/>
                <w:lang w:eastAsia="lv-LV"/>
              </w:rPr>
            </w:pPr>
            <w:r w:rsidRPr="00545679">
              <w:rPr>
                <w:rFonts w:eastAsia="Times New Roman" w:cs="Times New Roman"/>
                <w:color w:val="000000"/>
                <w:sz w:val="20"/>
                <w:szCs w:val="20"/>
                <w:lang w:eastAsia="lv-LV"/>
              </w:rPr>
              <w:t>3.5.Vides infrastruktūras un videi draudzīgas enerģētikas veicināšana</w:t>
            </w:r>
          </w:p>
        </w:tc>
        <w:tc>
          <w:tcPr>
            <w:tcW w:w="1701" w:type="dxa"/>
            <w:tcBorders>
              <w:top w:val="nil"/>
              <w:left w:val="nil"/>
              <w:bottom w:val="single" w:sz="4" w:space="0" w:color="auto"/>
              <w:right w:val="single" w:sz="4" w:space="0" w:color="auto"/>
            </w:tcBorders>
            <w:shd w:val="clear" w:color="auto" w:fill="auto"/>
            <w:vAlign w:val="center"/>
            <w:hideMark/>
          </w:tcPr>
          <w:p w14:paraId="58AAE161" w14:textId="77777777" w:rsidR="00AA6B06" w:rsidRPr="00545679" w:rsidRDefault="00AA6B06" w:rsidP="00062EEB">
            <w:pPr>
              <w:jc w:val="center"/>
              <w:rPr>
                <w:rFonts w:eastAsia="Times New Roman" w:cs="Times New Roman"/>
                <w:bCs/>
                <w:color w:val="000000"/>
                <w:sz w:val="20"/>
                <w:szCs w:val="20"/>
                <w:lang w:eastAsia="lv-LV"/>
              </w:rPr>
            </w:pPr>
            <w:r w:rsidRPr="00545679">
              <w:rPr>
                <w:rFonts w:eastAsia="Times New Roman" w:cs="Times New Roman"/>
                <w:bCs/>
                <w:color w:val="000000"/>
                <w:sz w:val="20"/>
                <w:szCs w:val="20"/>
                <w:lang w:eastAsia="lv-LV"/>
              </w:rPr>
              <w:t>670,6</w:t>
            </w:r>
          </w:p>
        </w:tc>
        <w:tc>
          <w:tcPr>
            <w:tcW w:w="1701" w:type="dxa"/>
            <w:tcBorders>
              <w:top w:val="nil"/>
              <w:left w:val="nil"/>
              <w:bottom w:val="single" w:sz="4" w:space="0" w:color="auto"/>
              <w:right w:val="single" w:sz="4" w:space="0" w:color="auto"/>
            </w:tcBorders>
            <w:shd w:val="clear" w:color="auto" w:fill="auto"/>
            <w:vAlign w:val="center"/>
            <w:hideMark/>
          </w:tcPr>
          <w:p w14:paraId="2E951A16" w14:textId="77777777" w:rsidR="00AA6B06" w:rsidRPr="00545679" w:rsidRDefault="00AA6B06" w:rsidP="00062EEB">
            <w:pPr>
              <w:jc w:val="center"/>
              <w:rPr>
                <w:rFonts w:eastAsia="Times New Roman" w:cs="Times New Roman"/>
                <w:bCs/>
                <w:color w:val="000000"/>
                <w:sz w:val="20"/>
                <w:szCs w:val="20"/>
                <w:lang w:eastAsia="lv-LV"/>
              </w:rPr>
            </w:pPr>
            <w:r w:rsidRPr="00545679">
              <w:rPr>
                <w:rFonts w:eastAsia="Times New Roman" w:cs="Times New Roman"/>
                <w:bCs/>
                <w:color w:val="000000"/>
                <w:sz w:val="20"/>
                <w:szCs w:val="20"/>
                <w:lang w:eastAsia="lv-LV"/>
              </w:rPr>
              <w:t>3,6</w:t>
            </w:r>
          </w:p>
        </w:tc>
        <w:tc>
          <w:tcPr>
            <w:tcW w:w="1701" w:type="dxa"/>
            <w:tcBorders>
              <w:top w:val="nil"/>
              <w:left w:val="nil"/>
              <w:bottom w:val="single" w:sz="4" w:space="0" w:color="auto"/>
              <w:right w:val="single" w:sz="4" w:space="0" w:color="auto"/>
            </w:tcBorders>
            <w:shd w:val="clear" w:color="auto" w:fill="auto"/>
            <w:noWrap/>
            <w:vAlign w:val="center"/>
            <w:hideMark/>
          </w:tcPr>
          <w:p w14:paraId="29167B49" w14:textId="77777777" w:rsidR="00AA6B06" w:rsidRPr="001B6C30" w:rsidRDefault="00AA6B06" w:rsidP="00062EEB">
            <w:pPr>
              <w:jc w:val="center"/>
              <w:rPr>
                <w:rFonts w:eastAsia="Times New Roman" w:cs="Times New Roman"/>
                <w:bCs/>
                <w:color w:val="000000"/>
                <w:sz w:val="20"/>
                <w:szCs w:val="20"/>
                <w:lang w:eastAsia="lv-LV"/>
              </w:rPr>
            </w:pPr>
            <w:r>
              <w:rPr>
                <w:rFonts w:eastAsia="Times New Roman" w:cs="Times New Roman"/>
                <w:bCs/>
                <w:color w:val="000000"/>
                <w:sz w:val="20"/>
                <w:szCs w:val="20"/>
                <w:lang w:eastAsia="lv-LV"/>
              </w:rPr>
              <w:t>646,7</w:t>
            </w:r>
          </w:p>
        </w:tc>
        <w:tc>
          <w:tcPr>
            <w:tcW w:w="1701" w:type="dxa"/>
            <w:tcBorders>
              <w:top w:val="nil"/>
              <w:left w:val="nil"/>
              <w:bottom w:val="single" w:sz="4" w:space="0" w:color="auto"/>
              <w:right w:val="single" w:sz="4" w:space="0" w:color="auto"/>
            </w:tcBorders>
            <w:shd w:val="clear" w:color="auto" w:fill="auto"/>
            <w:noWrap/>
            <w:vAlign w:val="center"/>
            <w:hideMark/>
          </w:tcPr>
          <w:p w14:paraId="5E846953" w14:textId="77777777" w:rsidR="00AA6B06" w:rsidRPr="001B6C30" w:rsidRDefault="00AA6B06" w:rsidP="00062EEB">
            <w:pPr>
              <w:jc w:val="center"/>
              <w:rPr>
                <w:rFonts w:eastAsia="Times New Roman" w:cs="Times New Roman"/>
                <w:bCs/>
                <w:color w:val="000000"/>
                <w:sz w:val="20"/>
                <w:szCs w:val="20"/>
                <w:lang w:eastAsia="lv-LV"/>
              </w:rPr>
            </w:pPr>
            <w:r w:rsidRPr="001B6C30">
              <w:rPr>
                <w:rFonts w:eastAsia="Times New Roman" w:cs="Times New Roman"/>
                <w:bCs/>
                <w:color w:val="000000"/>
                <w:sz w:val="20"/>
                <w:szCs w:val="20"/>
                <w:lang w:eastAsia="lv-LV"/>
              </w:rPr>
              <w:t>-2</w:t>
            </w:r>
            <w:r>
              <w:rPr>
                <w:rFonts w:eastAsia="Times New Roman" w:cs="Times New Roman"/>
                <w:bCs/>
                <w:color w:val="000000"/>
                <w:sz w:val="20"/>
                <w:szCs w:val="20"/>
                <w:lang w:eastAsia="lv-LV"/>
              </w:rPr>
              <w:t>3</w:t>
            </w:r>
            <w:r w:rsidRPr="001B6C30">
              <w:rPr>
                <w:rFonts w:eastAsia="Times New Roman" w:cs="Times New Roman"/>
                <w:bCs/>
                <w:color w:val="000000"/>
                <w:sz w:val="20"/>
                <w:szCs w:val="20"/>
                <w:lang w:eastAsia="lv-LV"/>
              </w:rPr>
              <w:t>,</w:t>
            </w:r>
            <w:r>
              <w:rPr>
                <w:rFonts w:eastAsia="Times New Roman" w:cs="Times New Roman"/>
                <w:bCs/>
                <w:color w:val="000000"/>
                <w:sz w:val="20"/>
                <w:szCs w:val="20"/>
                <w:lang w:eastAsia="lv-LV"/>
              </w:rPr>
              <w:t>9</w:t>
            </w:r>
          </w:p>
        </w:tc>
      </w:tr>
      <w:tr w:rsidR="00AA6B06" w:rsidRPr="00907F13" w14:paraId="6597F4FD" w14:textId="77777777" w:rsidTr="00062EEB">
        <w:trPr>
          <w:trHeight w:val="128"/>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2383D83" w14:textId="77777777" w:rsidR="00AA6B06" w:rsidRPr="00545679" w:rsidRDefault="00AA6B06" w:rsidP="00062EEB">
            <w:pPr>
              <w:rPr>
                <w:rFonts w:eastAsia="Times New Roman" w:cs="Times New Roman"/>
                <w:color w:val="000000"/>
                <w:sz w:val="20"/>
                <w:szCs w:val="20"/>
                <w:lang w:eastAsia="lv-LV"/>
              </w:rPr>
            </w:pPr>
            <w:r w:rsidRPr="00545679">
              <w:rPr>
                <w:rFonts w:eastAsia="Times New Roman" w:cs="Times New Roman"/>
                <w:color w:val="000000"/>
                <w:sz w:val="20"/>
                <w:szCs w:val="20"/>
                <w:lang w:eastAsia="lv-LV"/>
              </w:rPr>
              <w:t>3.6.Policentriska attīstība</w:t>
            </w:r>
          </w:p>
        </w:tc>
        <w:tc>
          <w:tcPr>
            <w:tcW w:w="1701" w:type="dxa"/>
            <w:tcBorders>
              <w:top w:val="nil"/>
              <w:left w:val="nil"/>
              <w:bottom w:val="single" w:sz="4" w:space="0" w:color="auto"/>
              <w:right w:val="single" w:sz="4" w:space="0" w:color="auto"/>
            </w:tcBorders>
            <w:shd w:val="clear" w:color="auto" w:fill="auto"/>
            <w:vAlign w:val="center"/>
            <w:hideMark/>
          </w:tcPr>
          <w:p w14:paraId="429C6F01" w14:textId="77777777" w:rsidR="00AA6B06" w:rsidRPr="00545679" w:rsidRDefault="00AA6B06" w:rsidP="00062EEB">
            <w:pPr>
              <w:jc w:val="center"/>
              <w:rPr>
                <w:rFonts w:eastAsia="Times New Roman" w:cs="Times New Roman"/>
                <w:bCs/>
                <w:color w:val="000000"/>
                <w:sz w:val="20"/>
                <w:szCs w:val="20"/>
                <w:lang w:eastAsia="lv-LV"/>
              </w:rPr>
            </w:pPr>
            <w:r w:rsidRPr="00545679">
              <w:rPr>
                <w:rFonts w:eastAsia="Times New Roman" w:cs="Times New Roman"/>
                <w:bCs/>
                <w:color w:val="000000"/>
                <w:sz w:val="20"/>
                <w:szCs w:val="20"/>
                <w:lang w:eastAsia="lv-LV"/>
              </w:rPr>
              <w:t>274,5</w:t>
            </w:r>
          </w:p>
        </w:tc>
        <w:tc>
          <w:tcPr>
            <w:tcW w:w="1701" w:type="dxa"/>
            <w:tcBorders>
              <w:top w:val="nil"/>
              <w:left w:val="nil"/>
              <w:bottom w:val="single" w:sz="4" w:space="0" w:color="auto"/>
              <w:right w:val="single" w:sz="4" w:space="0" w:color="auto"/>
            </w:tcBorders>
            <w:shd w:val="clear" w:color="auto" w:fill="auto"/>
            <w:vAlign w:val="center"/>
            <w:hideMark/>
          </w:tcPr>
          <w:p w14:paraId="065B5DD9" w14:textId="77777777" w:rsidR="00AA6B06" w:rsidRPr="00545679" w:rsidRDefault="00AA6B06" w:rsidP="00062EEB">
            <w:pPr>
              <w:jc w:val="center"/>
              <w:rPr>
                <w:rFonts w:eastAsia="Times New Roman" w:cs="Times New Roman"/>
                <w:bCs/>
                <w:color w:val="000000"/>
                <w:sz w:val="20"/>
                <w:szCs w:val="20"/>
                <w:lang w:eastAsia="lv-LV"/>
              </w:rPr>
            </w:pPr>
            <w:r w:rsidRPr="00545679">
              <w:rPr>
                <w:rFonts w:eastAsia="Times New Roman" w:cs="Times New Roman"/>
                <w:bCs/>
                <w:color w:val="000000"/>
                <w:sz w:val="20"/>
                <w:szCs w:val="20"/>
                <w:lang w:eastAsia="lv-LV"/>
              </w:rPr>
              <w:t>11,5</w:t>
            </w:r>
          </w:p>
        </w:tc>
        <w:tc>
          <w:tcPr>
            <w:tcW w:w="1701" w:type="dxa"/>
            <w:tcBorders>
              <w:top w:val="nil"/>
              <w:left w:val="nil"/>
              <w:bottom w:val="single" w:sz="4" w:space="0" w:color="auto"/>
              <w:right w:val="single" w:sz="4" w:space="0" w:color="auto"/>
            </w:tcBorders>
            <w:shd w:val="clear" w:color="auto" w:fill="auto"/>
            <w:noWrap/>
            <w:vAlign w:val="center"/>
            <w:hideMark/>
          </w:tcPr>
          <w:p w14:paraId="7A2C0833" w14:textId="77777777" w:rsidR="00AA6B06" w:rsidRPr="001B6C30" w:rsidRDefault="00AA6B06" w:rsidP="00062EEB">
            <w:pPr>
              <w:jc w:val="center"/>
              <w:rPr>
                <w:rFonts w:eastAsia="Times New Roman" w:cs="Times New Roman"/>
                <w:bCs/>
                <w:color w:val="000000"/>
                <w:sz w:val="20"/>
                <w:szCs w:val="20"/>
                <w:lang w:eastAsia="lv-LV"/>
              </w:rPr>
            </w:pPr>
            <w:r>
              <w:rPr>
                <w:rFonts w:eastAsia="Times New Roman" w:cs="Times New Roman"/>
                <w:bCs/>
                <w:color w:val="000000"/>
                <w:sz w:val="20"/>
                <w:szCs w:val="20"/>
                <w:lang w:eastAsia="lv-LV"/>
              </w:rPr>
              <w:t>289,9</w:t>
            </w:r>
          </w:p>
        </w:tc>
        <w:tc>
          <w:tcPr>
            <w:tcW w:w="1701" w:type="dxa"/>
            <w:tcBorders>
              <w:top w:val="nil"/>
              <w:left w:val="nil"/>
              <w:bottom w:val="single" w:sz="4" w:space="0" w:color="auto"/>
              <w:right w:val="single" w:sz="4" w:space="0" w:color="auto"/>
            </w:tcBorders>
            <w:shd w:val="clear" w:color="auto" w:fill="auto"/>
            <w:noWrap/>
            <w:vAlign w:val="center"/>
            <w:hideMark/>
          </w:tcPr>
          <w:p w14:paraId="0643797A" w14:textId="77777777" w:rsidR="00AA6B06" w:rsidRPr="001B6C30" w:rsidRDefault="00AA6B06" w:rsidP="00062EEB">
            <w:pPr>
              <w:jc w:val="center"/>
              <w:rPr>
                <w:rFonts w:eastAsia="Times New Roman" w:cs="Times New Roman"/>
                <w:bCs/>
                <w:color w:val="000000"/>
                <w:sz w:val="20"/>
                <w:szCs w:val="20"/>
                <w:lang w:eastAsia="lv-LV"/>
              </w:rPr>
            </w:pPr>
            <w:r>
              <w:rPr>
                <w:rFonts w:eastAsia="Times New Roman" w:cs="Times New Roman"/>
                <w:bCs/>
                <w:color w:val="000000"/>
                <w:sz w:val="20"/>
                <w:szCs w:val="20"/>
                <w:lang w:eastAsia="lv-LV"/>
              </w:rPr>
              <w:t>15,4</w:t>
            </w:r>
          </w:p>
        </w:tc>
      </w:tr>
      <w:tr w:rsidR="00AA6B06" w:rsidRPr="00907F13" w14:paraId="21D554D2" w14:textId="77777777" w:rsidTr="00062EEB">
        <w:trPr>
          <w:trHeight w:val="5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19E8C8B" w14:textId="77777777" w:rsidR="00AA6B06" w:rsidRPr="00545679" w:rsidRDefault="00AA6B06" w:rsidP="00062EEB">
            <w:pPr>
              <w:rPr>
                <w:rFonts w:eastAsia="Times New Roman" w:cs="Times New Roman"/>
                <w:color w:val="000000"/>
                <w:sz w:val="20"/>
                <w:szCs w:val="20"/>
                <w:lang w:eastAsia="lv-LV"/>
              </w:rPr>
            </w:pPr>
            <w:r w:rsidRPr="00545679">
              <w:rPr>
                <w:rFonts w:eastAsia="Times New Roman" w:cs="Times New Roman"/>
                <w:color w:val="000000"/>
                <w:sz w:val="20"/>
                <w:szCs w:val="20"/>
                <w:lang w:eastAsia="lv-LV"/>
              </w:rPr>
              <w:t>3.7.Tehniskā palīdzība ERAF ieviešanai</w:t>
            </w:r>
          </w:p>
        </w:tc>
        <w:tc>
          <w:tcPr>
            <w:tcW w:w="1701" w:type="dxa"/>
            <w:tcBorders>
              <w:top w:val="nil"/>
              <w:left w:val="nil"/>
              <w:bottom w:val="single" w:sz="4" w:space="0" w:color="auto"/>
              <w:right w:val="single" w:sz="4" w:space="0" w:color="auto"/>
            </w:tcBorders>
            <w:shd w:val="clear" w:color="auto" w:fill="auto"/>
            <w:vAlign w:val="center"/>
            <w:hideMark/>
          </w:tcPr>
          <w:p w14:paraId="0A8262ED" w14:textId="77777777" w:rsidR="00AA6B06" w:rsidRPr="00545679" w:rsidRDefault="00AA6B06" w:rsidP="00062EEB">
            <w:pPr>
              <w:jc w:val="center"/>
              <w:rPr>
                <w:rFonts w:eastAsia="Times New Roman" w:cs="Times New Roman"/>
                <w:bCs/>
                <w:color w:val="000000"/>
                <w:sz w:val="20"/>
                <w:szCs w:val="20"/>
                <w:lang w:eastAsia="lv-LV"/>
              </w:rPr>
            </w:pPr>
            <w:r w:rsidRPr="00545679">
              <w:rPr>
                <w:rFonts w:eastAsia="Times New Roman" w:cs="Times New Roman"/>
                <w:bCs/>
                <w:color w:val="000000"/>
                <w:sz w:val="20"/>
                <w:szCs w:val="20"/>
                <w:lang w:eastAsia="lv-LV"/>
              </w:rPr>
              <w:t>57,6</w:t>
            </w:r>
          </w:p>
        </w:tc>
        <w:tc>
          <w:tcPr>
            <w:tcW w:w="1701" w:type="dxa"/>
            <w:tcBorders>
              <w:top w:val="nil"/>
              <w:left w:val="nil"/>
              <w:bottom w:val="single" w:sz="4" w:space="0" w:color="auto"/>
              <w:right w:val="single" w:sz="4" w:space="0" w:color="auto"/>
            </w:tcBorders>
            <w:shd w:val="clear" w:color="auto" w:fill="auto"/>
            <w:vAlign w:val="center"/>
            <w:hideMark/>
          </w:tcPr>
          <w:p w14:paraId="4719DAF0" w14:textId="77777777" w:rsidR="00AA6B06" w:rsidRPr="00545679" w:rsidRDefault="00AA6B06" w:rsidP="00062EEB">
            <w:pPr>
              <w:jc w:val="center"/>
              <w:rPr>
                <w:rFonts w:eastAsia="Times New Roman" w:cs="Times New Roman"/>
                <w:bCs/>
                <w:color w:val="000000"/>
                <w:sz w:val="20"/>
                <w:szCs w:val="20"/>
                <w:lang w:eastAsia="lv-LV"/>
              </w:rPr>
            </w:pPr>
            <w:r w:rsidRPr="00545679">
              <w:rPr>
                <w:rFonts w:eastAsia="Times New Roman" w:cs="Times New Roman"/>
                <w:bCs/>
                <w:color w:val="000000"/>
                <w:sz w:val="20"/>
                <w:szCs w:val="20"/>
                <w:lang w:eastAsia="lv-LV"/>
              </w:rPr>
              <w:t>0,0</w:t>
            </w:r>
          </w:p>
        </w:tc>
        <w:tc>
          <w:tcPr>
            <w:tcW w:w="1701" w:type="dxa"/>
            <w:tcBorders>
              <w:top w:val="nil"/>
              <w:left w:val="nil"/>
              <w:bottom w:val="single" w:sz="4" w:space="0" w:color="auto"/>
              <w:right w:val="single" w:sz="4" w:space="0" w:color="auto"/>
            </w:tcBorders>
            <w:shd w:val="clear" w:color="auto" w:fill="auto"/>
            <w:noWrap/>
            <w:vAlign w:val="center"/>
            <w:hideMark/>
          </w:tcPr>
          <w:p w14:paraId="45F115E9" w14:textId="77777777" w:rsidR="00AA6B06" w:rsidRPr="001B6C30" w:rsidRDefault="00AA6B06" w:rsidP="00062EEB">
            <w:pPr>
              <w:jc w:val="center"/>
              <w:rPr>
                <w:rFonts w:eastAsia="Times New Roman" w:cs="Times New Roman"/>
                <w:bCs/>
                <w:color w:val="000000"/>
                <w:sz w:val="20"/>
                <w:szCs w:val="20"/>
                <w:lang w:eastAsia="lv-LV"/>
              </w:rPr>
            </w:pPr>
            <w:r w:rsidRPr="001B6C30">
              <w:rPr>
                <w:rFonts w:eastAsia="Times New Roman" w:cs="Times New Roman"/>
                <w:bCs/>
                <w:color w:val="000000"/>
                <w:sz w:val="20"/>
                <w:szCs w:val="20"/>
                <w:lang w:eastAsia="lv-LV"/>
              </w:rPr>
              <w:t>57,3</w:t>
            </w:r>
          </w:p>
        </w:tc>
        <w:tc>
          <w:tcPr>
            <w:tcW w:w="1701" w:type="dxa"/>
            <w:tcBorders>
              <w:top w:val="nil"/>
              <w:left w:val="nil"/>
              <w:bottom w:val="single" w:sz="4" w:space="0" w:color="auto"/>
              <w:right w:val="single" w:sz="4" w:space="0" w:color="auto"/>
            </w:tcBorders>
            <w:shd w:val="clear" w:color="auto" w:fill="auto"/>
            <w:noWrap/>
            <w:vAlign w:val="center"/>
            <w:hideMark/>
          </w:tcPr>
          <w:p w14:paraId="4CE254A0" w14:textId="77777777" w:rsidR="00AA6B06" w:rsidRPr="001B6C30" w:rsidRDefault="00AA6B06" w:rsidP="00062EEB">
            <w:pPr>
              <w:jc w:val="center"/>
              <w:rPr>
                <w:rFonts w:eastAsia="Times New Roman" w:cs="Times New Roman"/>
                <w:bCs/>
                <w:color w:val="000000"/>
                <w:sz w:val="20"/>
                <w:szCs w:val="20"/>
                <w:lang w:eastAsia="lv-LV"/>
              </w:rPr>
            </w:pPr>
            <w:r w:rsidRPr="001B6C30">
              <w:rPr>
                <w:rFonts w:eastAsia="Times New Roman" w:cs="Times New Roman"/>
                <w:bCs/>
                <w:color w:val="000000"/>
                <w:sz w:val="20"/>
                <w:szCs w:val="20"/>
                <w:lang w:eastAsia="lv-LV"/>
              </w:rPr>
              <w:t>-0,3</w:t>
            </w:r>
          </w:p>
        </w:tc>
      </w:tr>
      <w:tr w:rsidR="00AA6B06" w:rsidRPr="00907F13" w14:paraId="270CC8E2" w14:textId="77777777" w:rsidTr="00062EEB">
        <w:trPr>
          <w:trHeight w:val="5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023B5D6" w14:textId="77777777" w:rsidR="00AA6B06" w:rsidRPr="00545679" w:rsidRDefault="00AA6B06" w:rsidP="00062EEB">
            <w:pPr>
              <w:rPr>
                <w:rFonts w:eastAsia="Times New Roman" w:cs="Times New Roman"/>
                <w:color w:val="000000"/>
                <w:sz w:val="20"/>
                <w:szCs w:val="20"/>
                <w:lang w:eastAsia="lv-LV"/>
              </w:rPr>
            </w:pPr>
            <w:r w:rsidRPr="00545679">
              <w:rPr>
                <w:rFonts w:eastAsia="Times New Roman" w:cs="Times New Roman"/>
                <w:color w:val="000000"/>
                <w:sz w:val="20"/>
                <w:szCs w:val="20"/>
                <w:lang w:eastAsia="lv-LV"/>
              </w:rPr>
              <w:t>3.8.Tehniskā palīdzība KF ieviešanai</w:t>
            </w:r>
          </w:p>
        </w:tc>
        <w:tc>
          <w:tcPr>
            <w:tcW w:w="1701" w:type="dxa"/>
            <w:tcBorders>
              <w:top w:val="nil"/>
              <w:left w:val="nil"/>
              <w:bottom w:val="single" w:sz="4" w:space="0" w:color="auto"/>
              <w:right w:val="single" w:sz="4" w:space="0" w:color="auto"/>
            </w:tcBorders>
            <w:shd w:val="clear" w:color="auto" w:fill="auto"/>
            <w:vAlign w:val="center"/>
            <w:hideMark/>
          </w:tcPr>
          <w:p w14:paraId="45039966" w14:textId="77777777" w:rsidR="00AA6B06" w:rsidRPr="00545679" w:rsidRDefault="00AA6B06" w:rsidP="00062EEB">
            <w:pPr>
              <w:jc w:val="center"/>
              <w:rPr>
                <w:rFonts w:eastAsia="Times New Roman" w:cs="Times New Roman"/>
                <w:bCs/>
                <w:color w:val="000000"/>
                <w:sz w:val="20"/>
                <w:szCs w:val="20"/>
                <w:lang w:eastAsia="lv-LV"/>
              </w:rPr>
            </w:pPr>
            <w:r w:rsidRPr="00545679">
              <w:rPr>
                <w:rFonts w:eastAsia="Times New Roman" w:cs="Times New Roman"/>
                <w:bCs/>
                <w:color w:val="000000"/>
                <w:sz w:val="20"/>
                <w:szCs w:val="20"/>
                <w:lang w:eastAsia="lv-LV"/>
              </w:rPr>
              <w:t>12,2</w:t>
            </w:r>
          </w:p>
        </w:tc>
        <w:tc>
          <w:tcPr>
            <w:tcW w:w="1701" w:type="dxa"/>
            <w:tcBorders>
              <w:top w:val="nil"/>
              <w:left w:val="nil"/>
              <w:bottom w:val="single" w:sz="4" w:space="0" w:color="auto"/>
              <w:right w:val="single" w:sz="4" w:space="0" w:color="auto"/>
            </w:tcBorders>
            <w:shd w:val="clear" w:color="auto" w:fill="auto"/>
            <w:vAlign w:val="center"/>
            <w:hideMark/>
          </w:tcPr>
          <w:p w14:paraId="3620C2E9" w14:textId="77777777" w:rsidR="00AA6B06" w:rsidRPr="00545679" w:rsidRDefault="00AA6B06" w:rsidP="00062EEB">
            <w:pPr>
              <w:jc w:val="center"/>
              <w:rPr>
                <w:rFonts w:eastAsia="Times New Roman" w:cs="Times New Roman"/>
                <w:bCs/>
                <w:color w:val="000000"/>
                <w:sz w:val="20"/>
                <w:szCs w:val="20"/>
                <w:lang w:eastAsia="lv-LV"/>
              </w:rPr>
            </w:pPr>
            <w:r w:rsidRPr="00545679">
              <w:rPr>
                <w:rFonts w:eastAsia="Times New Roman" w:cs="Times New Roman"/>
                <w:bCs/>
                <w:color w:val="000000"/>
                <w:sz w:val="20"/>
                <w:szCs w:val="20"/>
                <w:lang w:eastAsia="lv-LV"/>
              </w:rPr>
              <w:t>0,0</w:t>
            </w:r>
          </w:p>
        </w:tc>
        <w:tc>
          <w:tcPr>
            <w:tcW w:w="1701" w:type="dxa"/>
            <w:tcBorders>
              <w:top w:val="nil"/>
              <w:left w:val="nil"/>
              <w:bottom w:val="single" w:sz="4" w:space="0" w:color="auto"/>
              <w:right w:val="single" w:sz="4" w:space="0" w:color="auto"/>
            </w:tcBorders>
            <w:shd w:val="clear" w:color="auto" w:fill="auto"/>
            <w:noWrap/>
            <w:vAlign w:val="center"/>
            <w:hideMark/>
          </w:tcPr>
          <w:p w14:paraId="21E22ADB" w14:textId="77777777" w:rsidR="00AA6B06" w:rsidRPr="001B6C30" w:rsidRDefault="00AA6B06" w:rsidP="00062EEB">
            <w:pPr>
              <w:jc w:val="center"/>
              <w:rPr>
                <w:rFonts w:eastAsia="Times New Roman" w:cs="Times New Roman"/>
                <w:bCs/>
                <w:color w:val="000000"/>
                <w:sz w:val="20"/>
                <w:szCs w:val="20"/>
                <w:lang w:eastAsia="lv-LV"/>
              </w:rPr>
            </w:pPr>
            <w:r w:rsidRPr="001B6C30">
              <w:rPr>
                <w:rFonts w:eastAsia="Times New Roman" w:cs="Times New Roman"/>
                <w:bCs/>
                <w:color w:val="000000"/>
                <w:sz w:val="20"/>
                <w:szCs w:val="20"/>
                <w:lang w:eastAsia="lv-LV"/>
              </w:rPr>
              <w:t>12,0</w:t>
            </w:r>
          </w:p>
        </w:tc>
        <w:tc>
          <w:tcPr>
            <w:tcW w:w="1701" w:type="dxa"/>
            <w:tcBorders>
              <w:top w:val="nil"/>
              <w:left w:val="nil"/>
              <w:bottom w:val="single" w:sz="4" w:space="0" w:color="auto"/>
              <w:right w:val="single" w:sz="4" w:space="0" w:color="auto"/>
            </w:tcBorders>
            <w:shd w:val="clear" w:color="auto" w:fill="auto"/>
            <w:noWrap/>
            <w:vAlign w:val="center"/>
            <w:hideMark/>
          </w:tcPr>
          <w:p w14:paraId="7C92CE99" w14:textId="77777777" w:rsidR="00AA6B06" w:rsidRPr="001B6C30" w:rsidRDefault="00AA6B06" w:rsidP="00062EEB">
            <w:pPr>
              <w:jc w:val="center"/>
              <w:rPr>
                <w:rFonts w:eastAsia="Times New Roman" w:cs="Times New Roman"/>
                <w:bCs/>
                <w:color w:val="000000"/>
                <w:sz w:val="20"/>
                <w:szCs w:val="20"/>
                <w:lang w:eastAsia="lv-LV"/>
              </w:rPr>
            </w:pPr>
            <w:r w:rsidRPr="001B6C30">
              <w:rPr>
                <w:rFonts w:eastAsia="Times New Roman" w:cs="Times New Roman"/>
                <w:bCs/>
                <w:color w:val="000000"/>
                <w:sz w:val="20"/>
                <w:szCs w:val="20"/>
                <w:lang w:eastAsia="lv-LV"/>
              </w:rPr>
              <w:t>-0,2</w:t>
            </w:r>
          </w:p>
        </w:tc>
      </w:tr>
      <w:tr w:rsidR="00AA6B06" w:rsidRPr="00907F13" w14:paraId="387BC449" w14:textId="77777777" w:rsidTr="00062EEB">
        <w:trPr>
          <w:trHeight w:val="5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33EF9" w14:textId="77777777" w:rsidR="00AA6B06" w:rsidRPr="0046663B" w:rsidRDefault="00AA6B06" w:rsidP="00062EEB">
            <w:pPr>
              <w:rPr>
                <w:rFonts w:eastAsia="Times New Roman" w:cs="Times New Roman"/>
                <w:color w:val="000000"/>
                <w:sz w:val="20"/>
                <w:szCs w:val="20"/>
                <w:lang w:eastAsia="lv-LV"/>
              </w:rPr>
            </w:pPr>
            <w:r w:rsidRPr="0046663B">
              <w:rPr>
                <w:rFonts w:eastAsia="Times New Roman" w:cs="Times New Roman"/>
                <w:color w:val="000000"/>
                <w:sz w:val="20"/>
                <w:szCs w:val="20"/>
                <w:lang w:eastAsia="lv-LV"/>
              </w:rPr>
              <w:lastRenderedPageBreak/>
              <w:t>Cilvēkresursi un nodarbinātība (ESF)</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3AB20" w14:textId="77777777" w:rsidR="00AA6B06" w:rsidRPr="0046663B" w:rsidRDefault="00AA6B06" w:rsidP="00062EEB">
            <w:pPr>
              <w:jc w:val="center"/>
              <w:rPr>
                <w:rFonts w:eastAsia="Times New Roman" w:cs="Times New Roman"/>
                <w:bCs/>
                <w:color w:val="000000"/>
                <w:sz w:val="20"/>
                <w:szCs w:val="20"/>
                <w:lang w:eastAsia="lv-LV"/>
              </w:rPr>
            </w:pPr>
            <w:r w:rsidRPr="0046663B">
              <w:rPr>
                <w:rFonts w:eastAsia="Times New Roman" w:cs="Times New Roman"/>
                <w:bCs/>
                <w:color w:val="000000"/>
                <w:sz w:val="20"/>
                <w:szCs w:val="20"/>
                <w:lang w:eastAsia="lv-LV"/>
              </w:rPr>
              <w:t>583,1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8CE35" w14:textId="77777777" w:rsidR="00AA6B06" w:rsidRPr="0046663B" w:rsidRDefault="00AA6B06" w:rsidP="00062EEB">
            <w:pPr>
              <w:jc w:val="center"/>
              <w:rPr>
                <w:rFonts w:eastAsia="Times New Roman" w:cs="Times New Roman"/>
                <w:bCs/>
                <w:color w:val="000000"/>
                <w:sz w:val="20"/>
                <w:szCs w:val="20"/>
                <w:lang w:eastAsia="lv-LV"/>
              </w:rPr>
            </w:pPr>
            <w:r w:rsidRPr="0046663B">
              <w:rPr>
                <w:rFonts w:eastAsia="Times New Roman" w:cs="Times New Roman"/>
                <w:bCs/>
                <w:color w:val="000000"/>
                <w:sz w:val="20"/>
                <w:szCs w:val="20"/>
                <w:lang w:eastAsia="lv-LV"/>
              </w:rPr>
              <w:t>70,3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B8A18" w14:textId="77777777" w:rsidR="00AA6B06" w:rsidRPr="0046663B" w:rsidRDefault="00AA6B06" w:rsidP="00062EEB">
            <w:pPr>
              <w:jc w:val="center"/>
              <w:rPr>
                <w:rFonts w:eastAsia="Times New Roman" w:cs="Times New Roman"/>
                <w:bCs/>
                <w:color w:val="000000"/>
                <w:sz w:val="20"/>
                <w:szCs w:val="20"/>
                <w:lang w:eastAsia="lv-LV"/>
              </w:rPr>
            </w:pPr>
            <w:r w:rsidRPr="0046663B">
              <w:rPr>
                <w:rFonts w:eastAsia="Times New Roman" w:cs="Times New Roman"/>
                <w:bCs/>
                <w:color w:val="000000"/>
                <w:sz w:val="20"/>
                <w:szCs w:val="20"/>
                <w:lang w:eastAsia="lv-LV"/>
              </w:rPr>
              <w:t>633,1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D6F18" w14:textId="77777777" w:rsidR="00AA6B06" w:rsidRPr="0046663B" w:rsidRDefault="00AA6B06" w:rsidP="00062EEB">
            <w:pPr>
              <w:jc w:val="center"/>
              <w:rPr>
                <w:rFonts w:eastAsia="Times New Roman" w:cs="Times New Roman"/>
                <w:bCs/>
                <w:color w:val="000000"/>
                <w:sz w:val="20"/>
                <w:szCs w:val="20"/>
                <w:lang w:eastAsia="lv-LV"/>
              </w:rPr>
            </w:pPr>
            <w:r w:rsidRPr="0046663B">
              <w:rPr>
                <w:rFonts w:eastAsia="Times New Roman" w:cs="Times New Roman"/>
                <w:bCs/>
                <w:color w:val="000000"/>
                <w:sz w:val="20"/>
                <w:szCs w:val="20"/>
                <w:lang w:eastAsia="lv-LV"/>
              </w:rPr>
              <w:t>50,0</w:t>
            </w:r>
          </w:p>
        </w:tc>
      </w:tr>
      <w:tr w:rsidR="00AA6B06" w:rsidRPr="00907F13" w14:paraId="19A10A6C" w14:textId="77777777" w:rsidTr="00062EEB">
        <w:trPr>
          <w:trHeight w:val="82"/>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5F2D1" w14:textId="77777777" w:rsidR="00AA6B06" w:rsidRPr="0046663B" w:rsidRDefault="00AA6B06" w:rsidP="00062EEB">
            <w:pPr>
              <w:rPr>
                <w:rFonts w:eastAsia="Times New Roman" w:cs="Times New Roman"/>
                <w:color w:val="000000"/>
                <w:sz w:val="20"/>
                <w:szCs w:val="20"/>
                <w:lang w:eastAsia="lv-LV"/>
              </w:rPr>
            </w:pPr>
            <w:r w:rsidRPr="0046663B">
              <w:rPr>
                <w:rFonts w:eastAsia="Times New Roman" w:cs="Times New Roman"/>
                <w:color w:val="000000"/>
                <w:sz w:val="20"/>
                <w:szCs w:val="20"/>
                <w:lang w:eastAsia="lv-LV"/>
              </w:rPr>
              <w:t>Uzņēmējdarbība un inovācijas</w:t>
            </w:r>
            <w:r w:rsidRPr="0046663B">
              <w:rPr>
                <w:rStyle w:val="FootnoteReference"/>
                <w:rFonts w:eastAsia="Times New Roman" w:cs="Times New Roman"/>
                <w:color w:val="000000"/>
                <w:sz w:val="20"/>
                <w:szCs w:val="20"/>
                <w:lang w:eastAsia="lv-LV"/>
              </w:rPr>
              <w:footnoteReference w:id="23"/>
            </w:r>
            <w:r w:rsidRPr="0046663B">
              <w:rPr>
                <w:rFonts w:eastAsia="Times New Roman" w:cs="Times New Roman"/>
                <w:color w:val="000000"/>
                <w:sz w:val="20"/>
                <w:szCs w:val="20"/>
                <w:lang w:eastAsia="lv-LV"/>
              </w:rPr>
              <w:t xml:space="preserve"> (ERAF)</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13502" w14:textId="77777777" w:rsidR="00AA6B06" w:rsidRPr="0046663B" w:rsidRDefault="00AA6B06" w:rsidP="00062EEB">
            <w:pPr>
              <w:jc w:val="center"/>
              <w:rPr>
                <w:rFonts w:eastAsia="Times New Roman" w:cs="Times New Roman"/>
                <w:bCs/>
                <w:color w:val="000000"/>
                <w:sz w:val="20"/>
                <w:szCs w:val="20"/>
                <w:lang w:eastAsia="lv-LV"/>
              </w:rPr>
            </w:pPr>
            <w:r w:rsidRPr="0046663B">
              <w:rPr>
                <w:rFonts w:eastAsia="Times New Roman" w:cs="Times New Roman"/>
                <w:bCs/>
                <w:color w:val="000000"/>
                <w:sz w:val="20"/>
                <w:szCs w:val="20"/>
                <w:lang w:eastAsia="lv-LV"/>
              </w:rPr>
              <w:t>696,3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B7BF1" w14:textId="77777777" w:rsidR="00AA6B06" w:rsidRPr="0046663B" w:rsidRDefault="00AA6B06" w:rsidP="00062EEB">
            <w:pPr>
              <w:jc w:val="center"/>
              <w:rPr>
                <w:rFonts w:eastAsia="Times New Roman" w:cs="Times New Roman"/>
                <w:bCs/>
                <w:color w:val="000000"/>
                <w:sz w:val="20"/>
                <w:szCs w:val="20"/>
                <w:lang w:eastAsia="lv-LV"/>
              </w:rPr>
            </w:pPr>
            <w:r w:rsidRPr="0046663B">
              <w:rPr>
                <w:rFonts w:eastAsia="Times New Roman" w:cs="Times New Roman"/>
                <w:bCs/>
                <w:color w:val="000000"/>
                <w:sz w:val="20"/>
                <w:szCs w:val="20"/>
                <w:lang w:eastAsia="lv-LV"/>
              </w:rPr>
              <w:t>137,2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ED43E" w14:textId="77777777" w:rsidR="00AA6B06" w:rsidRPr="0046663B" w:rsidRDefault="00AA6B06" w:rsidP="00062EEB">
            <w:pPr>
              <w:jc w:val="center"/>
              <w:rPr>
                <w:rFonts w:eastAsia="Times New Roman" w:cs="Times New Roman"/>
                <w:bCs/>
                <w:color w:val="000000"/>
                <w:sz w:val="20"/>
                <w:szCs w:val="20"/>
                <w:lang w:eastAsia="lv-LV"/>
              </w:rPr>
            </w:pPr>
            <w:r w:rsidRPr="0046663B">
              <w:rPr>
                <w:rFonts w:eastAsia="Times New Roman" w:cs="Times New Roman"/>
                <w:bCs/>
                <w:color w:val="000000"/>
                <w:sz w:val="20"/>
                <w:szCs w:val="20"/>
                <w:lang w:eastAsia="lv-LV"/>
              </w:rPr>
              <w:t>748,3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14CED" w14:textId="77777777" w:rsidR="00AA6B06" w:rsidRPr="0046663B" w:rsidRDefault="00AA6B06" w:rsidP="00062EEB">
            <w:pPr>
              <w:jc w:val="center"/>
              <w:rPr>
                <w:rFonts w:eastAsia="Times New Roman" w:cs="Times New Roman"/>
                <w:bCs/>
                <w:color w:val="000000"/>
                <w:sz w:val="20"/>
                <w:szCs w:val="20"/>
                <w:lang w:eastAsia="lv-LV"/>
              </w:rPr>
            </w:pPr>
            <w:r w:rsidRPr="0046663B">
              <w:rPr>
                <w:rFonts w:eastAsia="Times New Roman" w:cs="Times New Roman"/>
                <w:bCs/>
                <w:color w:val="000000"/>
                <w:sz w:val="20"/>
                <w:szCs w:val="20"/>
                <w:lang w:eastAsia="lv-LV"/>
              </w:rPr>
              <w:t>52,0</w:t>
            </w:r>
          </w:p>
        </w:tc>
      </w:tr>
      <w:tr w:rsidR="00AA6B06" w:rsidRPr="00907F13" w14:paraId="572392AA" w14:textId="77777777" w:rsidTr="00062EEB">
        <w:trPr>
          <w:trHeight w:val="31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9A168" w14:textId="77777777" w:rsidR="00AA6B06" w:rsidRPr="0046663B" w:rsidRDefault="00AA6B06" w:rsidP="00062EEB">
            <w:pPr>
              <w:rPr>
                <w:rFonts w:eastAsia="Times New Roman" w:cs="Times New Roman"/>
                <w:color w:val="000000"/>
                <w:sz w:val="20"/>
                <w:szCs w:val="20"/>
                <w:lang w:eastAsia="lv-LV"/>
              </w:rPr>
            </w:pPr>
            <w:r w:rsidRPr="0046663B">
              <w:rPr>
                <w:rFonts w:eastAsia="Times New Roman" w:cs="Times New Roman"/>
                <w:color w:val="000000"/>
                <w:sz w:val="20"/>
                <w:szCs w:val="20"/>
                <w:lang w:eastAsia="lv-LV"/>
              </w:rPr>
              <w:t>Infrastruktūra un pakalpojumi: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1FA42" w14:textId="77777777" w:rsidR="00AA6B06" w:rsidRPr="0046663B" w:rsidRDefault="00AA6B06" w:rsidP="00062EEB">
            <w:pPr>
              <w:jc w:val="center"/>
              <w:rPr>
                <w:rFonts w:eastAsia="Times New Roman" w:cs="Times New Roman"/>
                <w:bCs/>
                <w:color w:val="000000"/>
                <w:sz w:val="20"/>
                <w:szCs w:val="20"/>
                <w:lang w:eastAsia="lv-LV"/>
              </w:rPr>
            </w:pPr>
            <w:r w:rsidRPr="0046663B">
              <w:rPr>
                <w:rFonts w:eastAsia="Times New Roman" w:cs="Times New Roman"/>
                <w:bCs/>
                <w:color w:val="000000"/>
                <w:sz w:val="20"/>
                <w:szCs w:val="20"/>
                <w:lang w:eastAsia="lv-LV"/>
              </w:rPr>
              <w:t>3 251,1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A89E6" w14:textId="77777777" w:rsidR="00AA6B06" w:rsidRPr="0046663B" w:rsidRDefault="00AA6B06" w:rsidP="00062EEB">
            <w:pPr>
              <w:jc w:val="center"/>
              <w:rPr>
                <w:rFonts w:eastAsia="Times New Roman" w:cs="Times New Roman"/>
                <w:bCs/>
                <w:color w:val="000000"/>
                <w:sz w:val="20"/>
                <w:szCs w:val="20"/>
                <w:lang w:eastAsia="lv-LV"/>
              </w:rPr>
            </w:pPr>
            <w:r w:rsidRPr="0046663B">
              <w:rPr>
                <w:rFonts w:eastAsia="Times New Roman" w:cs="Times New Roman"/>
                <w:bCs/>
                <w:color w:val="000000"/>
                <w:sz w:val="20"/>
                <w:szCs w:val="20"/>
                <w:lang w:eastAsia="lv-LV"/>
              </w:rPr>
              <w:t>169,7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900D1" w14:textId="77777777" w:rsidR="00AA6B06" w:rsidRPr="0046663B" w:rsidRDefault="00AA6B06" w:rsidP="00062EEB">
            <w:pPr>
              <w:jc w:val="center"/>
              <w:rPr>
                <w:rFonts w:eastAsia="Times New Roman" w:cs="Times New Roman"/>
                <w:bCs/>
                <w:color w:val="000000"/>
                <w:sz w:val="20"/>
                <w:szCs w:val="20"/>
                <w:lang w:eastAsia="lv-LV"/>
              </w:rPr>
            </w:pPr>
            <w:r w:rsidRPr="0046663B">
              <w:rPr>
                <w:rFonts w:eastAsia="Times New Roman" w:cs="Times New Roman"/>
                <w:bCs/>
                <w:color w:val="000000"/>
                <w:sz w:val="20"/>
                <w:szCs w:val="20"/>
                <w:lang w:eastAsia="lv-LV"/>
              </w:rPr>
              <w:t>3</w:t>
            </w:r>
            <w:r>
              <w:rPr>
                <w:rFonts w:eastAsia="Times New Roman" w:cs="Times New Roman"/>
                <w:bCs/>
                <w:color w:val="000000"/>
                <w:sz w:val="20"/>
                <w:szCs w:val="20"/>
                <w:lang w:eastAsia="lv-LV"/>
              </w:rPr>
              <w:t> 350</w:t>
            </w:r>
            <w:r w:rsidRPr="0046663B">
              <w:rPr>
                <w:rFonts w:eastAsia="Times New Roman" w:cs="Times New Roman"/>
                <w:bCs/>
                <w:color w:val="000000"/>
                <w:sz w:val="20"/>
                <w:szCs w:val="20"/>
                <w:lang w:eastAsia="lv-LV"/>
              </w:rPr>
              <w:t>,4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1179C" w14:textId="77777777" w:rsidR="00AA6B06" w:rsidRPr="0046663B" w:rsidRDefault="00AA6B06" w:rsidP="00062EEB">
            <w:pPr>
              <w:jc w:val="center"/>
              <w:rPr>
                <w:rFonts w:eastAsia="Times New Roman" w:cs="Times New Roman"/>
                <w:bCs/>
                <w:color w:val="000000"/>
                <w:sz w:val="20"/>
                <w:szCs w:val="20"/>
                <w:lang w:eastAsia="lv-LV"/>
              </w:rPr>
            </w:pPr>
            <w:r w:rsidRPr="0046663B">
              <w:rPr>
                <w:rFonts w:eastAsia="Times New Roman" w:cs="Times New Roman"/>
                <w:bCs/>
                <w:color w:val="000000"/>
                <w:sz w:val="20"/>
                <w:szCs w:val="20"/>
                <w:lang w:eastAsia="lv-LV"/>
              </w:rPr>
              <w:t>98,4</w:t>
            </w:r>
          </w:p>
        </w:tc>
      </w:tr>
      <w:tr w:rsidR="00AA6B06" w:rsidRPr="00907F13" w14:paraId="63C18C2B" w14:textId="77777777" w:rsidTr="00062EEB">
        <w:trPr>
          <w:trHeight w:val="86"/>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E592E" w14:textId="77777777" w:rsidR="00AA6B06" w:rsidRPr="0046663B" w:rsidRDefault="00AA6B06" w:rsidP="00062EEB">
            <w:pPr>
              <w:jc w:val="right"/>
              <w:rPr>
                <w:rFonts w:eastAsia="Times New Roman" w:cs="Times New Roman"/>
                <w:color w:val="000000"/>
                <w:sz w:val="20"/>
                <w:szCs w:val="20"/>
                <w:lang w:eastAsia="lv-LV"/>
              </w:rPr>
            </w:pPr>
            <w:r w:rsidRPr="0046663B">
              <w:rPr>
                <w:rFonts w:eastAsia="Times New Roman" w:cs="Times New Roman"/>
                <w:color w:val="000000"/>
                <w:sz w:val="20"/>
                <w:szCs w:val="20"/>
                <w:lang w:eastAsia="lv-LV"/>
              </w:rPr>
              <w:t>ERAF:</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FEFE2" w14:textId="77777777" w:rsidR="00AA6B06" w:rsidRPr="0046663B" w:rsidRDefault="00AA6B06" w:rsidP="00062EEB">
            <w:pPr>
              <w:jc w:val="center"/>
              <w:rPr>
                <w:rFonts w:eastAsia="Times New Roman" w:cs="Times New Roman"/>
                <w:bCs/>
                <w:color w:val="000000"/>
                <w:sz w:val="20"/>
                <w:szCs w:val="20"/>
                <w:lang w:eastAsia="lv-LV"/>
              </w:rPr>
            </w:pPr>
            <w:r w:rsidRPr="0046663B">
              <w:rPr>
                <w:rFonts w:eastAsia="Times New Roman" w:cs="Times New Roman"/>
                <w:bCs/>
                <w:color w:val="000000"/>
                <w:sz w:val="20"/>
                <w:szCs w:val="20"/>
                <w:lang w:eastAsia="lv-LV"/>
              </w:rPr>
              <w:t>1 711,3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29774" w14:textId="77777777" w:rsidR="00AA6B06" w:rsidRPr="0046663B" w:rsidRDefault="00AA6B06" w:rsidP="00062EEB">
            <w:pPr>
              <w:jc w:val="center"/>
              <w:rPr>
                <w:rFonts w:eastAsia="Times New Roman" w:cs="Times New Roman"/>
                <w:bCs/>
                <w:color w:val="000000"/>
                <w:sz w:val="20"/>
                <w:szCs w:val="20"/>
                <w:lang w:eastAsia="lv-LV"/>
              </w:rPr>
            </w:pPr>
            <w:r w:rsidRPr="0046663B">
              <w:rPr>
                <w:rFonts w:eastAsia="Times New Roman" w:cs="Times New Roman"/>
                <w:bCs/>
                <w:color w:val="000000"/>
                <w:sz w:val="20"/>
                <w:szCs w:val="20"/>
                <w:lang w:eastAsia="lv-LV"/>
              </w:rPr>
              <w:t>124,1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91BA0" w14:textId="77777777" w:rsidR="00AA6B06" w:rsidRPr="0046663B" w:rsidRDefault="00AA6B06" w:rsidP="00062EEB">
            <w:pPr>
              <w:jc w:val="center"/>
              <w:rPr>
                <w:rFonts w:eastAsia="Times New Roman" w:cs="Times New Roman"/>
                <w:bCs/>
                <w:color w:val="000000"/>
                <w:sz w:val="20"/>
                <w:szCs w:val="20"/>
                <w:lang w:eastAsia="lv-LV"/>
              </w:rPr>
            </w:pPr>
            <w:r w:rsidRPr="0046663B">
              <w:rPr>
                <w:rFonts w:eastAsia="Times New Roman" w:cs="Times New Roman"/>
                <w:bCs/>
                <w:color w:val="000000"/>
                <w:sz w:val="20"/>
                <w:szCs w:val="20"/>
                <w:lang w:eastAsia="lv-LV"/>
              </w:rPr>
              <w:t>1 74</w:t>
            </w:r>
            <w:r>
              <w:rPr>
                <w:rFonts w:eastAsia="Times New Roman" w:cs="Times New Roman"/>
                <w:bCs/>
                <w:color w:val="000000"/>
                <w:sz w:val="20"/>
                <w:szCs w:val="20"/>
                <w:lang w:eastAsia="lv-LV"/>
              </w:rPr>
              <w:t>9</w:t>
            </w:r>
            <w:r w:rsidRPr="0046663B">
              <w:rPr>
                <w:rFonts w:eastAsia="Times New Roman" w:cs="Times New Roman"/>
                <w:bCs/>
                <w:color w:val="000000"/>
                <w:sz w:val="20"/>
                <w:szCs w:val="20"/>
                <w:lang w:eastAsia="lv-LV"/>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5A4D6" w14:textId="446F6EA0" w:rsidR="00AA6B06" w:rsidRPr="0046663B" w:rsidRDefault="00AA6B06" w:rsidP="00062EEB">
            <w:pPr>
              <w:jc w:val="center"/>
              <w:rPr>
                <w:rFonts w:eastAsia="Times New Roman" w:cs="Times New Roman"/>
                <w:bCs/>
                <w:color w:val="000000"/>
                <w:sz w:val="20"/>
                <w:szCs w:val="20"/>
                <w:lang w:eastAsia="lv-LV"/>
              </w:rPr>
            </w:pPr>
            <w:r>
              <w:rPr>
                <w:rFonts w:eastAsia="Times New Roman" w:cs="Times New Roman"/>
                <w:bCs/>
                <w:color w:val="000000"/>
                <w:sz w:val="20"/>
                <w:szCs w:val="20"/>
                <w:lang w:eastAsia="lv-LV"/>
              </w:rPr>
              <w:t>37</w:t>
            </w:r>
            <w:r w:rsidR="006364C4">
              <w:rPr>
                <w:rFonts w:eastAsia="Times New Roman" w:cs="Times New Roman"/>
                <w:bCs/>
                <w:color w:val="000000"/>
                <w:sz w:val="20"/>
                <w:szCs w:val="20"/>
                <w:lang w:eastAsia="lv-LV"/>
              </w:rPr>
              <w:t>,</w:t>
            </w:r>
            <w:r>
              <w:rPr>
                <w:rFonts w:eastAsia="Times New Roman" w:cs="Times New Roman"/>
                <w:bCs/>
                <w:color w:val="000000"/>
                <w:sz w:val="20"/>
                <w:szCs w:val="20"/>
                <w:lang w:eastAsia="lv-LV"/>
              </w:rPr>
              <w:t>7</w:t>
            </w:r>
          </w:p>
        </w:tc>
      </w:tr>
      <w:tr w:rsidR="00AA6B06" w:rsidRPr="00907F13" w14:paraId="6B68A7E5" w14:textId="77777777" w:rsidTr="00062EEB">
        <w:trPr>
          <w:trHeight w:val="118"/>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B3314" w14:textId="77777777" w:rsidR="00AA6B06" w:rsidRPr="0046663B" w:rsidRDefault="00AA6B06" w:rsidP="00062EEB">
            <w:pPr>
              <w:jc w:val="right"/>
              <w:rPr>
                <w:rFonts w:eastAsia="Times New Roman" w:cs="Times New Roman"/>
                <w:color w:val="000000"/>
                <w:sz w:val="20"/>
                <w:szCs w:val="20"/>
                <w:lang w:eastAsia="lv-LV"/>
              </w:rPr>
            </w:pPr>
            <w:r w:rsidRPr="0046663B">
              <w:rPr>
                <w:rFonts w:eastAsia="Times New Roman" w:cs="Times New Roman"/>
                <w:color w:val="000000"/>
                <w:sz w:val="20"/>
                <w:szCs w:val="20"/>
                <w:lang w:eastAsia="lv-LV"/>
              </w:rPr>
              <w:t>KF:</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3377D" w14:textId="77777777" w:rsidR="00AA6B06" w:rsidRPr="0046663B" w:rsidRDefault="00AA6B06" w:rsidP="00062EEB">
            <w:pPr>
              <w:jc w:val="center"/>
              <w:rPr>
                <w:rFonts w:eastAsia="Times New Roman" w:cs="Times New Roman"/>
                <w:bCs/>
                <w:color w:val="000000"/>
                <w:sz w:val="20"/>
                <w:szCs w:val="20"/>
                <w:lang w:eastAsia="lv-LV"/>
              </w:rPr>
            </w:pPr>
            <w:r w:rsidRPr="0046663B">
              <w:rPr>
                <w:rFonts w:eastAsia="Times New Roman" w:cs="Times New Roman"/>
                <w:bCs/>
                <w:color w:val="000000"/>
                <w:sz w:val="20"/>
                <w:szCs w:val="20"/>
                <w:lang w:eastAsia="lv-LV"/>
              </w:rPr>
              <w:t>1 539,8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4C393" w14:textId="77777777" w:rsidR="00AA6B06" w:rsidRPr="0046663B" w:rsidRDefault="00AA6B06" w:rsidP="00062EEB">
            <w:pPr>
              <w:jc w:val="center"/>
              <w:rPr>
                <w:rFonts w:eastAsia="Times New Roman" w:cs="Times New Roman"/>
                <w:bCs/>
                <w:color w:val="000000"/>
                <w:sz w:val="20"/>
                <w:szCs w:val="20"/>
                <w:lang w:eastAsia="lv-LV"/>
              </w:rPr>
            </w:pPr>
            <w:r w:rsidRPr="0046663B">
              <w:rPr>
                <w:rFonts w:eastAsia="Times New Roman" w:cs="Times New Roman"/>
                <w:bCs/>
                <w:color w:val="000000"/>
                <w:sz w:val="20"/>
                <w:szCs w:val="20"/>
                <w:lang w:eastAsia="lv-LV"/>
              </w:rPr>
              <w:t>45,6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FC055" w14:textId="77777777" w:rsidR="00AA6B06" w:rsidRPr="0046663B" w:rsidRDefault="00AA6B06" w:rsidP="00062EEB">
            <w:pPr>
              <w:jc w:val="center"/>
              <w:rPr>
                <w:rFonts w:eastAsia="Times New Roman" w:cs="Times New Roman"/>
                <w:bCs/>
                <w:color w:val="000000"/>
                <w:sz w:val="20"/>
                <w:szCs w:val="20"/>
                <w:lang w:eastAsia="lv-LV"/>
              </w:rPr>
            </w:pPr>
            <w:r w:rsidRPr="0046663B">
              <w:rPr>
                <w:rFonts w:eastAsia="Times New Roman" w:cs="Times New Roman"/>
                <w:bCs/>
                <w:color w:val="000000"/>
                <w:sz w:val="20"/>
                <w:szCs w:val="20"/>
                <w:lang w:eastAsia="lv-LV"/>
              </w:rPr>
              <w:t>1 601,4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2663A" w14:textId="77777777" w:rsidR="00AA6B06" w:rsidRPr="0046663B" w:rsidRDefault="00AA6B06" w:rsidP="00062EEB">
            <w:pPr>
              <w:jc w:val="center"/>
              <w:rPr>
                <w:rFonts w:eastAsia="Times New Roman" w:cs="Times New Roman"/>
                <w:bCs/>
                <w:color w:val="000000"/>
                <w:sz w:val="20"/>
                <w:szCs w:val="20"/>
                <w:lang w:eastAsia="lv-LV"/>
              </w:rPr>
            </w:pPr>
            <w:r w:rsidRPr="0046663B">
              <w:rPr>
                <w:rFonts w:eastAsia="Times New Roman" w:cs="Times New Roman"/>
                <w:bCs/>
                <w:color w:val="000000"/>
                <w:sz w:val="20"/>
                <w:szCs w:val="20"/>
                <w:lang w:eastAsia="lv-LV"/>
              </w:rPr>
              <w:t>61,6</w:t>
            </w:r>
          </w:p>
        </w:tc>
      </w:tr>
      <w:tr w:rsidR="00AA6B06" w:rsidRPr="00907F13" w14:paraId="77CC14A0" w14:textId="77777777" w:rsidTr="00062EEB">
        <w:trPr>
          <w:trHeight w:val="37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DDA74" w14:textId="77777777" w:rsidR="00AA6B06" w:rsidRPr="008A6153" w:rsidRDefault="00AA6B06" w:rsidP="00062EEB">
            <w:pPr>
              <w:jc w:val="right"/>
              <w:rPr>
                <w:rFonts w:eastAsia="Times New Roman" w:cs="Times New Roman"/>
                <w:b/>
                <w:bCs/>
                <w:color w:val="000000"/>
                <w:sz w:val="20"/>
                <w:szCs w:val="20"/>
                <w:lang w:eastAsia="lv-LV"/>
              </w:rPr>
            </w:pPr>
            <w:r w:rsidRPr="008A6153">
              <w:rPr>
                <w:rFonts w:eastAsia="Times New Roman" w:cs="Times New Roman"/>
                <w:b/>
                <w:bCs/>
                <w:color w:val="000000"/>
                <w:sz w:val="20"/>
                <w:szCs w:val="20"/>
                <w:lang w:eastAsia="lv-LV"/>
              </w:rPr>
              <w:t>Kopā:</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25B19" w14:textId="77777777" w:rsidR="00AA6B06" w:rsidRPr="008A6153" w:rsidRDefault="00AA6B06" w:rsidP="00062EEB">
            <w:pPr>
              <w:jc w:val="center"/>
              <w:rPr>
                <w:rFonts w:eastAsia="Times New Roman" w:cs="Times New Roman"/>
                <w:b/>
                <w:bCs/>
                <w:color w:val="000000"/>
                <w:sz w:val="20"/>
                <w:szCs w:val="20"/>
                <w:lang w:eastAsia="lv-LV"/>
              </w:rPr>
            </w:pPr>
            <w:r w:rsidRPr="008A6153">
              <w:rPr>
                <w:rFonts w:eastAsia="Times New Roman" w:cs="Times New Roman"/>
                <w:b/>
                <w:bCs/>
                <w:color w:val="000000"/>
                <w:sz w:val="20"/>
                <w:szCs w:val="20"/>
                <w:lang w:eastAsia="lv-LV"/>
              </w:rPr>
              <w:t>4 530,4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DA872" w14:textId="77777777" w:rsidR="00AA6B06" w:rsidRPr="008A6153" w:rsidRDefault="00AA6B06" w:rsidP="00062EEB">
            <w:pPr>
              <w:jc w:val="center"/>
              <w:rPr>
                <w:rFonts w:eastAsia="Times New Roman" w:cs="Times New Roman"/>
                <w:b/>
                <w:bCs/>
                <w:color w:val="000000"/>
                <w:sz w:val="20"/>
                <w:szCs w:val="20"/>
                <w:lang w:eastAsia="lv-LV"/>
              </w:rPr>
            </w:pPr>
            <w:r w:rsidRPr="008A6153">
              <w:rPr>
                <w:rFonts w:eastAsia="Times New Roman" w:cs="Times New Roman"/>
                <w:b/>
                <w:bCs/>
                <w:color w:val="000000"/>
                <w:sz w:val="20"/>
                <w:szCs w:val="20"/>
                <w:lang w:eastAsia="lv-LV"/>
              </w:rPr>
              <w:t>377,2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3F980" w14:textId="77777777" w:rsidR="00AA6B06" w:rsidRPr="008A6153" w:rsidRDefault="00AA6B06" w:rsidP="00062EEB">
            <w:pPr>
              <w:jc w:val="center"/>
              <w:rPr>
                <w:rFonts w:eastAsia="Times New Roman" w:cs="Times New Roman"/>
                <w:b/>
                <w:bCs/>
                <w:color w:val="000000"/>
                <w:sz w:val="20"/>
                <w:szCs w:val="20"/>
                <w:lang w:eastAsia="lv-LV"/>
              </w:rPr>
            </w:pPr>
            <w:r w:rsidRPr="008A6153">
              <w:rPr>
                <w:rFonts w:eastAsia="Times New Roman" w:cs="Times New Roman"/>
                <w:b/>
                <w:bCs/>
                <w:color w:val="000000"/>
                <w:sz w:val="20"/>
                <w:szCs w:val="20"/>
                <w:lang w:eastAsia="lv-LV"/>
              </w:rPr>
              <w:t>4 73</w:t>
            </w:r>
            <w:r>
              <w:rPr>
                <w:rFonts w:eastAsia="Times New Roman" w:cs="Times New Roman"/>
                <w:b/>
                <w:bCs/>
                <w:color w:val="000000"/>
                <w:sz w:val="20"/>
                <w:szCs w:val="20"/>
                <w:lang w:eastAsia="lv-LV"/>
              </w:rPr>
              <w:t>1</w:t>
            </w:r>
            <w:r w:rsidRPr="008A6153">
              <w:rPr>
                <w:rFonts w:eastAsia="Times New Roman" w:cs="Times New Roman"/>
                <w:b/>
                <w:bCs/>
                <w:color w:val="000000"/>
                <w:sz w:val="20"/>
                <w:szCs w:val="20"/>
                <w:lang w:eastAsia="lv-LV"/>
              </w:rPr>
              <w:t>,8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78668" w14:textId="77777777" w:rsidR="00AA6B06" w:rsidRPr="008A6153" w:rsidRDefault="00AA6B06" w:rsidP="00062EEB">
            <w:pPr>
              <w:jc w:val="center"/>
              <w:rPr>
                <w:rFonts w:eastAsia="Times New Roman" w:cs="Times New Roman"/>
                <w:b/>
                <w:bCs/>
                <w:color w:val="000000"/>
                <w:sz w:val="20"/>
                <w:szCs w:val="20"/>
                <w:lang w:eastAsia="lv-LV"/>
              </w:rPr>
            </w:pPr>
            <w:r w:rsidRPr="008A6153">
              <w:rPr>
                <w:rFonts w:eastAsia="Times New Roman" w:cs="Times New Roman"/>
                <w:b/>
                <w:bCs/>
                <w:color w:val="000000"/>
                <w:sz w:val="20"/>
                <w:szCs w:val="20"/>
                <w:lang w:eastAsia="lv-LV"/>
              </w:rPr>
              <w:t>20</w:t>
            </w:r>
            <w:r>
              <w:rPr>
                <w:rFonts w:eastAsia="Times New Roman" w:cs="Times New Roman"/>
                <w:b/>
                <w:bCs/>
                <w:color w:val="000000"/>
                <w:sz w:val="20"/>
                <w:szCs w:val="20"/>
                <w:lang w:eastAsia="lv-LV"/>
              </w:rPr>
              <w:t>1</w:t>
            </w:r>
            <w:r w:rsidRPr="008A6153">
              <w:rPr>
                <w:rFonts w:eastAsia="Times New Roman" w:cs="Times New Roman"/>
                <w:b/>
                <w:bCs/>
                <w:color w:val="000000"/>
                <w:sz w:val="20"/>
                <w:szCs w:val="20"/>
                <w:lang w:eastAsia="lv-LV"/>
              </w:rPr>
              <w:t>,3</w:t>
            </w:r>
          </w:p>
        </w:tc>
      </w:tr>
    </w:tbl>
    <w:p w14:paraId="6B6E5EC3" w14:textId="7390B884" w:rsidR="005B6B9A" w:rsidRPr="006534F6" w:rsidRDefault="005B6B9A" w:rsidP="005B6B9A">
      <w:pPr>
        <w:spacing w:before="120" w:after="120" w:line="276" w:lineRule="auto"/>
        <w:jc w:val="both"/>
      </w:pPr>
      <w:r w:rsidRPr="006534F6">
        <w:t>Salīdzinot ar VI prognozēm, kas tika sniegta iepriekš</w:t>
      </w:r>
      <w:r>
        <w:t>ēj</w:t>
      </w:r>
      <w:r w:rsidRPr="006534F6">
        <w:t xml:space="preserve">ā ziņojumā, pozitīvā virzienā ir uzlabojusies situācija DP “Infrastruktūra un pakalpojumi” kopumā. Starpība ar piešķīrumu ir palielinājusies par </w:t>
      </w:r>
      <w:r>
        <w:t xml:space="preserve">40,4 </w:t>
      </w:r>
      <w:r w:rsidRPr="006534F6">
        <w:t xml:space="preserve">milj. </w:t>
      </w:r>
      <w:r w:rsidRPr="006534F6">
        <w:rPr>
          <w:i/>
        </w:rPr>
        <w:t>euro</w:t>
      </w:r>
      <w:r w:rsidRPr="006534F6">
        <w:t xml:space="preserve">, </w:t>
      </w:r>
      <w:r>
        <w:t>kam par pamatu bijis uzlabojums</w:t>
      </w:r>
      <w:r w:rsidRPr="006534F6">
        <w:t xml:space="preserve"> KF </w:t>
      </w:r>
      <w:r>
        <w:t xml:space="preserve">izpildes prognozē </w:t>
      </w:r>
      <w:r w:rsidRPr="006534F6">
        <w:t xml:space="preserve">par </w:t>
      </w:r>
      <w:r>
        <w:t>39,8</w:t>
      </w:r>
      <w:r w:rsidRPr="006534F6">
        <w:t xml:space="preserve"> milj. </w:t>
      </w:r>
      <w:r w:rsidRPr="006534F6">
        <w:rPr>
          <w:i/>
        </w:rPr>
        <w:t>euro</w:t>
      </w:r>
      <w:r w:rsidRPr="006534F6">
        <w:t>.</w:t>
      </w:r>
      <w:r>
        <w:t xml:space="preserve"> ERAF un ESF izmaiņas minimālas, joprojām situācija tiek vērtēta kā stabila 100% finansējuma saņemšanai.</w:t>
      </w:r>
    </w:p>
    <w:p w14:paraId="6C50B991" w14:textId="5D6FAD55" w:rsidR="003B5F19" w:rsidRPr="00D95336" w:rsidRDefault="003B5F19" w:rsidP="003B5F19">
      <w:pPr>
        <w:spacing w:before="120" w:after="120" w:line="276" w:lineRule="auto"/>
        <w:jc w:val="both"/>
      </w:pPr>
      <w:r w:rsidRPr="00D95336">
        <w:t xml:space="preserve">Pie vidējā scenārija aplēsēm secināms, ka viss pieejamais ES fondu līdzfinansējums netiks izlietots prioritātē “Vides infrastruktūras un videi draudzīgas enerģētikas veicināšana”, kam par pamatu šī brīža atlikumi </w:t>
      </w:r>
      <w:proofErr w:type="spellStart"/>
      <w:r w:rsidRPr="00D95336">
        <w:t>apakšaktivitātē</w:t>
      </w:r>
      <w:proofErr w:type="spellEnd"/>
      <w:r w:rsidRPr="00D95336">
        <w:t xml:space="preserve"> “Dalītās atkritumu apsaimniekošanas sistēmas attīstība”, kā arī </w:t>
      </w:r>
      <w:proofErr w:type="spellStart"/>
      <w:r w:rsidRPr="00D95336">
        <w:t>apakšaktivitātē</w:t>
      </w:r>
      <w:proofErr w:type="spellEnd"/>
      <w:r w:rsidRPr="00D95336">
        <w:t xml:space="preserve"> “Pasākumi centralizētās siltumapgādes sistēmu efektivitātes paaugstināšanai” lauzto līgumu apmērs un prognoze līgumu laušanai. </w:t>
      </w:r>
    </w:p>
    <w:p w14:paraId="4D34AF65" w14:textId="61E973F2" w:rsidR="005B6B9A" w:rsidRDefault="005B6B9A" w:rsidP="005B6B9A">
      <w:pPr>
        <w:spacing w:before="120" w:after="120" w:line="276" w:lineRule="auto"/>
        <w:jc w:val="both"/>
      </w:pPr>
      <w:r>
        <w:t>Tomēr s</w:t>
      </w:r>
      <w:r w:rsidRPr="00D95336">
        <w:t>askaņā ar 2015.gada 30.aprīlī apstiprinātajām EK slēgšanas pamatnostādnēm</w:t>
      </w:r>
      <w:r w:rsidRPr="00D95336">
        <w:rPr>
          <w:rStyle w:val="FootnoteReference"/>
        </w:rPr>
        <w:footnoteReference w:id="24"/>
      </w:r>
      <w:r w:rsidRPr="00D95336">
        <w:t xml:space="preserve"> ir atļauta 10% elastība starp prioritātēm vienas darbības programmas un fonda ietvaros. Tas nozīmē, ka vienas prioritātes deklarējamo izdevumu pārsniegums var kompensēt citas tā paša fonda un darbības programmas prioritātes deklarējamo izdevumu trūkumu. Atbilstoši vidējam scenārijam prioritātes “Vides infrastruktūras un videi draudzīgas enerģētikas veicināšana” deklarējamo izdevumu iztrūkumu var kompensēt prioritātes “Eiropas nozīmes transporta tīklu attīstība un ilgtspējīga transporta veicināšana” deklarējamo izd</w:t>
      </w:r>
      <w:r>
        <w:t xml:space="preserve">evumu pārsniegums. Attiecīgi </w:t>
      </w:r>
      <w:r w:rsidRPr="00D95336">
        <w:t xml:space="preserve">prioritātes </w:t>
      </w:r>
      <w:r>
        <w:t>“</w:t>
      </w:r>
      <w:r w:rsidRPr="00D95336">
        <w:rPr>
          <w:rFonts w:eastAsia="Times New Roman" w:cs="Times New Roman"/>
          <w:color w:val="000000"/>
          <w:szCs w:val="20"/>
          <w:lang w:eastAsia="lv-LV"/>
        </w:rPr>
        <w:t>Kvalitatīvas vides dzīvei un ekonomiskai aktivitātei nodrošināšana</w:t>
      </w:r>
      <w:r>
        <w:t xml:space="preserve">” </w:t>
      </w:r>
      <w:r w:rsidRPr="00D95336">
        <w:t>deklarējamo izdevumu i</w:t>
      </w:r>
      <w:r>
        <w:t xml:space="preserve">ztrūkumu var kompensēt jebkura </w:t>
      </w:r>
      <w:r w:rsidRPr="00D95336">
        <w:t xml:space="preserve">DP “Infrastruktūra un pakalpojumi” ERAF līdzfinansēta prioritāte. Ievērojot minētos noteikumus, pie </w:t>
      </w:r>
      <w:r>
        <w:t>reālistiskā</w:t>
      </w:r>
      <w:r w:rsidRPr="00D95336">
        <w:t xml:space="preserve"> scenārija VI šobrīd nesaredz būtiskas problēmas ES fondu finansējuma izlietošanā pilnā apmērā nevienā no trīs </w:t>
      </w:r>
      <w:r w:rsidR="00033009">
        <w:t>DP</w:t>
      </w:r>
      <w:r w:rsidRPr="00D95336">
        <w:t>.</w:t>
      </w:r>
    </w:p>
    <w:p w14:paraId="57407980" w14:textId="3D6B1AD6" w:rsidR="00C57681" w:rsidRPr="00DF03C1" w:rsidRDefault="00C57681" w:rsidP="00C57681">
      <w:pPr>
        <w:spacing w:before="120" w:after="120" w:line="276" w:lineRule="auto"/>
        <w:jc w:val="both"/>
      </w:pPr>
      <w:r>
        <w:t>VI ir apzinājusi arī maksimāli negatīvā scenāriju, kur iespējama</w:t>
      </w:r>
      <w:r w:rsidRPr="00DF03C1">
        <w:t xml:space="preserve"> arī faktiska ES finansējuma zaudēšana, tomēr</w:t>
      </w:r>
      <w:r>
        <w:t xml:space="preserve"> šī scenārija</w:t>
      </w:r>
      <w:r w:rsidRPr="00DF03C1">
        <w:t xml:space="preserve"> </w:t>
      </w:r>
      <w:r>
        <w:t xml:space="preserve">iestāšanās ir maz ticama. </w:t>
      </w:r>
      <w:r w:rsidRPr="00DF03C1">
        <w:t xml:space="preserve">Ja tiks konstatētas indikācijas negatīva scenārija iestāšanās gadījumam, VI </w:t>
      </w:r>
      <w:r>
        <w:t>iespēju robežās rosinās</w:t>
      </w:r>
      <w:r w:rsidRPr="00DF03C1">
        <w:t xml:space="preserve"> risinājumus šādu risku mazināšanai.</w:t>
      </w:r>
    </w:p>
    <w:p w14:paraId="5F5ED17D" w14:textId="25349E57" w:rsidR="005B6B9A" w:rsidRDefault="005B6B9A" w:rsidP="005B6B9A">
      <w:pPr>
        <w:spacing w:before="120" w:after="120" w:line="276" w:lineRule="auto"/>
        <w:jc w:val="both"/>
      </w:pPr>
      <w:r>
        <w:lastRenderedPageBreak/>
        <w:t>K</w:t>
      </w:r>
      <w:r w:rsidRPr="005B6B9A">
        <w:t>opumā</w:t>
      </w:r>
      <w:r>
        <w:t xml:space="preserve"> </w:t>
      </w:r>
      <w:r w:rsidR="00C57681">
        <w:t xml:space="preserve">negatīvā scenārija gadījumā </w:t>
      </w:r>
      <w:r w:rsidR="00806DC8">
        <w:t xml:space="preserve">pastāv šādi </w:t>
      </w:r>
      <w:r w:rsidR="00DD59BE">
        <w:t xml:space="preserve">šobrīd apzinātie būtiskākie </w:t>
      </w:r>
      <w:r w:rsidR="00806DC8">
        <w:t>riski un atseviš</w:t>
      </w:r>
      <w:r w:rsidR="00CD05CB">
        <w:t>ķ</w:t>
      </w:r>
      <w:r w:rsidR="00806DC8">
        <w:t xml:space="preserve">i </w:t>
      </w:r>
      <w:proofErr w:type="spellStart"/>
      <w:r w:rsidR="00806DC8">
        <w:t>problēmjautājumi</w:t>
      </w:r>
      <w:proofErr w:type="spellEnd"/>
      <w:r w:rsidR="00806DC8">
        <w:t xml:space="preserve">, kurus VI attiecīgi uzrauga vai nodrošina maksimāli </w:t>
      </w:r>
      <w:proofErr w:type="spellStart"/>
      <w:r w:rsidR="00806DC8">
        <w:t>proaktīvu</w:t>
      </w:r>
      <w:proofErr w:type="spellEnd"/>
      <w:r w:rsidR="00806DC8">
        <w:t xml:space="preserve"> rīcību</w:t>
      </w:r>
      <w:r w:rsidR="00C57681">
        <w:t>:</w:t>
      </w:r>
      <w:r w:rsidR="00806DC8">
        <w:t xml:space="preserve"> </w:t>
      </w:r>
    </w:p>
    <w:p w14:paraId="18064E1C" w14:textId="01F3D56F" w:rsidR="00C57681" w:rsidRDefault="00C57681" w:rsidP="005B6B9A">
      <w:pPr>
        <w:pStyle w:val="ListParagraph"/>
        <w:numPr>
          <w:ilvl w:val="0"/>
          <w:numId w:val="11"/>
        </w:numPr>
        <w:spacing w:before="120" w:after="120" w:line="276" w:lineRule="auto"/>
        <w:ind w:left="0" w:firstLine="0"/>
        <w:contextualSpacing w:val="0"/>
        <w:jc w:val="both"/>
        <w:rPr>
          <w:szCs w:val="24"/>
          <w:lang w:eastAsia="lv-LV"/>
        </w:rPr>
      </w:pPr>
      <w:r>
        <w:rPr>
          <w:szCs w:val="24"/>
          <w:lang w:eastAsia="lv-LV"/>
        </w:rPr>
        <w:t xml:space="preserve">KF projektu mērķu nesasniegšana, piemēram, </w:t>
      </w:r>
      <w:r>
        <w:t>Krievu salas, d</w:t>
      </w:r>
      <w:r w:rsidRPr="00DF03C1">
        <w:t>īzeļvilcienu modernizācija</w:t>
      </w:r>
      <w:r>
        <w:t>s, Ventspils brīvostas, Liepājas lidostas</w:t>
      </w:r>
      <w:r w:rsidR="00DD59BE">
        <w:t>, Jūrmalas ūdenssaimniecības projektos u.c., kā arī ERAF Stradiņu slimnīcas projektā;</w:t>
      </w:r>
    </w:p>
    <w:p w14:paraId="5BE1211C" w14:textId="4884BAB3" w:rsidR="005B6B9A" w:rsidRPr="00C54870" w:rsidRDefault="005B6B9A" w:rsidP="005B6B9A">
      <w:pPr>
        <w:pStyle w:val="ListParagraph"/>
        <w:numPr>
          <w:ilvl w:val="0"/>
          <w:numId w:val="11"/>
        </w:numPr>
        <w:spacing w:before="120" w:after="120" w:line="276" w:lineRule="auto"/>
        <w:ind w:left="0" w:firstLine="0"/>
        <w:contextualSpacing w:val="0"/>
        <w:jc w:val="both"/>
        <w:rPr>
          <w:szCs w:val="24"/>
          <w:lang w:eastAsia="lv-LV"/>
        </w:rPr>
      </w:pPr>
      <w:proofErr w:type="spellStart"/>
      <w:r w:rsidRPr="00C54870">
        <w:rPr>
          <w:szCs w:val="24"/>
          <w:lang w:eastAsia="lv-LV"/>
        </w:rPr>
        <w:t>Iekšlietu</w:t>
      </w:r>
      <w:proofErr w:type="spellEnd"/>
      <w:r w:rsidRPr="00C54870">
        <w:rPr>
          <w:szCs w:val="24"/>
          <w:lang w:eastAsia="lv-LV"/>
        </w:rPr>
        <w:t xml:space="preserve"> ministrijas Informācijas centr</w:t>
      </w:r>
      <w:r>
        <w:rPr>
          <w:szCs w:val="24"/>
          <w:lang w:eastAsia="lv-LV"/>
        </w:rPr>
        <w:t>a</w:t>
      </w:r>
      <w:r w:rsidRPr="00C54870">
        <w:rPr>
          <w:szCs w:val="24"/>
          <w:lang w:eastAsia="lv-LV"/>
        </w:rPr>
        <w:t xml:space="preserve"> projekt</w:t>
      </w:r>
      <w:r>
        <w:rPr>
          <w:szCs w:val="24"/>
          <w:lang w:eastAsia="lv-LV"/>
        </w:rPr>
        <w:t>s</w:t>
      </w:r>
      <w:r w:rsidRPr="00C54870">
        <w:rPr>
          <w:szCs w:val="24"/>
          <w:lang w:eastAsia="lv-LV"/>
        </w:rPr>
        <w:t xml:space="preserve"> Nr.</w:t>
      </w:r>
      <w:r w:rsidRPr="00C54870">
        <w:rPr>
          <w:szCs w:val="24"/>
        </w:rPr>
        <w:t xml:space="preserve">3DP/3.2.2.1.1/13/IPIA/CFLA/011 </w:t>
      </w:r>
      <w:r w:rsidRPr="00C54870">
        <w:rPr>
          <w:bCs/>
          <w:szCs w:val="24"/>
        </w:rPr>
        <w:t>„</w:t>
      </w:r>
      <w:proofErr w:type="spellStart"/>
      <w:r w:rsidRPr="00C54870">
        <w:rPr>
          <w:szCs w:val="24"/>
        </w:rPr>
        <w:t>Iekšlietu</w:t>
      </w:r>
      <w:proofErr w:type="spellEnd"/>
      <w:r w:rsidRPr="00C54870">
        <w:rPr>
          <w:szCs w:val="24"/>
        </w:rPr>
        <w:t xml:space="preserve"> ministrijas radiosakaru sistēmas modernizācija</w:t>
      </w:r>
      <w:r w:rsidRPr="00C54870">
        <w:rPr>
          <w:bCs/>
          <w:szCs w:val="24"/>
        </w:rPr>
        <w:t>”</w:t>
      </w:r>
      <w:r w:rsidR="00806DC8">
        <w:rPr>
          <w:bCs/>
          <w:szCs w:val="24"/>
        </w:rPr>
        <w:t>, kur</w:t>
      </w:r>
      <w:r w:rsidRPr="00C54870">
        <w:rPr>
          <w:bCs/>
          <w:szCs w:val="24"/>
        </w:rPr>
        <w:t xml:space="preserve"> iespējams</w:t>
      </w:r>
      <w:r w:rsidR="00806DC8">
        <w:rPr>
          <w:bCs/>
          <w:szCs w:val="24"/>
        </w:rPr>
        <w:t xml:space="preserve"> </w:t>
      </w:r>
      <w:r w:rsidRPr="00C54870">
        <w:rPr>
          <w:bCs/>
          <w:szCs w:val="24"/>
        </w:rPr>
        <w:t xml:space="preserve"> </w:t>
      </w:r>
      <w:r w:rsidR="00806DC8">
        <w:rPr>
          <w:bCs/>
          <w:szCs w:val="24"/>
        </w:rPr>
        <w:t xml:space="preserve">piemērota </w:t>
      </w:r>
      <w:r w:rsidRPr="00C54870">
        <w:rPr>
          <w:bCs/>
          <w:szCs w:val="24"/>
        </w:rPr>
        <w:t>nepamatot</w:t>
      </w:r>
      <w:r w:rsidR="00806DC8">
        <w:rPr>
          <w:bCs/>
          <w:szCs w:val="24"/>
        </w:rPr>
        <w:t>a</w:t>
      </w:r>
      <w:r w:rsidRPr="00C54870">
        <w:rPr>
          <w:bCs/>
          <w:szCs w:val="24"/>
        </w:rPr>
        <w:t xml:space="preserve"> iepirkuma procedūr</w:t>
      </w:r>
      <w:r w:rsidR="00806DC8">
        <w:rPr>
          <w:bCs/>
          <w:szCs w:val="24"/>
        </w:rPr>
        <w:t xml:space="preserve">a </w:t>
      </w:r>
      <w:r w:rsidRPr="00C54870">
        <w:rPr>
          <w:bCs/>
          <w:szCs w:val="24"/>
        </w:rPr>
        <w:t xml:space="preserve">, </w:t>
      </w:r>
      <w:r w:rsidRPr="00C54870">
        <w:rPr>
          <w:szCs w:val="24"/>
          <w:lang w:eastAsia="lv-LV"/>
        </w:rPr>
        <w:t>kas nozīmētu</w:t>
      </w:r>
      <w:r w:rsidRPr="00C54870">
        <w:rPr>
          <w:bCs/>
          <w:szCs w:val="24"/>
        </w:rPr>
        <w:t xml:space="preserve"> 100% finanšu korekciju konkrētajam līgumam 16 216 505,60 </w:t>
      </w:r>
      <w:r w:rsidRPr="00C54870">
        <w:rPr>
          <w:i/>
          <w:szCs w:val="24"/>
        </w:rPr>
        <w:t>euro</w:t>
      </w:r>
      <w:r w:rsidRPr="00C54870">
        <w:rPr>
          <w:bCs/>
          <w:szCs w:val="24"/>
        </w:rPr>
        <w:t xml:space="preserve"> apmērā. </w:t>
      </w:r>
      <w:r w:rsidRPr="00C54870">
        <w:rPr>
          <w:szCs w:val="24"/>
          <w:lang w:eastAsia="lv-LV"/>
        </w:rPr>
        <w:t xml:space="preserve">Pārskata periodā tika saņemta informācija, ka </w:t>
      </w:r>
      <w:proofErr w:type="spellStart"/>
      <w:r w:rsidRPr="00C54870">
        <w:rPr>
          <w:szCs w:val="24"/>
          <w:lang w:eastAsia="lv-LV"/>
        </w:rPr>
        <w:t>Iekšlietu</w:t>
      </w:r>
      <w:proofErr w:type="spellEnd"/>
      <w:r w:rsidRPr="00C54870">
        <w:rPr>
          <w:szCs w:val="24"/>
          <w:lang w:eastAsia="lv-LV"/>
        </w:rPr>
        <w:t xml:space="preserve"> ministrijas Informācijas centrs 2015.gada nogalē veica iepirkumu ar līdzīgu iepirkuma priekšmetu, kurā kā vienīgais pretendents pieteicās tas pats uzņēmums, ar kuru jau iepriekš aprakstītajā iepirkuma procedūrā </w:t>
      </w:r>
      <w:proofErr w:type="spellStart"/>
      <w:r w:rsidRPr="00C54870">
        <w:rPr>
          <w:szCs w:val="24"/>
          <w:lang w:eastAsia="lv-LV"/>
        </w:rPr>
        <w:t>Iekšlietu</w:t>
      </w:r>
      <w:proofErr w:type="spellEnd"/>
      <w:r w:rsidRPr="00C54870">
        <w:rPr>
          <w:szCs w:val="24"/>
          <w:lang w:eastAsia="lv-LV"/>
        </w:rPr>
        <w:t xml:space="preserve"> ministrijas Informācijas centrs bija komunicējis kā vienīgo pretendentu. 2016.gada janvār</w:t>
      </w:r>
      <w:r w:rsidR="0040775C">
        <w:rPr>
          <w:szCs w:val="24"/>
          <w:lang w:eastAsia="lv-LV"/>
        </w:rPr>
        <w:t xml:space="preserve">ī </w:t>
      </w:r>
      <w:r w:rsidRPr="00C54870">
        <w:rPr>
          <w:szCs w:val="24"/>
          <w:lang w:eastAsia="lv-LV"/>
        </w:rPr>
        <w:t xml:space="preserve">no </w:t>
      </w:r>
      <w:proofErr w:type="spellStart"/>
      <w:r w:rsidRPr="00C54870">
        <w:rPr>
          <w:szCs w:val="24"/>
          <w:lang w:eastAsia="lv-LV"/>
        </w:rPr>
        <w:t>Iekšlietu</w:t>
      </w:r>
      <w:proofErr w:type="spellEnd"/>
      <w:r w:rsidRPr="00C54870">
        <w:rPr>
          <w:szCs w:val="24"/>
          <w:lang w:eastAsia="lv-LV"/>
        </w:rPr>
        <w:t xml:space="preserve"> ministrijas Informācijas centra saņemts argumentējošs </w:t>
      </w:r>
      <w:r>
        <w:rPr>
          <w:szCs w:val="24"/>
          <w:lang w:eastAsia="lv-LV"/>
        </w:rPr>
        <w:t>ekspertu</w:t>
      </w:r>
      <w:r w:rsidRPr="00C54870">
        <w:rPr>
          <w:szCs w:val="24"/>
          <w:lang w:eastAsia="lv-LV"/>
        </w:rPr>
        <w:t xml:space="preserve"> ziņojums</w:t>
      </w:r>
      <w:r w:rsidR="0040775C">
        <w:rPr>
          <w:szCs w:val="24"/>
          <w:lang w:eastAsia="lv-LV"/>
        </w:rPr>
        <w:t xml:space="preserve"> un papildus </w:t>
      </w:r>
      <w:r w:rsidRPr="00C54870">
        <w:rPr>
          <w:szCs w:val="24"/>
          <w:lang w:eastAsia="lv-LV"/>
        </w:rPr>
        <w:t>informācija</w:t>
      </w:r>
      <w:r>
        <w:rPr>
          <w:szCs w:val="24"/>
          <w:lang w:eastAsia="lv-LV"/>
        </w:rPr>
        <w:t>-</w:t>
      </w:r>
      <w:proofErr w:type="spellStart"/>
      <w:r>
        <w:rPr>
          <w:szCs w:val="24"/>
          <w:lang w:eastAsia="lv-LV"/>
        </w:rPr>
        <w:t>izvērtējums</w:t>
      </w:r>
      <w:proofErr w:type="spellEnd"/>
      <w:r w:rsidRPr="00C54870">
        <w:rPr>
          <w:szCs w:val="24"/>
          <w:lang w:eastAsia="lv-LV"/>
        </w:rPr>
        <w:t>, k</w:t>
      </w:r>
      <w:r w:rsidR="0040775C">
        <w:rPr>
          <w:szCs w:val="24"/>
          <w:lang w:eastAsia="lv-LV"/>
        </w:rPr>
        <w:t>o</w:t>
      </w:r>
      <w:r w:rsidRPr="00C54870">
        <w:rPr>
          <w:szCs w:val="24"/>
          <w:lang w:eastAsia="lv-LV"/>
        </w:rPr>
        <w:t xml:space="preserve"> attiecīgi izvērtē </w:t>
      </w:r>
      <w:r w:rsidR="0040775C">
        <w:rPr>
          <w:szCs w:val="24"/>
          <w:lang w:eastAsia="lv-LV"/>
        </w:rPr>
        <w:t xml:space="preserve">FM, IUB un </w:t>
      </w:r>
      <w:r w:rsidRPr="00C54870">
        <w:rPr>
          <w:szCs w:val="24"/>
          <w:lang w:eastAsia="lv-LV"/>
        </w:rPr>
        <w:t>CFLA</w:t>
      </w:r>
      <w:r w:rsidR="0040775C">
        <w:rPr>
          <w:szCs w:val="24"/>
          <w:lang w:eastAsia="lv-LV"/>
        </w:rPr>
        <w:t>, lai pieņemtu</w:t>
      </w:r>
      <w:r w:rsidRPr="00C54870">
        <w:rPr>
          <w:szCs w:val="24"/>
          <w:lang w:eastAsia="lv-LV"/>
        </w:rPr>
        <w:t xml:space="preserve"> </w:t>
      </w:r>
      <w:r w:rsidR="0040775C">
        <w:rPr>
          <w:szCs w:val="24"/>
          <w:lang w:eastAsia="lv-LV"/>
        </w:rPr>
        <w:t xml:space="preserve">gala </w:t>
      </w:r>
      <w:r w:rsidRPr="00C54870">
        <w:rPr>
          <w:szCs w:val="24"/>
          <w:lang w:eastAsia="lv-LV"/>
        </w:rPr>
        <w:t>lēmum</w:t>
      </w:r>
      <w:r w:rsidR="0040775C">
        <w:rPr>
          <w:szCs w:val="24"/>
          <w:lang w:eastAsia="lv-LV"/>
        </w:rPr>
        <w:t>u</w:t>
      </w:r>
      <w:r w:rsidRPr="00C54870">
        <w:rPr>
          <w:szCs w:val="24"/>
          <w:lang w:eastAsia="lv-LV"/>
        </w:rPr>
        <w:t xml:space="preserve"> </w:t>
      </w:r>
      <w:r w:rsidR="0040775C">
        <w:rPr>
          <w:szCs w:val="24"/>
          <w:lang w:eastAsia="lv-LV"/>
        </w:rPr>
        <w:t>par iepirkuma procedūras likumību un izdevumu atbilstību</w:t>
      </w:r>
      <w:r w:rsidR="00416A5D">
        <w:rPr>
          <w:szCs w:val="24"/>
          <w:lang w:eastAsia="lv-LV"/>
        </w:rPr>
        <w:t>.</w:t>
      </w:r>
      <w:r w:rsidR="002C558D" w:rsidRPr="002C558D">
        <w:rPr>
          <w:rFonts w:eastAsia="Times New Roman" w:cs="Times New Roman"/>
          <w:iCs/>
          <w:sz w:val="22"/>
          <w:szCs w:val="24"/>
          <w:lang w:eastAsia="lv-LV"/>
        </w:rPr>
        <w:t xml:space="preserve"> </w:t>
      </w:r>
      <w:r w:rsidR="002C558D" w:rsidRPr="002C558D">
        <w:rPr>
          <w:iCs/>
          <w:szCs w:val="24"/>
          <w:lang w:eastAsia="lv-LV"/>
        </w:rPr>
        <w:t xml:space="preserve">VARAM </w:t>
      </w:r>
      <w:r w:rsidR="002C558D" w:rsidRPr="002C558D">
        <w:rPr>
          <w:szCs w:val="24"/>
          <w:lang w:eastAsia="lv-LV"/>
        </w:rPr>
        <w:t xml:space="preserve">2015.gada 16.decembrī </w:t>
      </w:r>
      <w:r w:rsidR="002C558D" w:rsidRPr="002C558D">
        <w:rPr>
          <w:iCs/>
          <w:szCs w:val="24"/>
          <w:lang w:eastAsia="lv-LV"/>
        </w:rPr>
        <w:t>veica funkcionalitātes pārbaudi projekta īstenošanas vietā, izvērtējot projekta ietvaros iegādāto Radiosakaru sistēmas gala (radiostaciju) lietotāju ģeogrāfisko koordināšu vietas noteikšanas informācijas sistēmu un to funkcionalitāti atbilstoši projektā plānotajam, un tās rezultāts ir pozitīvs.</w:t>
      </w:r>
    </w:p>
    <w:p w14:paraId="22FA6D79" w14:textId="362D89D5" w:rsidR="00E80989" w:rsidRPr="00D53808" w:rsidRDefault="00806DC8" w:rsidP="00D53808">
      <w:pPr>
        <w:pStyle w:val="ListParagraph"/>
        <w:numPr>
          <w:ilvl w:val="0"/>
          <w:numId w:val="11"/>
        </w:numPr>
        <w:spacing w:before="120" w:after="120" w:line="276" w:lineRule="auto"/>
        <w:ind w:left="0" w:firstLine="0"/>
        <w:contextualSpacing w:val="0"/>
        <w:jc w:val="both"/>
        <w:rPr>
          <w:szCs w:val="24"/>
          <w:lang w:eastAsia="lv-LV"/>
        </w:rPr>
      </w:pPr>
      <w:r>
        <w:rPr>
          <w:szCs w:val="24"/>
          <w:lang w:eastAsia="lv-LV"/>
        </w:rPr>
        <w:t>P</w:t>
      </w:r>
      <w:r w:rsidR="005B6B9A" w:rsidRPr="00C54870">
        <w:rPr>
          <w:szCs w:val="24"/>
          <w:lang w:eastAsia="lv-LV"/>
        </w:rPr>
        <w:t>rojekt</w:t>
      </w:r>
      <w:r>
        <w:rPr>
          <w:szCs w:val="24"/>
          <w:lang w:eastAsia="lv-LV"/>
        </w:rPr>
        <w:t>i</w:t>
      </w:r>
      <w:r w:rsidR="005B6B9A" w:rsidRPr="00C54870">
        <w:rPr>
          <w:szCs w:val="24"/>
          <w:lang w:eastAsia="lv-LV"/>
        </w:rPr>
        <w:t xml:space="preserve"> “</w:t>
      </w:r>
      <w:r w:rsidR="005B6B9A" w:rsidRPr="00C54870">
        <w:rPr>
          <w:rFonts w:cs="Times New Roman"/>
        </w:rPr>
        <w:t>Elektronisko recepšu informācijas sistēmas izveides pirmais posms</w:t>
      </w:r>
      <w:r w:rsidR="005B6B9A" w:rsidRPr="00C54870">
        <w:rPr>
          <w:szCs w:val="24"/>
          <w:lang w:eastAsia="lv-LV"/>
        </w:rPr>
        <w:t>”, “</w:t>
      </w:r>
      <w:r w:rsidR="005B6B9A" w:rsidRPr="00C54870">
        <w:rPr>
          <w:rFonts w:cs="Times New Roman"/>
        </w:rPr>
        <w:t>Elektroniska apmeklējumu rezervēšanas izveide (e-</w:t>
      </w:r>
      <w:proofErr w:type="spellStart"/>
      <w:r w:rsidR="005B6B9A" w:rsidRPr="00C54870">
        <w:rPr>
          <w:rFonts w:cs="Times New Roman"/>
        </w:rPr>
        <w:t>booking</w:t>
      </w:r>
      <w:proofErr w:type="spellEnd"/>
      <w:r w:rsidR="005B6B9A" w:rsidRPr="00C54870">
        <w:rPr>
          <w:rFonts w:cs="Times New Roman"/>
        </w:rPr>
        <w:t>), veselības aprūpes</w:t>
      </w:r>
      <w:r w:rsidR="005B6B9A" w:rsidRPr="00CE14D5">
        <w:rPr>
          <w:rFonts w:cs="Times New Roman"/>
        </w:rPr>
        <w:t xml:space="preserve"> darba plūsmu elektronizēšana (e-</w:t>
      </w:r>
      <w:proofErr w:type="spellStart"/>
      <w:r w:rsidR="005B6B9A" w:rsidRPr="00CE14D5">
        <w:rPr>
          <w:rFonts w:cs="Times New Roman"/>
        </w:rPr>
        <w:t>referrals</w:t>
      </w:r>
      <w:proofErr w:type="spellEnd"/>
      <w:r w:rsidR="005B6B9A" w:rsidRPr="00CE14D5">
        <w:rPr>
          <w:rFonts w:cs="Times New Roman"/>
        </w:rPr>
        <w:t>) - 1.posms, sabiedrības veselības portāla izveide, informācijas drošības un personas datu aizsardzības nodrošināšana</w:t>
      </w:r>
      <w:r w:rsidR="005B6B9A" w:rsidRPr="00CE14D5">
        <w:rPr>
          <w:szCs w:val="24"/>
          <w:lang w:eastAsia="lv-LV"/>
        </w:rPr>
        <w:t>”, “</w:t>
      </w:r>
      <w:r w:rsidR="005B6B9A" w:rsidRPr="00CE14D5">
        <w:rPr>
          <w:rFonts w:cs="Times New Roman"/>
        </w:rPr>
        <w:t>Elektroniskās veselības kartes un integrācijas platformas informācijas sistēmas izveide, 1.posms</w:t>
      </w:r>
      <w:r w:rsidR="005B6B9A" w:rsidRPr="00CE14D5">
        <w:rPr>
          <w:szCs w:val="24"/>
          <w:lang w:eastAsia="lv-LV"/>
        </w:rPr>
        <w:t>” un “</w:t>
      </w:r>
      <w:r w:rsidR="005B6B9A" w:rsidRPr="00CE14D5">
        <w:rPr>
          <w:rFonts w:cs="Times New Roman"/>
        </w:rPr>
        <w:t>E-veselības integrētās informācijas sistēmas attīstība</w:t>
      </w:r>
      <w:r w:rsidR="005B6B9A" w:rsidRPr="00CE14D5">
        <w:rPr>
          <w:szCs w:val="24"/>
          <w:lang w:eastAsia="lv-LV"/>
        </w:rPr>
        <w:t>”</w:t>
      </w:r>
      <w:r w:rsidR="005B6B9A">
        <w:rPr>
          <w:szCs w:val="24"/>
          <w:lang w:eastAsia="lv-LV"/>
        </w:rPr>
        <w:t xml:space="preserve">, kur </w:t>
      </w:r>
      <w:r>
        <w:rPr>
          <w:szCs w:val="24"/>
          <w:lang w:eastAsia="lv-LV"/>
        </w:rPr>
        <w:t>f</w:t>
      </w:r>
      <w:r w:rsidR="005B6B9A">
        <w:rPr>
          <w:szCs w:val="24"/>
          <w:lang w:eastAsia="lv-LV"/>
        </w:rPr>
        <w:t xml:space="preserve">inansējuma saņēmējs </w:t>
      </w:r>
      <w:r w:rsidR="008F1FB7">
        <w:rPr>
          <w:szCs w:val="24"/>
          <w:lang w:eastAsia="lv-LV"/>
        </w:rPr>
        <w:t xml:space="preserve">līdz 2016.gadam </w:t>
      </w:r>
      <w:r w:rsidR="005B6B9A">
        <w:rPr>
          <w:szCs w:val="24"/>
          <w:lang w:eastAsia="lv-LV"/>
        </w:rPr>
        <w:t>nav spējis izstrādātās sistēmas ieviest funkcionalitātes vidē</w:t>
      </w:r>
      <w:r>
        <w:rPr>
          <w:szCs w:val="24"/>
          <w:lang w:eastAsia="lv-LV"/>
        </w:rPr>
        <w:t xml:space="preserve">. </w:t>
      </w:r>
      <w:r w:rsidR="005B6B9A">
        <w:rPr>
          <w:szCs w:val="24"/>
          <w:lang w:eastAsia="lv-LV"/>
        </w:rPr>
        <w:t xml:space="preserve">Sistēmas pamatā izstrādātas testa vidē un tiek meklēts risinājums, lai VARAM varētu pārliecināties par sistēmu </w:t>
      </w:r>
      <w:proofErr w:type="spellStart"/>
      <w:r w:rsidR="005B6B9A">
        <w:rPr>
          <w:szCs w:val="24"/>
          <w:lang w:eastAsia="lv-LV"/>
        </w:rPr>
        <w:t>darbotiespēju</w:t>
      </w:r>
      <w:proofErr w:type="spellEnd"/>
      <w:r w:rsidR="00C57681">
        <w:rPr>
          <w:szCs w:val="24"/>
          <w:lang w:eastAsia="lv-LV"/>
        </w:rPr>
        <w:t xml:space="preserve"> un </w:t>
      </w:r>
      <w:r w:rsidR="005B6B9A">
        <w:rPr>
          <w:szCs w:val="24"/>
          <w:lang w:eastAsia="lv-LV"/>
        </w:rPr>
        <w:t xml:space="preserve">CFLA </w:t>
      </w:r>
      <w:r w:rsidR="00C57681">
        <w:rPr>
          <w:szCs w:val="24"/>
          <w:lang w:eastAsia="lv-LV"/>
        </w:rPr>
        <w:t xml:space="preserve">attiecīgi </w:t>
      </w:r>
      <w:r w:rsidR="005B6B9A">
        <w:rPr>
          <w:szCs w:val="24"/>
          <w:lang w:eastAsia="lv-LV"/>
        </w:rPr>
        <w:t>varētu līdz 2016.gada 31.martam veikt noslēguma maksājumus finansējuma saņēmējam</w:t>
      </w:r>
      <w:r w:rsidR="00C57681">
        <w:rPr>
          <w:szCs w:val="24"/>
          <w:lang w:eastAsia="lv-LV"/>
        </w:rPr>
        <w:t xml:space="preserve">, </w:t>
      </w:r>
      <w:r w:rsidR="005B6B9A">
        <w:rPr>
          <w:szCs w:val="24"/>
          <w:lang w:eastAsia="lv-LV"/>
        </w:rPr>
        <w:t xml:space="preserve"> vienlaikus turpinot </w:t>
      </w:r>
      <w:r w:rsidR="00C57681">
        <w:rPr>
          <w:szCs w:val="24"/>
          <w:lang w:eastAsia="lv-LV"/>
        </w:rPr>
        <w:t>darbu pie</w:t>
      </w:r>
      <w:r w:rsidR="005B6B9A">
        <w:rPr>
          <w:szCs w:val="24"/>
          <w:lang w:eastAsia="lv-LV"/>
        </w:rPr>
        <w:t xml:space="preserve"> funkcionalitāte</w:t>
      </w:r>
      <w:r w:rsidR="00C57681">
        <w:rPr>
          <w:szCs w:val="24"/>
          <w:lang w:eastAsia="lv-LV"/>
        </w:rPr>
        <w:t>s nodrošināšanas</w:t>
      </w:r>
      <w:r w:rsidR="005B6B9A">
        <w:rPr>
          <w:szCs w:val="24"/>
          <w:lang w:eastAsia="lv-LV"/>
        </w:rPr>
        <w:t xml:space="preserve"> produkcijas vidē.</w:t>
      </w:r>
      <w:r w:rsidR="00C57681">
        <w:rPr>
          <w:szCs w:val="24"/>
          <w:lang w:eastAsia="lv-LV"/>
        </w:rPr>
        <w:t xml:space="preserve"> </w:t>
      </w:r>
    </w:p>
    <w:p w14:paraId="40966811" w14:textId="7C467A91" w:rsidR="003A55A9" w:rsidRPr="002A3E62" w:rsidRDefault="003A55A9" w:rsidP="003A55A9">
      <w:pPr>
        <w:pStyle w:val="Default"/>
        <w:spacing w:after="240" w:line="276" w:lineRule="auto"/>
        <w:rPr>
          <w:color w:val="000000" w:themeColor="text1"/>
        </w:rPr>
      </w:pPr>
      <w:r w:rsidRPr="002A3E62">
        <w:rPr>
          <w:b/>
          <w:i/>
          <w:color w:val="000000" w:themeColor="text1"/>
        </w:rPr>
        <w:t>Latvija starp citām valstīm:</w:t>
      </w:r>
    </w:p>
    <w:p w14:paraId="65233DAC" w14:textId="77777777" w:rsidR="003A55A9" w:rsidRPr="002A3E62" w:rsidRDefault="003A55A9" w:rsidP="003A55A9">
      <w:pPr>
        <w:spacing w:before="120" w:after="120" w:line="276" w:lineRule="auto"/>
        <w:jc w:val="both"/>
        <w:rPr>
          <w:color w:val="000000" w:themeColor="text1"/>
          <w:szCs w:val="24"/>
        </w:rPr>
      </w:pPr>
      <w:r w:rsidRPr="002A3E62">
        <w:rPr>
          <w:color w:val="000000" w:themeColor="text1"/>
          <w:szCs w:val="24"/>
        </w:rPr>
        <w:t xml:space="preserve">Salīdzinot ES fondu finanšu rādītājus starp jaunajām ES dalībvalstīm, ņemot vērā aktuālākos EK datus par EK veiktajiem kopējiem maksājumiem līdz 2015.gada 16.decembrim, Latvija ir viena no četrām jaunajām dalībvalstīm, </w:t>
      </w:r>
      <w:r>
        <w:rPr>
          <w:color w:val="000000" w:themeColor="text1"/>
          <w:szCs w:val="24"/>
        </w:rPr>
        <w:t>kas saņē</w:t>
      </w:r>
      <w:r w:rsidRPr="002A3E62">
        <w:rPr>
          <w:color w:val="000000" w:themeColor="text1"/>
          <w:szCs w:val="24"/>
        </w:rPr>
        <w:t xml:space="preserve">mušas maksimāli iespējamos starpposma maksājumus 95,0% apmērā. Detalizētu informāciju skatīt </w:t>
      </w:r>
      <w:hyperlink r:id="rId24" w:history="1">
        <w:r w:rsidRPr="002A3E62">
          <w:rPr>
            <w:rStyle w:val="Hyperlink"/>
            <w:rFonts w:cs="Times New Roman"/>
            <w:color w:val="000000" w:themeColor="text1"/>
            <w:szCs w:val="24"/>
          </w:rPr>
          <w:t>ES fondu tīmekļa vietnē</w:t>
        </w:r>
      </w:hyperlink>
      <w:r w:rsidRPr="002A3E62">
        <w:rPr>
          <w:rStyle w:val="FootnoteReference"/>
          <w:color w:val="000000" w:themeColor="text1"/>
          <w:szCs w:val="24"/>
        </w:rPr>
        <w:footnoteReference w:id="25"/>
      </w:r>
      <w:r w:rsidRPr="002A3E62">
        <w:rPr>
          <w:color w:val="000000" w:themeColor="text1"/>
          <w:szCs w:val="24"/>
        </w:rPr>
        <w:t>.</w:t>
      </w:r>
    </w:p>
    <w:p w14:paraId="1401E619" w14:textId="024FA69F" w:rsidR="003A55A9" w:rsidRPr="00AD3DB8" w:rsidRDefault="003A55A9" w:rsidP="003A55A9">
      <w:pPr>
        <w:spacing w:before="120" w:after="120" w:line="276" w:lineRule="auto"/>
        <w:jc w:val="both"/>
        <w:rPr>
          <w:color w:val="000000" w:themeColor="text1"/>
          <w:szCs w:val="24"/>
        </w:rPr>
      </w:pPr>
      <w:r w:rsidRPr="00AD3DB8">
        <w:rPr>
          <w:color w:val="000000" w:themeColor="text1"/>
          <w:szCs w:val="24"/>
        </w:rPr>
        <w:t>Salīdzinot Baltijas valstis, ES fondu investīcijas tajās tiek veiktas līdzīgi. Latvija šobrīd ir noslēgusi līgum</w:t>
      </w:r>
      <w:r>
        <w:rPr>
          <w:color w:val="000000" w:themeColor="text1"/>
          <w:szCs w:val="24"/>
        </w:rPr>
        <w:t>us par projektu īstenošanu 104,0</w:t>
      </w:r>
      <w:r w:rsidRPr="00AD3DB8">
        <w:rPr>
          <w:color w:val="000000" w:themeColor="text1"/>
          <w:szCs w:val="24"/>
        </w:rPr>
        <w:t xml:space="preserve">% apmērā no pieejamā ES fondu </w:t>
      </w:r>
      <w:r w:rsidRPr="00AD3DB8">
        <w:rPr>
          <w:color w:val="000000" w:themeColor="text1"/>
          <w:szCs w:val="24"/>
        </w:rPr>
        <w:lastRenderedPageBreak/>
        <w:t>finansējuma, apsteidzot pārējās Baltijas valstis, taču nedaudz atpaliek no tām veikto maksājumu apjomā. Detalizētu informāciju skatīt grafikā</w:t>
      </w:r>
      <w:r w:rsidR="00C731D5">
        <w:rPr>
          <w:color w:val="000000" w:themeColor="text1"/>
          <w:szCs w:val="24"/>
        </w:rPr>
        <w:t xml:space="preserve"> Nr.6</w:t>
      </w:r>
      <w:r w:rsidRPr="00AD3DB8">
        <w:rPr>
          <w:color w:val="000000" w:themeColor="text1"/>
          <w:szCs w:val="24"/>
        </w:rPr>
        <w:t xml:space="preserve"> un </w:t>
      </w:r>
      <w:hyperlink r:id="rId25" w:history="1">
        <w:r w:rsidRPr="00AD3DB8">
          <w:rPr>
            <w:rStyle w:val="Hyperlink"/>
            <w:rFonts w:cs="Times New Roman"/>
            <w:color w:val="000000" w:themeColor="text1"/>
            <w:szCs w:val="24"/>
          </w:rPr>
          <w:t>ES fondu tīmekļa vietnē</w:t>
        </w:r>
      </w:hyperlink>
      <w:r w:rsidRPr="00AD3DB8">
        <w:rPr>
          <w:rStyle w:val="FootnoteReference"/>
          <w:color w:val="000000" w:themeColor="text1"/>
          <w:szCs w:val="24"/>
        </w:rPr>
        <w:footnoteReference w:id="26"/>
      </w:r>
      <w:r w:rsidRPr="00AD3DB8">
        <w:rPr>
          <w:color w:val="000000" w:themeColor="text1"/>
          <w:szCs w:val="24"/>
        </w:rPr>
        <w:t>.</w:t>
      </w:r>
    </w:p>
    <w:p w14:paraId="27E5152A" w14:textId="3DD1C1AF" w:rsidR="003A55A9" w:rsidRDefault="002A71B1" w:rsidP="00DD2617">
      <w:pPr>
        <w:jc w:val="both"/>
        <w:rPr>
          <w:i/>
          <w:color w:val="000000" w:themeColor="text1"/>
        </w:rPr>
      </w:pPr>
      <w:r>
        <w:t>Grafiks Nr.</w:t>
      </w:r>
      <w:r w:rsidR="00942E5A">
        <w:t>6</w:t>
      </w:r>
      <w:r w:rsidR="003A55A9" w:rsidRPr="00AD3DB8">
        <w:t xml:space="preserve"> </w:t>
      </w:r>
      <w:r w:rsidR="003A55A9" w:rsidRPr="00AD3DB8">
        <w:rPr>
          <w:i/>
        </w:rPr>
        <w:t xml:space="preserve">„Baltijas </w:t>
      </w:r>
      <w:r w:rsidR="003A55A9" w:rsidRPr="00AD3DB8">
        <w:rPr>
          <w:i/>
          <w:color w:val="000000" w:themeColor="text1"/>
        </w:rPr>
        <w:t>valstu ES fondu investīciju salīdzinājums dalījuma pa fond</w:t>
      </w:r>
      <w:r w:rsidR="003A55A9">
        <w:rPr>
          <w:i/>
          <w:color w:val="000000" w:themeColor="text1"/>
        </w:rPr>
        <w:t>iem līdz 2015.gada 31.decembrim</w:t>
      </w:r>
      <w:r w:rsidR="003A55A9" w:rsidRPr="00AD3DB8">
        <w:rPr>
          <w:i/>
          <w:color w:val="000000" w:themeColor="text1"/>
        </w:rPr>
        <w:t xml:space="preserve"> (noslēgtie līgumi; % no ES fondu finansējuma), </w:t>
      </w:r>
      <w:r w:rsidR="003A55A9" w:rsidRPr="00AD3DB8">
        <w:rPr>
          <w:i/>
          <w:iCs/>
          <w:color w:val="000000" w:themeColor="text1"/>
        </w:rPr>
        <w:t>progress pret datiem</w:t>
      </w:r>
      <w:r w:rsidR="003A55A9">
        <w:rPr>
          <w:i/>
          <w:color w:val="000000" w:themeColor="text1"/>
        </w:rPr>
        <w:t xml:space="preserve"> līdz 2015</w:t>
      </w:r>
      <w:r w:rsidR="003A55A9" w:rsidRPr="00AD3DB8">
        <w:rPr>
          <w:i/>
          <w:color w:val="000000" w:themeColor="text1"/>
        </w:rPr>
        <w:t xml:space="preserve">.gada </w:t>
      </w:r>
      <w:r w:rsidR="003A55A9">
        <w:rPr>
          <w:rFonts w:eastAsia="EUAlbertina-Bold-Identity-H"/>
          <w:i/>
          <w:color w:val="000000" w:themeColor="text1"/>
        </w:rPr>
        <w:t>30.jūnijam</w:t>
      </w:r>
      <w:r w:rsidR="003A55A9" w:rsidRPr="00AD3DB8">
        <w:rPr>
          <w:i/>
          <w:color w:val="000000" w:themeColor="text1"/>
        </w:rPr>
        <w:t>, %.”</w:t>
      </w:r>
    </w:p>
    <w:p w14:paraId="20607033" w14:textId="77777777" w:rsidR="006E65A3" w:rsidRDefault="006E65A3" w:rsidP="00DD2617">
      <w:pPr>
        <w:jc w:val="both"/>
        <w:rPr>
          <w:i/>
          <w:color w:val="000000" w:themeColor="text1"/>
        </w:rPr>
      </w:pPr>
    </w:p>
    <w:p w14:paraId="1A69BC0F" w14:textId="4CA7A271" w:rsidR="003A55A9" w:rsidRPr="009A4C2D" w:rsidRDefault="006E65A3" w:rsidP="009A4C2D">
      <w:pPr>
        <w:jc w:val="both"/>
        <w:rPr>
          <w:rFonts w:eastAsia="Calibri" w:cs="Times New Roman"/>
          <w:szCs w:val="24"/>
          <w:lang w:eastAsia="lv-LV"/>
        </w:rPr>
      </w:pPr>
      <w:r>
        <w:rPr>
          <w:rFonts w:eastAsia="Calibri" w:cs="Times New Roman"/>
          <w:noProof/>
          <w:szCs w:val="24"/>
          <w:lang w:eastAsia="lv-LV"/>
        </w:rPr>
        <w:drawing>
          <wp:inline distT="0" distB="0" distL="0" distR="0" wp14:anchorId="2B1B08B1" wp14:editId="349E5AEC">
            <wp:extent cx="5648325" cy="31813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48325" cy="3181350"/>
                    </a:xfrm>
                    <a:prstGeom prst="rect">
                      <a:avLst/>
                    </a:prstGeom>
                    <a:noFill/>
                    <a:ln>
                      <a:noFill/>
                    </a:ln>
                  </pic:spPr>
                </pic:pic>
              </a:graphicData>
            </a:graphic>
          </wp:inline>
        </w:drawing>
      </w:r>
    </w:p>
    <w:p w14:paraId="4E5BC3C8" w14:textId="2FF3B625" w:rsidR="009C0862" w:rsidRPr="00033009" w:rsidRDefault="003A55A9" w:rsidP="00D53808">
      <w:pPr>
        <w:spacing w:before="120" w:after="120"/>
        <w:rPr>
          <w:b/>
          <w:i/>
        </w:rPr>
      </w:pPr>
      <w:r w:rsidRPr="00033009">
        <w:rPr>
          <w:b/>
          <w:i/>
        </w:rPr>
        <w:t xml:space="preserve">Risku pārvaldības rīcības plāna uzdevumi </w:t>
      </w:r>
      <w:r w:rsidR="009C0862" w:rsidRPr="00033009">
        <w:rPr>
          <w:b/>
          <w:i/>
        </w:rPr>
        <w:t xml:space="preserve"> </w:t>
      </w:r>
    </w:p>
    <w:p w14:paraId="1682A641" w14:textId="52DE205B" w:rsidR="009C0862" w:rsidRDefault="00E631D3" w:rsidP="008468BE">
      <w:pPr>
        <w:spacing w:before="120" w:after="120" w:line="276" w:lineRule="auto"/>
        <w:jc w:val="both"/>
        <w:rPr>
          <w:rFonts w:cs="Times New Roman"/>
        </w:rPr>
      </w:pPr>
      <w:r>
        <w:t>Pārskata</w:t>
      </w:r>
      <w:r w:rsidRPr="007F5AD6">
        <w:t xml:space="preserve"> periodā no 2015.gada 1.jūlija līdz 2015.gada 31.decembrim turpinājusies </w:t>
      </w:r>
      <w:r w:rsidRPr="00D4152F">
        <w:rPr>
          <w:bCs/>
        </w:rPr>
        <w:t xml:space="preserve">iepriekšējos AI pusgada ziņojumos iekļauto </w:t>
      </w:r>
      <w:proofErr w:type="spellStart"/>
      <w:r w:rsidRPr="00D4152F">
        <w:rPr>
          <w:bCs/>
        </w:rPr>
        <w:t>problēmgadījumu</w:t>
      </w:r>
      <w:proofErr w:type="spellEnd"/>
      <w:r>
        <w:rPr>
          <w:b/>
          <w:bCs/>
        </w:rPr>
        <w:t xml:space="preserve"> </w:t>
      </w:r>
      <w:r w:rsidRPr="007F5AD6">
        <w:t>risināšana</w:t>
      </w:r>
      <w:r>
        <w:t>, kā arī atsevišķas problēmas tika atrisinātas.</w:t>
      </w:r>
      <w:r w:rsidRPr="007F5AD6">
        <w:t xml:space="preserve">  </w:t>
      </w:r>
      <w:r w:rsidR="00AE06B2">
        <w:t>A</w:t>
      </w:r>
      <w:r w:rsidRPr="007F5AD6">
        <w:t>ktualizēts rīcības plāns pieejams ES fondu tīmekļa vietnē</w:t>
      </w:r>
      <w:r w:rsidRPr="007F5AD6">
        <w:rPr>
          <w:rStyle w:val="FootnoteReference"/>
        </w:rPr>
        <w:footnoteReference w:id="27"/>
      </w:r>
      <w:r w:rsidRPr="007F5AD6">
        <w:rPr>
          <w:rFonts w:cs="Times New Roman"/>
        </w:rPr>
        <w:t>.</w:t>
      </w:r>
    </w:p>
    <w:p w14:paraId="2D30D232" w14:textId="77777777" w:rsidR="009C0862" w:rsidRPr="00E4451D" w:rsidRDefault="009C0862" w:rsidP="00ED7675">
      <w:pPr>
        <w:pStyle w:val="2lmenis"/>
      </w:pPr>
      <w:bookmarkStart w:id="13" w:name="_Toc443658855"/>
      <w:r w:rsidRPr="00E4451D">
        <w:t>2007. -2013.gada plānošanas perioda slēgšana</w:t>
      </w:r>
      <w:bookmarkEnd w:id="13"/>
    </w:p>
    <w:p w14:paraId="381B9174" w14:textId="58EA2B72" w:rsidR="00D03D13" w:rsidRPr="00D03D13" w:rsidRDefault="00DC6B61" w:rsidP="00D03D13">
      <w:pPr>
        <w:spacing w:before="120" w:after="120" w:line="276" w:lineRule="auto"/>
        <w:jc w:val="both"/>
        <w:rPr>
          <w:bCs/>
        </w:rPr>
      </w:pPr>
      <w:r w:rsidRPr="00FC0728">
        <w:rPr>
          <w:bCs/>
        </w:rPr>
        <w:t xml:space="preserve">2015.gada 31.decembrī ir beidzies 2007.-2013.gada plānošanas perioda izdevumu </w:t>
      </w:r>
      <w:proofErr w:type="spellStart"/>
      <w:r w:rsidRPr="00FC0728">
        <w:rPr>
          <w:bCs/>
        </w:rPr>
        <w:t>attiecināmības</w:t>
      </w:r>
      <w:proofErr w:type="spellEnd"/>
      <w:r w:rsidRPr="00FC0728">
        <w:rPr>
          <w:bCs/>
        </w:rPr>
        <w:t xml:space="preserve"> periods, savukārt izmaksu </w:t>
      </w:r>
      <w:proofErr w:type="spellStart"/>
      <w:r w:rsidRPr="00FC0728">
        <w:rPr>
          <w:bCs/>
        </w:rPr>
        <w:t>attiecināmības</w:t>
      </w:r>
      <w:proofErr w:type="spellEnd"/>
      <w:r w:rsidRPr="00FC0728">
        <w:rPr>
          <w:bCs/>
        </w:rPr>
        <w:t xml:space="preserve"> periods ir pagarināts finanšu instrumentos (saskaņā ar </w:t>
      </w:r>
      <w:r w:rsidR="00C731D5">
        <w:rPr>
          <w:bCs/>
        </w:rPr>
        <w:t>EK</w:t>
      </w:r>
      <w:r w:rsidRPr="00FC0728">
        <w:rPr>
          <w:bCs/>
        </w:rPr>
        <w:t xml:space="preserve"> lēmumu līdz 2017.gada martam jāveic maksājumi gala saņēmējiem un jāveic visas nepieciešamās darbības, lai nodrošinātu finanšu instrumentu slēgšanu; </w:t>
      </w:r>
      <w:proofErr w:type="spellStart"/>
      <w:r w:rsidRPr="00FC0728">
        <w:rPr>
          <w:bCs/>
        </w:rPr>
        <w:t>apakšaktivitātē</w:t>
      </w:r>
      <w:proofErr w:type="spellEnd"/>
      <w:r w:rsidRPr="00FC0728">
        <w:rPr>
          <w:bCs/>
        </w:rPr>
        <w:t xml:space="preserve"> “Atbalsts aizdevumu veidā komersantu konkurētspējas uzlabošanai” izmaksu </w:t>
      </w:r>
      <w:proofErr w:type="spellStart"/>
      <w:r w:rsidRPr="00FC0728">
        <w:rPr>
          <w:bCs/>
        </w:rPr>
        <w:t>attiecināmības</w:t>
      </w:r>
      <w:proofErr w:type="spellEnd"/>
      <w:r w:rsidRPr="00FC0728">
        <w:rPr>
          <w:bCs/>
        </w:rPr>
        <w:t xml:space="preserve"> termiņš ir 2016.gada 30.jūnijs, </w:t>
      </w:r>
      <w:proofErr w:type="spellStart"/>
      <w:r w:rsidRPr="00FC0728">
        <w:rPr>
          <w:bCs/>
        </w:rPr>
        <w:t>apakšaktivitātē</w:t>
      </w:r>
      <w:proofErr w:type="spellEnd"/>
      <w:r w:rsidRPr="00FC0728">
        <w:rPr>
          <w:bCs/>
        </w:rPr>
        <w:t xml:space="preserve"> “</w:t>
      </w:r>
      <w:proofErr w:type="spellStart"/>
      <w:r w:rsidRPr="00FC0728">
        <w:rPr>
          <w:bCs/>
        </w:rPr>
        <w:t>Mezanīna</w:t>
      </w:r>
      <w:proofErr w:type="spellEnd"/>
      <w:r w:rsidRPr="00FC0728">
        <w:rPr>
          <w:bCs/>
        </w:rPr>
        <w:t xml:space="preserve"> aizdevumi un nodrošinājuma garantijas saimnieciskās darbības veicēju konkurētspējas uzlabošanai” - 2016.gada 30.jūnijs, </w:t>
      </w:r>
      <w:proofErr w:type="spellStart"/>
      <w:r w:rsidRPr="00FC0728">
        <w:rPr>
          <w:bCs/>
        </w:rPr>
        <w:t>apakšaktivitātē</w:t>
      </w:r>
      <w:proofErr w:type="spellEnd"/>
      <w:r w:rsidRPr="00FC0728">
        <w:rPr>
          <w:bCs/>
        </w:rPr>
        <w:t xml:space="preserve"> “Ieguldījumu fonds investīcijām garantijās, paaugstināta riska aizdevumos, riska kapitāla fondos un cita veida finanšu instrumentos” – 2016.gada 31.oktobris)</w:t>
      </w:r>
      <w:r>
        <w:rPr>
          <w:bCs/>
        </w:rPr>
        <w:t xml:space="preserve">. </w:t>
      </w:r>
      <w:r w:rsidR="00D03D13" w:rsidRPr="00D03D13">
        <w:rPr>
          <w:bCs/>
        </w:rPr>
        <w:t>Lai nodrošinātu sekmīgu perioda slēgšanas procesu, pārskata periodā informācijas apmaiņa starp perioda slēgšanas procesā iesaistītajām institūcijām notika raks</w:t>
      </w:r>
      <w:r w:rsidR="00212E67">
        <w:rPr>
          <w:bCs/>
        </w:rPr>
        <w:t>tiskajā procedūrā. 2015.gada II ceturksnī</w:t>
      </w:r>
      <w:r w:rsidR="00D03D13" w:rsidRPr="00D03D13">
        <w:rPr>
          <w:bCs/>
        </w:rPr>
        <w:t xml:space="preserve"> VI sniedza vairākus </w:t>
      </w:r>
      <w:r w:rsidR="00D03D13" w:rsidRPr="00D03D13">
        <w:rPr>
          <w:bCs/>
        </w:rPr>
        <w:lastRenderedPageBreak/>
        <w:t xml:space="preserve">skaidrojumus par perioda slēgšanas jautājumiem, piemēram, par </w:t>
      </w:r>
      <w:r w:rsidR="00C21007">
        <w:rPr>
          <w:bCs/>
        </w:rPr>
        <w:t>R</w:t>
      </w:r>
      <w:r w:rsidR="00D03D13" w:rsidRPr="00D03D13">
        <w:rPr>
          <w:bCs/>
        </w:rPr>
        <w:t xml:space="preserve">egulas Nr. 1083/2006 57.panta 1.punkta interpretāciju par </w:t>
      </w:r>
      <w:proofErr w:type="spellStart"/>
      <w:r w:rsidR="00D03D13" w:rsidRPr="00D03D13">
        <w:rPr>
          <w:bCs/>
        </w:rPr>
        <w:t>pēczuraudzības</w:t>
      </w:r>
      <w:proofErr w:type="spellEnd"/>
      <w:r w:rsidR="00D03D13" w:rsidRPr="00D03D13">
        <w:rPr>
          <w:bCs/>
        </w:rPr>
        <w:t xml:space="preserve"> perioda sākumu, par mazu projektu pabeigšanas iespēju par finansējuma saņēmēja līdzekļiem pēc 2015.gada 31.decembra, kas ti</w:t>
      </w:r>
      <w:r w:rsidR="00D03D13">
        <w:rPr>
          <w:bCs/>
        </w:rPr>
        <w:t>ka ievietoti ES fon</w:t>
      </w:r>
      <w:r w:rsidR="00212E67">
        <w:rPr>
          <w:bCs/>
        </w:rPr>
        <w:t>d</w:t>
      </w:r>
      <w:r w:rsidR="00D03D13">
        <w:rPr>
          <w:bCs/>
        </w:rPr>
        <w:t xml:space="preserve">u </w:t>
      </w:r>
      <w:r w:rsidR="00C21007">
        <w:rPr>
          <w:bCs/>
        </w:rPr>
        <w:t>tīmekļa vietnē</w:t>
      </w:r>
      <w:r w:rsidR="00D03D13">
        <w:rPr>
          <w:bCs/>
        </w:rPr>
        <w:t xml:space="preserve">: </w:t>
      </w:r>
      <w:hyperlink r:id="rId27" w:history="1">
        <w:r w:rsidR="00D03D13" w:rsidRPr="00AA6C28">
          <w:rPr>
            <w:rStyle w:val="Hyperlink"/>
            <w:bCs/>
          </w:rPr>
          <w:t>http://www.esfondi.lv/es-fondu-slegsana</w:t>
        </w:r>
      </w:hyperlink>
      <w:r w:rsidR="00D03D13" w:rsidRPr="00D03D13">
        <w:rPr>
          <w:bCs/>
        </w:rPr>
        <w:t>.</w:t>
      </w:r>
      <w:r w:rsidR="00AF5960">
        <w:rPr>
          <w:bCs/>
        </w:rPr>
        <w:t xml:space="preserve"> </w:t>
      </w:r>
      <w:r w:rsidR="00D03D13" w:rsidRPr="00D03D13">
        <w:rPr>
          <w:bCs/>
        </w:rPr>
        <w:t xml:space="preserve">Nākamā slēgšanas darba grupas rakstiskā procedūra ir plānota 2016.gada </w:t>
      </w:r>
      <w:r w:rsidR="008F60A3">
        <w:rPr>
          <w:bCs/>
        </w:rPr>
        <w:t>sākumā un VI vadībā tiks nodrošināts sekmīgs programmu slēgšanas process un ar to saistīto jautājumu operatīva  risināšana</w:t>
      </w:r>
      <w:r w:rsidR="00D03D13" w:rsidRPr="00D03D13">
        <w:rPr>
          <w:bCs/>
        </w:rPr>
        <w:t xml:space="preserve">.     </w:t>
      </w:r>
    </w:p>
    <w:p w14:paraId="0974A4F1" w14:textId="6AEAC5E1" w:rsidR="00946E82" w:rsidRPr="00907F13" w:rsidRDefault="00CE3C3C" w:rsidP="00946E82">
      <w:pPr>
        <w:spacing w:before="120" w:after="120" w:line="276" w:lineRule="auto"/>
        <w:jc w:val="both"/>
        <w:rPr>
          <w:bCs/>
          <w:highlight w:val="yellow"/>
        </w:rPr>
      </w:pPr>
      <w:r>
        <w:rPr>
          <w:bCs/>
        </w:rPr>
        <w:t xml:space="preserve">2015.gada II </w:t>
      </w:r>
      <w:r w:rsidR="00946E82">
        <w:rPr>
          <w:bCs/>
        </w:rPr>
        <w:t>ceturksnī RI ir pabeigusi perioda slēgšanas auditu slēgšanas procesā iesaistītajās iestādēs. Ņemot vērā RI konstatējumus, LIAA un SM</w:t>
      </w:r>
      <w:r w:rsidR="00335B7A">
        <w:rPr>
          <w:bCs/>
        </w:rPr>
        <w:t xml:space="preserve"> īpaši jāstiprina kapacitāte un jāuzstāda kā prioritāte atlikušo maksājumu pieprasījumu izskatīšanai un lēmumu pieņemšanai par izdevumu </w:t>
      </w:r>
      <w:proofErr w:type="spellStart"/>
      <w:r w:rsidR="00335B7A">
        <w:rPr>
          <w:bCs/>
        </w:rPr>
        <w:t>attiecināmību</w:t>
      </w:r>
      <w:proofErr w:type="spellEnd"/>
      <w:r w:rsidR="00335B7A">
        <w:rPr>
          <w:bCs/>
        </w:rPr>
        <w:t xml:space="preserve"> un maksājumiem līdz 2016.</w:t>
      </w:r>
      <w:r w:rsidR="00CD05CB">
        <w:rPr>
          <w:bCs/>
        </w:rPr>
        <w:t>gada 31.martam</w:t>
      </w:r>
      <w:r w:rsidR="00946E82">
        <w:rPr>
          <w:bCs/>
        </w:rPr>
        <w:t xml:space="preserve">, lai nodrošinātu </w:t>
      </w:r>
      <w:r w:rsidR="00335B7A">
        <w:rPr>
          <w:bCs/>
        </w:rPr>
        <w:t xml:space="preserve">sekmīgu </w:t>
      </w:r>
      <w:r w:rsidR="006400FA">
        <w:rPr>
          <w:bCs/>
        </w:rPr>
        <w:t xml:space="preserve">perioda </w:t>
      </w:r>
      <w:r w:rsidR="00946E82">
        <w:rPr>
          <w:bCs/>
        </w:rPr>
        <w:t>slēgšan</w:t>
      </w:r>
      <w:r w:rsidR="00335B7A">
        <w:rPr>
          <w:bCs/>
        </w:rPr>
        <w:t xml:space="preserve">u, t.sk. </w:t>
      </w:r>
      <w:r w:rsidR="00946E82">
        <w:rPr>
          <w:bCs/>
        </w:rPr>
        <w:t xml:space="preserve">dokumentu sagatavošanu </w:t>
      </w:r>
      <w:r w:rsidR="00774A4A">
        <w:rPr>
          <w:bCs/>
        </w:rPr>
        <w:t xml:space="preserve">un iesniegšanu EK </w:t>
      </w:r>
      <w:r w:rsidR="00946E82">
        <w:rPr>
          <w:bCs/>
        </w:rPr>
        <w:t xml:space="preserve">saskaņā </w:t>
      </w:r>
      <w:r w:rsidR="006400FA">
        <w:rPr>
          <w:bCs/>
        </w:rPr>
        <w:t xml:space="preserve">ar </w:t>
      </w:r>
      <w:r w:rsidR="00946E82">
        <w:rPr>
          <w:bCs/>
        </w:rPr>
        <w:t xml:space="preserve">slēgšanas grafiku. </w:t>
      </w:r>
      <w:r w:rsidR="00823D84" w:rsidRPr="00823D84">
        <w:rPr>
          <w:bCs/>
          <w:iCs/>
        </w:rPr>
        <w:t xml:space="preserve">Pamatojoties uz </w:t>
      </w:r>
      <w:r w:rsidR="00D05205">
        <w:rPr>
          <w:bCs/>
          <w:iCs/>
        </w:rPr>
        <w:t>SM</w:t>
      </w:r>
      <w:r w:rsidR="00823D84" w:rsidRPr="00823D84">
        <w:rPr>
          <w:bCs/>
          <w:iCs/>
        </w:rPr>
        <w:t xml:space="preserve"> 2016.gada janvāra sākumā </w:t>
      </w:r>
      <w:r w:rsidR="00D05205">
        <w:rPr>
          <w:bCs/>
          <w:iCs/>
        </w:rPr>
        <w:t>RI</w:t>
      </w:r>
      <w:r w:rsidR="00823D84" w:rsidRPr="00823D84">
        <w:rPr>
          <w:bCs/>
          <w:iCs/>
        </w:rPr>
        <w:t xml:space="preserve"> sniegto viedokli, </w:t>
      </w:r>
      <w:r w:rsidR="00D05205">
        <w:rPr>
          <w:bCs/>
          <w:iCs/>
        </w:rPr>
        <w:t>SM</w:t>
      </w:r>
      <w:r w:rsidR="00823D84" w:rsidRPr="00823D84">
        <w:rPr>
          <w:bCs/>
          <w:iCs/>
        </w:rPr>
        <w:t xml:space="preserve"> kā </w:t>
      </w:r>
      <w:r w:rsidR="00D05205">
        <w:rPr>
          <w:bCs/>
          <w:iCs/>
        </w:rPr>
        <w:t>AI</w:t>
      </w:r>
      <w:r w:rsidR="00823D84" w:rsidRPr="00823D84">
        <w:rPr>
          <w:bCs/>
          <w:iCs/>
        </w:rPr>
        <w:t xml:space="preserve"> nepiekrīt </w:t>
      </w:r>
      <w:r w:rsidR="00D05205">
        <w:rPr>
          <w:bCs/>
          <w:iCs/>
        </w:rPr>
        <w:t>RI</w:t>
      </w:r>
      <w:r w:rsidR="00823D84" w:rsidRPr="00823D84">
        <w:rPr>
          <w:bCs/>
          <w:iCs/>
        </w:rPr>
        <w:t xml:space="preserve"> konstatējumam un uzskata, ka tās kapacitāte ir pietiekama, lai līdz 2016.gada 31.martam apstiprinātu tos attiecināmos izdevumus, par kuriem būs gūta pārliecība un kuru </w:t>
      </w:r>
      <w:proofErr w:type="spellStart"/>
      <w:r w:rsidR="00823D84" w:rsidRPr="00823D84">
        <w:rPr>
          <w:bCs/>
          <w:iCs/>
        </w:rPr>
        <w:t>attiecināmība</w:t>
      </w:r>
      <w:proofErr w:type="spellEnd"/>
      <w:r w:rsidR="00823D84" w:rsidRPr="00823D84">
        <w:rPr>
          <w:bCs/>
          <w:iCs/>
        </w:rPr>
        <w:t xml:space="preserve"> būs atbilstoši pārbaudīta un apliecināta</w:t>
      </w:r>
      <w:r w:rsidR="00D05205">
        <w:rPr>
          <w:bCs/>
          <w:iCs/>
        </w:rPr>
        <w:t>.</w:t>
      </w:r>
    </w:p>
    <w:p w14:paraId="44FCA60D" w14:textId="2D489170" w:rsidR="009C0862" w:rsidRDefault="009D7196" w:rsidP="00D03D13">
      <w:pPr>
        <w:spacing w:before="120" w:after="120" w:line="276" w:lineRule="auto"/>
        <w:jc w:val="both"/>
        <w:rPr>
          <w:bCs/>
        </w:rPr>
      </w:pPr>
      <w:r w:rsidRPr="009D7196">
        <w:rPr>
          <w:bCs/>
        </w:rPr>
        <w:t xml:space="preserve">2015.gada </w:t>
      </w:r>
      <w:r w:rsidR="002B18DC">
        <w:rPr>
          <w:bCs/>
        </w:rPr>
        <w:t>IV</w:t>
      </w:r>
      <w:r w:rsidR="004B6B1D">
        <w:rPr>
          <w:bCs/>
        </w:rPr>
        <w:t xml:space="preserve"> </w:t>
      </w:r>
      <w:r w:rsidRPr="009D7196">
        <w:rPr>
          <w:bCs/>
        </w:rPr>
        <w:t>ceturksnī</w:t>
      </w:r>
      <w:r w:rsidR="00042F51">
        <w:rPr>
          <w:bCs/>
        </w:rPr>
        <w:t xml:space="preserve"> </w:t>
      </w:r>
      <w:r w:rsidR="00D03D13" w:rsidRPr="00D03D13">
        <w:rPr>
          <w:bCs/>
        </w:rPr>
        <w:t xml:space="preserve">VI ir uzsākusi darbu pie noslēguma ziņojuma par darbības programmu īstenošanu EK sagatavošanas, ziņojums </w:t>
      </w:r>
      <w:r w:rsidR="00335B7A">
        <w:rPr>
          <w:bCs/>
        </w:rPr>
        <w:t>saskaņojams UK un pēc RI pozitīva atzinuma kopā ar visiem slēgšanas dokumentiem i</w:t>
      </w:r>
      <w:r w:rsidR="00D03D13" w:rsidRPr="00D03D13">
        <w:rPr>
          <w:bCs/>
        </w:rPr>
        <w:t>esniedz</w:t>
      </w:r>
      <w:r w:rsidR="00D03D13">
        <w:rPr>
          <w:bCs/>
        </w:rPr>
        <w:t>ams EK līdz 2017.gada 31.martam.</w:t>
      </w:r>
    </w:p>
    <w:p w14:paraId="61A907DA" w14:textId="34B3CF9C" w:rsidR="00231E12" w:rsidRDefault="004806E2" w:rsidP="0008354E">
      <w:pPr>
        <w:pStyle w:val="Default"/>
        <w:spacing w:line="276" w:lineRule="auto"/>
      </w:pPr>
      <w:r>
        <w:t>Perioda slēgšanas process notiek atbilstoši slēgšanas grafikā noteiktajam. Perioda slēgšanas procesa ietvaros 2016.gadā plānotās darbības ir noteikt “</w:t>
      </w:r>
      <w:r w:rsidR="002D4FAD">
        <w:t>problemātiskos</w:t>
      </w:r>
      <w:r>
        <w:t xml:space="preserve">” izdevumus, kuri netiks iekļauti noslēguma izdevumu deklarācijā EK, nodrošināt perioda slēgšanas dokumentu, t.i., noslēguma īstenošanas ziņojuma un noslēguma izdevumu deklarācijas sagatavošanu, lai </w:t>
      </w:r>
      <w:r w:rsidR="00C615D0">
        <w:t xml:space="preserve">līdz </w:t>
      </w:r>
      <w:r>
        <w:t>2017.gada 31.martam iesniegtu slēgšanas dokumentus EK.</w:t>
      </w:r>
      <w:r w:rsidR="00D80657">
        <w:t xml:space="preserve"> Šobrīd </w:t>
      </w:r>
      <w:r w:rsidR="00973D6F">
        <w:t xml:space="preserve">VI </w:t>
      </w:r>
      <w:r w:rsidR="00D80657">
        <w:t xml:space="preserve">rīcībā esošā informācija liecina, ka </w:t>
      </w:r>
      <w:r w:rsidR="002A10B3" w:rsidRPr="004C6B13">
        <w:t xml:space="preserve">atsevišķi projekti </w:t>
      </w:r>
      <w:r w:rsidR="002A10B3">
        <w:t xml:space="preserve">pēc programmas slēgšanas </w:t>
      </w:r>
      <w:r w:rsidR="002A10B3" w:rsidRPr="004C6B13">
        <w:t xml:space="preserve">var radīt negatīvu ietekmi uz valsts budžetu, ņemot vērā </w:t>
      </w:r>
      <w:r w:rsidR="002A10B3">
        <w:t xml:space="preserve">“atvērtos” </w:t>
      </w:r>
      <w:r w:rsidR="002A10B3" w:rsidRPr="004C6B13">
        <w:t>tiesvedību procesus, kā arī cit</w:t>
      </w:r>
      <w:r w:rsidR="002A10B3">
        <w:t>a</w:t>
      </w:r>
      <w:r w:rsidR="002A10B3" w:rsidRPr="004C6B13">
        <w:t>s problēm</w:t>
      </w:r>
      <w:r w:rsidR="002A10B3">
        <w:t>a</w:t>
      </w:r>
      <w:r w:rsidR="002A10B3" w:rsidRPr="004C6B13">
        <w:t>s, kas nebūs atrisinā</w:t>
      </w:r>
      <w:r w:rsidR="002A10B3">
        <w:t>tas</w:t>
      </w:r>
      <w:r w:rsidR="002A10B3" w:rsidRPr="004C6B13">
        <w:t xml:space="preserve"> līdz 2016.gada 31.martam</w:t>
      </w:r>
      <w:r w:rsidR="002A10B3">
        <w:t>. Šobrīd zināmi</w:t>
      </w:r>
      <w:r w:rsidR="00620F59">
        <w:t xml:space="preserve"> 22</w:t>
      </w:r>
      <w:r w:rsidR="002A10B3">
        <w:t xml:space="preserve"> gadījumi</w:t>
      </w:r>
      <w:r w:rsidR="00FF7963">
        <w:t xml:space="preserve"> (kopējā publiskā finansējuma summa</w:t>
      </w:r>
      <w:r w:rsidR="00FF7963" w:rsidDel="00620F59">
        <w:t xml:space="preserve"> </w:t>
      </w:r>
      <w:r w:rsidR="00FF7963">
        <w:t xml:space="preserve">85,6 milj. </w:t>
      </w:r>
      <w:r w:rsidR="00FF7963" w:rsidRPr="001C2CF4">
        <w:rPr>
          <w:i/>
        </w:rPr>
        <w:t>euro</w:t>
      </w:r>
      <w:r w:rsidR="00FF7963">
        <w:rPr>
          <w:i/>
        </w:rPr>
        <w:t>)</w:t>
      </w:r>
      <w:r w:rsidR="00620F59">
        <w:t xml:space="preserve">, kuriem var būt </w:t>
      </w:r>
      <w:r w:rsidR="00973D6F">
        <w:t xml:space="preserve">teorētiski negatīva </w:t>
      </w:r>
      <w:r w:rsidR="00620F59">
        <w:t>ietekme uz budžetu</w:t>
      </w:r>
      <w:r w:rsidR="003006AD">
        <w:t>.</w:t>
      </w:r>
      <w:r w:rsidR="009D184A">
        <w:t xml:space="preserve"> </w:t>
      </w:r>
      <w:r w:rsidR="00CC6B6D">
        <w:t>Lielākā daļa</w:t>
      </w:r>
      <w:r w:rsidR="009D184A">
        <w:t xml:space="preserve"> (39 milj. </w:t>
      </w:r>
      <w:r w:rsidR="009D184A" w:rsidRPr="00803258">
        <w:rPr>
          <w:i/>
        </w:rPr>
        <w:t>euro</w:t>
      </w:r>
      <w:r w:rsidR="009D184A">
        <w:rPr>
          <w:i/>
        </w:rPr>
        <w:t>)</w:t>
      </w:r>
      <w:r w:rsidR="00CC6B6D">
        <w:t xml:space="preserve"> </w:t>
      </w:r>
      <w:r w:rsidR="009D184A">
        <w:t xml:space="preserve">no iepriekš minētiem, “atvērtiem”  gadījumiem ir </w:t>
      </w:r>
      <w:r w:rsidR="00CC6B6D">
        <w:t xml:space="preserve">saistīti ar </w:t>
      </w:r>
      <w:r w:rsidR="009D184A">
        <w:t xml:space="preserve">projektu </w:t>
      </w:r>
      <w:r w:rsidR="00CC6B6D">
        <w:t xml:space="preserve">mērķu nenodrošināšanu, 15 milj. </w:t>
      </w:r>
      <w:r w:rsidR="00803258" w:rsidRPr="001C2CF4">
        <w:rPr>
          <w:i/>
        </w:rPr>
        <w:t>euro</w:t>
      </w:r>
      <w:r w:rsidR="00803258">
        <w:t xml:space="preserve"> </w:t>
      </w:r>
      <w:r w:rsidR="009D184A">
        <w:t xml:space="preserve">- </w:t>
      </w:r>
      <w:r w:rsidR="00CC6B6D">
        <w:t xml:space="preserve"> par iepirkuma pārkāpumiem un 12 milj. </w:t>
      </w:r>
      <w:r w:rsidR="00803258" w:rsidRPr="001C2CF4">
        <w:rPr>
          <w:i/>
        </w:rPr>
        <w:t>euro</w:t>
      </w:r>
      <w:r w:rsidR="00CC6B6D">
        <w:t xml:space="preserve"> – </w:t>
      </w:r>
      <w:r w:rsidR="00EC070A">
        <w:t xml:space="preserve">ar </w:t>
      </w:r>
      <w:proofErr w:type="spellStart"/>
      <w:r w:rsidR="00504DF5">
        <w:t>pirmstiesas</w:t>
      </w:r>
      <w:proofErr w:type="spellEnd"/>
      <w:r w:rsidR="00504DF5">
        <w:t xml:space="preserve"> izmeklēšanas un </w:t>
      </w:r>
      <w:r w:rsidR="00CC6B6D">
        <w:t>tiesvedības proces</w:t>
      </w:r>
      <w:r w:rsidR="00EC070A">
        <w:t>iem</w:t>
      </w:r>
      <w:r w:rsidR="009D184A">
        <w:t>, t.sk. aizdomas par krāpšanu</w:t>
      </w:r>
      <w:r w:rsidR="003006AD">
        <w:t>,</w:t>
      </w:r>
      <w:r w:rsidR="003006AD" w:rsidRPr="003006AD">
        <w:t xml:space="preserve"> </w:t>
      </w:r>
      <w:r w:rsidR="003006AD">
        <w:t xml:space="preserve">ja pēc izdevumu </w:t>
      </w:r>
      <w:proofErr w:type="spellStart"/>
      <w:r w:rsidR="003006AD">
        <w:t>attiecināmības</w:t>
      </w:r>
      <w:proofErr w:type="spellEnd"/>
      <w:r w:rsidR="003006AD">
        <w:t xml:space="preserve"> un izmaksas perioda beigām tiek pieņemts lēmums par labu finansējuma saņēmējam un valstij būtu pienākums veikt attiecīgo samaksu.</w:t>
      </w:r>
    </w:p>
    <w:p w14:paraId="6002ACB8" w14:textId="43F8CE01" w:rsidR="00231E12" w:rsidRPr="0008354E" w:rsidRDefault="002D4FAD" w:rsidP="00D03D13">
      <w:pPr>
        <w:spacing w:before="120" w:after="120" w:line="276" w:lineRule="auto"/>
        <w:jc w:val="both"/>
        <w:rPr>
          <w:i/>
          <w:szCs w:val="24"/>
        </w:rPr>
      </w:pPr>
      <w:r>
        <w:rPr>
          <w:szCs w:val="24"/>
        </w:rPr>
        <w:t xml:space="preserve">Perioda slēgšanas ietvaros esošie izaicinājumi: nefunkcionējošie projekti, kuru </w:t>
      </w:r>
      <w:r w:rsidR="00C615D0">
        <w:rPr>
          <w:szCs w:val="24"/>
        </w:rPr>
        <w:t>pabeigšana</w:t>
      </w:r>
      <w:r>
        <w:rPr>
          <w:szCs w:val="24"/>
        </w:rPr>
        <w:t xml:space="preserve"> vai mērķu sasniegšana ir jānodrošina līdz 2019.gada 31.martam; projektu īstenošanas termiņu pagarinājumi līdz 2015.gada 31.dec</w:t>
      </w:r>
      <w:r w:rsidR="00C21007">
        <w:rPr>
          <w:szCs w:val="24"/>
        </w:rPr>
        <w:t>e</w:t>
      </w:r>
      <w:r>
        <w:rPr>
          <w:szCs w:val="24"/>
        </w:rPr>
        <w:t>mbrim un dažu “mazu” projektu pabeigšana par finansējuma saņēmēja līdzekļiem pēc 2015.gada 31.decembra, kas negatīvi var iet</w:t>
      </w:r>
      <w:r w:rsidR="00C615D0">
        <w:rPr>
          <w:szCs w:val="24"/>
        </w:rPr>
        <w:t>e</w:t>
      </w:r>
      <w:r>
        <w:rPr>
          <w:szCs w:val="24"/>
        </w:rPr>
        <w:t>kmēt gan uz</w:t>
      </w:r>
      <w:r w:rsidR="00C615D0">
        <w:rPr>
          <w:szCs w:val="24"/>
        </w:rPr>
        <w:t xml:space="preserve"> slēgšanas procesa grafika ievērošanu, gan uz</w:t>
      </w:r>
      <w:r>
        <w:rPr>
          <w:szCs w:val="24"/>
        </w:rPr>
        <w:t xml:space="preserve"> </w:t>
      </w:r>
      <w:r w:rsidR="00C615D0">
        <w:rPr>
          <w:szCs w:val="24"/>
        </w:rPr>
        <w:t xml:space="preserve">kopējā perioda piešķirtā ES finansējuma izlietojumu, gadījumā ja šādu projektu mērķi netiks sasniegti līdz noteiktajam termiņam. VI </w:t>
      </w:r>
      <w:r w:rsidR="00652ADC">
        <w:rPr>
          <w:szCs w:val="24"/>
        </w:rPr>
        <w:t xml:space="preserve">pievērš pastiprinātu uzmanību šādu izaicinājumu uzraudzībai. </w:t>
      </w:r>
      <w:r w:rsidR="00C615D0">
        <w:rPr>
          <w:szCs w:val="24"/>
        </w:rPr>
        <w:t xml:space="preserve"> </w:t>
      </w:r>
      <w:r w:rsidR="0008354E">
        <w:rPr>
          <w:szCs w:val="24"/>
        </w:rPr>
        <w:t xml:space="preserve">Papildus informāciju par riskiem skatīt 3.2. </w:t>
      </w:r>
      <w:proofErr w:type="spellStart"/>
      <w:r w:rsidR="0008354E">
        <w:rPr>
          <w:szCs w:val="24"/>
        </w:rPr>
        <w:t>apakš</w:t>
      </w:r>
      <w:r w:rsidR="00303595">
        <w:rPr>
          <w:szCs w:val="24"/>
        </w:rPr>
        <w:t>s</w:t>
      </w:r>
      <w:r w:rsidR="0008354E">
        <w:rPr>
          <w:szCs w:val="24"/>
        </w:rPr>
        <w:t>adaļā</w:t>
      </w:r>
      <w:proofErr w:type="spellEnd"/>
      <w:r w:rsidR="0008354E">
        <w:rPr>
          <w:szCs w:val="24"/>
        </w:rPr>
        <w:t xml:space="preserve"> </w:t>
      </w:r>
      <w:r w:rsidR="0008354E" w:rsidRPr="0008354E">
        <w:rPr>
          <w:i/>
          <w:szCs w:val="24"/>
        </w:rPr>
        <w:t>Prognoze ES finansējuma izmantošanai 2007-2013.gadu perioda noslēgumā</w:t>
      </w:r>
      <w:r w:rsidR="0008354E">
        <w:rPr>
          <w:i/>
          <w:szCs w:val="24"/>
        </w:rPr>
        <w:t>.</w:t>
      </w:r>
    </w:p>
    <w:p w14:paraId="2B7B0B0E" w14:textId="4EF780BA" w:rsidR="009C0862" w:rsidRPr="00D53808" w:rsidRDefault="009C0862" w:rsidP="004D147C">
      <w:pPr>
        <w:pStyle w:val="1lmenis"/>
      </w:pPr>
      <w:bookmarkStart w:id="14" w:name="_Toc443658856"/>
      <w:r w:rsidRPr="00D53808">
        <w:lastRenderedPageBreak/>
        <w:t>EEZ/Norvēģijas finanšu instrumentu ieviešana</w:t>
      </w:r>
      <w:r w:rsidRPr="00D53808">
        <w:rPr>
          <w:rStyle w:val="FootnoteReference"/>
        </w:rPr>
        <w:footnoteReference w:id="28"/>
      </w:r>
      <w:bookmarkEnd w:id="14"/>
    </w:p>
    <w:p w14:paraId="2A63D2C2" w14:textId="77777777" w:rsidR="009C0862" w:rsidRPr="00216C61" w:rsidRDefault="009C0862" w:rsidP="009C0862">
      <w:pPr>
        <w:spacing w:before="120" w:after="120" w:line="276" w:lineRule="auto"/>
        <w:jc w:val="both"/>
        <w:rPr>
          <w:rFonts w:eastAsia="Times New Roman" w:cs="Times New Roman"/>
          <w:b/>
          <w:i/>
          <w:color w:val="000000"/>
        </w:rPr>
      </w:pPr>
      <w:r w:rsidRPr="00216C61">
        <w:rPr>
          <w:rFonts w:eastAsia="Times New Roman" w:cs="Times New Roman"/>
          <w:b/>
          <w:i/>
          <w:color w:val="000000"/>
        </w:rPr>
        <w:t>Finanšu progress</w:t>
      </w:r>
    </w:p>
    <w:p w14:paraId="6A14924B" w14:textId="47FD8B2B" w:rsidR="001F7759" w:rsidRPr="001F7759" w:rsidRDefault="001F7759" w:rsidP="001F7759">
      <w:pPr>
        <w:spacing w:before="120" w:after="120" w:line="276" w:lineRule="auto"/>
        <w:jc w:val="both"/>
        <w:rPr>
          <w:rFonts w:eastAsia="Calibri" w:cs="Times New Roman"/>
          <w:color w:val="000000"/>
          <w:szCs w:val="24"/>
          <w:lang w:eastAsia="lv-LV"/>
        </w:rPr>
      </w:pPr>
      <w:r w:rsidRPr="001F7759">
        <w:rPr>
          <w:rFonts w:eastAsia="Calibri" w:cs="Times New Roman"/>
          <w:color w:val="000000"/>
          <w:szCs w:val="24"/>
          <w:lang w:eastAsia="lv-LV"/>
        </w:rPr>
        <w:t xml:space="preserve">Līdz 2017.gada 31.decembrim kopumā ir plānots veikt investīcijas 75,1 milj. </w:t>
      </w:r>
      <w:r w:rsidRPr="001F7759">
        <w:rPr>
          <w:rFonts w:eastAsia="Calibri" w:cs="Times New Roman"/>
          <w:i/>
          <w:color w:val="000000"/>
          <w:szCs w:val="24"/>
          <w:lang w:eastAsia="lv-LV"/>
        </w:rPr>
        <w:t>euro</w:t>
      </w:r>
      <w:r w:rsidRPr="001F7759">
        <w:rPr>
          <w:rFonts w:eastAsia="Calibri" w:cs="Times New Roman"/>
          <w:color w:val="000000"/>
          <w:szCs w:val="24"/>
          <w:lang w:eastAsia="lv-LV"/>
        </w:rPr>
        <w:t xml:space="preserve"> apmērā, ieviešot septiņas EEZ/Norvēģijas finanšu instrumentu programmas. </w:t>
      </w:r>
      <w:r w:rsidRPr="001F7759">
        <w:rPr>
          <w:rFonts w:eastAsia="Calibri" w:cs="Times New Roman"/>
          <w:szCs w:val="24"/>
          <w:lang w:eastAsia="lv-LV"/>
        </w:rPr>
        <w:t xml:space="preserve">Līdz pārskata perioda beigām programmās izmaksāti </w:t>
      </w:r>
      <w:r w:rsidRPr="001F7759">
        <w:rPr>
          <w:rFonts w:eastAsia="Calibri" w:cs="Times New Roman"/>
          <w:color w:val="000000"/>
          <w:szCs w:val="24"/>
          <w:lang w:eastAsia="lv-LV"/>
        </w:rPr>
        <w:t xml:space="preserve">37,6 milj. </w:t>
      </w:r>
      <w:r w:rsidRPr="001F7759">
        <w:rPr>
          <w:rFonts w:eastAsia="Calibri" w:cs="Times New Roman"/>
          <w:i/>
          <w:color w:val="000000"/>
          <w:szCs w:val="24"/>
          <w:lang w:eastAsia="lv-LV"/>
        </w:rPr>
        <w:t>euro</w:t>
      </w:r>
      <w:r w:rsidRPr="001F7759">
        <w:rPr>
          <w:rFonts w:eastAsia="Calibri" w:cs="Times New Roman"/>
          <w:color w:val="000000"/>
          <w:szCs w:val="24"/>
          <w:lang w:eastAsia="lv-LV"/>
        </w:rPr>
        <w:t xml:space="preserve"> jeb 50% no </w:t>
      </w:r>
      <w:r w:rsidRPr="001F7759">
        <w:rPr>
          <w:rFonts w:eastAsia="Calibri" w:cs="Times New Roman"/>
          <w:szCs w:val="24"/>
          <w:lang w:eastAsia="lv-LV"/>
        </w:rPr>
        <w:t>kopējā pieejamā EEZ/Norvēģijas finanšu instrumentu finansējuma</w:t>
      </w:r>
      <w:r w:rsidRPr="001F7759">
        <w:rPr>
          <w:rFonts w:eastAsia="Calibri" w:cs="Times New Roman"/>
          <w:color w:val="000000"/>
          <w:szCs w:val="24"/>
          <w:lang w:eastAsia="lv-LV"/>
        </w:rPr>
        <w:t xml:space="preserve">, progress pusgadā pieaudzis par 13,8 milj. </w:t>
      </w:r>
      <w:r w:rsidRPr="001F7759">
        <w:rPr>
          <w:rFonts w:eastAsia="Calibri" w:cs="Times New Roman"/>
          <w:i/>
          <w:color w:val="000000"/>
          <w:szCs w:val="24"/>
          <w:lang w:eastAsia="lv-LV"/>
        </w:rPr>
        <w:t>euro</w:t>
      </w:r>
      <w:r w:rsidRPr="001F7759">
        <w:rPr>
          <w:rFonts w:eastAsia="Calibri" w:cs="Times New Roman"/>
          <w:color w:val="000000"/>
          <w:szCs w:val="24"/>
          <w:lang w:eastAsia="lv-LV"/>
        </w:rPr>
        <w:t xml:space="preserve"> jeb 18,4%.</w:t>
      </w:r>
    </w:p>
    <w:p w14:paraId="323D449A" w14:textId="4BB648A4" w:rsidR="001F7759" w:rsidRDefault="001F7759" w:rsidP="00C731D5">
      <w:pPr>
        <w:rPr>
          <w:rFonts w:eastAsia="Calibri" w:cs="Times New Roman"/>
          <w:i/>
          <w:szCs w:val="24"/>
          <w:lang w:eastAsia="lv-LV"/>
        </w:rPr>
      </w:pPr>
      <w:r w:rsidRPr="00001327">
        <w:rPr>
          <w:rFonts w:eastAsia="Calibri" w:cs="Times New Roman"/>
          <w:szCs w:val="24"/>
          <w:lang w:eastAsia="lv-LV"/>
        </w:rPr>
        <w:t>Grafiks Nr.</w:t>
      </w:r>
      <w:r w:rsidR="00942E5A">
        <w:rPr>
          <w:rFonts w:eastAsia="Calibri" w:cs="Times New Roman"/>
          <w:szCs w:val="24"/>
          <w:lang w:eastAsia="lv-LV"/>
        </w:rPr>
        <w:t>7</w:t>
      </w:r>
      <w:r w:rsidRPr="00001327">
        <w:rPr>
          <w:rFonts w:eastAsia="Calibri" w:cs="Times New Roman"/>
          <w:i/>
          <w:szCs w:val="24"/>
          <w:lang w:eastAsia="lv-LV"/>
        </w:rPr>
        <w:t xml:space="preserve"> „</w:t>
      </w:r>
      <w:r w:rsidRPr="001F7759">
        <w:rPr>
          <w:rFonts w:eastAsia="Calibri" w:cs="Times New Roman"/>
          <w:i/>
          <w:szCs w:val="24"/>
          <w:lang w:eastAsia="lv-LV"/>
        </w:rPr>
        <w:t>EEZ/Norvēģijas finanšu instrumentu programmās pieejamais un izmaksātais finansējums līdz 2015.gada 31.decembrim, milj. euro”</w:t>
      </w:r>
    </w:p>
    <w:p w14:paraId="22084B78" w14:textId="6A7B298D" w:rsidR="009A4C2D" w:rsidRPr="00C731D5" w:rsidRDefault="009A4C2D" w:rsidP="00C731D5">
      <w:pPr>
        <w:rPr>
          <w:rFonts w:eastAsia="Calibri" w:cs="Times New Roman"/>
          <w:szCs w:val="24"/>
          <w:lang w:eastAsia="lv-LV"/>
        </w:rPr>
      </w:pPr>
      <w:r>
        <w:rPr>
          <w:rFonts w:eastAsia="Calibri" w:cs="Times New Roman"/>
          <w:noProof/>
          <w:szCs w:val="24"/>
          <w:lang w:eastAsia="lv-LV"/>
        </w:rPr>
        <w:drawing>
          <wp:inline distT="0" distB="0" distL="0" distR="0" wp14:anchorId="2716BBF4" wp14:editId="7324EBE8">
            <wp:extent cx="5650230" cy="440817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50230" cy="4408170"/>
                    </a:xfrm>
                    <a:prstGeom prst="rect">
                      <a:avLst/>
                    </a:prstGeom>
                    <a:noFill/>
                    <a:ln>
                      <a:noFill/>
                    </a:ln>
                  </pic:spPr>
                </pic:pic>
              </a:graphicData>
            </a:graphic>
          </wp:inline>
        </w:drawing>
      </w:r>
    </w:p>
    <w:p w14:paraId="737D9D5C" w14:textId="560F98EC" w:rsidR="001F7759" w:rsidRPr="001F7759" w:rsidRDefault="001F7759" w:rsidP="001F7759">
      <w:pPr>
        <w:jc w:val="center"/>
        <w:rPr>
          <w:rFonts w:eastAsia="Times New Roman" w:cs="Times New Roman"/>
          <w:szCs w:val="20"/>
        </w:rPr>
      </w:pPr>
    </w:p>
    <w:p w14:paraId="350AD553" w14:textId="26FF0D68" w:rsidR="001F7759" w:rsidRPr="001F7759" w:rsidRDefault="001F7759" w:rsidP="001F7759">
      <w:pPr>
        <w:spacing w:before="120" w:after="120" w:line="276" w:lineRule="auto"/>
        <w:jc w:val="both"/>
        <w:rPr>
          <w:rFonts w:eastAsia="Calibri" w:cs="Times New Roman"/>
          <w:szCs w:val="24"/>
          <w:lang w:eastAsia="lv-LV"/>
        </w:rPr>
      </w:pPr>
      <w:r w:rsidRPr="001F7759">
        <w:rPr>
          <w:rFonts w:eastAsia="Calibri" w:cs="Times New Roman"/>
          <w:szCs w:val="24"/>
          <w:lang w:eastAsia="lv-LV"/>
        </w:rPr>
        <w:t xml:space="preserve">Saskaņā ar MK 2014.gada 25.novembra sēdes </w:t>
      </w:r>
      <w:proofErr w:type="spellStart"/>
      <w:r w:rsidRPr="001F7759">
        <w:rPr>
          <w:rFonts w:eastAsia="Calibri" w:cs="Times New Roman"/>
          <w:szCs w:val="24"/>
          <w:lang w:eastAsia="lv-LV"/>
        </w:rPr>
        <w:t>protokollēmuma</w:t>
      </w:r>
      <w:proofErr w:type="spellEnd"/>
      <w:r w:rsidRPr="001F7759">
        <w:rPr>
          <w:rFonts w:eastAsia="Calibri" w:cs="Times New Roman"/>
          <w:szCs w:val="24"/>
          <w:lang w:eastAsia="lv-LV"/>
        </w:rPr>
        <w:t xml:space="preserve"> (Nr.65 83.§) 5.punktu 2015.gadā bija plānots veikt investīcijas 45,7 milj. </w:t>
      </w:r>
      <w:r w:rsidRPr="001F7759">
        <w:rPr>
          <w:rFonts w:eastAsia="Calibri" w:cs="Times New Roman"/>
          <w:i/>
          <w:szCs w:val="24"/>
          <w:lang w:eastAsia="lv-LV"/>
        </w:rPr>
        <w:t>euro</w:t>
      </w:r>
      <w:r w:rsidRPr="001F7759">
        <w:rPr>
          <w:rFonts w:eastAsia="Calibri" w:cs="Times New Roman"/>
          <w:szCs w:val="24"/>
          <w:lang w:eastAsia="lv-LV"/>
        </w:rPr>
        <w:t xml:space="preserve"> apmērā, </w:t>
      </w:r>
      <w:r w:rsidR="0079724B">
        <w:rPr>
          <w:rFonts w:eastAsia="Calibri" w:cs="Times New Roman"/>
          <w:szCs w:val="24"/>
          <w:lang w:eastAsia="lv-LV"/>
        </w:rPr>
        <w:t>t</w:t>
      </w:r>
      <w:r w:rsidRPr="001F7759">
        <w:rPr>
          <w:rFonts w:eastAsia="Calibri" w:cs="Times New Roman"/>
          <w:szCs w:val="24"/>
          <w:lang w:eastAsia="lv-LV"/>
        </w:rPr>
        <w:t xml:space="preserve">omēr reālās investīcijas bija tikai 23,9 milj. </w:t>
      </w:r>
      <w:r w:rsidRPr="001F7759">
        <w:rPr>
          <w:rFonts w:eastAsia="Calibri" w:cs="Times New Roman"/>
          <w:i/>
          <w:szCs w:val="24"/>
          <w:lang w:eastAsia="lv-LV"/>
        </w:rPr>
        <w:t xml:space="preserve">euro </w:t>
      </w:r>
      <w:r w:rsidRPr="001F7759">
        <w:rPr>
          <w:rFonts w:eastAsia="Calibri" w:cs="Times New Roman"/>
          <w:szCs w:val="24"/>
          <w:lang w:eastAsia="lv-LV"/>
        </w:rPr>
        <w:t>apmērā jeb par 48%.</w:t>
      </w:r>
      <w:r w:rsidR="0079724B">
        <w:rPr>
          <w:rFonts w:eastAsia="Calibri" w:cs="Times New Roman"/>
          <w:szCs w:val="24"/>
          <w:lang w:eastAsia="lv-LV"/>
        </w:rPr>
        <w:t xml:space="preserve"> Atbildīgo iestāžu sk</w:t>
      </w:r>
      <w:r w:rsidR="008B20C8">
        <w:rPr>
          <w:rFonts w:eastAsia="Calibri" w:cs="Times New Roman"/>
          <w:szCs w:val="24"/>
          <w:lang w:eastAsia="lv-LV"/>
        </w:rPr>
        <w:t>a</w:t>
      </w:r>
      <w:r w:rsidR="0079724B">
        <w:rPr>
          <w:rFonts w:eastAsia="Calibri" w:cs="Times New Roman"/>
          <w:szCs w:val="24"/>
          <w:lang w:eastAsia="lv-LV"/>
        </w:rPr>
        <w:t>idrojumi par projektu un to naudas plūsmu aizkavējumiem un nobīdēm ir līdzīgi kā citās investīciju programmās.</w:t>
      </w:r>
    </w:p>
    <w:p w14:paraId="5BC84614" w14:textId="77777777" w:rsidR="00001327" w:rsidRDefault="00001327">
      <w:pPr>
        <w:rPr>
          <w:rFonts w:eastAsia="Calibri" w:cs="Times New Roman"/>
          <w:color w:val="000000"/>
          <w:szCs w:val="24"/>
          <w:lang w:eastAsia="lv-LV"/>
        </w:rPr>
      </w:pPr>
      <w:r>
        <w:rPr>
          <w:rFonts w:eastAsia="Calibri" w:cs="Times New Roman"/>
          <w:color w:val="000000"/>
          <w:szCs w:val="24"/>
          <w:lang w:eastAsia="lv-LV"/>
        </w:rPr>
        <w:br w:type="page"/>
      </w:r>
    </w:p>
    <w:p w14:paraId="7BA69136" w14:textId="2B0D97D1" w:rsidR="001F7759" w:rsidRDefault="001F7759" w:rsidP="001F7759">
      <w:pPr>
        <w:spacing w:before="120" w:after="120" w:line="276" w:lineRule="auto"/>
        <w:jc w:val="both"/>
        <w:rPr>
          <w:rFonts w:eastAsia="Calibri" w:cs="Times New Roman"/>
          <w:i/>
          <w:color w:val="000000"/>
          <w:szCs w:val="24"/>
          <w:lang w:eastAsia="lv-LV"/>
        </w:rPr>
      </w:pPr>
      <w:r w:rsidRPr="001F7759">
        <w:rPr>
          <w:rFonts w:eastAsia="Calibri" w:cs="Times New Roman"/>
          <w:color w:val="000000"/>
          <w:szCs w:val="24"/>
          <w:lang w:eastAsia="lv-LV"/>
        </w:rPr>
        <w:lastRenderedPageBreak/>
        <w:t xml:space="preserve">Grafiks </w:t>
      </w:r>
      <w:r w:rsidRPr="00001327">
        <w:rPr>
          <w:rFonts w:eastAsia="Calibri" w:cs="Times New Roman"/>
          <w:color w:val="000000"/>
          <w:szCs w:val="24"/>
          <w:lang w:eastAsia="lv-LV"/>
        </w:rPr>
        <w:t>Nr.</w:t>
      </w:r>
      <w:r w:rsidR="00942E5A">
        <w:rPr>
          <w:rFonts w:eastAsia="Calibri" w:cs="Times New Roman"/>
          <w:color w:val="000000"/>
          <w:szCs w:val="24"/>
          <w:lang w:eastAsia="lv-LV"/>
        </w:rPr>
        <w:t>8</w:t>
      </w:r>
      <w:r w:rsidRPr="001F7759">
        <w:rPr>
          <w:rFonts w:eastAsia="Calibri" w:cs="Times New Roman"/>
          <w:i/>
          <w:color w:val="000000"/>
          <w:szCs w:val="24"/>
          <w:lang w:eastAsia="lv-LV"/>
        </w:rPr>
        <w:t xml:space="preserve"> „EEZ/Norvēģijas finanšu instrumentu investīciju plāns un tā izpilde 2015.gadā, milj. euro.”</w:t>
      </w:r>
    </w:p>
    <w:p w14:paraId="11F5F33F" w14:textId="5C38F9F6" w:rsidR="009A4C2D" w:rsidRPr="001F7759" w:rsidRDefault="009A4C2D" w:rsidP="001F7759">
      <w:pPr>
        <w:spacing w:before="120" w:after="120" w:line="276" w:lineRule="auto"/>
        <w:jc w:val="both"/>
        <w:rPr>
          <w:rFonts w:eastAsia="Calibri" w:cs="Times New Roman"/>
          <w:i/>
          <w:color w:val="000000"/>
          <w:szCs w:val="24"/>
          <w:lang w:eastAsia="lv-LV"/>
        </w:rPr>
      </w:pPr>
      <w:r>
        <w:rPr>
          <w:rFonts w:eastAsia="Calibri" w:cs="Times New Roman"/>
          <w:i/>
          <w:noProof/>
          <w:color w:val="000000"/>
          <w:szCs w:val="24"/>
          <w:lang w:eastAsia="lv-LV"/>
        </w:rPr>
        <w:drawing>
          <wp:inline distT="0" distB="0" distL="0" distR="0" wp14:anchorId="01518517" wp14:editId="622FBB80">
            <wp:extent cx="5650230" cy="3044825"/>
            <wp:effectExtent l="0" t="0" r="762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50230" cy="3044825"/>
                    </a:xfrm>
                    <a:prstGeom prst="rect">
                      <a:avLst/>
                    </a:prstGeom>
                    <a:noFill/>
                    <a:ln>
                      <a:noFill/>
                    </a:ln>
                  </pic:spPr>
                </pic:pic>
              </a:graphicData>
            </a:graphic>
          </wp:inline>
        </w:drawing>
      </w:r>
    </w:p>
    <w:p w14:paraId="5ED8FC8D" w14:textId="4385F768" w:rsidR="001F7759" w:rsidRPr="001F7759" w:rsidRDefault="001F7759" w:rsidP="001F7759">
      <w:pPr>
        <w:spacing w:line="276" w:lineRule="auto"/>
        <w:jc w:val="both"/>
        <w:rPr>
          <w:rFonts w:eastAsia="Calibri" w:cs="Times New Roman"/>
          <w:color w:val="000000"/>
          <w:szCs w:val="24"/>
          <w:lang w:eastAsia="lv-LV"/>
        </w:rPr>
      </w:pPr>
      <w:r w:rsidRPr="001F7759">
        <w:rPr>
          <w:rFonts w:eastAsia="Calibri" w:cs="Times New Roman"/>
          <w:color w:val="000000"/>
          <w:szCs w:val="24"/>
          <w:lang w:eastAsia="lv-LV"/>
        </w:rPr>
        <w:t xml:space="preserve">Tā kā EEZ/Norvēģijas finanšu instrumentu uzsākšana aizkavējās par 1,3 gadiem </w:t>
      </w:r>
      <w:proofErr w:type="spellStart"/>
      <w:r w:rsidRPr="001F7759">
        <w:rPr>
          <w:rFonts w:eastAsia="Calibri" w:cs="Times New Roman"/>
          <w:color w:val="000000"/>
          <w:szCs w:val="24"/>
          <w:lang w:eastAsia="lv-LV"/>
        </w:rPr>
        <w:t>donorvalstu</w:t>
      </w:r>
      <w:proofErr w:type="spellEnd"/>
      <w:r w:rsidRPr="001F7759">
        <w:rPr>
          <w:rFonts w:eastAsia="Calibri" w:cs="Times New Roman"/>
          <w:color w:val="000000"/>
          <w:szCs w:val="24"/>
          <w:lang w:eastAsia="lv-LV"/>
        </w:rPr>
        <w:t xml:space="preserve"> līmenī, jo 2009. un 2010.gadā bija sarežģījumi savlaicīg</w:t>
      </w:r>
      <w:r w:rsidR="006D2E3D">
        <w:rPr>
          <w:rFonts w:eastAsia="Calibri" w:cs="Times New Roman"/>
          <w:color w:val="000000"/>
          <w:szCs w:val="24"/>
          <w:lang w:eastAsia="lv-LV"/>
        </w:rPr>
        <w:t>ā</w:t>
      </w:r>
      <w:r w:rsidRPr="001F7759">
        <w:rPr>
          <w:rFonts w:eastAsia="Calibri" w:cs="Times New Roman"/>
          <w:color w:val="000000"/>
          <w:szCs w:val="24"/>
          <w:lang w:eastAsia="lv-LV"/>
        </w:rPr>
        <w:t xml:space="preserve"> līgumu noslēgšanā starp EK un </w:t>
      </w:r>
      <w:proofErr w:type="spellStart"/>
      <w:r w:rsidRPr="001F7759">
        <w:rPr>
          <w:rFonts w:eastAsia="Calibri" w:cs="Times New Roman"/>
          <w:color w:val="000000"/>
          <w:szCs w:val="24"/>
          <w:lang w:eastAsia="lv-LV"/>
        </w:rPr>
        <w:t>donorvalstīm</w:t>
      </w:r>
      <w:proofErr w:type="spellEnd"/>
      <w:r w:rsidRPr="001F7759">
        <w:rPr>
          <w:rFonts w:eastAsia="Calibri" w:cs="Times New Roman"/>
          <w:color w:val="000000"/>
          <w:szCs w:val="24"/>
          <w:lang w:eastAsia="lv-LV"/>
        </w:rPr>
        <w:t xml:space="preserve">, tas būtiski ietekmēja projektu īstenošanas gaitu saņēmējvalstīs, t.sk. Latvijā. Līdz ar to </w:t>
      </w:r>
      <w:proofErr w:type="spellStart"/>
      <w:r w:rsidRPr="001F7759">
        <w:rPr>
          <w:rFonts w:eastAsia="Calibri" w:cs="Times New Roman"/>
          <w:color w:val="000000"/>
          <w:szCs w:val="24"/>
          <w:lang w:eastAsia="lv-LV"/>
        </w:rPr>
        <w:t>donorvalstu</w:t>
      </w:r>
      <w:proofErr w:type="spellEnd"/>
      <w:r w:rsidRPr="001F7759">
        <w:rPr>
          <w:rFonts w:eastAsia="Calibri" w:cs="Times New Roman"/>
          <w:color w:val="000000"/>
          <w:szCs w:val="24"/>
          <w:lang w:eastAsia="lv-LV"/>
        </w:rPr>
        <w:t xml:space="preserve"> 2015.gada maijā piedāvātais izmaksu </w:t>
      </w:r>
      <w:proofErr w:type="spellStart"/>
      <w:r w:rsidRPr="001F7759">
        <w:rPr>
          <w:rFonts w:eastAsia="Calibri" w:cs="Times New Roman"/>
          <w:color w:val="000000"/>
          <w:szCs w:val="24"/>
          <w:lang w:eastAsia="lv-LV"/>
        </w:rPr>
        <w:t>attiecināmības</w:t>
      </w:r>
      <w:proofErr w:type="spellEnd"/>
      <w:r w:rsidRPr="001F7759">
        <w:rPr>
          <w:rFonts w:eastAsia="Calibri" w:cs="Times New Roman"/>
          <w:color w:val="000000"/>
          <w:szCs w:val="24"/>
          <w:lang w:eastAsia="lv-LV"/>
        </w:rPr>
        <w:t xml:space="preserve"> perioda pagarinājums projektiem par 1 gadu – līdz maksimums 2017.gada 30.aprīlim – sniegs Latvijai iespēju veiksmīgi sasniegt finanšu instrumentu stratēģiskos mērķus un plānots programmu rezultātus. Tomēr vienlaikus minētais pagarinājums projektiem būtiski ietekmēja iepriekš plānoto investīciju apjomu 2015.gadā, jo liela daļa no tām novirzījusies uz 2016.gadu. Ņemot vērā sākotnēji plānoto saspringto projektu īstenošanas termiņu, TM, VARAM, KM un EM programmās ir radušās vislielākās </w:t>
      </w:r>
      <w:r w:rsidRPr="001F7759">
        <w:rPr>
          <w:rFonts w:eastAsia="Times New Roman" w:cs="Times New Roman"/>
          <w:color w:val="000000"/>
          <w:szCs w:val="24"/>
          <w:lang w:eastAsia="lv-LV"/>
        </w:rPr>
        <w:t>novirzes no plāna</w:t>
      </w:r>
      <w:r w:rsidRPr="001F7759">
        <w:rPr>
          <w:rFonts w:eastAsia="Calibri" w:cs="Times New Roman"/>
          <w:color w:val="000000"/>
          <w:szCs w:val="24"/>
          <w:lang w:eastAsia="lv-LV"/>
        </w:rPr>
        <w:t xml:space="preserve">, jo: </w:t>
      </w:r>
    </w:p>
    <w:p w14:paraId="455D86E9" w14:textId="77777777" w:rsidR="001F7759" w:rsidRPr="001F7759" w:rsidRDefault="001F7759" w:rsidP="001F7759">
      <w:pPr>
        <w:spacing w:before="120" w:after="120" w:line="276" w:lineRule="auto"/>
        <w:jc w:val="both"/>
        <w:rPr>
          <w:rFonts w:eastAsia="Times New Roman" w:cs="Times New Roman"/>
          <w:color w:val="000000"/>
          <w:szCs w:val="24"/>
          <w:lang w:eastAsia="lv-LV"/>
        </w:rPr>
      </w:pPr>
      <w:r w:rsidRPr="001F7759">
        <w:rPr>
          <w:rFonts w:eastAsia="Times New Roman" w:cs="Times New Roman"/>
          <w:color w:val="000000"/>
          <w:szCs w:val="24"/>
          <w:lang w:eastAsia="lv-LV"/>
        </w:rPr>
        <w:t>1) TM programmas “Latvijas korekcijas dienestu un Valsts policijas īslaicīgās aizturēšanas vietu reforma” Olaines cietuma</w:t>
      </w:r>
      <w:r w:rsidRPr="001F7759">
        <w:rPr>
          <w:rFonts w:eastAsia="Times New Roman" w:cs="Times New Roman"/>
          <w:i/>
          <w:color w:val="000000"/>
          <w:szCs w:val="24"/>
          <w:lang w:eastAsia="lv-LV"/>
        </w:rPr>
        <w:t xml:space="preserve"> </w:t>
      </w:r>
      <w:r w:rsidRPr="001F7759">
        <w:rPr>
          <w:rFonts w:eastAsia="Times New Roman" w:cs="Times New Roman"/>
          <w:color w:val="000000"/>
          <w:szCs w:val="24"/>
          <w:lang w:eastAsia="lv-LV"/>
        </w:rPr>
        <w:t>projektā aizkavējās tehniskā projekta izstrāde</w:t>
      </w:r>
      <w:r w:rsidRPr="001F7759">
        <w:rPr>
          <w:rFonts w:eastAsia="Calibri" w:cs="Times New Roman"/>
        </w:rPr>
        <w:t xml:space="preserve"> </w:t>
      </w:r>
      <w:r w:rsidRPr="001F7759">
        <w:rPr>
          <w:rFonts w:eastAsia="Times New Roman" w:cs="Times New Roman"/>
          <w:color w:val="000000"/>
          <w:szCs w:val="24"/>
          <w:lang w:eastAsia="lv-LV"/>
        </w:rPr>
        <w:t>atsevišķu elementu pārprojektēšanas</w:t>
      </w:r>
      <w:r w:rsidRPr="001F7759">
        <w:rPr>
          <w:rFonts w:eastAsia="Calibri" w:cs="Times New Roman"/>
        </w:rPr>
        <w:t xml:space="preserve"> dēļ</w:t>
      </w:r>
      <w:r w:rsidRPr="001F7759">
        <w:rPr>
          <w:rFonts w:eastAsia="Times New Roman" w:cs="Times New Roman"/>
          <w:color w:val="000000"/>
          <w:szCs w:val="24"/>
          <w:lang w:eastAsia="lv-LV"/>
        </w:rPr>
        <w:t>, līdz ar to gada griezumā būtiski nobīdījās maksājumi būvuzņēmējam. Vienlaikus elektroniskās uzraudzības projektā maksājumi pakalpojuma sniedzējam nesasniedza iepriekš plānoto apjomu zemākas līgumcenas, vēlāk uzsāktā pakalpojuma un nelielā klientu skaita dēļ. Tā kā šie projekti ir pagarināti par 8 mēnešiem, finansējums plānotā apjomā tiks apgūts līdz 2016.gada beigām.</w:t>
      </w:r>
    </w:p>
    <w:p w14:paraId="300D82BF" w14:textId="77777777" w:rsidR="001F7759" w:rsidRPr="001F7759" w:rsidRDefault="001F7759" w:rsidP="001F7759">
      <w:pPr>
        <w:spacing w:before="120" w:after="120" w:line="276" w:lineRule="auto"/>
        <w:jc w:val="both"/>
        <w:rPr>
          <w:rFonts w:eastAsia="Times New Roman" w:cs="Times New Roman"/>
          <w:color w:val="000000"/>
          <w:szCs w:val="24"/>
          <w:lang w:eastAsia="lv-LV"/>
        </w:rPr>
      </w:pPr>
      <w:r w:rsidRPr="001F7759">
        <w:rPr>
          <w:rFonts w:eastAsia="Times New Roman" w:cs="Times New Roman"/>
          <w:color w:val="000000"/>
          <w:szCs w:val="24"/>
          <w:lang w:eastAsia="lv-LV"/>
        </w:rPr>
        <w:t xml:space="preserve">2) VARAM programmā “Nacionālā klimata politika” </w:t>
      </w:r>
      <w:r w:rsidRPr="001F7759">
        <w:rPr>
          <w:rFonts w:eastAsia="Times New Roman" w:cs="Times New Roman"/>
          <w:color w:val="000000" w:themeColor="text1"/>
          <w:szCs w:val="24"/>
          <w:lang w:eastAsia="lv-LV"/>
        </w:rPr>
        <w:t xml:space="preserve">vairāki </w:t>
      </w:r>
      <w:r w:rsidRPr="001F7759">
        <w:rPr>
          <w:rFonts w:eastAsia="Times New Roman" w:cs="Times New Roman"/>
          <w:color w:val="000000"/>
          <w:szCs w:val="24"/>
          <w:lang w:eastAsia="lv-LV"/>
        </w:rPr>
        <w:t>līdzfinansējuma saņēmēji atteicās no valsts budžetā ieplānotajiem avansa maksājumiem, savukārt programmā “Kapacitātes stiprināšana un institucionālā sadarbība starp Latvijas un Norvēģijas valsts institūcijām, vietējām un reģionālām iestādēm” 3 no 4 projektiem aizkavējās iepirkumu izsludināšana. VARAM šo finansējumu novirzīja citām programmas aktivitātēm 2015. un 2016.gadā, kā arī pārdalīja citām ārvalstu finanšu palīdzības programmām, ko īsteno.</w:t>
      </w:r>
    </w:p>
    <w:p w14:paraId="115D94A8" w14:textId="77777777" w:rsidR="001F7759" w:rsidRPr="001F7759" w:rsidRDefault="001F7759" w:rsidP="001F7759">
      <w:pPr>
        <w:spacing w:before="120" w:after="120" w:line="276" w:lineRule="auto"/>
        <w:jc w:val="both"/>
        <w:rPr>
          <w:rFonts w:eastAsia="Times New Roman" w:cs="Times New Roman"/>
          <w:color w:val="000000"/>
          <w:szCs w:val="24"/>
          <w:lang w:eastAsia="lv-LV"/>
        </w:rPr>
      </w:pPr>
      <w:r w:rsidRPr="001F7759">
        <w:rPr>
          <w:rFonts w:eastAsia="Times New Roman" w:cs="Times New Roman"/>
          <w:color w:val="000000"/>
          <w:szCs w:val="24"/>
          <w:lang w:eastAsia="lv-LV"/>
        </w:rPr>
        <w:t xml:space="preserve">3) KM programmā  “Kultūras un dabas mantojuma saglabāšana un atjaunināšana” 3 no 5 iepriekš noteiktajiem projektiem bija nozīmīgi sarežģījumi iepirkumu procedūrās (komplicēti </w:t>
      </w:r>
      <w:r w:rsidRPr="001F7759">
        <w:rPr>
          <w:rFonts w:eastAsia="Times New Roman" w:cs="Times New Roman"/>
          <w:color w:val="000000"/>
          <w:szCs w:val="24"/>
          <w:lang w:eastAsia="lv-LV"/>
        </w:rPr>
        <w:lastRenderedPageBreak/>
        <w:t>vai nestandarta iepirkuma priekšmeti, sūdzības procedūras laikā), tādēļ būtiski aizkavējās darbu uzsākšana/īstenošana un projektu īstenošanas termiņi tika pagarināti. Līdz ar to šo projektu avansa/starpposma maksājumi pārceļas no 2015. uz 2016.gadu.</w:t>
      </w:r>
    </w:p>
    <w:p w14:paraId="4E1CBE82" w14:textId="792C3A11" w:rsidR="001F7759" w:rsidRDefault="001F7759" w:rsidP="001F7759">
      <w:pPr>
        <w:spacing w:before="120" w:after="120" w:line="276" w:lineRule="auto"/>
        <w:jc w:val="both"/>
        <w:rPr>
          <w:rFonts w:eastAsia="Times New Roman" w:cs="Times New Roman"/>
          <w:color w:val="000000"/>
          <w:szCs w:val="24"/>
          <w:lang w:eastAsia="lv-LV"/>
        </w:rPr>
      </w:pPr>
      <w:r w:rsidRPr="001F7759">
        <w:rPr>
          <w:rFonts w:eastAsia="Times New Roman" w:cs="Times New Roman"/>
          <w:color w:val="000000"/>
          <w:szCs w:val="24"/>
          <w:lang w:eastAsia="lv-LV"/>
        </w:rPr>
        <w:t xml:space="preserve">4) </w:t>
      </w:r>
      <w:r w:rsidRPr="001F7759">
        <w:rPr>
          <w:rFonts w:eastAsia="Times New Roman" w:cs="Times New Roman"/>
          <w:color w:val="000000" w:themeColor="text1"/>
          <w:szCs w:val="24"/>
          <w:lang w:eastAsia="lv-LV"/>
        </w:rPr>
        <w:t xml:space="preserve">EM programmā “Inovācijas "zaļās" ražošanas jomā” </w:t>
      </w:r>
      <w:r w:rsidR="007627E7" w:rsidRPr="007627E7">
        <w:rPr>
          <w:color w:val="000000"/>
          <w:szCs w:val="24"/>
        </w:rPr>
        <w:t xml:space="preserve"> atklāta projektu konkursa 2.kārtā iesniegto projektu iesniegumu skaits, kas būtu atbilstoši atklāta konkursa minimālajām prasībām</w:t>
      </w:r>
      <w:r w:rsidR="00E50652">
        <w:rPr>
          <w:color w:val="000000"/>
          <w:szCs w:val="24"/>
        </w:rPr>
        <w:t>,</w:t>
      </w:r>
      <w:r w:rsidR="007627E7" w:rsidRPr="007627E7">
        <w:rPr>
          <w:color w:val="000000"/>
          <w:szCs w:val="24"/>
        </w:rPr>
        <w:t xml:space="preserve"> bija nepietiekami, kā arī vairāki atbalstītie projektu iesniedzēji ir atteikušies no līguma slēgšanas par projektu īstenošanu, nespējot piesaistīt nepieciešamo līdzfinansējumu, līdz ar to atklāta konkursa 2.kārtas ietvaros izveidojās finanšu atlikums. Lai panāktu efektīvāku līdzfinansējuma izlietojumu, tika nolemts rīkot </w:t>
      </w:r>
      <w:r w:rsidR="007627E7" w:rsidRPr="007627E7">
        <w:rPr>
          <w:szCs w:val="24"/>
        </w:rPr>
        <w:t xml:space="preserve">papildu </w:t>
      </w:r>
      <w:r w:rsidR="007627E7">
        <w:rPr>
          <w:szCs w:val="24"/>
        </w:rPr>
        <w:t>neliela apjoma</w:t>
      </w:r>
      <w:r w:rsidR="007627E7" w:rsidRPr="007627E7">
        <w:rPr>
          <w:color w:val="000000"/>
          <w:szCs w:val="24"/>
        </w:rPr>
        <w:t xml:space="preserve"> </w:t>
      </w:r>
      <w:proofErr w:type="spellStart"/>
      <w:r w:rsidR="007627E7">
        <w:rPr>
          <w:color w:val="000000"/>
          <w:szCs w:val="24"/>
        </w:rPr>
        <w:t>grantu</w:t>
      </w:r>
      <w:proofErr w:type="spellEnd"/>
      <w:r w:rsidR="007627E7">
        <w:rPr>
          <w:color w:val="000000"/>
          <w:szCs w:val="24"/>
        </w:rPr>
        <w:t xml:space="preserve"> shēmas </w:t>
      </w:r>
      <w:r w:rsidR="007627E7" w:rsidRPr="007627E7">
        <w:rPr>
          <w:color w:val="000000"/>
          <w:szCs w:val="24"/>
        </w:rPr>
        <w:t xml:space="preserve">projektu atlases kārtu, tādejādi sasniedzot papildus rezultatīvos rādītājus un sekmējot inovatīvu produktu un tehnoloģiju komercializēšanu. </w:t>
      </w:r>
      <w:r w:rsidR="00A11473">
        <w:rPr>
          <w:color w:val="000000"/>
          <w:szCs w:val="24"/>
        </w:rPr>
        <w:t>Investīciju progresu</w:t>
      </w:r>
      <w:r w:rsidR="007627E7" w:rsidRPr="007627E7">
        <w:rPr>
          <w:color w:val="000000"/>
          <w:szCs w:val="24"/>
        </w:rPr>
        <w:t xml:space="preserve"> ietekmējis arī ir apstāklis, ka vairāki līdzfinansējuma saņēmēji atteicās no valsts budžetā ieplānotajiem avansa maksājumiem.</w:t>
      </w:r>
    </w:p>
    <w:p w14:paraId="3FC55406" w14:textId="3EB38BC1" w:rsidR="001F7759" w:rsidRPr="001F7759" w:rsidRDefault="001F7759" w:rsidP="001F7759">
      <w:pPr>
        <w:spacing w:before="120" w:after="120" w:line="276" w:lineRule="auto"/>
        <w:jc w:val="both"/>
        <w:rPr>
          <w:rFonts w:eastAsia="Times New Roman" w:cs="Times New Roman"/>
          <w:b/>
          <w:color w:val="000000"/>
          <w:szCs w:val="24"/>
          <w:lang w:eastAsia="lv-LV"/>
        </w:rPr>
      </w:pPr>
      <w:r w:rsidRPr="001F7759">
        <w:rPr>
          <w:rFonts w:eastAsia="EUAlbertina-Bold-Identity-H" w:cs="Times New Roman"/>
          <w:color w:val="000000"/>
          <w:szCs w:val="24"/>
          <w:lang w:eastAsia="lv-LV"/>
        </w:rPr>
        <w:t>Detalizēta informācija par EEZ/Norvēģijas finanšu instrumentu finansējuma investīciju plānu 2016.gadam un indikatīvo 2017.gadam</w:t>
      </w:r>
      <w:r w:rsidRPr="001F7759">
        <w:rPr>
          <w:rFonts w:eastAsia="Times New Roman" w:cs="Times New Roman"/>
          <w:color w:val="000000"/>
          <w:szCs w:val="20"/>
          <w:lang w:eastAsia="lv-LV"/>
        </w:rPr>
        <w:t xml:space="preserve"> ir </w:t>
      </w:r>
      <w:r w:rsidRPr="001F7759">
        <w:rPr>
          <w:rFonts w:eastAsia="EUAlbertina-Bold-Identity-H" w:cs="Times New Roman"/>
          <w:color w:val="000000"/>
          <w:szCs w:val="24"/>
          <w:lang w:eastAsia="lv-LV"/>
        </w:rPr>
        <w:t xml:space="preserve">apkopota šī </w:t>
      </w:r>
      <w:r w:rsidRPr="004E018C">
        <w:rPr>
          <w:rFonts w:eastAsia="EUAlbertina-Bold-Identity-H" w:cs="Times New Roman"/>
          <w:color w:val="000000"/>
          <w:szCs w:val="24"/>
          <w:lang w:eastAsia="lv-LV"/>
        </w:rPr>
        <w:t xml:space="preserve">ziņojuma </w:t>
      </w:r>
      <w:r w:rsidR="004E018C" w:rsidRPr="004E018C">
        <w:rPr>
          <w:rFonts w:eastAsia="EUAlbertina-Bold-Identity-H" w:cs="Times New Roman"/>
          <w:color w:val="000000"/>
          <w:szCs w:val="24"/>
          <w:u w:val="single"/>
          <w:lang w:eastAsia="lv-LV"/>
        </w:rPr>
        <w:t>3</w:t>
      </w:r>
      <w:r w:rsidRPr="004E018C">
        <w:rPr>
          <w:rFonts w:eastAsia="EUAlbertina-Bold-Identity-H" w:cs="Times New Roman"/>
          <w:color w:val="000000"/>
          <w:szCs w:val="24"/>
          <w:u w:val="single"/>
          <w:lang w:eastAsia="lv-LV"/>
        </w:rPr>
        <w:t>.pielikumā</w:t>
      </w:r>
      <w:r w:rsidRPr="001F7759">
        <w:rPr>
          <w:rFonts w:eastAsia="EUAlbertina-Bold-Identity-H" w:cs="Times New Roman"/>
          <w:color w:val="000000"/>
          <w:szCs w:val="24"/>
          <w:u w:val="single"/>
          <w:lang w:eastAsia="lv-LV"/>
        </w:rPr>
        <w:t>.</w:t>
      </w:r>
    </w:p>
    <w:p w14:paraId="10353902" w14:textId="77777777" w:rsidR="001F7759" w:rsidRPr="00216C61" w:rsidRDefault="001F7759" w:rsidP="001F7759">
      <w:pPr>
        <w:spacing w:before="120" w:after="120" w:line="276" w:lineRule="auto"/>
        <w:jc w:val="both"/>
        <w:rPr>
          <w:rFonts w:eastAsia="Times New Roman" w:cs="Times New Roman"/>
          <w:b/>
          <w:i/>
          <w:color w:val="000000"/>
          <w:szCs w:val="24"/>
          <w:lang w:eastAsia="lv-LV"/>
        </w:rPr>
      </w:pPr>
      <w:r w:rsidRPr="00216C61">
        <w:rPr>
          <w:rFonts w:eastAsia="Times New Roman" w:cs="Times New Roman"/>
          <w:b/>
          <w:i/>
          <w:color w:val="000000"/>
          <w:szCs w:val="24"/>
          <w:lang w:eastAsia="lv-LV"/>
        </w:rPr>
        <w:t>Projektu īstenošana</w:t>
      </w:r>
    </w:p>
    <w:p w14:paraId="64D8B87F" w14:textId="77777777" w:rsidR="001F7759" w:rsidRPr="001F7759" w:rsidRDefault="001F7759" w:rsidP="001F7759">
      <w:pPr>
        <w:spacing w:before="120" w:after="120" w:line="276" w:lineRule="auto"/>
        <w:jc w:val="both"/>
        <w:rPr>
          <w:rFonts w:eastAsia="Times New Roman" w:cs="Times New Roman"/>
          <w:color w:val="000000"/>
          <w:szCs w:val="24"/>
        </w:rPr>
      </w:pPr>
      <w:r w:rsidRPr="001F7759">
        <w:rPr>
          <w:rFonts w:eastAsia="Times New Roman" w:cs="Times New Roman"/>
          <w:color w:val="000000"/>
          <w:szCs w:val="24"/>
          <w:lang w:eastAsia="lv-LV"/>
        </w:rPr>
        <w:t xml:space="preserve">6 no 7 programmām notiek 16 dažādu </w:t>
      </w:r>
      <w:r w:rsidRPr="001F7759">
        <w:rPr>
          <w:rFonts w:eastAsia="Times New Roman" w:cs="Times New Roman"/>
          <w:b/>
          <w:color w:val="000000"/>
          <w:szCs w:val="24"/>
          <w:lang w:eastAsia="lv-LV"/>
        </w:rPr>
        <w:t xml:space="preserve">iepriekš noteikto projektu īstenošana </w:t>
      </w:r>
      <w:r w:rsidRPr="001F7759">
        <w:rPr>
          <w:rFonts w:eastAsia="Times New Roman" w:cs="Times New Roman"/>
          <w:color w:val="000000"/>
          <w:szCs w:val="24"/>
          <w:lang w:eastAsia="lv-LV"/>
        </w:rPr>
        <w:t xml:space="preserve">un </w:t>
      </w:r>
      <w:r w:rsidRPr="001F7759">
        <w:rPr>
          <w:rFonts w:eastAsia="Times New Roman" w:cs="Times New Roman"/>
          <w:color w:val="000000"/>
          <w:szCs w:val="24"/>
        </w:rPr>
        <w:t>5 no 7 programmām paralēli notiek arī projektu īstenošana, kas apstiprināti atklātajos projektu konkursos.</w:t>
      </w:r>
    </w:p>
    <w:p w14:paraId="692AD7DF" w14:textId="77777777" w:rsidR="001F7759" w:rsidRPr="001F7759" w:rsidRDefault="001F7759" w:rsidP="001F7759">
      <w:pPr>
        <w:spacing w:before="120" w:after="120" w:line="276" w:lineRule="auto"/>
        <w:jc w:val="both"/>
        <w:rPr>
          <w:rFonts w:eastAsia="Times New Roman" w:cs="Times New Roman"/>
          <w:szCs w:val="24"/>
        </w:rPr>
      </w:pPr>
      <w:r w:rsidRPr="001F7759">
        <w:rPr>
          <w:rFonts w:eastAsia="Times New Roman" w:cs="Times New Roman"/>
          <w:szCs w:val="24"/>
        </w:rPr>
        <w:t xml:space="preserve">2015.gada 4.ceturksnī </w:t>
      </w:r>
      <w:proofErr w:type="spellStart"/>
      <w:r w:rsidRPr="001F7759">
        <w:rPr>
          <w:rFonts w:eastAsia="Times New Roman" w:cs="Times New Roman"/>
          <w:szCs w:val="24"/>
        </w:rPr>
        <w:t>donorvalstis</w:t>
      </w:r>
      <w:proofErr w:type="spellEnd"/>
      <w:r w:rsidRPr="001F7759">
        <w:rPr>
          <w:rFonts w:eastAsia="Times New Roman" w:cs="Times New Roman"/>
          <w:szCs w:val="24"/>
        </w:rPr>
        <w:t xml:space="preserve"> apstiprināja projektu izmaksu </w:t>
      </w:r>
      <w:proofErr w:type="spellStart"/>
      <w:r w:rsidRPr="001F7759">
        <w:rPr>
          <w:rFonts w:eastAsia="Times New Roman" w:cs="Times New Roman"/>
          <w:szCs w:val="24"/>
        </w:rPr>
        <w:t>attiecināmības</w:t>
      </w:r>
      <w:proofErr w:type="spellEnd"/>
      <w:r w:rsidRPr="001F7759">
        <w:rPr>
          <w:rFonts w:eastAsia="Times New Roman" w:cs="Times New Roman"/>
          <w:szCs w:val="24"/>
        </w:rPr>
        <w:t xml:space="preserve"> pagarinājumu par maksimums 1 gadu - vēlākais līdz 2017.gada 30.aprīlim. Latvijā šo iespēju izmantoja 68 projekti no 6 programmām, izņemot NVO fondu, jo atbilstoši programmas </w:t>
      </w:r>
      <w:proofErr w:type="spellStart"/>
      <w:r w:rsidRPr="001F7759">
        <w:rPr>
          <w:rFonts w:eastAsia="Times New Roman" w:cs="Times New Roman"/>
          <w:szCs w:val="24"/>
        </w:rPr>
        <w:t>apsaimniekotāja</w:t>
      </w:r>
      <w:proofErr w:type="spellEnd"/>
      <w:r w:rsidRPr="001F7759">
        <w:rPr>
          <w:rFonts w:eastAsia="Times New Roman" w:cs="Times New Roman"/>
          <w:szCs w:val="24"/>
        </w:rPr>
        <w:t xml:space="preserve"> </w:t>
      </w:r>
      <w:proofErr w:type="spellStart"/>
      <w:r w:rsidRPr="001F7759">
        <w:rPr>
          <w:rFonts w:eastAsia="Times New Roman" w:cs="Times New Roman"/>
          <w:szCs w:val="24"/>
        </w:rPr>
        <w:t>izvērtējumam</w:t>
      </w:r>
      <w:proofErr w:type="spellEnd"/>
      <w:r w:rsidRPr="001F7759">
        <w:rPr>
          <w:rFonts w:eastAsia="Times New Roman" w:cs="Times New Roman"/>
          <w:szCs w:val="24"/>
        </w:rPr>
        <w:t xml:space="preserve">, NVO projekti ir neliela apjoma un ar īsu ieviešanas termiņu, tāpēc tiem nebija nepieciešams pagarinājums. Savukārt programmu administrēšanas izdevumu </w:t>
      </w:r>
      <w:proofErr w:type="spellStart"/>
      <w:r w:rsidRPr="001F7759">
        <w:rPr>
          <w:rFonts w:eastAsia="Times New Roman" w:cs="Times New Roman"/>
          <w:szCs w:val="24"/>
        </w:rPr>
        <w:t>attiecināmība</w:t>
      </w:r>
      <w:proofErr w:type="spellEnd"/>
      <w:r w:rsidRPr="001F7759">
        <w:rPr>
          <w:rFonts w:eastAsia="Times New Roman" w:cs="Times New Roman"/>
          <w:szCs w:val="24"/>
        </w:rPr>
        <w:t xml:space="preserve"> tika pagarināta līdz 2017.gada beigām.</w:t>
      </w:r>
    </w:p>
    <w:p w14:paraId="2BA869E5" w14:textId="25928A2F" w:rsidR="001F7759" w:rsidRPr="001F7759" w:rsidRDefault="001F7759" w:rsidP="001F7759">
      <w:pPr>
        <w:rPr>
          <w:rFonts w:eastAsia="Calibri" w:cs="Times New Roman"/>
          <w:szCs w:val="24"/>
        </w:rPr>
      </w:pPr>
      <w:r w:rsidRPr="00001327">
        <w:rPr>
          <w:rFonts w:eastAsia="Calibri" w:cs="Times New Roman"/>
          <w:szCs w:val="24"/>
        </w:rPr>
        <w:t>Tabula Nr.</w:t>
      </w:r>
      <w:r w:rsidR="00C27DA0" w:rsidRPr="00001327">
        <w:rPr>
          <w:rFonts w:eastAsia="Calibri" w:cs="Times New Roman"/>
          <w:szCs w:val="24"/>
        </w:rPr>
        <w:t>2</w:t>
      </w:r>
      <w:r w:rsidRPr="00001327">
        <w:rPr>
          <w:rFonts w:eastAsia="Calibri" w:cs="Times New Roman"/>
          <w:szCs w:val="24"/>
        </w:rPr>
        <w:t xml:space="preserve"> „</w:t>
      </w:r>
      <w:r w:rsidRPr="00001327">
        <w:rPr>
          <w:rFonts w:eastAsia="Calibri" w:cs="Times New Roman"/>
          <w:i/>
          <w:iCs/>
          <w:szCs w:val="24"/>
        </w:rPr>
        <w:t>Apstiprinātie</w:t>
      </w:r>
      <w:r w:rsidRPr="001F7759">
        <w:rPr>
          <w:rFonts w:eastAsia="Calibri" w:cs="Times New Roman"/>
          <w:i/>
          <w:iCs/>
          <w:szCs w:val="24"/>
        </w:rPr>
        <w:t xml:space="preserve"> projektu pagarinājumi programmās</w:t>
      </w:r>
      <w:r w:rsidRPr="001F7759">
        <w:rPr>
          <w:rFonts w:eastAsia="Calibri" w:cs="Times New Roman"/>
          <w:szCs w:val="24"/>
        </w:rPr>
        <w:t>”</w:t>
      </w:r>
    </w:p>
    <w:p w14:paraId="76F32E89" w14:textId="77777777" w:rsidR="001F7759" w:rsidRPr="001F7759" w:rsidRDefault="001F7759" w:rsidP="001F7759">
      <w:pPr>
        <w:tabs>
          <w:tab w:val="left" w:pos="978"/>
        </w:tabs>
        <w:rPr>
          <w:rFonts w:eastAsia="Calibri" w:cs="Times New Roman"/>
          <w:sz w:val="23"/>
          <w:szCs w:val="23"/>
        </w:rPr>
      </w:pPr>
    </w:p>
    <w:tbl>
      <w:tblPr>
        <w:tblStyle w:val="TableGrid2"/>
        <w:tblW w:w="8784" w:type="dxa"/>
        <w:tblLayout w:type="fixed"/>
        <w:tblLook w:val="04A0" w:firstRow="1" w:lastRow="0" w:firstColumn="1" w:lastColumn="0" w:noHBand="0" w:noVBand="1"/>
      </w:tblPr>
      <w:tblGrid>
        <w:gridCol w:w="2073"/>
        <w:gridCol w:w="4018"/>
        <w:gridCol w:w="1275"/>
        <w:gridCol w:w="1418"/>
      </w:tblGrid>
      <w:tr w:rsidR="001F7759" w:rsidRPr="000F3444" w14:paraId="359F8858" w14:textId="77777777" w:rsidTr="00CA070A">
        <w:trPr>
          <w:trHeight w:val="1225"/>
        </w:trPr>
        <w:tc>
          <w:tcPr>
            <w:tcW w:w="2073" w:type="dxa"/>
            <w:vAlign w:val="center"/>
          </w:tcPr>
          <w:p w14:paraId="6A4D2E62" w14:textId="77777777" w:rsidR="001F7759" w:rsidRPr="000F3444" w:rsidRDefault="001F7759" w:rsidP="00C0245E">
            <w:pPr>
              <w:jc w:val="center"/>
              <w:rPr>
                <w:rFonts w:ascii="Times New Roman" w:eastAsia="Calibri" w:hAnsi="Times New Roman" w:cs="Times New Roman"/>
                <w:b/>
                <w:sz w:val="24"/>
                <w:szCs w:val="24"/>
              </w:rPr>
            </w:pPr>
            <w:r w:rsidRPr="000F3444">
              <w:rPr>
                <w:rFonts w:ascii="Times New Roman" w:eastAsia="Calibri" w:hAnsi="Times New Roman" w:cs="Times New Roman"/>
                <w:b/>
                <w:sz w:val="24"/>
                <w:szCs w:val="24"/>
              </w:rPr>
              <w:t xml:space="preserve">Programmas nosaukums/ </w:t>
            </w:r>
            <w:proofErr w:type="spellStart"/>
            <w:r w:rsidRPr="000F3444">
              <w:rPr>
                <w:rFonts w:ascii="Times New Roman" w:eastAsia="Calibri" w:hAnsi="Times New Roman" w:cs="Times New Roman"/>
                <w:b/>
                <w:sz w:val="24"/>
                <w:szCs w:val="24"/>
              </w:rPr>
              <w:t>apsaimniekotājs</w:t>
            </w:r>
            <w:proofErr w:type="spellEnd"/>
          </w:p>
        </w:tc>
        <w:tc>
          <w:tcPr>
            <w:tcW w:w="4018" w:type="dxa"/>
            <w:vAlign w:val="center"/>
          </w:tcPr>
          <w:p w14:paraId="2DF9661B" w14:textId="77777777" w:rsidR="001F7759" w:rsidRPr="000F3444" w:rsidRDefault="001F7759" w:rsidP="00C0245E">
            <w:pPr>
              <w:jc w:val="center"/>
              <w:rPr>
                <w:rFonts w:ascii="Times New Roman" w:eastAsia="Calibri" w:hAnsi="Times New Roman" w:cs="Times New Roman"/>
                <w:b/>
                <w:sz w:val="24"/>
                <w:szCs w:val="24"/>
              </w:rPr>
            </w:pPr>
            <w:r w:rsidRPr="000F3444">
              <w:rPr>
                <w:rFonts w:ascii="Times New Roman" w:eastAsia="Calibri" w:hAnsi="Times New Roman" w:cs="Times New Roman"/>
                <w:b/>
                <w:sz w:val="24"/>
                <w:szCs w:val="24"/>
              </w:rPr>
              <w:t>Iepriekš noteikts projekts (INP)/</w:t>
            </w:r>
          </w:p>
          <w:p w14:paraId="53CEE0FD" w14:textId="77777777" w:rsidR="001F7759" w:rsidRPr="000F3444" w:rsidRDefault="001F7759" w:rsidP="00C0245E">
            <w:pPr>
              <w:jc w:val="center"/>
              <w:rPr>
                <w:rFonts w:ascii="Times New Roman" w:eastAsia="Calibri" w:hAnsi="Times New Roman" w:cs="Times New Roman"/>
                <w:b/>
                <w:sz w:val="24"/>
                <w:szCs w:val="24"/>
              </w:rPr>
            </w:pPr>
            <w:r w:rsidRPr="000F3444">
              <w:rPr>
                <w:rFonts w:ascii="Times New Roman" w:eastAsia="Calibri" w:hAnsi="Times New Roman" w:cs="Times New Roman"/>
                <w:b/>
                <w:sz w:val="24"/>
                <w:szCs w:val="24"/>
              </w:rPr>
              <w:t>Atklāts konkurss (AK)/</w:t>
            </w:r>
          </w:p>
          <w:p w14:paraId="429A392E" w14:textId="77777777" w:rsidR="001F7759" w:rsidRPr="000F3444" w:rsidRDefault="001F7759" w:rsidP="00C0245E">
            <w:pPr>
              <w:jc w:val="center"/>
              <w:rPr>
                <w:rFonts w:ascii="Times New Roman" w:eastAsia="Calibri" w:hAnsi="Times New Roman" w:cs="Times New Roman"/>
                <w:b/>
                <w:sz w:val="24"/>
                <w:szCs w:val="24"/>
              </w:rPr>
            </w:pPr>
            <w:r w:rsidRPr="000F3444">
              <w:rPr>
                <w:rFonts w:ascii="Times New Roman" w:eastAsia="Calibri" w:hAnsi="Times New Roman" w:cs="Times New Roman"/>
                <w:b/>
                <w:sz w:val="24"/>
                <w:szCs w:val="24"/>
              </w:rPr>
              <w:t xml:space="preserve">Neliela apjoma </w:t>
            </w:r>
            <w:proofErr w:type="spellStart"/>
            <w:r w:rsidRPr="000F3444">
              <w:rPr>
                <w:rFonts w:ascii="Times New Roman" w:eastAsia="Calibri" w:hAnsi="Times New Roman" w:cs="Times New Roman"/>
                <w:b/>
                <w:sz w:val="24"/>
                <w:szCs w:val="24"/>
              </w:rPr>
              <w:t>grantu</w:t>
            </w:r>
            <w:proofErr w:type="spellEnd"/>
            <w:r w:rsidRPr="000F3444">
              <w:rPr>
                <w:rFonts w:ascii="Times New Roman" w:eastAsia="Calibri" w:hAnsi="Times New Roman" w:cs="Times New Roman"/>
                <w:b/>
                <w:sz w:val="24"/>
                <w:szCs w:val="24"/>
              </w:rPr>
              <w:t xml:space="preserve"> shēma (GS)</w:t>
            </w:r>
          </w:p>
        </w:tc>
        <w:tc>
          <w:tcPr>
            <w:tcW w:w="1275" w:type="dxa"/>
            <w:vAlign w:val="center"/>
          </w:tcPr>
          <w:p w14:paraId="31906970" w14:textId="77777777" w:rsidR="001F7759" w:rsidRPr="000F3444" w:rsidRDefault="001F7759" w:rsidP="00C0245E">
            <w:pPr>
              <w:jc w:val="center"/>
              <w:rPr>
                <w:rFonts w:ascii="Times New Roman" w:eastAsia="Calibri" w:hAnsi="Times New Roman" w:cs="Times New Roman"/>
                <w:b/>
                <w:sz w:val="24"/>
                <w:szCs w:val="24"/>
              </w:rPr>
            </w:pPr>
            <w:r w:rsidRPr="000F3444">
              <w:rPr>
                <w:rFonts w:ascii="Times New Roman" w:eastAsia="Calibri" w:hAnsi="Times New Roman" w:cs="Times New Roman"/>
                <w:b/>
                <w:sz w:val="24"/>
                <w:szCs w:val="24"/>
              </w:rPr>
              <w:t>Kopā esošie projekti programmā</w:t>
            </w:r>
          </w:p>
        </w:tc>
        <w:tc>
          <w:tcPr>
            <w:tcW w:w="1418" w:type="dxa"/>
            <w:vAlign w:val="center"/>
          </w:tcPr>
          <w:p w14:paraId="0C29AB5B" w14:textId="77777777" w:rsidR="001F7759" w:rsidRPr="000F3444" w:rsidRDefault="001F7759" w:rsidP="00C0245E">
            <w:pPr>
              <w:jc w:val="center"/>
              <w:rPr>
                <w:rFonts w:ascii="Times New Roman" w:eastAsia="Calibri" w:hAnsi="Times New Roman" w:cs="Times New Roman"/>
                <w:b/>
                <w:sz w:val="24"/>
                <w:szCs w:val="24"/>
              </w:rPr>
            </w:pPr>
            <w:r w:rsidRPr="000F3444">
              <w:rPr>
                <w:rFonts w:ascii="Times New Roman" w:eastAsia="Calibri" w:hAnsi="Times New Roman" w:cs="Times New Roman"/>
                <w:b/>
                <w:sz w:val="24"/>
                <w:szCs w:val="24"/>
              </w:rPr>
              <w:t>t.sk. apstiprinātie projektu pagarinājumi</w:t>
            </w:r>
          </w:p>
        </w:tc>
      </w:tr>
      <w:tr w:rsidR="001F7759" w:rsidRPr="000F3444" w14:paraId="616FF922" w14:textId="77777777" w:rsidTr="00CA070A">
        <w:trPr>
          <w:trHeight w:val="557"/>
        </w:trPr>
        <w:tc>
          <w:tcPr>
            <w:tcW w:w="2073" w:type="dxa"/>
            <w:vMerge w:val="restart"/>
          </w:tcPr>
          <w:p w14:paraId="443E59FB" w14:textId="77777777" w:rsidR="001F7759" w:rsidRPr="000F3444" w:rsidRDefault="001F7759" w:rsidP="001F7759">
            <w:pPr>
              <w:rPr>
                <w:rFonts w:ascii="Times New Roman" w:eastAsia="Calibri" w:hAnsi="Times New Roman" w:cs="Times New Roman"/>
                <w:b/>
                <w:sz w:val="24"/>
                <w:szCs w:val="24"/>
              </w:rPr>
            </w:pPr>
            <w:r w:rsidRPr="000F3444">
              <w:rPr>
                <w:rFonts w:ascii="Times New Roman" w:eastAsia="Calibri" w:hAnsi="Times New Roman" w:cs="Times New Roman"/>
                <w:b/>
                <w:sz w:val="24"/>
                <w:szCs w:val="24"/>
              </w:rPr>
              <w:t>Nacionālā klimata politika</w:t>
            </w:r>
            <w:r w:rsidRPr="000F3444">
              <w:rPr>
                <w:rFonts w:ascii="Times New Roman" w:eastAsia="Calibri" w:hAnsi="Times New Roman" w:cs="Times New Roman"/>
                <w:sz w:val="24"/>
                <w:szCs w:val="24"/>
              </w:rPr>
              <w:t>/ VARAM</w:t>
            </w:r>
          </w:p>
        </w:tc>
        <w:tc>
          <w:tcPr>
            <w:tcW w:w="4018" w:type="dxa"/>
            <w:vAlign w:val="center"/>
          </w:tcPr>
          <w:p w14:paraId="270ECD00" w14:textId="77777777" w:rsidR="001F7759" w:rsidRPr="000F3444" w:rsidRDefault="001F7759" w:rsidP="006F6625">
            <w:pPr>
              <w:rPr>
                <w:rFonts w:ascii="Times New Roman" w:eastAsia="Calibri" w:hAnsi="Times New Roman" w:cs="Times New Roman"/>
                <w:sz w:val="24"/>
                <w:szCs w:val="24"/>
              </w:rPr>
            </w:pPr>
            <w:r w:rsidRPr="000F3444">
              <w:rPr>
                <w:rFonts w:ascii="Times New Roman" w:eastAsia="Calibri" w:hAnsi="Times New Roman" w:cs="Times New Roman"/>
                <w:i/>
                <w:sz w:val="24"/>
                <w:szCs w:val="24"/>
              </w:rPr>
              <w:t xml:space="preserve">INP </w:t>
            </w:r>
            <w:r w:rsidRPr="000F3444">
              <w:rPr>
                <w:rFonts w:ascii="Times New Roman" w:eastAsia="Calibri" w:hAnsi="Times New Roman" w:cs="Times New Roman"/>
                <w:sz w:val="24"/>
                <w:szCs w:val="24"/>
              </w:rPr>
              <w:t>Priekšlikuma izstrāde Nacionālajai klimata pārmaiņu pielāgošanās stratēģijai.</w:t>
            </w:r>
          </w:p>
          <w:p w14:paraId="7DDB322B" w14:textId="77777777" w:rsidR="001F7759" w:rsidRPr="000F3444" w:rsidRDefault="001F7759" w:rsidP="006F6625">
            <w:pPr>
              <w:rPr>
                <w:rFonts w:ascii="Times New Roman" w:eastAsia="Calibri" w:hAnsi="Times New Roman" w:cs="Times New Roman"/>
                <w:sz w:val="24"/>
                <w:szCs w:val="24"/>
              </w:rPr>
            </w:pPr>
            <w:r w:rsidRPr="000F3444">
              <w:rPr>
                <w:rFonts w:ascii="Times New Roman" w:eastAsia="Calibri" w:hAnsi="Times New Roman" w:cs="Times New Roman"/>
                <w:sz w:val="24"/>
                <w:szCs w:val="24"/>
              </w:rPr>
              <w:t>Nacionālās sistēmas pilnveidošana siltumnīcefekta gāzu inventarizācijai un ziņošanai.</w:t>
            </w:r>
          </w:p>
        </w:tc>
        <w:tc>
          <w:tcPr>
            <w:tcW w:w="1275" w:type="dxa"/>
            <w:vAlign w:val="center"/>
          </w:tcPr>
          <w:p w14:paraId="5D208C29" w14:textId="77777777" w:rsidR="001F7759" w:rsidRPr="000F3444" w:rsidRDefault="001F7759" w:rsidP="006F6625">
            <w:pPr>
              <w:jc w:val="center"/>
              <w:rPr>
                <w:rFonts w:ascii="Times New Roman" w:eastAsia="Calibri" w:hAnsi="Times New Roman" w:cs="Times New Roman"/>
                <w:sz w:val="24"/>
                <w:szCs w:val="24"/>
              </w:rPr>
            </w:pPr>
            <w:r w:rsidRPr="000F3444">
              <w:rPr>
                <w:rFonts w:ascii="Times New Roman" w:eastAsia="Calibri" w:hAnsi="Times New Roman" w:cs="Times New Roman"/>
                <w:sz w:val="24"/>
                <w:szCs w:val="24"/>
              </w:rPr>
              <w:t>2</w:t>
            </w:r>
          </w:p>
        </w:tc>
        <w:tc>
          <w:tcPr>
            <w:tcW w:w="1418" w:type="dxa"/>
            <w:vAlign w:val="center"/>
          </w:tcPr>
          <w:p w14:paraId="44ADFA81" w14:textId="77777777" w:rsidR="001F7759" w:rsidRPr="000F3444" w:rsidRDefault="001F7759" w:rsidP="006F6625">
            <w:pPr>
              <w:jc w:val="center"/>
              <w:rPr>
                <w:rFonts w:ascii="Times New Roman" w:eastAsia="Calibri" w:hAnsi="Times New Roman" w:cs="Times New Roman"/>
                <w:sz w:val="24"/>
                <w:szCs w:val="24"/>
              </w:rPr>
            </w:pPr>
            <w:r w:rsidRPr="000F3444">
              <w:rPr>
                <w:rFonts w:ascii="Times New Roman" w:eastAsia="Calibri" w:hAnsi="Times New Roman" w:cs="Times New Roman"/>
                <w:sz w:val="24"/>
                <w:szCs w:val="24"/>
              </w:rPr>
              <w:t>2</w:t>
            </w:r>
          </w:p>
        </w:tc>
      </w:tr>
      <w:tr w:rsidR="001F7759" w:rsidRPr="000F3444" w14:paraId="7090663E" w14:textId="77777777" w:rsidTr="00CA070A">
        <w:trPr>
          <w:trHeight w:val="557"/>
        </w:trPr>
        <w:tc>
          <w:tcPr>
            <w:tcW w:w="2073" w:type="dxa"/>
            <w:vMerge/>
          </w:tcPr>
          <w:p w14:paraId="1FB57820" w14:textId="77777777" w:rsidR="001F7759" w:rsidRPr="009951C9" w:rsidRDefault="001F7759" w:rsidP="001F7759">
            <w:pPr>
              <w:rPr>
                <w:rFonts w:ascii="Times New Roman" w:eastAsia="Calibri" w:hAnsi="Times New Roman" w:cs="Times New Roman"/>
                <w:sz w:val="24"/>
                <w:szCs w:val="24"/>
              </w:rPr>
            </w:pPr>
          </w:p>
        </w:tc>
        <w:tc>
          <w:tcPr>
            <w:tcW w:w="4018" w:type="dxa"/>
            <w:vAlign w:val="center"/>
          </w:tcPr>
          <w:p w14:paraId="0FCE3740" w14:textId="77777777" w:rsidR="001F7759" w:rsidRPr="000F3444" w:rsidRDefault="001F7759" w:rsidP="006F6625">
            <w:pPr>
              <w:rPr>
                <w:rFonts w:ascii="Times New Roman" w:eastAsia="Calibri" w:hAnsi="Times New Roman" w:cs="Times New Roman"/>
                <w:sz w:val="24"/>
                <w:szCs w:val="24"/>
              </w:rPr>
            </w:pPr>
            <w:r w:rsidRPr="000F3444">
              <w:rPr>
                <w:rFonts w:ascii="Times New Roman" w:eastAsia="Calibri" w:hAnsi="Times New Roman" w:cs="Times New Roman"/>
                <w:i/>
                <w:sz w:val="24"/>
                <w:szCs w:val="24"/>
              </w:rPr>
              <w:t xml:space="preserve">AK </w:t>
            </w:r>
            <w:r w:rsidRPr="000F3444">
              <w:rPr>
                <w:rFonts w:ascii="Times New Roman" w:eastAsia="Calibri" w:hAnsi="Times New Roman" w:cs="Times New Roman"/>
                <w:sz w:val="24"/>
                <w:szCs w:val="24"/>
              </w:rPr>
              <w:t>Ilgtspējīgu ēku, atjaunojamo energoresursu tehnoloģiju attīstība</w:t>
            </w:r>
          </w:p>
        </w:tc>
        <w:tc>
          <w:tcPr>
            <w:tcW w:w="1275" w:type="dxa"/>
            <w:vAlign w:val="center"/>
          </w:tcPr>
          <w:p w14:paraId="752A3AA2" w14:textId="77777777" w:rsidR="001F7759" w:rsidRPr="000F3444" w:rsidRDefault="001F7759" w:rsidP="006F6625">
            <w:pPr>
              <w:jc w:val="center"/>
              <w:rPr>
                <w:rFonts w:ascii="Times New Roman" w:eastAsia="Calibri" w:hAnsi="Times New Roman" w:cs="Times New Roman"/>
                <w:sz w:val="24"/>
                <w:szCs w:val="24"/>
              </w:rPr>
            </w:pPr>
            <w:r w:rsidRPr="000F3444">
              <w:rPr>
                <w:rFonts w:ascii="Times New Roman" w:eastAsia="Calibri" w:hAnsi="Times New Roman" w:cs="Times New Roman"/>
                <w:sz w:val="24"/>
                <w:szCs w:val="24"/>
              </w:rPr>
              <w:t>7</w:t>
            </w:r>
          </w:p>
        </w:tc>
        <w:tc>
          <w:tcPr>
            <w:tcW w:w="1418" w:type="dxa"/>
            <w:vAlign w:val="center"/>
          </w:tcPr>
          <w:p w14:paraId="70185561" w14:textId="77777777" w:rsidR="001F7759" w:rsidRPr="000F3444" w:rsidRDefault="001F7759" w:rsidP="006F6625">
            <w:pPr>
              <w:jc w:val="center"/>
              <w:rPr>
                <w:rFonts w:ascii="Times New Roman" w:eastAsia="Calibri" w:hAnsi="Times New Roman" w:cs="Times New Roman"/>
                <w:sz w:val="24"/>
                <w:szCs w:val="24"/>
              </w:rPr>
            </w:pPr>
            <w:r w:rsidRPr="000F3444">
              <w:rPr>
                <w:rFonts w:ascii="Times New Roman" w:eastAsia="Calibri" w:hAnsi="Times New Roman" w:cs="Times New Roman"/>
                <w:sz w:val="24"/>
                <w:szCs w:val="24"/>
              </w:rPr>
              <w:t>6</w:t>
            </w:r>
          </w:p>
        </w:tc>
      </w:tr>
      <w:tr w:rsidR="001F7759" w:rsidRPr="000F3444" w14:paraId="4CDC6A52" w14:textId="77777777" w:rsidTr="00CA070A">
        <w:trPr>
          <w:trHeight w:val="597"/>
        </w:trPr>
        <w:tc>
          <w:tcPr>
            <w:tcW w:w="2073" w:type="dxa"/>
            <w:vMerge/>
          </w:tcPr>
          <w:p w14:paraId="6EAF4A0A" w14:textId="77777777" w:rsidR="001F7759" w:rsidRPr="009951C9" w:rsidRDefault="001F7759" w:rsidP="001F7759">
            <w:pPr>
              <w:rPr>
                <w:rFonts w:ascii="Times New Roman" w:eastAsia="Calibri" w:hAnsi="Times New Roman" w:cs="Times New Roman"/>
                <w:b/>
                <w:sz w:val="24"/>
                <w:szCs w:val="24"/>
              </w:rPr>
            </w:pPr>
          </w:p>
        </w:tc>
        <w:tc>
          <w:tcPr>
            <w:tcW w:w="4018" w:type="dxa"/>
            <w:vAlign w:val="center"/>
          </w:tcPr>
          <w:p w14:paraId="55B842AA" w14:textId="77777777" w:rsidR="001F7759" w:rsidRPr="000F3444" w:rsidRDefault="001F7759" w:rsidP="006F6625">
            <w:pPr>
              <w:rPr>
                <w:rFonts w:ascii="Times New Roman" w:eastAsia="Calibri" w:hAnsi="Times New Roman" w:cs="Times New Roman"/>
                <w:sz w:val="24"/>
                <w:szCs w:val="24"/>
              </w:rPr>
            </w:pPr>
            <w:r w:rsidRPr="000F3444">
              <w:rPr>
                <w:rFonts w:ascii="Times New Roman" w:eastAsia="Calibri" w:hAnsi="Times New Roman" w:cs="Times New Roman"/>
                <w:i/>
                <w:sz w:val="24"/>
                <w:szCs w:val="24"/>
              </w:rPr>
              <w:t xml:space="preserve">GS </w:t>
            </w:r>
            <w:r w:rsidRPr="000F3444">
              <w:rPr>
                <w:rFonts w:ascii="Times New Roman" w:eastAsia="Calibri" w:hAnsi="Times New Roman" w:cs="Times New Roman"/>
                <w:sz w:val="24"/>
                <w:szCs w:val="24"/>
              </w:rPr>
              <w:t>Kapacitātes celšana pētījumiem par klimata pārmaiņām</w:t>
            </w:r>
          </w:p>
        </w:tc>
        <w:tc>
          <w:tcPr>
            <w:tcW w:w="1275" w:type="dxa"/>
            <w:vAlign w:val="center"/>
          </w:tcPr>
          <w:p w14:paraId="18E2564B" w14:textId="025103EB" w:rsidR="001F7759" w:rsidRPr="000F3444" w:rsidRDefault="001F7759" w:rsidP="006F6625">
            <w:pPr>
              <w:jc w:val="center"/>
              <w:rPr>
                <w:rFonts w:ascii="Times New Roman" w:eastAsia="Calibri" w:hAnsi="Times New Roman" w:cs="Times New Roman"/>
                <w:sz w:val="24"/>
                <w:szCs w:val="24"/>
              </w:rPr>
            </w:pPr>
            <w:r w:rsidRPr="000F3444">
              <w:rPr>
                <w:rFonts w:ascii="Times New Roman" w:eastAsia="Calibri" w:hAnsi="Times New Roman" w:cs="Times New Roman"/>
                <w:sz w:val="24"/>
                <w:szCs w:val="24"/>
              </w:rPr>
              <w:t>1</w:t>
            </w:r>
            <w:r w:rsidR="00934F54">
              <w:rPr>
                <w:rFonts w:ascii="Times New Roman" w:eastAsia="Calibri" w:hAnsi="Times New Roman" w:cs="Times New Roman"/>
                <w:sz w:val="24"/>
                <w:szCs w:val="24"/>
              </w:rPr>
              <w:t>8</w:t>
            </w:r>
          </w:p>
        </w:tc>
        <w:tc>
          <w:tcPr>
            <w:tcW w:w="1418" w:type="dxa"/>
            <w:vAlign w:val="center"/>
          </w:tcPr>
          <w:p w14:paraId="3E152941" w14:textId="1569438C" w:rsidR="001F7759" w:rsidRPr="000F3444" w:rsidRDefault="00934F54" w:rsidP="006F6625">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r>
      <w:tr w:rsidR="001F7759" w:rsidRPr="000F3444" w14:paraId="07CC6866" w14:textId="77777777" w:rsidTr="00CA070A">
        <w:trPr>
          <w:trHeight w:val="120"/>
        </w:trPr>
        <w:tc>
          <w:tcPr>
            <w:tcW w:w="2073" w:type="dxa"/>
          </w:tcPr>
          <w:p w14:paraId="3EE79F1C" w14:textId="77777777" w:rsidR="001F7759" w:rsidRPr="000F3444" w:rsidRDefault="001F7759" w:rsidP="001F7759">
            <w:pPr>
              <w:rPr>
                <w:rFonts w:ascii="Times New Roman" w:eastAsia="Calibri" w:hAnsi="Times New Roman" w:cs="Times New Roman"/>
                <w:sz w:val="24"/>
                <w:szCs w:val="24"/>
              </w:rPr>
            </w:pPr>
            <w:r w:rsidRPr="000F3444">
              <w:rPr>
                <w:rFonts w:ascii="Times New Roman" w:eastAsia="Calibri" w:hAnsi="Times New Roman" w:cs="Times New Roman"/>
                <w:b/>
                <w:sz w:val="24"/>
                <w:szCs w:val="24"/>
              </w:rPr>
              <w:lastRenderedPageBreak/>
              <w:t>Kapacitātes stiprināšana un institucionālā sadarbība starp Latvijas un Norvēģijas valsts institūcijām, vietējām un reģionālām iestādēm/</w:t>
            </w:r>
            <w:r w:rsidRPr="000F3444">
              <w:rPr>
                <w:rFonts w:ascii="Times New Roman" w:eastAsia="Calibri" w:hAnsi="Times New Roman" w:cs="Times New Roman"/>
                <w:sz w:val="24"/>
                <w:szCs w:val="24"/>
              </w:rPr>
              <w:t xml:space="preserve"> VARAM</w:t>
            </w:r>
          </w:p>
        </w:tc>
        <w:tc>
          <w:tcPr>
            <w:tcW w:w="4018" w:type="dxa"/>
            <w:vAlign w:val="center"/>
          </w:tcPr>
          <w:p w14:paraId="56CFCE69" w14:textId="77777777" w:rsidR="001F7759" w:rsidRPr="000F3444" w:rsidRDefault="001F7759" w:rsidP="006F6625">
            <w:pPr>
              <w:rPr>
                <w:rFonts w:ascii="Times New Roman" w:eastAsia="Calibri" w:hAnsi="Times New Roman" w:cs="Times New Roman"/>
                <w:sz w:val="24"/>
                <w:szCs w:val="24"/>
              </w:rPr>
            </w:pPr>
            <w:r w:rsidRPr="000F3444">
              <w:rPr>
                <w:rFonts w:ascii="Times New Roman" w:eastAsia="Calibri" w:hAnsi="Times New Roman" w:cs="Times New Roman"/>
                <w:i/>
                <w:sz w:val="24"/>
                <w:szCs w:val="24"/>
              </w:rPr>
              <w:t xml:space="preserve">INP </w:t>
            </w:r>
            <w:r w:rsidRPr="000F3444">
              <w:rPr>
                <w:rFonts w:ascii="Times New Roman" w:eastAsia="Calibri" w:hAnsi="Times New Roman" w:cs="Times New Roman"/>
                <w:sz w:val="24"/>
                <w:szCs w:val="24"/>
              </w:rPr>
              <w:t>Latvijas īpaši aizsargājamo dabas teritoriju integrācija teritorijas plānojumā.</w:t>
            </w:r>
          </w:p>
          <w:p w14:paraId="7D2E78CB" w14:textId="77777777" w:rsidR="001F7759" w:rsidRPr="000F3444" w:rsidRDefault="001F7759" w:rsidP="006F6625">
            <w:pPr>
              <w:rPr>
                <w:rFonts w:ascii="Times New Roman" w:eastAsia="Calibri" w:hAnsi="Times New Roman" w:cs="Times New Roman"/>
                <w:sz w:val="24"/>
                <w:szCs w:val="24"/>
              </w:rPr>
            </w:pPr>
            <w:r w:rsidRPr="000F3444">
              <w:rPr>
                <w:rFonts w:ascii="Times New Roman" w:eastAsia="Calibri" w:hAnsi="Times New Roman" w:cs="Times New Roman"/>
                <w:sz w:val="24"/>
                <w:szCs w:val="24"/>
                <w:u w:val="single"/>
              </w:rPr>
              <w:t>Pagarinātie</w:t>
            </w:r>
            <w:r w:rsidRPr="000F3444">
              <w:rPr>
                <w:rFonts w:ascii="Times New Roman" w:eastAsia="Calibri" w:hAnsi="Times New Roman" w:cs="Times New Roman"/>
                <w:sz w:val="24"/>
                <w:szCs w:val="24"/>
              </w:rPr>
              <w:t>: Reģionālās politikas aktivitāšu īstenošana Latvijā.</w:t>
            </w:r>
          </w:p>
          <w:p w14:paraId="7ADCFE1A" w14:textId="77777777" w:rsidR="001F7759" w:rsidRPr="000F3444" w:rsidRDefault="001F7759" w:rsidP="006F6625">
            <w:pPr>
              <w:rPr>
                <w:rFonts w:ascii="Times New Roman" w:eastAsia="Calibri" w:hAnsi="Times New Roman" w:cs="Times New Roman"/>
                <w:sz w:val="24"/>
                <w:szCs w:val="24"/>
              </w:rPr>
            </w:pPr>
            <w:r w:rsidRPr="000F3444">
              <w:rPr>
                <w:rFonts w:ascii="Times New Roman" w:eastAsia="Calibri" w:hAnsi="Times New Roman" w:cs="Times New Roman"/>
                <w:sz w:val="24"/>
                <w:szCs w:val="24"/>
              </w:rPr>
              <w:t>Kapacitātes palielināšana un attīstības plānošanas dokumentu izstrāde.</w:t>
            </w:r>
          </w:p>
          <w:p w14:paraId="0B0D1D1D" w14:textId="77777777" w:rsidR="001F7759" w:rsidRPr="000F3444" w:rsidRDefault="001F7759" w:rsidP="006F6625">
            <w:pPr>
              <w:rPr>
                <w:rFonts w:ascii="Times New Roman" w:eastAsia="Calibri" w:hAnsi="Times New Roman" w:cs="Times New Roman"/>
                <w:i/>
                <w:sz w:val="24"/>
                <w:szCs w:val="24"/>
              </w:rPr>
            </w:pPr>
            <w:r w:rsidRPr="000F3444">
              <w:rPr>
                <w:rFonts w:ascii="Times New Roman" w:eastAsia="Calibri" w:hAnsi="Times New Roman" w:cs="Times New Roman"/>
                <w:sz w:val="24"/>
                <w:szCs w:val="24"/>
              </w:rPr>
              <w:t xml:space="preserve">Lietpratīga pārvaldība un Latvijas pašvaldību veiktspējas uzlabošana. </w:t>
            </w:r>
          </w:p>
        </w:tc>
        <w:tc>
          <w:tcPr>
            <w:tcW w:w="1275" w:type="dxa"/>
            <w:vAlign w:val="center"/>
          </w:tcPr>
          <w:p w14:paraId="1122AA25" w14:textId="77777777" w:rsidR="001F7759" w:rsidRPr="000F3444" w:rsidRDefault="001F7759" w:rsidP="006F6625">
            <w:pPr>
              <w:jc w:val="center"/>
              <w:rPr>
                <w:rFonts w:ascii="Times New Roman" w:eastAsia="Calibri" w:hAnsi="Times New Roman" w:cs="Times New Roman"/>
                <w:sz w:val="24"/>
                <w:szCs w:val="24"/>
              </w:rPr>
            </w:pPr>
            <w:r w:rsidRPr="000F3444">
              <w:rPr>
                <w:rFonts w:ascii="Times New Roman" w:eastAsia="Calibri" w:hAnsi="Times New Roman" w:cs="Times New Roman"/>
                <w:sz w:val="24"/>
                <w:szCs w:val="24"/>
              </w:rPr>
              <w:t>4</w:t>
            </w:r>
          </w:p>
        </w:tc>
        <w:tc>
          <w:tcPr>
            <w:tcW w:w="1418" w:type="dxa"/>
            <w:vAlign w:val="center"/>
          </w:tcPr>
          <w:p w14:paraId="79E6014A" w14:textId="77777777" w:rsidR="001F7759" w:rsidRPr="000F3444" w:rsidRDefault="001F7759" w:rsidP="006F6625">
            <w:pPr>
              <w:jc w:val="center"/>
              <w:rPr>
                <w:rFonts w:ascii="Times New Roman" w:eastAsia="Calibri" w:hAnsi="Times New Roman" w:cs="Times New Roman"/>
                <w:sz w:val="24"/>
                <w:szCs w:val="24"/>
              </w:rPr>
            </w:pPr>
            <w:r w:rsidRPr="000F3444">
              <w:rPr>
                <w:rFonts w:ascii="Times New Roman" w:eastAsia="Calibri" w:hAnsi="Times New Roman" w:cs="Times New Roman"/>
                <w:sz w:val="24"/>
                <w:szCs w:val="24"/>
              </w:rPr>
              <w:t>3</w:t>
            </w:r>
          </w:p>
        </w:tc>
      </w:tr>
      <w:tr w:rsidR="001F7759" w:rsidRPr="000F3444" w14:paraId="2027A757" w14:textId="77777777" w:rsidTr="00CA070A">
        <w:trPr>
          <w:trHeight w:val="147"/>
        </w:trPr>
        <w:tc>
          <w:tcPr>
            <w:tcW w:w="2073" w:type="dxa"/>
            <w:vMerge w:val="restart"/>
          </w:tcPr>
          <w:p w14:paraId="47CDD5EA" w14:textId="77777777" w:rsidR="001F7759" w:rsidRPr="000F3444" w:rsidRDefault="001F7759" w:rsidP="001F7759">
            <w:pPr>
              <w:rPr>
                <w:rFonts w:ascii="Times New Roman" w:eastAsia="Calibri" w:hAnsi="Times New Roman" w:cs="Times New Roman"/>
                <w:sz w:val="24"/>
                <w:szCs w:val="24"/>
                <w:highlight w:val="yellow"/>
              </w:rPr>
            </w:pPr>
            <w:r w:rsidRPr="000F3444">
              <w:rPr>
                <w:rFonts w:ascii="Times New Roman" w:eastAsia="Calibri" w:hAnsi="Times New Roman" w:cs="Times New Roman"/>
                <w:b/>
                <w:sz w:val="24"/>
                <w:szCs w:val="24"/>
              </w:rPr>
              <w:t>Pētniecība un stipendijas</w:t>
            </w:r>
            <w:r w:rsidRPr="000F3444">
              <w:rPr>
                <w:rFonts w:ascii="Times New Roman" w:eastAsia="Calibri" w:hAnsi="Times New Roman" w:cs="Times New Roman"/>
                <w:sz w:val="24"/>
                <w:szCs w:val="24"/>
              </w:rPr>
              <w:t>/ IZM</w:t>
            </w:r>
          </w:p>
        </w:tc>
        <w:tc>
          <w:tcPr>
            <w:tcW w:w="4018" w:type="dxa"/>
            <w:vAlign w:val="center"/>
          </w:tcPr>
          <w:p w14:paraId="3E944913" w14:textId="77777777" w:rsidR="001F7759" w:rsidRPr="000F3444" w:rsidRDefault="001F7759" w:rsidP="006F6625">
            <w:pPr>
              <w:rPr>
                <w:rFonts w:ascii="Times New Roman" w:eastAsia="Calibri" w:hAnsi="Times New Roman" w:cs="Times New Roman"/>
                <w:sz w:val="24"/>
                <w:szCs w:val="24"/>
              </w:rPr>
            </w:pPr>
            <w:r w:rsidRPr="000F3444">
              <w:rPr>
                <w:rFonts w:ascii="Times New Roman" w:eastAsia="Calibri" w:hAnsi="Times New Roman" w:cs="Times New Roman"/>
                <w:i/>
                <w:sz w:val="24"/>
                <w:szCs w:val="24"/>
              </w:rPr>
              <w:t>AK</w:t>
            </w:r>
            <w:r w:rsidRPr="000F3444">
              <w:rPr>
                <w:rFonts w:ascii="Times New Roman" w:eastAsia="Calibri" w:hAnsi="Times New Roman" w:cs="Times New Roman"/>
                <w:sz w:val="24"/>
                <w:szCs w:val="24"/>
              </w:rPr>
              <w:t xml:space="preserve"> Pētniecība</w:t>
            </w:r>
            <w:r w:rsidRPr="000F3444">
              <w:rPr>
                <w:rFonts w:ascii="Times New Roman" w:eastAsia="Calibri" w:hAnsi="Times New Roman" w:cs="Times New Roman"/>
                <w:sz w:val="24"/>
                <w:szCs w:val="24"/>
                <w:vertAlign w:val="superscript"/>
              </w:rPr>
              <w:footnoteReference w:id="29"/>
            </w:r>
          </w:p>
        </w:tc>
        <w:tc>
          <w:tcPr>
            <w:tcW w:w="1275" w:type="dxa"/>
            <w:vAlign w:val="center"/>
          </w:tcPr>
          <w:p w14:paraId="59C43A4A" w14:textId="77777777" w:rsidR="001F7759" w:rsidRPr="000F3444" w:rsidRDefault="001F7759" w:rsidP="006F6625">
            <w:pPr>
              <w:jc w:val="center"/>
              <w:rPr>
                <w:rFonts w:ascii="Times New Roman" w:eastAsia="Calibri" w:hAnsi="Times New Roman" w:cs="Times New Roman"/>
                <w:sz w:val="24"/>
                <w:szCs w:val="24"/>
              </w:rPr>
            </w:pPr>
            <w:r w:rsidRPr="000F3444">
              <w:rPr>
                <w:rFonts w:ascii="Times New Roman" w:eastAsia="Calibri" w:hAnsi="Times New Roman" w:cs="Times New Roman"/>
                <w:sz w:val="24"/>
                <w:szCs w:val="24"/>
              </w:rPr>
              <w:t>11</w:t>
            </w:r>
          </w:p>
        </w:tc>
        <w:tc>
          <w:tcPr>
            <w:tcW w:w="1418" w:type="dxa"/>
            <w:vAlign w:val="center"/>
          </w:tcPr>
          <w:p w14:paraId="57FD014C" w14:textId="77777777" w:rsidR="001F7759" w:rsidRPr="000F3444" w:rsidRDefault="001F7759" w:rsidP="006F6625">
            <w:pPr>
              <w:jc w:val="center"/>
              <w:rPr>
                <w:rFonts w:ascii="Times New Roman" w:eastAsia="Calibri" w:hAnsi="Times New Roman" w:cs="Times New Roman"/>
                <w:sz w:val="24"/>
                <w:szCs w:val="24"/>
              </w:rPr>
            </w:pPr>
            <w:r w:rsidRPr="000F3444">
              <w:rPr>
                <w:rFonts w:ascii="Times New Roman" w:eastAsia="Calibri" w:hAnsi="Times New Roman" w:cs="Times New Roman"/>
                <w:sz w:val="24"/>
                <w:szCs w:val="24"/>
              </w:rPr>
              <w:t>11</w:t>
            </w:r>
          </w:p>
        </w:tc>
      </w:tr>
      <w:tr w:rsidR="001F7759" w:rsidRPr="000F3444" w14:paraId="09515962" w14:textId="77777777" w:rsidTr="00CA070A">
        <w:trPr>
          <w:trHeight w:val="193"/>
        </w:trPr>
        <w:tc>
          <w:tcPr>
            <w:tcW w:w="2073" w:type="dxa"/>
            <w:vMerge/>
          </w:tcPr>
          <w:p w14:paraId="2C4B6935" w14:textId="77777777" w:rsidR="001F7759" w:rsidRPr="009951C9" w:rsidRDefault="001F7759" w:rsidP="001F7759">
            <w:pPr>
              <w:rPr>
                <w:rFonts w:ascii="Times New Roman" w:eastAsia="Calibri" w:hAnsi="Times New Roman" w:cs="Times New Roman"/>
                <w:b/>
                <w:sz w:val="24"/>
                <w:szCs w:val="24"/>
                <w:highlight w:val="yellow"/>
              </w:rPr>
            </w:pPr>
          </w:p>
        </w:tc>
        <w:tc>
          <w:tcPr>
            <w:tcW w:w="4018" w:type="dxa"/>
            <w:vAlign w:val="center"/>
          </w:tcPr>
          <w:p w14:paraId="640FDD5C" w14:textId="77777777" w:rsidR="001F7759" w:rsidRPr="000F3444" w:rsidRDefault="001F7759" w:rsidP="006F6625">
            <w:pPr>
              <w:rPr>
                <w:rFonts w:ascii="Times New Roman" w:eastAsia="Calibri" w:hAnsi="Times New Roman" w:cs="Times New Roman"/>
                <w:sz w:val="24"/>
                <w:szCs w:val="24"/>
              </w:rPr>
            </w:pPr>
            <w:r w:rsidRPr="000F3444">
              <w:rPr>
                <w:rFonts w:ascii="Times New Roman" w:eastAsia="Calibri" w:hAnsi="Times New Roman" w:cs="Times New Roman"/>
                <w:i/>
                <w:sz w:val="24"/>
                <w:szCs w:val="24"/>
              </w:rPr>
              <w:t>AK</w:t>
            </w:r>
            <w:r w:rsidRPr="000F3444">
              <w:rPr>
                <w:rFonts w:ascii="Times New Roman" w:eastAsia="Calibri" w:hAnsi="Times New Roman" w:cs="Times New Roman"/>
                <w:sz w:val="24"/>
                <w:szCs w:val="24"/>
              </w:rPr>
              <w:t xml:space="preserve"> Stipendijas</w:t>
            </w:r>
          </w:p>
        </w:tc>
        <w:tc>
          <w:tcPr>
            <w:tcW w:w="1275" w:type="dxa"/>
            <w:vAlign w:val="center"/>
          </w:tcPr>
          <w:p w14:paraId="4FABFAB9" w14:textId="77777777" w:rsidR="001F7759" w:rsidRPr="000F3444" w:rsidRDefault="001F7759" w:rsidP="006F6625">
            <w:pPr>
              <w:jc w:val="center"/>
              <w:rPr>
                <w:rFonts w:ascii="Times New Roman" w:eastAsia="Calibri" w:hAnsi="Times New Roman" w:cs="Times New Roman"/>
                <w:sz w:val="24"/>
                <w:szCs w:val="24"/>
              </w:rPr>
            </w:pPr>
            <w:r w:rsidRPr="000F3444">
              <w:rPr>
                <w:rFonts w:ascii="Times New Roman" w:eastAsia="Calibri" w:hAnsi="Times New Roman" w:cs="Times New Roman"/>
                <w:sz w:val="24"/>
                <w:szCs w:val="24"/>
              </w:rPr>
              <w:t>27</w:t>
            </w:r>
          </w:p>
        </w:tc>
        <w:tc>
          <w:tcPr>
            <w:tcW w:w="1418" w:type="dxa"/>
            <w:vAlign w:val="center"/>
          </w:tcPr>
          <w:p w14:paraId="13BE5F0E" w14:textId="77777777" w:rsidR="001F7759" w:rsidRPr="000F3444" w:rsidRDefault="001F7759" w:rsidP="006F6625">
            <w:pPr>
              <w:jc w:val="center"/>
              <w:rPr>
                <w:rFonts w:ascii="Times New Roman" w:eastAsia="Calibri" w:hAnsi="Times New Roman" w:cs="Times New Roman"/>
                <w:sz w:val="24"/>
                <w:szCs w:val="24"/>
              </w:rPr>
            </w:pPr>
            <w:r w:rsidRPr="000F3444">
              <w:rPr>
                <w:rFonts w:ascii="Times New Roman" w:eastAsia="Calibri" w:hAnsi="Times New Roman" w:cs="Times New Roman"/>
                <w:sz w:val="24"/>
                <w:szCs w:val="24"/>
              </w:rPr>
              <w:t>10</w:t>
            </w:r>
          </w:p>
        </w:tc>
      </w:tr>
      <w:tr w:rsidR="001F7759" w:rsidRPr="000F3444" w14:paraId="64449A0F" w14:textId="77777777" w:rsidTr="00CA070A">
        <w:trPr>
          <w:trHeight w:val="367"/>
        </w:trPr>
        <w:tc>
          <w:tcPr>
            <w:tcW w:w="2073" w:type="dxa"/>
            <w:vMerge w:val="restart"/>
          </w:tcPr>
          <w:p w14:paraId="10DEA80C" w14:textId="77777777" w:rsidR="001F7759" w:rsidRPr="000F3444" w:rsidRDefault="001F7759" w:rsidP="001F7759">
            <w:pPr>
              <w:rPr>
                <w:rFonts w:ascii="Times New Roman" w:eastAsia="Calibri" w:hAnsi="Times New Roman" w:cs="Times New Roman"/>
                <w:sz w:val="24"/>
                <w:szCs w:val="24"/>
                <w:highlight w:val="yellow"/>
              </w:rPr>
            </w:pPr>
            <w:r w:rsidRPr="000F3444">
              <w:rPr>
                <w:rFonts w:ascii="Times New Roman" w:eastAsia="Calibri" w:hAnsi="Times New Roman" w:cs="Times New Roman"/>
                <w:b/>
                <w:sz w:val="24"/>
                <w:szCs w:val="24"/>
              </w:rPr>
              <w:t>Inovācijas "zaļās" ražošanas jomā</w:t>
            </w:r>
            <w:r w:rsidRPr="000F3444">
              <w:rPr>
                <w:rFonts w:ascii="Times New Roman" w:eastAsia="Calibri" w:hAnsi="Times New Roman" w:cs="Times New Roman"/>
                <w:sz w:val="24"/>
                <w:szCs w:val="24"/>
              </w:rPr>
              <w:t>/ EM</w:t>
            </w:r>
          </w:p>
        </w:tc>
        <w:tc>
          <w:tcPr>
            <w:tcW w:w="4018" w:type="dxa"/>
            <w:vAlign w:val="center"/>
          </w:tcPr>
          <w:p w14:paraId="48E1849D" w14:textId="77777777" w:rsidR="001F7759" w:rsidRPr="000F3444" w:rsidRDefault="001F7759" w:rsidP="006F6625">
            <w:pPr>
              <w:rPr>
                <w:rFonts w:ascii="Times New Roman" w:eastAsia="Calibri" w:hAnsi="Times New Roman" w:cs="Times New Roman"/>
                <w:sz w:val="24"/>
                <w:szCs w:val="24"/>
              </w:rPr>
            </w:pPr>
            <w:r w:rsidRPr="000F3444">
              <w:rPr>
                <w:rFonts w:ascii="Times New Roman" w:eastAsia="Calibri" w:hAnsi="Times New Roman" w:cs="Times New Roman"/>
                <w:sz w:val="24"/>
                <w:szCs w:val="24"/>
              </w:rPr>
              <w:t>INP – Zaļo tehnoloģiju inkubators</w:t>
            </w:r>
          </w:p>
        </w:tc>
        <w:tc>
          <w:tcPr>
            <w:tcW w:w="1275" w:type="dxa"/>
            <w:vAlign w:val="center"/>
          </w:tcPr>
          <w:p w14:paraId="0EA953FA" w14:textId="77777777" w:rsidR="001F7759" w:rsidRPr="000F3444" w:rsidRDefault="001F7759" w:rsidP="006F6625">
            <w:pPr>
              <w:jc w:val="center"/>
              <w:rPr>
                <w:rFonts w:ascii="Times New Roman" w:eastAsia="Calibri" w:hAnsi="Times New Roman" w:cs="Times New Roman"/>
                <w:color w:val="000000" w:themeColor="text1"/>
                <w:sz w:val="24"/>
                <w:szCs w:val="24"/>
              </w:rPr>
            </w:pPr>
            <w:r w:rsidRPr="000F3444">
              <w:rPr>
                <w:rFonts w:ascii="Times New Roman" w:eastAsia="Calibri" w:hAnsi="Times New Roman" w:cs="Times New Roman"/>
                <w:color w:val="000000" w:themeColor="text1"/>
                <w:sz w:val="24"/>
                <w:szCs w:val="24"/>
              </w:rPr>
              <w:t>1</w:t>
            </w:r>
          </w:p>
        </w:tc>
        <w:tc>
          <w:tcPr>
            <w:tcW w:w="1418" w:type="dxa"/>
            <w:vAlign w:val="center"/>
          </w:tcPr>
          <w:p w14:paraId="1107689A" w14:textId="77777777" w:rsidR="001F7759" w:rsidRPr="000F3444" w:rsidRDefault="001F7759" w:rsidP="006F6625">
            <w:pPr>
              <w:jc w:val="center"/>
              <w:rPr>
                <w:rFonts w:ascii="Times New Roman" w:eastAsia="Calibri" w:hAnsi="Times New Roman" w:cs="Times New Roman"/>
                <w:color w:val="000000" w:themeColor="text1"/>
                <w:sz w:val="24"/>
                <w:szCs w:val="24"/>
              </w:rPr>
            </w:pPr>
            <w:r w:rsidRPr="000F3444">
              <w:rPr>
                <w:rFonts w:ascii="Times New Roman" w:eastAsia="Calibri" w:hAnsi="Times New Roman" w:cs="Times New Roman"/>
                <w:color w:val="000000" w:themeColor="text1"/>
                <w:sz w:val="24"/>
                <w:szCs w:val="24"/>
              </w:rPr>
              <w:t>1</w:t>
            </w:r>
          </w:p>
        </w:tc>
      </w:tr>
      <w:tr w:rsidR="001F7759" w:rsidRPr="000F3444" w14:paraId="1A4EE886" w14:textId="77777777" w:rsidTr="00CA070A">
        <w:trPr>
          <w:trHeight w:val="367"/>
        </w:trPr>
        <w:tc>
          <w:tcPr>
            <w:tcW w:w="2073" w:type="dxa"/>
            <w:vMerge/>
          </w:tcPr>
          <w:p w14:paraId="36D7218B" w14:textId="77777777" w:rsidR="001F7759" w:rsidRPr="009951C9" w:rsidRDefault="001F7759" w:rsidP="001F7759">
            <w:pPr>
              <w:rPr>
                <w:rFonts w:ascii="Times New Roman" w:eastAsia="Calibri" w:hAnsi="Times New Roman" w:cs="Times New Roman"/>
                <w:b/>
                <w:sz w:val="24"/>
                <w:szCs w:val="24"/>
              </w:rPr>
            </w:pPr>
          </w:p>
        </w:tc>
        <w:tc>
          <w:tcPr>
            <w:tcW w:w="4018" w:type="dxa"/>
            <w:vAlign w:val="center"/>
          </w:tcPr>
          <w:p w14:paraId="762EA124" w14:textId="77777777" w:rsidR="001F7759" w:rsidRPr="000F3444" w:rsidRDefault="001F7759" w:rsidP="006F6625">
            <w:pPr>
              <w:rPr>
                <w:rFonts w:ascii="Times New Roman" w:eastAsia="Calibri" w:hAnsi="Times New Roman" w:cs="Times New Roman"/>
                <w:i/>
                <w:sz w:val="24"/>
                <w:szCs w:val="24"/>
              </w:rPr>
            </w:pPr>
            <w:r w:rsidRPr="000F3444">
              <w:rPr>
                <w:rFonts w:ascii="Times New Roman" w:eastAsia="Calibri" w:hAnsi="Times New Roman" w:cs="Times New Roman"/>
                <w:i/>
                <w:sz w:val="24"/>
                <w:szCs w:val="24"/>
              </w:rPr>
              <w:t>GS</w:t>
            </w:r>
            <w:r w:rsidRPr="000F3444">
              <w:rPr>
                <w:rFonts w:ascii="Times New Roman" w:eastAsia="Calibri" w:hAnsi="Times New Roman" w:cs="Times New Roman"/>
                <w:sz w:val="24"/>
                <w:szCs w:val="24"/>
              </w:rPr>
              <w:t xml:space="preserve"> Inkubācijas pakalpojumu 1.kārta</w:t>
            </w:r>
          </w:p>
        </w:tc>
        <w:tc>
          <w:tcPr>
            <w:tcW w:w="1275" w:type="dxa"/>
            <w:vAlign w:val="center"/>
          </w:tcPr>
          <w:p w14:paraId="75E8E580" w14:textId="77777777" w:rsidR="001F7759" w:rsidRPr="000F3444" w:rsidRDefault="001F7759" w:rsidP="006F6625">
            <w:pPr>
              <w:jc w:val="center"/>
              <w:rPr>
                <w:rFonts w:ascii="Times New Roman" w:eastAsia="Calibri" w:hAnsi="Times New Roman" w:cs="Times New Roman"/>
                <w:color w:val="000000" w:themeColor="text1"/>
                <w:sz w:val="24"/>
                <w:szCs w:val="24"/>
              </w:rPr>
            </w:pPr>
            <w:r w:rsidRPr="000F3444">
              <w:rPr>
                <w:rFonts w:ascii="Times New Roman" w:eastAsia="Calibri" w:hAnsi="Times New Roman" w:cs="Times New Roman"/>
                <w:color w:val="000000" w:themeColor="text1"/>
                <w:sz w:val="24"/>
                <w:szCs w:val="24"/>
              </w:rPr>
              <w:t>4</w:t>
            </w:r>
          </w:p>
        </w:tc>
        <w:tc>
          <w:tcPr>
            <w:tcW w:w="1418" w:type="dxa"/>
            <w:vAlign w:val="center"/>
          </w:tcPr>
          <w:p w14:paraId="02B9506C" w14:textId="77777777" w:rsidR="001F7759" w:rsidRPr="000F3444" w:rsidRDefault="001F7759" w:rsidP="006F6625">
            <w:pPr>
              <w:jc w:val="center"/>
              <w:rPr>
                <w:rFonts w:ascii="Times New Roman" w:eastAsia="Calibri" w:hAnsi="Times New Roman" w:cs="Times New Roman"/>
                <w:color w:val="000000" w:themeColor="text1"/>
                <w:sz w:val="24"/>
                <w:szCs w:val="24"/>
              </w:rPr>
            </w:pPr>
            <w:r w:rsidRPr="000F3444">
              <w:rPr>
                <w:rFonts w:ascii="Times New Roman" w:eastAsia="Calibri" w:hAnsi="Times New Roman" w:cs="Times New Roman"/>
                <w:color w:val="000000" w:themeColor="text1"/>
                <w:sz w:val="24"/>
                <w:szCs w:val="24"/>
              </w:rPr>
              <w:t>4</w:t>
            </w:r>
          </w:p>
        </w:tc>
      </w:tr>
      <w:tr w:rsidR="001F7759" w:rsidRPr="000F3444" w14:paraId="5E94F278" w14:textId="77777777" w:rsidTr="00CA070A">
        <w:trPr>
          <w:trHeight w:val="352"/>
        </w:trPr>
        <w:tc>
          <w:tcPr>
            <w:tcW w:w="2073" w:type="dxa"/>
            <w:vMerge/>
          </w:tcPr>
          <w:p w14:paraId="603B1361" w14:textId="77777777" w:rsidR="001F7759" w:rsidRPr="009951C9" w:rsidRDefault="001F7759">
            <w:pPr>
              <w:rPr>
                <w:rFonts w:ascii="Times New Roman" w:eastAsia="Calibri" w:hAnsi="Times New Roman" w:cs="Times New Roman"/>
                <w:b/>
                <w:sz w:val="24"/>
                <w:szCs w:val="24"/>
                <w:highlight w:val="yellow"/>
              </w:rPr>
            </w:pPr>
          </w:p>
        </w:tc>
        <w:tc>
          <w:tcPr>
            <w:tcW w:w="4018" w:type="dxa"/>
            <w:vAlign w:val="center"/>
          </w:tcPr>
          <w:p w14:paraId="556351A5" w14:textId="77777777" w:rsidR="001F7759" w:rsidRPr="000F3444" w:rsidRDefault="001F7759">
            <w:pPr>
              <w:rPr>
                <w:rFonts w:ascii="Times New Roman" w:eastAsia="Calibri" w:hAnsi="Times New Roman" w:cs="Times New Roman"/>
                <w:i/>
                <w:sz w:val="24"/>
                <w:szCs w:val="24"/>
                <w:highlight w:val="yellow"/>
              </w:rPr>
            </w:pPr>
            <w:r w:rsidRPr="000F3444">
              <w:rPr>
                <w:rFonts w:ascii="Times New Roman" w:eastAsia="Calibri" w:hAnsi="Times New Roman" w:cs="Times New Roman"/>
                <w:i/>
                <w:sz w:val="24"/>
                <w:szCs w:val="24"/>
              </w:rPr>
              <w:t>GS</w:t>
            </w:r>
            <w:r w:rsidRPr="000F3444">
              <w:rPr>
                <w:rFonts w:ascii="Times New Roman" w:eastAsia="Calibri" w:hAnsi="Times New Roman" w:cs="Times New Roman"/>
                <w:sz w:val="24"/>
                <w:szCs w:val="24"/>
              </w:rPr>
              <w:t xml:space="preserve"> Inkubācijas pakalpojumu 2.kārta</w:t>
            </w:r>
          </w:p>
        </w:tc>
        <w:tc>
          <w:tcPr>
            <w:tcW w:w="1275" w:type="dxa"/>
            <w:vAlign w:val="center"/>
          </w:tcPr>
          <w:p w14:paraId="5E4005E0" w14:textId="77777777" w:rsidR="001F7759" w:rsidRPr="000F3444" w:rsidRDefault="001F7759">
            <w:pPr>
              <w:jc w:val="center"/>
              <w:rPr>
                <w:rFonts w:ascii="Times New Roman" w:eastAsia="Calibri" w:hAnsi="Times New Roman" w:cs="Times New Roman"/>
                <w:sz w:val="24"/>
                <w:szCs w:val="24"/>
              </w:rPr>
            </w:pPr>
            <w:r w:rsidRPr="000F3444">
              <w:rPr>
                <w:rFonts w:ascii="Times New Roman" w:eastAsia="Calibri" w:hAnsi="Times New Roman" w:cs="Times New Roman"/>
                <w:sz w:val="24"/>
                <w:szCs w:val="24"/>
              </w:rPr>
              <w:t>6</w:t>
            </w:r>
          </w:p>
        </w:tc>
        <w:tc>
          <w:tcPr>
            <w:tcW w:w="1418" w:type="dxa"/>
            <w:vAlign w:val="center"/>
          </w:tcPr>
          <w:p w14:paraId="592E4188" w14:textId="77777777" w:rsidR="001F7759" w:rsidRPr="000F3444" w:rsidRDefault="001F7759">
            <w:pPr>
              <w:jc w:val="center"/>
              <w:rPr>
                <w:rFonts w:ascii="Times New Roman" w:eastAsia="Calibri" w:hAnsi="Times New Roman" w:cs="Times New Roman"/>
                <w:sz w:val="24"/>
                <w:szCs w:val="24"/>
              </w:rPr>
            </w:pPr>
            <w:r w:rsidRPr="000F3444">
              <w:rPr>
                <w:rFonts w:ascii="Times New Roman" w:eastAsia="Calibri" w:hAnsi="Times New Roman" w:cs="Times New Roman"/>
                <w:sz w:val="24"/>
                <w:szCs w:val="24"/>
              </w:rPr>
              <w:t>5</w:t>
            </w:r>
          </w:p>
        </w:tc>
      </w:tr>
      <w:tr w:rsidR="001F7759" w:rsidRPr="000F3444" w14:paraId="3197E496" w14:textId="77777777" w:rsidTr="00CA070A">
        <w:trPr>
          <w:trHeight w:val="375"/>
        </w:trPr>
        <w:tc>
          <w:tcPr>
            <w:tcW w:w="2073" w:type="dxa"/>
            <w:vMerge/>
          </w:tcPr>
          <w:p w14:paraId="1326CD4C" w14:textId="77777777" w:rsidR="001F7759" w:rsidRPr="001A67AD" w:rsidRDefault="001F7759">
            <w:pPr>
              <w:rPr>
                <w:rFonts w:ascii="Times New Roman" w:eastAsia="Calibri" w:hAnsi="Times New Roman" w:cs="Times New Roman"/>
                <w:b/>
                <w:sz w:val="24"/>
                <w:szCs w:val="24"/>
                <w:highlight w:val="yellow"/>
              </w:rPr>
            </w:pPr>
          </w:p>
        </w:tc>
        <w:tc>
          <w:tcPr>
            <w:tcW w:w="4018" w:type="dxa"/>
            <w:vAlign w:val="center"/>
          </w:tcPr>
          <w:p w14:paraId="529E9F12" w14:textId="77777777" w:rsidR="001F7759" w:rsidRPr="000F3444" w:rsidRDefault="001F7759">
            <w:pPr>
              <w:rPr>
                <w:rFonts w:ascii="Times New Roman" w:eastAsia="Calibri" w:hAnsi="Times New Roman" w:cs="Times New Roman"/>
                <w:sz w:val="24"/>
                <w:szCs w:val="24"/>
              </w:rPr>
            </w:pPr>
            <w:r w:rsidRPr="000F3444">
              <w:rPr>
                <w:rFonts w:ascii="Times New Roman" w:eastAsia="Calibri" w:hAnsi="Times New Roman" w:cs="Times New Roman"/>
                <w:i/>
                <w:sz w:val="24"/>
                <w:szCs w:val="24"/>
              </w:rPr>
              <w:t>GS</w:t>
            </w:r>
            <w:r w:rsidRPr="000F3444">
              <w:rPr>
                <w:rFonts w:ascii="Times New Roman" w:eastAsia="Calibri" w:hAnsi="Times New Roman" w:cs="Times New Roman"/>
                <w:sz w:val="24"/>
                <w:szCs w:val="24"/>
              </w:rPr>
              <w:t xml:space="preserve"> Inkubācijas pakalpojumu 3.kārta</w:t>
            </w:r>
          </w:p>
        </w:tc>
        <w:tc>
          <w:tcPr>
            <w:tcW w:w="1275" w:type="dxa"/>
            <w:vAlign w:val="center"/>
          </w:tcPr>
          <w:p w14:paraId="2A4953CD" w14:textId="77777777" w:rsidR="001F7759" w:rsidRPr="000F3444" w:rsidRDefault="001F7759">
            <w:pPr>
              <w:jc w:val="center"/>
              <w:rPr>
                <w:rFonts w:ascii="Times New Roman" w:eastAsia="Calibri" w:hAnsi="Times New Roman" w:cs="Times New Roman"/>
                <w:sz w:val="24"/>
                <w:szCs w:val="24"/>
              </w:rPr>
            </w:pPr>
            <w:r w:rsidRPr="000F3444">
              <w:rPr>
                <w:rFonts w:ascii="Times New Roman" w:eastAsia="Calibri" w:hAnsi="Times New Roman" w:cs="Times New Roman"/>
                <w:sz w:val="24"/>
                <w:szCs w:val="24"/>
              </w:rPr>
              <w:t>14</w:t>
            </w:r>
          </w:p>
        </w:tc>
        <w:tc>
          <w:tcPr>
            <w:tcW w:w="1418" w:type="dxa"/>
            <w:vAlign w:val="center"/>
          </w:tcPr>
          <w:p w14:paraId="5A20A647" w14:textId="77777777" w:rsidR="001F7759" w:rsidRPr="000F3444" w:rsidRDefault="001F7759">
            <w:pPr>
              <w:jc w:val="center"/>
              <w:rPr>
                <w:rFonts w:ascii="Times New Roman" w:eastAsia="Calibri" w:hAnsi="Times New Roman" w:cs="Times New Roman"/>
                <w:sz w:val="24"/>
                <w:szCs w:val="24"/>
              </w:rPr>
            </w:pPr>
            <w:r w:rsidRPr="000F3444">
              <w:rPr>
                <w:rFonts w:ascii="Times New Roman" w:eastAsia="Calibri" w:hAnsi="Times New Roman" w:cs="Times New Roman"/>
                <w:sz w:val="24"/>
                <w:szCs w:val="24"/>
              </w:rPr>
              <w:t>10</w:t>
            </w:r>
          </w:p>
        </w:tc>
      </w:tr>
      <w:tr w:rsidR="001F7759" w:rsidRPr="000F3444" w14:paraId="778F79D3" w14:textId="77777777" w:rsidTr="00CA070A">
        <w:trPr>
          <w:trHeight w:val="339"/>
        </w:trPr>
        <w:tc>
          <w:tcPr>
            <w:tcW w:w="2073" w:type="dxa"/>
            <w:vMerge/>
          </w:tcPr>
          <w:p w14:paraId="2B290C76" w14:textId="77777777" w:rsidR="001F7759" w:rsidRPr="001A67AD" w:rsidRDefault="001F7759">
            <w:pPr>
              <w:rPr>
                <w:rFonts w:ascii="Times New Roman" w:eastAsia="Calibri" w:hAnsi="Times New Roman" w:cs="Times New Roman"/>
                <w:b/>
                <w:color w:val="00B050"/>
                <w:sz w:val="24"/>
                <w:szCs w:val="24"/>
                <w:highlight w:val="yellow"/>
              </w:rPr>
            </w:pPr>
          </w:p>
        </w:tc>
        <w:tc>
          <w:tcPr>
            <w:tcW w:w="4018" w:type="dxa"/>
            <w:vAlign w:val="center"/>
          </w:tcPr>
          <w:p w14:paraId="60CFC6A9" w14:textId="77777777" w:rsidR="001F7759" w:rsidRPr="000F3444" w:rsidRDefault="001F7759">
            <w:pPr>
              <w:rPr>
                <w:rFonts w:ascii="Times New Roman" w:eastAsia="Calibri" w:hAnsi="Times New Roman" w:cs="Times New Roman"/>
                <w:i/>
                <w:color w:val="000000" w:themeColor="text1"/>
                <w:sz w:val="24"/>
                <w:szCs w:val="24"/>
              </w:rPr>
            </w:pPr>
            <w:r w:rsidRPr="000F3444">
              <w:rPr>
                <w:rFonts w:ascii="Times New Roman" w:eastAsia="Calibri" w:hAnsi="Times New Roman" w:cs="Times New Roman"/>
                <w:i/>
                <w:sz w:val="24"/>
                <w:szCs w:val="24"/>
              </w:rPr>
              <w:t>AK</w:t>
            </w:r>
            <w:r w:rsidRPr="000F3444">
              <w:rPr>
                <w:rFonts w:ascii="Times New Roman" w:eastAsia="Calibri" w:hAnsi="Times New Roman" w:cs="Times New Roman"/>
                <w:sz w:val="24"/>
                <w:szCs w:val="24"/>
              </w:rPr>
              <w:t xml:space="preserve"> Atbalsts zaļo tehnoloģiju ieviešanai 1.kārta</w:t>
            </w:r>
          </w:p>
        </w:tc>
        <w:tc>
          <w:tcPr>
            <w:tcW w:w="1275" w:type="dxa"/>
            <w:vAlign w:val="center"/>
          </w:tcPr>
          <w:p w14:paraId="1E05194A" w14:textId="77777777" w:rsidR="001F7759" w:rsidRPr="000F3444" w:rsidRDefault="001F7759">
            <w:pPr>
              <w:jc w:val="center"/>
              <w:rPr>
                <w:rFonts w:ascii="Times New Roman" w:eastAsia="Calibri" w:hAnsi="Times New Roman" w:cs="Times New Roman"/>
                <w:sz w:val="24"/>
                <w:szCs w:val="24"/>
              </w:rPr>
            </w:pPr>
            <w:r w:rsidRPr="000F3444">
              <w:rPr>
                <w:rFonts w:ascii="Times New Roman" w:eastAsia="Calibri" w:hAnsi="Times New Roman" w:cs="Times New Roman"/>
                <w:sz w:val="24"/>
                <w:szCs w:val="24"/>
              </w:rPr>
              <w:t>3</w:t>
            </w:r>
          </w:p>
        </w:tc>
        <w:tc>
          <w:tcPr>
            <w:tcW w:w="1418" w:type="dxa"/>
            <w:vAlign w:val="center"/>
          </w:tcPr>
          <w:p w14:paraId="44A7E1D5" w14:textId="77777777" w:rsidR="001F7759" w:rsidRPr="000F3444" w:rsidRDefault="001F7759">
            <w:pPr>
              <w:jc w:val="center"/>
              <w:rPr>
                <w:rFonts w:ascii="Times New Roman" w:eastAsia="Calibri" w:hAnsi="Times New Roman" w:cs="Times New Roman"/>
                <w:sz w:val="24"/>
                <w:szCs w:val="24"/>
              </w:rPr>
            </w:pPr>
            <w:r w:rsidRPr="000F3444">
              <w:rPr>
                <w:rFonts w:ascii="Times New Roman" w:eastAsia="Calibri" w:hAnsi="Times New Roman" w:cs="Times New Roman"/>
                <w:sz w:val="24"/>
                <w:szCs w:val="24"/>
              </w:rPr>
              <w:t>1</w:t>
            </w:r>
          </w:p>
        </w:tc>
      </w:tr>
      <w:tr w:rsidR="001F7759" w:rsidRPr="000F3444" w14:paraId="04C3FDBD" w14:textId="77777777" w:rsidTr="00CA070A">
        <w:trPr>
          <w:trHeight w:val="357"/>
        </w:trPr>
        <w:tc>
          <w:tcPr>
            <w:tcW w:w="2073" w:type="dxa"/>
            <w:vMerge/>
          </w:tcPr>
          <w:p w14:paraId="56417E80" w14:textId="77777777" w:rsidR="001F7759" w:rsidRPr="001A67AD" w:rsidRDefault="001F7759">
            <w:pPr>
              <w:rPr>
                <w:rFonts w:ascii="Times New Roman" w:eastAsia="Calibri" w:hAnsi="Times New Roman" w:cs="Times New Roman"/>
                <w:b/>
                <w:color w:val="00B050"/>
                <w:sz w:val="24"/>
                <w:szCs w:val="24"/>
                <w:highlight w:val="yellow"/>
              </w:rPr>
            </w:pPr>
          </w:p>
        </w:tc>
        <w:tc>
          <w:tcPr>
            <w:tcW w:w="4018" w:type="dxa"/>
            <w:vAlign w:val="center"/>
          </w:tcPr>
          <w:p w14:paraId="299ECF3D" w14:textId="77777777" w:rsidR="001F7759" w:rsidRPr="000F3444" w:rsidRDefault="001F7759">
            <w:pPr>
              <w:rPr>
                <w:rFonts w:ascii="Times New Roman" w:eastAsia="Calibri" w:hAnsi="Times New Roman" w:cs="Times New Roman"/>
                <w:sz w:val="24"/>
                <w:szCs w:val="24"/>
                <w:highlight w:val="yellow"/>
              </w:rPr>
            </w:pPr>
            <w:r w:rsidRPr="000F3444">
              <w:rPr>
                <w:rFonts w:ascii="Times New Roman" w:eastAsia="Calibri" w:hAnsi="Times New Roman" w:cs="Times New Roman"/>
                <w:i/>
                <w:sz w:val="24"/>
                <w:szCs w:val="24"/>
              </w:rPr>
              <w:t>AK</w:t>
            </w:r>
            <w:r w:rsidRPr="000F3444">
              <w:rPr>
                <w:rFonts w:ascii="Times New Roman" w:eastAsia="Calibri" w:hAnsi="Times New Roman" w:cs="Times New Roman"/>
                <w:sz w:val="24"/>
                <w:szCs w:val="24"/>
              </w:rPr>
              <w:t xml:space="preserve"> Atbalsts zaļo tehnoloģiju ieviešanai 2.kārta</w:t>
            </w:r>
          </w:p>
        </w:tc>
        <w:tc>
          <w:tcPr>
            <w:tcW w:w="1275" w:type="dxa"/>
            <w:vAlign w:val="center"/>
          </w:tcPr>
          <w:p w14:paraId="4C812FBA" w14:textId="77777777" w:rsidR="001F7759" w:rsidRPr="000F3444" w:rsidRDefault="001F7759">
            <w:pPr>
              <w:jc w:val="center"/>
              <w:rPr>
                <w:rFonts w:ascii="Times New Roman" w:eastAsia="Calibri" w:hAnsi="Times New Roman" w:cs="Times New Roman"/>
                <w:color w:val="000000" w:themeColor="text1"/>
                <w:sz w:val="24"/>
                <w:szCs w:val="24"/>
              </w:rPr>
            </w:pPr>
            <w:r w:rsidRPr="000F3444">
              <w:rPr>
                <w:rFonts w:ascii="Times New Roman" w:eastAsia="Calibri" w:hAnsi="Times New Roman" w:cs="Times New Roman"/>
                <w:color w:val="000000" w:themeColor="text1"/>
                <w:sz w:val="24"/>
                <w:szCs w:val="24"/>
              </w:rPr>
              <w:t>12</w:t>
            </w:r>
          </w:p>
        </w:tc>
        <w:tc>
          <w:tcPr>
            <w:tcW w:w="1418" w:type="dxa"/>
            <w:vAlign w:val="center"/>
          </w:tcPr>
          <w:p w14:paraId="1310C0E0" w14:textId="77777777" w:rsidR="001F7759" w:rsidRPr="000F3444" w:rsidRDefault="001F7759">
            <w:pPr>
              <w:jc w:val="center"/>
              <w:rPr>
                <w:rFonts w:ascii="Times New Roman" w:eastAsia="Calibri" w:hAnsi="Times New Roman" w:cs="Times New Roman"/>
                <w:color w:val="000000" w:themeColor="text1"/>
                <w:sz w:val="24"/>
                <w:szCs w:val="24"/>
              </w:rPr>
            </w:pPr>
            <w:r w:rsidRPr="000F3444">
              <w:rPr>
                <w:rFonts w:ascii="Times New Roman" w:eastAsia="Calibri" w:hAnsi="Times New Roman" w:cs="Times New Roman"/>
                <w:color w:val="000000" w:themeColor="text1"/>
                <w:sz w:val="24"/>
                <w:szCs w:val="24"/>
              </w:rPr>
              <w:t>3</w:t>
            </w:r>
          </w:p>
        </w:tc>
      </w:tr>
      <w:tr w:rsidR="001F7759" w:rsidRPr="000F3444" w14:paraId="6F2FA222" w14:textId="77777777" w:rsidTr="00CA070A">
        <w:trPr>
          <w:trHeight w:val="274"/>
        </w:trPr>
        <w:tc>
          <w:tcPr>
            <w:tcW w:w="2073" w:type="dxa"/>
            <w:vMerge w:val="restart"/>
          </w:tcPr>
          <w:p w14:paraId="6DE9DD27" w14:textId="77777777" w:rsidR="001F7759" w:rsidRPr="000F3444" w:rsidRDefault="001F7759" w:rsidP="001F7759">
            <w:pPr>
              <w:rPr>
                <w:rFonts w:ascii="Times New Roman" w:eastAsia="Calibri" w:hAnsi="Times New Roman" w:cs="Times New Roman"/>
                <w:b/>
                <w:sz w:val="24"/>
                <w:szCs w:val="24"/>
                <w:highlight w:val="yellow"/>
              </w:rPr>
            </w:pPr>
            <w:r w:rsidRPr="000F3444">
              <w:rPr>
                <w:rFonts w:ascii="Times New Roman" w:eastAsia="Calibri" w:hAnsi="Times New Roman" w:cs="Times New Roman"/>
                <w:b/>
                <w:sz w:val="24"/>
                <w:szCs w:val="24"/>
              </w:rPr>
              <w:t>Kultūras un dabas mantojuma saglabāšana un atjaunināšana/</w:t>
            </w:r>
            <w:r w:rsidRPr="000F3444">
              <w:rPr>
                <w:rFonts w:ascii="Times New Roman" w:eastAsia="Calibri" w:hAnsi="Times New Roman" w:cs="Times New Roman"/>
                <w:sz w:val="24"/>
                <w:szCs w:val="24"/>
              </w:rPr>
              <w:t xml:space="preserve"> KM</w:t>
            </w:r>
          </w:p>
        </w:tc>
        <w:tc>
          <w:tcPr>
            <w:tcW w:w="4018" w:type="dxa"/>
            <w:vAlign w:val="center"/>
          </w:tcPr>
          <w:p w14:paraId="3FD6026D" w14:textId="77777777" w:rsidR="001F7759" w:rsidRPr="000F3444" w:rsidRDefault="001F7759" w:rsidP="006F6625">
            <w:pPr>
              <w:rPr>
                <w:rFonts w:ascii="Times New Roman" w:eastAsia="Calibri" w:hAnsi="Times New Roman" w:cs="Times New Roman"/>
                <w:sz w:val="24"/>
                <w:szCs w:val="24"/>
              </w:rPr>
            </w:pPr>
            <w:r w:rsidRPr="000F3444">
              <w:rPr>
                <w:rFonts w:ascii="Times New Roman" w:eastAsia="Calibri" w:hAnsi="Times New Roman" w:cs="Times New Roman"/>
                <w:i/>
                <w:sz w:val="24"/>
                <w:szCs w:val="24"/>
              </w:rPr>
              <w:t>INP</w:t>
            </w:r>
            <w:r w:rsidRPr="000F3444">
              <w:rPr>
                <w:rFonts w:ascii="Times New Roman" w:eastAsia="Calibri" w:hAnsi="Times New Roman" w:cs="Times New Roman"/>
                <w:sz w:val="24"/>
                <w:szCs w:val="24"/>
              </w:rPr>
              <w:t xml:space="preserve"> Raiņa un Aspazijas muzeja atjaunošana.</w:t>
            </w:r>
          </w:p>
          <w:p w14:paraId="1027E0C0" w14:textId="77777777" w:rsidR="001F7759" w:rsidRPr="000F3444" w:rsidRDefault="001F7759" w:rsidP="006F6625">
            <w:pPr>
              <w:rPr>
                <w:rFonts w:ascii="Times New Roman" w:eastAsia="Calibri" w:hAnsi="Times New Roman" w:cs="Times New Roman"/>
                <w:sz w:val="24"/>
                <w:szCs w:val="24"/>
              </w:rPr>
            </w:pPr>
            <w:r w:rsidRPr="000F3444">
              <w:rPr>
                <w:rFonts w:ascii="Times New Roman" w:eastAsia="Calibri" w:hAnsi="Times New Roman" w:cs="Times New Roman"/>
                <w:sz w:val="24"/>
                <w:szCs w:val="24"/>
              </w:rPr>
              <w:t>Rēzeknes zaļās sinagogas restaurācija.</w:t>
            </w:r>
          </w:p>
          <w:p w14:paraId="64E5CE5C" w14:textId="77777777" w:rsidR="001F7759" w:rsidRPr="000F3444" w:rsidRDefault="001F7759" w:rsidP="006F6625">
            <w:pPr>
              <w:rPr>
                <w:rFonts w:ascii="Times New Roman" w:eastAsia="Calibri" w:hAnsi="Times New Roman" w:cs="Times New Roman"/>
                <w:sz w:val="24"/>
                <w:szCs w:val="24"/>
              </w:rPr>
            </w:pPr>
            <w:r w:rsidRPr="000F3444">
              <w:rPr>
                <w:rFonts w:ascii="Times New Roman" w:eastAsia="Calibri" w:hAnsi="Times New Roman" w:cs="Times New Roman"/>
                <w:sz w:val="24"/>
                <w:szCs w:val="24"/>
                <w:u w:val="single"/>
              </w:rPr>
              <w:t>Pagarinātie</w:t>
            </w:r>
            <w:r w:rsidRPr="000F3444">
              <w:rPr>
                <w:rFonts w:ascii="Times New Roman" w:eastAsia="Calibri" w:hAnsi="Times New Roman" w:cs="Times New Roman"/>
                <w:sz w:val="24"/>
                <w:szCs w:val="24"/>
              </w:rPr>
              <w:t>: Rakstniecības un mūzikas muzeja rekonstrukcija.</w:t>
            </w:r>
          </w:p>
          <w:p w14:paraId="5F2A8A7E" w14:textId="77777777" w:rsidR="001F7759" w:rsidRPr="000F3444" w:rsidRDefault="001F7759" w:rsidP="006F6625">
            <w:pPr>
              <w:rPr>
                <w:rFonts w:ascii="Times New Roman" w:eastAsia="Calibri" w:hAnsi="Times New Roman" w:cs="Times New Roman"/>
                <w:sz w:val="24"/>
                <w:szCs w:val="24"/>
              </w:rPr>
            </w:pPr>
            <w:r w:rsidRPr="000F3444">
              <w:rPr>
                <w:rFonts w:ascii="Times New Roman" w:eastAsia="Calibri" w:hAnsi="Times New Roman" w:cs="Times New Roman"/>
                <w:sz w:val="24"/>
                <w:szCs w:val="24"/>
              </w:rPr>
              <w:t>Latvijas Etnogrāfiskā brīvdabas muzeja ostas noliktavas restaurācija.</w:t>
            </w:r>
          </w:p>
          <w:p w14:paraId="7E0FF343" w14:textId="77777777" w:rsidR="001F7759" w:rsidRPr="000F3444" w:rsidRDefault="001F7759" w:rsidP="006F6625">
            <w:pPr>
              <w:rPr>
                <w:rFonts w:ascii="Times New Roman" w:eastAsia="Calibri" w:hAnsi="Times New Roman" w:cs="Times New Roman"/>
                <w:sz w:val="24"/>
                <w:szCs w:val="24"/>
              </w:rPr>
            </w:pPr>
            <w:r w:rsidRPr="000F3444">
              <w:rPr>
                <w:rFonts w:ascii="Times New Roman" w:eastAsia="Calibri" w:hAnsi="Times New Roman" w:cs="Times New Roman"/>
                <w:sz w:val="24"/>
                <w:szCs w:val="24"/>
              </w:rPr>
              <w:t xml:space="preserve">Rīgas Jūgendstila centra kultūras mantojuma </w:t>
            </w:r>
            <w:proofErr w:type="spellStart"/>
            <w:r w:rsidRPr="000F3444">
              <w:rPr>
                <w:rFonts w:ascii="Times New Roman" w:eastAsia="Calibri" w:hAnsi="Times New Roman" w:cs="Times New Roman"/>
                <w:sz w:val="24"/>
                <w:szCs w:val="24"/>
              </w:rPr>
              <w:t>digitalizācija</w:t>
            </w:r>
            <w:proofErr w:type="spellEnd"/>
            <w:r w:rsidRPr="000F3444">
              <w:rPr>
                <w:rFonts w:ascii="Times New Roman" w:eastAsia="Calibri" w:hAnsi="Times New Roman" w:cs="Times New Roman"/>
                <w:sz w:val="24"/>
                <w:szCs w:val="24"/>
              </w:rPr>
              <w:t>.</w:t>
            </w:r>
          </w:p>
        </w:tc>
        <w:tc>
          <w:tcPr>
            <w:tcW w:w="1275" w:type="dxa"/>
            <w:vAlign w:val="center"/>
          </w:tcPr>
          <w:p w14:paraId="44F45C55" w14:textId="77777777" w:rsidR="001F7759" w:rsidRPr="000F3444" w:rsidRDefault="001F7759" w:rsidP="006F6625">
            <w:pPr>
              <w:jc w:val="center"/>
              <w:rPr>
                <w:rFonts w:ascii="Times New Roman" w:eastAsia="Calibri" w:hAnsi="Times New Roman" w:cs="Times New Roman"/>
                <w:color w:val="000000" w:themeColor="text1"/>
                <w:sz w:val="24"/>
                <w:szCs w:val="24"/>
              </w:rPr>
            </w:pPr>
            <w:r w:rsidRPr="000F3444">
              <w:rPr>
                <w:rFonts w:ascii="Times New Roman" w:eastAsia="Calibri" w:hAnsi="Times New Roman" w:cs="Times New Roman"/>
                <w:color w:val="000000" w:themeColor="text1"/>
                <w:sz w:val="24"/>
                <w:szCs w:val="24"/>
              </w:rPr>
              <w:t>5</w:t>
            </w:r>
          </w:p>
        </w:tc>
        <w:tc>
          <w:tcPr>
            <w:tcW w:w="1418" w:type="dxa"/>
            <w:vAlign w:val="center"/>
          </w:tcPr>
          <w:p w14:paraId="6D87009E" w14:textId="77777777" w:rsidR="001F7759" w:rsidRPr="000F3444" w:rsidRDefault="001F7759" w:rsidP="006F6625">
            <w:pPr>
              <w:jc w:val="center"/>
              <w:rPr>
                <w:rFonts w:ascii="Times New Roman" w:eastAsia="Calibri" w:hAnsi="Times New Roman" w:cs="Times New Roman"/>
                <w:color w:val="000000" w:themeColor="text1"/>
                <w:sz w:val="24"/>
                <w:szCs w:val="24"/>
              </w:rPr>
            </w:pPr>
            <w:r w:rsidRPr="000F3444">
              <w:rPr>
                <w:rFonts w:ascii="Times New Roman" w:eastAsia="Calibri" w:hAnsi="Times New Roman" w:cs="Times New Roman"/>
                <w:color w:val="000000" w:themeColor="text1"/>
                <w:sz w:val="24"/>
                <w:szCs w:val="24"/>
              </w:rPr>
              <w:t>3</w:t>
            </w:r>
          </w:p>
        </w:tc>
      </w:tr>
      <w:tr w:rsidR="001F7759" w:rsidRPr="000F3444" w14:paraId="341E86A6" w14:textId="77777777" w:rsidTr="00CA070A">
        <w:trPr>
          <w:trHeight w:val="293"/>
        </w:trPr>
        <w:tc>
          <w:tcPr>
            <w:tcW w:w="2073" w:type="dxa"/>
            <w:vMerge/>
          </w:tcPr>
          <w:p w14:paraId="116BF28F" w14:textId="77777777" w:rsidR="001F7759" w:rsidRPr="001A67AD" w:rsidRDefault="001F7759" w:rsidP="001F7759">
            <w:pPr>
              <w:rPr>
                <w:rFonts w:ascii="Times New Roman" w:eastAsia="Calibri" w:hAnsi="Times New Roman" w:cs="Times New Roman"/>
                <w:b/>
                <w:color w:val="00B050"/>
                <w:sz w:val="24"/>
                <w:szCs w:val="24"/>
                <w:highlight w:val="yellow"/>
              </w:rPr>
            </w:pPr>
          </w:p>
        </w:tc>
        <w:tc>
          <w:tcPr>
            <w:tcW w:w="4018" w:type="dxa"/>
            <w:vAlign w:val="center"/>
          </w:tcPr>
          <w:p w14:paraId="75450354" w14:textId="77777777" w:rsidR="001F7759" w:rsidRPr="000F3444" w:rsidRDefault="001F7759" w:rsidP="006F6625">
            <w:pPr>
              <w:rPr>
                <w:rFonts w:ascii="Times New Roman" w:eastAsia="Calibri" w:hAnsi="Times New Roman" w:cs="Times New Roman"/>
                <w:sz w:val="24"/>
                <w:szCs w:val="24"/>
              </w:rPr>
            </w:pPr>
            <w:r w:rsidRPr="000F3444">
              <w:rPr>
                <w:rFonts w:ascii="Times New Roman" w:eastAsia="Calibri" w:hAnsi="Times New Roman" w:cs="Times New Roman"/>
                <w:i/>
                <w:sz w:val="24"/>
                <w:szCs w:val="24"/>
              </w:rPr>
              <w:t>GS</w:t>
            </w:r>
            <w:r w:rsidRPr="000F3444">
              <w:rPr>
                <w:rFonts w:ascii="Times New Roman" w:eastAsia="Calibri" w:hAnsi="Times New Roman" w:cs="Times New Roman"/>
                <w:sz w:val="24"/>
                <w:szCs w:val="24"/>
              </w:rPr>
              <w:t xml:space="preserve"> Kultūras apmaiņa</w:t>
            </w:r>
          </w:p>
        </w:tc>
        <w:tc>
          <w:tcPr>
            <w:tcW w:w="1275" w:type="dxa"/>
            <w:vAlign w:val="center"/>
          </w:tcPr>
          <w:p w14:paraId="739DB43C" w14:textId="77777777" w:rsidR="001F7759" w:rsidRPr="000F3444" w:rsidRDefault="001F7759" w:rsidP="006F6625">
            <w:pPr>
              <w:jc w:val="center"/>
              <w:rPr>
                <w:rFonts w:ascii="Times New Roman" w:eastAsia="Calibri" w:hAnsi="Times New Roman" w:cs="Times New Roman"/>
                <w:color w:val="000000" w:themeColor="text1"/>
                <w:sz w:val="24"/>
                <w:szCs w:val="24"/>
              </w:rPr>
            </w:pPr>
            <w:r w:rsidRPr="000F3444">
              <w:rPr>
                <w:rFonts w:ascii="Times New Roman" w:eastAsia="Calibri" w:hAnsi="Times New Roman" w:cs="Times New Roman"/>
                <w:color w:val="000000" w:themeColor="text1"/>
                <w:sz w:val="24"/>
                <w:szCs w:val="24"/>
              </w:rPr>
              <w:t>11</w:t>
            </w:r>
          </w:p>
        </w:tc>
        <w:tc>
          <w:tcPr>
            <w:tcW w:w="1418" w:type="dxa"/>
            <w:vAlign w:val="center"/>
          </w:tcPr>
          <w:p w14:paraId="0418526B" w14:textId="77777777" w:rsidR="001F7759" w:rsidRPr="000F3444" w:rsidRDefault="001F7759" w:rsidP="006F6625">
            <w:pPr>
              <w:jc w:val="center"/>
              <w:rPr>
                <w:rFonts w:ascii="Times New Roman" w:eastAsia="Calibri" w:hAnsi="Times New Roman" w:cs="Times New Roman"/>
                <w:color w:val="000000" w:themeColor="text1"/>
                <w:sz w:val="24"/>
                <w:szCs w:val="24"/>
              </w:rPr>
            </w:pPr>
            <w:r w:rsidRPr="000F3444">
              <w:rPr>
                <w:rFonts w:ascii="Times New Roman" w:eastAsia="Calibri" w:hAnsi="Times New Roman" w:cs="Times New Roman"/>
                <w:color w:val="000000" w:themeColor="text1"/>
                <w:sz w:val="24"/>
                <w:szCs w:val="24"/>
              </w:rPr>
              <w:t>0</w:t>
            </w:r>
          </w:p>
        </w:tc>
      </w:tr>
      <w:tr w:rsidR="001F7759" w:rsidRPr="000F3444" w14:paraId="135EBD07" w14:textId="77777777" w:rsidTr="00CA070A">
        <w:trPr>
          <w:trHeight w:val="237"/>
        </w:trPr>
        <w:tc>
          <w:tcPr>
            <w:tcW w:w="2073" w:type="dxa"/>
            <w:vMerge/>
          </w:tcPr>
          <w:p w14:paraId="1220557D" w14:textId="77777777" w:rsidR="001F7759" w:rsidRPr="001A67AD" w:rsidRDefault="001F7759" w:rsidP="001F7759">
            <w:pPr>
              <w:rPr>
                <w:rFonts w:ascii="Times New Roman" w:eastAsia="Calibri" w:hAnsi="Times New Roman" w:cs="Times New Roman"/>
                <w:b/>
                <w:color w:val="00B050"/>
                <w:sz w:val="24"/>
                <w:szCs w:val="24"/>
                <w:highlight w:val="yellow"/>
              </w:rPr>
            </w:pPr>
          </w:p>
        </w:tc>
        <w:tc>
          <w:tcPr>
            <w:tcW w:w="4018" w:type="dxa"/>
            <w:vAlign w:val="center"/>
          </w:tcPr>
          <w:p w14:paraId="7D7C6550" w14:textId="77777777" w:rsidR="001F7759" w:rsidRPr="000F3444" w:rsidRDefault="001F7759" w:rsidP="006F6625">
            <w:pPr>
              <w:rPr>
                <w:rFonts w:ascii="Times New Roman" w:eastAsia="Calibri" w:hAnsi="Times New Roman" w:cs="Times New Roman"/>
                <w:sz w:val="24"/>
                <w:szCs w:val="24"/>
              </w:rPr>
            </w:pPr>
            <w:r w:rsidRPr="000F3444">
              <w:rPr>
                <w:rFonts w:ascii="Times New Roman" w:eastAsia="Calibri" w:hAnsi="Times New Roman" w:cs="Times New Roman"/>
                <w:i/>
                <w:sz w:val="24"/>
                <w:szCs w:val="24"/>
              </w:rPr>
              <w:t>GS</w:t>
            </w:r>
            <w:r w:rsidRPr="000F3444">
              <w:rPr>
                <w:rFonts w:ascii="Times New Roman" w:eastAsia="Calibri" w:hAnsi="Times New Roman" w:cs="Times New Roman"/>
                <w:sz w:val="24"/>
                <w:szCs w:val="24"/>
              </w:rPr>
              <w:t xml:space="preserve"> Kultūras mantojuma saglabāšana</w:t>
            </w:r>
          </w:p>
        </w:tc>
        <w:tc>
          <w:tcPr>
            <w:tcW w:w="1275" w:type="dxa"/>
            <w:vAlign w:val="center"/>
          </w:tcPr>
          <w:p w14:paraId="2847A427" w14:textId="77777777" w:rsidR="001F7759" w:rsidRPr="000F3444" w:rsidRDefault="001F7759" w:rsidP="006F6625">
            <w:pPr>
              <w:jc w:val="center"/>
              <w:rPr>
                <w:rFonts w:ascii="Times New Roman" w:eastAsia="Calibri" w:hAnsi="Times New Roman" w:cs="Times New Roman"/>
                <w:color w:val="000000" w:themeColor="text1"/>
                <w:sz w:val="24"/>
                <w:szCs w:val="24"/>
              </w:rPr>
            </w:pPr>
            <w:r w:rsidRPr="000F3444">
              <w:rPr>
                <w:rFonts w:ascii="Times New Roman" w:eastAsia="Calibri" w:hAnsi="Times New Roman" w:cs="Times New Roman"/>
                <w:color w:val="000000" w:themeColor="text1"/>
                <w:sz w:val="24"/>
                <w:szCs w:val="24"/>
              </w:rPr>
              <w:t>5</w:t>
            </w:r>
          </w:p>
        </w:tc>
        <w:tc>
          <w:tcPr>
            <w:tcW w:w="1418" w:type="dxa"/>
            <w:vAlign w:val="center"/>
          </w:tcPr>
          <w:p w14:paraId="5F7129D5" w14:textId="77777777" w:rsidR="001F7759" w:rsidRPr="000F3444" w:rsidRDefault="001F7759" w:rsidP="006F6625">
            <w:pPr>
              <w:jc w:val="center"/>
              <w:rPr>
                <w:rFonts w:ascii="Times New Roman" w:eastAsia="Calibri" w:hAnsi="Times New Roman" w:cs="Times New Roman"/>
                <w:sz w:val="24"/>
                <w:szCs w:val="24"/>
              </w:rPr>
            </w:pPr>
            <w:r w:rsidRPr="000F3444">
              <w:rPr>
                <w:rFonts w:ascii="Times New Roman" w:eastAsia="Calibri" w:hAnsi="Times New Roman" w:cs="Times New Roman"/>
                <w:sz w:val="24"/>
                <w:szCs w:val="24"/>
              </w:rPr>
              <w:t>2</w:t>
            </w:r>
          </w:p>
        </w:tc>
      </w:tr>
      <w:tr w:rsidR="001F7759" w:rsidRPr="000F3444" w14:paraId="5399F7B3" w14:textId="77777777" w:rsidTr="00CA070A">
        <w:trPr>
          <w:trHeight w:val="698"/>
        </w:trPr>
        <w:tc>
          <w:tcPr>
            <w:tcW w:w="2073" w:type="dxa"/>
          </w:tcPr>
          <w:p w14:paraId="3486778E" w14:textId="77777777" w:rsidR="001F7759" w:rsidRPr="000F3444" w:rsidRDefault="001F7759" w:rsidP="001F7759">
            <w:pPr>
              <w:rPr>
                <w:rFonts w:ascii="Times New Roman" w:eastAsia="Calibri" w:hAnsi="Times New Roman" w:cs="Times New Roman"/>
                <w:b/>
                <w:sz w:val="24"/>
                <w:szCs w:val="24"/>
                <w:highlight w:val="yellow"/>
              </w:rPr>
            </w:pPr>
            <w:r w:rsidRPr="000F3444">
              <w:rPr>
                <w:rFonts w:ascii="Times New Roman" w:eastAsia="Calibri" w:hAnsi="Times New Roman" w:cs="Times New Roman"/>
                <w:b/>
                <w:sz w:val="24"/>
                <w:szCs w:val="24"/>
              </w:rPr>
              <w:t>Latvijas korekcijas dienestu un Valsts policijas īslaicīgās aizturēšanas vietu reforma</w:t>
            </w:r>
            <w:r w:rsidRPr="000F3444">
              <w:rPr>
                <w:rFonts w:ascii="Times New Roman" w:eastAsia="Calibri" w:hAnsi="Times New Roman" w:cs="Times New Roman"/>
                <w:sz w:val="24"/>
                <w:szCs w:val="24"/>
              </w:rPr>
              <w:t>/ TM</w:t>
            </w:r>
          </w:p>
        </w:tc>
        <w:tc>
          <w:tcPr>
            <w:tcW w:w="4018" w:type="dxa"/>
            <w:vAlign w:val="center"/>
          </w:tcPr>
          <w:p w14:paraId="25A55D67" w14:textId="77777777" w:rsidR="001F7759" w:rsidRPr="000F3444" w:rsidRDefault="001F7759" w:rsidP="006F6625">
            <w:pPr>
              <w:rPr>
                <w:rFonts w:ascii="Times New Roman" w:eastAsia="Calibri" w:hAnsi="Times New Roman" w:cs="Times New Roman"/>
                <w:sz w:val="24"/>
                <w:szCs w:val="24"/>
              </w:rPr>
            </w:pPr>
            <w:r w:rsidRPr="000F3444">
              <w:rPr>
                <w:rFonts w:ascii="Times New Roman" w:eastAsia="Calibri" w:hAnsi="Times New Roman" w:cs="Times New Roman"/>
                <w:i/>
                <w:sz w:val="24"/>
                <w:szCs w:val="24"/>
              </w:rPr>
              <w:t>INP</w:t>
            </w:r>
            <w:r w:rsidRPr="000F3444">
              <w:rPr>
                <w:rFonts w:ascii="Times New Roman" w:eastAsia="Calibri" w:hAnsi="Times New Roman" w:cs="Times New Roman"/>
                <w:sz w:val="24"/>
                <w:szCs w:val="24"/>
              </w:rPr>
              <w:t xml:space="preserve"> Olaines cietuma projekts.</w:t>
            </w:r>
          </w:p>
          <w:p w14:paraId="53FCF196" w14:textId="77777777" w:rsidR="001F7759" w:rsidRPr="000F3444" w:rsidRDefault="001F7759" w:rsidP="006F6625">
            <w:pPr>
              <w:rPr>
                <w:rFonts w:ascii="Times New Roman" w:eastAsia="Calibri" w:hAnsi="Times New Roman" w:cs="Times New Roman"/>
                <w:sz w:val="24"/>
                <w:szCs w:val="24"/>
              </w:rPr>
            </w:pPr>
            <w:r w:rsidRPr="000F3444">
              <w:rPr>
                <w:rFonts w:ascii="Times New Roman" w:eastAsia="Calibri" w:hAnsi="Times New Roman" w:cs="Times New Roman"/>
                <w:sz w:val="24"/>
                <w:szCs w:val="24"/>
              </w:rPr>
              <w:t>Valsts policijas projekts.</w:t>
            </w:r>
          </w:p>
          <w:p w14:paraId="29CCF809" w14:textId="77777777" w:rsidR="001F7759" w:rsidRPr="000F3444" w:rsidRDefault="001F7759" w:rsidP="006F6625">
            <w:pPr>
              <w:rPr>
                <w:rFonts w:ascii="Times New Roman" w:eastAsia="Calibri" w:hAnsi="Times New Roman" w:cs="Times New Roman"/>
                <w:sz w:val="24"/>
                <w:szCs w:val="24"/>
              </w:rPr>
            </w:pPr>
            <w:r w:rsidRPr="000F3444">
              <w:rPr>
                <w:rFonts w:ascii="Times New Roman" w:eastAsia="Calibri" w:hAnsi="Times New Roman" w:cs="Times New Roman"/>
                <w:sz w:val="24"/>
                <w:szCs w:val="24"/>
              </w:rPr>
              <w:t>Elektroniskās uzraudzības projekts.</w:t>
            </w:r>
          </w:p>
        </w:tc>
        <w:tc>
          <w:tcPr>
            <w:tcW w:w="1275" w:type="dxa"/>
            <w:vAlign w:val="center"/>
          </w:tcPr>
          <w:p w14:paraId="3754445E" w14:textId="77777777" w:rsidR="001F7759" w:rsidRPr="000F3444" w:rsidRDefault="001F7759" w:rsidP="006F6625">
            <w:pPr>
              <w:jc w:val="center"/>
              <w:rPr>
                <w:rFonts w:ascii="Times New Roman" w:eastAsia="Calibri" w:hAnsi="Times New Roman" w:cs="Times New Roman"/>
                <w:color w:val="000000" w:themeColor="text1"/>
                <w:sz w:val="24"/>
                <w:szCs w:val="24"/>
              </w:rPr>
            </w:pPr>
            <w:r w:rsidRPr="000F3444">
              <w:rPr>
                <w:rFonts w:ascii="Times New Roman" w:eastAsia="Calibri" w:hAnsi="Times New Roman" w:cs="Times New Roman"/>
                <w:color w:val="000000" w:themeColor="text1"/>
                <w:sz w:val="24"/>
                <w:szCs w:val="24"/>
              </w:rPr>
              <w:t>3</w:t>
            </w:r>
          </w:p>
        </w:tc>
        <w:tc>
          <w:tcPr>
            <w:tcW w:w="1418" w:type="dxa"/>
            <w:vAlign w:val="center"/>
          </w:tcPr>
          <w:p w14:paraId="36CF8E7C" w14:textId="77777777" w:rsidR="001F7759" w:rsidRPr="000F3444" w:rsidRDefault="001F7759" w:rsidP="006F6625">
            <w:pPr>
              <w:jc w:val="center"/>
              <w:rPr>
                <w:rFonts w:ascii="Times New Roman" w:eastAsia="Calibri" w:hAnsi="Times New Roman" w:cs="Times New Roman"/>
                <w:color w:val="000000" w:themeColor="text1"/>
                <w:sz w:val="24"/>
                <w:szCs w:val="24"/>
              </w:rPr>
            </w:pPr>
            <w:r w:rsidRPr="000F3444">
              <w:rPr>
                <w:rFonts w:ascii="Times New Roman" w:eastAsia="Calibri" w:hAnsi="Times New Roman" w:cs="Times New Roman"/>
                <w:color w:val="000000" w:themeColor="text1"/>
                <w:sz w:val="24"/>
                <w:szCs w:val="24"/>
              </w:rPr>
              <w:t>3</w:t>
            </w:r>
          </w:p>
        </w:tc>
      </w:tr>
      <w:tr w:rsidR="001F7759" w:rsidRPr="000F3444" w14:paraId="20559015" w14:textId="77777777" w:rsidTr="00CA070A">
        <w:trPr>
          <w:trHeight w:val="85"/>
        </w:trPr>
        <w:tc>
          <w:tcPr>
            <w:tcW w:w="6091" w:type="dxa"/>
            <w:gridSpan w:val="2"/>
          </w:tcPr>
          <w:p w14:paraId="54C060E6" w14:textId="77777777" w:rsidR="001F7759" w:rsidRPr="000F3444" w:rsidRDefault="001F7759" w:rsidP="001F7759">
            <w:pPr>
              <w:jc w:val="right"/>
              <w:rPr>
                <w:rFonts w:ascii="Times New Roman" w:eastAsia="Calibri" w:hAnsi="Times New Roman" w:cs="Times New Roman"/>
                <w:b/>
                <w:sz w:val="24"/>
                <w:szCs w:val="24"/>
              </w:rPr>
            </w:pPr>
            <w:r w:rsidRPr="000F3444">
              <w:rPr>
                <w:rFonts w:ascii="Times New Roman" w:eastAsia="Calibri" w:hAnsi="Times New Roman" w:cs="Times New Roman"/>
                <w:b/>
                <w:sz w:val="24"/>
                <w:szCs w:val="24"/>
              </w:rPr>
              <w:t>Kopā:</w:t>
            </w:r>
          </w:p>
        </w:tc>
        <w:tc>
          <w:tcPr>
            <w:tcW w:w="1275" w:type="dxa"/>
            <w:vAlign w:val="center"/>
          </w:tcPr>
          <w:p w14:paraId="73522D58" w14:textId="6060E3FB" w:rsidR="001F7759" w:rsidRPr="000F3444" w:rsidRDefault="00934F54" w:rsidP="006F6625">
            <w:pPr>
              <w:jc w:val="center"/>
              <w:rPr>
                <w:rFonts w:ascii="Times New Roman" w:eastAsia="Calibri" w:hAnsi="Times New Roman" w:cs="Times New Roman"/>
                <w:b/>
                <w:sz w:val="24"/>
                <w:szCs w:val="24"/>
              </w:rPr>
            </w:pPr>
            <w:r w:rsidRPr="00934F54">
              <w:rPr>
                <w:rFonts w:ascii="Times New Roman" w:eastAsia="Calibri" w:hAnsi="Times New Roman" w:cs="Times New Roman"/>
                <w:b/>
                <w:sz w:val="24"/>
                <w:szCs w:val="24"/>
              </w:rPr>
              <w:t>133</w:t>
            </w:r>
          </w:p>
        </w:tc>
        <w:tc>
          <w:tcPr>
            <w:tcW w:w="1418" w:type="dxa"/>
            <w:vAlign w:val="center"/>
          </w:tcPr>
          <w:p w14:paraId="32A28859" w14:textId="62E71DC1" w:rsidR="001F7759" w:rsidRPr="000F3444" w:rsidRDefault="00934F54" w:rsidP="006F6625">
            <w:pPr>
              <w:jc w:val="center"/>
              <w:rPr>
                <w:rFonts w:ascii="Times New Roman" w:eastAsia="Calibri" w:hAnsi="Times New Roman" w:cs="Times New Roman"/>
                <w:b/>
                <w:sz w:val="24"/>
                <w:szCs w:val="24"/>
              </w:rPr>
            </w:pPr>
            <w:r w:rsidRPr="00934F54">
              <w:rPr>
                <w:rFonts w:ascii="Times New Roman" w:eastAsia="Calibri" w:hAnsi="Times New Roman" w:cs="Times New Roman"/>
                <w:b/>
                <w:sz w:val="24"/>
                <w:szCs w:val="24"/>
              </w:rPr>
              <w:t>76</w:t>
            </w:r>
          </w:p>
        </w:tc>
      </w:tr>
    </w:tbl>
    <w:p w14:paraId="0D852FA0" w14:textId="77777777" w:rsidR="001F7759" w:rsidRPr="00216C61" w:rsidRDefault="001F7759" w:rsidP="001F7759">
      <w:pPr>
        <w:autoSpaceDE w:val="0"/>
        <w:autoSpaceDN w:val="0"/>
        <w:adjustRightInd w:val="0"/>
        <w:spacing w:before="120" w:after="120" w:line="276" w:lineRule="auto"/>
        <w:jc w:val="both"/>
        <w:rPr>
          <w:rFonts w:cs="Times New Roman"/>
          <w:b/>
          <w:i/>
          <w:szCs w:val="20"/>
        </w:rPr>
      </w:pPr>
      <w:r w:rsidRPr="00216C61">
        <w:rPr>
          <w:rFonts w:cs="Times New Roman"/>
          <w:b/>
          <w:i/>
          <w:szCs w:val="20"/>
        </w:rPr>
        <w:t>Sasniegtie rezultāti</w:t>
      </w:r>
    </w:p>
    <w:p w14:paraId="4980D73B" w14:textId="5EB04980" w:rsidR="001F7759" w:rsidRPr="001F7759" w:rsidRDefault="00733548" w:rsidP="001F7759">
      <w:pPr>
        <w:autoSpaceDE w:val="0"/>
        <w:autoSpaceDN w:val="0"/>
        <w:adjustRightInd w:val="0"/>
        <w:spacing w:before="120" w:after="120" w:line="276" w:lineRule="auto"/>
        <w:jc w:val="both"/>
        <w:rPr>
          <w:rFonts w:cs="Times New Roman"/>
          <w:szCs w:val="20"/>
        </w:rPr>
      </w:pPr>
      <w:r>
        <w:rPr>
          <w:rFonts w:cs="Times New Roman"/>
          <w:szCs w:val="20"/>
        </w:rPr>
        <w:t xml:space="preserve">Tā kā </w:t>
      </w:r>
      <w:r w:rsidR="001F7759" w:rsidRPr="001F7759">
        <w:rPr>
          <w:rFonts w:cs="Times New Roman"/>
          <w:szCs w:val="20"/>
        </w:rPr>
        <w:t>2015.gadā visas septiņas EEZ/Norvēģijas finanšu instrumentu programmas bija ieviešanas</w:t>
      </w:r>
      <w:r>
        <w:rPr>
          <w:rFonts w:cs="Times New Roman"/>
          <w:szCs w:val="20"/>
        </w:rPr>
        <w:t xml:space="preserve"> fāzē, ir</w:t>
      </w:r>
      <w:r w:rsidR="001F7759" w:rsidRPr="001F7759">
        <w:rPr>
          <w:rFonts w:cs="Times New Roman"/>
          <w:szCs w:val="20"/>
        </w:rPr>
        <w:t xml:space="preserve"> sasniegti vairāki no plānotajiem rezultātiem:</w:t>
      </w:r>
    </w:p>
    <w:p w14:paraId="6ECDBE8F" w14:textId="77777777" w:rsidR="001F7759" w:rsidRPr="001F7759" w:rsidRDefault="001F7759" w:rsidP="00190973">
      <w:pPr>
        <w:numPr>
          <w:ilvl w:val="0"/>
          <w:numId w:val="20"/>
        </w:numPr>
        <w:autoSpaceDE w:val="0"/>
        <w:autoSpaceDN w:val="0"/>
        <w:adjustRightInd w:val="0"/>
        <w:spacing w:before="120" w:after="120" w:line="276" w:lineRule="auto"/>
        <w:ind w:left="426" w:hanging="426"/>
        <w:jc w:val="both"/>
        <w:rPr>
          <w:rFonts w:cs="Times New Roman"/>
          <w:szCs w:val="20"/>
        </w:rPr>
      </w:pPr>
      <w:r w:rsidRPr="001F7759">
        <w:rPr>
          <w:rFonts w:cs="Times New Roman"/>
          <w:szCs w:val="20"/>
        </w:rPr>
        <w:lastRenderedPageBreak/>
        <w:t xml:space="preserve">SIF programmā </w:t>
      </w:r>
      <w:r w:rsidRPr="001F7759">
        <w:rPr>
          <w:rFonts w:cs="Times New Roman"/>
          <w:b/>
          <w:szCs w:val="20"/>
        </w:rPr>
        <w:t>“NVO fonds”</w:t>
      </w:r>
      <w:r w:rsidRPr="001F7759">
        <w:rPr>
          <w:rFonts w:cs="Times New Roman"/>
          <w:szCs w:val="20"/>
        </w:rPr>
        <w:t>: Pilsoniskās alianses projektā veikts stratēģiski svarīgs pētījums – “</w:t>
      </w:r>
      <w:r w:rsidRPr="001F7759">
        <w:rPr>
          <w:rFonts w:cs="Times New Roman"/>
          <w:i/>
          <w:szCs w:val="20"/>
        </w:rPr>
        <w:t>Pārskats par NVO sektoru Latvijā. 2015</w:t>
      </w:r>
      <w:r w:rsidRPr="001F7759">
        <w:rPr>
          <w:rFonts w:cs="Times New Roman"/>
          <w:szCs w:val="20"/>
        </w:rPr>
        <w:t xml:space="preserve">”, kas nodrošina aktuālu, kvalitatīvu un salīdzināmu informāciju par NVO sektora attīstību Latvijā (iepriekšējais pētījums tika veikts 2013. gadā), kā arī veikts apjomīgs darbs pie NVO sektora monitoringa sistēmas izveides. Visas tematiskās aktivitātes ir pabeigtas jau 78 </w:t>
      </w:r>
      <w:r w:rsidRPr="001F7759">
        <w:rPr>
          <w:rFonts w:cs="Times New Roman"/>
          <w:szCs w:val="20"/>
          <w:u w:val="single"/>
        </w:rPr>
        <w:t>NVO darbības atbalsta programmas</w:t>
      </w:r>
      <w:r w:rsidRPr="001F7759">
        <w:rPr>
          <w:rFonts w:cs="Times New Roman"/>
          <w:szCs w:val="20"/>
        </w:rPr>
        <w:t xml:space="preserve"> projektos, kā arī 68 projektos </w:t>
      </w:r>
      <w:r w:rsidRPr="001F7759">
        <w:rPr>
          <w:rFonts w:cs="Times New Roman"/>
          <w:szCs w:val="20"/>
          <w:u w:val="single"/>
        </w:rPr>
        <w:t>NVO projektu programmā</w:t>
      </w:r>
      <w:r w:rsidRPr="001F7759">
        <w:rPr>
          <w:rFonts w:cs="Times New Roman"/>
          <w:szCs w:val="20"/>
        </w:rPr>
        <w:t>, kuru mērķis ir veicināt sociālā sektora aktivitātes un vienotas sabiedrības veidošanu Latvijā.</w:t>
      </w:r>
    </w:p>
    <w:p w14:paraId="661462C4" w14:textId="77777777" w:rsidR="001F7759" w:rsidRPr="001F7759" w:rsidRDefault="001F7759" w:rsidP="00190973">
      <w:pPr>
        <w:numPr>
          <w:ilvl w:val="0"/>
          <w:numId w:val="20"/>
        </w:numPr>
        <w:autoSpaceDE w:val="0"/>
        <w:autoSpaceDN w:val="0"/>
        <w:adjustRightInd w:val="0"/>
        <w:spacing w:before="120" w:after="120" w:line="276" w:lineRule="auto"/>
        <w:ind w:left="426" w:hanging="426"/>
        <w:jc w:val="both"/>
        <w:rPr>
          <w:rFonts w:cs="Times New Roman"/>
          <w:szCs w:val="20"/>
        </w:rPr>
      </w:pPr>
      <w:r w:rsidRPr="001F7759">
        <w:rPr>
          <w:rFonts w:cs="Times New Roman"/>
          <w:szCs w:val="20"/>
        </w:rPr>
        <w:t xml:space="preserve">KM programmā </w:t>
      </w:r>
      <w:r w:rsidRPr="001F7759">
        <w:rPr>
          <w:rFonts w:cs="Times New Roman"/>
          <w:b/>
          <w:szCs w:val="20"/>
        </w:rPr>
        <w:t>“Kultūras un dabas mantojuma saglabāšana un atjaunināšana”</w:t>
      </w:r>
      <w:r w:rsidRPr="001F7759">
        <w:rPr>
          <w:rFonts w:cs="Times New Roman"/>
          <w:szCs w:val="20"/>
        </w:rPr>
        <w:t xml:space="preserve">: Noritēja apjomīgi restaurācijas darbi 8 kultūras pieminekļos visos Latvijas reģionos – darbi Rēzeknes Zaļajā sinagogā, </w:t>
      </w:r>
      <w:proofErr w:type="spellStart"/>
      <w:r w:rsidRPr="001F7759">
        <w:rPr>
          <w:rFonts w:cs="Times New Roman"/>
          <w:szCs w:val="20"/>
        </w:rPr>
        <w:t>Cēsu</w:t>
      </w:r>
      <w:proofErr w:type="spellEnd"/>
      <w:r w:rsidRPr="001F7759">
        <w:rPr>
          <w:rFonts w:cs="Times New Roman"/>
          <w:szCs w:val="20"/>
        </w:rPr>
        <w:t xml:space="preserve"> viduslaiku pils tornī un Elejas muižas apbūvē jau ir pabeigti, un turpmāk objekti būs pieejami sabiedrībai un kultūras aktivitātēm. Nozares speciālisti un studenti no Latvijas un Norvēģijas paaugstināja savu profesionālo kvalifikāciju praktiskos semināros un teorētiskās lekcijās par restaurācijas procesiem un inovatīviem risinājumiem kultūras pieminekļu iedzīvināšanai mūsdienās. 2015.gadā ir pabeigti 3 kultūras apmaiņas projekti ar norvēģu partneriem, kas tika īstenoti ar mērķi veicināt kultūras un mākslas darbu, pakalpojumu un produktu starptautisku apriti.</w:t>
      </w:r>
    </w:p>
    <w:p w14:paraId="371DEBEB" w14:textId="77777777" w:rsidR="001F7759" w:rsidRPr="001F7759" w:rsidRDefault="001F7759" w:rsidP="00190973">
      <w:pPr>
        <w:numPr>
          <w:ilvl w:val="0"/>
          <w:numId w:val="20"/>
        </w:numPr>
        <w:autoSpaceDE w:val="0"/>
        <w:autoSpaceDN w:val="0"/>
        <w:adjustRightInd w:val="0"/>
        <w:spacing w:before="120" w:after="120" w:line="276" w:lineRule="auto"/>
        <w:ind w:left="426" w:hanging="426"/>
        <w:jc w:val="both"/>
        <w:rPr>
          <w:rFonts w:cs="Times New Roman"/>
          <w:szCs w:val="20"/>
        </w:rPr>
      </w:pPr>
      <w:r w:rsidRPr="001F7759">
        <w:rPr>
          <w:rFonts w:cs="Times New Roman"/>
          <w:szCs w:val="20"/>
        </w:rPr>
        <w:t xml:space="preserve">TM programmā </w:t>
      </w:r>
      <w:r w:rsidRPr="001F7759">
        <w:rPr>
          <w:rFonts w:cs="Times New Roman"/>
          <w:b/>
          <w:szCs w:val="20"/>
        </w:rPr>
        <w:t>“Latvijas korekcijas dienestu un Valsts policijas īslaicīgās aizturēšanas vietu reforma”</w:t>
      </w:r>
      <w:r w:rsidRPr="001F7759">
        <w:rPr>
          <w:rFonts w:cs="Times New Roman"/>
          <w:szCs w:val="20"/>
        </w:rPr>
        <w:t xml:space="preserve">: Valsts kriminālsodu politikas reformas ietvaros ar 1.jūliju Latvijā tika ieviesta elektroniskās uzraudzības sistēma no ieslodzījuma pirms termiņa nosacīti atbrīvotām personām, tādējādi sekmējot veiksmīgāku integrāciju sabiedrībā un vienlaikus samazinot ieslodzīto skaitu cietumos. Vienlaikus norisinās apjomīgs darbs pie Atkarīgo </w:t>
      </w:r>
      <w:proofErr w:type="spellStart"/>
      <w:r w:rsidRPr="001F7759">
        <w:rPr>
          <w:rFonts w:cs="Times New Roman"/>
          <w:szCs w:val="20"/>
        </w:rPr>
        <w:t>resocializācijas</w:t>
      </w:r>
      <w:proofErr w:type="spellEnd"/>
      <w:r w:rsidRPr="001F7759">
        <w:rPr>
          <w:rFonts w:cs="Times New Roman"/>
          <w:szCs w:val="20"/>
        </w:rPr>
        <w:t xml:space="preserve"> centra būvniecības Olaines cietumā, kā arī 20 Valsts policijas objektu rekonstrukcijas/renovācijas (līdz pārskata perioda beigām darbi pabeigti jau 4 pagaidu turēšanas telpās un 1 īslaicīgās aizturēšanas vietā).</w:t>
      </w:r>
    </w:p>
    <w:p w14:paraId="11F073BC" w14:textId="30BC94CA" w:rsidR="001F7759" w:rsidRPr="001F7759" w:rsidRDefault="001F7759" w:rsidP="00190973">
      <w:pPr>
        <w:numPr>
          <w:ilvl w:val="0"/>
          <w:numId w:val="20"/>
        </w:numPr>
        <w:autoSpaceDE w:val="0"/>
        <w:autoSpaceDN w:val="0"/>
        <w:adjustRightInd w:val="0"/>
        <w:spacing w:before="120" w:after="120" w:line="276" w:lineRule="auto"/>
        <w:ind w:left="425" w:hanging="425"/>
        <w:jc w:val="both"/>
        <w:rPr>
          <w:rFonts w:cs="Times New Roman"/>
          <w:szCs w:val="20"/>
        </w:rPr>
      </w:pPr>
      <w:r w:rsidRPr="001F7759">
        <w:rPr>
          <w:rFonts w:cs="Times New Roman"/>
          <w:color w:val="000000"/>
          <w:szCs w:val="20"/>
          <w:lang w:eastAsia="lv-LV"/>
        </w:rPr>
        <w:t xml:space="preserve">EM programmā </w:t>
      </w:r>
      <w:r w:rsidRPr="001F7759">
        <w:rPr>
          <w:rFonts w:cs="Times New Roman"/>
          <w:b/>
          <w:color w:val="000000"/>
          <w:szCs w:val="20"/>
          <w:lang w:eastAsia="lv-LV"/>
        </w:rPr>
        <w:t>“Inovācijas „zaļās” ražošanas jomā”</w:t>
      </w:r>
      <w:r w:rsidRPr="001F7759">
        <w:rPr>
          <w:rFonts w:cs="Times New Roman"/>
          <w:color w:val="000000"/>
          <w:szCs w:val="20"/>
          <w:lang w:eastAsia="lv-LV"/>
        </w:rPr>
        <w:t xml:space="preserve">: Tika noslēgti pēdējie 2 projektu konkursi, kā rezultātā kopumā tiek īstenoti 40 projekti, tādējādi privātajam sektoram nodrošinot investīcijas 11,2 milj. euro ampērā zaļo produktu un tehnoloģiju izstrādei. Veiksmīgi darbību turpina Zaļais tehnoloģiju inkubators, kas pārskata periodā izsludināja 2 pirms inkubācijas kārtas. Kopumā 5 kārtās Inkubatorā ir iesniegtas 379 idejas, </w:t>
      </w:r>
      <w:r w:rsidR="00A515C3">
        <w:rPr>
          <w:rFonts w:cs="Times New Roman"/>
          <w:color w:val="000000"/>
          <w:szCs w:val="20"/>
          <w:lang w:eastAsia="lv-LV"/>
        </w:rPr>
        <w:t>no kurām 81 ideja apstiprināta</w:t>
      </w:r>
      <w:r w:rsidRPr="001F7759">
        <w:rPr>
          <w:rFonts w:cs="Times New Roman"/>
          <w:color w:val="000000"/>
          <w:szCs w:val="20"/>
          <w:lang w:eastAsia="lv-LV"/>
        </w:rPr>
        <w:t xml:space="preserve">. Rezultāti liecina par mērķa grupas lielo interesi, turklāt katrā kārtā var apstiprināt tikai </w:t>
      </w:r>
      <w:r w:rsidR="006D2E3D">
        <w:rPr>
          <w:rFonts w:cs="Times New Roman"/>
          <w:color w:val="000000"/>
          <w:szCs w:val="20"/>
          <w:lang w:eastAsia="lv-LV"/>
        </w:rPr>
        <w:t>2</w:t>
      </w:r>
      <w:r w:rsidRPr="001F7759">
        <w:rPr>
          <w:rFonts w:cs="Times New Roman"/>
          <w:color w:val="000000"/>
          <w:szCs w:val="20"/>
          <w:lang w:eastAsia="lv-LV"/>
        </w:rPr>
        <w:t xml:space="preserve">5 labākās idejas. Kā pievienoto vērtību un labiem pirms inkubācijas rezultātiem var minēt Latvijas dalību Eiropas līmeņa konkursā </w:t>
      </w:r>
      <w:proofErr w:type="spellStart"/>
      <w:r w:rsidRPr="001F7759">
        <w:rPr>
          <w:rFonts w:cs="Times New Roman"/>
          <w:i/>
          <w:color w:val="000000"/>
          <w:szCs w:val="20"/>
          <w:lang w:eastAsia="lv-LV"/>
        </w:rPr>
        <w:t>Climate</w:t>
      </w:r>
      <w:proofErr w:type="spellEnd"/>
      <w:r w:rsidRPr="001F7759">
        <w:rPr>
          <w:rFonts w:cs="Times New Roman"/>
          <w:i/>
          <w:color w:val="000000"/>
          <w:szCs w:val="20"/>
          <w:lang w:eastAsia="lv-LV"/>
        </w:rPr>
        <w:t xml:space="preserve"> </w:t>
      </w:r>
      <w:proofErr w:type="spellStart"/>
      <w:r w:rsidRPr="001F7759">
        <w:rPr>
          <w:rFonts w:cs="Times New Roman"/>
          <w:i/>
          <w:color w:val="000000"/>
          <w:szCs w:val="20"/>
          <w:lang w:eastAsia="lv-LV"/>
        </w:rPr>
        <w:t>Launchpad</w:t>
      </w:r>
      <w:proofErr w:type="spellEnd"/>
      <w:r w:rsidRPr="001F7759">
        <w:rPr>
          <w:rFonts w:cs="Times New Roman"/>
          <w:i/>
          <w:color w:val="000000"/>
          <w:szCs w:val="20"/>
          <w:lang w:eastAsia="lv-LV"/>
        </w:rPr>
        <w:t xml:space="preserve"> 2015</w:t>
      </w:r>
      <w:r w:rsidRPr="001F7759">
        <w:rPr>
          <w:rFonts w:cs="Times New Roman"/>
          <w:color w:val="000000"/>
          <w:szCs w:val="20"/>
          <w:lang w:eastAsia="lv-LV"/>
        </w:rPr>
        <w:t>. Latvijas līmeņa atlasē 3 labākās iesniegtās idejas ir tieši no Inkubatora pirms inkubācijas projektiem. Eiropas konkursā viena no šīm 3 labākajām idejām iekļuva Top 10 Eiropas konkursa atlasē.</w:t>
      </w:r>
    </w:p>
    <w:p w14:paraId="5094B336" w14:textId="31AA8842" w:rsidR="001F7759" w:rsidRPr="001F7759" w:rsidRDefault="001F7759" w:rsidP="00190973">
      <w:pPr>
        <w:numPr>
          <w:ilvl w:val="0"/>
          <w:numId w:val="20"/>
        </w:numPr>
        <w:autoSpaceDE w:val="0"/>
        <w:autoSpaceDN w:val="0"/>
        <w:adjustRightInd w:val="0"/>
        <w:spacing w:before="120" w:after="120" w:line="276" w:lineRule="auto"/>
        <w:ind w:left="426" w:hanging="426"/>
        <w:jc w:val="both"/>
        <w:rPr>
          <w:rFonts w:cs="Times New Roman"/>
          <w:szCs w:val="20"/>
        </w:rPr>
      </w:pPr>
      <w:r w:rsidRPr="001F7759">
        <w:rPr>
          <w:rFonts w:cs="Times New Roman"/>
          <w:color w:val="000000"/>
          <w:szCs w:val="20"/>
          <w:lang w:eastAsia="lv-LV"/>
        </w:rPr>
        <w:t xml:space="preserve">IZM programmā </w:t>
      </w:r>
      <w:r w:rsidRPr="001F7759">
        <w:rPr>
          <w:rFonts w:cs="Times New Roman"/>
          <w:b/>
          <w:color w:val="000000"/>
          <w:szCs w:val="20"/>
          <w:lang w:eastAsia="lv-LV"/>
        </w:rPr>
        <w:t>“Pētniecība un stipendijas”</w:t>
      </w:r>
      <w:r w:rsidRPr="001F7759">
        <w:rPr>
          <w:rFonts w:cs="Times New Roman"/>
          <w:color w:val="000000"/>
          <w:szCs w:val="20"/>
          <w:lang w:eastAsia="lv-LV"/>
        </w:rPr>
        <w:t xml:space="preserve">: Pētniecībā 2015.gada vasarā uzsākti 11 projekti par visu pieejamo finansējumu, savukārt Stipendijās 2015.gada 2.pusgadā uzsākti 28 projekti par visu pieejamo finansējumu. Plānots, ka līdz 2017.gada 30.aprīlim, sadarbojoties ar </w:t>
      </w:r>
      <w:proofErr w:type="spellStart"/>
      <w:r w:rsidRPr="001F7759">
        <w:rPr>
          <w:rFonts w:cs="Times New Roman"/>
          <w:color w:val="000000"/>
          <w:szCs w:val="20"/>
          <w:lang w:eastAsia="lv-LV"/>
        </w:rPr>
        <w:t>donorvalstu</w:t>
      </w:r>
      <w:proofErr w:type="spellEnd"/>
      <w:r w:rsidRPr="001F7759">
        <w:rPr>
          <w:rFonts w:cs="Times New Roman"/>
          <w:color w:val="000000"/>
          <w:szCs w:val="20"/>
          <w:lang w:eastAsia="lv-LV"/>
        </w:rPr>
        <w:t xml:space="preserve"> partneriem, Latvijas zinātniskās institūcijas izstrādās 5 pētījumus veselības jomā un 6 pētījumus sociālajās un humanitārajās zinātnēs.</w:t>
      </w:r>
      <w:r w:rsidRPr="001F7759">
        <w:rPr>
          <w:rFonts w:cs="Times New Roman"/>
          <w:szCs w:val="20"/>
        </w:rPr>
        <w:t xml:space="preserve"> Stipendijās plānots, ka studenti</w:t>
      </w:r>
      <w:r w:rsidRPr="001F7759">
        <w:rPr>
          <w:rFonts w:eastAsia="Calibri" w:cs="Times New Roman"/>
          <w:color w:val="000000"/>
          <w:szCs w:val="24"/>
          <w:lang w:eastAsia="lv-LV"/>
        </w:rPr>
        <w:t xml:space="preserve"> </w:t>
      </w:r>
      <w:r w:rsidRPr="001F7759">
        <w:rPr>
          <w:rFonts w:cs="Times New Roman"/>
          <w:szCs w:val="20"/>
        </w:rPr>
        <w:t>un akadēmiskais personāls no 13 Latvijas augs</w:t>
      </w:r>
      <w:r w:rsidR="004B6B1D">
        <w:rPr>
          <w:rFonts w:cs="Times New Roman"/>
          <w:szCs w:val="20"/>
        </w:rPr>
        <w:t>ts</w:t>
      </w:r>
      <w:r w:rsidRPr="001F7759">
        <w:rPr>
          <w:rFonts w:cs="Times New Roman"/>
          <w:szCs w:val="20"/>
        </w:rPr>
        <w:t xml:space="preserve">kolām papildinās zināšanas un veicinās pieredzes apmaiņu ar apmēram 20 </w:t>
      </w:r>
      <w:proofErr w:type="spellStart"/>
      <w:r w:rsidRPr="001F7759">
        <w:rPr>
          <w:rFonts w:cs="Times New Roman"/>
          <w:szCs w:val="20"/>
        </w:rPr>
        <w:t>donorvalstu</w:t>
      </w:r>
      <w:proofErr w:type="spellEnd"/>
      <w:r w:rsidRPr="001F7759">
        <w:rPr>
          <w:rFonts w:cs="Times New Roman"/>
          <w:szCs w:val="20"/>
        </w:rPr>
        <w:t xml:space="preserve"> </w:t>
      </w:r>
      <w:r w:rsidRPr="001F7759">
        <w:rPr>
          <w:rFonts w:cs="Times New Roman"/>
          <w:szCs w:val="20"/>
        </w:rPr>
        <w:lastRenderedPageBreak/>
        <w:t>augs</w:t>
      </w:r>
      <w:r w:rsidR="004B6B1D">
        <w:rPr>
          <w:rFonts w:cs="Times New Roman"/>
          <w:szCs w:val="20"/>
        </w:rPr>
        <w:t>ts</w:t>
      </w:r>
      <w:r w:rsidRPr="001F7759">
        <w:rPr>
          <w:rFonts w:cs="Times New Roman"/>
          <w:szCs w:val="20"/>
        </w:rPr>
        <w:t>kolām tādās jomās kā, piemēram, farmācija, dabaszinātnes, veselības zinātnes,  teorētiskā valodniecība, digitālie mēdiji, politiskās zinātnes, socioloģija, lauksaimniecība, informāciju tehnoloģija, māksla un dizains, arhitektūra utt.</w:t>
      </w:r>
    </w:p>
    <w:p w14:paraId="73ABF621" w14:textId="470168D7" w:rsidR="001F7759" w:rsidRPr="001F7759" w:rsidRDefault="001F7759" w:rsidP="00550B8A">
      <w:pPr>
        <w:numPr>
          <w:ilvl w:val="0"/>
          <w:numId w:val="20"/>
        </w:numPr>
        <w:autoSpaceDE w:val="0"/>
        <w:autoSpaceDN w:val="0"/>
        <w:adjustRightInd w:val="0"/>
        <w:spacing w:before="120" w:after="120" w:line="276" w:lineRule="auto"/>
        <w:jc w:val="both"/>
        <w:rPr>
          <w:rFonts w:cs="Times New Roman"/>
          <w:szCs w:val="20"/>
        </w:rPr>
      </w:pPr>
      <w:r w:rsidRPr="001F7759">
        <w:rPr>
          <w:rFonts w:cs="Times New Roman"/>
          <w:szCs w:val="20"/>
        </w:rPr>
        <w:t xml:space="preserve">VARAM programmā </w:t>
      </w:r>
      <w:r w:rsidRPr="001F7759">
        <w:rPr>
          <w:rFonts w:cs="Times New Roman"/>
          <w:b/>
          <w:szCs w:val="20"/>
        </w:rPr>
        <w:t>“Nacionālā klimata politika”</w:t>
      </w:r>
      <w:r w:rsidRPr="001F7759">
        <w:rPr>
          <w:rFonts w:cs="Times New Roman"/>
          <w:szCs w:val="20"/>
        </w:rPr>
        <w:t xml:space="preserve">: 5 projektos uzsākta videi draudzīgu sabiedriski nozīmīgu ēku būvniecība (3 sporta halles, zinātnes un tehnoloģiju muzejs un uzņēmējdarbības centra-bibliotēka), 2 projektos uzņēmēji uzsāka sadarbību ar augstskolām un zinātniskajiem institūtiem inovatīvo energoefektīvo tehnoloģiju izstrādē, </w:t>
      </w:r>
      <w:r w:rsidR="00550B8A" w:rsidRPr="00550B8A">
        <w:rPr>
          <w:rFonts w:cs="Times New Roman"/>
          <w:szCs w:val="20"/>
        </w:rPr>
        <w:t>12 projektos notiek izglītojošas un informatīvas aktivitātes, kā arī tiek izstrādātas apmācību programmas un studiju moduļi  par e-mobilitātes ieguvumiem, vides un klimata politikas ieviešanu uzņēmumu stratēģijās, ēku energoefektivitāti, klimata pārmaiņu ietekmi un to mazināšanas rīkiem u.c. jautājumiem. Tāpat tiek izstrādāti 6 pētījumi klimata pārmaiņu jomā. Jāatzīmē, ka norit darbs pie nacionālās klimata pārmaiņu pielāgošanās stratēģijas izstrādes un siltumnīcefekta gāzu inventarizācijas sistēmas uzlabošanas visaptverošas klimata politikas izstrādes pilnveidošanai. Ir izstrādātas plūdu riska un plūdu draudu kartes Lielupes, Ventas un Gaujas upju baseiniem un norit darbi pie Plūdu informācijas sistēmas uzlabošanas. Noslēguma stadijā ir Jūras telpiskā plānojuma izstrāde turpmākajiem 12 gadiem. Ir pabeigta 2 pētījumu iz</w:t>
      </w:r>
      <w:r w:rsidR="001B4163">
        <w:rPr>
          <w:rFonts w:cs="Times New Roman"/>
          <w:szCs w:val="20"/>
        </w:rPr>
        <w:t>s</w:t>
      </w:r>
      <w:r w:rsidR="00550B8A" w:rsidRPr="00550B8A">
        <w:rPr>
          <w:rFonts w:cs="Times New Roman"/>
          <w:szCs w:val="20"/>
        </w:rPr>
        <w:t>trāde siltumnīcefekta gāzu inventarizācijas uzlabošanai – vienā no tiem izveidojot digitālu augšņu datu bāzi. Izstrādāta arī modelēšanas sistēma lauksaimniecības emisiju novērtēšanai un prognozēšanai, kā arī paaugstināta inventarizācijas sagatavošanā iesaistīto ekspertu kapacitāte, organizējot un piedaloties  pieredzes un zināšanu apmaiņas pasākumos ar partneriem. Noslēdzies arī pētījums atkritumu apsaimniekošanas sektorā,  kura rezultātā būs iespējams precīzāk sagatavot emisiju prognozes šai sektorā.</w:t>
      </w:r>
    </w:p>
    <w:p w14:paraId="270E5630" w14:textId="5429B4F2" w:rsidR="001F7759" w:rsidRPr="001F7759" w:rsidRDefault="001F7759" w:rsidP="00300976">
      <w:pPr>
        <w:numPr>
          <w:ilvl w:val="0"/>
          <w:numId w:val="20"/>
        </w:numPr>
        <w:autoSpaceDE w:val="0"/>
        <w:autoSpaceDN w:val="0"/>
        <w:adjustRightInd w:val="0"/>
        <w:spacing w:before="120" w:after="120" w:line="276" w:lineRule="auto"/>
        <w:jc w:val="both"/>
        <w:rPr>
          <w:rFonts w:cs="Times New Roman"/>
          <w:szCs w:val="20"/>
        </w:rPr>
      </w:pPr>
      <w:r w:rsidRPr="001F7759">
        <w:rPr>
          <w:rFonts w:cs="Times New Roman"/>
          <w:szCs w:val="20"/>
        </w:rPr>
        <w:t xml:space="preserve">VARAM programmā </w:t>
      </w:r>
      <w:r w:rsidRPr="001F7759">
        <w:rPr>
          <w:rFonts w:cs="Times New Roman"/>
          <w:b/>
          <w:szCs w:val="20"/>
        </w:rPr>
        <w:t>“Kapacitātes stiprināšana un institucionālā sadarbība starp Latvijas un Norvēģijas valsts institūcijām, vietējām un reģionālām iestādēm”</w:t>
      </w:r>
      <w:r w:rsidRPr="001F7759">
        <w:rPr>
          <w:rFonts w:cs="Times New Roman"/>
          <w:szCs w:val="20"/>
        </w:rPr>
        <w:t xml:space="preserve">: Tika stiprināta sadarbība starp Latvijas un Norvēģijas institūcijām, organizējot </w:t>
      </w:r>
      <w:r w:rsidR="00300976">
        <w:rPr>
          <w:rFonts w:cs="Times New Roman"/>
          <w:szCs w:val="20"/>
        </w:rPr>
        <w:t>23</w:t>
      </w:r>
      <w:r w:rsidRPr="001F7759">
        <w:rPr>
          <w:rFonts w:cs="Times New Roman"/>
          <w:szCs w:val="20"/>
        </w:rPr>
        <w:t xml:space="preserve"> pieredzes un zināšanu apmaiņas pasākumus. Noslēgušies 5 reģionālie inovatīvu biznesa ideju konkursi, izstrādāti vai uzlaboti </w:t>
      </w:r>
      <w:r w:rsidR="00A161E6">
        <w:rPr>
          <w:rFonts w:cs="Times New Roman"/>
          <w:szCs w:val="20"/>
        </w:rPr>
        <w:t>32</w:t>
      </w:r>
      <w:r w:rsidRPr="001F7759">
        <w:rPr>
          <w:rFonts w:cs="Times New Roman"/>
          <w:szCs w:val="20"/>
        </w:rPr>
        <w:t xml:space="preserve"> (2</w:t>
      </w:r>
      <w:r w:rsidR="00A161E6">
        <w:rPr>
          <w:rFonts w:cs="Times New Roman"/>
          <w:szCs w:val="20"/>
        </w:rPr>
        <w:t>7</w:t>
      </w:r>
      <w:r w:rsidRPr="001F7759">
        <w:rPr>
          <w:rFonts w:cs="Times New Roman"/>
          <w:szCs w:val="20"/>
        </w:rPr>
        <w:t xml:space="preserve"> plānoto vietā) pašvaldību </w:t>
      </w:r>
      <w:r w:rsidR="00300976">
        <w:rPr>
          <w:rFonts w:cs="Times New Roman"/>
          <w:szCs w:val="20"/>
        </w:rPr>
        <w:t xml:space="preserve">un 10 reģionāla </w:t>
      </w:r>
      <w:r w:rsidRPr="001F7759">
        <w:rPr>
          <w:rFonts w:cs="Times New Roman"/>
          <w:szCs w:val="20"/>
        </w:rPr>
        <w:t xml:space="preserve">līmeņa plānošanas dokumenti, noslēgts līgums par datu bāzes “Mācīties salīdzinot” </w:t>
      </w:r>
      <w:r w:rsidRPr="001F7759">
        <w:rPr>
          <w:rFonts w:cs="Times New Roman"/>
          <w:i/>
          <w:szCs w:val="20"/>
        </w:rPr>
        <w:t>(</w:t>
      </w:r>
      <w:proofErr w:type="spellStart"/>
      <w:r w:rsidRPr="001F7759">
        <w:rPr>
          <w:rFonts w:cs="Times New Roman"/>
          <w:i/>
          <w:szCs w:val="20"/>
        </w:rPr>
        <w:t>benchlearning</w:t>
      </w:r>
      <w:proofErr w:type="spellEnd"/>
      <w:r w:rsidRPr="001F7759">
        <w:rPr>
          <w:rFonts w:cs="Times New Roman"/>
          <w:i/>
          <w:szCs w:val="20"/>
        </w:rPr>
        <w:t>)</w:t>
      </w:r>
      <w:r w:rsidRPr="001F7759">
        <w:rPr>
          <w:rFonts w:cs="Times New Roman"/>
          <w:szCs w:val="20"/>
        </w:rPr>
        <w:t xml:space="preserve"> izstrādi</w:t>
      </w:r>
      <w:r w:rsidR="00300976">
        <w:rPr>
          <w:rFonts w:cs="Times New Roman"/>
          <w:szCs w:val="20"/>
        </w:rPr>
        <w:t xml:space="preserve">, </w:t>
      </w:r>
      <w:r w:rsidR="00300976" w:rsidRPr="00300976">
        <w:rPr>
          <w:rFonts w:cs="Times New Roman"/>
          <w:szCs w:val="20"/>
        </w:rPr>
        <w:t>kā arī turpinās pašvaldību sadarbības tīklu darbība, kuru ietvaros iesaistītās pašvaldības izstrādā pakalpojumu uzlabošanas pl</w:t>
      </w:r>
      <w:r w:rsidR="00300976">
        <w:rPr>
          <w:rFonts w:cs="Times New Roman"/>
          <w:szCs w:val="20"/>
        </w:rPr>
        <w:t>ānus un  mārketinga stratēģijas</w:t>
      </w:r>
      <w:r w:rsidRPr="001F7759">
        <w:rPr>
          <w:rFonts w:cs="Times New Roman"/>
          <w:szCs w:val="20"/>
        </w:rPr>
        <w:t xml:space="preserve"> Turpinās konceptuālu risinājumu un vadlīniju dabas aizsardzības plānošanas procesa pilnveidošanai un sasaistei ar pašvaldību teritorijas attīstības plānošanu izstrādi. Stiprinātas </w:t>
      </w:r>
      <w:proofErr w:type="spellStart"/>
      <w:r w:rsidRPr="001F7759">
        <w:rPr>
          <w:rFonts w:cs="Times New Roman"/>
          <w:szCs w:val="20"/>
        </w:rPr>
        <w:t>pašvaldību</w:t>
      </w:r>
      <w:r w:rsidR="00300976">
        <w:rPr>
          <w:rFonts w:cs="Times New Roman"/>
          <w:szCs w:val="20"/>
        </w:rPr>
        <w:t>,</w:t>
      </w:r>
      <w:r w:rsidR="00300976" w:rsidRPr="00300976">
        <w:rPr>
          <w:rFonts w:cs="Times New Roman"/>
          <w:szCs w:val="20"/>
        </w:rPr>
        <w:t>izglītības</w:t>
      </w:r>
      <w:proofErr w:type="spellEnd"/>
      <w:r w:rsidR="00300976" w:rsidRPr="00300976">
        <w:rPr>
          <w:rFonts w:cs="Times New Roman"/>
          <w:szCs w:val="20"/>
        </w:rPr>
        <w:t xml:space="preserve"> iestāžu un NVO </w:t>
      </w:r>
      <w:r w:rsidRPr="001F7759">
        <w:rPr>
          <w:rFonts w:cs="Times New Roman"/>
          <w:szCs w:val="20"/>
        </w:rPr>
        <w:t>speciālistu zināšanas, lai sniegtu kvalitatīvu „pirmās pieturas” atbalstu biznesa idejas autoram, organizējot 15 apmācību programmas seminār</w:t>
      </w:r>
      <w:r w:rsidR="006C3562">
        <w:rPr>
          <w:rFonts w:cs="Times New Roman"/>
          <w:szCs w:val="20"/>
        </w:rPr>
        <w:t>us</w:t>
      </w:r>
      <w:r w:rsidRPr="001F7759">
        <w:rPr>
          <w:rFonts w:cs="Times New Roman"/>
          <w:szCs w:val="20"/>
        </w:rPr>
        <w:t xml:space="preserve"> “Zināšanu eņģeļi”. Noslēgušās spēles “Nākotnes pilsētas”, kurās piedalījās pašvaldības, NVO un neformālas iedzīvotāju grupas, lai meklētu radošus un finansiāli neietilpīgus risinājumus ekonomiskās aktivitātes un sabiedrības līdzdalības rosināšanai konkrētajā pašvaldībā.</w:t>
      </w:r>
    </w:p>
    <w:p w14:paraId="05BB092A" w14:textId="21B21EBB" w:rsidR="00BE2115" w:rsidRPr="001E20BF" w:rsidRDefault="001F7759" w:rsidP="001E20BF">
      <w:pPr>
        <w:autoSpaceDE w:val="0"/>
        <w:autoSpaceDN w:val="0"/>
        <w:adjustRightInd w:val="0"/>
        <w:spacing w:before="120" w:after="120" w:line="276" w:lineRule="auto"/>
        <w:jc w:val="both"/>
        <w:rPr>
          <w:rFonts w:eastAsia="Times New Roman" w:cs="Times New Roman"/>
          <w:color w:val="000000"/>
          <w:szCs w:val="20"/>
          <w:lang w:eastAsia="lv-LV"/>
        </w:rPr>
      </w:pPr>
      <w:r w:rsidRPr="001F7759">
        <w:rPr>
          <w:rFonts w:eastAsia="Times New Roman" w:cs="Times New Roman"/>
          <w:color w:val="000000"/>
          <w:szCs w:val="20"/>
          <w:lang w:eastAsia="lv-LV"/>
        </w:rPr>
        <w:lastRenderedPageBreak/>
        <w:t xml:space="preserve">Plašāka informācija par EEZ/Norvēģijas finanšu instrumentu ieviešanu Latvijā, t.sk. aktuālajiem publicitātes pasākumiem, ir pieejama VI uzturētajās </w:t>
      </w:r>
      <w:r w:rsidR="00501120">
        <w:rPr>
          <w:rFonts w:eastAsia="Times New Roman" w:cs="Times New Roman"/>
          <w:color w:val="000000"/>
          <w:szCs w:val="20"/>
          <w:lang w:eastAsia="lv-LV"/>
        </w:rPr>
        <w:t>tīmekļa vietnēs</w:t>
      </w:r>
      <w:r w:rsidR="00501120" w:rsidRPr="001F7759">
        <w:rPr>
          <w:rFonts w:eastAsia="Times New Roman" w:cs="Times New Roman"/>
          <w:color w:val="000000"/>
          <w:szCs w:val="20"/>
          <w:lang w:eastAsia="lv-LV"/>
        </w:rPr>
        <w:t xml:space="preserve"> </w:t>
      </w:r>
      <w:hyperlink r:id="rId30" w:history="1">
        <w:r w:rsidRPr="001F7759">
          <w:rPr>
            <w:rFonts w:eastAsia="Times New Roman" w:cs="Times New Roman"/>
            <w:color w:val="0563C1"/>
            <w:szCs w:val="20"/>
            <w:u w:val="single"/>
            <w:lang w:eastAsia="lv-LV"/>
          </w:rPr>
          <w:t>www.eeagrants.lv</w:t>
        </w:r>
      </w:hyperlink>
      <w:r w:rsidRPr="001F7759">
        <w:rPr>
          <w:rFonts w:eastAsia="Times New Roman" w:cs="Times New Roman"/>
          <w:color w:val="000000"/>
          <w:szCs w:val="20"/>
          <w:lang w:eastAsia="lv-LV"/>
        </w:rPr>
        <w:t xml:space="preserve"> un </w:t>
      </w:r>
      <w:hyperlink r:id="rId31" w:history="1">
        <w:r w:rsidRPr="001F7759">
          <w:rPr>
            <w:rFonts w:eastAsia="Times New Roman" w:cs="Times New Roman"/>
            <w:color w:val="0563C1"/>
            <w:szCs w:val="20"/>
            <w:u w:val="single"/>
            <w:lang w:eastAsia="lv-LV"/>
          </w:rPr>
          <w:t>www.norwaygrants.lv</w:t>
        </w:r>
      </w:hyperlink>
      <w:r w:rsidRPr="001F7759">
        <w:rPr>
          <w:rFonts w:eastAsia="Times New Roman" w:cs="Times New Roman"/>
          <w:color w:val="000000"/>
          <w:szCs w:val="20"/>
          <w:lang w:eastAsia="lv-LV"/>
        </w:rPr>
        <w:t>.</w:t>
      </w:r>
    </w:p>
    <w:p w14:paraId="69AF254D" w14:textId="77777777" w:rsidR="009C0862" w:rsidRPr="00BE09AB" w:rsidRDefault="009C0862" w:rsidP="004D147C">
      <w:pPr>
        <w:pStyle w:val="1lmenis"/>
      </w:pPr>
      <w:bookmarkStart w:id="15" w:name="_Toc443658857"/>
      <w:r w:rsidRPr="00BE09AB">
        <w:t>Šveices programmas ieviešana</w:t>
      </w:r>
      <w:bookmarkEnd w:id="15"/>
    </w:p>
    <w:p w14:paraId="1E153C95" w14:textId="3A8DB0E7" w:rsidR="00BE09AB" w:rsidRPr="00BE09AB" w:rsidRDefault="00BE09AB" w:rsidP="00BE09AB">
      <w:pPr>
        <w:spacing w:before="120" w:after="120" w:line="276" w:lineRule="auto"/>
        <w:jc w:val="both"/>
        <w:rPr>
          <w:rFonts w:eastAsia="Times New Roman" w:cs="Times New Roman"/>
          <w:szCs w:val="24"/>
        </w:rPr>
      </w:pPr>
      <w:r w:rsidRPr="00BE09AB">
        <w:rPr>
          <w:rFonts w:eastAsia="Times New Roman" w:cs="Times New Roman"/>
          <w:szCs w:val="24"/>
        </w:rPr>
        <w:t xml:space="preserve">Finansējums Latvijai ir pieejams no 2007.gada 14.jūnija un iespēja īstenot projektus būs līdz 2017.gada 14.jūnijam. Latvijai kopumā ir pieejami 56,7 milj. Šveices franku jeb 47,2 milj. </w:t>
      </w:r>
      <w:r w:rsidRPr="00BE09AB">
        <w:rPr>
          <w:rFonts w:eastAsia="Times New Roman" w:cs="Times New Roman"/>
          <w:i/>
          <w:szCs w:val="24"/>
        </w:rPr>
        <w:t>euro</w:t>
      </w:r>
      <w:r w:rsidRPr="00BE09AB">
        <w:rPr>
          <w:rFonts w:eastAsia="Times New Roman" w:cs="Times New Roman"/>
          <w:szCs w:val="24"/>
        </w:rPr>
        <w:t>,</w:t>
      </w:r>
      <w:r w:rsidRPr="00BE09AB">
        <w:rPr>
          <w:rFonts w:eastAsia="Times New Roman" w:cs="Times New Roman"/>
          <w:i/>
          <w:szCs w:val="24"/>
        </w:rPr>
        <w:t xml:space="preserve"> </w:t>
      </w:r>
      <w:r w:rsidRPr="00BE09AB">
        <w:rPr>
          <w:rFonts w:eastAsia="Times New Roman" w:cs="Times New Roman"/>
          <w:szCs w:val="24"/>
        </w:rPr>
        <w:t xml:space="preserve">par kuriem ir kopumā noslēgti līgumi par 12 dažādu projektu ieviešanu (6 individuālie projekti, 1 programma, 3 </w:t>
      </w:r>
      <w:proofErr w:type="spellStart"/>
      <w:r w:rsidRPr="00BE09AB">
        <w:rPr>
          <w:rFonts w:eastAsia="Times New Roman" w:cs="Times New Roman"/>
          <w:szCs w:val="24"/>
        </w:rPr>
        <w:t>grantu</w:t>
      </w:r>
      <w:proofErr w:type="spellEnd"/>
      <w:r w:rsidRPr="00BE09AB">
        <w:rPr>
          <w:rFonts w:eastAsia="Times New Roman" w:cs="Times New Roman"/>
          <w:szCs w:val="24"/>
        </w:rPr>
        <w:t xml:space="preserve"> shēmas, 1 TP, t.sk., Projektu sagatavošanas fonds). 8 projekti ir jau pabeigti – „Pašvaldību aktivitāšu īstenošana, lai nodrošinātu skolnieku pārvadāšanu un ar to saistītos atbalsta pasākumus”, „Projektu sagatavošanas fonds”, „NVO fonds”, „Tiesu modernizācija Latvijā”, “</w:t>
      </w:r>
      <w:proofErr w:type="spellStart"/>
      <w:r w:rsidRPr="00BE09AB">
        <w:rPr>
          <w:rFonts w:eastAsia="Times New Roman" w:cs="Times New Roman"/>
          <w:szCs w:val="24"/>
        </w:rPr>
        <w:t>Mikrokreditēšanas</w:t>
      </w:r>
      <w:proofErr w:type="spellEnd"/>
      <w:r w:rsidRPr="00BE09AB">
        <w:rPr>
          <w:rFonts w:eastAsia="Times New Roman" w:cs="Times New Roman"/>
          <w:szCs w:val="24"/>
        </w:rPr>
        <w:t xml:space="preserve"> programma”</w:t>
      </w:r>
      <w:r w:rsidR="00BF2512">
        <w:rPr>
          <w:rFonts w:eastAsia="Times New Roman" w:cs="Times New Roman"/>
          <w:szCs w:val="24"/>
        </w:rPr>
        <w:t xml:space="preserve"> (lai izpildītu projekta noslēgšanās nosacījumu izpildi – mikro aizdevumu piešķiršana turpinās no atmaksātajiem aizdevumiem, līgumi par jaunu </w:t>
      </w:r>
      <w:r w:rsidR="00BF2512" w:rsidRPr="00286B24">
        <w:rPr>
          <w:rFonts w:eastAsia="Times New Roman" w:cs="Times New Roman"/>
          <w:szCs w:val="24"/>
        </w:rPr>
        <w:t xml:space="preserve">aizdevumu </w:t>
      </w:r>
      <w:r w:rsidR="00BF2512">
        <w:rPr>
          <w:rFonts w:eastAsia="Times New Roman" w:cs="Times New Roman"/>
          <w:szCs w:val="24"/>
        </w:rPr>
        <w:t>piešķiršanu</w:t>
      </w:r>
      <w:r w:rsidR="00BF2512" w:rsidRPr="00286B24">
        <w:rPr>
          <w:rFonts w:eastAsia="Times New Roman" w:cs="Times New Roman"/>
          <w:szCs w:val="24"/>
        </w:rPr>
        <w:t xml:space="preserve"> </w:t>
      </w:r>
      <w:r w:rsidR="00BF2512">
        <w:rPr>
          <w:rFonts w:eastAsia="Times New Roman" w:cs="Times New Roman"/>
          <w:szCs w:val="24"/>
        </w:rPr>
        <w:t>var tikt slēgti</w:t>
      </w:r>
      <w:r w:rsidR="00BF2512" w:rsidRPr="00286B24">
        <w:rPr>
          <w:rFonts w:eastAsia="Times New Roman" w:cs="Times New Roman"/>
          <w:szCs w:val="24"/>
        </w:rPr>
        <w:t xml:space="preserve"> </w:t>
      </w:r>
      <w:r w:rsidR="00BF2512">
        <w:rPr>
          <w:rFonts w:eastAsia="Times New Roman" w:cs="Times New Roman"/>
          <w:szCs w:val="24"/>
        </w:rPr>
        <w:t xml:space="preserve">līdz </w:t>
      </w:r>
      <w:r w:rsidR="00BF2512" w:rsidRPr="00286B24">
        <w:rPr>
          <w:rFonts w:eastAsia="Times New Roman" w:cs="Times New Roman"/>
          <w:szCs w:val="24"/>
        </w:rPr>
        <w:t>2019.gada 30.jūnijam</w:t>
      </w:r>
      <w:r w:rsidR="00BF2512">
        <w:rPr>
          <w:rFonts w:eastAsia="Times New Roman" w:cs="Times New Roman"/>
          <w:szCs w:val="24"/>
        </w:rPr>
        <w:t>)</w:t>
      </w:r>
      <w:r w:rsidRPr="00BE09AB">
        <w:rPr>
          <w:rFonts w:eastAsia="Times New Roman" w:cs="Times New Roman"/>
          <w:szCs w:val="24"/>
        </w:rPr>
        <w:t>, “Atbalsts ugunsdrošības pasākumiem pašvaldību vispārējās izglītības iestādēs”, “Šveices pētnieku aktivitātes Latvijā” un “Stipendiju fonds”. Noslēgtajos projektos investīciju ieguldījums tautsaimniecībā nodrošināts vidēji 97,7% līmenī no pieejamā finansējuma.</w:t>
      </w:r>
    </w:p>
    <w:p w14:paraId="2FC1E85C" w14:textId="77777777" w:rsidR="00BE09AB" w:rsidRPr="00BE09AB" w:rsidRDefault="00BE09AB" w:rsidP="00BE09AB">
      <w:pPr>
        <w:spacing w:before="120" w:after="120" w:line="276" w:lineRule="auto"/>
        <w:jc w:val="both"/>
        <w:rPr>
          <w:rFonts w:eastAsia="Times New Roman" w:cs="Times New Roman"/>
          <w:szCs w:val="24"/>
        </w:rPr>
      </w:pPr>
      <w:r w:rsidRPr="00BE09AB">
        <w:rPr>
          <w:rFonts w:eastAsia="Times New Roman" w:cs="Times New Roman"/>
          <w:szCs w:val="24"/>
        </w:rPr>
        <w:t>Līdz pārskata perioda beigām atmaksas Šveices programmas finansējuma saņēmējiem ir veiktas 38,8 milj</w:t>
      </w:r>
      <w:r w:rsidRPr="00BE09AB">
        <w:rPr>
          <w:rFonts w:eastAsia="Times New Roman" w:cs="Times New Roman"/>
          <w:i/>
          <w:szCs w:val="24"/>
        </w:rPr>
        <w:t>. euro</w:t>
      </w:r>
      <w:r w:rsidRPr="00BE09AB">
        <w:rPr>
          <w:rFonts w:eastAsia="Times New Roman" w:cs="Times New Roman"/>
          <w:szCs w:val="24"/>
        </w:rPr>
        <w:t xml:space="preserve"> apmērā jeb 74,4% no Šveices programmas kopējā finansējuma, progress pusgadā pieaudzis par 4,0 milj. </w:t>
      </w:r>
      <w:r w:rsidRPr="00BE09AB">
        <w:rPr>
          <w:rFonts w:eastAsia="Times New Roman" w:cs="Times New Roman"/>
          <w:i/>
          <w:szCs w:val="24"/>
        </w:rPr>
        <w:t>euro</w:t>
      </w:r>
      <w:r w:rsidRPr="00BE09AB">
        <w:rPr>
          <w:rFonts w:eastAsia="Times New Roman" w:cs="Times New Roman"/>
          <w:szCs w:val="24"/>
        </w:rPr>
        <w:t xml:space="preserve"> jeb 1%, ļaujot Latvijai joprojām būt starp līderiem 12 saņēmējvalstu starpā (1. vietā - Malta; 2.- Slovēnija; 3.- Igaunija/Latvija).</w:t>
      </w:r>
    </w:p>
    <w:p w14:paraId="3CFBEF28" w14:textId="77777777" w:rsidR="00BE09AB" w:rsidRPr="00BE09AB" w:rsidRDefault="00BE09AB" w:rsidP="00BE09AB">
      <w:pPr>
        <w:spacing w:before="120" w:after="120" w:line="276" w:lineRule="auto"/>
        <w:jc w:val="both"/>
        <w:rPr>
          <w:rFonts w:eastAsia="Calibri" w:cs="Times New Roman"/>
          <w:iCs/>
          <w:szCs w:val="24"/>
        </w:rPr>
      </w:pPr>
      <w:r w:rsidRPr="00BE09AB">
        <w:rPr>
          <w:rFonts w:eastAsia="Times New Roman" w:cs="Times New Roman"/>
          <w:szCs w:val="24"/>
        </w:rPr>
        <w:t xml:space="preserve">Pamatojoties uz finansējuma saņēmēju 2015.gada valsts budžetā plānotajiem maksājumiem līdz pārskata beigām veiktas investīcijas 97,1% no plānotā jeb 4,6 milj. </w:t>
      </w:r>
      <w:r w:rsidRPr="00BE09AB">
        <w:rPr>
          <w:rFonts w:eastAsia="Times New Roman" w:cs="Times New Roman"/>
          <w:i/>
          <w:szCs w:val="24"/>
        </w:rPr>
        <w:t>euro</w:t>
      </w:r>
      <w:r w:rsidRPr="00BE09AB">
        <w:rPr>
          <w:rFonts w:eastAsia="Times New Roman" w:cs="Times New Roman"/>
          <w:szCs w:val="24"/>
        </w:rPr>
        <w:t>.</w:t>
      </w:r>
    </w:p>
    <w:p w14:paraId="2812B44A" w14:textId="77777777" w:rsidR="00BE09AB" w:rsidRPr="00BE09AB" w:rsidRDefault="00BE09AB" w:rsidP="00BE09AB">
      <w:pPr>
        <w:spacing w:before="120" w:after="120" w:line="276" w:lineRule="auto"/>
        <w:jc w:val="both"/>
        <w:rPr>
          <w:rFonts w:eastAsia="Times New Roman" w:cs="Times New Roman"/>
          <w:szCs w:val="24"/>
        </w:rPr>
      </w:pPr>
      <w:r w:rsidRPr="00BE09AB">
        <w:rPr>
          <w:rFonts w:eastAsia="Times New Roman" w:cs="Times New Roman"/>
          <w:szCs w:val="24"/>
        </w:rPr>
        <w:t>Grantu shēma „</w:t>
      </w:r>
      <w:r w:rsidRPr="00BE09AB">
        <w:rPr>
          <w:rFonts w:eastAsia="Times New Roman" w:cs="Times New Roman"/>
          <w:i/>
          <w:szCs w:val="24"/>
        </w:rPr>
        <w:t>Šveices pētnieku aktivitātes Latvijā</w:t>
      </w:r>
      <w:r w:rsidRPr="00BE09AB">
        <w:rPr>
          <w:rFonts w:eastAsia="Times New Roman" w:cs="Times New Roman"/>
          <w:szCs w:val="24"/>
        </w:rPr>
        <w:t>” noslēdzās 2015.gada 30.septembrī. Kopā Latvijas augstskolās un zinātniskajās institūcijās 92 Šveices pētnieki lasīja lekcijas un apmainījās ar pieredzi, tādejādi nodrošinot, ka 6500 Latvijas studentu un akadēmiskais personāls ieguva papildu vērtīgu pieredzi un zināšanas.</w:t>
      </w:r>
    </w:p>
    <w:p w14:paraId="709B3DCB" w14:textId="731981F4" w:rsidR="00BE09AB" w:rsidRPr="00BE09AB" w:rsidRDefault="00BE09AB" w:rsidP="00BE09AB">
      <w:pPr>
        <w:spacing w:before="120" w:after="120" w:line="276" w:lineRule="auto"/>
        <w:jc w:val="both"/>
        <w:rPr>
          <w:rFonts w:eastAsia="Times New Roman" w:cs="Times New Roman"/>
          <w:szCs w:val="24"/>
        </w:rPr>
      </w:pPr>
      <w:r w:rsidRPr="00BE09AB">
        <w:rPr>
          <w:rFonts w:eastAsia="Times New Roman" w:cs="Times New Roman"/>
          <w:szCs w:val="24"/>
        </w:rPr>
        <w:t xml:space="preserve"> “</w:t>
      </w:r>
      <w:r w:rsidRPr="00BE09AB">
        <w:rPr>
          <w:rFonts w:eastAsia="Times New Roman" w:cs="Times New Roman"/>
          <w:i/>
          <w:szCs w:val="24"/>
        </w:rPr>
        <w:t>Stipendiju fonds</w:t>
      </w:r>
      <w:r w:rsidRPr="00BE09AB">
        <w:rPr>
          <w:rFonts w:eastAsia="Times New Roman" w:cs="Times New Roman"/>
          <w:szCs w:val="24"/>
        </w:rPr>
        <w:t>” noslēdzās 2015.gada 30.oktobrī, kopumā nodrošinot stipendijas 27 stipendiātiem no Latvijas</w:t>
      </w:r>
      <w:r w:rsidR="008E2854">
        <w:rPr>
          <w:rFonts w:eastAsia="Times New Roman" w:cs="Times New Roman"/>
          <w:szCs w:val="24"/>
        </w:rPr>
        <w:t xml:space="preserve"> </w:t>
      </w:r>
      <w:r w:rsidR="008E2854" w:rsidRPr="008E2854">
        <w:rPr>
          <w:szCs w:val="24"/>
        </w:rPr>
        <w:t>(doktorantiem un jaunajiem zinātniekiem) augstas kvalitātes pētījumu izstrādāšanai un studijām Šveices pētniecības institūcijās kopā ar Šveices zinātnes pārstāvjiem</w:t>
      </w:r>
      <w:r w:rsidRPr="00BE09AB">
        <w:rPr>
          <w:rFonts w:eastAsia="Times New Roman" w:cs="Times New Roman"/>
          <w:szCs w:val="24"/>
        </w:rPr>
        <w:t>.</w:t>
      </w:r>
    </w:p>
    <w:p w14:paraId="0E9E7675" w14:textId="77777777" w:rsidR="00BE09AB" w:rsidRPr="00BE09AB" w:rsidRDefault="00BE09AB" w:rsidP="00BE09AB">
      <w:pPr>
        <w:spacing w:before="120" w:after="120" w:line="276" w:lineRule="auto"/>
        <w:jc w:val="both"/>
        <w:rPr>
          <w:rFonts w:eastAsia="Times New Roman" w:cs="Times New Roman"/>
          <w:szCs w:val="24"/>
        </w:rPr>
      </w:pPr>
      <w:r w:rsidRPr="00BE09AB">
        <w:rPr>
          <w:rFonts w:eastAsia="Calibri" w:cs="Times New Roman"/>
          <w:szCs w:val="24"/>
        </w:rPr>
        <w:t>Projektā „</w:t>
      </w:r>
      <w:r w:rsidRPr="00BE09AB">
        <w:rPr>
          <w:rFonts w:eastAsia="Calibri" w:cs="Times New Roman"/>
          <w:i/>
          <w:szCs w:val="24"/>
        </w:rPr>
        <w:t>Vēsturiski piesārņoto vietu sanācija – Sarkandaugavas teritorijā</w:t>
      </w:r>
      <w:r w:rsidRPr="00BE09AB">
        <w:rPr>
          <w:rFonts w:eastAsia="Calibri" w:cs="Times New Roman"/>
          <w:szCs w:val="24"/>
        </w:rPr>
        <w:t>” galvenais sasniedzamais rezultāts ir sanācijas darbu veikšana 5 objektos Rīgas Brīvostas teritorijā kopumā aptuveni 8 ha lielā platībā. Pirmajā teritorijā (5,5 ha) VVD darbus uzsāka 2013.gada martā, bet otrajā (2,5 ha) - 2015.gada maijā. Uzstādītās tehnoloģijas darbojas un darbi norit sekmīgi. Pirmajā teritorijā ir jau izsūknēts 81,0%, bet otrajā - 47,3% no projekta līgumā paredzētā piesārņojuma apjoma. Ņemot vērā būtiskos ietaupījumus, 2016.gadā plānoti papildus attīrīšanas darbi abās teritorijās ilgtspējas nodrošināšanai.</w:t>
      </w:r>
      <w:r w:rsidRPr="00BE09AB">
        <w:rPr>
          <w:rFonts w:eastAsia="Times New Roman" w:cs="Times New Roman"/>
          <w:szCs w:val="24"/>
        </w:rPr>
        <w:t xml:space="preserve"> Projekta noslēgums plānots 2017.gada februārī.</w:t>
      </w:r>
    </w:p>
    <w:p w14:paraId="70331495" w14:textId="77777777" w:rsidR="00BE09AB" w:rsidRPr="00BE09AB" w:rsidRDefault="00BE09AB" w:rsidP="00BE09AB">
      <w:pPr>
        <w:spacing w:before="120" w:after="120" w:line="276" w:lineRule="auto"/>
        <w:jc w:val="both"/>
        <w:rPr>
          <w:rFonts w:eastAsia="Times New Roman" w:cs="Times New Roman"/>
          <w:szCs w:val="24"/>
        </w:rPr>
      </w:pPr>
      <w:r w:rsidRPr="00BE09AB">
        <w:rPr>
          <w:rFonts w:eastAsia="Times New Roman" w:cs="Times New Roman"/>
          <w:szCs w:val="24"/>
        </w:rPr>
        <w:t>Programmā „</w:t>
      </w:r>
      <w:r w:rsidRPr="00BE09AB">
        <w:rPr>
          <w:rFonts w:eastAsia="Times New Roman" w:cs="Times New Roman"/>
          <w:i/>
          <w:szCs w:val="24"/>
        </w:rPr>
        <w:t>Atbalsts jaunatnes iniciatīvu attīstībai attālos vai mazattīstītos reģionos</w:t>
      </w:r>
      <w:r w:rsidRPr="00BE09AB">
        <w:rPr>
          <w:rFonts w:eastAsia="Times New Roman" w:cs="Times New Roman"/>
          <w:szCs w:val="24"/>
        </w:rPr>
        <w:t xml:space="preserve">” ir paveikta 22 </w:t>
      </w:r>
      <w:proofErr w:type="spellStart"/>
      <w:r w:rsidRPr="00BE09AB">
        <w:rPr>
          <w:rFonts w:eastAsia="Times New Roman" w:cs="Times New Roman"/>
          <w:szCs w:val="24"/>
        </w:rPr>
        <w:t>multifunkcionālu</w:t>
      </w:r>
      <w:proofErr w:type="spellEnd"/>
      <w:r w:rsidRPr="00BE09AB">
        <w:rPr>
          <w:rFonts w:eastAsia="Times New Roman" w:cs="Times New Roman"/>
          <w:szCs w:val="24"/>
        </w:rPr>
        <w:t xml:space="preserve"> jauniešu iniciatīvu centru izveide 22 dažādās Latvijas pašvaldībās un līdz 2016.gada beigām ir plānots vēl papildus izveidot 3 centrus, tādejādi </w:t>
      </w:r>
      <w:r w:rsidRPr="00BE09AB">
        <w:rPr>
          <w:rFonts w:eastAsia="Times New Roman" w:cs="Times New Roman"/>
          <w:szCs w:val="24"/>
        </w:rPr>
        <w:lastRenderedPageBreak/>
        <w:t>nozīmīgi pārsniedzot projektā ieplānotos rezultātus (sākotnējais plāns – 17 centru izveide). Līdz pārskata perioda beigām pēc plāna ir notikuši 141 no kopumā 160 plānotajiem semināriem, kā arī turpinās konferenču un forumu organizēšana visā Latvijā jauniešiem un personām, kas iesaistītas darbā ar jauniešiem, par jauniešiem aktuālām tēmām. Programmas noslēgums plānots 2017.gada martā.</w:t>
      </w:r>
    </w:p>
    <w:p w14:paraId="20A9799A" w14:textId="4951BE81" w:rsidR="009C0862" w:rsidRPr="00907F13" w:rsidRDefault="00BE09AB" w:rsidP="00BE09AB">
      <w:pPr>
        <w:spacing w:before="120" w:after="120" w:line="276" w:lineRule="auto"/>
        <w:jc w:val="both"/>
        <w:rPr>
          <w:rFonts w:eastAsia="Times New Roman" w:cs="Times New Roman"/>
          <w:color w:val="000000"/>
          <w:highlight w:val="yellow"/>
          <w:shd w:val="clear" w:color="auto" w:fill="FFFF00"/>
        </w:rPr>
      </w:pPr>
      <w:r w:rsidRPr="00BE09AB">
        <w:rPr>
          <w:rFonts w:eastAsia="Times New Roman" w:cs="Times New Roman"/>
          <w:szCs w:val="24"/>
        </w:rPr>
        <w:t xml:space="preserve">Plašāka informācija par Šveices programmas projektiem pieejama </w:t>
      </w:r>
      <w:r w:rsidR="00501120">
        <w:rPr>
          <w:rFonts w:eastAsia="Times New Roman" w:cs="Times New Roman"/>
          <w:szCs w:val="24"/>
        </w:rPr>
        <w:t>tīmekļa vietnē</w:t>
      </w:r>
      <w:r w:rsidR="00501120" w:rsidRPr="00BE09AB">
        <w:rPr>
          <w:rFonts w:eastAsia="Times New Roman" w:cs="Times New Roman"/>
          <w:szCs w:val="24"/>
        </w:rPr>
        <w:t xml:space="preserve"> </w:t>
      </w:r>
      <w:hyperlink r:id="rId32" w:history="1">
        <w:r w:rsidRPr="00BE09AB">
          <w:rPr>
            <w:rFonts w:eastAsia="Times New Roman" w:cs="Times New Roman"/>
            <w:szCs w:val="24"/>
            <w:u w:val="single"/>
          </w:rPr>
          <w:t>www.swiss-contribution.lv</w:t>
        </w:r>
      </w:hyperlink>
      <w:r w:rsidRPr="00BE09AB">
        <w:rPr>
          <w:rFonts w:eastAsia="Times New Roman" w:cs="Times New Roman"/>
          <w:szCs w:val="24"/>
        </w:rPr>
        <w:t>.</w:t>
      </w:r>
    </w:p>
    <w:p w14:paraId="20AABE12" w14:textId="77777777" w:rsidR="009C0862" w:rsidRPr="009555BE" w:rsidRDefault="009C0862" w:rsidP="004D147C">
      <w:pPr>
        <w:pStyle w:val="1lmenis"/>
      </w:pPr>
      <w:bookmarkStart w:id="16" w:name="_Toc443658858"/>
      <w:r w:rsidRPr="009555BE">
        <w:t>Neatbilstības ES fondu un citas ārvalstu finanšu palīdzības līdzfinansētos projektos</w:t>
      </w:r>
      <w:bookmarkEnd w:id="16"/>
      <w:r w:rsidRPr="009555BE">
        <w:t xml:space="preserve"> </w:t>
      </w:r>
    </w:p>
    <w:p w14:paraId="4C422975" w14:textId="77777777" w:rsidR="00F26818" w:rsidRPr="006A3401" w:rsidRDefault="00F26818" w:rsidP="00F26818">
      <w:pPr>
        <w:spacing w:before="120" w:after="120" w:line="276" w:lineRule="auto"/>
        <w:jc w:val="both"/>
        <w:rPr>
          <w:rFonts w:eastAsia="Times New Roman" w:cs="Times New Roman"/>
          <w:szCs w:val="20"/>
        </w:rPr>
      </w:pPr>
      <w:bookmarkStart w:id="17" w:name="_Toc356465234"/>
      <w:bookmarkStart w:id="18" w:name="_Toc381282708"/>
      <w:r w:rsidRPr="006A3401">
        <w:rPr>
          <w:rFonts w:eastAsia="Times New Roman" w:cs="Times New Roman"/>
          <w:szCs w:val="20"/>
        </w:rPr>
        <w:t>ES fondu gadījumā</w:t>
      </w:r>
      <w:r w:rsidRPr="006A3401">
        <w:rPr>
          <w:rFonts w:eastAsia="Times New Roman" w:cs="Times New Roman"/>
          <w:szCs w:val="20"/>
          <w:vertAlign w:val="superscript"/>
        </w:rPr>
        <w:footnoteReference w:id="30"/>
      </w:r>
      <w:r w:rsidRPr="006A3401">
        <w:rPr>
          <w:rFonts w:eastAsia="Times New Roman" w:cs="Times New Roman"/>
          <w:szCs w:val="20"/>
        </w:rPr>
        <w:t xml:space="preserve"> neatbilstība</w:t>
      </w:r>
      <w:r w:rsidRPr="006A3401">
        <w:rPr>
          <w:rFonts w:eastAsia="Times New Roman" w:cs="Times New Roman"/>
          <w:szCs w:val="20"/>
          <w:vertAlign w:val="superscript"/>
        </w:rPr>
        <w:footnoteReference w:id="31"/>
      </w:r>
      <w:r w:rsidRPr="006A3401">
        <w:rPr>
          <w:rFonts w:eastAsia="Times New Roman" w:cs="Times New Roman"/>
          <w:szCs w:val="20"/>
        </w:rPr>
        <w:t xml:space="preserve"> ir jebkurš ES tiesību aktu pārkāpums, kas noticis saimnieciskās darbības subjekta darbības vai bezdarbības dēļ un kas rada vai varētu radīt kaitējumu ES vispārējam budžetam, prasot no vispārējā budžeta segt nepamatotu izdevumu daļu, un par ko samazina projekta attiecināmās izmaksas. Par neatbilstību ar finansiālu ietekmi tiek uzskatīti gadījumi, kad finansējuma saņēmējam ir izmaksāts ES fondu finansējums un tas ir jāatgūst (tai skaitā ieturot no kārtējā vai nākamā maksājuma), piemērojot finanšu korekciju. Metodoloģiskais atbalsts par neatbilstību administrēšanu pieejams ES fondu tīmekļa vietnē</w:t>
      </w:r>
      <w:r w:rsidRPr="006A3401">
        <w:rPr>
          <w:rFonts w:eastAsia="Times New Roman" w:cs="Times New Roman"/>
          <w:szCs w:val="20"/>
          <w:vertAlign w:val="superscript"/>
        </w:rPr>
        <w:footnoteReference w:id="32"/>
      </w:r>
      <w:r w:rsidRPr="006A3401">
        <w:rPr>
          <w:rFonts w:eastAsia="Times New Roman" w:cs="Times New Roman"/>
          <w:szCs w:val="20"/>
        </w:rPr>
        <w:t>.</w:t>
      </w:r>
    </w:p>
    <w:p w14:paraId="213D3D28" w14:textId="77777777" w:rsidR="00F26818" w:rsidRPr="006A3401" w:rsidRDefault="00F26818" w:rsidP="00F26818">
      <w:pPr>
        <w:spacing w:before="120" w:after="120" w:line="276" w:lineRule="auto"/>
        <w:jc w:val="both"/>
        <w:rPr>
          <w:rFonts w:eastAsia="Times New Roman" w:cs="Times New Roman"/>
          <w:szCs w:val="20"/>
        </w:rPr>
      </w:pPr>
      <w:r w:rsidRPr="006A3401">
        <w:rPr>
          <w:rFonts w:eastAsia="Times New Roman" w:cs="Times New Roman"/>
          <w:szCs w:val="20"/>
        </w:rPr>
        <w:t>Ziņojumā analizētas neatbilstības ar finansiālu ietekmi – neatbilstība, kurā finansējuma saņēmējam ir veikta ES fondu līdzekļu atmaksa, un veiktajā mak</w:t>
      </w:r>
      <w:r>
        <w:rPr>
          <w:rFonts w:eastAsia="Times New Roman" w:cs="Times New Roman"/>
          <w:szCs w:val="20"/>
        </w:rPr>
        <w:t>sājumā ir ietverti neattaisnoti/neattiecināmi/</w:t>
      </w:r>
      <w:r w:rsidRPr="006A3401">
        <w:rPr>
          <w:rFonts w:eastAsia="Times New Roman" w:cs="Times New Roman"/>
          <w:szCs w:val="20"/>
        </w:rPr>
        <w:t>nepamatoti izdevumi, piemērota jebkura no atgūšanas procedūrām, t.sk. samazinot projekta attiecināmās izmaksas.</w:t>
      </w:r>
    </w:p>
    <w:p w14:paraId="1C322F02" w14:textId="13515424" w:rsidR="00F26818" w:rsidRPr="00F26818" w:rsidRDefault="006E65A3" w:rsidP="00B938B1">
      <w:pPr>
        <w:spacing w:before="120" w:after="120" w:line="276" w:lineRule="auto"/>
        <w:jc w:val="both"/>
        <w:rPr>
          <w:rFonts w:eastAsia="Times New Roman" w:cs="Times New Roman"/>
          <w:szCs w:val="20"/>
        </w:rPr>
      </w:pPr>
      <w:hyperlink r:id="rId33" w:history="1">
        <w:r w:rsidR="00F26818" w:rsidRPr="00AA6309">
          <w:rPr>
            <w:rFonts w:eastAsia="Times New Roman" w:cs="Times New Roman"/>
            <w:szCs w:val="20"/>
          </w:rPr>
          <w:t>ES fondu tīmekļa vietnē</w:t>
        </w:r>
      </w:hyperlink>
      <w:r w:rsidR="00F26818" w:rsidRPr="00AA6309">
        <w:rPr>
          <w:rFonts w:eastAsia="Times New Roman" w:cs="Times New Roman"/>
          <w:szCs w:val="20"/>
          <w:vertAlign w:val="superscript"/>
        </w:rPr>
        <w:footnoteReference w:id="33"/>
      </w:r>
      <w:r w:rsidR="00F26818" w:rsidRPr="00AA6309">
        <w:rPr>
          <w:rFonts w:eastAsia="Times New Roman" w:cs="Times New Roman"/>
          <w:szCs w:val="20"/>
        </w:rPr>
        <w:t xml:space="preserve"> t</w:t>
      </w:r>
      <w:r w:rsidR="00F26818" w:rsidRPr="006A3401">
        <w:rPr>
          <w:rFonts w:eastAsia="Times New Roman" w:cs="Times New Roman"/>
          <w:szCs w:val="20"/>
        </w:rPr>
        <w:t>abulā Nr.1 pieejama informācija par neatbilstībām un neatbilstoši veiktiem izdevumiem (turpmāk analīzē – neatbilstība) un atgūtiem neatbilstoši veiktiem izdevumiem pārskata periodā un kumulatīvi uz pārskata perioda beigām, tabulā Nr.2 – informācija par 2015.gada 2.pusgadā</w:t>
      </w:r>
      <w:r w:rsidR="00F26818" w:rsidRPr="006A3401">
        <w:rPr>
          <w:rFonts w:eastAsia="Times New Roman" w:cs="Times New Roman"/>
          <w:color w:val="FF0000"/>
          <w:szCs w:val="20"/>
        </w:rPr>
        <w:t xml:space="preserve"> </w:t>
      </w:r>
      <w:r w:rsidR="00F26818" w:rsidRPr="006A3401">
        <w:rPr>
          <w:rFonts w:eastAsia="Times New Roman" w:cs="Times New Roman"/>
          <w:szCs w:val="20"/>
        </w:rPr>
        <w:t>konstatētajām neatbilstībām tiešo vai pastarpināto valsts pārvaldes iestāžu, atvasināto publisko personu vai citu valsts iestāžu īstenotajos projektos un tabulā Nr.3 informācija par aktivitātēm, kurās konstatēto neatbilstību apjoms pret aktivitātēs pieprasīto finansējumu pārsniedz 2% līmeni, norādot riskantākās aktivitātes, jomas, kurām tiek veikta pastiprināta uzraudzība no VI un AI, SI puses.</w:t>
      </w:r>
    </w:p>
    <w:p w14:paraId="72DA18FC" w14:textId="42E57BAB" w:rsidR="009C0862" w:rsidRPr="008D0F59" w:rsidRDefault="009C0862" w:rsidP="00ED7675">
      <w:pPr>
        <w:pStyle w:val="2lmenis"/>
        <w:rPr>
          <w:rFonts w:eastAsia="Times New Roman"/>
        </w:rPr>
      </w:pPr>
      <w:bookmarkStart w:id="19" w:name="_Toc443658859"/>
      <w:r w:rsidRPr="008D0F59">
        <w:rPr>
          <w:rFonts w:eastAsia="Times New Roman"/>
        </w:rPr>
        <w:t>Neatbilstības ar finansiālu ietekmi ES fondu 2007.-2013.gada plānošanas periodā ES fondos līdz 2015.gada 3</w:t>
      </w:r>
      <w:bookmarkEnd w:id="17"/>
      <w:bookmarkEnd w:id="18"/>
      <w:r w:rsidR="008D0F59" w:rsidRPr="008D0F59">
        <w:rPr>
          <w:rFonts w:eastAsia="Times New Roman"/>
        </w:rPr>
        <w:t>1</w:t>
      </w:r>
      <w:r w:rsidRPr="008D0F59">
        <w:rPr>
          <w:rFonts w:eastAsia="Times New Roman"/>
        </w:rPr>
        <w:t>.</w:t>
      </w:r>
      <w:r w:rsidR="008D0F59" w:rsidRPr="008D0F59">
        <w:rPr>
          <w:rFonts w:eastAsia="Times New Roman"/>
        </w:rPr>
        <w:t>decembrim</w:t>
      </w:r>
      <w:bookmarkEnd w:id="19"/>
    </w:p>
    <w:p w14:paraId="0E51DA2A" w14:textId="349B556B" w:rsidR="00F26818" w:rsidRPr="00001327" w:rsidRDefault="00F26818" w:rsidP="0037756D">
      <w:pPr>
        <w:spacing w:line="276" w:lineRule="auto"/>
        <w:jc w:val="both"/>
        <w:rPr>
          <w:rFonts w:eastAsia="EUAlbertina-Bold-Identity-H" w:cs="Times New Roman"/>
          <w:szCs w:val="20"/>
        </w:rPr>
      </w:pPr>
      <w:r>
        <w:rPr>
          <w:rFonts w:eastAsia="EUAlbertina-Bold-Identity-H" w:cs="Times New Roman"/>
          <w:szCs w:val="20"/>
        </w:rPr>
        <w:t xml:space="preserve">Kopējais neatbilstību apjoms 2015.gada 2.pusgadā ir 7,8 milj. </w:t>
      </w:r>
      <w:r w:rsidRPr="005A0FA3">
        <w:rPr>
          <w:rFonts w:eastAsia="EUAlbertina-Bold-Identity-H" w:cs="Times New Roman"/>
          <w:i/>
          <w:szCs w:val="20"/>
        </w:rPr>
        <w:t>euro</w:t>
      </w:r>
      <w:r>
        <w:rPr>
          <w:rFonts w:eastAsia="EUAlbertina-Bold-Identity-H" w:cs="Times New Roman"/>
          <w:i/>
          <w:szCs w:val="20"/>
        </w:rPr>
        <w:t xml:space="preserve">. </w:t>
      </w:r>
      <w:r>
        <w:rPr>
          <w:rFonts w:eastAsia="EUAlbertina-Bold-Identity-H" w:cs="Times New Roman"/>
          <w:szCs w:val="20"/>
        </w:rPr>
        <w:t>Kopumā neatbilstību apjoms salīdzinājumā ar datiem uz 2015.gada 30.jūniju ir pieaudzis par 5,9</w:t>
      </w:r>
      <w:r w:rsidRPr="006A3401">
        <w:rPr>
          <w:rFonts w:eastAsia="EUAlbertina-Bold-Identity-H" w:cs="Times New Roman"/>
          <w:szCs w:val="20"/>
        </w:rPr>
        <w:t>%</w:t>
      </w:r>
      <w:r w:rsidR="00643B56">
        <w:rPr>
          <w:rFonts w:eastAsia="EUAlbertina-Bold-Identity-H" w:cs="Times New Roman"/>
          <w:szCs w:val="20"/>
        </w:rPr>
        <w:t>, un vērtējams kā mēre</w:t>
      </w:r>
      <w:r>
        <w:rPr>
          <w:rFonts w:eastAsia="EUAlbertina-Bold-Identity-H" w:cs="Times New Roman"/>
          <w:szCs w:val="20"/>
        </w:rPr>
        <w:t xml:space="preserve">ns </w:t>
      </w:r>
      <w:r w:rsidRPr="00B25353">
        <w:rPr>
          <w:rFonts w:eastAsia="EUAlbertina-Bold-Identity-H" w:cs="Times New Roman"/>
          <w:szCs w:val="20"/>
        </w:rPr>
        <w:t>(</w:t>
      </w:r>
      <w:r w:rsidRPr="00001327">
        <w:rPr>
          <w:rFonts w:eastAsia="EUAlbertina-Bold-Identity-H" w:cs="Times New Roman"/>
          <w:szCs w:val="20"/>
        </w:rPr>
        <w:t xml:space="preserve">skatīt grafikā </w:t>
      </w:r>
      <w:r w:rsidRPr="002A71B1">
        <w:rPr>
          <w:rFonts w:eastAsia="EUAlbertina-Bold-Identity-H" w:cs="Times New Roman"/>
          <w:szCs w:val="20"/>
        </w:rPr>
        <w:t>Nr.</w:t>
      </w:r>
      <w:r w:rsidR="00942E5A">
        <w:rPr>
          <w:rFonts w:eastAsia="EUAlbertina-Bold-Identity-H" w:cs="Times New Roman"/>
          <w:szCs w:val="20"/>
        </w:rPr>
        <w:t>9</w:t>
      </w:r>
      <w:r w:rsidRPr="002A71B1">
        <w:rPr>
          <w:rFonts w:eastAsia="EUAlbertina-Bold-Identity-H" w:cs="Times New Roman"/>
          <w:szCs w:val="20"/>
        </w:rPr>
        <w:t>).</w:t>
      </w:r>
      <w:r w:rsidRPr="00001327">
        <w:rPr>
          <w:rFonts w:eastAsia="EUAlbertina-Bold-Identity-H" w:cs="Times New Roman"/>
          <w:szCs w:val="20"/>
        </w:rPr>
        <w:t xml:space="preserve"> </w:t>
      </w:r>
    </w:p>
    <w:p w14:paraId="3C95D1F4" w14:textId="77777777" w:rsidR="0008354E" w:rsidRDefault="0008354E">
      <w:pPr>
        <w:rPr>
          <w:rFonts w:eastAsia="EUAlbertina-Bold-Identity-H" w:cs="Times New Roman"/>
          <w:szCs w:val="20"/>
        </w:rPr>
      </w:pPr>
      <w:r>
        <w:rPr>
          <w:rFonts w:eastAsia="EUAlbertina-Bold-Identity-H" w:cs="Times New Roman"/>
          <w:szCs w:val="20"/>
        </w:rPr>
        <w:br w:type="page"/>
      </w:r>
    </w:p>
    <w:p w14:paraId="752B384C" w14:textId="4628B360" w:rsidR="00F26818" w:rsidRPr="00B541B1" w:rsidRDefault="00F26818" w:rsidP="00F26818">
      <w:pPr>
        <w:spacing w:before="120" w:after="120" w:line="276" w:lineRule="auto"/>
        <w:jc w:val="both"/>
        <w:rPr>
          <w:rFonts w:eastAsia="EUAlbertina-Bold-Identity-H" w:cs="Times New Roman"/>
          <w:szCs w:val="20"/>
        </w:rPr>
      </w:pPr>
      <w:r w:rsidRPr="00001327">
        <w:rPr>
          <w:rFonts w:eastAsia="EUAlbertina-Bold-Identity-H" w:cs="Times New Roman"/>
          <w:szCs w:val="20"/>
        </w:rPr>
        <w:lastRenderedPageBreak/>
        <w:t>Grafiks Nr.</w:t>
      </w:r>
      <w:r w:rsidR="00942E5A">
        <w:rPr>
          <w:rFonts w:eastAsia="EUAlbertina-Bold-Identity-H" w:cs="Times New Roman"/>
          <w:szCs w:val="20"/>
        </w:rPr>
        <w:t>9</w:t>
      </w:r>
      <w:r w:rsidRPr="00001327">
        <w:rPr>
          <w:rFonts w:eastAsia="EUAlbertina-Bold-Identity-H" w:cs="Times New Roman"/>
          <w:szCs w:val="20"/>
        </w:rPr>
        <w:t xml:space="preserve"> </w:t>
      </w:r>
      <w:r w:rsidRPr="00001327">
        <w:rPr>
          <w:rFonts w:eastAsia="EUAlbertina-Bold-Identity-H" w:cs="Times New Roman"/>
          <w:i/>
          <w:szCs w:val="20"/>
        </w:rPr>
        <w:t>„</w:t>
      </w:r>
      <w:r w:rsidRPr="00B541B1">
        <w:rPr>
          <w:rFonts w:eastAsia="EUAlbertina-Bold-Identity-H" w:cs="Times New Roman"/>
          <w:i/>
          <w:szCs w:val="20"/>
        </w:rPr>
        <w:t xml:space="preserve">Konstatētās neatbilstības sadalījumā pa finansējuma saņēmēju veidiem kumulatīvi </w:t>
      </w:r>
      <w:r w:rsidRPr="00B25353">
        <w:rPr>
          <w:rFonts w:eastAsia="EUAlbertina-Bold-Identity-H" w:cs="Times New Roman"/>
          <w:i/>
          <w:szCs w:val="20"/>
        </w:rPr>
        <w:t>uz 2015.gada 31.decembri un uz 2015.gada 30.jūniju; milj. euro (% pieaugums pret iepriekšējo pārskata periodu – 2015.gada 30.jūniju un 2014.gada 31.decembri; % no</w:t>
      </w:r>
      <w:r w:rsidRPr="00B541B1">
        <w:rPr>
          <w:rFonts w:eastAsia="EUAlbertina-Bold-Identity-H" w:cs="Times New Roman"/>
          <w:i/>
          <w:szCs w:val="20"/>
        </w:rPr>
        <w:t xml:space="preserve"> kopējiem finansējuma saņēmēju </w:t>
      </w:r>
      <w:r w:rsidRPr="006952D6">
        <w:rPr>
          <w:rFonts w:eastAsia="EUAlbertina-Bold-Identity-H" w:cs="Times New Roman"/>
          <w:i/>
          <w:szCs w:val="20"/>
        </w:rPr>
        <w:t xml:space="preserve">pieprasītajiem maksājumiem uz 2015.gada 31.decembri </w:t>
      </w:r>
      <w:r w:rsidRPr="00B541B1">
        <w:rPr>
          <w:rFonts w:eastAsia="EUAlbertina-Bold-Identity-H" w:cs="Times New Roman"/>
          <w:i/>
          <w:szCs w:val="20"/>
        </w:rPr>
        <w:t>un 201</w:t>
      </w:r>
      <w:r>
        <w:rPr>
          <w:rFonts w:eastAsia="EUAlbertina-Bold-Identity-H" w:cs="Times New Roman"/>
          <w:i/>
          <w:szCs w:val="20"/>
        </w:rPr>
        <w:t>5</w:t>
      </w:r>
      <w:r w:rsidRPr="00B541B1">
        <w:rPr>
          <w:rFonts w:eastAsia="EUAlbertina-Bold-Identity-H" w:cs="Times New Roman"/>
          <w:i/>
          <w:szCs w:val="20"/>
        </w:rPr>
        <w:t>.gada 30.</w:t>
      </w:r>
      <w:r>
        <w:rPr>
          <w:rFonts w:eastAsia="EUAlbertina-Bold-Identity-H" w:cs="Times New Roman"/>
          <w:i/>
          <w:szCs w:val="20"/>
        </w:rPr>
        <w:t>jūniju)</w:t>
      </w:r>
      <w:r w:rsidRPr="00B541B1">
        <w:rPr>
          <w:rFonts w:eastAsia="EUAlbertina-Bold-Identity-H" w:cs="Times New Roman"/>
          <w:i/>
          <w:szCs w:val="20"/>
        </w:rPr>
        <w:t xml:space="preserve">” </w:t>
      </w:r>
    </w:p>
    <w:p w14:paraId="161BC0E9" w14:textId="77777777" w:rsidR="00F26818" w:rsidRPr="006F0062" w:rsidRDefault="00F26818" w:rsidP="00F26818">
      <w:pPr>
        <w:spacing w:before="120" w:after="120" w:line="276" w:lineRule="auto"/>
        <w:jc w:val="both"/>
        <w:rPr>
          <w:rFonts w:eastAsia="EUAlbertina-Bold-Identity-H" w:cs="Times New Roman"/>
          <w:szCs w:val="20"/>
          <w:highlight w:val="yellow"/>
        </w:rPr>
      </w:pPr>
      <w:r w:rsidRPr="00C473FA">
        <w:rPr>
          <w:rFonts w:eastAsia="EUAlbertina-Bold-Identity-H" w:cs="Times New Roman"/>
          <w:noProof/>
          <w:szCs w:val="20"/>
          <w:lang w:eastAsia="lv-LV"/>
        </w:rPr>
        <w:drawing>
          <wp:inline distT="0" distB="0" distL="0" distR="0" wp14:anchorId="4CE2D241" wp14:editId="34A8DCCF">
            <wp:extent cx="5760000" cy="36387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60000" cy="3638765"/>
                    </a:xfrm>
                    <a:prstGeom prst="rect">
                      <a:avLst/>
                    </a:prstGeom>
                    <a:noFill/>
                  </pic:spPr>
                </pic:pic>
              </a:graphicData>
            </a:graphic>
          </wp:inline>
        </w:drawing>
      </w:r>
    </w:p>
    <w:p w14:paraId="262A93A0" w14:textId="7C3D161E" w:rsidR="00F26818" w:rsidRPr="00B46EA3" w:rsidRDefault="00F26818" w:rsidP="00F26818">
      <w:pPr>
        <w:spacing w:before="120" w:after="120" w:line="276" w:lineRule="auto"/>
        <w:jc w:val="both"/>
        <w:rPr>
          <w:rFonts w:eastAsia="EUAlbertina-Bold-Identity-H" w:cs="Times New Roman"/>
          <w:szCs w:val="24"/>
        </w:rPr>
      </w:pPr>
      <w:r w:rsidRPr="00B46EA3">
        <w:rPr>
          <w:rFonts w:eastAsia="EUAlbertina-Bold-Identity-H" w:cs="Times New Roman"/>
          <w:szCs w:val="24"/>
        </w:rPr>
        <w:t xml:space="preserve">Kopumā līdz 2015.gada 31.decembrim atgūti </w:t>
      </w:r>
      <w:r>
        <w:rPr>
          <w:rFonts w:eastAsia="EUAlbertina-Bold-Identity-H" w:cs="Times New Roman"/>
          <w:szCs w:val="24"/>
        </w:rPr>
        <w:t>105,6</w:t>
      </w:r>
      <w:r w:rsidRPr="00B46EA3">
        <w:rPr>
          <w:rFonts w:eastAsia="EUAlbertina-Bold-Identity-H" w:cs="Times New Roman"/>
          <w:szCs w:val="24"/>
        </w:rPr>
        <w:t xml:space="preserve"> milj. </w:t>
      </w:r>
      <w:r w:rsidRPr="00B46EA3">
        <w:rPr>
          <w:rFonts w:eastAsia="EUAlbertina-Bold-Identity-H" w:cs="Times New Roman"/>
          <w:i/>
          <w:szCs w:val="24"/>
        </w:rPr>
        <w:t>euro</w:t>
      </w:r>
      <w:r w:rsidRPr="00B46EA3">
        <w:rPr>
          <w:rFonts w:eastAsia="EUAlbertina-Bold-Identity-H" w:cs="Times New Roman"/>
          <w:szCs w:val="24"/>
        </w:rPr>
        <w:t xml:space="preserve">, kas ir </w:t>
      </w:r>
      <w:r>
        <w:rPr>
          <w:rFonts w:eastAsia="EUAlbertina-Bold-Identity-H" w:cs="Times New Roman"/>
          <w:szCs w:val="24"/>
        </w:rPr>
        <w:t>84,8%</w:t>
      </w:r>
      <w:r w:rsidRPr="00B46EA3">
        <w:rPr>
          <w:rFonts w:eastAsia="EUAlbertina-Bold-Identity-H" w:cs="Times New Roman"/>
          <w:szCs w:val="24"/>
        </w:rPr>
        <w:t xml:space="preserve"> no neatbilstību kopējā apjoma </w:t>
      </w:r>
      <w:r>
        <w:rPr>
          <w:rFonts w:eastAsia="EUAlbertina-Bold-Identity-H" w:cs="Times New Roman"/>
          <w:szCs w:val="24"/>
        </w:rPr>
        <w:t>124,5</w:t>
      </w:r>
      <w:r w:rsidRPr="00B46EA3">
        <w:rPr>
          <w:rFonts w:eastAsia="EUAlbertina-Bold-Identity-H" w:cs="Times New Roman"/>
          <w:szCs w:val="24"/>
        </w:rPr>
        <w:t xml:space="preserve"> milj. </w:t>
      </w:r>
      <w:r w:rsidRPr="00B46EA3">
        <w:rPr>
          <w:rFonts w:eastAsia="EUAlbertina-Bold-Identity-H" w:cs="Times New Roman"/>
          <w:i/>
          <w:szCs w:val="24"/>
        </w:rPr>
        <w:t>euro</w:t>
      </w:r>
      <w:r w:rsidRPr="00B46EA3">
        <w:rPr>
          <w:rFonts w:eastAsia="EUAlbertina-Bold-Identity-H" w:cs="Times New Roman"/>
          <w:szCs w:val="24"/>
        </w:rPr>
        <w:t xml:space="preserve">. Savukārt pārskata periodā no kopējā neatbilstību apjoma </w:t>
      </w:r>
      <w:r>
        <w:rPr>
          <w:rFonts w:eastAsia="EUAlbertina-Bold-Identity-H" w:cs="Times New Roman"/>
          <w:szCs w:val="24"/>
        </w:rPr>
        <w:t>7,8</w:t>
      </w:r>
      <w:r w:rsidR="001243EF">
        <w:rPr>
          <w:rFonts w:eastAsia="EUAlbertina-Bold-Identity-H" w:cs="Times New Roman"/>
          <w:szCs w:val="24"/>
        </w:rPr>
        <w:t> </w:t>
      </w:r>
      <w:r w:rsidRPr="00B46EA3">
        <w:rPr>
          <w:rFonts w:eastAsia="EUAlbertina-Bold-Identity-H" w:cs="Times New Roman"/>
          <w:szCs w:val="24"/>
        </w:rPr>
        <w:t xml:space="preserve">milj. </w:t>
      </w:r>
      <w:r w:rsidRPr="00B46EA3">
        <w:rPr>
          <w:rFonts w:eastAsia="EUAlbertina-Bold-Identity-H" w:cs="Times New Roman"/>
          <w:i/>
          <w:szCs w:val="24"/>
        </w:rPr>
        <w:t>euro</w:t>
      </w:r>
      <w:r w:rsidRPr="00B46EA3">
        <w:rPr>
          <w:rFonts w:eastAsia="EUAlbertina-Bold-Identity-H" w:cs="Times New Roman"/>
          <w:szCs w:val="24"/>
        </w:rPr>
        <w:t xml:space="preserve"> atgūti </w:t>
      </w:r>
      <w:r>
        <w:rPr>
          <w:rFonts w:eastAsia="EUAlbertina-Bold-Identity-H" w:cs="Times New Roman"/>
          <w:szCs w:val="24"/>
        </w:rPr>
        <w:t xml:space="preserve">3,9 </w:t>
      </w:r>
      <w:r w:rsidRPr="00B46EA3">
        <w:rPr>
          <w:rFonts w:eastAsia="EUAlbertina-Bold-Identity-H" w:cs="Times New Roman"/>
          <w:szCs w:val="24"/>
        </w:rPr>
        <w:t xml:space="preserve">milj. </w:t>
      </w:r>
      <w:r w:rsidRPr="00B46EA3">
        <w:rPr>
          <w:rFonts w:eastAsia="EUAlbertina-Bold-Identity-H" w:cs="Times New Roman"/>
          <w:i/>
          <w:szCs w:val="24"/>
        </w:rPr>
        <w:t>euro</w:t>
      </w:r>
      <w:r w:rsidRPr="00B46EA3">
        <w:rPr>
          <w:rFonts w:eastAsia="EUAlbertina-Bold-Identity-H" w:cs="Times New Roman"/>
          <w:szCs w:val="24"/>
        </w:rPr>
        <w:t xml:space="preserve"> jeb </w:t>
      </w:r>
      <w:r>
        <w:rPr>
          <w:rFonts w:eastAsia="EUAlbertina-Bold-Identity-H" w:cs="Times New Roman"/>
          <w:szCs w:val="24"/>
        </w:rPr>
        <w:t>49,5</w:t>
      </w:r>
      <w:r w:rsidRPr="00B46EA3">
        <w:rPr>
          <w:rFonts w:eastAsia="EUAlbertina-Bold-Identity-H" w:cs="Times New Roman"/>
          <w:szCs w:val="24"/>
        </w:rPr>
        <w:t>%.</w:t>
      </w:r>
    </w:p>
    <w:p w14:paraId="7D8ED8CD" w14:textId="172CAF32" w:rsidR="00F26818" w:rsidRPr="00F26818" w:rsidRDefault="00F26818" w:rsidP="00F26818">
      <w:pPr>
        <w:spacing w:before="120" w:after="120" w:line="276" w:lineRule="auto"/>
        <w:jc w:val="both"/>
        <w:rPr>
          <w:rFonts w:eastAsia="EUAlbertina-Bold-Identity-H" w:cs="Times New Roman"/>
          <w:szCs w:val="24"/>
        </w:rPr>
      </w:pPr>
      <w:r w:rsidRPr="00B46EA3">
        <w:rPr>
          <w:rFonts w:eastAsia="EUAlbertina-Bold-Identity-H" w:cs="Times New Roman"/>
          <w:szCs w:val="24"/>
        </w:rPr>
        <w:t>Analizējot datus</w:t>
      </w:r>
      <w:r>
        <w:rPr>
          <w:rFonts w:eastAsia="EUAlbertina-Bold-Identity-H" w:cs="Times New Roman"/>
          <w:szCs w:val="24"/>
        </w:rPr>
        <w:t xml:space="preserve"> </w:t>
      </w:r>
      <w:r w:rsidRPr="00B46EA3">
        <w:rPr>
          <w:rFonts w:eastAsia="EUAlbertina-Bold-Identity-H" w:cs="Times New Roman"/>
          <w:szCs w:val="24"/>
        </w:rPr>
        <w:t xml:space="preserve">kopumā, secināms, ka konstatēto neatbilstību apjoms pieaug pakāpeniski un saistāms ar intensitāti, kādā tiek īstenoti projekti. </w:t>
      </w:r>
      <w:r>
        <w:rPr>
          <w:rFonts w:eastAsia="EUAlbertina-Bold-Identity-H" w:cs="Times New Roman"/>
          <w:szCs w:val="24"/>
        </w:rPr>
        <w:t>Pozitīvi vērtējams, ka valsts iestāžu ī</w:t>
      </w:r>
      <w:r w:rsidRPr="00B46EA3">
        <w:rPr>
          <w:rFonts w:eastAsia="EUAlbertina-Bold-Identity-H" w:cs="Times New Roman"/>
          <w:szCs w:val="24"/>
        </w:rPr>
        <w:t>stenotajos projektos</w:t>
      </w:r>
      <w:r>
        <w:rPr>
          <w:rFonts w:eastAsia="EUAlbertina-Bold-Identity-H" w:cs="Times New Roman"/>
          <w:szCs w:val="24"/>
        </w:rPr>
        <w:t xml:space="preserve"> ir vērojams būtisks neatbilstību samazinājums par 5,2%.</w:t>
      </w:r>
      <w:r w:rsidRPr="00FD5C69">
        <w:rPr>
          <w:rFonts w:eastAsia="EUAlbertina-Bold-Identity-H" w:cs="Times New Roman"/>
          <w:szCs w:val="24"/>
        </w:rPr>
        <w:t xml:space="preserve"> </w:t>
      </w:r>
      <w:r>
        <w:rPr>
          <w:rFonts w:eastAsia="EUAlbertina-Bold-Identity-H" w:cs="Times New Roman"/>
          <w:szCs w:val="24"/>
        </w:rPr>
        <w:t>Minētais skaidrojams ar to, ka valsts iestāžu anulēto neatbilstību apjom</w:t>
      </w:r>
      <w:r w:rsidR="00643B56">
        <w:rPr>
          <w:rFonts w:eastAsia="EUAlbertina-Bold-Identity-H" w:cs="Times New Roman"/>
          <w:szCs w:val="24"/>
        </w:rPr>
        <w:t>s palielinā</w:t>
      </w:r>
      <w:r>
        <w:rPr>
          <w:rFonts w:eastAsia="EUAlbertina-Bold-Identity-H" w:cs="Times New Roman"/>
          <w:szCs w:val="24"/>
        </w:rPr>
        <w:t>jies kumulatīvi no 1,4</w:t>
      </w:r>
      <w:r w:rsidR="001243EF">
        <w:rPr>
          <w:rFonts w:eastAsia="EUAlbertina-Bold-Identity-H" w:cs="Times New Roman"/>
          <w:szCs w:val="24"/>
        </w:rPr>
        <w:t> </w:t>
      </w:r>
      <w:r>
        <w:rPr>
          <w:rFonts w:eastAsia="EUAlbertina-Bold-Identity-H" w:cs="Times New Roman"/>
          <w:szCs w:val="24"/>
        </w:rPr>
        <w:t xml:space="preserve">milj. </w:t>
      </w:r>
      <w:r w:rsidRPr="006A1B5F">
        <w:rPr>
          <w:rFonts w:eastAsia="EUAlbertina-Bold-Identity-H" w:cs="Times New Roman"/>
          <w:i/>
          <w:szCs w:val="24"/>
        </w:rPr>
        <w:t>euro</w:t>
      </w:r>
      <w:r>
        <w:rPr>
          <w:rFonts w:eastAsia="EUAlbertina-Bold-Identity-H" w:cs="Times New Roman"/>
          <w:szCs w:val="24"/>
        </w:rPr>
        <w:t xml:space="preserve"> līdz 2,1 milj. </w:t>
      </w:r>
      <w:r w:rsidRPr="006A1B5F">
        <w:rPr>
          <w:rFonts w:eastAsia="EUAlbertina-Bold-Identity-H" w:cs="Times New Roman"/>
          <w:i/>
          <w:szCs w:val="24"/>
        </w:rPr>
        <w:t>euro</w:t>
      </w:r>
      <w:r>
        <w:rPr>
          <w:rFonts w:eastAsia="EUAlbertina-Bold-Identity-H" w:cs="Times New Roman"/>
          <w:szCs w:val="24"/>
        </w:rPr>
        <w:t>.</w:t>
      </w:r>
    </w:p>
    <w:p w14:paraId="72122C51" w14:textId="77777777" w:rsidR="002A71B1" w:rsidRDefault="002A71B1">
      <w:pPr>
        <w:rPr>
          <w:rFonts w:eastAsia="Calibri" w:cs="Times New Roman"/>
          <w:szCs w:val="24"/>
        </w:rPr>
      </w:pPr>
      <w:r>
        <w:rPr>
          <w:rFonts w:eastAsia="Calibri" w:cs="Times New Roman"/>
          <w:szCs w:val="24"/>
        </w:rPr>
        <w:br w:type="page"/>
      </w:r>
    </w:p>
    <w:p w14:paraId="6C203192" w14:textId="22764AFC" w:rsidR="00F26818" w:rsidRPr="00B541B1" w:rsidRDefault="00F26818" w:rsidP="00F26818">
      <w:pPr>
        <w:spacing w:before="120" w:after="120" w:line="276" w:lineRule="auto"/>
        <w:rPr>
          <w:rFonts w:eastAsia="Calibri" w:cs="Times New Roman"/>
          <w:i/>
          <w:szCs w:val="24"/>
        </w:rPr>
      </w:pPr>
      <w:r w:rsidRPr="00B541B1">
        <w:rPr>
          <w:rFonts w:eastAsia="Calibri" w:cs="Times New Roman"/>
          <w:szCs w:val="24"/>
        </w:rPr>
        <w:lastRenderedPageBreak/>
        <w:t>Grafiks Nr.</w:t>
      </w:r>
      <w:r w:rsidR="002A71B1">
        <w:rPr>
          <w:rFonts w:eastAsia="Calibri" w:cs="Times New Roman"/>
          <w:szCs w:val="24"/>
        </w:rPr>
        <w:t>1</w:t>
      </w:r>
      <w:r w:rsidR="00942E5A">
        <w:rPr>
          <w:rFonts w:eastAsia="Calibri" w:cs="Times New Roman"/>
          <w:szCs w:val="24"/>
        </w:rPr>
        <w:t>0</w:t>
      </w:r>
      <w:r w:rsidRPr="00001327">
        <w:rPr>
          <w:rFonts w:eastAsia="Calibri" w:cs="Times New Roman"/>
          <w:i/>
          <w:szCs w:val="24"/>
        </w:rPr>
        <w:t xml:space="preserve"> „</w:t>
      </w:r>
      <w:r w:rsidRPr="00B541B1">
        <w:rPr>
          <w:rFonts w:eastAsia="Calibri" w:cs="Times New Roman"/>
          <w:i/>
          <w:szCs w:val="24"/>
        </w:rPr>
        <w:t xml:space="preserve">Konstatētās neatbilstības sadalījumā pa finansējuma saņēmēju veidiem </w:t>
      </w:r>
      <w:r>
        <w:rPr>
          <w:rFonts w:eastAsia="Calibri" w:cs="Times New Roman"/>
          <w:i/>
          <w:szCs w:val="24"/>
        </w:rPr>
        <w:t>pārskata periodā, milj. euro</w:t>
      </w:r>
      <w:r w:rsidRPr="00B541B1">
        <w:rPr>
          <w:rFonts w:eastAsia="Calibri" w:cs="Times New Roman"/>
          <w:i/>
          <w:szCs w:val="24"/>
        </w:rPr>
        <w:t>”</w:t>
      </w:r>
    </w:p>
    <w:p w14:paraId="2A1AAD0B" w14:textId="77777777" w:rsidR="00F26818" w:rsidRPr="006F0062" w:rsidRDefault="00F26818" w:rsidP="00F26818">
      <w:pPr>
        <w:spacing w:line="276" w:lineRule="auto"/>
        <w:rPr>
          <w:rFonts w:eastAsia="Calibri" w:cs="Times New Roman"/>
          <w:i/>
          <w:szCs w:val="24"/>
          <w:highlight w:val="yellow"/>
        </w:rPr>
      </w:pPr>
    </w:p>
    <w:p w14:paraId="5C6D5457" w14:textId="77777777" w:rsidR="00F26818" w:rsidRDefault="00F26818" w:rsidP="00F26818">
      <w:pPr>
        <w:ind w:firstLine="567"/>
        <w:jc w:val="both"/>
        <w:rPr>
          <w:rFonts w:eastAsia="EUAlbertina-Bold-Identity-H" w:cs="Times New Roman"/>
          <w:szCs w:val="24"/>
        </w:rPr>
      </w:pPr>
    </w:p>
    <w:p w14:paraId="6949632C" w14:textId="77777777" w:rsidR="00F26818" w:rsidRDefault="00F26818" w:rsidP="00F26818">
      <w:pPr>
        <w:ind w:firstLine="567"/>
        <w:jc w:val="center"/>
        <w:rPr>
          <w:rFonts w:eastAsia="EUAlbertina-Bold-Identity-H" w:cs="Times New Roman"/>
          <w:szCs w:val="24"/>
        </w:rPr>
      </w:pPr>
      <w:r>
        <w:rPr>
          <w:rFonts w:eastAsia="EUAlbertina-Bold-Identity-H" w:cs="Times New Roman"/>
          <w:noProof/>
          <w:szCs w:val="24"/>
          <w:lang w:eastAsia="lv-LV"/>
        </w:rPr>
        <w:drawing>
          <wp:inline distT="0" distB="0" distL="0" distR="0" wp14:anchorId="4D2BB8D5" wp14:editId="215E8FBC">
            <wp:extent cx="5040000" cy="3211950"/>
            <wp:effectExtent l="0" t="0" r="8255"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40000" cy="3211950"/>
                    </a:xfrm>
                    <a:prstGeom prst="rect">
                      <a:avLst/>
                    </a:prstGeom>
                    <a:noFill/>
                  </pic:spPr>
                </pic:pic>
              </a:graphicData>
            </a:graphic>
          </wp:inline>
        </w:drawing>
      </w:r>
    </w:p>
    <w:p w14:paraId="1C657546" w14:textId="4D0735FB" w:rsidR="00F26818" w:rsidRDefault="00F26818" w:rsidP="00F26818">
      <w:pPr>
        <w:spacing w:before="120" w:after="120" w:line="276" w:lineRule="auto"/>
        <w:jc w:val="both"/>
        <w:rPr>
          <w:rFonts w:eastAsia="EUAlbertina-Bold-Identity-H" w:cs="Times New Roman"/>
          <w:szCs w:val="20"/>
        </w:rPr>
      </w:pPr>
      <w:r>
        <w:rPr>
          <w:rFonts w:eastAsia="EUAlbertina-Bold-Identity-H" w:cs="Times New Roman"/>
          <w:szCs w:val="20"/>
        </w:rPr>
        <w:t xml:space="preserve">Analizējot </w:t>
      </w:r>
      <w:r w:rsidRPr="00950D51">
        <w:rPr>
          <w:rFonts w:eastAsia="EUAlbertina-Bold-Identity-H" w:cs="Times New Roman"/>
          <w:szCs w:val="20"/>
        </w:rPr>
        <w:t>neatbilstīb</w:t>
      </w:r>
      <w:r>
        <w:rPr>
          <w:rFonts w:eastAsia="EUAlbertina-Bold-Identity-H" w:cs="Times New Roman"/>
          <w:szCs w:val="20"/>
        </w:rPr>
        <w:t>u</w:t>
      </w:r>
      <w:r w:rsidRPr="00950D51">
        <w:rPr>
          <w:rFonts w:eastAsia="EUAlbertina-Bold-Identity-H" w:cs="Times New Roman"/>
          <w:szCs w:val="20"/>
        </w:rPr>
        <w:t xml:space="preserve"> sadalījum</w:t>
      </w:r>
      <w:r>
        <w:rPr>
          <w:rFonts w:eastAsia="EUAlbertina-Bold-Identity-H" w:cs="Times New Roman"/>
          <w:szCs w:val="20"/>
        </w:rPr>
        <w:t>u</w:t>
      </w:r>
      <w:r w:rsidRPr="00950D51">
        <w:rPr>
          <w:rFonts w:eastAsia="EUAlbertina-Bold-Identity-H" w:cs="Times New Roman"/>
          <w:szCs w:val="20"/>
        </w:rPr>
        <w:t xml:space="preserve"> </w:t>
      </w:r>
      <w:r w:rsidR="00643B56">
        <w:rPr>
          <w:rFonts w:eastAsia="EUAlbertina-Bold-Identity-H" w:cs="Times New Roman"/>
          <w:szCs w:val="20"/>
        </w:rPr>
        <w:t>pārsk</w:t>
      </w:r>
      <w:r>
        <w:rPr>
          <w:rFonts w:eastAsia="EUAlbertina-Bold-Identity-H" w:cs="Times New Roman"/>
          <w:szCs w:val="20"/>
        </w:rPr>
        <w:t xml:space="preserve">ata periodā </w:t>
      </w:r>
      <w:r w:rsidRPr="00950D51">
        <w:rPr>
          <w:rFonts w:eastAsia="EUAlbertina-Bold-Identity-H" w:cs="Times New Roman"/>
          <w:szCs w:val="20"/>
        </w:rPr>
        <w:t>pa finansējuma saņēmēju veidiem</w:t>
      </w:r>
      <w:r>
        <w:rPr>
          <w:rFonts w:eastAsia="EUAlbertina-Bold-Identity-H" w:cs="Times New Roman"/>
          <w:szCs w:val="20"/>
        </w:rPr>
        <w:t>, secināms</w:t>
      </w:r>
      <w:r w:rsidRPr="00FC124A">
        <w:rPr>
          <w:rFonts w:eastAsia="EUAlbertina-Bold-Identity-H" w:cs="Times New Roman"/>
          <w:szCs w:val="20"/>
        </w:rPr>
        <w:t>, ka</w:t>
      </w:r>
      <w:r>
        <w:rPr>
          <w:rFonts w:eastAsia="EUAlbertina-Bold-Identity-H" w:cs="Times New Roman"/>
          <w:szCs w:val="20"/>
        </w:rPr>
        <w:t xml:space="preserve"> tas nav būtiski mainījies un tendences arvien ir nemainīgas.</w:t>
      </w:r>
      <w:r w:rsidRPr="00D03BCF">
        <w:rPr>
          <w:rFonts w:eastAsia="EUAlbertina-Bold-Identity-H" w:cs="Times New Roman"/>
          <w:szCs w:val="20"/>
        </w:rPr>
        <w:t xml:space="preserve"> </w:t>
      </w:r>
    </w:p>
    <w:p w14:paraId="7B50ACBB" w14:textId="77777777" w:rsidR="00F26818" w:rsidRDefault="00F26818" w:rsidP="00F26818">
      <w:pPr>
        <w:spacing w:before="120" w:after="120" w:line="276" w:lineRule="auto"/>
        <w:jc w:val="both"/>
        <w:rPr>
          <w:rFonts w:eastAsia="EUAlbertina-Bold-Identity-H" w:cs="Times New Roman"/>
          <w:szCs w:val="20"/>
        </w:rPr>
      </w:pPr>
      <w:r>
        <w:rPr>
          <w:rFonts w:eastAsia="EUAlbertina-Bold-Identity-H" w:cs="Times New Roman"/>
          <w:szCs w:val="20"/>
        </w:rPr>
        <w:t>Joprojām</w:t>
      </w:r>
      <w:r w:rsidRPr="007D485E">
        <w:rPr>
          <w:rFonts w:eastAsia="EUAlbertina-Bold-Identity-H" w:cs="Times New Roman"/>
          <w:szCs w:val="20"/>
        </w:rPr>
        <w:t xml:space="preserve"> lielākais neatbilstību apjoms </w:t>
      </w:r>
      <w:r>
        <w:rPr>
          <w:rFonts w:eastAsia="EUAlbertina-Bold-Identity-H" w:cs="Times New Roman"/>
          <w:szCs w:val="20"/>
        </w:rPr>
        <w:t xml:space="preserve">tiek </w:t>
      </w:r>
      <w:r w:rsidRPr="007D485E">
        <w:rPr>
          <w:rFonts w:eastAsia="EUAlbertina-Bold-Identity-H" w:cs="Times New Roman"/>
          <w:szCs w:val="20"/>
        </w:rPr>
        <w:t>konstatēts</w:t>
      </w:r>
      <w:r>
        <w:rPr>
          <w:rFonts w:eastAsia="EUAlbertina-Bold-Identity-H" w:cs="Times New Roman"/>
          <w:szCs w:val="20"/>
        </w:rPr>
        <w:t xml:space="preserve"> komersantu </w:t>
      </w:r>
      <w:r w:rsidRPr="007D485E">
        <w:rPr>
          <w:rFonts w:eastAsia="EUAlbertina-Bold-Identity-H" w:cs="Times New Roman"/>
          <w:szCs w:val="20"/>
        </w:rPr>
        <w:t>īstenotājos projektos</w:t>
      </w:r>
      <w:r>
        <w:rPr>
          <w:rFonts w:eastAsia="EUAlbertina-Bold-Identity-H" w:cs="Times New Roman"/>
          <w:szCs w:val="20"/>
        </w:rPr>
        <w:t xml:space="preserve"> (56,9%) un </w:t>
      </w:r>
      <w:r w:rsidRPr="007D485E">
        <w:rPr>
          <w:rFonts w:eastAsia="EUAlbertina-Bold-Identity-H" w:cs="Times New Roman"/>
          <w:szCs w:val="20"/>
        </w:rPr>
        <w:t xml:space="preserve">salīdzinājumā ar 2015.gada 1.pusgadu, 2015.gada 2.pusgadā komersantu neatbilstību īpatsvars kopējā neatbilstību apjomā pieaudzis </w:t>
      </w:r>
      <w:r>
        <w:rPr>
          <w:rFonts w:eastAsia="EUAlbertina-Bold-Identity-H" w:cs="Times New Roman"/>
          <w:szCs w:val="20"/>
        </w:rPr>
        <w:t xml:space="preserve">par </w:t>
      </w:r>
      <w:r w:rsidRPr="007D485E">
        <w:rPr>
          <w:rFonts w:eastAsia="EUAlbertina-Bold-Identity-H" w:cs="Times New Roman"/>
          <w:szCs w:val="20"/>
        </w:rPr>
        <w:t>22,1%.</w:t>
      </w:r>
    </w:p>
    <w:p w14:paraId="0B8D6A01" w14:textId="34AA0F7B" w:rsidR="00F902B4" w:rsidRPr="00167423" w:rsidRDefault="00F902B4" w:rsidP="00F902B4">
      <w:pPr>
        <w:spacing w:before="120" w:after="120" w:line="276" w:lineRule="auto"/>
        <w:jc w:val="both"/>
        <w:rPr>
          <w:rFonts w:eastAsia="Times New Roman" w:cs="Times New Roman"/>
        </w:rPr>
      </w:pPr>
      <w:r w:rsidRPr="00F902B4">
        <w:rPr>
          <w:rFonts w:eastAsia="Times New Roman" w:cs="Times New Roman"/>
        </w:rPr>
        <w:t xml:space="preserve">Neatbilstības 1,2 milj. </w:t>
      </w:r>
      <w:r w:rsidRPr="00F902B4">
        <w:rPr>
          <w:rFonts w:eastAsia="Times New Roman" w:cs="Times New Roman"/>
          <w:i/>
        </w:rPr>
        <w:t>eur</w:t>
      </w:r>
      <w:r w:rsidRPr="00F902B4">
        <w:rPr>
          <w:rFonts w:eastAsia="Times New Roman" w:cs="Times New Roman"/>
        </w:rPr>
        <w:t xml:space="preserve">o jeb 27,4% no komersantu kopējā neatbilstību apjoma apmērā pārskata periodā saistāmas ar vairāku apjomīgu projektu pārtraukšanu, nespējot izpildīt līguma nosacījumus (detalizētāku problēmas skaidrojumu skatīties turpmāk sadaļā pie apraksta par DP „Uzņēmējdarbība un inovācijas”). Problēmas saistītas galvenokārt ar komersantu finansiālajām grūtībām, kā arī saimnieciskās darbības neveikšanu. Kopumā no minētās neatbilstību summas atgūti 472 tūkst. </w:t>
      </w:r>
      <w:r w:rsidRPr="00F902B4">
        <w:rPr>
          <w:rFonts w:eastAsia="Times New Roman" w:cs="Times New Roman"/>
          <w:i/>
        </w:rPr>
        <w:t xml:space="preserve">euro </w:t>
      </w:r>
      <w:r w:rsidRPr="00F902B4">
        <w:rPr>
          <w:rFonts w:eastAsia="Times New Roman" w:cs="Times New Roman"/>
        </w:rPr>
        <w:t>jeb 38,7%, un šis finansējuma tika izlietots citu projektu īstenošanai. Savukārt 2015.gada 1.pusgadā lielākais neatbilstību apjoms (2,2</w:t>
      </w:r>
      <w:r w:rsidR="001243EF">
        <w:rPr>
          <w:rFonts w:eastAsia="Times New Roman" w:cs="Times New Roman"/>
        </w:rPr>
        <w:t> </w:t>
      </w:r>
      <w:r w:rsidRPr="00F902B4">
        <w:rPr>
          <w:rFonts w:eastAsia="Times New Roman" w:cs="Times New Roman"/>
        </w:rPr>
        <w:t xml:space="preserve">milj. </w:t>
      </w:r>
      <w:r w:rsidRPr="00F902B4">
        <w:rPr>
          <w:rFonts w:eastAsia="Times New Roman" w:cs="Times New Roman"/>
          <w:i/>
        </w:rPr>
        <w:t>euro</w:t>
      </w:r>
      <w:r w:rsidRPr="00F902B4">
        <w:rPr>
          <w:rFonts w:eastAsia="Times New Roman" w:cs="Times New Roman"/>
        </w:rPr>
        <w:t>) komersantu īstenotajos projektos tika klasificēts kā aizdomas par krāpšanu vai organizēto noziedzību.</w:t>
      </w:r>
      <w:r>
        <w:rPr>
          <w:rFonts w:eastAsia="Times New Roman" w:cs="Times New Roman"/>
        </w:rPr>
        <w:t xml:space="preserve"> </w:t>
      </w:r>
    </w:p>
    <w:p w14:paraId="07A204A7" w14:textId="48C67CFE" w:rsidR="00F26818" w:rsidRPr="00F26818" w:rsidRDefault="00F26818" w:rsidP="00F26818">
      <w:pPr>
        <w:spacing w:before="120" w:after="120" w:line="276" w:lineRule="auto"/>
        <w:jc w:val="both"/>
        <w:rPr>
          <w:rFonts w:eastAsia="EUAlbertina-Bold-Identity-H" w:cs="Times New Roman"/>
          <w:szCs w:val="24"/>
          <w:highlight w:val="lightGray"/>
        </w:rPr>
      </w:pPr>
      <w:r>
        <w:rPr>
          <w:rFonts w:eastAsia="EUAlbertina-Bold-Identity-H" w:cs="Times New Roman"/>
          <w:szCs w:val="20"/>
        </w:rPr>
        <w:t xml:space="preserve">Analizējot valsts iestāžu īstenoto projektu neatbilstības, secināms, ka salīdzinājumā ar 2015.gada 1.pusgadu, kad neatbilstības sastādīja 40,4%, </w:t>
      </w:r>
      <w:r w:rsidRPr="007D485E">
        <w:rPr>
          <w:rFonts w:eastAsia="EUAlbertina-Bold-Identity-H" w:cs="Times New Roman"/>
          <w:szCs w:val="20"/>
        </w:rPr>
        <w:t>2015</w:t>
      </w:r>
      <w:r>
        <w:rPr>
          <w:rFonts w:eastAsia="EUAlbertina-Bold-Identity-H" w:cs="Times New Roman"/>
          <w:szCs w:val="20"/>
        </w:rPr>
        <w:t xml:space="preserve">.gada 2.pusgadā šis radītājs ir </w:t>
      </w:r>
      <w:r w:rsidRPr="007D485E">
        <w:rPr>
          <w:rFonts w:eastAsia="EUAlbertina-Bold-Identity-H" w:cs="Times New Roman"/>
          <w:szCs w:val="20"/>
        </w:rPr>
        <w:t>tikai 4,5% no kopējā neatbils</w:t>
      </w:r>
      <w:r>
        <w:rPr>
          <w:rFonts w:eastAsia="EUAlbertina-Bold-Identity-H" w:cs="Times New Roman"/>
          <w:szCs w:val="20"/>
        </w:rPr>
        <w:t>t</w:t>
      </w:r>
      <w:r w:rsidRPr="007D485E">
        <w:rPr>
          <w:rFonts w:eastAsia="EUAlbertina-Bold-Identity-H" w:cs="Times New Roman"/>
          <w:szCs w:val="20"/>
        </w:rPr>
        <w:t>ību apjoma</w:t>
      </w:r>
      <w:r>
        <w:rPr>
          <w:rFonts w:eastAsia="EUAlbertina-Bold-Identity-H" w:cs="Times New Roman"/>
          <w:szCs w:val="20"/>
        </w:rPr>
        <w:t>.</w:t>
      </w:r>
    </w:p>
    <w:p w14:paraId="6A3643F6" w14:textId="77777777" w:rsidR="0008354E" w:rsidRDefault="0008354E">
      <w:pPr>
        <w:rPr>
          <w:rFonts w:eastAsia="EUAlbertina-Bold-Identity-H" w:cs="Times New Roman"/>
          <w:color w:val="000000"/>
          <w:szCs w:val="24"/>
          <w:lang w:eastAsia="lv-LV"/>
        </w:rPr>
      </w:pPr>
      <w:r>
        <w:rPr>
          <w:rFonts w:eastAsia="EUAlbertina-Bold-Identity-H" w:cs="Times New Roman"/>
          <w:color w:val="000000"/>
          <w:szCs w:val="24"/>
          <w:lang w:eastAsia="lv-LV"/>
        </w:rPr>
        <w:br w:type="page"/>
      </w:r>
    </w:p>
    <w:p w14:paraId="6D99376F" w14:textId="2F27689C" w:rsidR="00F26818" w:rsidRPr="00AA1ED9" w:rsidRDefault="00F26818" w:rsidP="00F26818">
      <w:pPr>
        <w:spacing w:before="120" w:after="120" w:line="276" w:lineRule="auto"/>
        <w:ind w:left="-284"/>
        <w:jc w:val="both"/>
        <w:rPr>
          <w:rFonts w:eastAsia="EUAlbertina-Bold-Identity-H" w:cs="Times New Roman"/>
          <w:color w:val="000000"/>
          <w:szCs w:val="24"/>
          <w:lang w:eastAsia="lv-LV"/>
        </w:rPr>
      </w:pPr>
      <w:r w:rsidRPr="00AA1ED9">
        <w:rPr>
          <w:rFonts w:eastAsia="EUAlbertina-Bold-Identity-H" w:cs="Times New Roman"/>
          <w:color w:val="000000"/>
          <w:szCs w:val="24"/>
          <w:lang w:eastAsia="lv-LV"/>
        </w:rPr>
        <w:lastRenderedPageBreak/>
        <w:t xml:space="preserve">Grafiks </w:t>
      </w:r>
      <w:r w:rsidRPr="00001327">
        <w:rPr>
          <w:rFonts w:eastAsia="EUAlbertina-Bold-Identity-H" w:cs="Times New Roman"/>
          <w:color w:val="000000"/>
          <w:szCs w:val="24"/>
          <w:lang w:eastAsia="lv-LV"/>
        </w:rPr>
        <w:t>Nr.</w:t>
      </w:r>
      <w:r w:rsidR="002A71B1">
        <w:rPr>
          <w:rFonts w:eastAsia="EUAlbertina-Bold-Identity-H" w:cs="Times New Roman"/>
          <w:color w:val="000000"/>
          <w:szCs w:val="24"/>
          <w:lang w:eastAsia="lv-LV"/>
        </w:rPr>
        <w:t>1</w:t>
      </w:r>
      <w:r w:rsidR="00942E5A">
        <w:rPr>
          <w:rFonts w:eastAsia="EUAlbertina-Bold-Identity-H" w:cs="Times New Roman"/>
          <w:color w:val="000000"/>
          <w:szCs w:val="24"/>
          <w:lang w:eastAsia="lv-LV"/>
        </w:rPr>
        <w:t>1</w:t>
      </w:r>
      <w:r w:rsidRPr="00AA1ED9">
        <w:rPr>
          <w:rFonts w:eastAsia="EUAlbertina-Bold-Identity-H" w:cs="Times New Roman"/>
          <w:color w:val="000000"/>
          <w:szCs w:val="24"/>
          <w:lang w:eastAsia="lv-LV"/>
        </w:rPr>
        <w:t xml:space="preserve"> </w:t>
      </w:r>
      <w:r w:rsidRPr="00AA1ED9">
        <w:rPr>
          <w:rFonts w:eastAsia="EUAlbertina-Bold-Identity-H" w:cs="Times New Roman"/>
          <w:i/>
          <w:color w:val="000000"/>
          <w:szCs w:val="24"/>
          <w:lang w:eastAsia="lv-LV"/>
        </w:rPr>
        <w:t>„</w:t>
      </w:r>
      <w:r w:rsidRPr="004915F4">
        <w:rPr>
          <w:rFonts w:eastAsia="EUAlbertina-Bold-Identity-H" w:cs="Times New Roman"/>
          <w:i/>
          <w:szCs w:val="24"/>
          <w:lang w:eastAsia="lv-LV"/>
        </w:rPr>
        <w:t>Konstatētās neatbilstības sadalījumā pa neatbilstību veidiem uz 2015.gada 31.decembri pusgadu griezumā</w:t>
      </w:r>
      <w:r w:rsidRPr="00AA1ED9">
        <w:rPr>
          <w:rFonts w:eastAsia="EUAlbertina-Bold-Identity-H" w:cs="Times New Roman"/>
          <w:i/>
          <w:color w:val="000000"/>
          <w:szCs w:val="24"/>
          <w:lang w:eastAsia="lv-LV"/>
        </w:rPr>
        <w:t>, milj. euro”</w:t>
      </w:r>
    </w:p>
    <w:p w14:paraId="29F08314" w14:textId="77777777" w:rsidR="00F26818" w:rsidRPr="006F0062" w:rsidRDefault="00F26818" w:rsidP="00F26818">
      <w:pPr>
        <w:spacing w:before="120" w:after="120" w:line="276" w:lineRule="auto"/>
        <w:ind w:left="-284"/>
        <w:jc w:val="center"/>
        <w:rPr>
          <w:rFonts w:eastAsia="EUAlbertina-Bold-Identity-H" w:cs="Times New Roman"/>
          <w:color w:val="000000"/>
          <w:szCs w:val="24"/>
          <w:highlight w:val="yellow"/>
          <w:lang w:eastAsia="lv-LV"/>
        </w:rPr>
      </w:pPr>
      <w:r w:rsidRPr="00420D96">
        <w:rPr>
          <w:rFonts w:eastAsia="EUAlbertina-Bold-Identity-H" w:cs="Times New Roman"/>
          <w:noProof/>
          <w:color w:val="000000"/>
          <w:szCs w:val="24"/>
          <w:lang w:eastAsia="lv-LV"/>
        </w:rPr>
        <w:drawing>
          <wp:inline distT="0" distB="0" distL="0" distR="0" wp14:anchorId="43BCD64B" wp14:editId="3E75E186">
            <wp:extent cx="5517515" cy="3298190"/>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17515" cy="3298190"/>
                    </a:xfrm>
                    <a:prstGeom prst="rect">
                      <a:avLst/>
                    </a:prstGeom>
                    <a:noFill/>
                  </pic:spPr>
                </pic:pic>
              </a:graphicData>
            </a:graphic>
          </wp:inline>
        </w:drawing>
      </w:r>
    </w:p>
    <w:p w14:paraId="0AE16385" w14:textId="77777777" w:rsidR="00F26818" w:rsidRDefault="00F26818" w:rsidP="00F26818">
      <w:pPr>
        <w:ind w:firstLine="567"/>
        <w:jc w:val="center"/>
        <w:rPr>
          <w:rFonts w:eastAsia="EUAlbertina-Bold-Identity-H" w:cs="Times New Roman"/>
          <w:szCs w:val="20"/>
          <w:u w:val="single"/>
        </w:rPr>
      </w:pPr>
    </w:p>
    <w:p w14:paraId="03B3A336" w14:textId="15E4F1F4" w:rsidR="00F26818" w:rsidRDefault="00F26818" w:rsidP="00DD31F9">
      <w:pPr>
        <w:spacing w:line="276" w:lineRule="auto"/>
        <w:jc w:val="both"/>
        <w:rPr>
          <w:rFonts w:eastAsia="EUAlbertina-Bold-Identity-H" w:cs="Times New Roman"/>
          <w:szCs w:val="24"/>
        </w:rPr>
      </w:pPr>
      <w:r>
        <w:rPr>
          <w:rFonts w:eastAsia="EUAlbertina-Bold-Identity-H" w:cs="Times New Roman"/>
          <w:szCs w:val="24"/>
        </w:rPr>
        <w:t>Analizējot k</w:t>
      </w:r>
      <w:r w:rsidRPr="004915F4">
        <w:rPr>
          <w:rFonts w:eastAsia="EUAlbertina-Bold-Identity-H" w:cs="Times New Roman"/>
          <w:szCs w:val="24"/>
        </w:rPr>
        <w:t>onstatētās neatbilstības sadalījumā pa neatbilstību veidiem uz 2015.gada 31.decembri pusgadu griezumā</w:t>
      </w:r>
      <w:r>
        <w:rPr>
          <w:rFonts w:eastAsia="EUAlbertina-Bold-Identity-H" w:cs="Times New Roman"/>
          <w:szCs w:val="24"/>
        </w:rPr>
        <w:t xml:space="preserve"> (skatīties grafiku </w:t>
      </w:r>
      <w:r w:rsidRPr="00001327">
        <w:rPr>
          <w:rFonts w:eastAsia="EUAlbertina-Bold-Identity-H" w:cs="Times New Roman"/>
          <w:szCs w:val="24"/>
        </w:rPr>
        <w:t>Nr.</w:t>
      </w:r>
      <w:r w:rsidR="002A71B1">
        <w:rPr>
          <w:rFonts w:eastAsia="EUAlbertina-Bold-Identity-H" w:cs="Times New Roman"/>
          <w:szCs w:val="24"/>
        </w:rPr>
        <w:t>1</w:t>
      </w:r>
      <w:r w:rsidR="00942E5A">
        <w:rPr>
          <w:rFonts w:eastAsia="EUAlbertina-Bold-Identity-H" w:cs="Times New Roman"/>
          <w:szCs w:val="24"/>
        </w:rPr>
        <w:t>1</w:t>
      </w:r>
      <w:r w:rsidRPr="00001327">
        <w:rPr>
          <w:rFonts w:eastAsia="EUAlbertina-Bold-Identity-H" w:cs="Times New Roman"/>
          <w:szCs w:val="24"/>
        </w:rPr>
        <w:t>),</w:t>
      </w:r>
      <w:r>
        <w:rPr>
          <w:rFonts w:eastAsia="EUAlbertina-Bold-Identity-H" w:cs="Times New Roman"/>
          <w:szCs w:val="24"/>
        </w:rPr>
        <w:t xml:space="preserve"> var secināt, ka kopumā neatbilstību apjoma pieaugums pa to veidiem ir mērens un būtiskākais neatbilstību apjoms joprojām tiek konstatēts iepirkumu jomā. Arī </w:t>
      </w:r>
      <w:r w:rsidR="00643B56">
        <w:rPr>
          <w:rFonts w:eastAsia="EUAlbertina-Bold-Identity-H" w:cs="Times New Roman"/>
          <w:szCs w:val="24"/>
        </w:rPr>
        <w:t>2015.gada 2.pusgadā li</w:t>
      </w:r>
      <w:r w:rsidRPr="00D85812">
        <w:rPr>
          <w:rFonts w:eastAsia="EUAlbertina-Bold-Identity-H" w:cs="Times New Roman"/>
          <w:szCs w:val="24"/>
        </w:rPr>
        <w:t>elākais neatbilstību apjoms ir ar veidu “Iepirkuma vai konkurences normu pārkāpums” – 4,1 milj. euro jeb 52,7%</w:t>
      </w:r>
      <w:r>
        <w:rPr>
          <w:rFonts w:eastAsia="EUAlbertina-Bold-Identity-H" w:cs="Times New Roman"/>
          <w:szCs w:val="24"/>
        </w:rPr>
        <w:t xml:space="preserve"> no kopējā neatbilstību apjoma pārskata periodā. Būtiski ir, ka iepirkumu jomas problemātika ir kopīga visā ES. Līdz ar to EK dienesti ir izstrādājuši vadlīnijas</w:t>
      </w:r>
      <w:r>
        <w:rPr>
          <w:rStyle w:val="FootnoteReference"/>
          <w:rFonts w:eastAsia="EUAlbertina-Bold-Identity-H" w:cs="Times New Roman"/>
          <w:szCs w:val="24"/>
        </w:rPr>
        <w:footnoteReference w:id="34"/>
      </w:r>
      <w:r>
        <w:rPr>
          <w:rFonts w:eastAsia="EUAlbertina-Bold-Identity-H" w:cs="Times New Roman"/>
          <w:szCs w:val="24"/>
        </w:rPr>
        <w:t xml:space="preserve"> par publisko iepirkumu jautājumiem, lai stiprinātu iestāžu kapacitāti efektīvā un pareizā ES fondu vadībā. </w:t>
      </w:r>
    </w:p>
    <w:p w14:paraId="2C55E210" w14:textId="0B22E9D9" w:rsidR="00F26818" w:rsidRDefault="00F26818" w:rsidP="00F26818">
      <w:pPr>
        <w:spacing w:before="120" w:after="120" w:line="276" w:lineRule="auto"/>
        <w:jc w:val="both"/>
        <w:rPr>
          <w:rFonts w:eastAsia="EUAlbertina-Bold-Identity-H" w:cs="Times New Roman"/>
          <w:color w:val="000000"/>
          <w:szCs w:val="24"/>
          <w:lang w:eastAsia="lv-LV"/>
        </w:rPr>
      </w:pPr>
      <w:r w:rsidRPr="00B20AB9">
        <w:rPr>
          <w:rFonts w:eastAsia="EUAlbertina-Bold-Identity-H" w:cs="Times New Roman"/>
          <w:color w:val="000000"/>
          <w:szCs w:val="24"/>
          <w:lang w:eastAsia="lv-LV"/>
        </w:rPr>
        <w:t>Detalizēta informācija par 2007</w:t>
      </w:r>
      <w:r>
        <w:rPr>
          <w:rFonts w:eastAsia="EUAlbertina-Bold-Identity-H" w:cs="Times New Roman"/>
          <w:color w:val="000000"/>
          <w:szCs w:val="24"/>
          <w:lang w:eastAsia="lv-LV"/>
        </w:rPr>
        <w:t>.</w:t>
      </w:r>
      <w:r w:rsidRPr="00B20AB9">
        <w:rPr>
          <w:rFonts w:eastAsia="EUAlbertina-Bold-Identity-H" w:cs="Times New Roman"/>
          <w:color w:val="000000"/>
          <w:szCs w:val="24"/>
          <w:lang w:eastAsia="lv-LV"/>
        </w:rPr>
        <w:t>–2013.gada plānošanas periodā konstatēto neatbilstību apjomu dalījumā pa finansējumu saņēmēju veidiem un neatbilstību veidiem apkopota ziņojuma grafikā</w:t>
      </w:r>
      <w:r>
        <w:rPr>
          <w:rFonts w:eastAsia="EUAlbertina-Bold-Identity-H" w:cs="Times New Roman"/>
          <w:color w:val="000000"/>
          <w:szCs w:val="24"/>
          <w:lang w:eastAsia="lv-LV"/>
        </w:rPr>
        <w:t xml:space="preserve"> </w:t>
      </w:r>
      <w:r w:rsidRPr="00001327">
        <w:rPr>
          <w:rFonts w:eastAsia="EUAlbertina-Bold-Identity-H" w:cs="Times New Roman"/>
          <w:color w:val="000000"/>
          <w:szCs w:val="24"/>
          <w:lang w:eastAsia="lv-LV"/>
        </w:rPr>
        <w:t>Nr.</w:t>
      </w:r>
      <w:r w:rsidR="00001327" w:rsidRPr="00001327">
        <w:rPr>
          <w:rFonts w:eastAsia="EUAlbertina-Bold-Identity-H" w:cs="Times New Roman"/>
          <w:color w:val="000000"/>
          <w:szCs w:val="24"/>
          <w:lang w:eastAsia="lv-LV"/>
        </w:rPr>
        <w:t>1</w:t>
      </w:r>
      <w:r w:rsidR="00942E5A">
        <w:rPr>
          <w:rFonts w:eastAsia="EUAlbertina-Bold-Identity-H" w:cs="Times New Roman"/>
          <w:color w:val="000000"/>
          <w:szCs w:val="24"/>
          <w:lang w:eastAsia="lv-LV"/>
        </w:rPr>
        <w:t>2</w:t>
      </w:r>
      <w:r w:rsidRPr="00001327">
        <w:rPr>
          <w:rFonts w:eastAsia="EUAlbertina-Bold-Identity-H" w:cs="Times New Roman"/>
          <w:color w:val="000000"/>
          <w:szCs w:val="24"/>
          <w:lang w:eastAsia="lv-LV"/>
        </w:rPr>
        <w:t>.</w:t>
      </w:r>
    </w:p>
    <w:p w14:paraId="4C88AA80" w14:textId="77777777" w:rsidR="00CE1D85" w:rsidRDefault="00CE1D85">
      <w:pPr>
        <w:rPr>
          <w:rFonts w:eastAsia="EUAlbertina-Bold-Identity-H" w:cs="Times New Roman"/>
          <w:color w:val="000000"/>
          <w:szCs w:val="24"/>
          <w:lang w:eastAsia="lv-LV"/>
        </w:rPr>
      </w:pPr>
      <w:r>
        <w:rPr>
          <w:rFonts w:eastAsia="EUAlbertina-Bold-Identity-H" w:cs="Times New Roman"/>
          <w:color w:val="000000"/>
          <w:szCs w:val="24"/>
          <w:lang w:eastAsia="lv-LV"/>
        </w:rPr>
        <w:br w:type="page"/>
      </w:r>
    </w:p>
    <w:p w14:paraId="08A2A9B9" w14:textId="5571D2E4" w:rsidR="00F26818" w:rsidRPr="00DD52CB" w:rsidRDefault="00F26818" w:rsidP="00DD52CB">
      <w:pPr>
        <w:spacing w:before="120" w:after="120" w:line="276" w:lineRule="auto"/>
        <w:jc w:val="both"/>
        <w:rPr>
          <w:rFonts w:eastAsia="EUAlbertina-Bold-Identity-H" w:cs="Times New Roman"/>
          <w:color w:val="000000"/>
          <w:szCs w:val="24"/>
          <w:lang w:eastAsia="lv-LV"/>
        </w:rPr>
      </w:pPr>
      <w:r w:rsidRPr="00AA1ED9">
        <w:rPr>
          <w:rFonts w:eastAsia="EUAlbertina-Bold-Identity-H" w:cs="Times New Roman"/>
          <w:color w:val="000000"/>
          <w:szCs w:val="24"/>
          <w:lang w:eastAsia="lv-LV"/>
        </w:rPr>
        <w:lastRenderedPageBreak/>
        <w:t>Grafiks Nr</w:t>
      </w:r>
      <w:r w:rsidRPr="00001327">
        <w:rPr>
          <w:rFonts w:eastAsia="EUAlbertina-Bold-Identity-H" w:cs="Times New Roman"/>
          <w:color w:val="000000"/>
          <w:szCs w:val="24"/>
          <w:lang w:eastAsia="lv-LV"/>
        </w:rPr>
        <w:t>.</w:t>
      </w:r>
      <w:r w:rsidR="002A71B1">
        <w:rPr>
          <w:rFonts w:eastAsia="EUAlbertina-Bold-Identity-H" w:cs="Times New Roman"/>
          <w:color w:val="000000"/>
          <w:szCs w:val="24"/>
          <w:lang w:eastAsia="lv-LV"/>
        </w:rPr>
        <w:t>1</w:t>
      </w:r>
      <w:r w:rsidR="00942E5A">
        <w:rPr>
          <w:rFonts w:eastAsia="EUAlbertina-Bold-Identity-H" w:cs="Times New Roman"/>
          <w:color w:val="000000"/>
          <w:szCs w:val="24"/>
          <w:lang w:eastAsia="lv-LV"/>
        </w:rPr>
        <w:t>2</w:t>
      </w:r>
      <w:r w:rsidRPr="00001327">
        <w:rPr>
          <w:rFonts w:eastAsia="EUAlbertina-Bold-Identity-H" w:cs="Times New Roman"/>
          <w:color w:val="000000"/>
          <w:szCs w:val="24"/>
          <w:lang w:eastAsia="lv-LV"/>
        </w:rPr>
        <w:t xml:space="preserve"> </w:t>
      </w:r>
      <w:r w:rsidRPr="00AA1ED9">
        <w:rPr>
          <w:rFonts w:eastAsia="EUAlbertina-Bold-Identity-H" w:cs="Times New Roman"/>
          <w:i/>
          <w:color w:val="000000"/>
          <w:szCs w:val="24"/>
          <w:lang w:eastAsia="lv-LV"/>
        </w:rPr>
        <w:t xml:space="preserve">„Konstatētās neatbilstības sadalījumā pa finansējuma saņēmēju veidiem un pa neatbilstību veidiem kumulatīvi uz </w:t>
      </w:r>
      <w:r w:rsidRPr="00ED2381">
        <w:rPr>
          <w:rFonts w:eastAsia="EUAlbertina-Bold-Identity-H" w:cs="Times New Roman"/>
          <w:i/>
          <w:szCs w:val="24"/>
          <w:lang w:eastAsia="lv-LV"/>
        </w:rPr>
        <w:t xml:space="preserve">2015.gada 31.decembri, milj. </w:t>
      </w:r>
      <w:r w:rsidRPr="00AA1ED9">
        <w:rPr>
          <w:rFonts w:eastAsia="EUAlbertina-Bold-Identity-H" w:cs="Times New Roman"/>
          <w:i/>
          <w:color w:val="000000"/>
          <w:szCs w:val="24"/>
          <w:lang w:eastAsia="lv-LV"/>
        </w:rPr>
        <w:t>euro</w:t>
      </w:r>
      <w:r w:rsidR="001243EF">
        <w:rPr>
          <w:rFonts w:eastAsia="EUAlbertina-Bold-Identity-H" w:cs="Times New Roman"/>
          <w:i/>
          <w:color w:val="000000"/>
          <w:szCs w:val="24"/>
          <w:lang w:eastAsia="lv-LV"/>
        </w:rPr>
        <w:t>”</w:t>
      </w:r>
    </w:p>
    <w:p w14:paraId="6355D115" w14:textId="77777777" w:rsidR="00F26818" w:rsidRPr="006F0062" w:rsidRDefault="00F26818" w:rsidP="00F26818">
      <w:pPr>
        <w:spacing w:before="120" w:after="120" w:line="276" w:lineRule="auto"/>
        <w:ind w:left="-284"/>
        <w:jc w:val="both"/>
        <w:rPr>
          <w:rFonts w:eastAsia="EUAlbertina-Bold-Identity-H" w:cs="Times New Roman"/>
          <w:color w:val="000000"/>
          <w:szCs w:val="24"/>
          <w:highlight w:val="yellow"/>
          <w:lang w:eastAsia="lv-LV"/>
        </w:rPr>
      </w:pPr>
      <w:r w:rsidRPr="005E1E18">
        <w:rPr>
          <w:rFonts w:eastAsia="EUAlbertina-Bold-Identity-H" w:cs="Times New Roman"/>
          <w:noProof/>
          <w:color w:val="000000"/>
          <w:szCs w:val="24"/>
          <w:lang w:eastAsia="lv-LV"/>
        </w:rPr>
        <w:drawing>
          <wp:inline distT="0" distB="0" distL="0" distR="0" wp14:anchorId="4B59A932" wp14:editId="49BCC2FF">
            <wp:extent cx="5760000" cy="3896803"/>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60000" cy="3896803"/>
                    </a:xfrm>
                    <a:prstGeom prst="rect">
                      <a:avLst/>
                    </a:prstGeom>
                    <a:noFill/>
                  </pic:spPr>
                </pic:pic>
              </a:graphicData>
            </a:graphic>
          </wp:inline>
        </w:drawing>
      </w:r>
    </w:p>
    <w:p w14:paraId="6E42F947" w14:textId="77777777" w:rsidR="00F26818" w:rsidRDefault="00F26818" w:rsidP="00DD31F9">
      <w:pPr>
        <w:spacing w:before="120" w:after="120" w:line="276" w:lineRule="auto"/>
        <w:jc w:val="both"/>
        <w:rPr>
          <w:rFonts w:eastAsia="EUAlbertina-Bold-Identity-H" w:cs="Times New Roman"/>
          <w:szCs w:val="24"/>
        </w:rPr>
      </w:pPr>
      <w:r>
        <w:rPr>
          <w:rFonts w:eastAsia="EUAlbertina-Bold-Identity-H" w:cs="Times New Roman"/>
          <w:szCs w:val="24"/>
        </w:rPr>
        <w:t>Pozitīvi vērtējams, ka 2015.gada 2.pusgadā salīdzinājumā ar 2015.gada 1.pusgadu samazinājies neatbilstību ar veidu “A</w:t>
      </w:r>
      <w:r w:rsidRPr="000D4DFD">
        <w:rPr>
          <w:rFonts w:eastAsia="EUAlbertina-Bold-Identity-H" w:cs="Times New Roman"/>
          <w:szCs w:val="24"/>
        </w:rPr>
        <w:t>izdomas par krāpšanu vai organizēto noziedzību</w:t>
      </w:r>
      <w:r>
        <w:rPr>
          <w:rFonts w:eastAsia="EUAlbertina-Bold-Identity-H" w:cs="Times New Roman"/>
          <w:szCs w:val="24"/>
        </w:rPr>
        <w:t>” apjoms. Ja 2015.gada 1.pusgadā tas veidoja 21,4% no kopējā neatbilstību apjoma, tad 2015.gada 2.pusgadā – vairs tikai 4,1% no</w:t>
      </w:r>
      <w:r w:rsidRPr="0018412C">
        <w:rPr>
          <w:rFonts w:eastAsia="EUAlbertina-Bold-Identity-H" w:cs="Times New Roman"/>
          <w:szCs w:val="24"/>
        </w:rPr>
        <w:t xml:space="preserve"> </w:t>
      </w:r>
      <w:r>
        <w:rPr>
          <w:rFonts w:eastAsia="EUAlbertina-Bold-Identity-H" w:cs="Times New Roman"/>
          <w:szCs w:val="24"/>
        </w:rPr>
        <w:t>kopējā neatbilstību apjoma.</w:t>
      </w:r>
    </w:p>
    <w:p w14:paraId="1A621327" w14:textId="482B2291" w:rsidR="00F26818" w:rsidRDefault="00F26818" w:rsidP="00DD31F9">
      <w:pPr>
        <w:spacing w:before="120" w:after="120" w:line="276" w:lineRule="auto"/>
        <w:jc w:val="both"/>
        <w:rPr>
          <w:rFonts w:eastAsia="EUAlbertina-Bold-Identity-H" w:cs="Times New Roman"/>
          <w:szCs w:val="24"/>
        </w:rPr>
      </w:pPr>
      <w:r w:rsidRPr="0055660D">
        <w:rPr>
          <w:rFonts w:eastAsia="EUAlbertina-Bold-Identity-H" w:cs="Times New Roman"/>
          <w:szCs w:val="24"/>
        </w:rPr>
        <w:t>Savukārt, vērtējot neatbilstību gadījumu skaitu 2015.gadā pusgadu griezumā,</w:t>
      </w:r>
      <w:r>
        <w:rPr>
          <w:rFonts w:eastAsia="EUAlbertina-Bold-Identity-H" w:cs="Times New Roman"/>
          <w:szCs w:val="24"/>
        </w:rPr>
        <w:t xml:space="preserve"> </w:t>
      </w:r>
      <w:r w:rsidR="00643B56">
        <w:rPr>
          <w:rFonts w:eastAsia="EUAlbertina-Bold-Identity-H" w:cs="Times New Roman"/>
          <w:szCs w:val="24"/>
        </w:rPr>
        <w:t>lielāk</w:t>
      </w:r>
      <w:r w:rsidRPr="0055660D">
        <w:rPr>
          <w:rFonts w:eastAsia="EUAlbertina-Bold-Identity-H" w:cs="Times New Roman"/>
          <w:szCs w:val="24"/>
        </w:rPr>
        <w:t xml:space="preserve">ais neatbilstību skaits ir vērojams </w:t>
      </w:r>
      <w:r>
        <w:rPr>
          <w:rFonts w:eastAsia="EUAlbertina-Bold-Identity-H" w:cs="Times New Roman"/>
          <w:szCs w:val="24"/>
        </w:rPr>
        <w:t>pašvaldību</w:t>
      </w:r>
      <w:r w:rsidRPr="0055660D">
        <w:rPr>
          <w:rFonts w:eastAsia="EUAlbertina-Bold-Identity-H" w:cs="Times New Roman"/>
          <w:szCs w:val="24"/>
        </w:rPr>
        <w:t xml:space="preserve"> īstenotajos projektos – pārskata periodā tika konstatēti </w:t>
      </w:r>
      <w:r>
        <w:rPr>
          <w:rFonts w:eastAsia="EUAlbertina-Bold-Identity-H" w:cs="Times New Roman"/>
          <w:szCs w:val="24"/>
        </w:rPr>
        <w:t>162 gadījumi jeb 35</w:t>
      </w:r>
      <w:r w:rsidRPr="0055660D">
        <w:rPr>
          <w:rFonts w:eastAsia="EUAlbertina-Bold-Identity-H" w:cs="Times New Roman"/>
          <w:szCs w:val="24"/>
        </w:rPr>
        <w:t>,</w:t>
      </w:r>
      <w:r>
        <w:rPr>
          <w:rFonts w:eastAsia="EUAlbertina-Bold-Identity-H" w:cs="Times New Roman"/>
          <w:szCs w:val="24"/>
        </w:rPr>
        <w:t>4</w:t>
      </w:r>
      <w:r w:rsidRPr="0055660D">
        <w:rPr>
          <w:rFonts w:eastAsia="EUAlbertina-Bold-Identity-H" w:cs="Times New Roman"/>
          <w:szCs w:val="24"/>
        </w:rPr>
        <w:t>% gadījumu no kopējā neatbilstību skaita.</w:t>
      </w:r>
      <w:r>
        <w:rPr>
          <w:rFonts w:eastAsia="EUAlbertina-Bold-Identity-H" w:cs="Times New Roman"/>
          <w:szCs w:val="24"/>
        </w:rPr>
        <w:t xml:space="preserve"> Secināms, ka pašvaldību īste</w:t>
      </w:r>
      <w:r w:rsidR="00643B56">
        <w:rPr>
          <w:rFonts w:eastAsia="EUAlbertina-Bold-Identity-H" w:cs="Times New Roman"/>
          <w:szCs w:val="24"/>
        </w:rPr>
        <w:t>n</w:t>
      </w:r>
      <w:r>
        <w:rPr>
          <w:rFonts w:eastAsia="EUAlbertina-Bold-Identity-H" w:cs="Times New Roman"/>
          <w:szCs w:val="24"/>
        </w:rPr>
        <w:t xml:space="preserve">otajos projektos salīdzinājumā ar komersantiem tiek konstatētas vairāk neatbilstības, bet ar mazāku finansiālu ietekmi uz ES un nacionālo budžetu. </w:t>
      </w:r>
    </w:p>
    <w:p w14:paraId="3F858A79" w14:textId="25873CB9" w:rsidR="00F26818" w:rsidRDefault="00F26818" w:rsidP="00DD31F9">
      <w:pPr>
        <w:spacing w:before="120" w:after="120" w:line="276" w:lineRule="auto"/>
        <w:jc w:val="both"/>
        <w:rPr>
          <w:rFonts w:eastAsia="EUAlbertina-Bold-Identity-H" w:cs="Times New Roman"/>
          <w:szCs w:val="24"/>
        </w:rPr>
      </w:pPr>
      <w:r>
        <w:rPr>
          <w:color w:val="000000"/>
          <w:szCs w:val="24"/>
        </w:rPr>
        <w:t>P</w:t>
      </w:r>
      <w:r w:rsidRPr="001575FE">
        <w:rPr>
          <w:color w:val="000000"/>
          <w:szCs w:val="24"/>
        </w:rPr>
        <w:t xml:space="preserve">ārskata periodā </w:t>
      </w:r>
      <w:r>
        <w:rPr>
          <w:rFonts w:eastAsia="EUAlbertina-Bold-Identity-H" w:cs="Times New Roman"/>
          <w:szCs w:val="24"/>
        </w:rPr>
        <w:t>2,4</w:t>
      </w:r>
      <w:r w:rsidRPr="001575FE">
        <w:rPr>
          <w:rFonts w:eastAsia="EUAlbertina-Bold-Identity-H" w:cs="Times New Roman"/>
          <w:szCs w:val="24"/>
        </w:rPr>
        <w:t xml:space="preserve"> milj. </w:t>
      </w:r>
      <w:r w:rsidRPr="001575FE">
        <w:rPr>
          <w:rFonts w:eastAsia="EUAlbertina-Bold-Identity-H" w:cs="Times New Roman"/>
          <w:i/>
          <w:szCs w:val="24"/>
        </w:rPr>
        <w:t>euro</w:t>
      </w:r>
      <w:r w:rsidRPr="001575FE">
        <w:rPr>
          <w:rFonts w:eastAsia="EUAlbertina-Bold-Identity-H" w:cs="Times New Roman"/>
          <w:szCs w:val="24"/>
        </w:rPr>
        <w:t xml:space="preserve"> jeb </w:t>
      </w:r>
      <w:r>
        <w:rPr>
          <w:rFonts w:eastAsia="EUAlbertina-Bold-Identity-H" w:cs="Times New Roman"/>
          <w:szCs w:val="24"/>
        </w:rPr>
        <w:t>32,6</w:t>
      </w:r>
      <w:r w:rsidRPr="001575FE">
        <w:rPr>
          <w:rFonts w:eastAsia="EUAlbertina-Bold-Identity-H" w:cs="Times New Roman"/>
          <w:szCs w:val="24"/>
        </w:rPr>
        <w:t xml:space="preserve">% no kopējā neatbilstību </w:t>
      </w:r>
      <w:r w:rsidRPr="002F1B6C">
        <w:rPr>
          <w:rFonts w:eastAsia="EUAlbertina-Bold-Identity-H" w:cs="Times New Roman"/>
          <w:szCs w:val="24"/>
        </w:rPr>
        <w:t>apjoma 7,8 milj</w:t>
      </w:r>
      <w:r w:rsidRPr="001575FE">
        <w:rPr>
          <w:rFonts w:eastAsia="EUAlbertina-Bold-Identity-H" w:cs="Times New Roman"/>
          <w:szCs w:val="24"/>
        </w:rPr>
        <w:t xml:space="preserve">. </w:t>
      </w:r>
      <w:r w:rsidRPr="001575FE">
        <w:rPr>
          <w:rFonts w:eastAsia="EUAlbertina-Bold-Identity-H" w:cs="Times New Roman"/>
          <w:i/>
          <w:szCs w:val="24"/>
        </w:rPr>
        <w:t>euro</w:t>
      </w:r>
      <w:r w:rsidRPr="001575FE">
        <w:rPr>
          <w:rFonts w:eastAsia="EUAlbertina-Bold-Identity-H" w:cs="Times New Roman"/>
          <w:szCs w:val="24"/>
        </w:rPr>
        <w:t xml:space="preserve"> </w:t>
      </w:r>
      <w:r>
        <w:rPr>
          <w:rFonts w:eastAsia="EUAlbertina-Bold-Identity-H" w:cs="Times New Roman"/>
          <w:szCs w:val="24"/>
        </w:rPr>
        <w:t xml:space="preserve">apmērā </w:t>
      </w:r>
      <w:r w:rsidRPr="001575FE">
        <w:rPr>
          <w:rFonts w:eastAsia="EUAlbertina-Bold-Identity-H" w:cs="Times New Roman"/>
          <w:szCs w:val="24"/>
        </w:rPr>
        <w:t xml:space="preserve">konstatētas </w:t>
      </w:r>
      <w:r>
        <w:rPr>
          <w:rFonts w:eastAsia="EUAlbertina-Bold-Identity-H" w:cs="Times New Roman"/>
          <w:szCs w:val="24"/>
        </w:rPr>
        <w:t>neatbilstības EK audita ietvaros</w:t>
      </w:r>
      <w:r w:rsidR="00DD59BE">
        <w:rPr>
          <w:rFonts w:eastAsia="EUAlbertina-Bold-Identity-H" w:cs="Times New Roman"/>
          <w:szCs w:val="24"/>
        </w:rPr>
        <w:t>:</w:t>
      </w:r>
    </w:p>
    <w:p w14:paraId="0852DD4A" w14:textId="220CAF4A" w:rsidR="00F26818" w:rsidRPr="00DD31F9" w:rsidRDefault="00F26818" w:rsidP="00DD31F9">
      <w:pPr>
        <w:spacing w:before="120" w:after="120" w:line="276" w:lineRule="auto"/>
        <w:jc w:val="both"/>
        <w:rPr>
          <w:rFonts w:eastAsia="EUAlbertina-Bold-Identity-H" w:cs="Times New Roman"/>
          <w:szCs w:val="24"/>
        </w:rPr>
      </w:pPr>
      <w:r>
        <w:rPr>
          <w:rFonts w:eastAsia="EUAlbertina-Bold-Identity-H" w:cs="Times New Roman"/>
          <w:szCs w:val="24"/>
        </w:rPr>
        <w:t>Ņemot vērā, ka pārskata periodā ir samazinājies neatbilstību veida “</w:t>
      </w:r>
      <w:r w:rsidRPr="000D4DFD">
        <w:rPr>
          <w:rFonts w:eastAsia="EUAlbertina-Bold-Identity-H" w:cs="Times New Roman"/>
          <w:szCs w:val="24"/>
        </w:rPr>
        <w:t>Aizdomas par krāpšanu vai organizēto noziedzību</w:t>
      </w:r>
      <w:r>
        <w:rPr>
          <w:rFonts w:eastAsia="EUAlbertina-Bold-Identity-H" w:cs="Times New Roman"/>
          <w:szCs w:val="24"/>
        </w:rPr>
        <w:t xml:space="preserve">” apjoms, kā arī šādu neatbilstību konstatēšanas gadījumu skaits, secināms, </w:t>
      </w:r>
      <w:r w:rsidRPr="00AA6309">
        <w:rPr>
          <w:rFonts w:eastAsia="EUAlbertina-Bold-Identity-H" w:cs="Times New Roman"/>
          <w:szCs w:val="24"/>
        </w:rPr>
        <w:t>ka veiktie pasākumi krāpšanas risku mazināšanai vērtējami</w:t>
      </w:r>
      <w:r>
        <w:rPr>
          <w:rFonts w:eastAsia="EUAlbertina-Bold-Identity-H" w:cs="Times New Roman"/>
          <w:szCs w:val="24"/>
        </w:rPr>
        <w:t xml:space="preserve"> kā pozitīvi un lietderīgi. Arī </w:t>
      </w:r>
      <w:r w:rsidRPr="005C6B2C">
        <w:rPr>
          <w:rFonts w:eastAsia="EUAlbertina-Bold-Identity-H" w:cs="Times New Roman"/>
          <w:szCs w:val="24"/>
        </w:rPr>
        <w:t>20</w:t>
      </w:r>
      <w:r>
        <w:rPr>
          <w:rFonts w:eastAsia="EUAlbertina-Bold-Identity-H" w:cs="Times New Roman"/>
          <w:szCs w:val="24"/>
        </w:rPr>
        <w:t xml:space="preserve">14.-2020.gada plānošanas periodā tiks turpināts darbs pie krāpšanas risku mazināšanas. </w:t>
      </w:r>
    </w:p>
    <w:p w14:paraId="614881CA" w14:textId="77777777" w:rsidR="00DD31F9" w:rsidRDefault="00DD31F9" w:rsidP="00DD31F9">
      <w:pPr>
        <w:spacing w:line="276" w:lineRule="auto"/>
        <w:jc w:val="both"/>
        <w:rPr>
          <w:color w:val="000000"/>
          <w:szCs w:val="24"/>
          <w:lang w:eastAsia="lv-LV"/>
        </w:rPr>
      </w:pPr>
      <w:r>
        <w:rPr>
          <w:color w:val="000000"/>
          <w:lang w:eastAsia="lv-LV"/>
        </w:rPr>
        <w:t xml:space="preserve">2015.gada 2.pusgadā DP „Cilvēkresursi un nodarbinātība” konstatēts neliels neatbilstību apjoms – 0,17 milj. </w:t>
      </w:r>
      <w:r w:rsidRPr="00DD31F9">
        <w:rPr>
          <w:i/>
          <w:color w:val="000000"/>
          <w:lang w:eastAsia="lv-LV"/>
        </w:rPr>
        <w:t>euro</w:t>
      </w:r>
      <w:r>
        <w:rPr>
          <w:color w:val="000000"/>
          <w:lang w:eastAsia="lv-LV"/>
        </w:rPr>
        <w:t xml:space="preserve">, kas kopumā vērtējams pozitīvi un skaidrojams ar plānošanas perioda slēgšanos. Neatbilstības konstatētas IZM un EM administrētajās aktivitātēs un saistāmas ar noteikto ieviešanas nosacījumu pārkāpumiem. Augstas kvalifikācijas darbinieku piesaistes </w:t>
      </w:r>
      <w:r>
        <w:rPr>
          <w:color w:val="000000"/>
          <w:lang w:eastAsia="lv-LV"/>
        </w:rPr>
        <w:lastRenderedPageBreak/>
        <w:t xml:space="preserve">aktivitātē lauzts līgums, jo veicot pēcpārbaudi konstatēts, ka netiek nodrošinātas ilgtspējas prasības (0,08 milj. </w:t>
      </w:r>
      <w:r w:rsidRPr="00DD31F9">
        <w:rPr>
          <w:i/>
          <w:color w:val="000000"/>
          <w:lang w:eastAsia="lv-LV"/>
        </w:rPr>
        <w:t>euro</w:t>
      </w:r>
      <w:r>
        <w:rPr>
          <w:color w:val="000000"/>
          <w:lang w:eastAsia="lv-LV"/>
        </w:rPr>
        <w:t>).</w:t>
      </w:r>
    </w:p>
    <w:p w14:paraId="37248CCA" w14:textId="77777777" w:rsidR="00F26818" w:rsidRPr="005F2209" w:rsidRDefault="00F26818" w:rsidP="00DD31F9">
      <w:pPr>
        <w:spacing w:before="120" w:after="120" w:line="276" w:lineRule="auto"/>
        <w:jc w:val="both"/>
        <w:rPr>
          <w:rFonts w:eastAsia="EUAlbertina-Bold-Identity-H" w:cs="Times New Roman"/>
          <w:b/>
          <w:szCs w:val="24"/>
          <w:highlight w:val="lightGray"/>
        </w:rPr>
      </w:pPr>
      <w:r w:rsidRPr="001761AF">
        <w:rPr>
          <w:rFonts w:eastAsia="EUAlbertina-Bold-Identity-H" w:cs="Times New Roman"/>
          <w:szCs w:val="24"/>
        </w:rPr>
        <w:t xml:space="preserve">DP „Uzņēmējdarbība un inovācijas” pārskata periodā konstatēto neatbilstību apjoms ir 2,0 milj. </w:t>
      </w:r>
      <w:r w:rsidRPr="00F61D10">
        <w:rPr>
          <w:rFonts w:eastAsia="EUAlbertina-Bold-Identity-H" w:cs="Times New Roman"/>
          <w:i/>
          <w:szCs w:val="24"/>
        </w:rPr>
        <w:t>euro</w:t>
      </w:r>
      <w:r w:rsidRPr="001761AF">
        <w:rPr>
          <w:rFonts w:eastAsia="EUAlbertina-Bold-Identity-H" w:cs="Times New Roman"/>
          <w:szCs w:val="24"/>
        </w:rPr>
        <w:t xml:space="preserve">. Salīdzinot ar iepriekšējo periodu kopējais neatbilstību apjoms ir mazāks par 1,7 milj. </w:t>
      </w:r>
      <w:r w:rsidRPr="00F61D10">
        <w:rPr>
          <w:rFonts w:eastAsia="EUAlbertina-Bold-Identity-H" w:cs="Times New Roman"/>
          <w:i/>
          <w:szCs w:val="24"/>
        </w:rPr>
        <w:t>euro</w:t>
      </w:r>
      <w:r w:rsidRPr="001761AF">
        <w:rPr>
          <w:rFonts w:eastAsia="EUAlbertina-Bold-Identity-H" w:cs="Times New Roman"/>
          <w:szCs w:val="24"/>
        </w:rPr>
        <w:t xml:space="preserve">, jeb 45,9%. 1,46 milj. </w:t>
      </w:r>
      <w:r w:rsidRPr="00F61D10">
        <w:rPr>
          <w:rFonts w:eastAsia="EUAlbertina-Bold-Identity-H" w:cs="Times New Roman"/>
          <w:i/>
          <w:szCs w:val="24"/>
        </w:rPr>
        <w:t>euro</w:t>
      </w:r>
      <w:r w:rsidRPr="001761AF">
        <w:rPr>
          <w:rFonts w:eastAsia="EUAlbertina-Bold-Identity-H" w:cs="Times New Roman"/>
          <w:szCs w:val="24"/>
        </w:rPr>
        <w:t xml:space="preserve">, jeb 71,7% no minētās DP neatbilstībām pārskata periodā veido 3 neatbilstības aktivitātē "Augstas pievienotās vērtības investīcijas". Visos trijos gadījumos LIAA pieņēma lēmumu pārtraukt projektu īstenošanu un vienpusīgi atkāpties no līgumu saistību izpildes, jo finansējuma saņēmēji nespēja izpildīt līguma nosacījumus un pabeigt projekta ietvaros paredzētās aktivitātes noteiktajā  termiņa un līdz ar to iesniegt sadarbības iestādei noslēguma pārskatus. Pārskata periodā tika pārsūdzēta neatbilstība IZM īstenotajā projektā “Vienota nacionālas nozīmes Latvijas akadēmiskā pamattīkla zinātniskās darbības nodrošināšanai izveide”, kura ietvaros tika  piemērota finanšu korekcija 25% apmērā no noslēgto līgumu summas par kopējo summu </w:t>
      </w:r>
      <w:r>
        <w:rPr>
          <w:rFonts w:eastAsia="EUAlbertina-Bold-Identity-H" w:cs="Times New Roman"/>
          <w:szCs w:val="24"/>
        </w:rPr>
        <w:t>0,6</w:t>
      </w:r>
      <w:r w:rsidRPr="001761AF">
        <w:rPr>
          <w:rFonts w:eastAsia="EUAlbertina-Bold-Identity-H" w:cs="Times New Roman"/>
          <w:szCs w:val="24"/>
        </w:rPr>
        <w:t xml:space="preserve"> milj. </w:t>
      </w:r>
      <w:r w:rsidRPr="00F61D10">
        <w:rPr>
          <w:rFonts w:eastAsia="EUAlbertina-Bold-Identity-H" w:cs="Times New Roman"/>
          <w:i/>
          <w:szCs w:val="24"/>
        </w:rPr>
        <w:t>euro</w:t>
      </w:r>
      <w:r w:rsidRPr="001761AF">
        <w:rPr>
          <w:rFonts w:eastAsia="EUAlbertina-Bold-Identity-H" w:cs="Times New Roman"/>
          <w:szCs w:val="24"/>
        </w:rPr>
        <w:t xml:space="preserve">. Ņemot vērā, ka lielākais neatbilstību apjoms ir finansējuma saņēmēju nespēja pildīt līguma nosacījumus aktivitātes </w:t>
      </w:r>
      <w:r>
        <w:rPr>
          <w:rFonts w:eastAsia="EUAlbertina-Bold-Identity-H" w:cs="Times New Roman"/>
          <w:szCs w:val="24"/>
        </w:rPr>
        <w:t>“</w:t>
      </w:r>
      <w:r w:rsidRPr="001761AF">
        <w:rPr>
          <w:rFonts w:eastAsia="EUAlbertina-Bold-Identity-H" w:cs="Times New Roman"/>
          <w:szCs w:val="24"/>
        </w:rPr>
        <w:t>Augstas pievienotās vērtības investīcijas</w:t>
      </w:r>
      <w:r>
        <w:rPr>
          <w:rFonts w:eastAsia="EUAlbertina-Bold-Identity-H" w:cs="Times New Roman"/>
          <w:szCs w:val="24"/>
        </w:rPr>
        <w:t>”</w:t>
      </w:r>
      <w:r w:rsidRPr="001761AF">
        <w:rPr>
          <w:rFonts w:eastAsia="EUAlbertina-Bold-Identity-H" w:cs="Times New Roman"/>
          <w:szCs w:val="24"/>
        </w:rPr>
        <w:t xml:space="preserve"> projektos, un pārējās neatbilstības veido salīdzinoši nelielu apjoma daļu, kopumā secināms, ka DP „Uzņēmējdarbība un inovācijas” ietvaros turpinās pozitīva tendence, un līdz šim veiktie pasākumi neatbilstību apjoma samazināšanā vērtējami kā efektīvi.</w:t>
      </w:r>
    </w:p>
    <w:p w14:paraId="10047BC5" w14:textId="51208394" w:rsidR="00DB42E8" w:rsidRDefault="00DB42E8" w:rsidP="00DD31F9">
      <w:pPr>
        <w:spacing w:line="276" w:lineRule="auto"/>
        <w:jc w:val="both"/>
        <w:rPr>
          <w:rFonts w:eastAsia="EUAlbertina-Bold-Identity-H" w:cs="Times New Roman"/>
          <w:szCs w:val="24"/>
        </w:rPr>
      </w:pPr>
      <w:r w:rsidRPr="00DB42E8">
        <w:rPr>
          <w:rFonts w:eastAsia="EUAlbertina-Bold-Identity-H" w:cs="Times New Roman"/>
          <w:szCs w:val="24"/>
        </w:rPr>
        <w:t xml:space="preserve">Darbības programmas „Infrastruktūra un pakalpojumi” pārskata periodā konstatētais neatbilstību apjoms ir 5,6 milj. </w:t>
      </w:r>
      <w:r w:rsidRPr="008E4E4F">
        <w:rPr>
          <w:rFonts w:eastAsia="EUAlbertina-Bold-Identity-H" w:cs="Times New Roman"/>
          <w:i/>
          <w:szCs w:val="24"/>
        </w:rPr>
        <w:t>euro</w:t>
      </w:r>
      <w:r w:rsidRPr="00DB42E8">
        <w:rPr>
          <w:rFonts w:eastAsia="EUAlbertina-Bold-Identity-H" w:cs="Times New Roman"/>
          <w:szCs w:val="24"/>
        </w:rPr>
        <w:t xml:space="preserve">, t.sk. ERAF 4,8 milj. </w:t>
      </w:r>
      <w:r w:rsidRPr="008E4E4F">
        <w:rPr>
          <w:rFonts w:eastAsia="EUAlbertina-Bold-Identity-H" w:cs="Times New Roman"/>
          <w:i/>
          <w:szCs w:val="24"/>
        </w:rPr>
        <w:t>euro</w:t>
      </w:r>
      <w:r w:rsidRPr="00DB42E8">
        <w:rPr>
          <w:rFonts w:eastAsia="EUAlbertina-Bold-Identity-H" w:cs="Times New Roman"/>
          <w:szCs w:val="24"/>
        </w:rPr>
        <w:t xml:space="preserve"> un KF 0,8 milj. </w:t>
      </w:r>
      <w:r w:rsidRPr="008E4E4F">
        <w:rPr>
          <w:rFonts w:eastAsia="EUAlbertina-Bold-Identity-H" w:cs="Times New Roman"/>
          <w:i/>
          <w:szCs w:val="24"/>
        </w:rPr>
        <w:t>euro</w:t>
      </w:r>
      <w:r w:rsidRPr="00DB42E8">
        <w:rPr>
          <w:rFonts w:eastAsia="EUAlbertina-Bold-Identity-H" w:cs="Times New Roman"/>
          <w:szCs w:val="24"/>
        </w:rPr>
        <w:t xml:space="preserve">, kas norāda uz to, ka līdz šim veiktie neatbilstību samazinošie pasākumi ir vērtējami pozitīvi. Salīdzinot ar iepriekšējo periodu ir vērojama pozitīva tendence - kopējais neatbilstību apjoms ir samazinājies par 1,0 milj. </w:t>
      </w:r>
      <w:r w:rsidRPr="008E4E4F">
        <w:rPr>
          <w:rFonts w:eastAsia="EUAlbertina-Bold-Identity-H" w:cs="Times New Roman"/>
          <w:i/>
          <w:szCs w:val="24"/>
        </w:rPr>
        <w:t>euro</w:t>
      </w:r>
      <w:r w:rsidRPr="00DB42E8">
        <w:rPr>
          <w:rFonts w:eastAsia="EUAlbertina-Bold-Identity-H" w:cs="Times New Roman"/>
          <w:szCs w:val="24"/>
        </w:rPr>
        <w:t xml:space="preserve">, t.sk. ERAF 0,9 milj. </w:t>
      </w:r>
      <w:r w:rsidRPr="008E4E4F">
        <w:rPr>
          <w:rFonts w:eastAsia="EUAlbertina-Bold-Identity-H" w:cs="Times New Roman"/>
          <w:i/>
          <w:szCs w:val="24"/>
        </w:rPr>
        <w:t>euro</w:t>
      </w:r>
      <w:r w:rsidRPr="00DB42E8">
        <w:rPr>
          <w:rFonts w:eastAsia="EUAlbertina-Bold-Identity-H" w:cs="Times New Roman"/>
          <w:szCs w:val="24"/>
        </w:rPr>
        <w:t xml:space="preserve"> un KF 0,1 milj. </w:t>
      </w:r>
      <w:r w:rsidRPr="008E4E4F">
        <w:rPr>
          <w:rFonts w:eastAsia="EUAlbertina-Bold-Identity-H" w:cs="Times New Roman"/>
          <w:i/>
          <w:szCs w:val="24"/>
        </w:rPr>
        <w:t>euro</w:t>
      </w:r>
      <w:r w:rsidRPr="00DB42E8">
        <w:rPr>
          <w:rFonts w:eastAsia="EUAlbertina-Bold-Identity-H" w:cs="Times New Roman"/>
          <w:szCs w:val="24"/>
        </w:rPr>
        <w:t xml:space="preserve">. </w:t>
      </w:r>
      <w:r w:rsidR="0047145B">
        <w:rPr>
          <w:rFonts w:eastAsia="EUAlbertina-Bold-Identity-H" w:cs="Times New Roman"/>
          <w:szCs w:val="24"/>
        </w:rPr>
        <w:t>Pārskata periodā l</w:t>
      </w:r>
      <w:r w:rsidRPr="00DB42E8">
        <w:rPr>
          <w:rFonts w:eastAsia="EUAlbertina-Bold-Identity-H" w:cs="Times New Roman"/>
          <w:szCs w:val="24"/>
        </w:rPr>
        <w:t xml:space="preserve">ielākais </w:t>
      </w:r>
      <w:r w:rsidR="0047145B">
        <w:rPr>
          <w:rFonts w:eastAsia="EUAlbertina-Bold-Identity-H" w:cs="Times New Roman"/>
          <w:szCs w:val="24"/>
        </w:rPr>
        <w:t xml:space="preserve">kopējais darbības programmas </w:t>
      </w:r>
      <w:r w:rsidRPr="00DB42E8">
        <w:rPr>
          <w:rFonts w:eastAsia="EUAlbertina-Bold-Identity-H" w:cs="Times New Roman"/>
          <w:szCs w:val="24"/>
        </w:rPr>
        <w:t>neatbilstību apjoms (3,9 milj.</w:t>
      </w:r>
      <w:r w:rsidR="004B6B1D">
        <w:rPr>
          <w:rFonts w:eastAsia="EUAlbertina-Bold-Identity-H" w:cs="Times New Roman"/>
          <w:szCs w:val="24"/>
        </w:rPr>
        <w:t xml:space="preserve"> </w:t>
      </w:r>
      <w:r w:rsidRPr="00D47CA2">
        <w:rPr>
          <w:rFonts w:eastAsia="EUAlbertina-Bold-Identity-H" w:cs="Times New Roman"/>
          <w:i/>
          <w:szCs w:val="24"/>
        </w:rPr>
        <w:t>euro</w:t>
      </w:r>
      <w:r w:rsidRPr="00DB42E8">
        <w:rPr>
          <w:rFonts w:eastAsia="EUAlbertina-Bold-Identity-H" w:cs="Times New Roman"/>
          <w:szCs w:val="24"/>
        </w:rPr>
        <w:t xml:space="preserve"> jeb 70%) </w:t>
      </w:r>
      <w:r w:rsidR="0047145B">
        <w:rPr>
          <w:rFonts w:eastAsia="EUAlbertina-Bold-Identity-H" w:cs="Times New Roman"/>
          <w:szCs w:val="24"/>
        </w:rPr>
        <w:t>un lielākās neatbilstības ir saistītas</w:t>
      </w:r>
      <w:r w:rsidRPr="00DB42E8">
        <w:rPr>
          <w:rFonts w:eastAsia="EUAlbertina-Bold-Identity-H" w:cs="Times New Roman"/>
          <w:szCs w:val="24"/>
        </w:rPr>
        <w:t xml:space="preserve"> ar iepirkuma vai</w:t>
      </w:r>
      <w:r w:rsidR="00D47CA2">
        <w:rPr>
          <w:rFonts w:eastAsia="EUAlbertina-Bold-Identity-H" w:cs="Times New Roman"/>
          <w:szCs w:val="24"/>
        </w:rPr>
        <w:t xml:space="preserve"> konkurences normu pārkāpumiem.</w:t>
      </w:r>
      <w:r w:rsidR="00C9113B">
        <w:rPr>
          <w:rFonts w:eastAsia="EUAlbertina-Bold-Identity-H" w:cs="Times New Roman"/>
          <w:szCs w:val="24"/>
        </w:rPr>
        <w:t xml:space="preserve"> </w:t>
      </w:r>
    </w:p>
    <w:p w14:paraId="6C757907" w14:textId="0208E319" w:rsidR="00DB42E8" w:rsidRDefault="00F26818" w:rsidP="00FA2BDE">
      <w:pPr>
        <w:spacing w:before="120" w:after="120" w:line="276" w:lineRule="auto"/>
        <w:jc w:val="both"/>
        <w:rPr>
          <w:rFonts w:eastAsia="EUAlbertina-Bold-Identity-H" w:cs="Times New Roman"/>
          <w:szCs w:val="24"/>
        </w:rPr>
      </w:pPr>
      <w:r w:rsidRPr="00A42561">
        <w:rPr>
          <w:rFonts w:eastAsia="EUAlbertina-Bold-Identity-H" w:cs="Times New Roman"/>
          <w:szCs w:val="24"/>
        </w:rPr>
        <w:t xml:space="preserve">Ņemot vērā informatīvajā ziņojumā par 2014.gada III un IV ceturksni un 2015.gada </w:t>
      </w:r>
      <w:r w:rsidRPr="00DB42E8">
        <w:rPr>
          <w:color w:val="000000"/>
          <w:lang w:eastAsia="lv-LV"/>
        </w:rPr>
        <w:t xml:space="preserve">1.pusgadu sniegto informāciju par apakšaktivitātes “Ģimenes ārstu tīkla attīstība” projektos iegādātiem vairāku LR normatīvo aktu prasībām un EK direktīvai neatbilstošiem svariem, </w:t>
      </w:r>
      <w:r w:rsidRPr="00FA2BDE">
        <w:rPr>
          <w:rFonts w:eastAsia="EUAlbertina-Bold-Identity-H" w:cs="Times New Roman"/>
          <w:szCs w:val="24"/>
        </w:rPr>
        <w:t xml:space="preserve">centralizētā iepirkuma organizētājs Nacionālais veselības dienests ir iesniedzis prasības pieteikumu tiesā, pēc 2015.gada 8.septembra noraidoša tiesas sprieduma un </w:t>
      </w:r>
      <w:r w:rsidR="00ED3491" w:rsidRPr="00FA2BDE">
        <w:rPr>
          <w:rFonts w:eastAsia="EUAlbertina-Bold-Identity-H" w:cs="Times New Roman"/>
          <w:szCs w:val="24"/>
        </w:rPr>
        <w:t>Nacionāl</w:t>
      </w:r>
      <w:r w:rsidR="00ED3491">
        <w:rPr>
          <w:rFonts w:eastAsia="EUAlbertina-Bold-Identity-H" w:cs="Times New Roman"/>
          <w:szCs w:val="24"/>
        </w:rPr>
        <w:t>ā</w:t>
      </w:r>
      <w:r w:rsidR="00ED3491" w:rsidRPr="00FA2BDE">
        <w:rPr>
          <w:rFonts w:eastAsia="EUAlbertina-Bold-Identity-H" w:cs="Times New Roman"/>
          <w:szCs w:val="24"/>
        </w:rPr>
        <w:t xml:space="preserve"> </w:t>
      </w:r>
      <w:r w:rsidR="00643B56" w:rsidRPr="00FA2BDE">
        <w:rPr>
          <w:rFonts w:eastAsia="EUAlbertina-Bold-Identity-H" w:cs="Times New Roman"/>
          <w:szCs w:val="24"/>
        </w:rPr>
        <w:t>veselības dienesta apelācijas sū</w:t>
      </w:r>
      <w:r w:rsidRPr="00FA2BDE">
        <w:rPr>
          <w:rFonts w:eastAsia="EUAlbertina-Bold-Identity-H" w:cs="Times New Roman"/>
          <w:szCs w:val="24"/>
        </w:rPr>
        <w:t xml:space="preserve">dzības </w:t>
      </w:r>
      <w:r w:rsidR="00ED3491">
        <w:rPr>
          <w:rFonts w:eastAsia="EUAlbertina-Bold-Identity-H" w:cs="Times New Roman"/>
          <w:szCs w:val="24"/>
        </w:rPr>
        <w:t xml:space="preserve">atkārtota </w:t>
      </w:r>
      <w:r w:rsidRPr="00FA2BDE">
        <w:rPr>
          <w:rFonts w:eastAsia="EUAlbertina-Bold-Identity-H" w:cs="Times New Roman"/>
          <w:szCs w:val="24"/>
        </w:rPr>
        <w:t>civillietas izskatīšanas sēde ir nozīmēta uz 2016.gada 18.janvāri</w:t>
      </w:r>
      <w:r w:rsidR="002E4503">
        <w:rPr>
          <w:rFonts w:eastAsia="EUAlbertina-Bold-Identity-H" w:cs="Times New Roman"/>
          <w:szCs w:val="24"/>
        </w:rPr>
        <w:t xml:space="preserve"> un</w:t>
      </w:r>
      <w:r w:rsidR="00B26633">
        <w:rPr>
          <w:rFonts w:eastAsia="EUAlbertina-Bold-Identity-H" w:cs="Times New Roman"/>
          <w:szCs w:val="24"/>
        </w:rPr>
        <w:t xml:space="preserve"> uz ziņojuma sagatavošanas brīdi tiesas spriedums vēl nav pieejams</w:t>
      </w:r>
      <w:r w:rsidRPr="00FA2BDE">
        <w:rPr>
          <w:rFonts w:eastAsia="EUAlbertina-Bold-Identity-H" w:cs="Times New Roman"/>
          <w:szCs w:val="24"/>
        </w:rPr>
        <w:t>.</w:t>
      </w:r>
    </w:p>
    <w:p w14:paraId="33E3C094" w14:textId="77777777" w:rsidR="00E043D5" w:rsidRPr="000931FD" w:rsidRDefault="00E043D5" w:rsidP="00E043D5">
      <w:pPr>
        <w:spacing w:before="120" w:after="120" w:line="276" w:lineRule="auto"/>
        <w:jc w:val="both"/>
        <w:rPr>
          <w:rFonts w:eastAsia="Calibri" w:cs="Times New Roman"/>
          <w:iCs/>
          <w:szCs w:val="24"/>
        </w:rPr>
      </w:pPr>
      <w:r>
        <w:rPr>
          <w:rFonts w:eastAsia="Calibri" w:cs="Times New Roman"/>
          <w:iCs/>
          <w:szCs w:val="24"/>
        </w:rPr>
        <w:t>2015.gada 22.decembrī</w:t>
      </w:r>
      <w:r w:rsidRPr="000931FD">
        <w:rPr>
          <w:rFonts w:eastAsia="Calibri" w:cs="Times New Roman"/>
          <w:iCs/>
          <w:szCs w:val="24"/>
        </w:rPr>
        <w:t xml:space="preserve"> RI VAS “Starptautiskā lidosta „Rīga” īstenotā projekta Nr.3DP/3.3.1.4.0/10/IPIA/SM/001 „Starptautiskās lidostas „Rīga” infrastruktūras attīstība” ietvaros veiktās revīzijas ietvaros konstatējusi, ka būvniecības līguma izpildes laikā ūdensapgādes un kanalizācijas sistēmu būvuzraugs ir nomainīts pret citu speciālistu, kurš neatbilst visām iepirkuma nolikumā iekļautajām prasībām. Saskaņā ar nolikumā izvirzītajām prasībām būvuzraugam ir jābūt sertificētam ūdensapgādes un kanalizācijas sistēmu būvdarbu vadīšanā un būvuzraudzībā. </w:t>
      </w:r>
    </w:p>
    <w:p w14:paraId="435FC043" w14:textId="77777777" w:rsidR="00E043D5" w:rsidRPr="000931FD" w:rsidRDefault="00E043D5" w:rsidP="00E043D5">
      <w:pPr>
        <w:spacing w:before="120" w:after="120" w:line="276" w:lineRule="auto"/>
        <w:jc w:val="both"/>
        <w:rPr>
          <w:rFonts w:eastAsia="Calibri" w:cs="Times New Roman"/>
          <w:iCs/>
          <w:szCs w:val="24"/>
        </w:rPr>
      </w:pPr>
      <w:r w:rsidRPr="000931FD">
        <w:rPr>
          <w:rFonts w:eastAsia="Calibri" w:cs="Times New Roman"/>
          <w:iCs/>
          <w:szCs w:val="24"/>
        </w:rPr>
        <w:t xml:space="preserve">Pamatojoties uz konstatēto, RI ierosinājusi piemērot finanšu korekciju 5% apmērā no konkrētā līguma apjoma jeb 69 tūkst. </w:t>
      </w:r>
      <w:r w:rsidRPr="002E4503">
        <w:rPr>
          <w:rFonts w:eastAsia="Calibri" w:cs="Times New Roman"/>
          <w:i/>
          <w:iCs/>
          <w:szCs w:val="24"/>
        </w:rPr>
        <w:t>euro</w:t>
      </w:r>
      <w:r>
        <w:rPr>
          <w:rFonts w:eastAsia="Calibri" w:cs="Times New Roman"/>
          <w:i/>
          <w:iCs/>
          <w:szCs w:val="24"/>
        </w:rPr>
        <w:t>.</w:t>
      </w:r>
    </w:p>
    <w:p w14:paraId="4B5FA3A7" w14:textId="77777777" w:rsidR="00E043D5" w:rsidRPr="000931FD" w:rsidRDefault="00E043D5" w:rsidP="00E043D5">
      <w:pPr>
        <w:spacing w:before="120" w:after="120" w:line="276" w:lineRule="auto"/>
        <w:jc w:val="both"/>
        <w:rPr>
          <w:rFonts w:eastAsia="Calibri" w:cs="Times New Roman"/>
          <w:iCs/>
          <w:szCs w:val="24"/>
        </w:rPr>
      </w:pPr>
      <w:r w:rsidRPr="000931FD">
        <w:rPr>
          <w:rFonts w:eastAsia="Calibri" w:cs="Times New Roman"/>
          <w:iCs/>
          <w:szCs w:val="24"/>
        </w:rPr>
        <w:lastRenderedPageBreak/>
        <w:t>Veicot speciālista kvalifikācijas pārbaudi, kā arī, lai pārliecinātos par speciālista būvprakses sertifikāta spēkā esamību, finansējuma saņēmējs vadījās pēc IUB Iepirkumu vadlīnijām sabiedrisko pakalpojumu sniedzējiem, kas nosaka, ka pasūtītājs Būvkomersantu reģistra mājas lapā internetā pieejamajā Būvprakses un arhitektu prakses sertifikātu datu bāzē pārliecinās par Pretendenta piedāvātajiem speciālistiem piešķirtajiem sertifikātiem.</w:t>
      </w:r>
    </w:p>
    <w:p w14:paraId="2F162B4A" w14:textId="77777777" w:rsidR="00E043D5" w:rsidRPr="000931FD" w:rsidRDefault="00E043D5" w:rsidP="00E043D5">
      <w:pPr>
        <w:spacing w:before="120" w:after="120" w:line="276" w:lineRule="auto"/>
        <w:jc w:val="both"/>
        <w:rPr>
          <w:rFonts w:eastAsia="Calibri" w:cs="Times New Roman"/>
          <w:iCs/>
          <w:szCs w:val="24"/>
        </w:rPr>
      </w:pPr>
      <w:r w:rsidRPr="000931FD">
        <w:rPr>
          <w:rFonts w:eastAsia="Calibri" w:cs="Times New Roman"/>
          <w:iCs/>
          <w:szCs w:val="24"/>
        </w:rPr>
        <w:t>Audita laikā tika konstatēts, ka ieraksti Būvniecības informācijas sistēm</w:t>
      </w:r>
      <w:r>
        <w:rPr>
          <w:rFonts w:eastAsia="Calibri" w:cs="Times New Roman"/>
          <w:iCs/>
          <w:szCs w:val="24"/>
        </w:rPr>
        <w:t>ā</w:t>
      </w:r>
      <w:r w:rsidRPr="000931FD">
        <w:rPr>
          <w:rFonts w:eastAsia="Calibri" w:cs="Times New Roman"/>
          <w:iCs/>
          <w:szCs w:val="24"/>
        </w:rPr>
        <w:t xml:space="preserve"> (turpmāk – BIS)  faktiski atšķiras no prakses, proti, sistēmā ir norādīta tādu dokumentu/ sertifikātu esamība, kas praksē nepastāv.</w:t>
      </w:r>
    </w:p>
    <w:p w14:paraId="008785C3" w14:textId="77777777" w:rsidR="00E043D5" w:rsidRPr="000931FD" w:rsidRDefault="00E043D5" w:rsidP="00E043D5">
      <w:pPr>
        <w:spacing w:before="120" w:after="120" w:line="276" w:lineRule="auto"/>
        <w:jc w:val="both"/>
        <w:rPr>
          <w:rFonts w:eastAsia="Calibri" w:cs="Times New Roman"/>
          <w:iCs/>
          <w:szCs w:val="24"/>
        </w:rPr>
      </w:pPr>
      <w:r>
        <w:rPr>
          <w:rFonts w:eastAsia="Calibri" w:cs="Times New Roman"/>
          <w:iCs/>
          <w:szCs w:val="24"/>
        </w:rPr>
        <w:t>EM</w:t>
      </w:r>
      <w:r w:rsidRPr="000931FD">
        <w:rPr>
          <w:rFonts w:eastAsia="Calibri" w:cs="Times New Roman"/>
          <w:iCs/>
          <w:szCs w:val="24"/>
        </w:rPr>
        <w:t xml:space="preserve"> veicot</w:t>
      </w:r>
      <w:r>
        <w:rPr>
          <w:rFonts w:eastAsia="Calibri" w:cs="Times New Roman"/>
          <w:iCs/>
          <w:szCs w:val="24"/>
        </w:rPr>
        <w:t xml:space="preserve"> </w:t>
      </w:r>
      <w:r w:rsidRPr="000931FD">
        <w:rPr>
          <w:rFonts w:eastAsia="Calibri" w:cs="Times New Roman"/>
          <w:iCs/>
          <w:szCs w:val="24"/>
        </w:rPr>
        <w:t xml:space="preserve">BIS uzrauga funkcijas, komentējot radušos situāciju, sniedza skaidrojumu, ka Būvniecības speciālistu sertificēšanas centrs iekļaušanai BIS būvprakses un arhitekta prakses sertifikātu reģistrā sniedza </w:t>
      </w:r>
      <w:r>
        <w:rPr>
          <w:rFonts w:eastAsia="Calibri" w:cs="Times New Roman"/>
          <w:iCs/>
          <w:szCs w:val="24"/>
        </w:rPr>
        <w:t>EM</w:t>
      </w:r>
      <w:r w:rsidRPr="000931FD">
        <w:rPr>
          <w:rFonts w:eastAsia="Calibri" w:cs="Times New Roman"/>
          <w:iCs/>
          <w:szCs w:val="24"/>
        </w:rPr>
        <w:t xml:space="preserve"> informāciju par būvprakses sertifikātu, norādot sertifikātu jomu (ūdensapgādes un kanalizācijas sistēmu būvdarbu vadīšana un būvuzraudzība) atbilstoši </w:t>
      </w:r>
      <w:r>
        <w:rPr>
          <w:rFonts w:eastAsia="Calibri" w:cs="Times New Roman"/>
          <w:iCs/>
          <w:szCs w:val="24"/>
        </w:rPr>
        <w:t>MK</w:t>
      </w:r>
      <w:r w:rsidRPr="000931FD">
        <w:rPr>
          <w:rFonts w:eastAsia="Calibri" w:cs="Times New Roman"/>
          <w:iCs/>
          <w:szCs w:val="24"/>
        </w:rPr>
        <w:t xml:space="preserve"> 2003.gada 8.jūlijā noteikumiem Nr.383 “Noteikumi par būvprakses un arhitekta prakses sertifikātu piešķiršanu, reģistrēšanu un anulēšanu” (turpmāk – noteikumi Nr.383). Tādejādi, gadījumā, kad būvprakses sertifikāts piešķirts tikai daļā no noteikumu Nr.383 noteiktās jomas BIS </w:t>
      </w:r>
      <w:proofErr w:type="spellStart"/>
      <w:r w:rsidRPr="000931FD">
        <w:rPr>
          <w:rFonts w:eastAsia="Calibri" w:cs="Times New Roman"/>
          <w:iCs/>
          <w:szCs w:val="24"/>
        </w:rPr>
        <w:t>būvspeciālistu</w:t>
      </w:r>
      <w:proofErr w:type="spellEnd"/>
      <w:r w:rsidRPr="000931FD">
        <w:rPr>
          <w:rFonts w:eastAsia="Calibri" w:cs="Times New Roman"/>
          <w:iCs/>
          <w:szCs w:val="24"/>
        </w:rPr>
        <w:t xml:space="preserve"> reģistrā viennozīmīgi (laika periodā līdz 2014.gada 15.oktobrim) pārliecināties nebija iespējams.</w:t>
      </w:r>
    </w:p>
    <w:p w14:paraId="6A232F14" w14:textId="77777777" w:rsidR="00E043D5" w:rsidRPr="000931FD" w:rsidRDefault="00E043D5" w:rsidP="00E043D5">
      <w:pPr>
        <w:spacing w:before="120" w:after="120" w:line="276" w:lineRule="auto"/>
        <w:jc w:val="both"/>
        <w:rPr>
          <w:rFonts w:eastAsia="Calibri" w:cs="Times New Roman"/>
          <w:iCs/>
          <w:szCs w:val="24"/>
        </w:rPr>
      </w:pPr>
      <w:r>
        <w:rPr>
          <w:rFonts w:eastAsia="Calibri" w:cs="Times New Roman"/>
          <w:iCs/>
          <w:szCs w:val="24"/>
        </w:rPr>
        <w:t>RI</w:t>
      </w:r>
      <w:r w:rsidRPr="000931FD">
        <w:rPr>
          <w:rFonts w:eastAsia="Calibri" w:cs="Times New Roman"/>
          <w:iCs/>
          <w:szCs w:val="24"/>
        </w:rPr>
        <w:t>, izvērtējot revīzijas ziņojuma projekta saskaņošanas laikā kompetento institūciju sniegto informāciju un skaidrojumus, izziņā par revīzijas ziņojuma projekta saskaņošanu pauda viedokli, ka finansējuma saņēmējam pēc BIS datiem nebija iespējams pārliecināties par faktisko speciālista sertificēšanas jomu.</w:t>
      </w:r>
    </w:p>
    <w:p w14:paraId="62D1F6AB" w14:textId="77777777" w:rsidR="00E043D5" w:rsidRPr="000931FD" w:rsidRDefault="00E043D5" w:rsidP="00E043D5">
      <w:pPr>
        <w:spacing w:before="120" w:after="120" w:line="276" w:lineRule="auto"/>
        <w:jc w:val="both"/>
        <w:rPr>
          <w:rFonts w:eastAsia="Calibri" w:cs="Times New Roman"/>
          <w:iCs/>
          <w:szCs w:val="24"/>
          <w:u w:val="single"/>
        </w:rPr>
      </w:pPr>
      <w:r w:rsidRPr="000931FD">
        <w:rPr>
          <w:rFonts w:eastAsia="Calibri" w:cs="Times New Roman"/>
          <w:iCs/>
          <w:szCs w:val="24"/>
        </w:rPr>
        <w:t xml:space="preserve">Papildus Latvijas Būvinženieru savienība sniegusi viedokli, ka līdz ar jauno </w:t>
      </w:r>
      <w:proofErr w:type="spellStart"/>
      <w:r w:rsidRPr="000931FD">
        <w:rPr>
          <w:rFonts w:eastAsia="Calibri" w:cs="Times New Roman"/>
          <w:iCs/>
          <w:szCs w:val="24"/>
        </w:rPr>
        <w:t>būvspeciālistu</w:t>
      </w:r>
      <w:proofErr w:type="spellEnd"/>
      <w:r w:rsidRPr="000931FD">
        <w:rPr>
          <w:rFonts w:eastAsia="Calibri" w:cs="Times New Roman"/>
          <w:iCs/>
          <w:szCs w:val="24"/>
        </w:rPr>
        <w:t xml:space="preserve"> kompetences novērtēšanas un patstāvīgās prakses uzraudzības kārtību (</w:t>
      </w:r>
      <w:r>
        <w:rPr>
          <w:rFonts w:eastAsia="Calibri" w:cs="Times New Roman"/>
          <w:iCs/>
          <w:szCs w:val="24"/>
        </w:rPr>
        <w:t>MK</w:t>
      </w:r>
      <w:r w:rsidRPr="000931FD">
        <w:rPr>
          <w:rFonts w:eastAsia="Calibri" w:cs="Times New Roman"/>
          <w:iCs/>
          <w:szCs w:val="24"/>
        </w:rPr>
        <w:t xml:space="preserve"> 2014.gada 7.oktobra noteikumi Nr.610 “</w:t>
      </w:r>
      <w:proofErr w:type="spellStart"/>
      <w:r w:rsidRPr="000931FD">
        <w:rPr>
          <w:rFonts w:eastAsia="Calibri" w:cs="Times New Roman"/>
          <w:iCs/>
          <w:szCs w:val="24"/>
        </w:rPr>
        <w:t>Būvspeciālistu</w:t>
      </w:r>
      <w:proofErr w:type="spellEnd"/>
      <w:r w:rsidRPr="000931FD">
        <w:rPr>
          <w:rFonts w:eastAsia="Calibri" w:cs="Times New Roman"/>
          <w:iCs/>
          <w:szCs w:val="24"/>
        </w:rPr>
        <w:t xml:space="preserve"> kompetences novērtēšanas un patstāvīgās prakses uzraudzības noteikumi</w:t>
      </w:r>
      <w:r w:rsidRPr="000931FD">
        <w:rPr>
          <w:rFonts w:eastAsia="Calibri" w:cs="Times New Roman"/>
          <w:iCs/>
          <w:szCs w:val="24"/>
          <w:u w:val="single"/>
        </w:rPr>
        <w:t xml:space="preserve">”) vairs nevar pastāvēt situācija, kad publiski pieejamos reģistros, tai skaitā BIS būvprakses sertifikātā norādītā </w:t>
      </w:r>
      <w:proofErr w:type="spellStart"/>
      <w:r w:rsidRPr="000931FD">
        <w:rPr>
          <w:rFonts w:eastAsia="Calibri" w:cs="Times New Roman"/>
          <w:iCs/>
          <w:szCs w:val="24"/>
          <w:u w:val="single"/>
        </w:rPr>
        <w:t>būvspeciālista</w:t>
      </w:r>
      <w:proofErr w:type="spellEnd"/>
      <w:r w:rsidRPr="000931FD">
        <w:rPr>
          <w:rFonts w:eastAsia="Calibri" w:cs="Times New Roman"/>
          <w:iCs/>
          <w:szCs w:val="24"/>
          <w:u w:val="single"/>
        </w:rPr>
        <w:t xml:space="preserve"> būvprakses joma atšķiras no tās, kas norādīta </w:t>
      </w:r>
      <w:proofErr w:type="spellStart"/>
      <w:r w:rsidRPr="000931FD">
        <w:rPr>
          <w:rFonts w:eastAsia="Calibri" w:cs="Times New Roman"/>
          <w:iCs/>
          <w:szCs w:val="24"/>
          <w:u w:val="single"/>
        </w:rPr>
        <w:t>būvspeciālistam</w:t>
      </w:r>
      <w:proofErr w:type="spellEnd"/>
      <w:r w:rsidRPr="000931FD">
        <w:rPr>
          <w:rFonts w:eastAsia="Calibri" w:cs="Times New Roman"/>
          <w:iCs/>
          <w:szCs w:val="24"/>
          <w:u w:val="single"/>
        </w:rPr>
        <w:t xml:space="preserve"> izsniegtajā sertifikātā.</w:t>
      </w:r>
    </w:p>
    <w:p w14:paraId="2F394FCA" w14:textId="559BFBDE" w:rsidR="00E043D5" w:rsidRPr="00E043D5" w:rsidRDefault="00E043D5" w:rsidP="00FA2BDE">
      <w:pPr>
        <w:spacing w:before="120" w:after="120" w:line="276" w:lineRule="auto"/>
        <w:jc w:val="both"/>
        <w:rPr>
          <w:rFonts w:eastAsia="Calibri" w:cs="Times New Roman"/>
          <w:iCs/>
          <w:szCs w:val="24"/>
        </w:rPr>
      </w:pPr>
      <w:r w:rsidRPr="000931FD">
        <w:rPr>
          <w:rFonts w:eastAsia="Calibri" w:cs="Times New Roman"/>
          <w:iCs/>
          <w:szCs w:val="24"/>
          <w:u w:val="single"/>
        </w:rPr>
        <w:t>Pamatojoties uz augstāk minēto un ievērojot tiesiskās paļāvības principu, nav konstatējama finansējuma saņēmēja vaina</w:t>
      </w:r>
      <w:r w:rsidRPr="000931FD">
        <w:rPr>
          <w:rFonts w:eastAsia="Calibri" w:cs="Times New Roman"/>
          <w:iCs/>
          <w:szCs w:val="24"/>
        </w:rPr>
        <w:t>, tādējādi nebūtu pamatoti no finansējuma saņēmēja atprasīt atmaksāt šos par neatbilstošiem atzītos līdzekļus. Priekšlikums, kā līdzīgos gadījumos, neatbilstošos izdevumus uzskatīt par atgūtiem, norakstot tos valsts budžeta zaudējumos. Tāpat šobrīd nav konstatējama nepieciešamība citai rīcībai sistēmiska trūkuma novēršanai, jo jautājums jau sakārtots, kā informē Latvijas Būvinženieru savienība.</w:t>
      </w:r>
    </w:p>
    <w:p w14:paraId="2760E552" w14:textId="68AA08CF" w:rsidR="00F26818" w:rsidRPr="00001327" w:rsidRDefault="00F26818" w:rsidP="00FA2BDE">
      <w:pPr>
        <w:spacing w:before="120" w:after="120" w:line="276" w:lineRule="auto"/>
        <w:jc w:val="both"/>
        <w:rPr>
          <w:rFonts w:eastAsia="EUAlbertina-Bold-Identity-H" w:cs="Times New Roman"/>
          <w:szCs w:val="24"/>
        </w:rPr>
      </w:pPr>
      <w:r w:rsidRPr="00FA2BDE">
        <w:rPr>
          <w:rFonts w:eastAsia="EUAlbertina-Bold-Identity-H" w:cs="Times New Roman"/>
          <w:szCs w:val="24"/>
        </w:rPr>
        <w:t>Lai samazinātu neatbilstību apmēru tiešo vai pastarpināto valsts pārvaldes iestāžu, atvasinātu publisku</w:t>
      </w:r>
      <w:r w:rsidRPr="00DB42E8">
        <w:rPr>
          <w:color w:val="000000"/>
          <w:lang w:eastAsia="lv-LV"/>
        </w:rPr>
        <w:t xml:space="preserve"> personu vai citas valsts iestāžu īstenotajos projektos, atbilstoši MK 2011.gada 8.marta sēdes </w:t>
      </w:r>
      <w:proofErr w:type="spellStart"/>
      <w:r w:rsidRPr="00DB42E8">
        <w:rPr>
          <w:color w:val="000000"/>
          <w:lang w:eastAsia="lv-LV"/>
        </w:rPr>
        <w:t>protokollēmuma</w:t>
      </w:r>
      <w:proofErr w:type="spellEnd"/>
      <w:r w:rsidRPr="00DB42E8">
        <w:rPr>
          <w:color w:val="000000"/>
          <w:lang w:eastAsia="lv-LV"/>
        </w:rPr>
        <w:t xml:space="preserve"> (protokols Nr.14, 21.§) ceturtajam punktam tiek ierosināts piemērot ierēdņu</w:t>
      </w:r>
      <w:r w:rsidRPr="001F0C30">
        <w:rPr>
          <w:rFonts w:eastAsia="Calibri" w:cs="Times New Roman"/>
          <w:color w:val="000000"/>
          <w:szCs w:val="24"/>
        </w:rPr>
        <w:t xml:space="preserve"> disciplināratbildības principus. Attiecīgi informācija par ierosināto dienesta izmeklēšanu un disciplinārlietu skaitu </w:t>
      </w:r>
      <w:r w:rsidRPr="00001327">
        <w:rPr>
          <w:rFonts w:eastAsia="Calibri" w:cs="Times New Roman"/>
          <w:color w:val="000000"/>
          <w:szCs w:val="24"/>
        </w:rPr>
        <w:t xml:space="preserve">apkopota </w:t>
      </w:r>
      <w:r w:rsidR="00001327" w:rsidRPr="00001327">
        <w:rPr>
          <w:rFonts w:eastAsia="Calibri" w:cs="Times New Roman"/>
          <w:color w:val="000000"/>
          <w:szCs w:val="24"/>
          <w:u w:val="single"/>
        </w:rPr>
        <w:t>tabulā Nr.3</w:t>
      </w:r>
      <w:r w:rsidRPr="00001327">
        <w:rPr>
          <w:rFonts w:eastAsia="Calibri" w:cs="Times New Roman"/>
          <w:color w:val="000000"/>
          <w:szCs w:val="24"/>
          <w:u w:val="single"/>
        </w:rPr>
        <w:t>.</w:t>
      </w:r>
      <w:r w:rsidRPr="00001327">
        <w:rPr>
          <w:rFonts w:eastAsia="Calibri" w:cs="Times New Roman"/>
          <w:color w:val="000000"/>
          <w:szCs w:val="24"/>
        </w:rPr>
        <w:t xml:space="preserve"> </w:t>
      </w:r>
    </w:p>
    <w:p w14:paraId="0B9967D0" w14:textId="77777777" w:rsidR="00CE1D85" w:rsidRPr="00001327" w:rsidRDefault="00CE1D85">
      <w:pPr>
        <w:rPr>
          <w:rFonts w:eastAsia="Calibri" w:cs="Times New Roman"/>
          <w:color w:val="000000"/>
          <w:szCs w:val="24"/>
        </w:rPr>
      </w:pPr>
      <w:r w:rsidRPr="00001327">
        <w:rPr>
          <w:rFonts w:eastAsia="Calibri" w:cs="Times New Roman"/>
          <w:color w:val="000000"/>
          <w:szCs w:val="24"/>
        </w:rPr>
        <w:br w:type="page"/>
      </w:r>
    </w:p>
    <w:p w14:paraId="4B4A3F0C" w14:textId="2C21698E" w:rsidR="00F26818" w:rsidRDefault="00F26818" w:rsidP="00F26818">
      <w:pPr>
        <w:spacing w:before="120" w:after="120" w:line="276" w:lineRule="auto"/>
        <w:jc w:val="both"/>
        <w:rPr>
          <w:rFonts w:eastAsia="Calibri" w:cs="Times New Roman"/>
          <w:i/>
          <w:color w:val="000000"/>
          <w:szCs w:val="24"/>
        </w:rPr>
      </w:pPr>
      <w:r w:rsidRPr="00001327">
        <w:rPr>
          <w:rFonts w:eastAsia="Calibri" w:cs="Times New Roman"/>
          <w:color w:val="000000"/>
          <w:szCs w:val="24"/>
        </w:rPr>
        <w:lastRenderedPageBreak/>
        <w:t>Tabula Nr.</w:t>
      </w:r>
      <w:r w:rsidR="00001327" w:rsidRPr="00001327">
        <w:rPr>
          <w:rFonts w:eastAsia="Calibri" w:cs="Times New Roman"/>
          <w:color w:val="000000"/>
          <w:szCs w:val="24"/>
        </w:rPr>
        <w:t>3</w:t>
      </w:r>
      <w:r w:rsidRPr="00001327">
        <w:rPr>
          <w:rFonts w:eastAsia="Calibri" w:cs="Times New Roman"/>
          <w:color w:val="000000"/>
          <w:szCs w:val="24"/>
        </w:rPr>
        <w:t xml:space="preserve"> </w:t>
      </w:r>
      <w:r w:rsidRPr="00001327">
        <w:rPr>
          <w:rFonts w:eastAsia="Calibri" w:cs="Times New Roman"/>
          <w:i/>
          <w:color w:val="000000"/>
          <w:szCs w:val="24"/>
        </w:rPr>
        <w:t>„Ierosināto dienesta i</w:t>
      </w:r>
      <w:r w:rsidRPr="00AA1ED9">
        <w:rPr>
          <w:rFonts w:eastAsia="Calibri" w:cs="Times New Roman"/>
          <w:i/>
          <w:color w:val="000000"/>
          <w:szCs w:val="24"/>
        </w:rPr>
        <w:t xml:space="preserve">zmeklēšanu un disciplinārlietu skaits </w:t>
      </w:r>
      <w:r w:rsidRPr="00876DEB">
        <w:rPr>
          <w:rFonts w:eastAsia="Calibri" w:cs="Times New Roman"/>
          <w:i/>
          <w:szCs w:val="24"/>
        </w:rPr>
        <w:t xml:space="preserve">2015.gadā, saistībā </w:t>
      </w:r>
      <w:r w:rsidRPr="00AA1ED9">
        <w:rPr>
          <w:rFonts w:eastAsia="Calibri" w:cs="Times New Roman"/>
          <w:i/>
          <w:color w:val="000000"/>
          <w:szCs w:val="24"/>
        </w:rPr>
        <w:t>ar konstatētajām neatbilstībām valsts budžeta iestāžu īstenotajos projektos, kuri līdzfinansēti no ES fondu 2007. – 2013.gada plānošanas perioda, EEZ/Norvēģijas finanšu instrumentu un Latvijas Šveices sadarbības programmām.”</w:t>
      </w:r>
    </w:p>
    <w:tbl>
      <w:tblPr>
        <w:tblW w:w="86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7"/>
        <w:gridCol w:w="2853"/>
        <w:gridCol w:w="2189"/>
        <w:gridCol w:w="2043"/>
      </w:tblGrid>
      <w:tr w:rsidR="00F26818" w:rsidRPr="00E60E22" w14:paraId="08FBAEE5" w14:textId="77777777" w:rsidTr="003231DF">
        <w:trPr>
          <w:trHeight w:val="799"/>
          <w:tblHeader/>
          <w:jc w:val="center"/>
        </w:trPr>
        <w:tc>
          <w:tcPr>
            <w:tcW w:w="1597" w:type="dxa"/>
            <w:shd w:val="clear" w:color="auto" w:fill="E2EFD9" w:themeFill="accent6" w:themeFillTint="33"/>
            <w:vAlign w:val="center"/>
          </w:tcPr>
          <w:p w14:paraId="7A619B67" w14:textId="77777777" w:rsidR="00F26818" w:rsidRPr="00E60E22" w:rsidRDefault="00F26818" w:rsidP="003231DF">
            <w:pPr>
              <w:spacing w:line="276" w:lineRule="auto"/>
              <w:jc w:val="center"/>
              <w:rPr>
                <w:rFonts w:eastAsia="EUAlbertina-Bold-Identity-H" w:cs="Times New Roman"/>
                <w:color w:val="000000" w:themeColor="text1"/>
                <w:sz w:val="22"/>
                <w:lang w:eastAsia="lv-LV"/>
              </w:rPr>
            </w:pPr>
            <w:r w:rsidRPr="00E60E22">
              <w:rPr>
                <w:rFonts w:eastAsia="EUAlbertina-Bold-Identity-H" w:cs="Times New Roman"/>
                <w:color w:val="000000" w:themeColor="text1"/>
                <w:sz w:val="22"/>
                <w:lang w:eastAsia="lv-LV"/>
              </w:rPr>
              <w:t>Resors</w:t>
            </w:r>
          </w:p>
        </w:tc>
        <w:tc>
          <w:tcPr>
            <w:tcW w:w="2853" w:type="dxa"/>
            <w:shd w:val="clear" w:color="auto" w:fill="E2EFD9" w:themeFill="accent6" w:themeFillTint="33"/>
            <w:vAlign w:val="center"/>
          </w:tcPr>
          <w:p w14:paraId="0D93BBC7" w14:textId="77777777" w:rsidR="00F26818" w:rsidRPr="00E60E22" w:rsidRDefault="00F26818" w:rsidP="003231DF">
            <w:pPr>
              <w:spacing w:line="276" w:lineRule="auto"/>
              <w:jc w:val="center"/>
              <w:rPr>
                <w:rFonts w:eastAsia="EUAlbertina-Bold-Identity-H" w:cs="Times New Roman"/>
                <w:color w:val="000000" w:themeColor="text1"/>
                <w:sz w:val="22"/>
                <w:lang w:eastAsia="lv-LV"/>
              </w:rPr>
            </w:pPr>
            <w:r w:rsidRPr="00E60E22">
              <w:rPr>
                <w:rFonts w:eastAsia="EUAlbertina-Bold-Identity-H" w:cs="Times New Roman"/>
                <w:color w:val="000000" w:themeColor="text1"/>
                <w:sz w:val="22"/>
                <w:lang w:eastAsia="lv-LV"/>
              </w:rPr>
              <w:t xml:space="preserve">Neatbilstību skaits virs 120 </w:t>
            </w:r>
            <w:r w:rsidRPr="00930FEB">
              <w:rPr>
                <w:rFonts w:eastAsia="EUAlbertina-Bold-Identity-H" w:cs="Times New Roman"/>
                <w:i/>
                <w:color w:val="000000" w:themeColor="text1"/>
                <w:sz w:val="22"/>
                <w:lang w:eastAsia="lv-LV"/>
              </w:rPr>
              <w:t>euro</w:t>
            </w:r>
            <w:r w:rsidRPr="00E60E22">
              <w:rPr>
                <w:rFonts w:eastAsia="EUAlbertina-Bold-Identity-H" w:cs="Times New Roman"/>
                <w:color w:val="000000" w:themeColor="text1"/>
                <w:sz w:val="22"/>
                <w:lang w:eastAsia="lv-LV"/>
              </w:rPr>
              <w:t xml:space="preserve"> (summa </w:t>
            </w:r>
            <w:r w:rsidRPr="00144311">
              <w:rPr>
                <w:rFonts w:eastAsia="EUAlbertina-Bold-Identity-H" w:cs="Times New Roman"/>
                <w:i/>
                <w:color w:val="000000" w:themeColor="text1"/>
                <w:sz w:val="22"/>
                <w:lang w:eastAsia="lv-LV"/>
              </w:rPr>
              <w:t>euro</w:t>
            </w:r>
            <w:r w:rsidRPr="00E60E22">
              <w:rPr>
                <w:rFonts w:eastAsia="EUAlbertina-Bold-Identity-H" w:cs="Times New Roman"/>
                <w:color w:val="000000" w:themeColor="text1"/>
                <w:sz w:val="22"/>
                <w:lang w:eastAsia="lv-LV"/>
              </w:rPr>
              <w:t>)*</w:t>
            </w:r>
          </w:p>
        </w:tc>
        <w:tc>
          <w:tcPr>
            <w:tcW w:w="2189" w:type="dxa"/>
            <w:shd w:val="clear" w:color="auto" w:fill="E2EFD9" w:themeFill="accent6" w:themeFillTint="33"/>
            <w:vAlign w:val="center"/>
          </w:tcPr>
          <w:p w14:paraId="7797706B" w14:textId="77777777" w:rsidR="00F26818" w:rsidRPr="00E60E22" w:rsidRDefault="00F26818" w:rsidP="003231DF">
            <w:pPr>
              <w:spacing w:line="276" w:lineRule="auto"/>
              <w:jc w:val="center"/>
              <w:rPr>
                <w:rFonts w:eastAsia="EUAlbertina-Bold-Identity-H" w:cs="Times New Roman"/>
                <w:color w:val="000000" w:themeColor="text1"/>
                <w:sz w:val="22"/>
                <w:lang w:eastAsia="lv-LV"/>
              </w:rPr>
            </w:pPr>
            <w:r w:rsidRPr="00E60E22">
              <w:rPr>
                <w:rFonts w:eastAsia="EUAlbertina-Bold-Identity-H" w:cs="Times New Roman"/>
                <w:color w:val="000000" w:themeColor="text1"/>
                <w:sz w:val="22"/>
                <w:lang w:eastAsia="lv-LV"/>
              </w:rPr>
              <w:t>Ierosināto izmeklēšanu skaits*</w:t>
            </w:r>
          </w:p>
        </w:tc>
        <w:tc>
          <w:tcPr>
            <w:tcW w:w="2043" w:type="dxa"/>
            <w:shd w:val="clear" w:color="auto" w:fill="E2EFD9" w:themeFill="accent6" w:themeFillTint="33"/>
            <w:vAlign w:val="center"/>
          </w:tcPr>
          <w:p w14:paraId="07C0C2BE" w14:textId="77777777" w:rsidR="00F26818" w:rsidRPr="00E60E22" w:rsidRDefault="00F26818" w:rsidP="003231DF">
            <w:pPr>
              <w:spacing w:line="276" w:lineRule="auto"/>
              <w:jc w:val="center"/>
              <w:rPr>
                <w:rFonts w:eastAsia="EUAlbertina-Bold-Identity-H" w:cs="Times New Roman"/>
                <w:color w:val="000000" w:themeColor="text1"/>
                <w:sz w:val="22"/>
                <w:lang w:eastAsia="lv-LV"/>
              </w:rPr>
            </w:pPr>
            <w:r w:rsidRPr="00E60E22">
              <w:rPr>
                <w:rFonts w:eastAsia="EUAlbertina-Bold-Identity-H" w:cs="Times New Roman"/>
                <w:color w:val="000000" w:themeColor="text1"/>
                <w:sz w:val="22"/>
                <w:lang w:eastAsia="lv-LV"/>
              </w:rPr>
              <w:t>Ierosināto disciplinārlietu skaits*</w:t>
            </w:r>
          </w:p>
        </w:tc>
      </w:tr>
      <w:tr w:rsidR="00F26818" w:rsidRPr="00E60E22" w14:paraId="54585F06" w14:textId="77777777" w:rsidTr="003231DF">
        <w:trPr>
          <w:trHeight w:val="78"/>
          <w:jc w:val="center"/>
        </w:trPr>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13FB0" w14:textId="77777777" w:rsidR="00F26818" w:rsidRPr="00E60E22" w:rsidRDefault="00F26818" w:rsidP="003231DF">
            <w:pPr>
              <w:spacing w:line="276" w:lineRule="auto"/>
              <w:jc w:val="center"/>
              <w:rPr>
                <w:rFonts w:eastAsia="EUAlbertina-Bold-Identity-H" w:cs="Times New Roman"/>
                <w:color w:val="000000" w:themeColor="text1"/>
                <w:sz w:val="22"/>
                <w:lang w:eastAsia="lv-LV"/>
              </w:rPr>
            </w:pPr>
            <w:r w:rsidRPr="00E60E22">
              <w:rPr>
                <w:rFonts w:eastAsia="EUAlbertina-Bold-Identity-H" w:cs="Times New Roman"/>
                <w:color w:val="000000" w:themeColor="text1"/>
                <w:sz w:val="22"/>
                <w:lang w:eastAsia="lv-LV"/>
              </w:rPr>
              <w:t>VM</w:t>
            </w:r>
          </w:p>
        </w:tc>
        <w:tc>
          <w:tcPr>
            <w:tcW w:w="28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51B21" w14:textId="77777777" w:rsidR="00F26818" w:rsidRPr="00E60E22" w:rsidRDefault="00F26818" w:rsidP="003231DF">
            <w:pPr>
              <w:spacing w:line="276" w:lineRule="auto"/>
              <w:jc w:val="center"/>
              <w:rPr>
                <w:rFonts w:eastAsia="EUAlbertina-Bold-Identity-H" w:cs="Times New Roman"/>
                <w:color w:val="000000" w:themeColor="text1"/>
                <w:sz w:val="22"/>
                <w:lang w:eastAsia="lv-LV"/>
              </w:rPr>
            </w:pPr>
            <w:r w:rsidRPr="00E60E22">
              <w:rPr>
                <w:rFonts w:eastAsia="EUAlbertina-Bold-Identity-H" w:cs="Times New Roman"/>
                <w:color w:val="000000" w:themeColor="text1"/>
                <w:sz w:val="22"/>
                <w:lang w:eastAsia="lv-LV"/>
              </w:rPr>
              <w:t>5 (16 026,34)</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E92CF" w14:textId="77777777" w:rsidR="00F26818" w:rsidRPr="00E60E22" w:rsidRDefault="00F26818" w:rsidP="003231DF">
            <w:pPr>
              <w:spacing w:line="276" w:lineRule="auto"/>
              <w:jc w:val="center"/>
              <w:rPr>
                <w:rFonts w:eastAsia="EUAlbertina-Bold-Identity-H" w:cs="Times New Roman"/>
                <w:color w:val="000000" w:themeColor="text1"/>
                <w:sz w:val="22"/>
                <w:lang w:eastAsia="lv-LV"/>
              </w:rPr>
            </w:pPr>
            <w:r w:rsidRPr="00E60E22">
              <w:rPr>
                <w:rFonts w:eastAsia="EUAlbertina-Bold-Identity-H" w:cs="Times New Roman"/>
                <w:color w:val="000000" w:themeColor="text1"/>
                <w:sz w:val="22"/>
                <w:lang w:eastAsia="lv-LV"/>
              </w:rPr>
              <w:t>5</w:t>
            </w:r>
          </w:p>
        </w:tc>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2F687" w14:textId="77777777" w:rsidR="00F26818" w:rsidRPr="00E60E22" w:rsidRDefault="00F26818" w:rsidP="003231DF">
            <w:pPr>
              <w:spacing w:line="276" w:lineRule="auto"/>
              <w:jc w:val="center"/>
              <w:rPr>
                <w:rFonts w:eastAsia="EUAlbertina-Bold-Identity-H" w:cs="Times New Roman"/>
                <w:color w:val="000000" w:themeColor="text1"/>
                <w:sz w:val="22"/>
                <w:lang w:eastAsia="lv-LV"/>
              </w:rPr>
            </w:pPr>
            <w:r w:rsidRPr="00E60E22">
              <w:rPr>
                <w:rFonts w:eastAsia="EUAlbertina-Bold-Identity-H" w:cs="Times New Roman"/>
                <w:color w:val="000000" w:themeColor="text1"/>
                <w:sz w:val="22"/>
                <w:lang w:eastAsia="lv-LV"/>
              </w:rPr>
              <w:t>0</w:t>
            </w:r>
          </w:p>
        </w:tc>
      </w:tr>
      <w:tr w:rsidR="00F26818" w:rsidRPr="00E60E22" w14:paraId="6D5D062C" w14:textId="77777777" w:rsidTr="003231DF">
        <w:trPr>
          <w:trHeight w:val="78"/>
          <w:jc w:val="center"/>
        </w:trPr>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25C0B" w14:textId="77777777" w:rsidR="00F26818" w:rsidRPr="00E60E22" w:rsidRDefault="00F26818" w:rsidP="003231DF">
            <w:pPr>
              <w:spacing w:line="276" w:lineRule="auto"/>
              <w:jc w:val="center"/>
              <w:rPr>
                <w:rFonts w:eastAsia="EUAlbertina-Bold-Identity-H" w:cs="Times New Roman"/>
                <w:color w:val="000000" w:themeColor="text1"/>
                <w:sz w:val="22"/>
                <w:lang w:eastAsia="lv-LV"/>
              </w:rPr>
            </w:pPr>
            <w:r w:rsidRPr="00E60E22">
              <w:rPr>
                <w:rFonts w:eastAsia="EUAlbertina-Bold-Identity-H" w:cs="Times New Roman"/>
                <w:color w:val="000000" w:themeColor="text1"/>
                <w:sz w:val="22"/>
                <w:lang w:eastAsia="lv-LV"/>
              </w:rPr>
              <w:t>LM</w:t>
            </w:r>
          </w:p>
        </w:tc>
        <w:tc>
          <w:tcPr>
            <w:tcW w:w="28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1FD4B" w14:textId="77777777" w:rsidR="00F26818" w:rsidRPr="00E60E22" w:rsidRDefault="00F26818" w:rsidP="003231DF">
            <w:pPr>
              <w:spacing w:line="276" w:lineRule="auto"/>
              <w:jc w:val="center"/>
              <w:rPr>
                <w:rFonts w:eastAsia="EUAlbertina-Bold-Identity-H" w:cs="Times New Roman"/>
                <w:color w:val="000000" w:themeColor="text1"/>
                <w:sz w:val="22"/>
                <w:lang w:eastAsia="lv-LV"/>
              </w:rPr>
            </w:pPr>
            <w:r w:rsidRPr="00E60E22">
              <w:rPr>
                <w:rFonts w:eastAsia="EUAlbertina-Bold-Identity-H" w:cs="Times New Roman"/>
                <w:color w:val="000000" w:themeColor="text1"/>
                <w:sz w:val="22"/>
                <w:lang w:eastAsia="lv-LV"/>
              </w:rPr>
              <w:t>4 (42 181,86)</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F0447" w14:textId="77777777" w:rsidR="00F26818" w:rsidRPr="00E60E22" w:rsidRDefault="00F26818" w:rsidP="003231DF">
            <w:pPr>
              <w:spacing w:line="276" w:lineRule="auto"/>
              <w:jc w:val="center"/>
              <w:rPr>
                <w:rFonts w:eastAsia="EUAlbertina-Bold-Identity-H" w:cs="Times New Roman"/>
                <w:color w:val="000000" w:themeColor="text1"/>
                <w:sz w:val="22"/>
                <w:lang w:eastAsia="lv-LV"/>
              </w:rPr>
            </w:pPr>
            <w:r w:rsidRPr="00E60E22">
              <w:rPr>
                <w:rFonts w:eastAsia="EUAlbertina-Bold-Identity-H" w:cs="Times New Roman"/>
                <w:color w:val="000000" w:themeColor="text1"/>
                <w:sz w:val="22"/>
                <w:lang w:eastAsia="lv-LV"/>
              </w:rPr>
              <w:t>4</w:t>
            </w:r>
          </w:p>
        </w:tc>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4166C" w14:textId="77777777" w:rsidR="00F26818" w:rsidRPr="00E60E22" w:rsidRDefault="00F26818" w:rsidP="003231DF">
            <w:pPr>
              <w:spacing w:line="276" w:lineRule="auto"/>
              <w:jc w:val="center"/>
              <w:rPr>
                <w:rFonts w:eastAsia="EUAlbertina-Bold-Identity-H" w:cs="Times New Roman"/>
                <w:color w:val="000000" w:themeColor="text1"/>
                <w:sz w:val="22"/>
                <w:lang w:eastAsia="lv-LV"/>
              </w:rPr>
            </w:pPr>
            <w:r w:rsidRPr="00E60E22">
              <w:rPr>
                <w:rFonts w:eastAsia="EUAlbertina-Bold-Identity-H" w:cs="Times New Roman"/>
                <w:color w:val="000000" w:themeColor="text1"/>
                <w:sz w:val="22"/>
                <w:lang w:eastAsia="lv-LV"/>
              </w:rPr>
              <w:t>0</w:t>
            </w:r>
          </w:p>
        </w:tc>
      </w:tr>
      <w:tr w:rsidR="00F26818" w:rsidRPr="00E60E22" w14:paraId="3164F320" w14:textId="77777777" w:rsidTr="003231DF">
        <w:trPr>
          <w:trHeight w:val="78"/>
          <w:jc w:val="center"/>
        </w:trPr>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2B721" w14:textId="77777777" w:rsidR="00F26818" w:rsidRPr="00E60E22" w:rsidRDefault="00F26818" w:rsidP="003231DF">
            <w:pPr>
              <w:spacing w:line="276" w:lineRule="auto"/>
              <w:jc w:val="center"/>
              <w:rPr>
                <w:rFonts w:eastAsia="EUAlbertina-Bold-Identity-H" w:cs="Times New Roman"/>
                <w:color w:val="000000" w:themeColor="text1"/>
                <w:sz w:val="22"/>
                <w:lang w:eastAsia="lv-LV"/>
              </w:rPr>
            </w:pPr>
            <w:proofErr w:type="spellStart"/>
            <w:r w:rsidRPr="00E60E22">
              <w:rPr>
                <w:rFonts w:eastAsia="EUAlbertina-Bold-Identity-H" w:cs="Times New Roman"/>
                <w:color w:val="000000" w:themeColor="text1"/>
                <w:sz w:val="22"/>
                <w:lang w:eastAsia="lv-LV"/>
              </w:rPr>
              <w:t>Vkanc</w:t>
            </w:r>
            <w:proofErr w:type="spellEnd"/>
          </w:p>
        </w:tc>
        <w:tc>
          <w:tcPr>
            <w:tcW w:w="28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82B41" w14:textId="77777777" w:rsidR="00F26818" w:rsidRPr="00E60E22" w:rsidRDefault="00F26818" w:rsidP="003231DF">
            <w:pPr>
              <w:spacing w:line="276" w:lineRule="auto"/>
              <w:jc w:val="center"/>
              <w:rPr>
                <w:rFonts w:eastAsia="EUAlbertina-Bold-Identity-H" w:cs="Times New Roman"/>
                <w:color w:val="000000" w:themeColor="text1"/>
                <w:sz w:val="22"/>
                <w:lang w:eastAsia="lv-LV"/>
              </w:rPr>
            </w:pPr>
            <w:r w:rsidRPr="00E60E22">
              <w:rPr>
                <w:rFonts w:eastAsia="EUAlbertina-Bold-Identity-H" w:cs="Times New Roman"/>
                <w:color w:val="000000" w:themeColor="text1"/>
                <w:sz w:val="22"/>
                <w:lang w:eastAsia="lv-LV"/>
              </w:rPr>
              <w:t>4 (5 373,72)</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03448" w14:textId="77777777" w:rsidR="00F26818" w:rsidRPr="00E60E22" w:rsidRDefault="00F26818" w:rsidP="003231DF">
            <w:pPr>
              <w:spacing w:line="276" w:lineRule="auto"/>
              <w:jc w:val="center"/>
              <w:rPr>
                <w:rFonts w:eastAsia="EUAlbertina-Bold-Identity-H" w:cs="Times New Roman"/>
                <w:color w:val="000000" w:themeColor="text1"/>
                <w:sz w:val="22"/>
                <w:lang w:eastAsia="lv-LV"/>
              </w:rPr>
            </w:pPr>
            <w:r w:rsidRPr="00E60E22">
              <w:rPr>
                <w:rFonts w:eastAsia="EUAlbertina-Bold-Identity-H" w:cs="Times New Roman"/>
                <w:color w:val="000000" w:themeColor="text1"/>
                <w:sz w:val="22"/>
                <w:lang w:eastAsia="lv-LV"/>
              </w:rPr>
              <w:t>4</w:t>
            </w:r>
          </w:p>
        </w:tc>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27591" w14:textId="77777777" w:rsidR="00F26818" w:rsidRPr="00E60E22" w:rsidRDefault="00F26818" w:rsidP="003231DF">
            <w:pPr>
              <w:spacing w:line="276" w:lineRule="auto"/>
              <w:jc w:val="center"/>
              <w:rPr>
                <w:rFonts w:eastAsia="EUAlbertina-Bold-Identity-H" w:cs="Times New Roman"/>
                <w:color w:val="000000" w:themeColor="text1"/>
                <w:sz w:val="22"/>
                <w:lang w:eastAsia="lv-LV"/>
              </w:rPr>
            </w:pPr>
            <w:r w:rsidRPr="00E60E22">
              <w:rPr>
                <w:rFonts w:eastAsia="EUAlbertina-Bold-Identity-H" w:cs="Times New Roman"/>
                <w:color w:val="000000" w:themeColor="text1"/>
                <w:sz w:val="22"/>
                <w:lang w:eastAsia="lv-LV"/>
              </w:rPr>
              <w:t>0</w:t>
            </w:r>
          </w:p>
        </w:tc>
      </w:tr>
      <w:tr w:rsidR="00F26818" w:rsidRPr="00E60E22" w14:paraId="281BDA27" w14:textId="77777777" w:rsidTr="003231DF">
        <w:trPr>
          <w:trHeight w:val="78"/>
          <w:jc w:val="center"/>
        </w:trPr>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FD5FD" w14:textId="77777777" w:rsidR="00F26818" w:rsidRPr="00E60E22" w:rsidRDefault="00F26818" w:rsidP="003231DF">
            <w:pPr>
              <w:spacing w:line="276" w:lineRule="auto"/>
              <w:jc w:val="center"/>
              <w:rPr>
                <w:rFonts w:eastAsia="EUAlbertina-Bold-Identity-H" w:cs="Times New Roman"/>
                <w:color w:val="000000" w:themeColor="text1"/>
                <w:sz w:val="22"/>
                <w:lang w:eastAsia="lv-LV"/>
              </w:rPr>
            </w:pPr>
            <w:r w:rsidRPr="00E60E22">
              <w:rPr>
                <w:rFonts w:eastAsia="EUAlbertina-Bold-Identity-H" w:cs="Times New Roman"/>
                <w:color w:val="000000" w:themeColor="text1"/>
                <w:sz w:val="22"/>
                <w:lang w:eastAsia="lv-LV"/>
              </w:rPr>
              <w:t>IeM</w:t>
            </w:r>
          </w:p>
        </w:tc>
        <w:tc>
          <w:tcPr>
            <w:tcW w:w="28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109B4" w14:textId="77777777" w:rsidR="00F26818" w:rsidRPr="00E60E22" w:rsidRDefault="00F26818" w:rsidP="003231DF">
            <w:pPr>
              <w:spacing w:line="276" w:lineRule="auto"/>
              <w:jc w:val="center"/>
              <w:rPr>
                <w:rFonts w:eastAsia="EUAlbertina-Bold-Identity-H" w:cs="Times New Roman"/>
                <w:color w:val="000000" w:themeColor="text1"/>
                <w:sz w:val="22"/>
                <w:lang w:eastAsia="lv-LV"/>
              </w:rPr>
            </w:pPr>
            <w:r w:rsidRPr="00E60E22">
              <w:rPr>
                <w:rFonts w:eastAsia="EUAlbertina-Bold-Identity-H" w:cs="Times New Roman"/>
                <w:color w:val="000000" w:themeColor="text1"/>
                <w:sz w:val="22"/>
                <w:lang w:eastAsia="lv-LV"/>
              </w:rPr>
              <w:t>3 (186 178,44)</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DFA1C" w14:textId="77777777" w:rsidR="00F26818" w:rsidRPr="00E60E22" w:rsidRDefault="00F26818" w:rsidP="003231DF">
            <w:pPr>
              <w:spacing w:line="276" w:lineRule="auto"/>
              <w:jc w:val="center"/>
              <w:rPr>
                <w:rFonts w:eastAsia="EUAlbertina-Bold-Identity-H" w:cs="Times New Roman"/>
                <w:color w:val="000000" w:themeColor="text1"/>
                <w:sz w:val="22"/>
                <w:lang w:eastAsia="lv-LV"/>
              </w:rPr>
            </w:pPr>
            <w:r w:rsidRPr="00E60E22">
              <w:rPr>
                <w:rFonts w:eastAsia="EUAlbertina-Bold-Identity-H" w:cs="Times New Roman"/>
                <w:color w:val="000000" w:themeColor="text1"/>
                <w:sz w:val="22"/>
                <w:lang w:eastAsia="lv-LV"/>
              </w:rPr>
              <w:t>3</w:t>
            </w:r>
          </w:p>
        </w:tc>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0D519" w14:textId="77777777" w:rsidR="00F26818" w:rsidRPr="00E60E22" w:rsidRDefault="00F26818" w:rsidP="003231DF">
            <w:pPr>
              <w:spacing w:line="276" w:lineRule="auto"/>
              <w:jc w:val="center"/>
              <w:rPr>
                <w:rFonts w:eastAsia="EUAlbertina-Bold-Identity-H" w:cs="Times New Roman"/>
                <w:color w:val="000000" w:themeColor="text1"/>
                <w:sz w:val="22"/>
                <w:lang w:eastAsia="lv-LV"/>
              </w:rPr>
            </w:pPr>
            <w:r w:rsidRPr="00E60E22">
              <w:rPr>
                <w:rFonts w:eastAsia="EUAlbertina-Bold-Identity-H" w:cs="Times New Roman"/>
                <w:color w:val="000000" w:themeColor="text1"/>
                <w:sz w:val="22"/>
                <w:lang w:eastAsia="lv-LV"/>
              </w:rPr>
              <w:t>0</w:t>
            </w:r>
          </w:p>
        </w:tc>
      </w:tr>
      <w:tr w:rsidR="00F26818" w:rsidRPr="00E60E22" w14:paraId="6BD4D428" w14:textId="77777777" w:rsidTr="003231DF">
        <w:trPr>
          <w:trHeight w:val="61"/>
          <w:jc w:val="center"/>
        </w:trPr>
        <w:tc>
          <w:tcPr>
            <w:tcW w:w="1597" w:type="dxa"/>
            <w:shd w:val="clear" w:color="auto" w:fill="auto"/>
            <w:vAlign w:val="center"/>
          </w:tcPr>
          <w:p w14:paraId="4F8CDB3D" w14:textId="77777777" w:rsidR="00F26818" w:rsidRPr="00E60E22" w:rsidRDefault="00F26818" w:rsidP="003231DF">
            <w:pPr>
              <w:spacing w:line="276" w:lineRule="auto"/>
              <w:jc w:val="center"/>
              <w:rPr>
                <w:rFonts w:eastAsia="EUAlbertina-Bold-Identity-H" w:cs="Times New Roman"/>
                <w:color w:val="000000" w:themeColor="text1"/>
                <w:sz w:val="22"/>
                <w:lang w:eastAsia="lv-LV"/>
              </w:rPr>
            </w:pPr>
            <w:r w:rsidRPr="00E60E22">
              <w:rPr>
                <w:rFonts w:eastAsia="EUAlbertina-Bold-Identity-H" w:cs="Times New Roman"/>
                <w:color w:val="000000" w:themeColor="text1"/>
                <w:sz w:val="22"/>
                <w:lang w:eastAsia="lv-LV"/>
              </w:rPr>
              <w:t>TM</w:t>
            </w:r>
          </w:p>
        </w:tc>
        <w:tc>
          <w:tcPr>
            <w:tcW w:w="2853" w:type="dxa"/>
            <w:shd w:val="clear" w:color="auto" w:fill="auto"/>
            <w:vAlign w:val="center"/>
          </w:tcPr>
          <w:p w14:paraId="69C3A187" w14:textId="77777777" w:rsidR="00F26818" w:rsidRPr="00E60E22" w:rsidRDefault="00F26818" w:rsidP="003231DF">
            <w:pPr>
              <w:spacing w:line="276" w:lineRule="auto"/>
              <w:jc w:val="center"/>
              <w:rPr>
                <w:rFonts w:eastAsia="EUAlbertina-Bold-Identity-H" w:cs="Times New Roman"/>
                <w:color w:val="000000" w:themeColor="text1"/>
                <w:sz w:val="22"/>
                <w:lang w:eastAsia="lv-LV"/>
              </w:rPr>
            </w:pPr>
            <w:r w:rsidRPr="00E60E22">
              <w:rPr>
                <w:rFonts w:eastAsia="EUAlbertina-Bold-Identity-H" w:cs="Times New Roman"/>
                <w:color w:val="000000" w:themeColor="text1"/>
                <w:sz w:val="22"/>
                <w:lang w:eastAsia="lv-LV"/>
              </w:rPr>
              <w:t>3 (11 101,34)</w:t>
            </w:r>
          </w:p>
        </w:tc>
        <w:tc>
          <w:tcPr>
            <w:tcW w:w="2189" w:type="dxa"/>
            <w:shd w:val="clear" w:color="auto" w:fill="auto"/>
            <w:vAlign w:val="center"/>
          </w:tcPr>
          <w:p w14:paraId="1118A73D" w14:textId="77777777" w:rsidR="00F26818" w:rsidRPr="00E60E22" w:rsidRDefault="00F26818" w:rsidP="003231DF">
            <w:pPr>
              <w:spacing w:line="276" w:lineRule="auto"/>
              <w:jc w:val="center"/>
              <w:rPr>
                <w:rFonts w:eastAsia="EUAlbertina-Bold-Identity-H" w:cs="Times New Roman"/>
                <w:color w:val="000000" w:themeColor="text1"/>
                <w:sz w:val="22"/>
                <w:lang w:eastAsia="lv-LV"/>
              </w:rPr>
            </w:pPr>
            <w:r w:rsidRPr="00E60E22">
              <w:rPr>
                <w:rFonts w:eastAsia="EUAlbertina-Bold-Identity-H" w:cs="Times New Roman"/>
                <w:color w:val="000000" w:themeColor="text1"/>
                <w:sz w:val="22"/>
                <w:lang w:eastAsia="lv-LV"/>
              </w:rPr>
              <w:t>3</w:t>
            </w:r>
          </w:p>
        </w:tc>
        <w:tc>
          <w:tcPr>
            <w:tcW w:w="2043" w:type="dxa"/>
            <w:shd w:val="clear" w:color="auto" w:fill="auto"/>
            <w:vAlign w:val="center"/>
          </w:tcPr>
          <w:p w14:paraId="79D497EA" w14:textId="77777777" w:rsidR="00F26818" w:rsidRPr="00E60E22" w:rsidRDefault="00F26818" w:rsidP="003231DF">
            <w:pPr>
              <w:spacing w:line="276" w:lineRule="auto"/>
              <w:jc w:val="center"/>
              <w:rPr>
                <w:rFonts w:eastAsia="EUAlbertina-Bold-Identity-H" w:cs="Times New Roman"/>
                <w:color w:val="000000" w:themeColor="text1"/>
                <w:sz w:val="22"/>
                <w:lang w:eastAsia="lv-LV"/>
              </w:rPr>
            </w:pPr>
            <w:r w:rsidRPr="00E60E22">
              <w:rPr>
                <w:rFonts w:eastAsia="EUAlbertina-Bold-Identity-H" w:cs="Times New Roman"/>
                <w:color w:val="000000" w:themeColor="text1"/>
                <w:sz w:val="22"/>
                <w:lang w:eastAsia="lv-LV"/>
              </w:rPr>
              <w:t>0</w:t>
            </w:r>
          </w:p>
        </w:tc>
      </w:tr>
      <w:tr w:rsidR="00F26818" w:rsidRPr="00E60E22" w14:paraId="19FA64F9" w14:textId="77777777" w:rsidTr="003231DF">
        <w:trPr>
          <w:trHeight w:val="70"/>
          <w:jc w:val="center"/>
        </w:trPr>
        <w:tc>
          <w:tcPr>
            <w:tcW w:w="1597" w:type="dxa"/>
            <w:shd w:val="clear" w:color="auto" w:fill="auto"/>
            <w:vAlign w:val="center"/>
          </w:tcPr>
          <w:p w14:paraId="5EDBEEF3" w14:textId="77777777" w:rsidR="00F26818" w:rsidRPr="00E60E22" w:rsidRDefault="00F26818" w:rsidP="003231DF">
            <w:pPr>
              <w:spacing w:line="276" w:lineRule="auto"/>
              <w:jc w:val="center"/>
              <w:rPr>
                <w:rFonts w:eastAsia="EUAlbertina-Bold-Identity-H" w:cs="Times New Roman"/>
                <w:color w:val="000000" w:themeColor="text1"/>
                <w:sz w:val="22"/>
                <w:lang w:eastAsia="lv-LV"/>
              </w:rPr>
            </w:pPr>
            <w:r w:rsidRPr="00E60E22">
              <w:rPr>
                <w:rFonts w:eastAsia="EUAlbertina-Bold-Identity-H" w:cs="Times New Roman"/>
                <w:color w:val="000000" w:themeColor="text1"/>
                <w:sz w:val="22"/>
                <w:lang w:eastAsia="lv-LV"/>
              </w:rPr>
              <w:t>VARAM</w:t>
            </w:r>
          </w:p>
        </w:tc>
        <w:tc>
          <w:tcPr>
            <w:tcW w:w="2853" w:type="dxa"/>
            <w:shd w:val="clear" w:color="auto" w:fill="auto"/>
            <w:vAlign w:val="center"/>
          </w:tcPr>
          <w:p w14:paraId="366ADA30" w14:textId="525FD4E7" w:rsidR="00F26818" w:rsidRPr="00E60E22" w:rsidRDefault="0021564B" w:rsidP="003231DF">
            <w:pPr>
              <w:spacing w:line="276" w:lineRule="auto"/>
              <w:jc w:val="center"/>
              <w:rPr>
                <w:rFonts w:eastAsia="EUAlbertina-Bold-Identity-H" w:cs="Times New Roman"/>
                <w:color w:val="000000" w:themeColor="text1"/>
                <w:sz w:val="22"/>
                <w:lang w:eastAsia="lv-LV"/>
              </w:rPr>
            </w:pPr>
            <w:r>
              <w:rPr>
                <w:rFonts w:eastAsia="EUAlbertina-Bold-Identity-H" w:cs="Times New Roman"/>
                <w:color w:val="000000" w:themeColor="text1"/>
                <w:sz w:val="22"/>
                <w:lang w:eastAsia="lv-LV"/>
              </w:rPr>
              <w:t>1</w:t>
            </w:r>
            <w:r w:rsidRPr="00E60E22">
              <w:rPr>
                <w:rFonts w:eastAsia="EUAlbertina-Bold-Identity-H" w:cs="Times New Roman"/>
                <w:color w:val="000000" w:themeColor="text1"/>
                <w:sz w:val="22"/>
                <w:lang w:eastAsia="lv-LV"/>
              </w:rPr>
              <w:t xml:space="preserve"> </w:t>
            </w:r>
            <w:r w:rsidR="00F26818" w:rsidRPr="00E60E22">
              <w:rPr>
                <w:rFonts w:eastAsia="EUAlbertina-Bold-Identity-H" w:cs="Times New Roman"/>
                <w:color w:val="000000" w:themeColor="text1"/>
                <w:sz w:val="22"/>
                <w:lang w:eastAsia="lv-LV"/>
              </w:rPr>
              <w:t>(</w:t>
            </w:r>
            <w:r w:rsidRPr="00321E27">
              <w:t>248</w:t>
            </w:r>
            <w:r>
              <w:t> </w:t>
            </w:r>
            <w:r w:rsidRPr="00321E27">
              <w:t>585</w:t>
            </w:r>
            <w:r>
              <w:t>,76</w:t>
            </w:r>
            <w:r w:rsidR="00F26818" w:rsidRPr="00E60E22">
              <w:rPr>
                <w:rFonts w:eastAsia="EUAlbertina-Bold-Identity-H" w:cs="Times New Roman"/>
                <w:color w:val="000000" w:themeColor="text1"/>
                <w:sz w:val="22"/>
                <w:lang w:eastAsia="lv-LV"/>
              </w:rPr>
              <w:t>)</w:t>
            </w:r>
          </w:p>
        </w:tc>
        <w:tc>
          <w:tcPr>
            <w:tcW w:w="2189" w:type="dxa"/>
            <w:shd w:val="clear" w:color="auto" w:fill="auto"/>
            <w:vAlign w:val="center"/>
          </w:tcPr>
          <w:p w14:paraId="3C412B38" w14:textId="35F8E4E5" w:rsidR="00F26818" w:rsidRPr="00E60E22" w:rsidRDefault="00F26818" w:rsidP="003231DF">
            <w:pPr>
              <w:spacing w:line="276" w:lineRule="auto"/>
              <w:jc w:val="center"/>
              <w:rPr>
                <w:rFonts w:eastAsia="EUAlbertina-Bold-Identity-H" w:cs="Times New Roman"/>
                <w:color w:val="000000" w:themeColor="text1"/>
                <w:sz w:val="22"/>
                <w:lang w:eastAsia="lv-LV"/>
              </w:rPr>
            </w:pPr>
            <w:r w:rsidRPr="00E60E22">
              <w:rPr>
                <w:rFonts w:eastAsia="EUAlbertina-Bold-Identity-H" w:cs="Times New Roman"/>
                <w:color w:val="000000" w:themeColor="text1"/>
                <w:sz w:val="22"/>
                <w:lang w:eastAsia="lv-LV"/>
              </w:rPr>
              <w:t>2</w:t>
            </w:r>
          </w:p>
        </w:tc>
        <w:tc>
          <w:tcPr>
            <w:tcW w:w="2043" w:type="dxa"/>
            <w:shd w:val="clear" w:color="auto" w:fill="auto"/>
            <w:vAlign w:val="center"/>
          </w:tcPr>
          <w:p w14:paraId="2B23DDA2" w14:textId="77777777" w:rsidR="00F26818" w:rsidRPr="00E60E22" w:rsidRDefault="00F26818" w:rsidP="003231DF">
            <w:pPr>
              <w:spacing w:line="276" w:lineRule="auto"/>
              <w:jc w:val="center"/>
              <w:rPr>
                <w:rFonts w:eastAsia="EUAlbertina-Bold-Identity-H" w:cs="Times New Roman"/>
                <w:color w:val="000000" w:themeColor="text1"/>
                <w:sz w:val="22"/>
                <w:lang w:eastAsia="lv-LV"/>
              </w:rPr>
            </w:pPr>
            <w:r w:rsidRPr="00E60E22">
              <w:rPr>
                <w:rFonts w:eastAsia="EUAlbertina-Bold-Identity-H" w:cs="Times New Roman"/>
                <w:color w:val="000000" w:themeColor="text1"/>
                <w:sz w:val="22"/>
                <w:lang w:eastAsia="lv-LV"/>
              </w:rPr>
              <w:t>0</w:t>
            </w:r>
          </w:p>
        </w:tc>
      </w:tr>
      <w:tr w:rsidR="00F26818" w:rsidRPr="00E60E22" w14:paraId="45F152C3" w14:textId="77777777" w:rsidTr="003231DF">
        <w:trPr>
          <w:trHeight w:val="122"/>
          <w:jc w:val="center"/>
        </w:trPr>
        <w:tc>
          <w:tcPr>
            <w:tcW w:w="1597" w:type="dxa"/>
            <w:shd w:val="clear" w:color="auto" w:fill="auto"/>
            <w:vAlign w:val="center"/>
          </w:tcPr>
          <w:p w14:paraId="3600651F" w14:textId="77777777" w:rsidR="00F26818" w:rsidRPr="00E60E22" w:rsidRDefault="00F26818" w:rsidP="003231DF">
            <w:pPr>
              <w:spacing w:line="276" w:lineRule="auto"/>
              <w:jc w:val="center"/>
              <w:rPr>
                <w:rFonts w:eastAsia="EUAlbertina-Bold-Identity-H" w:cs="Times New Roman"/>
                <w:color w:val="000000" w:themeColor="text1"/>
                <w:sz w:val="22"/>
                <w:lang w:eastAsia="lv-LV"/>
              </w:rPr>
            </w:pPr>
            <w:r w:rsidRPr="00E60E22">
              <w:rPr>
                <w:rFonts w:eastAsia="EUAlbertina-Bold-Identity-H" w:cs="Times New Roman"/>
                <w:color w:val="000000" w:themeColor="text1"/>
                <w:sz w:val="22"/>
                <w:lang w:eastAsia="lv-LV"/>
              </w:rPr>
              <w:t>SM</w:t>
            </w:r>
          </w:p>
        </w:tc>
        <w:tc>
          <w:tcPr>
            <w:tcW w:w="2853" w:type="dxa"/>
            <w:shd w:val="clear" w:color="auto" w:fill="auto"/>
            <w:vAlign w:val="center"/>
          </w:tcPr>
          <w:p w14:paraId="483426BC" w14:textId="77777777" w:rsidR="00F26818" w:rsidRPr="00E60E22" w:rsidRDefault="00F26818" w:rsidP="003231DF">
            <w:pPr>
              <w:spacing w:line="276" w:lineRule="auto"/>
              <w:jc w:val="center"/>
              <w:rPr>
                <w:rFonts w:eastAsia="EUAlbertina-Bold-Identity-H" w:cs="Times New Roman"/>
                <w:color w:val="000000" w:themeColor="text1"/>
                <w:sz w:val="22"/>
                <w:lang w:eastAsia="lv-LV"/>
              </w:rPr>
            </w:pPr>
            <w:r w:rsidRPr="00E60E22">
              <w:rPr>
                <w:rFonts w:eastAsia="EUAlbertina-Bold-Identity-H" w:cs="Times New Roman"/>
                <w:color w:val="000000" w:themeColor="text1"/>
                <w:sz w:val="22"/>
                <w:lang w:eastAsia="lv-LV"/>
              </w:rPr>
              <w:t>2 (8 221,63)</w:t>
            </w:r>
          </w:p>
        </w:tc>
        <w:tc>
          <w:tcPr>
            <w:tcW w:w="2189" w:type="dxa"/>
            <w:shd w:val="clear" w:color="auto" w:fill="auto"/>
            <w:vAlign w:val="center"/>
          </w:tcPr>
          <w:p w14:paraId="13BED749" w14:textId="77777777" w:rsidR="00F26818" w:rsidRPr="00E60E22" w:rsidRDefault="00F26818" w:rsidP="003231DF">
            <w:pPr>
              <w:spacing w:line="276" w:lineRule="auto"/>
              <w:jc w:val="center"/>
              <w:rPr>
                <w:rFonts w:eastAsia="EUAlbertina-Bold-Identity-H" w:cs="Times New Roman"/>
                <w:color w:val="000000" w:themeColor="text1"/>
                <w:sz w:val="22"/>
                <w:lang w:eastAsia="lv-LV"/>
              </w:rPr>
            </w:pPr>
            <w:r w:rsidRPr="00E60E22">
              <w:rPr>
                <w:rFonts w:eastAsia="EUAlbertina-Bold-Identity-H" w:cs="Times New Roman"/>
                <w:color w:val="000000" w:themeColor="text1"/>
                <w:sz w:val="22"/>
                <w:lang w:eastAsia="lv-LV"/>
              </w:rPr>
              <w:t>2</w:t>
            </w:r>
          </w:p>
        </w:tc>
        <w:tc>
          <w:tcPr>
            <w:tcW w:w="2043" w:type="dxa"/>
            <w:shd w:val="clear" w:color="auto" w:fill="auto"/>
            <w:vAlign w:val="center"/>
          </w:tcPr>
          <w:p w14:paraId="1B55CEF5" w14:textId="77777777" w:rsidR="00F26818" w:rsidRPr="00E60E22" w:rsidRDefault="00F26818" w:rsidP="003231DF">
            <w:pPr>
              <w:spacing w:line="276" w:lineRule="auto"/>
              <w:jc w:val="center"/>
              <w:rPr>
                <w:rFonts w:eastAsia="EUAlbertina-Bold-Identity-H" w:cs="Times New Roman"/>
                <w:color w:val="000000" w:themeColor="text1"/>
                <w:sz w:val="22"/>
                <w:lang w:eastAsia="lv-LV"/>
              </w:rPr>
            </w:pPr>
            <w:r w:rsidRPr="00E60E22">
              <w:rPr>
                <w:rFonts w:eastAsia="EUAlbertina-Bold-Identity-H" w:cs="Times New Roman"/>
                <w:color w:val="000000" w:themeColor="text1"/>
                <w:sz w:val="22"/>
                <w:lang w:eastAsia="lv-LV"/>
              </w:rPr>
              <w:t>0</w:t>
            </w:r>
          </w:p>
        </w:tc>
      </w:tr>
      <w:tr w:rsidR="00F26818" w:rsidRPr="00E60E22" w14:paraId="5920C00C" w14:textId="77777777" w:rsidTr="003231DF">
        <w:trPr>
          <w:trHeight w:val="60"/>
          <w:jc w:val="center"/>
        </w:trPr>
        <w:tc>
          <w:tcPr>
            <w:tcW w:w="1597" w:type="dxa"/>
            <w:shd w:val="clear" w:color="auto" w:fill="auto"/>
            <w:vAlign w:val="center"/>
          </w:tcPr>
          <w:p w14:paraId="5600E0CD" w14:textId="77777777" w:rsidR="00F26818" w:rsidRPr="00E60E22" w:rsidRDefault="00F26818" w:rsidP="003231DF">
            <w:pPr>
              <w:spacing w:line="276" w:lineRule="auto"/>
              <w:jc w:val="center"/>
              <w:rPr>
                <w:rFonts w:eastAsia="EUAlbertina-Bold-Identity-H" w:cs="Times New Roman"/>
                <w:color w:val="000000" w:themeColor="text1"/>
                <w:sz w:val="22"/>
                <w:lang w:eastAsia="lv-LV"/>
              </w:rPr>
            </w:pPr>
            <w:r w:rsidRPr="00E60E22">
              <w:rPr>
                <w:rFonts w:eastAsia="EUAlbertina-Bold-Identity-H" w:cs="Times New Roman"/>
                <w:color w:val="000000" w:themeColor="text1"/>
                <w:sz w:val="22"/>
                <w:lang w:eastAsia="lv-LV"/>
              </w:rPr>
              <w:t>IZM</w:t>
            </w:r>
          </w:p>
        </w:tc>
        <w:tc>
          <w:tcPr>
            <w:tcW w:w="2853" w:type="dxa"/>
            <w:shd w:val="clear" w:color="auto" w:fill="auto"/>
            <w:vAlign w:val="center"/>
          </w:tcPr>
          <w:p w14:paraId="7ABCE9C4" w14:textId="77777777" w:rsidR="00F26818" w:rsidRPr="00E60E22" w:rsidRDefault="00F26818" w:rsidP="003231DF">
            <w:pPr>
              <w:spacing w:line="276" w:lineRule="auto"/>
              <w:jc w:val="center"/>
              <w:rPr>
                <w:rFonts w:eastAsia="EUAlbertina-Bold-Identity-H" w:cs="Times New Roman"/>
                <w:color w:val="000000" w:themeColor="text1"/>
                <w:sz w:val="22"/>
                <w:lang w:eastAsia="lv-LV"/>
              </w:rPr>
            </w:pPr>
            <w:r w:rsidRPr="00E60E22">
              <w:rPr>
                <w:rFonts w:eastAsia="EUAlbertina-Bold-Identity-H" w:cs="Times New Roman"/>
                <w:color w:val="000000" w:themeColor="text1"/>
                <w:sz w:val="22"/>
                <w:lang w:eastAsia="lv-LV"/>
              </w:rPr>
              <w:t>1 (46 789,64)</w:t>
            </w:r>
          </w:p>
        </w:tc>
        <w:tc>
          <w:tcPr>
            <w:tcW w:w="2189" w:type="dxa"/>
            <w:shd w:val="clear" w:color="auto" w:fill="auto"/>
            <w:vAlign w:val="center"/>
          </w:tcPr>
          <w:p w14:paraId="3C61077A" w14:textId="77777777" w:rsidR="00F26818" w:rsidRPr="00E60E22" w:rsidRDefault="00F26818" w:rsidP="003231DF">
            <w:pPr>
              <w:spacing w:line="276" w:lineRule="auto"/>
              <w:jc w:val="center"/>
              <w:rPr>
                <w:rFonts w:eastAsia="EUAlbertina-Bold-Identity-H" w:cs="Times New Roman"/>
                <w:color w:val="000000" w:themeColor="text1"/>
                <w:sz w:val="22"/>
                <w:lang w:eastAsia="lv-LV"/>
              </w:rPr>
            </w:pPr>
            <w:r w:rsidRPr="00E60E22">
              <w:rPr>
                <w:rFonts w:eastAsia="EUAlbertina-Bold-Identity-H" w:cs="Times New Roman"/>
                <w:color w:val="000000" w:themeColor="text1"/>
                <w:sz w:val="22"/>
                <w:lang w:eastAsia="lv-LV"/>
              </w:rPr>
              <w:t>1</w:t>
            </w:r>
          </w:p>
        </w:tc>
        <w:tc>
          <w:tcPr>
            <w:tcW w:w="2043" w:type="dxa"/>
            <w:shd w:val="clear" w:color="auto" w:fill="auto"/>
            <w:vAlign w:val="center"/>
          </w:tcPr>
          <w:p w14:paraId="7168B626" w14:textId="77777777" w:rsidR="00F26818" w:rsidRPr="00E60E22" w:rsidRDefault="00F26818" w:rsidP="003231DF">
            <w:pPr>
              <w:spacing w:line="276" w:lineRule="auto"/>
              <w:jc w:val="center"/>
              <w:rPr>
                <w:rFonts w:eastAsia="EUAlbertina-Bold-Identity-H" w:cs="Times New Roman"/>
                <w:color w:val="000000" w:themeColor="text1"/>
                <w:sz w:val="22"/>
                <w:lang w:eastAsia="lv-LV"/>
              </w:rPr>
            </w:pPr>
            <w:r w:rsidRPr="00E60E22">
              <w:rPr>
                <w:rFonts w:eastAsia="EUAlbertina-Bold-Identity-H" w:cs="Times New Roman"/>
                <w:color w:val="000000" w:themeColor="text1"/>
                <w:sz w:val="22"/>
                <w:lang w:eastAsia="lv-LV"/>
              </w:rPr>
              <w:t>0</w:t>
            </w:r>
          </w:p>
        </w:tc>
      </w:tr>
      <w:tr w:rsidR="00F26818" w:rsidRPr="00E60E22" w14:paraId="2D060286" w14:textId="77777777" w:rsidTr="003231DF">
        <w:trPr>
          <w:trHeight w:val="60"/>
          <w:jc w:val="center"/>
        </w:trPr>
        <w:tc>
          <w:tcPr>
            <w:tcW w:w="1597" w:type="dxa"/>
            <w:shd w:val="clear" w:color="auto" w:fill="auto"/>
            <w:vAlign w:val="center"/>
          </w:tcPr>
          <w:p w14:paraId="58746A18" w14:textId="77777777" w:rsidR="00F26818" w:rsidRPr="00E60E22" w:rsidRDefault="00F26818" w:rsidP="003231DF">
            <w:pPr>
              <w:spacing w:line="276" w:lineRule="auto"/>
              <w:jc w:val="center"/>
              <w:rPr>
                <w:rFonts w:eastAsia="EUAlbertina-Bold-Identity-H" w:cs="Times New Roman"/>
                <w:color w:val="000000" w:themeColor="text1"/>
                <w:sz w:val="22"/>
                <w:lang w:eastAsia="lv-LV"/>
              </w:rPr>
            </w:pPr>
            <w:r w:rsidRPr="00E60E22">
              <w:rPr>
                <w:rFonts w:eastAsia="EUAlbertina-Bold-Identity-H" w:cs="Times New Roman"/>
                <w:color w:val="000000" w:themeColor="text1"/>
                <w:sz w:val="22"/>
                <w:lang w:eastAsia="lv-LV"/>
              </w:rPr>
              <w:t>EM</w:t>
            </w:r>
          </w:p>
        </w:tc>
        <w:tc>
          <w:tcPr>
            <w:tcW w:w="2853" w:type="dxa"/>
            <w:shd w:val="clear" w:color="auto" w:fill="auto"/>
            <w:vAlign w:val="center"/>
          </w:tcPr>
          <w:p w14:paraId="0516FD7A" w14:textId="77777777" w:rsidR="00F26818" w:rsidRPr="00E60E22" w:rsidRDefault="00F26818" w:rsidP="003231DF">
            <w:pPr>
              <w:spacing w:line="276" w:lineRule="auto"/>
              <w:jc w:val="center"/>
              <w:rPr>
                <w:rFonts w:eastAsia="EUAlbertina-Bold-Identity-H" w:cs="Times New Roman"/>
                <w:color w:val="000000" w:themeColor="text1"/>
                <w:sz w:val="22"/>
                <w:lang w:eastAsia="lv-LV"/>
              </w:rPr>
            </w:pPr>
            <w:r w:rsidRPr="00E60E22">
              <w:rPr>
                <w:rFonts w:eastAsia="EUAlbertina-Bold-Identity-H" w:cs="Times New Roman"/>
                <w:color w:val="000000" w:themeColor="text1"/>
                <w:sz w:val="22"/>
                <w:lang w:eastAsia="lv-LV"/>
              </w:rPr>
              <w:t>0</w:t>
            </w:r>
          </w:p>
        </w:tc>
        <w:tc>
          <w:tcPr>
            <w:tcW w:w="2189" w:type="dxa"/>
            <w:shd w:val="clear" w:color="auto" w:fill="auto"/>
            <w:vAlign w:val="center"/>
          </w:tcPr>
          <w:p w14:paraId="5E06F43B" w14:textId="77777777" w:rsidR="00F26818" w:rsidRPr="00E60E22" w:rsidRDefault="00F26818" w:rsidP="003231DF">
            <w:pPr>
              <w:spacing w:line="276" w:lineRule="auto"/>
              <w:jc w:val="center"/>
              <w:rPr>
                <w:rFonts w:eastAsia="EUAlbertina-Bold-Identity-H" w:cs="Times New Roman"/>
                <w:color w:val="000000" w:themeColor="text1"/>
                <w:sz w:val="22"/>
                <w:lang w:eastAsia="lv-LV"/>
              </w:rPr>
            </w:pPr>
            <w:r w:rsidRPr="00E60E22">
              <w:rPr>
                <w:rFonts w:eastAsia="EUAlbertina-Bold-Identity-H" w:cs="Times New Roman"/>
                <w:color w:val="000000" w:themeColor="text1"/>
                <w:sz w:val="22"/>
                <w:lang w:eastAsia="lv-LV"/>
              </w:rPr>
              <w:t>0</w:t>
            </w:r>
          </w:p>
        </w:tc>
        <w:tc>
          <w:tcPr>
            <w:tcW w:w="2043" w:type="dxa"/>
            <w:shd w:val="clear" w:color="auto" w:fill="auto"/>
            <w:vAlign w:val="center"/>
          </w:tcPr>
          <w:p w14:paraId="4BD45D24" w14:textId="77777777" w:rsidR="00F26818" w:rsidRPr="00E60E22" w:rsidRDefault="00F26818" w:rsidP="003231DF">
            <w:pPr>
              <w:spacing w:line="276" w:lineRule="auto"/>
              <w:jc w:val="center"/>
              <w:rPr>
                <w:rFonts w:eastAsia="EUAlbertina-Bold-Identity-H" w:cs="Times New Roman"/>
                <w:color w:val="000000" w:themeColor="text1"/>
                <w:sz w:val="22"/>
                <w:lang w:eastAsia="lv-LV"/>
              </w:rPr>
            </w:pPr>
            <w:r w:rsidRPr="00E60E22">
              <w:rPr>
                <w:rFonts w:eastAsia="EUAlbertina-Bold-Identity-H" w:cs="Times New Roman"/>
                <w:color w:val="000000" w:themeColor="text1"/>
                <w:sz w:val="22"/>
                <w:lang w:eastAsia="lv-LV"/>
              </w:rPr>
              <w:t>0</w:t>
            </w:r>
          </w:p>
        </w:tc>
      </w:tr>
      <w:tr w:rsidR="00F26818" w:rsidRPr="00E60E22" w14:paraId="29B90C4D" w14:textId="77777777" w:rsidTr="003231DF">
        <w:trPr>
          <w:trHeight w:val="223"/>
          <w:jc w:val="center"/>
        </w:trPr>
        <w:tc>
          <w:tcPr>
            <w:tcW w:w="1597" w:type="dxa"/>
            <w:shd w:val="clear" w:color="auto" w:fill="auto"/>
            <w:vAlign w:val="center"/>
          </w:tcPr>
          <w:p w14:paraId="5A9B9D5A" w14:textId="77777777" w:rsidR="00F26818" w:rsidRPr="00E60E22" w:rsidRDefault="00F26818" w:rsidP="003231DF">
            <w:pPr>
              <w:spacing w:line="276" w:lineRule="auto"/>
              <w:jc w:val="center"/>
              <w:rPr>
                <w:rFonts w:eastAsia="EUAlbertina-Bold-Identity-H" w:cs="Times New Roman"/>
                <w:sz w:val="22"/>
                <w:highlight w:val="yellow"/>
                <w:lang w:eastAsia="lv-LV"/>
              </w:rPr>
            </w:pPr>
            <w:r w:rsidRPr="00717EEF">
              <w:rPr>
                <w:rFonts w:eastAsia="EUAlbertina-Bold-Identity-H" w:cs="Times New Roman"/>
                <w:sz w:val="22"/>
                <w:lang w:eastAsia="lv-LV"/>
              </w:rPr>
              <w:t>FM</w:t>
            </w:r>
          </w:p>
        </w:tc>
        <w:tc>
          <w:tcPr>
            <w:tcW w:w="2853" w:type="dxa"/>
            <w:shd w:val="clear" w:color="auto" w:fill="auto"/>
            <w:vAlign w:val="center"/>
          </w:tcPr>
          <w:p w14:paraId="1EF07B43" w14:textId="77777777" w:rsidR="00F26818" w:rsidRPr="00717EEF" w:rsidRDefault="00F26818" w:rsidP="003231DF">
            <w:pPr>
              <w:spacing w:line="276" w:lineRule="auto"/>
              <w:jc w:val="center"/>
              <w:rPr>
                <w:rFonts w:eastAsia="EUAlbertina-Bold-Identity-H" w:cs="Times New Roman"/>
                <w:sz w:val="22"/>
                <w:lang w:eastAsia="lv-LV"/>
              </w:rPr>
            </w:pPr>
            <w:r w:rsidRPr="00717EEF">
              <w:rPr>
                <w:rFonts w:eastAsia="EUAlbertina-Bold-Identity-H" w:cs="Times New Roman"/>
                <w:sz w:val="22"/>
                <w:lang w:eastAsia="lv-LV"/>
              </w:rPr>
              <w:t>0</w:t>
            </w:r>
          </w:p>
        </w:tc>
        <w:tc>
          <w:tcPr>
            <w:tcW w:w="2189" w:type="dxa"/>
            <w:shd w:val="clear" w:color="auto" w:fill="auto"/>
            <w:vAlign w:val="center"/>
          </w:tcPr>
          <w:p w14:paraId="0AB56C98" w14:textId="77777777" w:rsidR="00F26818" w:rsidRPr="00717EEF" w:rsidRDefault="00F26818" w:rsidP="003231DF">
            <w:pPr>
              <w:spacing w:line="276" w:lineRule="auto"/>
              <w:jc w:val="center"/>
              <w:rPr>
                <w:rFonts w:eastAsia="EUAlbertina-Bold-Identity-H" w:cs="Times New Roman"/>
                <w:sz w:val="22"/>
                <w:lang w:eastAsia="lv-LV"/>
              </w:rPr>
            </w:pPr>
            <w:r w:rsidRPr="00717EEF">
              <w:rPr>
                <w:rFonts w:eastAsia="EUAlbertina-Bold-Identity-H" w:cs="Times New Roman"/>
                <w:sz w:val="22"/>
                <w:lang w:eastAsia="lv-LV"/>
              </w:rPr>
              <w:t>0</w:t>
            </w:r>
          </w:p>
        </w:tc>
        <w:tc>
          <w:tcPr>
            <w:tcW w:w="2043" w:type="dxa"/>
            <w:shd w:val="clear" w:color="auto" w:fill="auto"/>
            <w:vAlign w:val="center"/>
          </w:tcPr>
          <w:p w14:paraId="6D13BFFC" w14:textId="77777777" w:rsidR="00F26818" w:rsidRPr="00717EEF" w:rsidRDefault="00F26818" w:rsidP="003231DF">
            <w:pPr>
              <w:spacing w:line="276" w:lineRule="auto"/>
              <w:jc w:val="center"/>
              <w:rPr>
                <w:rFonts w:eastAsia="EUAlbertina-Bold-Identity-H" w:cs="Times New Roman"/>
                <w:sz w:val="22"/>
                <w:lang w:eastAsia="lv-LV"/>
              </w:rPr>
            </w:pPr>
            <w:r w:rsidRPr="00717EEF">
              <w:rPr>
                <w:rFonts w:eastAsia="EUAlbertina-Bold-Identity-H" w:cs="Times New Roman"/>
                <w:sz w:val="22"/>
                <w:lang w:eastAsia="lv-LV"/>
              </w:rPr>
              <w:t>0</w:t>
            </w:r>
          </w:p>
        </w:tc>
      </w:tr>
      <w:tr w:rsidR="00F26818" w:rsidRPr="00E60E22" w14:paraId="44F94185" w14:textId="77777777" w:rsidTr="003231DF">
        <w:trPr>
          <w:trHeight w:val="223"/>
          <w:jc w:val="center"/>
        </w:trPr>
        <w:tc>
          <w:tcPr>
            <w:tcW w:w="1597" w:type="dxa"/>
            <w:shd w:val="clear" w:color="auto" w:fill="auto"/>
            <w:vAlign w:val="center"/>
          </w:tcPr>
          <w:p w14:paraId="3B19B339" w14:textId="77777777" w:rsidR="00F26818" w:rsidRPr="00E60E22" w:rsidRDefault="00F26818" w:rsidP="003231DF">
            <w:pPr>
              <w:spacing w:line="276" w:lineRule="auto"/>
              <w:jc w:val="center"/>
              <w:rPr>
                <w:rFonts w:eastAsia="EUAlbertina-Bold-Identity-H" w:cs="Times New Roman"/>
                <w:color w:val="000000" w:themeColor="text1"/>
                <w:sz w:val="22"/>
                <w:lang w:eastAsia="lv-LV"/>
              </w:rPr>
            </w:pPr>
            <w:r w:rsidRPr="00E60E22">
              <w:rPr>
                <w:rFonts w:eastAsia="EUAlbertina-Bold-Identity-H" w:cs="Times New Roman"/>
                <w:color w:val="000000" w:themeColor="text1"/>
                <w:sz w:val="22"/>
                <w:lang w:eastAsia="lv-LV"/>
              </w:rPr>
              <w:t>SIF</w:t>
            </w:r>
          </w:p>
        </w:tc>
        <w:tc>
          <w:tcPr>
            <w:tcW w:w="2853" w:type="dxa"/>
            <w:shd w:val="clear" w:color="auto" w:fill="auto"/>
            <w:vAlign w:val="center"/>
          </w:tcPr>
          <w:p w14:paraId="63FD75F6" w14:textId="77777777" w:rsidR="00F26818" w:rsidRPr="00E60E22" w:rsidRDefault="00F26818" w:rsidP="003231DF">
            <w:pPr>
              <w:spacing w:line="276" w:lineRule="auto"/>
              <w:jc w:val="center"/>
              <w:rPr>
                <w:rFonts w:eastAsia="EUAlbertina-Bold-Identity-H" w:cs="Times New Roman"/>
                <w:color w:val="000000" w:themeColor="text1"/>
                <w:sz w:val="22"/>
                <w:lang w:eastAsia="lv-LV"/>
              </w:rPr>
            </w:pPr>
            <w:r w:rsidRPr="00E60E22">
              <w:rPr>
                <w:rFonts w:eastAsia="EUAlbertina-Bold-Identity-H" w:cs="Times New Roman"/>
                <w:color w:val="000000" w:themeColor="text1"/>
                <w:sz w:val="22"/>
                <w:lang w:eastAsia="lv-LV"/>
              </w:rPr>
              <w:t>0</w:t>
            </w:r>
          </w:p>
        </w:tc>
        <w:tc>
          <w:tcPr>
            <w:tcW w:w="2189" w:type="dxa"/>
            <w:shd w:val="clear" w:color="auto" w:fill="auto"/>
            <w:vAlign w:val="center"/>
          </w:tcPr>
          <w:p w14:paraId="0DA3398F" w14:textId="77777777" w:rsidR="00F26818" w:rsidRPr="00E60E22" w:rsidRDefault="00F26818" w:rsidP="003231DF">
            <w:pPr>
              <w:spacing w:line="276" w:lineRule="auto"/>
              <w:jc w:val="center"/>
              <w:rPr>
                <w:rFonts w:eastAsia="EUAlbertina-Bold-Identity-H" w:cs="Times New Roman"/>
                <w:color w:val="000000" w:themeColor="text1"/>
                <w:sz w:val="22"/>
                <w:lang w:eastAsia="lv-LV"/>
              </w:rPr>
            </w:pPr>
            <w:r w:rsidRPr="00E60E22">
              <w:rPr>
                <w:rFonts w:eastAsia="EUAlbertina-Bold-Identity-H" w:cs="Times New Roman"/>
                <w:color w:val="000000" w:themeColor="text1"/>
                <w:sz w:val="22"/>
                <w:lang w:eastAsia="lv-LV"/>
              </w:rPr>
              <w:t>0</w:t>
            </w:r>
          </w:p>
        </w:tc>
        <w:tc>
          <w:tcPr>
            <w:tcW w:w="2043" w:type="dxa"/>
            <w:shd w:val="clear" w:color="auto" w:fill="auto"/>
            <w:vAlign w:val="center"/>
          </w:tcPr>
          <w:p w14:paraId="49E3D899" w14:textId="77777777" w:rsidR="00F26818" w:rsidRPr="00E60E22" w:rsidRDefault="00F26818" w:rsidP="003231DF">
            <w:pPr>
              <w:spacing w:line="276" w:lineRule="auto"/>
              <w:jc w:val="center"/>
              <w:rPr>
                <w:rFonts w:eastAsia="EUAlbertina-Bold-Identity-H" w:cs="Times New Roman"/>
                <w:color w:val="000000" w:themeColor="text1"/>
                <w:sz w:val="22"/>
                <w:lang w:eastAsia="lv-LV"/>
              </w:rPr>
            </w:pPr>
            <w:r w:rsidRPr="00E60E22">
              <w:rPr>
                <w:rFonts w:eastAsia="EUAlbertina-Bold-Identity-H" w:cs="Times New Roman"/>
                <w:color w:val="000000" w:themeColor="text1"/>
                <w:sz w:val="22"/>
                <w:lang w:eastAsia="lv-LV"/>
              </w:rPr>
              <w:t>0</w:t>
            </w:r>
          </w:p>
        </w:tc>
      </w:tr>
      <w:tr w:rsidR="00F26818" w:rsidRPr="00E60E22" w14:paraId="35464D5F" w14:textId="77777777" w:rsidTr="003231DF">
        <w:trPr>
          <w:trHeight w:val="223"/>
          <w:jc w:val="center"/>
        </w:trPr>
        <w:tc>
          <w:tcPr>
            <w:tcW w:w="1597" w:type="dxa"/>
            <w:shd w:val="clear" w:color="auto" w:fill="auto"/>
            <w:vAlign w:val="center"/>
          </w:tcPr>
          <w:p w14:paraId="29536049" w14:textId="77777777" w:rsidR="00F26818" w:rsidRPr="00E60E22" w:rsidRDefault="00F26818" w:rsidP="003231DF">
            <w:pPr>
              <w:spacing w:line="276" w:lineRule="auto"/>
              <w:jc w:val="center"/>
              <w:rPr>
                <w:rFonts w:eastAsia="EUAlbertina-Bold-Identity-H" w:cs="Times New Roman"/>
                <w:color w:val="000000" w:themeColor="text1"/>
                <w:sz w:val="22"/>
                <w:lang w:eastAsia="lv-LV"/>
              </w:rPr>
            </w:pPr>
            <w:r w:rsidRPr="00E60E22">
              <w:rPr>
                <w:rFonts w:eastAsia="EUAlbertina-Bold-Identity-H" w:cs="Times New Roman"/>
                <w:color w:val="000000" w:themeColor="text1"/>
                <w:sz w:val="22"/>
                <w:lang w:eastAsia="lv-LV"/>
              </w:rPr>
              <w:t>KM</w:t>
            </w:r>
          </w:p>
        </w:tc>
        <w:tc>
          <w:tcPr>
            <w:tcW w:w="2853" w:type="dxa"/>
            <w:shd w:val="clear" w:color="auto" w:fill="auto"/>
            <w:vAlign w:val="center"/>
          </w:tcPr>
          <w:p w14:paraId="7EA1A99B" w14:textId="77777777" w:rsidR="00F26818" w:rsidRPr="00E60E22" w:rsidRDefault="00F26818" w:rsidP="003231DF">
            <w:pPr>
              <w:spacing w:line="276" w:lineRule="auto"/>
              <w:jc w:val="center"/>
              <w:rPr>
                <w:rFonts w:eastAsia="EUAlbertina-Bold-Identity-H" w:cs="Times New Roman"/>
                <w:color w:val="000000" w:themeColor="text1"/>
                <w:sz w:val="22"/>
                <w:lang w:eastAsia="lv-LV"/>
              </w:rPr>
            </w:pPr>
            <w:r w:rsidRPr="00E60E22">
              <w:rPr>
                <w:rFonts w:eastAsia="EUAlbertina-Bold-Identity-H" w:cs="Times New Roman"/>
                <w:color w:val="000000" w:themeColor="text1"/>
                <w:sz w:val="22"/>
                <w:lang w:eastAsia="lv-LV"/>
              </w:rPr>
              <w:t>0</w:t>
            </w:r>
          </w:p>
        </w:tc>
        <w:tc>
          <w:tcPr>
            <w:tcW w:w="2189" w:type="dxa"/>
            <w:shd w:val="clear" w:color="auto" w:fill="auto"/>
            <w:vAlign w:val="center"/>
          </w:tcPr>
          <w:p w14:paraId="1AF49E64" w14:textId="77777777" w:rsidR="00F26818" w:rsidRPr="00E60E22" w:rsidRDefault="00F26818" w:rsidP="003231DF">
            <w:pPr>
              <w:spacing w:line="276" w:lineRule="auto"/>
              <w:jc w:val="center"/>
              <w:rPr>
                <w:rFonts w:eastAsia="EUAlbertina-Bold-Identity-H" w:cs="Times New Roman"/>
                <w:color w:val="000000" w:themeColor="text1"/>
                <w:sz w:val="22"/>
                <w:lang w:eastAsia="lv-LV"/>
              </w:rPr>
            </w:pPr>
            <w:r w:rsidRPr="00E60E22">
              <w:rPr>
                <w:rFonts w:eastAsia="EUAlbertina-Bold-Identity-H" w:cs="Times New Roman"/>
                <w:color w:val="000000" w:themeColor="text1"/>
                <w:sz w:val="22"/>
                <w:lang w:eastAsia="lv-LV"/>
              </w:rPr>
              <w:t>0</w:t>
            </w:r>
          </w:p>
        </w:tc>
        <w:tc>
          <w:tcPr>
            <w:tcW w:w="2043" w:type="dxa"/>
            <w:shd w:val="clear" w:color="auto" w:fill="auto"/>
            <w:vAlign w:val="center"/>
          </w:tcPr>
          <w:p w14:paraId="356D1834" w14:textId="77777777" w:rsidR="00F26818" w:rsidRPr="00E60E22" w:rsidRDefault="00F26818" w:rsidP="003231DF">
            <w:pPr>
              <w:spacing w:line="276" w:lineRule="auto"/>
              <w:jc w:val="center"/>
              <w:rPr>
                <w:rFonts w:eastAsia="EUAlbertina-Bold-Identity-H" w:cs="Times New Roman"/>
                <w:color w:val="000000" w:themeColor="text1"/>
                <w:sz w:val="22"/>
                <w:lang w:eastAsia="lv-LV"/>
              </w:rPr>
            </w:pPr>
            <w:r w:rsidRPr="00E60E22">
              <w:rPr>
                <w:rFonts w:eastAsia="EUAlbertina-Bold-Identity-H" w:cs="Times New Roman"/>
                <w:color w:val="000000" w:themeColor="text1"/>
                <w:sz w:val="22"/>
                <w:lang w:eastAsia="lv-LV"/>
              </w:rPr>
              <w:t>0</w:t>
            </w:r>
          </w:p>
        </w:tc>
      </w:tr>
      <w:tr w:rsidR="00F26818" w:rsidRPr="00E60E22" w14:paraId="63CF8E4E" w14:textId="77777777" w:rsidTr="003231DF">
        <w:trPr>
          <w:trHeight w:val="223"/>
          <w:jc w:val="center"/>
        </w:trPr>
        <w:tc>
          <w:tcPr>
            <w:tcW w:w="1597" w:type="dxa"/>
            <w:shd w:val="clear" w:color="auto" w:fill="auto"/>
            <w:vAlign w:val="center"/>
          </w:tcPr>
          <w:p w14:paraId="6512FE1E" w14:textId="77777777" w:rsidR="00F26818" w:rsidRPr="00E60E22" w:rsidRDefault="00F26818" w:rsidP="003231DF">
            <w:pPr>
              <w:spacing w:line="276" w:lineRule="auto"/>
              <w:jc w:val="center"/>
              <w:rPr>
                <w:rFonts w:eastAsia="EUAlbertina-Bold-Identity-H" w:cs="Times New Roman"/>
                <w:color w:val="000000" w:themeColor="text1"/>
                <w:sz w:val="22"/>
                <w:lang w:eastAsia="lv-LV"/>
              </w:rPr>
            </w:pPr>
            <w:r w:rsidRPr="00E60E22">
              <w:rPr>
                <w:rFonts w:eastAsia="EUAlbertina-Bold-Identity-H" w:cs="Times New Roman"/>
                <w:color w:val="000000" w:themeColor="text1"/>
                <w:sz w:val="22"/>
                <w:lang w:eastAsia="lv-LV"/>
              </w:rPr>
              <w:t>VVD</w:t>
            </w:r>
          </w:p>
        </w:tc>
        <w:tc>
          <w:tcPr>
            <w:tcW w:w="2853" w:type="dxa"/>
            <w:shd w:val="clear" w:color="auto" w:fill="auto"/>
            <w:vAlign w:val="center"/>
          </w:tcPr>
          <w:p w14:paraId="24AB9F1D" w14:textId="77777777" w:rsidR="00F26818" w:rsidRPr="00E60E22" w:rsidRDefault="00F26818" w:rsidP="003231DF">
            <w:pPr>
              <w:spacing w:line="276" w:lineRule="auto"/>
              <w:jc w:val="center"/>
              <w:rPr>
                <w:rFonts w:eastAsia="EUAlbertina-Bold-Identity-H" w:cs="Times New Roman"/>
                <w:color w:val="000000" w:themeColor="text1"/>
                <w:sz w:val="22"/>
                <w:lang w:eastAsia="lv-LV"/>
              </w:rPr>
            </w:pPr>
            <w:r w:rsidRPr="00E60E22">
              <w:rPr>
                <w:rFonts w:eastAsia="EUAlbertina-Bold-Identity-H" w:cs="Times New Roman"/>
                <w:color w:val="000000" w:themeColor="text1"/>
                <w:sz w:val="22"/>
                <w:lang w:eastAsia="lv-LV"/>
              </w:rPr>
              <w:t>0</w:t>
            </w:r>
          </w:p>
        </w:tc>
        <w:tc>
          <w:tcPr>
            <w:tcW w:w="2189" w:type="dxa"/>
            <w:shd w:val="clear" w:color="auto" w:fill="auto"/>
            <w:vAlign w:val="center"/>
          </w:tcPr>
          <w:p w14:paraId="6703E9AF" w14:textId="77777777" w:rsidR="00F26818" w:rsidRPr="00E60E22" w:rsidRDefault="00F26818" w:rsidP="003231DF">
            <w:pPr>
              <w:spacing w:line="276" w:lineRule="auto"/>
              <w:jc w:val="center"/>
              <w:rPr>
                <w:rFonts w:eastAsia="EUAlbertina-Bold-Identity-H" w:cs="Times New Roman"/>
                <w:color w:val="000000" w:themeColor="text1"/>
                <w:sz w:val="22"/>
                <w:lang w:eastAsia="lv-LV"/>
              </w:rPr>
            </w:pPr>
            <w:r w:rsidRPr="00E60E22">
              <w:rPr>
                <w:rFonts w:eastAsia="EUAlbertina-Bold-Identity-H" w:cs="Times New Roman"/>
                <w:color w:val="000000" w:themeColor="text1"/>
                <w:sz w:val="22"/>
                <w:lang w:eastAsia="lv-LV"/>
              </w:rPr>
              <w:t>0</w:t>
            </w:r>
          </w:p>
        </w:tc>
        <w:tc>
          <w:tcPr>
            <w:tcW w:w="2043" w:type="dxa"/>
            <w:shd w:val="clear" w:color="auto" w:fill="auto"/>
            <w:vAlign w:val="center"/>
          </w:tcPr>
          <w:p w14:paraId="1C28C9B9" w14:textId="77777777" w:rsidR="00F26818" w:rsidRPr="00E60E22" w:rsidRDefault="00F26818" w:rsidP="003231DF">
            <w:pPr>
              <w:spacing w:line="276" w:lineRule="auto"/>
              <w:jc w:val="center"/>
              <w:rPr>
                <w:rFonts w:eastAsia="EUAlbertina-Bold-Identity-H" w:cs="Times New Roman"/>
                <w:color w:val="000000" w:themeColor="text1"/>
                <w:sz w:val="22"/>
                <w:lang w:eastAsia="lv-LV"/>
              </w:rPr>
            </w:pPr>
            <w:r w:rsidRPr="00E60E22">
              <w:rPr>
                <w:rFonts w:eastAsia="EUAlbertina-Bold-Identity-H" w:cs="Times New Roman"/>
                <w:color w:val="000000" w:themeColor="text1"/>
                <w:sz w:val="22"/>
                <w:lang w:eastAsia="lv-LV"/>
              </w:rPr>
              <w:t>0</w:t>
            </w:r>
          </w:p>
        </w:tc>
      </w:tr>
      <w:tr w:rsidR="00F26818" w:rsidRPr="00E60E22" w14:paraId="586E8E47" w14:textId="77777777" w:rsidTr="003231DF">
        <w:trPr>
          <w:trHeight w:val="223"/>
          <w:jc w:val="center"/>
        </w:trPr>
        <w:tc>
          <w:tcPr>
            <w:tcW w:w="1597" w:type="dxa"/>
            <w:shd w:val="clear" w:color="auto" w:fill="auto"/>
            <w:vAlign w:val="center"/>
          </w:tcPr>
          <w:p w14:paraId="2C9326D8" w14:textId="77777777" w:rsidR="00F26818" w:rsidRPr="00E60E22" w:rsidRDefault="00F26818" w:rsidP="003231DF">
            <w:pPr>
              <w:spacing w:line="276" w:lineRule="auto"/>
              <w:jc w:val="center"/>
              <w:rPr>
                <w:rFonts w:eastAsia="EUAlbertina-Bold-Identity-H" w:cs="Times New Roman"/>
                <w:color w:val="000000" w:themeColor="text1"/>
                <w:sz w:val="22"/>
                <w:lang w:eastAsia="lv-LV"/>
              </w:rPr>
            </w:pPr>
            <w:r>
              <w:rPr>
                <w:rFonts w:eastAsia="EUAlbertina-Bold-Identity-H" w:cs="Times New Roman"/>
                <w:color w:val="000000" w:themeColor="text1"/>
                <w:sz w:val="22"/>
                <w:lang w:eastAsia="lv-LV"/>
              </w:rPr>
              <w:t>Kopā</w:t>
            </w:r>
          </w:p>
        </w:tc>
        <w:tc>
          <w:tcPr>
            <w:tcW w:w="2853" w:type="dxa"/>
            <w:shd w:val="clear" w:color="auto" w:fill="auto"/>
            <w:vAlign w:val="center"/>
          </w:tcPr>
          <w:p w14:paraId="24460483" w14:textId="21887F7E" w:rsidR="00F26818" w:rsidRPr="00E60E22" w:rsidRDefault="00F26818" w:rsidP="0021564B">
            <w:pPr>
              <w:spacing w:line="276" w:lineRule="auto"/>
              <w:jc w:val="center"/>
              <w:rPr>
                <w:rFonts w:eastAsia="EUAlbertina-Bold-Identity-H" w:cs="Times New Roman"/>
                <w:color w:val="000000" w:themeColor="text1"/>
                <w:sz w:val="22"/>
                <w:lang w:eastAsia="lv-LV"/>
              </w:rPr>
            </w:pPr>
            <w:r>
              <w:rPr>
                <w:rFonts w:eastAsia="EUAlbertina-Bold-Identity-H"/>
                <w:b/>
                <w:color w:val="000000" w:themeColor="text1"/>
                <w:sz w:val="22"/>
                <w:lang w:eastAsia="lv-LV"/>
              </w:rPr>
              <w:t xml:space="preserve"> </w:t>
            </w:r>
            <w:r w:rsidR="0021564B">
              <w:rPr>
                <w:rFonts w:eastAsia="EUAlbertina-Bold-Identity-H"/>
                <w:b/>
                <w:color w:val="000000" w:themeColor="text1"/>
                <w:sz w:val="22"/>
                <w:lang w:eastAsia="lv-LV"/>
              </w:rPr>
              <w:t xml:space="preserve">23 </w:t>
            </w:r>
            <w:r>
              <w:rPr>
                <w:rFonts w:eastAsia="EUAlbertina-Bold-Identity-H"/>
                <w:b/>
                <w:color w:val="000000" w:themeColor="text1"/>
                <w:sz w:val="22"/>
                <w:lang w:eastAsia="lv-LV"/>
              </w:rPr>
              <w:t>(</w:t>
            </w:r>
            <w:r w:rsidR="0021564B">
              <w:rPr>
                <w:rFonts w:eastAsia="EUAlbertina-Bold-Identity-H"/>
                <w:b/>
                <w:color w:val="000000" w:themeColor="text1"/>
                <w:sz w:val="22"/>
                <w:lang w:eastAsia="lv-LV"/>
              </w:rPr>
              <w:t>564 458,73</w:t>
            </w:r>
            <w:r>
              <w:rPr>
                <w:rFonts w:eastAsia="EUAlbertina-Bold-Identity-H"/>
                <w:b/>
                <w:color w:val="000000" w:themeColor="text1"/>
                <w:sz w:val="22"/>
                <w:lang w:eastAsia="lv-LV"/>
              </w:rPr>
              <w:t>)</w:t>
            </w:r>
          </w:p>
        </w:tc>
        <w:tc>
          <w:tcPr>
            <w:tcW w:w="2189" w:type="dxa"/>
            <w:shd w:val="clear" w:color="auto" w:fill="auto"/>
            <w:vAlign w:val="center"/>
          </w:tcPr>
          <w:p w14:paraId="2D27D97A" w14:textId="2871F990" w:rsidR="00F26818" w:rsidRPr="00E60E22" w:rsidRDefault="00F26818" w:rsidP="0021564B">
            <w:pPr>
              <w:spacing w:line="276" w:lineRule="auto"/>
              <w:jc w:val="center"/>
              <w:rPr>
                <w:rFonts w:eastAsia="EUAlbertina-Bold-Identity-H" w:cs="Times New Roman"/>
                <w:color w:val="000000" w:themeColor="text1"/>
                <w:sz w:val="22"/>
                <w:lang w:eastAsia="lv-LV"/>
              </w:rPr>
            </w:pPr>
            <w:r>
              <w:rPr>
                <w:rFonts w:eastAsia="EUAlbertina-Bold-Identity-H"/>
                <w:b/>
                <w:color w:val="000000" w:themeColor="text1"/>
                <w:sz w:val="22"/>
                <w:lang w:eastAsia="lv-LV"/>
              </w:rPr>
              <w:t>24</w:t>
            </w:r>
          </w:p>
        </w:tc>
        <w:tc>
          <w:tcPr>
            <w:tcW w:w="2043" w:type="dxa"/>
            <w:shd w:val="clear" w:color="auto" w:fill="auto"/>
            <w:vAlign w:val="center"/>
          </w:tcPr>
          <w:p w14:paraId="6CCEE686" w14:textId="77777777" w:rsidR="00F26818" w:rsidRPr="00E60E22" w:rsidRDefault="00F26818" w:rsidP="003231DF">
            <w:pPr>
              <w:spacing w:line="276" w:lineRule="auto"/>
              <w:jc w:val="center"/>
              <w:rPr>
                <w:rFonts w:eastAsia="EUAlbertina-Bold-Identity-H" w:cs="Times New Roman"/>
                <w:color w:val="000000" w:themeColor="text1"/>
                <w:sz w:val="22"/>
                <w:lang w:eastAsia="lv-LV"/>
              </w:rPr>
            </w:pPr>
            <w:r>
              <w:rPr>
                <w:rFonts w:eastAsia="EUAlbertina-Bold-Identity-H"/>
                <w:b/>
                <w:color w:val="000000" w:themeColor="text1"/>
                <w:sz w:val="22"/>
                <w:lang w:eastAsia="lv-LV"/>
              </w:rPr>
              <w:t>0</w:t>
            </w:r>
          </w:p>
        </w:tc>
      </w:tr>
    </w:tbl>
    <w:p w14:paraId="24550D57" w14:textId="77777777" w:rsidR="00F26818" w:rsidRPr="00E60E22" w:rsidRDefault="00F26818" w:rsidP="00F26818">
      <w:pPr>
        <w:spacing w:before="120" w:after="120" w:line="276" w:lineRule="auto"/>
        <w:jc w:val="both"/>
        <w:rPr>
          <w:rFonts w:eastAsia="EUAlbertina-Bold-Identity-H" w:cs="Times New Roman"/>
          <w:i/>
          <w:color w:val="000000"/>
          <w:sz w:val="20"/>
          <w:szCs w:val="20"/>
          <w:lang w:eastAsia="lv-LV"/>
        </w:rPr>
      </w:pPr>
      <w:r w:rsidRPr="00E60E22">
        <w:rPr>
          <w:rFonts w:eastAsia="EUAlbertina-Bold-Identity-H" w:cs="Times New Roman"/>
          <w:i/>
          <w:color w:val="000000"/>
          <w:sz w:val="20"/>
          <w:szCs w:val="20"/>
          <w:lang w:eastAsia="lv-LV"/>
        </w:rPr>
        <w:t>*Atbilstoš</w:t>
      </w:r>
      <w:r>
        <w:rPr>
          <w:rFonts w:eastAsia="EUAlbertina-Bold-Identity-H" w:cs="Times New Roman"/>
          <w:i/>
          <w:color w:val="000000"/>
          <w:sz w:val="20"/>
          <w:szCs w:val="20"/>
          <w:lang w:eastAsia="lv-LV"/>
        </w:rPr>
        <w:t>i iestāžu sniegtai informācijai</w:t>
      </w:r>
      <w:r w:rsidRPr="00E60E22">
        <w:rPr>
          <w:rFonts w:eastAsia="EUAlbertina-Bold-Identity-H" w:cs="Times New Roman"/>
          <w:i/>
          <w:color w:val="000000"/>
          <w:sz w:val="20"/>
          <w:szCs w:val="20"/>
          <w:lang w:eastAsia="lv-LV"/>
        </w:rPr>
        <w:t xml:space="preserve"> </w:t>
      </w:r>
    </w:p>
    <w:p w14:paraId="6DED8A62" w14:textId="65AD3CE3" w:rsidR="00F26818" w:rsidRDefault="00F26818" w:rsidP="00144311">
      <w:pPr>
        <w:spacing w:before="120" w:after="120" w:line="276" w:lineRule="auto"/>
        <w:jc w:val="both"/>
        <w:rPr>
          <w:rFonts w:eastAsia="Calibri" w:cs="Times New Roman"/>
          <w:color w:val="000000"/>
          <w:szCs w:val="24"/>
        </w:rPr>
      </w:pPr>
      <w:r w:rsidRPr="002861A5">
        <w:rPr>
          <w:rFonts w:eastAsia="Calibri" w:cs="Times New Roman"/>
          <w:color w:val="000000"/>
          <w:szCs w:val="24"/>
        </w:rPr>
        <w:t>Detalizētāk jautājums tik</w:t>
      </w:r>
      <w:r w:rsidR="00E3384F">
        <w:rPr>
          <w:rFonts w:eastAsia="Calibri" w:cs="Times New Roman"/>
          <w:color w:val="000000"/>
          <w:szCs w:val="24"/>
        </w:rPr>
        <w:t>a</w:t>
      </w:r>
      <w:r w:rsidRPr="002861A5">
        <w:rPr>
          <w:rFonts w:eastAsia="Calibri" w:cs="Times New Roman"/>
          <w:color w:val="000000"/>
          <w:szCs w:val="24"/>
        </w:rPr>
        <w:t xml:space="preserve"> pārrunāts FM </w:t>
      </w:r>
      <w:r w:rsidRPr="001F0C30">
        <w:rPr>
          <w:rFonts w:eastAsia="Calibri" w:cs="Times New Roman"/>
          <w:szCs w:val="24"/>
        </w:rPr>
        <w:t>2015.gada ceturtā ceturkšņa neatbilstību darba grupas sanāksmē</w:t>
      </w:r>
      <w:bookmarkStart w:id="20" w:name="_Toc276050004"/>
      <w:bookmarkStart w:id="21" w:name="_Toc324948892"/>
      <w:r w:rsidRPr="001F0C30">
        <w:rPr>
          <w:rFonts w:eastAsia="Calibri" w:cs="Times New Roman"/>
          <w:szCs w:val="24"/>
        </w:rPr>
        <w:t>, kur tik</w:t>
      </w:r>
      <w:r w:rsidR="00E3384F">
        <w:rPr>
          <w:rFonts w:eastAsia="Calibri" w:cs="Times New Roman"/>
          <w:szCs w:val="24"/>
        </w:rPr>
        <w:t>a</w:t>
      </w:r>
      <w:r w:rsidRPr="001F0C30">
        <w:rPr>
          <w:rFonts w:eastAsia="Calibri" w:cs="Times New Roman"/>
          <w:szCs w:val="24"/>
        </w:rPr>
        <w:t xml:space="preserve"> diskutēts par secinājumiem par 2015.gadu, problēmām</w:t>
      </w:r>
      <w:r w:rsidRPr="002861A5">
        <w:rPr>
          <w:rFonts w:eastAsia="Calibri" w:cs="Times New Roman"/>
          <w:color w:val="000000"/>
          <w:szCs w:val="24"/>
        </w:rPr>
        <w:t xml:space="preserve">, ar kurām iestādes </w:t>
      </w:r>
      <w:proofErr w:type="spellStart"/>
      <w:r w:rsidRPr="002861A5">
        <w:rPr>
          <w:rFonts w:eastAsia="Calibri" w:cs="Times New Roman"/>
          <w:color w:val="000000"/>
          <w:szCs w:val="24"/>
        </w:rPr>
        <w:t>saskārušās</w:t>
      </w:r>
      <w:proofErr w:type="spellEnd"/>
      <w:r w:rsidRPr="002861A5">
        <w:rPr>
          <w:rFonts w:eastAsia="Calibri" w:cs="Times New Roman"/>
          <w:color w:val="000000"/>
          <w:szCs w:val="24"/>
        </w:rPr>
        <w:t>, plānotajiem uzlabojumiem, kā arī par neierosinātajām izmeklēšanas lietām</w:t>
      </w:r>
      <w:bookmarkEnd w:id="20"/>
      <w:bookmarkEnd w:id="21"/>
      <w:r w:rsidRPr="002861A5">
        <w:rPr>
          <w:rFonts w:eastAsia="Calibri" w:cs="Times New Roman"/>
          <w:color w:val="000000"/>
          <w:szCs w:val="24"/>
        </w:rPr>
        <w:t>.</w:t>
      </w:r>
    </w:p>
    <w:p w14:paraId="706B0323" w14:textId="2E66BEF9" w:rsidR="00062EEB" w:rsidRPr="00EB7670" w:rsidRDefault="00062EEB" w:rsidP="00062EEB">
      <w:pPr>
        <w:pStyle w:val="ListParagraph"/>
        <w:spacing w:before="120" w:after="120" w:line="276" w:lineRule="auto"/>
        <w:ind w:left="0"/>
        <w:contextualSpacing w:val="0"/>
        <w:jc w:val="both"/>
        <w:rPr>
          <w:rFonts w:eastAsia="Calibri" w:cs="Times New Roman"/>
          <w:szCs w:val="24"/>
        </w:rPr>
      </w:pPr>
      <w:r w:rsidRPr="00EB7670">
        <w:rPr>
          <w:rFonts w:eastAsia="Calibri" w:cs="Times New Roman"/>
          <w:szCs w:val="24"/>
        </w:rPr>
        <w:t>Attiecībā uz saņemto EK veiktā DP „Infrastruktūra un pakalpojumi” audita gala slēdzienu par finanšu korekcijas piemērošanu visos līgumos, kuru nolikumā iekļauta diskriminējoša prasība, ka apakšuzņēmējiem var nodot ne vairāk kā 70% no kopējā būvdarbu apjoma, ar MK 2015.gada 22.</w:t>
      </w:r>
      <w:r w:rsidR="00D6528A">
        <w:rPr>
          <w:rFonts w:eastAsia="Calibri" w:cs="Times New Roman"/>
          <w:szCs w:val="24"/>
        </w:rPr>
        <w:t>septembra</w:t>
      </w:r>
      <w:r w:rsidRPr="00EB7670">
        <w:rPr>
          <w:rFonts w:eastAsia="Calibri" w:cs="Times New Roman"/>
          <w:szCs w:val="24"/>
        </w:rPr>
        <w:t xml:space="preserve"> sēdes </w:t>
      </w:r>
      <w:proofErr w:type="spellStart"/>
      <w:r w:rsidRPr="00EB7670">
        <w:rPr>
          <w:rFonts w:eastAsia="Calibri" w:cs="Times New Roman"/>
          <w:szCs w:val="24"/>
        </w:rPr>
        <w:t>protokollēmumu</w:t>
      </w:r>
      <w:proofErr w:type="spellEnd"/>
      <w:r w:rsidRPr="00EB7670">
        <w:rPr>
          <w:rFonts w:eastAsia="Calibri" w:cs="Times New Roman"/>
          <w:szCs w:val="24"/>
        </w:rPr>
        <w:t xml:space="preserve"> (prot. Nr.50, 36.§ 7.punkts) tika noteikts, ka neatbilstoši veiktie izdevumi tiks segti</w:t>
      </w:r>
      <w:r w:rsidRPr="00EB7670">
        <w:t xml:space="preserve"> no valsts budžeta</w:t>
      </w:r>
      <w:r w:rsidRPr="00EB7670">
        <w:rPr>
          <w:rFonts w:eastAsia="Calibri" w:cs="Times New Roman"/>
          <w:szCs w:val="24"/>
        </w:rPr>
        <w:t>. Ņemot vērā saņemto aktuālo informāciju no AI un SI, pārskata periodā ir precizēta piemērojamās sistēmiskās finanšu korekcijas summa. Aprēķināts, ka finanšu korekcija piemērojama 2</w:t>
      </w:r>
      <w:r>
        <w:rPr>
          <w:rFonts w:eastAsia="Calibri" w:cs="Times New Roman"/>
          <w:szCs w:val="24"/>
        </w:rPr>
        <w:t>6,4</w:t>
      </w:r>
      <w:r w:rsidRPr="00EB7670">
        <w:rPr>
          <w:rFonts w:eastAsia="Calibri" w:cs="Times New Roman"/>
          <w:szCs w:val="24"/>
        </w:rPr>
        <w:t xml:space="preserve"> milj. </w:t>
      </w:r>
      <w:r w:rsidRPr="00EB7670">
        <w:rPr>
          <w:rFonts w:eastAsia="Calibri" w:cs="Times New Roman"/>
          <w:i/>
          <w:szCs w:val="24"/>
        </w:rPr>
        <w:t>euro</w:t>
      </w:r>
      <w:r w:rsidRPr="00EB7670">
        <w:rPr>
          <w:rFonts w:eastAsia="Calibri" w:cs="Times New Roman"/>
          <w:szCs w:val="24"/>
        </w:rPr>
        <w:t xml:space="preserve"> apmērā, no kuriem 2</w:t>
      </w:r>
      <w:r>
        <w:rPr>
          <w:rFonts w:eastAsia="Calibri" w:cs="Times New Roman"/>
          <w:szCs w:val="24"/>
        </w:rPr>
        <w:t>2,3</w:t>
      </w:r>
      <w:r w:rsidRPr="00EB7670">
        <w:rPr>
          <w:rFonts w:eastAsia="Calibri" w:cs="Times New Roman"/>
          <w:szCs w:val="24"/>
        </w:rPr>
        <w:t xml:space="preserve"> milj. </w:t>
      </w:r>
      <w:r w:rsidRPr="00EB7670">
        <w:rPr>
          <w:rFonts w:eastAsia="Calibri" w:cs="Times New Roman"/>
          <w:i/>
          <w:szCs w:val="24"/>
        </w:rPr>
        <w:t>euro</w:t>
      </w:r>
      <w:r w:rsidRPr="00EB7670">
        <w:rPr>
          <w:rFonts w:eastAsia="Calibri" w:cs="Times New Roman"/>
          <w:szCs w:val="24"/>
        </w:rPr>
        <w:t xml:space="preserve"> ir ES fondu finansējums (finanšu korekcijas apjom</w:t>
      </w:r>
      <w:r>
        <w:rPr>
          <w:rFonts w:eastAsia="Calibri" w:cs="Times New Roman"/>
          <w:szCs w:val="24"/>
        </w:rPr>
        <w:t>a</w:t>
      </w:r>
      <w:r w:rsidRPr="00EB7670">
        <w:rPr>
          <w:rFonts w:eastAsia="Calibri" w:cs="Times New Roman"/>
          <w:szCs w:val="24"/>
        </w:rPr>
        <w:t xml:space="preserve"> samazināj</w:t>
      </w:r>
      <w:r>
        <w:rPr>
          <w:rFonts w:eastAsia="Calibri" w:cs="Times New Roman"/>
          <w:szCs w:val="24"/>
        </w:rPr>
        <w:t>ums</w:t>
      </w:r>
      <w:r w:rsidRPr="00EB7670">
        <w:rPr>
          <w:rFonts w:eastAsia="Calibri" w:cs="Times New Roman"/>
          <w:szCs w:val="24"/>
        </w:rPr>
        <w:t xml:space="preserve"> kopumā par </w:t>
      </w:r>
      <w:r>
        <w:rPr>
          <w:rFonts w:eastAsia="Calibri" w:cs="Times New Roman"/>
          <w:szCs w:val="24"/>
        </w:rPr>
        <w:t>88 822,6</w:t>
      </w:r>
      <w:r w:rsidRPr="00EB7670">
        <w:rPr>
          <w:rFonts w:eastAsia="Calibri" w:cs="Times New Roman"/>
          <w:szCs w:val="24"/>
        </w:rPr>
        <w:t xml:space="preserve"> </w:t>
      </w:r>
      <w:r w:rsidRPr="00EB7670">
        <w:rPr>
          <w:rFonts w:eastAsia="Calibri" w:cs="Times New Roman"/>
          <w:i/>
          <w:szCs w:val="24"/>
        </w:rPr>
        <w:t>euro</w:t>
      </w:r>
      <w:r w:rsidRPr="00EB7670">
        <w:rPr>
          <w:rFonts w:eastAsia="Calibri" w:cs="Times New Roman"/>
          <w:szCs w:val="24"/>
        </w:rPr>
        <w:t>, salīdzinot ar sākotnēji</w:t>
      </w:r>
      <w:r>
        <w:rPr>
          <w:rFonts w:eastAsia="Calibri" w:cs="Times New Roman"/>
          <w:szCs w:val="24"/>
        </w:rPr>
        <w:t>em</w:t>
      </w:r>
      <w:r w:rsidRPr="00EB7670">
        <w:rPr>
          <w:rFonts w:eastAsia="Calibri" w:cs="Times New Roman"/>
          <w:szCs w:val="24"/>
        </w:rPr>
        <w:t xml:space="preserve"> aprēķiniem). Precizētā informācija iekļauta arī </w:t>
      </w:r>
      <w:proofErr w:type="spellStart"/>
      <w:r w:rsidRPr="00EB7670">
        <w:rPr>
          <w:rFonts w:eastAsia="Calibri" w:cs="Times New Roman"/>
          <w:szCs w:val="24"/>
        </w:rPr>
        <w:t>protokollēmumā</w:t>
      </w:r>
      <w:proofErr w:type="spellEnd"/>
      <w:r w:rsidRPr="00EB7670">
        <w:rPr>
          <w:rFonts w:eastAsia="Calibri" w:cs="Times New Roman"/>
          <w:szCs w:val="24"/>
        </w:rPr>
        <w:t xml:space="preserve">. EK ierosinātā finanšu korekcija neietekmē kopējo ERAF un KF fondu izlietojumu, ņemot vērā uzņemto </w:t>
      </w:r>
      <w:proofErr w:type="spellStart"/>
      <w:r w:rsidRPr="00EB7670">
        <w:rPr>
          <w:rFonts w:eastAsia="Calibri" w:cs="Times New Roman"/>
          <w:szCs w:val="24"/>
        </w:rPr>
        <w:t>virssaistību</w:t>
      </w:r>
      <w:proofErr w:type="spellEnd"/>
      <w:r w:rsidRPr="00EB7670">
        <w:rPr>
          <w:rFonts w:eastAsia="Calibri" w:cs="Times New Roman"/>
          <w:szCs w:val="24"/>
        </w:rPr>
        <w:t xml:space="preserve"> apjomu. </w:t>
      </w:r>
    </w:p>
    <w:p w14:paraId="1FFE0DFA" w14:textId="0C8FD194" w:rsidR="00062EEB" w:rsidRDefault="00062EEB" w:rsidP="0008354E">
      <w:pPr>
        <w:pStyle w:val="ListParagraph"/>
        <w:spacing w:before="120" w:after="120" w:line="276" w:lineRule="auto"/>
        <w:ind w:left="0"/>
        <w:contextualSpacing w:val="0"/>
        <w:jc w:val="both"/>
        <w:rPr>
          <w:rFonts w:eastAsia="Calibri" w:cs="Times New Roman"/>
          <w:szCs w:val="24"/>
        </w:rPr>
      </w:pPr>
      <w:r w:rsidRPr="00B41C24">
        <w:rPr>
          <w:rFonts w:eastAsia="Calibri" w:cs="Times New Roman"/>
          <w:szCs w:val="24"/>
        </w:rPr>
        <w:t>EK veiktā audita “Revīzijas iestādes veiktā darba pārbaude attiecībā uz DP "Uzņēmējdarbība un inovācijas" un DP "Infrastruktūra un pakalpojumi"” ietvaros, kur EK konstatējusi, ka iepirkumu nolikumos tiek iekļauta ierobežojoša prasība (</w:t>
      </w:r>
      <w:r w:rsidRPr="00B41C24">
        <w:rPr>
          <w:szCs w:val="24"/>
        </w:rPr>
        <w:t>“</w:t>
      </w:r>
      <w:r w:rsidRPr="00B41C24">
        <w:rPr>
          <w:i/>
          <w:szCs w:val="24"/>
        </w:rPr>
        <w:t xml:space="preserve">uz piedāvājuma </w:t>
      </w:r>
      <w:r w:rsidRPr="00B41C24">
        <w:rPr>
          <w:rFonts w:eastAsia="Calibri" w:cs="Times New Roman"/>
          <w:szCs w:val="24"/>
        </w:rPr>
        <w:t xml:space="preserve">iesniegšanas brīdi nodrošināt sertifikātus atbilstoši Latvijas normatīvo aktu prasībām”), </w:t>
      </w:r>
      <w:r>
        <w:rPr>
          <w:rFonts w:eastAsia="Calibri" w:cs="Times New Roman"/>
          <w:szCs w:val="24"/>
        </w:rPr>
        <w:t xml:space="preserve">2015.gada </w:t>
      </w:r>
      <w:r w:rsidRPr="00B41C24">
        <w:rPr>
          <w:rFonts w:eastAsia="Calibri" w:cs="Times New Roman"/>
          <w:szCs w:val="24"/>
        </w:rPr>
        <w:t xml:space="preserve">17.decembrī notika pirms-noklausīšanās procedūra </w:t>
      </w:r>
      <w:r>
        <w:rPr>
          <w:rFonts w:eastAsia="Calibri" w:cs="Times New Roman"/>
          <w:szCs w:val="24"/>
        </w:rPr>
        <w:t>ar EK auditoriem</w:t>
      </w:r>
      <w:r w:rsidRPr="00B41C24">
        <w:rPr>
          <w:rFonts w:eastAsia="Calibri" w:cs="Times New Roman"/>
          <w:szCs w:val="24"/>
        </w:rPr>
        <w:t xml:space="preserve">, kurā pārrunāti jautājumi par piemērojamo sistēmisko finanšu korekciju un finanšu korekciju </w:t>
      </w:r>
      <w:r>
        <w:rPr>
          <w:rFonts w:eastAsia="Calibri" w:cs="Times New Roman"/>
          <w:szCs w:val="24"/>
        </w:rPr>
        <w:t xml:space="preserve">25% apmērā no būvdarbu </w:t>
      </w:r>
      <w:r>
        <w:rPr>
          <w:rFonts w:eastAsia="Calibri" w:cs="Times New Roman"/>
          <w:szCs w:val="24"/>
        </w:rPr>
        <w:lastRenderedPageBreak/>
        <w:t xml:space="preserve">līgumiem </w:t>
      </w:r>
      <w:r w:rsidRPr="00C21157">
        <w:rPr>
          <w:rFonts w:eastAsia="Calibri" w:cs="Times New Roman"/>
          <w:szCs w:val="24"/>
        </w:rPr>
        <w:t xml:space="preserve">VSIA „Bērnu klīniskā universitātes slimnīca” </w:t>
      </w:r>
      <w:r>
        <w:rPr>
          <w:rFonts w:eastAsia="Calibri" w:cs="Times New Roman"/>
          <w:szCs w:val="24"/>
        </w:rPr>
        <w:t xml:space="preserve"> divu projektu</w:t>
      </w:r>
      <w:r w:rsidRPr="00B41C24">
        <w:rPr>
          <w:rFonts w:eastAsia="Calibri" w:cs="Times New Roman"/>
          <w:szCs w:val="24"/>
        </w:rPr>
        <w:t xml:space="preserve"> ietvaros.</w:t>
      </w:r>
      <w:r>
        <w:rPr>
          <w:rFonts w:eastAsia="Calibri" w:cs="Times New Roman"/>
          <w:szCs w:val="24"/>
        </w:rPr>
        <w:t xml:space="preserve"> Saskaņā ar vienošanos ar EK</w:t>
      </w:r>
      <w:r w:rsidR="004B6B1D">
        <w:rPr>
          <w:rFonts w:eastAsia="Calibri" w:cs="Times New Roman"/>
          <w:szCs w:val="24"/>
        </w:rPr>
        <w:t xml:space="preserve"> līdz 2016.gada 29.janvārim ie</w:t>
      </w:r>
      <w:r>
        <w:rPr>
          <w:rFonts w:eastAsia="Calibri" w:cs="Times New Roman"/>
          <w:szCs w:val="24"/>
        </w:rPr>
        <w:t xml:space="preserve">sniegta papildus informācija un argumenti no Latvijas iestādēm, tādējādi, iespējams, EK var samazināt (ja ne atcelt) piemērojamo finanšu korekciju </w:t>
      </w:r>
      <w:r w:rsidRPr="00C21157">
        <w:rPr>
          <w:rFonts w:eastAsia="Calibri" w:cs="Times New Roman"/>
          <w:szCs w:val="24"/>
        </w:rPr>
        <w:t>VSIA „Bērnu klīniskā universitātes slimnīca” projektiem</w:t>
      </w:r>
      <w:r w:rsidR="004B6B1D">
        <w:rPr>
          <w:rFonts w:eastAsia="Calibri" w:cs="Times New Roman"/>
          <w:szCs w:val="24"/>
        </w:rPr>
        <w:t>. Attiecībā uz ser</w:t>
      </w:r>
      <w:r>
        <w:rPr>
          <w:rFonts w:eastAsia="Calibri" w:cs="Times New Roman"/>
          <w:szCs w:val="24"/>
        </w:rPr>
        <w:t xml:space="preserve">tifikātu jautājumu EK auditori saglabā stingru nostāju, ka finanšu korekcija nav samazināma, </w:t>
      </w:r>
      <w:r w:rsidR="004B6B1D">
        <w:rPr>
          <w:rFonts w:eastAsia="Calibri" w:cs="Times New Roman"/>
          <w:szCs w:val="24"/>
        </w:rPr>
        <w:t>bet iespējams diskutēt par atsev</w:t>
      </w:r>
      <w:r>
        <w:rPr>
          <w:rFonts w:eastAsia="Calibri" w:cs="Times New Roman"/>
          <w:szCs w:val="24"/>
        </w:rPr>
        <w:t xml:space="preserve">išķiem izņēmuma </w:t>
      </w:r>
      <w:r w:rsidRPr="009247B2">
        <w:rPr>
          <w:rFonts w:eastAsia="Calibri" w:cs="Times New Roman"/>
          <w:szCs w:val="24"/>
        </w:rPr>
        <w:t>gadījum</w:t>
      </w:r>
      <w:r>
        <w:rPr>
          <w:rFonts w:eastAsia="Calibri" w:cs="Times New Roman"/>
          <w:szCs w:val="24"/>
        </w:rPr>
        <w:t>iem (šādiem nav liela finanšu ietekme)</w:t>
      </w:r>
      <w:r w:rsidRPr="009247B2">
        <w:rPr>
          <w:rFonts w:eastAsia="Calibri" w:cs="Times New Roman"/>
          <w:szCs w:val="24"/>
        </w:rPr>
        <w:t>.</w:t>
      </w:r>
      <w:r w:rsidR="004B6B1D">
        <w:rPr>
          <w:rFonts w:eastAsia="Calibri" w:cs="Times New Roman"/>
          <w:szCs w:val="24"/>
        </w:rPr>
        <w:t xml:space="preserve"> Par EK gala lēmumu FM informē</w:t>
      </w:r>
      <w:r>
        <w:rPr>
          <w:rFonts w:eastAsia="Calibri" w:cs="Times New Roman"/>
          <w:szCs w:val="24"/>
        </w:rPr>
        <w:t>s kārtējā informatīvajā ziņojumā.</w:t>
      </w:r>
    </w:p>
    <w:p w14:paraId="15E3FF91" w14:textId="58D61390" w:rsidR="00DA6182" w:rsidRPr="00DA6182" w:rsidRDefault="00DA6182" w:rsidP="00DA6182">
      <w:pPr>
        <w:spacing w:before="120" w:after="120" w:line="276" w:lineRule="auto"/>
        <w:jc w:val="both"/>
        <w:rPr>
          <w:rFonts w:eastAsia="Calibri" w:cs="Times New Roman"/>
          <w:szCs w:val="24"/>
        </w:rPr>
      </w:pPr>
      <w:r w:rsidRPr="00DA6182">
        <w:rPr>
          <w:rFonts w:eastAsia="Calibri" w:cs="Times New Roman"/>
          <w:szCs w:val="24"/>
        </w:rPr>
        <w:t xml:space="preserve">Lai izpildītu MK 2014. gada 11. marta protokola Nr. 16 38.§ 10. punktā noteikto uzdevumu un informētu MK par ministriju kā ES fondu finansējuma saņēmēju un to padotības iestāžu kā ES fondu finansējuma saņēmēju īstenotajiem ES fonda projektiem, ja kādā no šiem projektiem kalendārā gada ietvaros finansējuma saņēmējs veicis tādus no ES fonda projekta īstenošanai plānotā valsts budžeta finansējuma neatbilstošus izdevumus, kuri nav iekļauti maksājumu pieprasījumos ES finansējuma atmaksas saņemšanai, </w:t>
      </w:r>
      <w:r>
        <w:rPr>
          <w:rFonts w:eastAsia="Calibri" w:cs="Times New Roman"/>
          <w:szCs w:val="24"/>
        </w:rPr>
        <w:t>ziņojumā tiek sniegta informācija</w:t>
      </w:r>
      <w:r w:rsidRPr="00DA6182">
        <w:rPr>
          <w:rFonts w:eastAsia="Calibri" w:cs="Times New Roman"/>
          <w:szCs w:val="24"/>
        </w:rPr>
        <w:t xml:space="preserve"> par Valsts sociālās aprūpes centra (turpmāk – VSAC) „Rīga” 2007.-2013.gada plānošanas periodā īstenoto Eiropas Reģionālā attīstības fonda projektu.</w:t>
      </w:r>
    </w:p>
    <w:p w14:paraId="66D01A37" w14:textId="146FB963" w:rsidR="00DA6182" w:rsidRPr="00DA6182" w:rsidRDefault="00DA6182" w:rsidP="00DA6182">
      <w:pPr>
        <w:spacing w:before="120" w:after="120" w:line="276" w:lineRule="auto"/>
        <w:jc w:val="both"/>
        <w:rPr>
          <w:rFonts w:eastAsia="Calibri" w:cs="Times New Roman"/>
          <w:szCs w:val="24"/>
        </w:rPr>
      </w:pPr>
      <w:r w:rsidRPr="00DA6182">
        <w:rPr>
          <w:rFonts w:eastAsia="Calibri" w:cs="Times New Roman"/>
          <w:szCs w:val="24"/>
        </w:rPr>
        <w:t>Projekta Nr.3DP/3.1.4.1.5./10/IPIA/CFLA/002/002 „Valsts sociālās aprūpes centra „Rīga” sociālās aprūpes un sociālās rehabilitācijas pakalpojumu attīstība” (turpmāk – projekts) maksājumu pieprasījumos 2015.gada neiekļauto valsts budžeta izdevumu apmērs ir 35</w:t>
      </w:r>
      <w:r w:rsidR="00C1629C">
        <w:rPr>
          <w:rFonts w:eastAsia="Calibri" w:cs="Times New Roman"/>
          <w:szCs w:val="24"/>
        </w:rPr>
        <w:t> </w:t>
      </w:r>
      <w:r w:rsidRPr="00DA6182">
        <w:rPr>
          <w:rFonts w:eastAsia="Calibri" w:cs="Times New Roman"/>
          <w:szCs w:val="24"/>
        </w:rPr>
        <w:t>432</w:t>
      </w:r>
      <w:r w:rsidR="00C1629C">
        <w:rPr>
          <w:rFonts w:eastAsia="Calibri" w:cs="Times New Roman"/>
          <w:szCs w:val="24"/>
        </w:rPr>
        <w:t>,</w:t>
      </w:r>
      <w:r w:rsidRPr="00DA6182">
        <w:rPr>
          <w:rFonts w:eastAsia="Calibri" w:cs="Times New Roman"/>
          <w:szCs w:val="24"/>
        </w:rPr>
        <w:t xml:space="preserve">31 </w:t>
      </w:r>
      <w:r w:rsidR="002A3A41" w:rsidRPr="002A3A41">
        <w:rPr>
          <w:rFonts w:eastAsia="Calibri" w:cs="Times New Roman"/>
          <w:i/>
          <w:szCs w:val="24"/>
        </w:rPr>
        <w:t>euro</w:t>
      </w:r>
      <w:r w:rsidRPr="00DA6182">
        <w:rPr>
          <w:rFonts w:eastAsia="Calibri" w:cs="Times New Roman"/>
          <w:szCs w:val="24"/>
        </w:rPr>
        <w:t xml:space="preserve">. Valsts budžeta neatbilstoši veikto izdevumu iemesls – nepabeigtās būvniecības pārņemšanas rezultātā radušos papildu darbu izmaksas. Projekta ietvaros renovētais būvobjekts tika pārņemts pēc līguma laušanas ar iepriekšējo būvuzņēmēju un ar nepilnīgu </w:t>
      </w:r>
      <w:proofErr w:type="spellStart"/>
      <w:r w:rsidRPr="00DA6182">
        <w:rPr>
          <w:rFonts w:eastAsia="Calibri" w:cs="Times New Roman"/>
          <w:szCs w:val="24"/>
        </w:rPr>
        <w:t>izpilddokumentāciju</w:t>
      </w:r>
      <w:proofErr w:type="spellEnd"/>
      <w:r w:rsidRPr="00DA6182">
        <w:rPr>
          <w:rFonts w:eastAsia="Calibri" w:cs="Times New Roman"/>
          <w:szCs w:val="24"/>
        </w:rPr>
        <w:t xml:space="preserve"> par objektā veiktajiem darbiem, kā rezultātā, veicot būvobjekta tehnisko apsekošanu būvniecības iepirkuma tehniskās specifikācijas vajadzībām, </w:t>
      </w:r>
      <w:proofErr w:type="spellStart"/>
      <w:r w:rsidRPr="00DA6182">
        <w:rPr>
          <w:rFonts w:eastAsia="Calibri" w:cs="Times New Roman"/>
          <w:szCs w:val="24"/>
        </w:rPr>
        <w:t>būvekspertiem</w:t>
      </w:r>
      <w:proofErr w:type="spellEnd"/>
      <w:r w:rsidRPr="00DA6182">
        <w:rPr>
          <w:rFonts w:eastAsia="Calibri" w:cs="Times New Roman"/>
          <w:szCs w:val="24"/>
        </w:rPr>
        <w:t xml:space="preserve"> nebija iespējams noteikt precīzus būvobjekta pabeigšanas apjomus, kā arī papildus izmaksas radās, būvniecības laikā mainoties likumdošanā noteiktajām ugunsdrošības prasībām. Būvobjekta pabeigšanas faktiskais apjoms tika apzināts tikai jaunā </w:t>
      </w:r>
      <w:proofErr w:type="spellStart"/>
      <w:r w:rsidRPr="00DA6182">
        <w:rPr>
          <w:rFonts w:eastAsia="Calibri" w:cs="Times New Roman"/>
          <w:szCs w:val="24"/>
        </w:rPr>
        <w:t>būvlīguma</w:t>
      </w:r>
      <w:proofErr w:type="spellEnd"/>
      <w:r w:rsidRPr="00DA6182">
        <w:rPr>
          <w:rFonts w:eastAsia="Calibri" w:cs="Times New Roman"/>
          <w:szCs w:val="24"/>
        </w:rPr>
        <w:t xml:space="preserve"> izpildes laikā. Lai realizētu projektā noteikto mērķi, sasniegtu noteiktos rezultatīvos rādītājus un atbilstoši plānam noslēgtu projekta īstenošanu 2007.-2013.gada plānošanas perioda izdevumu </w:t>
      </w:r>
      <w:proofErr w:type="spellStart"/>
      <w:r w:rsidRPr="00DA6182">
        <w:rPr>
          <w:rFonts w:eastAsia="Calibri" w:cs="Times New Roman"/>
          <w:szCs w:val="24"/>
        </w:rPr>
        <w:t>attiecināmības</w:t>
      </w:r>
      <w:proofErr w:type="spellEnd"/>
      <w:r w:rsidRPr="00DA6182">
        <w:rPr>
          <w:rFonts w:eastAsia="Calibri" w:cs="Times New Roman"/>
          <w:szCs w:val="24"/>
        </w:rPr>
        <w:t xml:space="preserve"> periodā, VSAC „Rīga” projekta īstenošanas laikā papildus radušos darbus īstenoja noslēgtā </w:t>
      </w:r>
      <w:proofErr w:type="spellStart"/>
      <w:r w:rsidRPr="00DA6182">
        <w:rPr>
          <w:rFonts w:eastAsia="Calibri" w:cs="Times New Roman"/>
          <w:szCs w:val="24"/>
        </w:rPr>
        <w:t>būvlīguma</w:t>
      </w:r>
      <w:proofErr w:type="spellEnd"/>
      <w:r w:rsidRPr="00DA6182">
        <w:rPr>
          <w:rFonts w:eastAsia="Calibri" w:cs="Times New Roman"/>
          <w:szCs w:val="24"/>
        </w:rPr>
        <w:t xml:space="preserve"> ietvaros, bet tā kā minētie izdevumi nevarēja tikt attiecināti no projekta attiecināmajiem izdevumiem, tie uzskatāmi kā neatbilstoši veikti valsts budžeta izdevumi, kurus nevarēja iekļaut maksājumu pieprasījumos.</w:t>
      </w:r>
    </w:p>
    <w:p w14:paraId="588AA731" w14:textId="0034F910" w:rsidR="00DA6182" w:rsidRPr="00DA6182" w:rsidRDefault="00DA6182" w:rsidP="00DA6182">
      <w:pPr>
        <w:spacing w:before="120" w:after="120" w:line="276" w:lineRule="auto"/>
        <w:jc w:val="both"/>
        <w:rPr>
          <w:rFonts w:eastAsia="Calibri" w:cs="Times New Roman"/>
          <w:szCs w:val="24"/>
        </w:rPr>
      </w:pPr>
      <w:r w:rsidRPr="00DA6182">
        <w:rPr>
          <w:rFonts w:eastAsia="Calibri" w:cs="Times New Roman"/>
          <w:szCs w:val="24"/>
        </w:rPr>
        <w:t>VSAC „Rīga” ir informējusi, ka ir nodrošināta projekta vadībā iesaistītā personāla rīcības izvērtēšana</w:t>
      </w:r>
      <w:r>
        <w:rPr>
          <w:rFonts w:eastAsia="Calibri" w:cs="Times New Roman"/>
          <w:szCs w:val="24"/>
        </w:rPr>
        <w:t xml:space="preserve"> </w:t>
      </w:r>
      <w:r w:rsidRPr="00DA6182">
        <w:rPr>
          <w:rFonts w:eastAsia="Calibri" w:cs="Times New Roman"/>
          <w:szCs w:val="24"/>
        </w:rPr>
        <w:t xml:space="preserve">saskaņā ar Valsts pārvaldes iekārtas likuma prasībām, tāpat projekta īstenošanas laikā organizēti projekta vadības procesi, lai maksimāli samazinātu neatbilstoši veiktu izdevumu apmēru. </w:t>
      </w:r>
    </w:p>
    <w:p w14:paraId="73F990B8" w14:textId="04EEC603" w:rsidR="00F15015" w:rsidRDefault="00DA6182" w:rsidP="00A52F5D">
      <w:pPr>
        <w:spacing w:before="120" w:after="120" w:line="276" w:lineRule="auto"/>
        <w:jc w:val="both"/>
        <w:rPr>
          <w:rFonts w:eastAsia="Calibri" w:cs="Times New Roman"/>
          <w:szCs w:val="24"/>
        </w:rPr>
      </w:pPr>
      <w:r w:rsidRPr="00DA6182">
        <w:rPr>
          <w:rFonts w:eastAsia="Calibri" w:cs="Times New Roman"/>
          <w:szCs w:val="24"/>
        </w:rPr>
        <w:t>Ņemot vērā, ka projekta īstenošana ir noslēgusies, vienošanās par projekta īstenošanu noslēguma grozījumos tiks fiksēti minētie no valsts budžeta neatbilstoši veiktie izdevumi, samazinot projekta attiecināmās izmaksas un norādot tās pie neattiecināmajām izmaksām ar norādi, ka tās ir izmaksas, ko nevar attiecināt un iekļaut maksājuma pieprasījumos. Papildu darbības netiek noteiktas un izmaksas 35</w:t>
      </w:r>
      <w:r w:rsidR="00C1629C">
        <w:rPr>
          <w:rFonts w:eastAsia="Calibri" w:cs="Times New Roman"/>
          <w:szCs w:val="24"/>
        </w:rPr>
        <w:t> </w:t>
      </w:r>
      <w:r w:rsidRPr="00DA6182">
        <w:rPr>
          <w:rFonts w:eastAsia="Calibri" w:cs="Times New Roman"/>
          <w:szCs w:val="24"/>
        </w:rPr>
        <w:t>432</w:t>
      </w:r>
      <w:r w:rsidR="00C1629C">
        <w:rPr>
          <w:rFonts w:eastAsia="Calibri" w:cs="Times New Roman"/>
          <w:szCs w:val="24"/>
        </w:rPr>
        <w:t>,</w:t>
      </w:r>
      <w:r w:rsidRPr="00DA6182">
        <w:rPr>
          <w:rFonts w:eastAsia="Calibri" w:cs="Times New Roman"/>
          <w:szCs w:val="24"/>
        </w:rPr>
        <w:t>31</w:t>
      </w:r>
      <w:r w:rsidR="002A3A41">
        <w:rPr>
          <w:rFonts w:eastAsia="Calibri" w:cs="Times New Roman"/>
          <w:szCs w:val="24"/>
        </w:rPr>
        <w:t xml:space="preserve"> </w:t>
      </w:r>
      <w:r w:rsidR="002A3A41" w:rsidRPr="002A3A41">
        <w:rPr>
          <w:rFonts w:eastAsia="Calibri" w:cs="Times New Roman"/>
          <w:i/>
          <w:szCs w:val="24"/>
        </w:rPr>
        <w:t>euro</w:t>
      </w:r>
      <w:r w:rsidRPr="00DA6182">
        <w:rPr>
          <w:rFonts w:eastAsia="Calibri" w:cs="Times New Roman"/>
          <w:szCs w:val="24"/>
        </w:rPr>
        <w:t xml:space="preserve"> apmērā, kas nevar tikt finansētas no projekta attiecināmiem izdevumiem, uzskatāmas kā veiktas no valsts budžeta</w:t>
      </w:r>
      <w:r w:rsidR="00426258">
        <w:rPr>
          <w:rFonts w:eastAsia="Calibri" w:cs="Times New Roman"/>
          <w:szCs w:val="24"/>
        </w:rPr>
        <w:t>.</w:t>
      </w:r>
    </w:p>
    <w:p w14:paraId="7D2703C1" w14:textId="2E6B3A09" w:rsidR="00FA65AB" w:rsidRPr="00943939" w:rsidRDefault="00FA65AB" w:rsidP="00FA65AB">
      <w:pPr>
        <w:pStyle w:val="2lmenis"/>
        <w:rPr>
          <w:rFonts w:eastAsia="Times New Roman"/>
        </w:rPr>
      </w:pPr>
      <w:bookmarkStart w:id="22" w:name="_Toc443658860"/>
      <w:r>
        <w:lastRenderedPageBreak/>
        <w:t xml:space="preserve">Neatbilstības </w:t>
      </w:r>
      <w:r>
        <w:rPr>
          <w:rFonts w:eastAsia="Times New Roman"/>
        </w:rPr>
        <w:t>ES fondu 2014.-2020</w:t>
      </w:r>
      <w:r w:rsidRPr="008D0F59">
        <w:rPr>
          <w:rFonts w:eastAsia="Times New Roman"/>
        </w:rPr>
        <w:t>.gada plānošanas periodā ES fondos līdz 2015.gada 31.decembrim</w:t>
      </w:r>
      <w:bookmarkEnd w:id="22"/>
    </w:p>
    <w:p w14:paraId="2C3D46D4" w14:textId="4701F129" w:rsidR="005D144A" w:rsidRDefault="003231DF" w:rsidP="00D05205">
      <w:pPr>
        <w:spacing w:before="120" w:after="120" w:line="276" w:lineRule="auto"/>
        <w:jc w:val="both"/>
      </w:pPr>
      <w:r>
        <w:t>ES fondu 2014.-2020.gada plānošanas periodā ir konstatēta viena neatbilstība VARAM pārraudzībā esošaj</w:t>
      </w:r>
      <w:r w:rsidR="00142FF7">
        <w:t>ā</w:t>
      </w:r>
      <w:r>
        <w:t xml:space="preserve"> </w:t>
      </w:r>
      <w:r w:rsidR="00142FF7">
        <w:t xml:space="preserve">Ogres pašvaldības </w:t>
      </w:r>
      <w:r>
        <w:t>projekt</w:t>
      </w:r>
      <w:r w:rsidR="00142FF7">
        <w:t>ā, kas vērsts uz plūdu riska un krasta erozijas novēršanu</w:t>
      </w:r>
      <w:r>
        <w:t xml:space="preserve">. Par noslēgtu </w:t>
      </w:r>
      <w:r w:rsidRPr="003231DF">
        <w:t>būvuzraudzības līgumu bez atbilstošas iepirkuma procedūras</w:t>
      </w:r>
      <w:r w:rsidR="00943939">
        <w:t xml:space="preserve"> finansējuma saņēmējam tikusi piemērota finanšu korekcija </w:t>
      </w:r>
      <w:r w:rsidR="00142FF7">
        <w:t xml:space="preserve">5 354,25 </w:t>
      </w:r>
      <w:r w:rsidR="00142FF7">
        <w:rPr>
          <w:i/>
        </w:rPr>
        <w:t>euro</w:t>
      </w:r>
      <w:r w:rsidR="00142FF7">
        <w:t xml:space="preserve"> apmērā, t.i. 25% </w:t>
      </w:r>
      <w:r w:rsidR="00943939">
        <w:t>no nosl</w:t>
      </w:r>
      <w:r w:rsidR="00142FF7">
        <w:t>ēgtā līguma kopējās vērtības</w:t>
      </w:r>
      <w:r w:rsidR="00943939">
        <w:t>.</w:t>
      </w:r>
      <w:r w:rsidR="00943939">
        <w:rPr>
          <w:i/>
        </w:rPr>
        <w:t xml:space="preserve"> </w:t>
      </w:r>
      <w:r w:rsidR="00943939">
        <w:t xml:space="preserve">Izdevumi ir </w:t>
      </w:r>
      <w:r w:rsidR="00031001">
        <w:t>atgūšanas procesā un tiks ieturēti no noslēguma maksājuma.</w:t>
      </w:r>
    </w:p>
    <w:p w14:paraId="00A8A2D5" w14:textId="7B840118" w:rsidR="00D05205" w:rsidRPr="00D05205" w:rsidRDefault="00D05205" w:rsidP="00D05205">
      <w:pPr>
        <w:spacing w:before="120" w:after="120" w:line="276" w:lineRule="auto"/>
        <w:jc w:val="both"/>
        <w:rPr>
          <w:i/>
          <w:iCs/>
          <w:u w:val="single"/>
        </w:rPr>
      </w:pPr>
      <w:r>
        <w:rPr>
          <w:i/>
          <w:iCs/>
          <w:u w:val="single"/>
        </w:rPr>
        <w:t>SM</w:t>
      </w:r>
      <w:r w:rsidR="00B02D6F">
        <w:rPr>
          <w:i/>
          <w:iCs/>
          <w:u w:val="single"/>
        </w:rPr>
        <w:t xml:space="preserve"> un CFLA </w:t>
      </w:r>
      <w:r w:rsidRPr="00D05205">
        <w:rPr>
          <w:i/>
          <w:iCs/>
          <w:u w:val="single"/>
        </w:rPr>
        <w:t>rīcībā esoš</w:t>
      </w:r>
      <w:r>
        <w:rPr>
          <w:i/>
          <w:iCs/>
          <w:u w:val="single"/>
        </w:rPr>
        <w:t>ā</w:t>
      </w:r>
      <w:r w:rsidRPr="00D05205">
        <w:rPr>
          <w:i/>
          <w:iCs/>
          <w:u w:val="single"/>
        </w:rPr>
        <w:t xml:space="preserve"> informācija par neatbilstībām ES fondu 2014.-2020.gada plānošanas periodā ES fondos līdz 2015.gada 31.decembrim:</w:t>
      </w:r>
    </w:p>
    <w:p w14:paraId="607B7854" w14:textId="4B01D86C" w:rsidR="00D05205" w:rsidRPr="00EB396F" w:rsidRDefault="00D05205" w:rsidP="00D05205">
      <w:pPr>
        <w:spacing w:before="120" w:after="120" w:line="276" w:lineRule="auto"/>
        <w:jc w:val="both"/>
      </w:pPr>
      <w:r w:rsidRPr="00EB396F">
        <w:t xml:space="preserve">Atbilstoši </w:t>
      </w:r>
      <w:r>
        <w:t>SI</w:t>
      </w:r>
      <w:r w:rsidRPr="00EB396F">
        <w:t xml:space="preserve"> sniegtajai informācijai  6.1.5. </w:t>
      </w:r>
      <w:r>
        <w:t>SAM</w:t>
      </w:r>
      <w:r w:rsidRPr="00EB396F">
        <w:t xml:space="preserve"> “Valsts galveno autoceļu segu pār</w:t>
      </w:r>
      <w:r>
        <w:t>būve, nestspējas palielināšana” ietvaros septiņos</w:t>
      </w:r>
      <w:r w:rsidRPr="00EB396F">
        <w:t xml:space="preserve"> īstenotajos projektos būvdarbu un būvdarbu uzraudzības  iepirkumos, kuros iepirkuma līguma cena ir virs ES direktīvu noteiktā sliekšņa, konstatēts, ka nolikumā ir iekļauta prasība par Latvijas normatīvo aktu prasībām atbilstošu sertifikātu nodrošināšanu uz piedāvājuma iesniegšanas brīdi. Eiropas Komisijas Reģionālās politikas un </w:t>
      </w:r>
      <w:proofErr w:type="spellStart"/>
      <w:r w:rsidRPr="00EB396F">
        <w:t>pilsētpolitikas</w:t>
      </w:r>
      <w:proofErr w:type="spellEnd"/>
      <w:r w:rsidRPr="00EB396F">
        <w:t xml:space="preserve"> ģenerāldirektorāta 2014.gada 17.februāra revīzijas ziņojumā (</w:t>
      </w:r>
      <w:proofErr w:type="spellStart"/>
      <w:r w:rsidRPr="00EB396F">
        <w:t>Ares</w:t>
      </w:r>
      <w:proofErr w:type="spellEnd"/>
      <w:r w:rsidRPr="00EB396F">
        <w:t xml:space="preserve"> (2014)383690) ir izdarīts secinājums, ka prasība uzrādīt Latvijas sertifikātu piedāvājuma iesniegšanas brīdī ir diskriminējoša, jo tādējādi tiek diskriminēti pakalpojumu sniedzēji, kas ir reģistrēti citās dalībvalstīs vai kas izmanto citās dalībvalstīs reģistrētus ekspertus un ir uzskatāma par EK Direktīvas 2004/18/EK 44.panta 2.punktā, 46.pantā un 48.panta 2.punkta e)apakšpunktā minēto noteikumu pārkāpumu. </w:t>
      </w:r>
    </w:p>
    <w:p w14:paraId="7BC41C22" w14:textId="0F05AEAD" w:rsidR="00D05205" w:rsidRPr="00EB396F" w:rsidRDefault="00D05205" w:rsidP="00D05205">
      <w:pPr>
        <w:spacing w:before="120" w:after="120" w:line="276" w:lineRule="auto"/>
        <w:jc w:val="both"/>
      </w:pPr>
      <w:r w:rsidRPr="00EB396F">
        <w:t xml:space="preserve">Vienlaikus atbilstoši </w:t>
      </w:r>
      <w:r>
        <w:t>MK</w:t>
      </w:r>
      <w:r w:rsidRPr="00EB396F">
        <w:t xml:space="preserve"> 2014.gada 13.oktobra rīkojuma Nr.573 10.punktam </w:t>
      </w:r>
      <w:r>
        <w:t>SM</w:t>
      </w:r>
      <w:r w:rsidRPr="00EB396F">
        <w:t xml:space="preserve"> informē, ka arī 6.3.1. </w:t>
      </w:r>
      <w:r>
        <w:t>SAM</w:t>
      </w:r>
      <w:r w:rsidRPr="00EB396F">
        <w:t xml:space="preserve"> “Palielināt reģionālo mobilitāti, uzlabojot valsts</w:t>
      </w:r>
      <w:r>
        <w:t xml:space="preserve"> reģionālo autoceļu kvalitāti” </w:t>
      </w:r>
      <w:r w:rsidRPr="00EB396F">
        <w:t>ietvaros divos ātrāk uzsākamajos projektos būvdarbu un būvdarbu uzraudzības  iepirkumos, kuros iepirkuma līguma cena ir virs ES direktīvu noteiktā sliekšņa, konstatēta augstāk minētā diskriminējoša prasība.</w:t>
      </w:r>
    </w:p>
    <w:p w14:paraId="16F15185" w14:textId="57F50164" w:rsidR="00D05205" w:rsidRPr="00B72046" w:rsidRDefault="00D05205" w:rsidP="00D05205">
      <w:pPr>
        <w:spacing w:before="120" w:after="120" w:line="276" w:lineRule="auto"/>
        <w:jc w:val="both"/>
      </w:pPr>
      <w:r w:rsidRPr="00EB396F">
        <w:t xml:space="preserve">Detalizētāka informācija par </w:t>
      </w:r>
      <w:r>
        <w:t>SI</w:t>
      </w:r>
      <w:r w:rsidRPr="00EB396F">
        <w:t xml:space="preserve"> pieņemtajiem neatbilstību lēmumiem, to apjomu, kā arī maksājumu atgūšanas veidu tiks iekļauta nākamajā MK pusgada ziņojumā.</w:t>
      </w:r>
    </w:p>
    <w:p w14:paraId="3D238EAD" w14:textId="77777777" w:rsidR="005D144A" w:rsidRPr="00B72046" w:rsidRDefault="005D144A" w:rsidP="00B72046">
      <w:pPr>
        <w:spacing w:before="120" w:after="120" w:line="276" w:lineRule="auto"/>
        <w:jc w:val="both"/>
        <w:rPr>
          <w:b/>
          <w:i/>
        </w:rPr>
      </w:pPr>
      <w:r w:rsidRPr="00B72046">
        <w:rPr>
          <w:b/>
          <w:i/>
        </w:rPr>
        <w:t>Informācija par NVA kā ES fondu finansējuma saņēmēja 2015.gadā ES fondu projektu ietvaros veiktajiem valsts budžeta izdevumiem, kas atzīti par neatbilstošiem, un nav iekļauti maksājumu pieprasījumos ES finansējuma atmaksas saņemšanai.</w:t>
      </w:r>
    </w:p>
    <w:p w14:paraId="18256648" w14:textId="727857E2" w:rsidR="005D144A" w:rsidRPr="005D144A" w:rsidRDefault="005D144A" w:rsidP="00D65094">
      <w:pPr>
        <w:spacing w:before="120" w:after="120" w:line="276" w:lineRule="auto"/>
        <w:jc w:val="both"/>
      </w:pPr>
      <w:r w:rsidRPr="005D144A">
        <w:t xml:space="preserve">Lai izpildītu MK 2014. gada 11. marta protokola Nr.16. 38.§ 10.punkta uzdevumu un informētu MK par ministriju kā ES fondu finansējuma saņēmēju un to padotības iestāžu kā ES fondu finansējuma saņēmēju īstenotajiem ES fonda projektiem, ja kādā no šiem projektiem kalendārā gada ietvaros finansējuma saņēmējs veicis tādus no ES fonda projekta īstenošanai plānotā valsts budžeta finansējuma neatbilstošus izdevumus, kuri nav iekļauti maksājumu pieprasījumos ES finansējuma atmaksas saņemšanai, LM sniedz informāciju par diviem NVA īstenotiem </w:t>
      </w:r>
      <w:r w:rsidR="002A3A41">
        <w:t>ESF</w:t>
      </w:r>
      <w:r w:rsidRPr="005D144A">
        <w:t xml:space="preserve"> projektiem 2014.-2020.gada plānošanas periodā, kuros 2015.gadā konstatēti maksājumu pieprasījumos neiekļauti valsts budžeta izdevumi:</w:t>
      </w:r>
    </w:p>
    <w:p w14:paraId="6DD18D0E" w14:textId="209ADA54" w:rsidR="005D144A" w:rsidRPr="005D144A" w:rsidRDefault="005D144A" w:rsidP="00D65094">
      <w:pPr>
        <w:numPr>
          <w:ilvl w:val="0"/>
          <w:numId w:val="25"/>
        </w:numPr>
        <w:spacing w:before="120" w:after="120" w:line="276" w:lineRule="auto"/>
        <w:ind w:left="0" w:firstLine="0"/>
        <w:jc w:val="both"/>
      </w:pPr>
      <w:r w:rsidRPr="005D144A">
        <w:t xml:space="preserve">Projekts Nr.7.1.1.0/15/I/001 “Atbalsts bezdarbnieku izglītībai”. Maksājumu pieprasījumos neiekļauto valsts budžeta izdevumu apmērs veido 200 </w:t>
      </w:r>
      <w:r w:rsidR="002A3A41" w:rsidRPr="002A3A41">
        <w:rPr>
          <w:i/>
        </w:rPr>
        <w:t>euro</w:t>
      </w:r>
      <w:r w:rsidRPr="005D144A">
        <w:t xml:space="preserve">. Valsts budžeta </w:t>
      </w:r>
      <w:r w:rsidRPr="005D144A">
        <w:lastRenderedPageBreak/>
        <w:t xml:space="preserve">neatbilstoši veikto izdevumu iemesls – bezdarbnieki (kopskaitā divi) tika iesaistīti praktiskajā apmācībā pie darba devēja un attiecīgi pieņemti lēmumi par finanšu atlīdzības piešķiršanu reģionālās mobilitātes ietvaros atbilstoši normatīvajam regulējumam. Abi bezdarbnieki dalību pasākumā pārtrauca, t.sk. vienā gadījumā neiesniedza mobilitātes pabalsta izlietojumu pamatojošus dokumentus, lai varētu veikt neizmantotās izmaksātās naudas summas atmaksu, kā rezultātā ir radušies neattiecināmie izdevumi 200 </w:t>
      </w:r>
      <w:r w:rsidR="002A3A41" w:rsidRPr="001C2CF4">
        <w:rPr>
          <w:i/>
        </w:rPr>
        <w:t>euro</w:t>
      </w:r>
      <w:r w:rsidR="002A3A41">
        <w:t xml:space="preserve"> </w:t>
      </w:r>
      <w:r w:rsidRPr="005D144A">
        <w:t xml:space="preserve">apmērā. Neattiecināmie izdevumi tiks atgūti no parādniekiem </w:t>
      </w:r>
      <w:r w:rsidR="002A3A41">
        <w:t>LR</w:t>
      </w:r>
      <w:r w:rsidRPr="005D144A">
        <w:t xml:space="preserve"> normatīvajos aktos noteiktajā kārtībā.</w:t>
      </w:r>
    </w:p>
    <w:p w14:paraId="1B1D3512" w14:textId="10590118" w:rsidR="005D144A" w:rsidRPr="005D144A" w:rsidRDefault="005D144A" w:rsidP="00D65094">
      <w:pPr>
        <w:spacing w:before="120" w:after="120" w:line="276" w:lineRule="auto"/>
        <w:jc w:val="both"/>
      </w:pPr>
      <w:r w:rsidRPr="005D144A">
        <w:t>2. Projekts Nr. 7.2.1.2/15/I/001„Jauniešu garantijas". Maksājumu pieprasījumos neiekļauto valsts budžeta izdevumu apmērs 25</w:t>
      </w:r>
      <w:r w:rsidR="002A3A41">
        <w:t> </w:t>
      </w:r>
      <w:r w:rsidRPr="005D144A">
        <w:t>262</w:t>
      </w:r>
      <w:r w:rsidR="002A3A41">
        <w:t>,</w:t>
      </w:r>
      <w:r w:rsidRPr="005D144A">
        <w:t xml:space="preserve">03 </w:t>
      </w:r>
      <w:r w:rsidR="002A3A41" w:rsidRPr="002A3A41">
        <w:rPr>
          <w:i/>
        </w:rPr>
        <w:t>euro</w:t>
      </w:r>
      <w:r w:rsidRPr="005D144A">
        <w:t>. Valsts budžeta neatbilstoši veikto izdevumu iemesla pamatā ir divi iemesli, t.i.:</w:t>
      </w:r>
    </w:p>
    <w:p w14:paraId="4A89A511" w14:textId="6AF1FC70" w:rsidR="005D144A" w:rsidRPr="005D144A" w:rsidRDefault="005D144A" w:rsidP="00D65094">
      <w:pPr>
        <w:spacing w:before="120" w:after="120" w:line="276" w:lineRule="auto"/>
        <w:jc w:val="both"/>
      </w:pPr>
      <w:r w:rsidRPr="005D144A">
        <w:t>a) projekta ietvaros tika apmaksāts personāla papildatvaļinājums, ņemot vērā NVA piemēroto praksi papildatvaļinājumu piešķirt par darbinieka aktuālajām darba attiecībām, nevis nostrādāto laiku projekta ietvaros. Savai pieejai NVA izmantoja argumentus, ka nav izstrādāta metodika aprēķinam par konkrētu papildatvaļinājuma dienu skaita atbilstību noteiktam darbinieka nostrādātam darba periodam, līdz ar to piešķirot papildatvaļinājumu par iepriekšējo periodu, nav iespējams ievērot proporcionalitātes principu, mainoties finansējuma avotam. Līdz ar to NVA tika piemērota prakse papildatvaļinājumu piešķirt par darbinieka aktuālajām darba attiecībām un finansējumu.  Savukārt FM izstrādāto “Vadlīniju attiecināmo un neattiecināmo izmaksu noteikšanai 2014.-2020.gada plānošana periodā” (turpmāk – vadlīnijas) 6.8.8.apakšpunkts nosaka, ka, piešķirot jebkāda veida atvaļinājumu (t.sk. arī papildatvaļinājumu ) darbiniekiem, kuru atlīdzība ES fondu līdzfinansēto projektu ietvaros tiek segta no ES fondu līdzekļiem, ir jāievēro proporcionalitātes princips, proti, ES fonda projekta īstenošanā iesaistītā personāla atlīdzības izmaksas, t.sk. arī papildatvaļinājuma izmaksas, ir attiecināmas proporcionāli un tikai par laika periodu, kas ir nostrādāts projekta īstenošanai. Vadoties no minētā, nav ievērots vadlīnijās minētais, kā rezultātā ir radušās neattiecināmās izmaksas 24</w:t>
      </w:r>
      <w:r w:rsidR="002A3A41">
        <w:t> </w:t>
      </w:r>
      <w:r w:rsidRPr="005D144A">
        <w:t>328</w:t>
      </w:r>
      <w:r w:rsidR="002A3A41">
        <w:t>,</w:t>
      </w:r>
      <w:r w:rsidRPr="005D144A">
        <w:t xml:space="preserve">85 </w:t>
      </w:r>
      <w:r w:rsidR="002A3A41" w:rsidRPr="002A3A41">
        <w:rPr>
          <w:i/>
        </w:rPr>
        <w:t>euro</w:t>
      </w:r>
      <w:r w:rsidRPr="005D144A">
        <w:t xml:space="preserve"> apmērā, kas nevar tikt finansētas no </w:t>
      </w:r>
      <w:r w:rsidRPr="005D144A">
        <w:rPr>
          <w:bCs/>
        </w:rPr>
        <w:t>projekta attiecināmiem izdevumiem</w:t>
      </w:r>
      <w:r w:rsidRPr="005D144A">
        <w:t xml:space="preserve">, un uzskatāmas kā veiktas no valsts budžeta. </w:t>
      </w:r>
    </w:p>
    <w:p w14:paraId="1D8E597D" w14:textId="77777777" w:rsidR="005D144A" w:rsidRPr="005D144A" w:rsidRDefault="005D144A" w:rsidP="00D65094">
      <w:pPr>
        <w:spacing w:before="120" w:after="120" w:line="276" w:lineRule="auto"/>
        <w:jc w:val="both"/>
      </w:pPr>
      <w:r w:rsidRPr="005D144A">
        <w:t>NVA kā finansējuma saņēmējs ir veicis papildu darbības minētā jautājumu risināšanai, t.i., ir pārskatītas aprēķina un uzskaites procedūras, proti, aprēķini tiek veikti manuāli, izdalot uz projekta periodu attiecināmo („domājamo”) izmaksu daļu, to manuāli ievadot uzskaites sistēmā, un izmaksas, kas nav attiecināmas uz projekta tiešajām izmaksām, tiek segtas no projektu netiešajām izmaksām.</w:t>
      </w:r>
    </w:p>
    <w:p w14:paraId="790BE1DB" w14:textId="5D575530" w:rsidR="005D144A" w:rsidRPr="005D144A" w:rsidRDefault="005D144A" w:rsidP="00D65094">
      <w:pPr>
        <w:spacing w:before="120" w:after="120" w:line="276" w:lineRule="auto"/>
        <w:jc w:val="both"/>
      </w:pPr>
      <w:r w:rsidRPr="005D144A">
        <w:t>b) jauniešiem – bezdarbniekiem tiek izsniegts avansa pieprasījums, lai saņemtu atlīdzību transporta un dzīvošanas izdevumu segšanai atbalsta pasākuma “Atbalsts jauniešu reģionālajai mobilitātei” ietvaros.  Noslēdzot dalību pasākumā, bezdarbnieki nav atmaksājuši faktiski neizlietoto finansējumu. Minētā rezultātā ir radušies neattiecināmie izdevumi 933</w:t>
      </w:r>
      <w:r w:rsidR="002A3A41">
        <w:t>,</w:t>
      </w:r>
      <w:r w:rsidRPr="005D144A">
        <w:t xml:space="preserve">18 </w:t>
      </w:r>
      <w:r w:rsidR="002A3A41" w:rsidRPr="001C2CF4">
        <w:rPr>
          <w:i/>
        </w:rPr>
        <w:t>euro</w:t>
      </w:r>
      <w:r w:rsidRPr="005D144A">
        <w:t xml:space="preserve"> apmērā. Neattiecināmie izdevumi tiks atgūti no parādniekiem </w:t>
      </w:r>
      <w:r w:rsidR="002A3A41">
        <w:t>LR</w:t>
      </w:r>
      <w:r w:rsidRPr="005D144A">
        <w:t xml:space="preserve"> normatīvajos aktos noteiktajā kārtībā.</w:t>
      </w:r>
    </w:p>
    <w:p w14:paraId="57E47968" w14:textId="77777777" w:rsidR="005D144A" w:rsidRPr="005D144A" w:rsidRDefault="005D144A" w:rsidP="00D65094">
      <w:pPr>
        <w:spacing w:before="120" w:after="120" w:line="276" w:lineRule="auto"/>
        <w:jc w:val="both"/>
      </w:pPr>
      <w:r w:rsidRPr="005D144A">
        <w:t xml:space="preserve">NVA organizē valsts budžeta neatbilstoši veikto izdevumu atgūšanu atbilstoši normatīvajam regulējumam, kā arī NVA attiecināmos gadījumos veic darbinieku atbildības </w:t>
      </w:r>
      <w:proofErr w:type="spellStart"/>
      <w:r w:rsidRPr="005D144A">
        <w:t>izvērtējumus</w:t>
      </w:r>
      <w:proofErr w:type="spellEnd"/>
      <w:r w:rsidRPr="005D144A">
        <w:t xml:space="preserve"> saskaņā ar Valsts pārvaldes iekārtas likuma prasībām.</w:t>
      </w:r>
    </w:p>
    <w:p w14:paraId="56D29029" w14:textId="244DE782" w:rsidR="005D144A" w:rsidRDefault="005D144A" w:rsidP="00D65094">
      <w:pPr>
        <w:spacing w:before="120" w:after="120" w:line="276" w:lineRule="auto"/>
        <w:jc w:val="both"/>
      </w:pPr>
      <w:r w:rsidRPr="005D144A">
        <w:lastRenderedPageBreak/>
        <w:t>Pārējos LM kā ES fondu finansējuma saņēmēja un tās padotības iestāžu kā ES fondu finansējuma saņēmēju īstenotajos projektos 2015.gadā maksājumu pieprasījumos neiekļauti neatbilstoši veikti valsts budžeta izdevumi nav konstatēti.</w:t>
      </w:r>
    </w:p>
    <w:p w14:paraId="18479372" w14:textId="67177B1F" w:rsidR="009C0862" w:rsidRPr="00F747F5" w:rsidRDefault="009C0862" w:rsidP="00ED7675">
      <w:pPr>
        <w:pStyle w:val="2lmenis"/>
      </w:pPr>
      <w:bookmarkStart w:id="23" w:name="_Toc443658861"/>
      <w:r w:rsidRPr="00F747F5">
        <w:t>Neatbilstības EEZ/Norvēģijas finanšu instrumentos un Šveices programmā</w:t>
      </w:r>
      <w:bookmarkEnd w:id="23"/>
      <w:r w:rsidRPr="00F747F5">
        <w:t xml:space="preserve"> </w:t>
      </w:r>
    </w:p>
    <w:p w14:paraId="0EB259FC" w14:textId="298CCA8E" w:rsidR="00B772F9" w:rsidRPr="009E70E4" w:rsidRDefault="00B772F9" w:rsidP="00B772F9">
      <w:pPr>
        <w:spacing w:before="120" w:after="120" w:line="276" w:lineRule="auto"/>
        <w:jc w:val="both"/>
        <w:rPr>
          <w:rFonts w:eastAsia="Calibri" w:cs="Times New Roman"/>
          <w:iCs/>
          <w:szCs w:val="24"/>
        </w:rPr>
      </w:pPr>
      <w:r w:rsidRPr="00B772F9">
        <w:rPr>
          <w:rFonts w:eastAsia="Calibri" w:cs="Times New Roman"/>
          <w:iCs/>
          <w:szCs w:val="24"/>
        </w:rPr>
        <w:t xml:space="preserve">Līdz pārskata perioda </w:t>
      </w:r>
      <w:r w:rsidRPr="009E70E4">
        <w:rPr>
          <w:rFonts w:eastAsia="Calibri" w:cs="Times New Roman"/>
          <w:iCs/>
          <w:szCs w:val="24"/>
        </w:rPr>
        <w:t xml:space="preserve">beigām EEZ/Norvēģijas finanšu instrumentos par neattiecināmiem izdevumiem ir atzīti </w:t>
      </w:r>
      <w:r w:rsidR="009E70E4" w:rsidRPr="009E70E4">
        <w:rPr>
          <w:rFonts w:eastAsia="Calibri" w:cs="Times New Roman"/>
          <w:iCs/>
          <w:szCs w:val="24"/>
        </w:rPr>
        <w:t>85,3</w:t>
      </w:r>
      <w:r w:rsidRPr="009E70E4">
        <w:rPr>
          <w:rFonts w:eastAsia="Calibri" w:cs="Times New Roman"/>
          <w:iCs/>
          <w:szCs w:val="24"/>
        </w:rPr>
        <w:t xml:space="preserve"> tūkst. </w:t>
      </w:r>
      <w:r w:rsidRPr="009E70E4">
        <w:rPr>
          <w:rFonts w:eastAsia="Calibri" w:cs="Times New Roman"/>
          <w:i/>
          <w:iCs/>
          <w:szCs w:val="24"/>
        </w:rPr>
        <w:t>euro</w:t>
      </w:r>
      <w:r w:rsidRPr="009E70E4">
        <w:rPr>
          <w:rFonts w:eastAsia="Calibri" w:cs="Times New Roman"/>
          <w:iCs/>
          <w:szCs w:val="24"/>
        </w:rPr>
        <w:t xml:space="preserve"> jeb </w:t>
      </w:r>
      <w:r w:rsidR="00F20881">
        <w:rPr>
          <w:rFonts w:eastAsia="Calibri" w:cs="Times New Roman"/>
          <w:iCs/>
          <w:szCs w:val="24"/>
        </w:rPr>
        <w:t>0,1</w:t>
      </w:r>
      <w:r w:rsidRPr="009E70E4">
        <w:rPr>
          <w:rFonts w:eastAsia="Calibri" w:cs="Times New Roman"/>
          <w:iCs/>
          <w:szCs w:val="24"/>
        </w:rPr>
        <w:t xml:space="preserve">% no pieejamā finanšu instrumentu finansējuma, savukārt Šveices programmā - 200,5 tūkst. </w:t>
      </w:r>
      <w:r w:rsidRPr="009E70E4">
        <w:rPr>
          <w:rFonts w:eastAsia="Calibri" w:cs="Times New Roman"/>
          <w:i/>
          <w:iCs/>
          <w:szCs w:val="24"/>
        </w:rPr>
        <w:t>euro</w:t>
      </w:r>
      <w:r w:rsidRPr="009E70E4">
        <w:rPr>
          <w:rFonts w:eastAsia="Calibri" w:cs="Times New Roman"/>
          <w:iCs/>
          <w:szCs w:val="24"/>
        </w:rPr>
        <w:t xml:space="preserve"> jeb 0,4% no pieejamā Šveices finansējuma. 2015.gada 2.pusgadā ir konstatēti neatbilstoši veiktie izdevumi:</w:t>
      </w:r>
    </w:p>
    <w:p w14:paraId="6B32CDE5" w14:textId="313CE5BC" w:rsidR="00B772F9" w:rsidRPr="00B772F9" w:rsidRDefault="00B772F9" w:rsidP="00190973">
      <w:pPr>
        <w:numPr>
          <w:ilvl w:val="0"/>
          <w:numId w:val="21"/>
        </w:numPr>
        <w:spacing w:before="120" w:after="120" w:line="276" w:lineRule="auto"/>
        <w:contextualSpacing/>
        <w:jc w:val="both"/>
        <w:rPr>
          <w:rFonts w:cs="Times New Roman"/>
          <w:color w:val="000000"/>
          <w:szCs w:val="20"/>
          <w:lang w:eastAsia="lv-LV"/>
        </w:rPr>
      </w:pPr>
      <w:r w:rsidRPr="009E70E4">
        <w:rPr>
          <w:rFonts w:cs="Times New Roman"/>
          <w:color w:val="000000"/>
          <w:szCs w:val="20"/>
          <w:lang w:eastAsia="lv-LV"/>
        </w:rPr>
        <w:t xml:space="preserve">EEZ/Norvēģijas finanšu instrumentos dažāda veida </w:t>
      </w:r>
      <w:r w:rsidR="003C4D3E">
        <w:rPr>
          <w:rFonts w:cs="Times New Roman"/>
          <w:color w:val="000000"/>
          <w:szCs w:val="20"/>
          <w:lang w:eastAsia="lv-LV"/>
        </w:rPr>
        <w:t xml:space="preserve">programmu </w:t>
      </w:r>
      <w:proofErr w:type="spellStart"/>
      <w:r w:rsidR="003C4D3E">
        <w:rPr>
          <w:rFonts w:cs="Times New Roman"/>
          <w:color w:val="000000"/>
          <w:szCs w:val="20"/>
          <w:lang w:eastAsia="lv-LV"/>
        </w:rPr>
        <w:t>apsaimniekotāju</w:t>
      </w:r>
      <w:proofErr w:type="spellEnd"/>
      <w:r w:rsidR="003C4D3E">
        <w:rPr>
          <w:rFonts w:cs="Times New Roman"/>
          <w:color w:val="000000"/>
          <w:szCs w:val="20"/>
          <w:lang w:eastAsia="lv-LV"/>
        </w:rPr>
        <w:t xml:space="preserve"> un </w:t>
      </w:r>
      <w:r w:rsidRPr="009E70E4">
        <w:rPr>
          <w:rFonts w:cs="Times New Roman"/>
          <w:color w:val="000000"/>
          <w:szCs w:val="20"/>
          <w:lang w:eastAsia="lv-LV"/>
        </w:rPr>
        <w:t xml:space="preserve">projektu īstenotāju izmaksu </w:t>
      </w:r>
      <w:proofErr w:type="spellStart"/>
      <w:r w:rsidRPr="009E70E4">
        <w:rPr>
          <w:rFonts w:cs="Times New Roman"/>
          <w:color w:val="000000"/>
          <w:szCs w:val="20"/>
          <w:lang w:eastAsia="lv-LV"/>
        </w:rPr>
        <w:t>attiecināmības</w:t>
      </w:r>
      <w:proofErr w:type="spellEnd"/>
      <w:r w:rsidRPr="009E70E4">
        <w:rPr>
          <w:rFonts w:cs="Times New Roman"/>
          <w:color w:val="000000"/>
          <w:szCs w:val="20"/>
          <w:lang w:eastAsia="lv-LV"/>
        </w:rPr>
        <w:t xml:space="preserve"> nosacījumu pārkāpumos </w:t>
      </w:r>
      <w:r w:rsidR="009E70E4" w:rsidRPr="009E70E4">
        <w:rPr>
          <w:rFonts w:cs="Times New Roman"/>
          <w:color w:val="000000"/>
          <w:szCs w:val="20"/>
          <w:lang w:eastAsia="lv-LV"/>
        </w:rPr>
        <w:t>48,9</w:t>
      </w:r>
      <w:r w:rsidRPr="009E70E4">
        <w:rPr>
          <w:rFonts w:cs="Times New Roman"/>
          <w:color w:val="000000"/>
          <w:szCs w:val="20"/>
          <w:lang w:eastAsia="lv-LV"/>
        </w:rPr>
        <w:t xml:space="preserve"> tūkst. </w:t>
      </w:r>
      <w:r w:rsidRPr="009E70E4">
        <w:rPr>
          <w:rFonts w:cs="Times New Roman"/>
          <w:i/>
          <w:color w:val="000000"/>
          <w:szCs w:val="20"/>
          <w:lang w:eastAsia="lv-LV"/>
        </w:rPr>
        <w:t>euro</w:t>
      </w:r>
      <w:r w:rsidRPr="009E70E4">
        <w:rPr>
          <w:rFonts w:cs="Times New Roman"/>
          <w:color w:val="000000"/>
          <w:szCs w:val="20"/>
          <w:lang w:eastAsia="lv-LV"/>
        </w:rPr>
        <w:t xml:space="preserve"> apmērā</w:t>
      </w:r>
      <w:r w:rsidRPr="00B772F9">
        <w:rPr>
          <w:rFonts w:cs="Times New Roman"/>
          <w:color w:val="000000"/>
          <w:szCs w:val="20"/>
          <w:lang w:eastAsia="lv-LV"/>
        </w:rPr>
        <w:t>.</w:t>
      </w:r>
    </w:p>
    <w:p w14:paraId="7667C7BA" w14:textId="77777777" w:rsidR="00FC520C" w:rsidRPr="00803125" w:rsidRDefault="00B772F9" w:rsidP="00190973">
      <w:pPr>
        <w:pStyle w:val="ListParagraph"/>
        <w:numPr>
          <w:ilvl w:val="0"/>
          <w:numId w:val="21"/>
        </w:numPr>
        <w:spacing w:before="120" w:after="120" w:line="276" w:lineRule="auto"/>
        <w:jc w:val="both"/>
        <w:rPr>
          <w:rFonts w:eastAsia="EUAlbertina-Bold-Identity-H" w:cs="Times New Roman"/>
          <w:szCs w:val="24"/>
        </w:rPr>
      </w:pPr>
      <w:r w:rsidRPr="00803125">
        <w:rPr>
          <w:rFonts w:cs="Times New Roman"/>
          <w:color w:val="000000"/>
          <w:szCs w:val="20"/>
          <w:lang w:eastAsia="lv-LV"/>
        </w:rPr>
        <w:t xml:space="preserve">Šveices programmā „Atbalsts jaunatnes iniciatīvu attīstībai attālos vai mazattīstītos </w:t>
      </w:r>
      <w:r w:rsidRPr="00803125">
        <w:rPr>
          <w:rFonts w:eastAsia="EUAlbertina-Bold-Identity-H" w:cs="Times New Roman"/>
          <w:szCs w:val="24"/>
        </w:rPr>
        <w:t xml:space="preserve">reģionos” 10,6 tūkst. </w:t>
      </w:r>
      <w:r w:rsidRPr="000B2492">
        <w:rPr>
          <w:rFonts w:eastAsia="EUAlbertina-Bold-Identity-H" w:cs="Times New Roman"/>
          <w:i/>
          <w:szCs w:val="24"/>
        </w:rPr>
        <w:t>euro</w:t>
      </w:r>
      <w:r w:rsidRPr="00803125">
        <w:rPr>
          <w:rFonts w:eastAsia="EUAlbertina-Bold-Identity-H" w:cs="Times New Roman"/>
          <w:szCs w:val="24"/>
        </w:rPr>
        <w:t xml:space="preserve"> apmērā vienā no pašvaldību apakšprojektiem.</w:t>
      </w:r>
    </w:p>
    <w:p w14:paraId="6383D84D" w14:textId="319064CD" w:rsidR="00FC520C" w:rsidRPr="00FC520C" w:rsidRDefault="00FC520C" w:rsidP="00803125">
      <w:pPr>
        <w:spacing w:before="120" w:after="120" w:line="276" w:lineRule="auto"/>
        <w:jc w:val="both"/>
        <w:rPr>
          <w:rFonts w:cs="Times New Roman"/>
          <w:color w:val="000000"/>
          <w:szCs w:val="20"/>
          <w:lang w:eastAsia="lv-LV"/>
        </w:rPr>
      </w:pPr>
      <w:r w:rsidRPr="00803125">
        <w:rPr>
          <w:rFonts w:eastAsia="EUAlbertina-Bold-Identity-H" w:cs="Times New Roman"/>
          <w:szCs w:val="24"/>
        </w:rPr>
        <w:t>EEZ finanšu instrumenta programmā “NVO Fonds” SIF tiesvedības process par piešķirtā finansējuma</w:t>
      </w:r>
      <w:r w:rsidRPr="00803125">
        <w:rPr>
          <w:rFonts w:cs="Times New Roman"/>
          <w:color w:val="000000"/>
          <w:szCs w:val="20"/>
          <w:lang w:eastAsia="lv-LV"/>
        </w:rPr>
        <w:t xml:space="preserve"> atgūšanu</w:t>
      </w:r>
      <w:r w:rsidRPr="00FC520C">
        <w:rPr>
          <w:rFonts w:cs="Times New Roman"/>
          <w:color w:val="000000"/>
          <w:szCs w:val="20"/>
          <w:lang w:eastAsia="lv-LV"/>
        </w:rPr>
        <w:t xml:space="preserve"> no biedrības „Asociācija „Ģimene”” (pēc konstatētās neatbilstības projektā Nr.2012.EEZ/DAP/MIC/080/5/R/079 „Pilsoniskās sabiedrības un iedzīvotāju līdzdalība dzimumu līdztiesības politikas izstrādē un īstenošanā” attiecībā uz dzimumu līdztiesības principa ievērošanu projekta īstenošanā, sākotnēji informācija iekļauta Informatīvajā ziņojumā par Eiropas Savienības struktūrfondu un Kohēzijas fonda, Eiropas Ekonomikas zonas finanšu instrumenta, Norvēģijas finanšu instrumenta un Latvijas un Šveices sadarbības programmas apguvi līdz 2014.gada 30.jūnijam) ir noslēdzies ar izlīgumu</w:t>
      </w:r>
      <w:r w:rsidR="00062EEB">
        <w:rPr>
          <w:rFonts w:cs="Times New Roman"/>
          <w:color w:val="000000"/>
          <w:szCs w:val="20"/>
          <w:lang w:eastAsia="lv-LV"/>
        </w:rPr>
        <w:t>. Tā rezultātā SIF rosin</w:t>
      </w:r>
      <w:r w:rsidR="00DD52CB">
        <w:rPr>
          <w:rFonts w:cs="Times New Roman"/>
          <w:color w:val="000000"/>
          <w:szCs w:val="20"/>
          <w:lang w:eastAsia="lv-LV"/>
        </w:rPr>
        <w:t>a</w:t>
      </w:r>
      <w:r w:rsidR="00062EEB">
        <w:rPr>
          <w:rFonts w:cs="Times New Roman"/>
          <w:color w:val="000000"/>
          <w:szCs w:val="20"/>
          <w:lang w:eastAsia="lv-LV"/>
        </w:rPr>
        <w:t xml:space="preserve"> MK lemt par šo neatbilstošo izdevumu </w:t>
      </w:r>
      <w:r w:rsidR="00062EEB" w:rsidRPr="00F026A2">
        <w:t>8</w:t>
      </w:r>
      <w:r w:rsidR="00062EEB">
        <w:t xml:space="preserve"> </w:t>
      </w:r>
      <w:r w:rsidR="00062EEB" w:rsidRPr="00F026A2">
        <w:t xml:space="preserve">017,64 </w:t>
      </w:r>
      <w:r w:rsidR="00062EEB" w:rsidRPr="00F026A2">
        <w:rPr>
          <w:i/>
        </w:rPr>
        <w:t>euro</w:t>
      </w:r>
      <w:r w:rsidR="00062EEB" w:rsidRPr="00F026A2">
        <w:t xml:space="preserve"> apmērā </w:t>
      </w:r>
      <w:r w:rsidR="00F92D6E">
        <w:rPr>
          <w:rFonts w:cs="Times New Roman"/>
          <w:color w:val="000000"/>
          <w:szCs w:val="20"/>
          <w:lang w:eastAsia="lv-LV"/>
        </w:rPr>
        <w:t>norakstīšanu</w:t>
      </w:r>
      <w:r w:rsidR="00062EEB">
        <w:rPr>
          <w:rFonts w:cs="Times New Roman"/>
          <w:color w:val="000000"/>
          <w:szCs w:val="20"/>
          <w:lang w:eastAsia="lv-LV"/>
        </w:rPr>
        <w:t xml:space="preserve"> </w:t>
      </w:r>
      <w:r w:rsidR="00C95D4C">
        <w:rPr>
          <w:rFonts w:cs="Times New Roman"/>
          <w:color w:val="000000"/>
          <w:szCs w:val="20"/>
          <w:lang w:eastAsia="lv-LV"/>
        </w:rPr>
        <w:t xml:space="preserve">no </w:t>
      </w:r>
      <w:r w:rsidR="00062EEB">
        <w:rPr>
          <w:rFonts w:cs="Times New Roman"/>
          <w:color w:val="000000"/>
          <w:szCs w:val="20"/>
          <w:lang w:eastAsia="lv-LV"/>
        </w:rPr>
        <w:t xml:space="preserve">valsts budžeta </w:t>
      </w:r>
      <w:r w:rsidR="00F92D6E">
        <w:rPr>
          <w:rFonts w:cs="Times New Roman"/>
          <w:color w:val="000000"/>
          <w:szCs w:val="20"/>
          <w:lang w:eastAsia="lv-LV"/>
        </w:rPr>
        <w:t>zaudējumos</w:t>
      </w:r>
      <w:r w:rsidR="00062EEB">
        <w:rPr>
          <w:rFonts w:cs="Times New Roman"/>
          <w:color w:val="000000"/>
          <w:szCs w:val="20"/>
          <w:lang w:eastAsia="lv-LV"/>
        </w:rPr>
        <w:t>.</w:t>
      </w:r>
    </w:p>
    <w:p w14:paraId="0045E95C" w14:textId="2A4984E2" w:rsidR="009C0862" w:rsidRPr="004D68C3" w:rsidRDefault="00C96500" w:rsidP="004D147C">
      <w:pPr>
        <w:pStyle w:val="1lmenis"/>
      </w:pPr>
      <w:r w:rsidRPr="004D68C3">
        <w:t xml:space="preserve"> </w:t>
      </w:r>
      <w:r w:rsidR="008F35AF" w:rsidRPr="004D68C3">
        <w:t xml:space="preserve"> </w:t>
      </w:r>
      <w:bookmarkStart w:id="24" w:name="_Toc443658862"/>
      <w:r w:rsidR="009C0862" w:rsidRPr="004D68C3">
        <w:t>2014.–2020.gada plānošanas perioda ES fondu ieviešana</w:t>
      </w:r>
      <w:bookmarkEnd w:id="24"/>
    </w:p>
    <w:p w14:paraId="26478E5E" w14:textId="44AE4CC9" w:rsidR="00943E78" w:rsidRDefault="00943E78" w:rsidP="00943E78">
      <w:pPr>
        <w:spacing w:before="120" w:after="120" w:line="276" w:lineRule="auto"/>
        <w:jc w:val="both"/>
        <w:rPr>
          <w:b/>
          <w:i/>
          <w:color w:val="000000" w:themeColor="text1"/>
          <w:szCs w:val="24"/>
        </w:rPr>
      </w:pPr>
      <w:r w:rsidRPr="00943E78">
        <w:rPr>
          <w:b/>
          <w:i/>
          <w:color w:val="000000" w:themeColor="text1"/>
          <w:szCs w:val="24"/>
        </w:rPr>
        <w:t>Investīciju progress:</w:t>
      </w:r>
    </w:p>
    <w:p w14:paraId="61F3D43F" w14:textId="44C0092D" w:rsidR="00943E78" w:rsidRPr="002718EF" w:rsidRDefault="00943E78" w:rsidP="00943E78">
      <w:pPr>
        <w:spacing w:before="120" w:after="120" w:line="276" w:lineRule="auto"/>
        <w:jc w:val="both"/>
      </w:pPr>
      <w:r w:rsidRPr="00FC0A51">
        <w:t>Kopā no ES fondu projektu īstenošanai pieejamiem</w:t>
      </w:r>
      <w:r w:rsidRPr="00FC0A51">
        <w:rPr>
          <w:color w:val="000000" w:themeColor="text1"/>
          <w:szCs w:val="24"/>
        </w:rPr>
        <w:t xml:space="preserve"> 5,0 mljrd. </w:t>
      </w:r>
      <w:r w:rsidRPr="00FC0A51">
        <w:rPr>
          <w:i/>
          <w:color w:val="000000" w:themeColor="text1"/>
          <w:szCs w:val="24"/>
        </w:rPr>
        <w:t>euro</w:t>
      </w:r>
      <w:r w:rsidRPr="00FC0A51">
        <w:rPr>
          <w:color w:val="000000" w:themeColor="text1"/>
          <w:szCs w:val="24"/>
        </w:rPr>
        <w:t xml:space="preserve"> publiskā finansējuma, kas ietver gan ES fondu finansējumu, gan arī valsts budžeta un pašvaldību budžeta līdzfinansējumu (neskaitot piešķirtā valsts budžeta </w:t>
      </w:r>
      <w:proofErr w:type="spellStart"/>
      <w:r w:rsidRPr="00FC0A51">
        <w:rPr>
          <w:color w:val="000000" w:themeColor="text1"/>
          <w:szCs w:val="24"/>
        </w:rPr>
        <w:t>virssaistību</w:t>
      </w:r>
      <w:proofErr w:type="spellEnd"/>
      <w:r w:rsidRPr="00FC0A51">
        <w:rPr>
          <w:color w:val="000000" w:themeColor="text1"/>
          <w:szCs w:val="24"/>
        </w:rPr>
        <w:t xml:space="preserve"> finansējumu </w:t>
      </w:r>
      <w:r w:rsidR="00FC0A51" w:rsidRPr="00FC0A51">
        <w:rPr>
          <w:color w:val="000000" w:themeColor="text1"/>
          <w:szCs w:val="24"/>
        </w:rPr>
        <w:t>53,0</w:t>
      </w:r>
      <w:r w:rsidRPr="00FC0A51">
        <w:rPr>
          <w:color w:val="000000" w:themeColor="text1"/>
          <w:szCs w:val="24"/>
        </w:rPr>
        <w:t xml:space="preserve"> milj. </w:t>
      </w:r>
      <w:r w:rsidRPr="00FC0A51">
        <w:rPr>
          <w:i/>
          <w:color w:val="000000" w:themeColor="text1"/>
          <w:szCs w:val="24"/>
        </w:rPr>
        <w:t>euro</w:t>
      </w:r>
      <w:r w:rsidRPr="00FC0A51">
        <w:rPr>
          <w:color w:val="000000" w:themeColor="text1"/>
          <w:szCs w:val="24"/>
        </w:rPr>
        <w:t xml:space="preserve">), </w:t>
      </w:r>
      <w:r w:rsidR="00435B37">
        <w:t xml:space="preserve">līdz 2015.gada 31.decembrim </w:t>
      </w:r>
      <w:r w:rsidR="00062EEB">
        <w:rPr>
          <w:color w:val="000000" w:themeColor="text1"/>
          <w:szCs w:val="24"/>
        </w:rPr>
        <w:t xml:space="preserve">jau </w:t>
      </w:r>
      <w:r w:rsidRPr="00FC0A51">
        <w:rPr>
          <w:color w:val="000000" w:themeColor="text1"/>
          <w:szCs w:val="24"/>
        </w:rPr>
        <w:t xml:space="preserve">ir noslēgti </w:t>
      </w:r>
      <w:r w:rsidR="00FC0A51" w:rsidRPr="00FC0A51">
        <w:rPr>
          <w:color w:val="000000" w:themeColor="text1"/>
          <w:szCs w:val="24"/>
        </w:rPr>
        <w:t>39</w:t>
      </w:r>
      <w:r w:rsidRPr="00FC0A51">
        <w:rPr>
          <w:color w:val="000000" w:themeColor="text1"/>
          <w:szCs w:val="24"/>
        </w:rPr>
        <w:t xml:space="preserve"> līgumi par projektu īstenošanu </w:t>
      </w:r>
      <w:r w:rsidR="00FC0A51" w:rsidRPr="00FC0A51">
        <w:rPr>
          <w:color w:val="000000" w:themeColor="text1"/>
          <w:szCs w:val="24"/>
        </w:rPr>
        <w:t xml:space="preserve">424,2 milj. </w:t>
      </w:r>
      <w:r w:rsidR="00FC0A51" w:rsidRPr="00FC0A51">
        <w:rPr>
          <w:i/>
          <w:color w:val="000000" w:themeColor="text1"/>
          <w:szCs w:val="24"/>
        </w:rPr>
        <w:t>euro</w:t>
      </w:r>
      <w:r w:rsidR="00FC0A51" w:rsidRPr="00FC0A51">
        <w:rPr>
          <w:color w:val="000000" w:themeColor="text1"/>
          <w:szCs w:val="24"/>
        </w:rPr>
        <w:t xml:space="preserve"> </w:t>
      </w:r>
      <w:r w:rsidRPr="00FC0A51">
        <w:rPr>
          <w:color w:val="000000" w:themeColor="text1"/>
          <w:szCs w:val="24"/>
        </w:rPr>
        <w:t xml:space="preserve"> apmērā, t.i., </w:t>
      </w:r>
      <w:r w:rsidR="00750ECC">
        <w:rPr>
          <w:color w:val="000000" w:themeColor="text1"/>
          <w:szCs w:val="24"/>
        </w:rPr>
        <w:t>8,5</w:t>
      </w:r>
      <w:r w:rsidRPr="00FC0A51">
        <w:rPr>
          <w:color w:val="000000" w:themeColor="text1"/>
          <w:szCs w:val="24"/>
        </w:rPr>
        <w:t>%.</w:t>
      </w:r>
      <w:r w:rsidRPr="00FC0A51">
        <w:t xml:space="preserve"> Savukārt finansējuma saņēmējiem ir izmaksāti </w:t>
      </w:r>
      <w:r w:rsidR="00FC0A51" w:rsidRPr="00FC0A51">
        <w:t>43,7 milj</w:t>
      </w:r>
      <w:r w:rsidRPr="00FC0A51">
        <w:t xml:space="preserve">. </w:t>
      </w:r>
      <w:r w:rsidRPr="00FC0A51">
        <w:rPr>
          <w:i/>
        </w:rPr>
        <w:t>euro</w:t>
      </w:r>
      <w:r w:rsidRPr="00FC0A51">
        <w:t xml:space="preserve"> jeb </w:t>
      </w:r>
      <w:r w:rsidR="00FC0A51" w:rsidRPr="00FC0A51">
        <w:t>0,9</w:t>
      </w:r>
      <w:r w:rsidRPr="002718EF">
        <w:t>%, to parāda arī grafiks</w:t>
      </w:r>
      <w:r w:rsidR="00B72046">
        <w:t xml:space="preserve"> Nr.13</w:t>
      </w:r>
      <w:r w:rsidRPr="002718EF">
        <w:t xml:space="preserve">. </w:t>
      </w:r>
    </w:p>
    <w:p w14:paraId="3548479C" w14:textId="77777777" w:rsidR="00D65094" w:rsidRDefault="00D65094">
      <w:pPr>
        <w:rPr>
          <w:rFonts w:eastAsia="EUAlbertina-Bold-Identity-H"/>
          <w:color w:val="000000" w:themeColor="text1"/>
          <w:szCs w:val="24"/>
          <w:lang w:eastAsia="lv-LV"/>
        </w:rPr>
      </w:pPr>
      <w:r>
        <w:rPr>
          <w:rFonts w:eastAsia="EUAlbertina-Bold-Identity-H"/>
          <w:color w:val="000000" w:themeColor="text1"/>
          <w:szCs w:val="24"/>
          <w:lang w:eastAsia="lv-LV"/>
        </w:rPr>
        <w:br w:type="page"/>
      </w:r>
    </w:p>
    <w:p w14:paraId="34FA8623" w14:textId="39600FBB" w:rsidR="00A16314" w:rsidRDefault="00A16314" w:rsidP="00A16314">
      <w:pPr>
        <w:spacing w:before="120" w:line="276" w:lineRule="auto"/>
        <w:jc w:val="both"/>
        <w:rPr>
          <w:rFonts w:eastAsia="EUAlbertina-Bold-Identity-H"/>
          <w:color w:val="000000" w:themeColor="text1"/>
          <w:szCs w:val="24"/>
          <w:lang w:eastAsia="lv-LV"/>
        </w:rPr>
      </w:pPr>
      <w:r w:rsidRPr="00B02C80">
        <w:rPr>
          <w:rFonts w:eastAsia="EUAlbertina-Bold-Identity-H"/>
          <w:color w:val="000000" w:themeColor="text1"/>
          <w:szCs w:val="24"/>
          <w:lang w:eastAsia="lv-LV"/>
        </w:rPr>
        <w:lastRenderedPageBreak/>
        <w:t xml:space="preserve">Grafiks </w:t>
      </w:r>
      <w:r w:rsidRPr="00001327">
        <w:rPr>
          <w:rFonts w:eastAsia="EUAlbertina-Bold-Identity-H"/>
          <w:szCs w:val="24"/>
          <w:lang w:eastAsia="lv-LV"/>
        </w:rPr>
        <w:t>Nr</w:t>
      </w:r>
      <w:r w:rsidR="00EC748A">
        <w:rPr>
          <w:rFonts w:eastAsia="EUAlbertina-Bold-Identity-H"/>
          <w:szCs w:val="24"/>
          <w:lang w:eastAsia="lv-LV"/>
        </w:rPr>
        <w:t>.1</w:t>
      </w:r>
      <w:r w:rsidR="00942E5A">
        <w:rPr>
          <w:rFonts w:eastAsia="EUAlbertina-Bold-Identity-H"/>
          <w:szCs w:val="24"/>
          <w:lang w:eastAsia="lv-LV"/>
        </w:rPr>
        <w:t>3</w:t>
      </w:r>
      <w:r w:rsidRPr="00001327">
        <w:rPr>
          <w:rFonts w:eastAsia="EUAlbertina-Bold-Identity-H"/>
          <w:szCs w:val="24"/>
          <w:lang w:eastAsia="lv-LV"/>
        </w:rPr>
        <w:t xml:space="preserve"> </w:t>
      </w:r>
      <w:r w:rsidRPr="00B02C80">
        <w:rPr>
          <w:rFonts w:eastAsia="EUAlbertina-Bold-Identity-H"/>
          <w:i/>
          <w:color w:val="000000" w:themeColor="text1"/>
          <w:szCs w:val="24"/>
        </w:rPr>
        <w:t>„</w:t>
      </w:r>
      <w:r w:rsidRPr="00B02C80">
        <w:rPr>
          <w:i/>
          <w:iCs/>
          <w:color w:val="000000" w:themeColor="text1"/>
          <w:szCs w:val="24"/>
        </w:rPr>
        <w:t>ES fondu finanšu investīcijas līdz 2015.gada 31.decembrim; Publiskais finansējums, milj. euro (% no pieejamā publiskā finansējuma)</w:t>
      </w:r>
      <w:r w:rsidRPr="00B02C80">
        <w:rPr>
          <w:rFonts w:eastAsia="EUAlbertina-Bold-Identity-H"/>
          <w:i/>
          <w:color w:val="000000" w:themeColor="text1"/>
          <w:szCs w:val="24"/>
        </w:rPr>
        <w:t>”</w:t>
      </w:r>
      <w:r w:rsidRPr="00B02C80">
        <w:rPr>
          <w:rFonts w:eastAsia="EUAlbertina-Bold-Identity-H"/>
          <w:color w:val="000000" w:themeColor="text1"/>
          <w:szCs w:val="24"/>
          <w:lang w:eastAsia="lv-LV"/>
        </w:rPr>
        <w:tab/>
      </w:r>
    </w:p>
    <w:p w14:paraId="10DA31C1" w14:textId="219DB259" w:rsidR="009A4C2D" w:rsidRDefault="009A4C2D" w:rsidP="00A16314">
      <w:pPr>
        <w:spacing w:before="120" w:line="276" w:lineRule="auto"/>
        <w:jc w:val="both"/>
        <w:rPr>
          <w:rFonts w:eastAsia="EUAlbertina-Bold-Identity-H"/>
          <w:color w:val="000000" w:themeColor="text1"/>
          <w:szCs w:val="24"/>
          <w:lang w:eastAsia="lv-LV"/>
        </w:rPr>
      </w:pPr>
      <w:r>
        <w:rPr>
          <w:rFonts w:eastAsia="EUAlbertina-Bold-Identity-H"/>
          <w:noProof/>
          <w:color w:val="000000" w:themeColor="text1"/>
          <w:szCs w:val="24"/>
          <w:lang w:eastAsia="lv-LV"/>
        </w:rPr>
        <w:drawing>
          <wp:inline distT="0" distB="0" distL="0" distR="0" wp14:anchorId="3216551B" wp14:editId="4B0533B6">
            <wp:extent cx="5650230" cy="2829560"/>
            <wp:effectExtent l="0" t="0" r="762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50230" cy="2829560"/>
                    </a:xfrm>
                    <a:prstGeom prst="rect">
                      <a:avLst/>
                    </a:prstGeom>
                    <a:noFill/>
                    <a:ln>
                      <a:noFill/>
                    </a:ln>
                  </pic:spPr>
                </pic:pic>
              </a:graphicData>
            </a:graphic>
          </wp:inline>
        </w:drawing>
      </w:r>
    </w:p>
    <w:p w14:paraId="77993D96" w14:textId="395BE616" w:rsidR="0084546D" w:rsidRPr="0084546D" w:rsidRDefault="00FC0A51" w:rsidP="0084546D">
      <w:pPr>
        <w:spacing w:before="120" w:after="120" w:line="276" w:lineRule="auto"/>
        <w:jc w:val="both"/>
      </w:pPr>
      <w:r w:rsidRPr="00FD2ADE">
        <w:rPr>
          <w:color w:val="000000" w:themeColor="text1"/>
        </w:rPr>
        <w:t xml:space="preserve">Detalizētāku informāciju par veiktajām finanšu investīcijām un finanšu progresu skatīt </w:t>
      </w:r>
      <w:r w:rsidRPr="00FD2ADE">
        <w:rPr>
          <w:color w:val="000000" w:themeColor="text1"/>
          <w:u w:val="single"/>
        </w:rPr>
        <w:t>pielikumā Nr</w:t>
      </w:r>
      <w:r w:rsidRPr="00FD2ADE">
        <w:rPr>
          <w:color w:val="000000" w:themeColor="text1"/>
        </w:rPr>
        <w:t>.</w:t>
      </w:r>
      <w:r>
        <w:rPr>
          <w:color w:val="000000" w:themeColor="text1"/>
          <w:u w:val="single"/>
        </w:rPr>
        <w:t>2</w:t>
      </w:r>
      <w:r w:rsidRPr="00FD2ADE">
        <w:rPr>
          <w:color w:val="000000" w:themeColor="text1"/>
        </w:rPr>
        <w:t xml:space="preserve">, </w:t>
      </w:r>
      <w:r w:rsidRPr="00FD2ADE">
        <w:rPr>
          <w:color w:val="000000" w:themeColor="text1"/>
          <w:u w:val="single"/>
        </w:rPr>
        <w:t xml:space="preserve">ES fondu </w:t>
      </w:r>
      <w:r w:rsidR="00A16314">
        <w:rPr>
          <w:color w:val="000000" w:themeColor="text1"/>
          <w:u w:val="single"/>
        </w:rPr>
        <w:t>tīmekļa</w:t>
      </w:r>
      <w:r w:rsidRPr="00FD2ADE">
        <w:rPr>
          <w:color w:val="000000" w:themeColor="text1"/>
          <w:u w:val="single"/>
        </w:rPr>
        <w:t xml:space="preserve"> vietnē</w:t>
      </w:r>
      <w:r w:rsidRPr="00FD2ADE">
        <w:rPr>
          <w:rStyle w:val="FootnoteReference"/>
          <w:color w:val="000000" w:themeColor="text1"/>
          <w:u w:val="single"/>
        </w:rPr>
        <w:footnoteReference w:id="35"/>
      </w:r>
      <w:r w:rsidRPr="00FD2ADE">
        <w:rPr>
          <w:color w:val="000000" w:themeColor="text1"/>
        </w:rPr>
        <w:t>.</w:t>
      </w:r>
      <w:r w:rsidR="00CC638B">
        <w:rPr>
          <w:color w:val="000000" w:themeColor="text1"/>
        </w:rPr>
        <w:t xml:space="preserve"> </w:t>
      </w:r>
      <w:r w:rsidR="00B67129">
        <w:rPr>
          <w:color w:val="000000" w:themeColor="text1"/>
        </w:rPr>
        <w:t xml:space="preserve">Kā arī 2016.gada 10.februārī prezentēto materiālu Saeimas </w:t>
      </w:r>
      <w:proofErr w:type="spellStart"/>
      <w:r w:rsidR="00B67129">
        <w:rPr>
          <w:color w:val="000000" w:themeColor="text1"/>
        </w:rPr>
        <w:t>Pierasījumu</w:t>
      </w:r>
      <w:proofErr w:type="spellEnd"/>
      <w:r w:rsidR="00B67129">
        <w:rPr>
          <w:color w:val="000000" w:themeColor="text1"/>
        </w:rPr>
        <w:t xml:space="preserve"> komisijā</w:t>
      </w:r>
      <w:r w:rsidR="00B67129">
        <w:rPr>
          <w:rStyle w:val="FootnoteReference"/>
          <w:color w:val="000000" w:themeColor="text1"/>
        </w:rPr>
        <w:footnoteReference w:id="36"/>
      </w:r>
      <w:r w:rsidR="00B67129">
        <w:rPr>
          <w:color w:val="000000" w:themeColor="text1"/>
        </w:rPr>
        <w:t xml:space="preserve">. </w:t>
      </w:r>
      <w:r w:rsidR="0084546D" w:rsidRPr="0084546D">
        <w:t>Analizējot ziņojuma 4.pielikuma informāciju par rādītājiem, secinām</w:t>
      </w:r>
      <w:r w:rsidR="00CC638B">
        <w:t>s</w:t>
      </w:r>
      <w:r w:rsidR="0084546D" w:rsidRPr="0084546D">
        <w:t xml:space="preserve">, ka  2018.gada vērtības </w:t>
      </w:r>
      <w:r w:rsidR="00CC638B">
        <w:t xml:space="preserve">var </w:t>
      </w:r>
      <w:r w:rsidR="0084546D" w:rsidRPr="0084546D">
        <w:t>netik</w:t>
      </w:r>
      <w:r w:rsidR="00CC638B">
        <w:t>t</w:t>
      </w:r>
      <w:r w:rsidR="0084546D" w:rsidRPr="0084546D">
        <w:t xml:space="preserve"> sasniegtas (t.i., netiks deklarēti maksājumi pilnā apmērā pēc šī brīža prognozēm uz 2018.g.) un pastāv riski šādos prioritārajos virzienos:</w:t>
      </w:r>
    </w:p>
    <w:p w14:paraId="48A0287A" w14:textId="0B77D48F" w:rsidR="0084546D" w:rsidRPr="0084546D" w:rsidRDefault="0084546D" w:rsidP="0084546D">
      <w:pPr>
        <w:spacing w:before="120" w:after="120" w:line="276" w:lineRule="auto"/>
        <w:jc w:val="both"/>
      </w:pPr>
      <w:r w:rsidRPr="0084546D">
        <w:t xml:space="preserve"> 1)      4.prioritārajā virzienā “Pāreja uz ekonomiku ar zemu oglekļa emisijas līmeni visās nozarēs” (KF: 30 681 543 </w:t>
      </w:r>
      <w:r w:rsidR="00C95D4C" w:rsidRPr="009951C9">
        <w:rPr>
          <w:i/>
        </w:rPr>
        <w:t>euro</w:t>
      </w:r>
      <w:r w:rsidRPr="0084546D">
        <w:t xml:space="preserve"> jeb 97% no 2018.g. vērtības)</w:t>
      </w:r>
    </w:p>
    <w:p w14:paraId="433DBA92" w14:textId="09FA2390" w:rsidR="0084546D" w:rsidRPr="0084546D" w:rsidRDefault="009951C9" w:rsidP="0084546D">
      <w:pPr>
        <w:spacing w:before="120" w:after="120" w:line="276" w:lineRule="auto"/>
        <w:jc w:val="both"/>
      </w:pPr>
      <w:r>
        <w:t>2)      8.</w:t>
      </w:r>
      <w:r w:rsidR="0084546D" w:rsidRPr="0084546D">
        <w:t xml:space="preserve">prioritārajā virzienā “Izglītība, prasmes un mūžizglītība” (ERAF: 100 060 988 </w:t>
      </w:r>
      <w:r w:rsidR="00C95D4C" w:rsidRPr="009951C9">
        <w:rPr>
          <w:i/>
        </w:rPr>
        <w:t>euro</w:t>
      </w:r>
      <w:r w:rsidR="0084546D" w:rsidRPr="0084546D">
        <w:t xml:space="preserve"> jeb 81% no 2018.g. vērtības)</w:t>
      </w:r>
    </w:p>
    <w:p w14:paraId="322B3C3F" w14:textId="2B03A174" w:rsidR="0084546D" w:rsidRPr="0084546D" w:rsidRDefault="009951C9" w:rsidP="0084546D">
      <w:pPr>
        <w:spacing w:before="120" w:after="120" w:line="276" w:lineRule="auto"/>
        <w:jc w:val="both"/>
      </w:pPr>
      <w:r>
        <w:t>3)      9.</w:t>
      </w:r>
      <w:r w:rsidR="0084546D" w:rsidRPr="0084546D">
        <w:t xml:space="preserve">prioritārajā virzienā “Sociālā iekļaušana un nabadzības apkarošana” (ERAF: 45 434 185 </w:t>
      </w:r>
      <w:r w:rsidR="00C95D4C" w:rsidRPr="009951C9">
        <w:rPr>
          <w:i/>
        </w:rPr>
        <w:t>euro</w:t>
      </w:r>
      <w:r w:rsidR="0084546D" w:rsidRPr="0084546D">
        <w:t xml:space="preserve"> jeb 84% no 2018.g. vērtības). </w:t>
      </w:r>
    </w:p>
    <w:p w14:paraId="69E3541D" w14:textId="704C5AD6" w:rsidR="0084546D" w:rsidRDefault="0084546D" w:rsidP="0084546D">
      <w:pPr>
        <w:spacing w:before="120" w:after="120" w:line="276" w:lineRule="auto"/>
        <w:jc w:val="both"/>
      </w:pPr>
      <w:r w:rsidRPr="0084546D">
        <w:t xml:space="preserve"> Kritiskā robeža ir</w:t>
      </w:r>
      <w:r w:rsidR="00CC638B">
        <w:t xml:space="preserve"> ja</w:t>
      </w:r>
      <w:r w:rsidRPr="0084546D">
        <w:t xml:space="preserve"> izpilde mazāka par 65%, kad EK var rosināt pārdalīt 6% snieguma rezervi citām jomām</w:t>
      </w:r>
      <w:r w:rsidR="00CC638B">
        <w:t>.</w:t>
      </w:r>
      <w:r w:rsidRPr="0084546D">
        <w:t xml:space="preserve">  </w:t>
      </w:r>
      <w:r w:rsidR="00CC638B">
        <w:t xml:space="preserve">Tā </w:t>
      </w:r>
      <w:r w:rsidRPr="0084546D">
        <w:t xml:space="preserve">vēl nav sasniegta, līdz ar to VI rūpīgi sekos līdzi turpmākām novirzēm SAM grafikā, kā arī gan stratēģiskā līmenī, gan ieviešanas līmenī darīs maksimāli iespējamo, lai paātrinātu augstāk minēto prioritāro virzienu SAM investīciju progresu.  </w:t>
      </w:r>
    </w:p>
    <w:p w14:paraId="5C160271" w14:textId="600DA762" w:rsidR="00943E78" w:rsidRPr="00943E78" w:rsidRDefault="0003117C" w:rsidP="00B72046">
      <w:pPr>
        <w:spacing w:before="120" w:after="120"/>
        <w:rPr>
          <w:b/>
          <w:i/>
          <w:color w:val="000000" w:themeColor="text1"/>
          <w:szCs w:val="24"/>
        </w:rPr>
      </w:pPr>
      <w:r>
        <w:rPr>
          <w:b/>
          <w:i/>
          <w:color w:val="000000" w:themeColor="text1"/>
          <w:szCs w:val="24"/>
        </w:rPr>
        <w:t>SAM/pasākumu i</w:t>
      </w:r>
      <w:r w:rsidR="00943E78">
        <w:rPr>
          <w:b/>
          <w:i/>
          <w:color w:val="000000" w:themeColor="text1"/>
          <w:szCs w:val="24"/>
        </w:rPr>
        <w:t>eviešana:</w:t>
      </w:r>
    </w:p>
    <w:p w14:paraId="661948A3" w14:textId="7F365C9F" w:rsidR="004D68C3" w:rsidRPr="003F668A" w:rsidRDefault="00631F21" w:rsidP="00943E78">
      <w:pPr>
        <w:spacing w:after="120" w:line="276" w:lineRule="auto"/>
        <w:jc w:val="both"/>
        <w:rPr>
          <w:rFonts w:cs="Times New Roman"/>
          <w:szCs w:val="24"/>
        </w:rPr>
      </w:pPr>
      <w:r w:rsidRPr="004D68C3">
        <w:rPr>
          <w:rFonts w:eastAsia="Times New Roman" w:cs="Times New Roman"/>
          <w:szCs w:val="24"/>
        </w:rPr>
        <w:t xml:space="preserve">Pārskata periodā ir veikti nozīmīgi soļi ES fondu 2014.–2020.gada plānošanas perioda </w:t>
      </w:r>
      <w:r w:rsidR="00220A88">
        <w:rPr>
          <w:rFonts w:eastAsia="Times New Roman" w:cs="Times New Roman"/>
          <w:szCs w:val="24"/>
        </w:rPr>
        <w:t>ieviešanā</w:t>
      </w:r>
      <w:r w:rsidRPr="004D68C3">
        <w:rPr>
          <w:rFonts w:eastAsia="Times New Roman" w:cs="Times New Roman"/>
          <w:szCs w:val="24"/>
        </w:rPr>
        <w:t>.</w:t>
      </w:r>
      <w:r w:rsidR="004D68C3">
        <w:rPr>
          <w:rFonts w:eastAsia="Times New Roman" w:cs="Times New Roman"/>
          <w:szCs w:val="24"/>
        </w:rPr>
        <w:t xml:space="preserve"> </w:t>
      </w:r>
      <w:r w:rsidR="004D68C3" w:rsidRPr="003F668A">
        <w:rPr>
          <w:rFonts w:cs="Times New Roman"/>
          <w:szCs w:val="24"/>
        </w:rPr>
        <w:t xml:space="preserve">Līdz 2016.gada janvāra </w:t>
      </w:r>
      <w:r w:rsidR="00F14A52">
        <w:rPr>
          <w:rFonts w:cs="Times New Roman"/>
          <w:szCs w:val="24"/>
        </w:rPr>
        <w:t>vidum</w:t>
      </w:r>
      <w:r w:rsidR="004D68C3" w:rsidRPr="003F668A">
        <w:rPr>
          <w:rFonts w:cs="Times New Roman"/>
          <w:szCs w:val="24"/>
        </w:rPr>
        <w:t xml:space="preserve"> </w:t>
      </w:r>
      <w:r w:rsidR="005A7060">
        <w:rPr>
          <w:rFonts w:cs="Times New Roman"/>
          <w:szCs w:val="24"/>
        </w:rPr>
        <w:t>ir izstrādāti un apstiprināti 36</w:t>
      </w:r>
      <w:r w:rsidR="004D68C3" w:rsidRPr="003F668A">
        <w:rPr>
          <w:rFonts w:cs="Times New Roman"/>
          <w:szCs w:val="24"/>
        </w:rPr>
        <w:t xml:space="preserve"> </w:t>
      </w:r>
      <w:r w:rsidR="003D5C3B">
        <w:rPr>
          <w:rFonts w:cs="Times New Roman"/>
          <w:szCs w:val="24"/>
        </w:rPr>
        <w:t xml:space="preserve">MK </w:t>
      </w:r>
      <w:r w:rsidR="004D68C3" w:rsidRPr="003F668A">
        <w:rPr>
          <w:rFonts w:cs="Times New Roman"/>
          <w:szCs w:val="24"/>
        </w:rPr>
        <w:t xml:space="preserve">noteikumi par SAM un to pasākumu īstenošanu, kas ir aptuveni trešā daļa no kopā plānotajiem. </w:t>
      </w:r>
      <w:r w:rsidR="00F14A52">
        <w:rPr>
          <w:rFonts w:cs="Times New Roman"/>
          <w:szCs w:val="24"/>
        </w:rPr>
        <w:t>Tāpat ir izsludinātas 25</w:t>
      </w:r>
      <w:r w:rsidR="004D68C3" w:rsidRPr="003F668A">
        <w:rPr>
          <w:rFonts w:cs="Times New Roman"/>
          <w:szCs w:val="24"/>
        </w:rPr>
        <w:t xml:space="preserve"> projektu iesniegumu atlases par kopējo ES</w:t>
      </w:r>
      <w:r w:rsidR="000B2492">
        <w:rPr>
          <w:rFonts w:cs="Times New Roman"/>
          <w:szCs w:val="24"/>
        </w:rPr>
        <w:t xml:space="preserve"> fondu finansējumu </w:t>
      </w:r>
      <w:r w:rsidR="00F14A52">
        <w:rPr>
          <w:rFonts w:cs="Times New Roman"/>
          <w:szCs w:val="24"/>
        </w:rPr>
        <w:t>571,1</w:t>
      </w:r>
      <w:r w:rsidR="000B2492">
        <w:rPr>
          <w:rFonts w:cs="Times New Roman"/>
          <w:szCs w:val="24"/>
        </w:rPr>
        <w:t xml:space="preserve"> milj.</w:t>
      </w:r>
      <w:r w:rsidR="004D68C3" w:rsidRPr="003F668A">
        <w:rPr>
          <w:rFonts w:cs="Times New Roman"/>
          <w:szCs w:val="24"/>
        </w:rPr>
        <w:t xml:space="preserve"> </w:t>
      </w:r>
      <w:r w:rsidR="004D68C3" w:rsidRPr="003F668A">
        <w:rPr>
          <w:rFonts w:cs="Times New Roman"/>
          <w:i/>
          <w:szCs w:val="24"/>
        </w:rPr>
        <w:t>euro</w:t>
      </w:r>
      <w:r w:rsidR="004D68C3" w:rsidRPr="003F668A">
        <w:rPr>
          <w:rFonts w:cs="Times New Roman"/>
          <w:szCs w:val="24"/>
        </w:rPr>
        <w:t xml:space="preserve"> apmērā. Notiek intensīvs darbs pie pārējo SAM un to pasākumu īstenošanas nosacījumu izstrādes un atlašu uzsākšanas, kā arī citu uzsākšanas priekšnosacījumu izpildes, lai </w:t>
      </w:r>
      <w:r w:rsidR="004D68C3" w:rsidRPr="003F668A">
        <w:rPr>
          <w:rFonts w:cs="Times New Roman"/>
          <w:szCs w:val="24"/>
        </w:rPr>
        <w:lastRenderedPageBreak/>
        <w:t>nodrošinātu savlaicīgu ES fondu 2014.–2020.gada plānošanas perioda investīciju uzsākšanu un finansēšanas nepārtrauktību nozarēs.</w:t>
      </w:r>
    </w:p>
    <w:p w14:paraId="349761EE" w14:textId="6841877C" w:rsidR="00D248C7" w:rsidRDefault="00D248C7" w:rsidP="00220A88">
      <w:pPr>
        <w:spacing w:after="120" w:line="276" w:lineRule="auto"/>
        <w:jc w:val="both"/>
        <w:rPr>
          <w:rFonts w:cs="Times New Roman"/>
        </w:rPr>
      </w:pPr>
      <w:r w:rsidRPr="004D68C3">
        <w:rPr>
          <w:rFonts w:cs="Times New Roman"/>
        </w:rPr>
        <w:t>Atbilstoši S</w:t>
      </w:r>
      <w:r w:rsidR="003D5C3B">
        <w:rPr>
          <w:rFonts w:cs="Times New Roman"/>
        </w:rPr>
        <w:t>AM ieviešanas laika grafikam</w:t>
      </w:r>
      <w:r w:rsidRPr="004D68C3">
        <w:rPr>
          <w:rFonts w:cs="Times New Roman"/>
        </w:rPr>
        <w:t xml:space="preserve"> šobrīd tiek kavēta vairāku SAM uzsākšanas priekšnosacījumu izpilde, kā arī ieviešanas nosacījumu izstrāde atsevišķu </w:t>
      </w:r>
      <w:r w:rsidR="008140B2" w:rsidRPr="004D68C3">
        <w:rPr>
          <w:rFonts w:cs="Times New Roman"/>
        </w:rPr>
        <w:t>AI</w:t>
      </w:r>
      <w:r w:rsidRPr="004D68C3">
        <w:rPr>
          <w:rFonts w:cs="Times New Roman"/>
        </w:rPr>
        <w:t xml:space="preserve"> (EM, IZM, KM, VARAM, VM, SM) pārziņā esošajiem SAM, lai varētu uzsākt projektu iesniegumu atlases</w:t>
      </w:r>
      <w:r w:rsidR="00FC7777" w:rsidRPr="004D68C3">
        <w:rPr>
          <w:rFonts w:cs="Times New Roman"/>
        </w:rPr>
        <w:t>,</w:t>
      </w:r>
      <w:r w:rsidR="00FC7777" w:rsidRPr="004D68C3">
        <w:t xml:space="preserve"> </w:t>
      </w:r>
      <w:r w:rsidR="00FC7777" w:rsidRPr="004D68C3">
        <w:rPr>
          <w:rFonts w:cs="Times New Roman"/>
        </w:rPr>
        <w:t>kas, cita starpā, nereti ir saistīts ir ilgstošo ieviešanas nosacījumu saskaņošanas procedūru ar iesaistītajām pusēm, it sevišķi sociālajiem partneriem, kā arī citos gadījumos – saistībā ar nepieciešamību atsevišķus jautājumus (piemēram, valsts atbalsta nosacījumus</w:t>
      </w:r>
      <w:r w:rsidR="00607325">
        <w:rPr>
          <w:rFonts w:cs="Times New Roman"/>
        </w:rPr>
        <w:t>, lielo projektu īstenošanas nosacījumus</w:t>
      </w:r>
      <w:r w:rsidR="00FC7777" w:rsidRPr="004D68C3">
        <w:rPr>
          <w:rFonts w:cs="Times New Roman"/>
        </w:rPr>
        <w:t xml:space="preserve">) saskaņot ar </w:t>
      </w:r>
      <w:r w:rsidR="00102885" w:rsidRPr="004D68C3">
        <w:rPr>
          <w:rFonts w:cs="Times New Roman"/>
        </w:rPr>
        <w:t>EK</w:t>
      </w:r>
      <w:r w:rsidRPr="004D68C3">
        <w:rPr>
          <w:rFonts w:cs="Times New Roman"/>
        </w:rPr>
        <w:t xml:space="preserve">. </w:t>
      </w:r>
      <w:r w:rsidR="008E3944" w:rsidRPr="004D68C3">
        <w:rPr>
          <w:rFonts w:cs="Times New Roman"/>
        </w:rPr>
        <w:t>A</w:t>
      </w:r>
      <w:r w:rsidR="00AA479E" w:rsidRPr="004D68C3">
        <w:rPr>
          <w:rFonts w:cs="Times New Roman"/>
        </w:rPr>
        <w:t>ktuāl</w:t>
      </w:r>
      <w:r w:rsidR="00377AC3" w:rsidRPr="004D68C3">
        <w:rPr>
          <w:rFonts w:cs="Times New Roman"/>
        </w:rPr>
        <w:t>ā</w:t>
      </w:r>
      <w:r w:rsidR="00AA479E" w:rsidRPr="004D68C3">
        <w:rPr>
          <w:rFonts w:cs="Times New Roman"/>
        </w:rPr>
        <w:t xml:space="preserve"> informācij</w:t>
      </w:r>
      <w:r w:rsidR="00377AC3" w:rsidRPr="004D68C3">
        <w:rPr>
          <w:rFonts w:cs="Times New Roman"/>
        </w:rPr>
        <w:t>a</w:t>
      </w:r>
      <w:r w:rsidR="00AA479E" w:rsidRPr="004D68C3">
        <w:rPr>
          <w:rFonts w:cs="Times New Roman"/>
        </w:rPr>
        <w:t xml:space="preserve"> par SAM ieviešan</w:t>
      </w:r>
      <w:r w:rsidR="00377AC3" w:rsidRPr="004D68C3">
        <w:rPr>
          <w:rFonts w:cs="Times New Roman"/>
        </w:rPr>
        <w:t>a</w:t>
      </w:r>
      <w:r w:rsidR="00AA479E" w:rsidRPr="004D68C3">
        <w:rPr>
          <w:rFonts w:cs="Times New Roman"/>
        </w:rPr>
        <w:t>s progr</w:t>
      </w:r>
      <w:r w:rsidR="00377AC3" w:rsidRPr="004D68C3">
        <w:rPr>
          <w:rFonts w:cs="Times New Roman"/>
        </w:rPr>
        <w:t>e</w:t>
      </w:r>
      <w:r w:rsidR="00AA479E" w:rsidRPr="004D68C3">
        <w:rPr>
          <w:rFonts w:cs="Times New Roman"/>
        </w:rPr>
        <w:t xml:space="preserve">su </w:t>
      </w:r>
      <w:r w:rsidR="00377AC3" w:rsidRPr="004D68C3">
        <w:rPr>
          <w:rFonts w:cs="Times New Roman"/>
        </w:rPr>
        <w:t>pieejama</w:t>
      </w:r>
      <w:r w:rsidR="00213849" w:rsidRPr="004D68C3">
        <w:rPr>
          <w:rFonts w:cs="Times New Roman"/>
        </w:rPr>
        <w:t xml:space="preserve"> </w:t>
      </w:r>
      <w:r w:rsidR="00BB72F6" w:rsidRPr="004D68C3">
        <w:rPr>
          <w:rFonts w:cs="Times New Roman"/>
        </w:rPr>
        <w:t>FM</w:t>
      </w:r>
      <w:r w:rsidR="00AA479E" w:rsidRPr="004D68C3">
        <w:rPr>
          <w:rFonts w:cs="Times New Roman"/>
        </w:rPr>
        <w:t xml:space="preserve"> ikmēneša informatīvajā ziņojumā par </w:t>
      </w:r>
      <w:r w:rsidR="00377AC3" w:rsidRPr="004D68C3">
        <w:rPr>
          <w:rFonts w:cs="Times New Roman"/>
        </w:rPr>
        <w:t>ES</w:t>
      </w:r>
      <w:r w:rsidR="00AA479E" w:rsidRPr="004D68C3">
        <w:rPr>
          <w:rFonts w:cs="Times New Roman"/>
        </w:rPr>
        <w:t xml:space="preserve"> fond</w:t>
      </w:r>
      <w:r w:rsidR="00377AC3" w:rsidRPr="004D68C3">
        <w:rPr>
          <w:rFonts w:cs="Times New Roman"/>
        </w:rPr>
        <w:t>u</w:t>
      </w:r>
      <w:r w:rsidR="00AA479E" w:rsidRPr="004D68C3">
        <w:rPr>
          <w:rFonts w:cs="Times New Roman"/>
        </w:rPr>
        <w:t xml:space="preserve"> investīciju progresu</w:t>
      </w:r>
      <w:r w:rsidR="000B13A1" w:rsidRPr="004D68C3">
        <w:rPr>
          <w:rFonts w:cs="Times New Roman"/>
        </w:rPr>
        <w:t xml:space="preserve"> </w:t>
      </w:r>
      <w:r w:rsidR="00377AC3" w:rsidRPr="004D68C3">
        <w:rPr>
          <w:rFonts w:cs="Times New Roman"/>
        </w:rPr>
        <w:t>(</w:t>
      </w:r>
      <w:r w:rsidR="000B13A1" w:rsidRPr="004D68C3">
        <w:rPr>
          <w:rFonts w:cs="Times New Roman"/>
        </w:rPr>
        <w:t>katru mēnesi tiek publicēts</w:t>
      </w:r>
      <w:r w:rsidR="00BB72F6" w:rsidRPr="004D68C3">
        <w:rPr>
          <w:rFonts w:cs="Times New Roman"/>
        </w:rPr>
        <w:t xml:space="preserve"> ES fondu tīmekļa vietnē</w:t>
      </w:r>
      <w:r w:rsidR="00377AC3" w:rsidRPr="004D68C3">
        <w:rPr>
          <w:rFonts w:cs="Times New Roman"/>
        </w:rPr>
        <w:t>:</w:t>
      </w:r>
      <w:r w:rsidR="00BB72F6" w:rsidRPr="004D68C3">
        <w:rPr>
          <w:rFonts w:cs="Times New Roman"/>
        </w:rPr>
        <w:t xml:space="preserve"> </w:t>
      </w:r>
      <w:hyperlink r:id="rId39" w:history="1">
        <w:r w:rsidR="00377AC3" w:rsidRPr="004D68C3">
          <w:rPr>
            <w:rStyle w:val="Hyperlink"/>
            <w:rFonts w:cs="Times New Roman"/>
          </w:rPr>
          <w:t>http://www.esfondi.lv/page.php?id=667</w:t>
        </w:r>
      </w:hyperlink>
      <w:r w:rsidR="00377AC3" w:rsidRPr="004D68C3">
        <w:rPr>
          <w:rFonts w:cs="Times New Roman"/>
        </w:rPr>
        <w:t>)</w:t>
      </w:r>
      <w:r w:rsidR="00BB72F6" w:rsidRPr="004D68C3">
        <w:rPr>
          <w:rFonts w:cs="Times New Roman"/>
        </w:rPr>
        <w:t>.</w:t>
      </w:r>
    </w:p>
    <w:p w14:paraId="24860625" w14:textId="488BC00A" w:rsidR="00CB7D2E" w:rsidRPr="00CB7D2E" w:rsidRDefault="00CB7D2E" w:rsidP="00220A88">
      <w:pPr>
        <w:spacing w:after="120" w:line="276" w:lineRule="auto"/>
        <w:jc w:val="both"/>
        <w:rPr>
          <w:rFonts w:cs="Times New Roman"/>
          <w:szCs w:val="24"/>
        </w:rPr>
      </w:pPr>
      <w:r w:rsidRPr="00CB7D2E">
        <w:rPr>
          <w:rFonts w:cs="Times New Roman"/>
          <w:szCs w:val="24"/>
        </w:rPr>
        <w:t>Lai turpmākajā periodā nodrošinātu pārdomātu un savlaicīgu īstenošanas nosacījumu izstrādes procesu un tā uzraudzību, jāaktualizē MK 2015.gada 14.jūlija sēdē saskaņotais</w:t>
      </w:r>
      <w:r>
        <w:rPr>
          <w:rFonts w:cs="Times New Roman"/>
          <w:szCs w:val="24"/>
        </w:rPr>
        <w:t xml:space="preserve"> </w:t>
      </w:r>
      <w:r w:rsidR="000B2492">
        <w:rPr>
          <w:rFonts w:cs="Times New Roman"/>
          <w:szCs w:val="24"/>
        </w:rPr>
        <w:t>SAM</w:t>
      </w:r>
      <w:r w:rsidRPr="00CB7D2E">
        <w:rPr>
          <w:rFonts w:cs="Times New Roman"/>
          <w:szCs w:val="24"/>
        </w:rPr>
        <w:t xml:space="preserve"> ieviešanas laika grafiks</w:t>
      </w:r>
      <w:r w:rsidR="000B2492">
        <w:rPr>
          <w:rFonts w:cs="Times New Roman"/>
          <w:szCs w:val="24"/>
        </w:rPr>
        <w:t>.</w:t>
      </w:r>
      <w:r w:rsidRPr="00CB7D2E">
        <w:rPr>
          <w:rFonts w:cs="Times New Roman"/>
          <w:szCs w:val="24"/>
        </w:rPr>
        <w:t xml:space="preserve"> Atbilstoši MK 2015.gada 10.marta sēdes </w:t>
      </w:r>
      <w:proofErr w:type="spellStart"/>
      <w:r w:rsidRPr="00CB7D2E">
        <w:rPr>
          <w:rFonts w:cs="Times New Roman"/>
          <w:szCs w:val="24"/>
        </w:rPr>
        <w:t>protokollēmuma</w:t>
      </w:r>
      <w:proofErr w:type="spellEnd"/>
      <w:r w:rsidRPr="00CB7D2E">
        <w:rPr>
          <w:rFonts w:cs="Times New Roman"/>
          <w:szCs w:val="24"/>
        </w:rPr>
        <w:t xml:space="preserve"> Nr.14 27.§ 11.punktam, </w:t>
      </w:r>
      <w:r>
        <w:rPr>
          <w:rFonts w:cs="Times New Roman"/>
          <w:szCs w:val="24"/>
        </w:rPr>
        <w:t>FM</w:t>
      </w:r>
      <w:r w:rsidRPr="00CB7D2E">
        <w:rPr>
          <w:rFonts w:cs="Times New Roman"/>
          <w:szCs w:val="24"/>
        </w:rPr>
        <w:t xml:space="preserve"> katru mēnesi iesniedz MK operatīvo ziņojumu ar aktuālāko informāciju par ES fondu 2014.–2020.gada plānošanas perioda ieviešanas progresu. Attiecīgi turpmāk kā atskaites punkts ieviešanas progresam tiks izmantots aktualizētais laika grafiks (informatīvā ziņojuma </w:t>
      </w:r>
      <w:r w:rsidR="00A50EC3">
        <w:rPr>
          <w:rFonts w:cs="Times New Roman"/>
          <w:szCs w:val="24"/>
        </w:rPr>
        <w:t>6.</w:t>
      </w:r>
      <w:r w:rsidRPr="00CB7D2E">
        <w:rPr>
          <w:rFonts w:cs="Times New Roman"/>
          <w:szCs w:val="24"/>
        </w:rPr>
        <w:t>pielikums)</w:t>
      </w:r>
      <w:r>
        <w:rPr>
          <w:rFonts w:cs="Times New Roman"/>
          <w:szCs w:val="24"/>
        </w:rPr>
        <w:t>, izmaiņas veicot īpaši pamatotos gadījumus, un tikai gadījumos, ja tās saskaņotas Koalīcijas par</w:t>
      </w:r>
      <w:r w:rsidR="004B6B1D">
        <w:rPr>
          <w:rFonts w:cs="Times New Roman"/>
          <w:szCs w:val="24"/>
        </w:rPr>
        <w:t>t</w:t>
      </w:r>
      <w:r>
        <w:rPr>
          <w:rFonts w:cs="Times New Roman"/>
          <w:szCs w:val="24"/>
        </w:rPr>
        <w:t>neru darba grupā par ES fondu jautājumiem vai MK.</w:t>
      </w:r>
    </w:p>
    <w:p w14:paraId="32FE7F55" w14:textId="403D7446" w:rsidR="003D5C3B" w:rsidRDefault="003D5C3B" w:rsidP="003D5C3B">
      <w:pPr>
        <w:pStyle w:val="ListParagraph"/>
        <w:suppressAutoHyphens/>
        <w:spacing w:before="120" w:after="120" w:line="276" w:lineRule="auto"/>
        <w:ind w:left="0"/>
        <w:contextualSpacing w:val="0"/>
        <w:jc w:val="both"/>
        <w:rPr>
          <w:rFonts w:eastAsia="Times New Roman" w:cs="Times New Roman"/>
          <w:color w:val="000000"/>
          <w:szCs w:val="24"/>
        </w:rPr>
      </w:pPr>
      <w:r>
        <w:rPr>
          <w:rFonts w:eastAsia="Times New Roman" w:cs="Times New Roman"/>
          <w:color w:val="000000"/>
          <w:szCs w:val="24"/>
        </w:rPr>
        <w:t>Tomēr vienlaikus jāatzīmē, ka</w:t>
      </w:r>
      <w:r w:rsidRPr="004214DC">
        <w:rPr>
          <w:rFonts w:eastAsia="Times New Roman" w:cs="Times New Roman"/>
          <w:color w:val="000000"/>
          <w:szCs w:val="24"/>
        </w:rPr>
        <w:t xml:space="preserve"> </w:t>
      </w:r>
      <w:r>
        <w:rPr>
          <w:rFonts w:eastAsia="Times New Roman" w:cs="Times New Roman"/>
          <w:color w:val="000000"/>
          <w:szCs w:val="24"/>
        </w:rPr>
        <w:t>pārskata periodā ir sekmīgi uzsākta vairāku SAM/pasākumu īstenošana, ļaujot uzsākt investīcijas transporta, veselības, nodarbinātības, plūdu risku mazināšanas</w:t>
      </w:r>
      <w:r w:rsidR="006F43E6">
        <w:rPr>
          <w:rFonts w:eastAsia="Times New Roman" w:cs="Times New Roman"/>
          <w:color w:val="000000"/>
          <w:szCs w:val="24"/>
        </w:rPr>
        <w:t>, izglītības</w:t>
      </w:r>
      <w:r>
        <w:rPr>
          <w:rFonts w:eastAsia="Times New Roman" w:cs="Times New Roman"/>
          <w:color w:val="000000"/>
          <w:szCs w:val="24"/>
        </w:rPr>
        <w:t xml:space="preserve"> u.c. jomās. A</w:t>
      </w:r>
      <w:r w:rsidRPr="004214DC">
        <w:rPr>
          <w:rFonts w:eastAsia="Times New Roman" w:cs="Times New Roman"/>
          <w:color w:val="000000"/>
          <w:szCs w:val="24"/>
        </w:rPr>
        <w:t xml:space="preserve">r </w:t>
      </w:r>
      <w:r>
        <w:rPr>
          <w:rFonts w:eastAsia="Times New Roman" w:cs="Times New Roman"/>
          <w:color w:val="000000"/>
          <w:szCs w:val="24"/>
        </w:rPr>
        <w:t>līdz šim uzsāktajām</w:t>
      </w:r>
      <w:r w:rsidRPr="004214DC">
        <w:rPr>
          <w:rFonts w:eastAsia="Times New Roman" w:cs="Times New Roman"/>
          <w:color w:val="000000"/>
          <w:szCs w:val="24"/>
        </w:rPr>
        <w:t xml:space="preserve"> projektu iesniegumu atlasēm var iepazīties </w:t>
      </w:r>
      <w:r>
        <w:rPr>
          <w:rFonts w:eastAsia="Times New Roman" w:cs="Times New Roman"/>
          <w:color w:val="000000"/>
          <w:szCs w:val="24"/>
        </w:rPr>
        <w:t>CFLA</w:t>
      </w:r>
      <w:r w:rsidRPr="004214DC">
        <w:rPr>
          <w:rFonts w:eastAsia="Times New Roman" w:cs="Times New Roman"/>
          <w:color w:val="000000"/>
          <w:szCs w:val="24"/>
        </w:rPr>
        <w:t xml:space="preserve"> tīmekļa vietnē </w:t>
      </w:r>
      <w:hyperlink r:id="rId40" w:history="1">
        <w:r w:rsidRPr="004214DC">
          <w:rPr>
            <w:rStyle w:val="Hyperlink"/>
            <w:rFonts w:eastAsia="Times New Roman" w:cs="Times New Roman"/>
            <w:szCs w:val="24"/>
          </w:rPr>
          <w:t>http://www.cfla.gov.lv/lv/es-fondi-2014-2020/izsludinatas-atlases</w:t>
        </w:r>
      </w:hyperlink>
      <w:r w:rsidRPr="004214DC">
        <w:rPr>
          <w:rFonts w:eastAsia="Times New Roman" w:cs="Times New Roman"/>
          <w:color w:val="000000"/>
          <w:szCs w:val="24"/>
        </w:rPr>
        <w:t>)</w:t>
      </w:r>
      <w:r>
        <w:rPr>
          <w:rFonts w:eastAsia="Times New Roman" w:cs="Times New Roman"/>
          <w:color w:val="000000"/>
          <w:szCs w:val="24"/>
        </w:rPr>
        <w:t>.</w:t>
      </w:r>
      <w:r w:rsidRPr="004214DC">
        <w:rPr>
          <w:rFonts w:eastAsia="Times New Roman" w:cs="Times New Roman"/>
          <w:color w:val="000000"/>
          <w:szCs w:val="24"/>
        </w:rPr>
        <w:t xml:space="preserve"> </w:t>
      </w:r>
    </w:p>
    <w:p w14:paraId="7A30F5F9" w14:textId="540533BF" w:rsidR="00CA308A" w:rsidRPr="00CA308A" w:rsidRDefault="00D05205" w:rsidP="003D5C3B">
      <w:pPr>
        <w:pStyle w:val="ListParagraph"/>
        <w:suppressAutoHyphens/>
        <w:spacing w:before="120" w:after="120" w:line="276" w:lineRule="auto"/>
        <w:ind w:left="0"/>
        <w:contextualSpacing w:val="0"/>
        <w:jc w:val="both"/>
        <w:rPr>
          <w:rFonts w:eastAsia="Times New Roman" w:cs="Times New Roman"/>
          <w:color w:val="000000"/>
          <w:szCs w:val="24"/>
        </w:rPr>
      </w:pPr>
      <w:r>
        <w:rPr>
          <w:rFonts w:eastAsia="Times New Roman" w:cs="Times New Roman"/>
          <w:color w:val="000000"/>
          <w:szCs w:val="24"/>
        </w:rPr>
        <w:t>SM</w:t>
      </w:r>
      <w:r w:rsidR="00CA308A" w:rsidRPr="00CA308A">
        <w:rPr>
          <w:rFonts w:eastAsia="Times New Roman" w:cs="Times New Roman"/>
          <w:color w:val="000000"/>
          <w:szCs w:val="24"/>
        </w:rPr>
        <w:t xml:space="preserve"> vērš uzmanību, ka </w:t>
      </w:r>
      <w:r>
        <w:rPr>
          <w:rFonts w:eastAsia="Times New Roman" w:cs="Times New Roman"/>
          <w:color w:val="000000"/>
          <w:szCs w:val="24"/>
        </w:rPr>
        <w:t>ES fondu</w:t>
      </w:r>
      <w:r w:rsidR="00CA308A" w:rsidRPr="00CA308A">
        <w:rPr>
          <w:rFonts w:eastAsia="Times New Roman" w:cs="Times New Roman"/>
          <w:color w:val="000000"/>
          <w:szCs w:val="24"/>
        </w:rPr>
        <w:t xml:space="preserve"> 2014.-2020.gada plānošanas perioda vadības likumā neparedz </w:t>
      </w:r>
      <w:r>
        <w:rPr>
          <w:rFonts w:eastAsia="Times New Roman" w:cs="Times New Roman"/>
          <w:color w:val="000000"/>
          <w:szCs w:val="24"/>
        </w:rPr>
        <w:t>AI</w:t>
      </w:r>
      <w:r w:rsidR="00CA308A" w:rsidRPr="00CA308A">
        <w:rPr>
          <w:rFonts w:eastAsia="Times New Roman" w:cs="Times New Roman"/>
          <w:color w:val="000000"/>
          <w:szCs w:val="24"/>
        </w:rPr>
        <w:t xml:space="preserve"> funkciju veikt lielo projektu sagatavošanas  un ieviešanas gaitas uzraudzību tādā detalizācijā, kā to šobrīd pieprasa EK, līdz ar to attiecīgajām </w:t>
      </w:r>
      <w:r>
        <w:rPr>
          <w:rFonts w:eastAsia="Times New Roman" w:cs="Times New Roman"/>
          <w:color w:val="000000"/>
          <w:szCs w:val="24"/>
        </w:rPr>
        <w:t>AI</w:t>
      </w:r>
      <w:r w:rsidR="00CA308A" w:rsidRPr="00CA308A">
        <w:rPr>
          <w:rFonts w:eastAsia="Times New Roman" w:cs="Times New Roman"/>
          <w:color w:val="000000"/>
          <w:szCs w:val="24"/>
        </w:rPr>
        <w:t xml:space="preserve"> nav papildu finanšu resursu minētās funkcijas veikšanai. </w:t>
      </w:r>
      <w:r>
        <w:rPr>
          <w:rFonts w:eastAsia="Times New Roman" w:cs="Times New Roman"/>
          <w:color w:val="000000"/>
          <w:szCs w:val="24"/>
        </w:rPr>
        <w:t>SM</w:t>
      </w:r>
      <w:r w:rsidR="00CA308A" w:rsidRPr="00CA308A">
        <w:rPr>
          <w:rFonts w:eastAsia="Times New Roman" w:cs="Times New Roman"/>
          <w:color w:val="000000"/>
          <w:szCs w:val="24"/>
        </w:rPr>
        <w:t xml:space="preserve"> aicina izskatīt iespēju veikt grozījumus </w:t>
      </w:r>
      <w:r>
        <w:rPr>
          <w:rFonts w:eastAsia="Times New Roman" w:cs="Times New Roman"/>
          <w:color w:val="000000"/>
          <w:szCs w:val="24"/>
        </w:rPr>
        <w:t>ES fondu</w:t>
      </w:r>
      <w:r w:rsidR="00CA308A" w:rsidRPr="00CA308A">
        <w:rPr>
          <w:rFonts w:eastAsia="Times New Roman" w:cs="Times New Roman"/>
          <w:color w:val="000000"/>
          <w:szCs w:val="24"/>
        </w:rPr>
        <w:t xml:space="preserve"> 2014.-2020.gada plānošanas perioda normatīvajos aktos, paredzot </w:t>
      </w:r>
      <w:r>
        <w:rPr>
          <w:rFonts w:eastAsia="Times New Roman" w:cs="Times New Roman"/>
          <w:color w:val="000000"/>
          <w:szCs w:val="24"/>
        </w:rPr>
        <w:t>AI</w:t>
      </w:r>
      <w:r w:rsidR="00CA308A" w:rsidRPr="00CA308A">
        <w:rPr>
          <w:rFonts w:eastAsia="Times New Roman" w:cs="Times New Roman"/>
          <w:color w:val="000000"/>
          <w:szCs w:val="24"/>
        </w:rPr>
        <w:t xml:space="preserve"> atsevišķu funkciju lielo projektu sagatavošanas un ieviešanas uzraudzībā. Tuvākajā laikā VI plāno piedāvāt risinājumu saistībā ar </w:t>
      </w:r>
      <w:r>
        <w:rPr>
          <w:rFonts w:eastAsia="Times New Roman" w:cs="Times New Roman"/>
          <w:color w:val="000000"/>
          <w:szCs w:val="24"/>
        </w:rPr>
        <w:t>AI</w:t>
      </w:r>
      <w:r w:rsidR="00CA308A" w:rsidRPr="00CA308A">
        <w:rPr>
          <w:rFonts w:eastAsia="Times New Roman" w:cs="Times New Roman"/>
          <w:color w:val="000000"/>
          <w:szCs w:val="24"/>
        </w:rPr>
        <w:t xml:space="preserve"> iesaisti lielo projektu ieviešanas sagatavošanā un uzraudzībā.</w:t>
      </w:r>
    </w:p>
    <w:p w14:paraId="06E5EAF2" w14:textId="375CFD11" w:rsidR="00A705D8" w:rsidRDefault="00A705D8" w:rsidP="00A705D8">
      <w:pPr>
        <w:spacing w:before="120" w:after="120" w:line="276" w:lineRule="auto"/>
        <w:jc w:val="both"/>
        <w:rPr>
          <w:rFonts w:eastAsia="Times New Roman" w:cs="Times New Roman"/>
          <w:color w:val="000000"/>
          <w:szCs w:val="24"/>
        </w:rPr>
      </w:pPr>
      <w:r w:rsidRPr="00801EB7">
        <w:rPr>
          <w:rFonts w:cs="Times New Roman"/>
        </w:rPr>
        <w:t xml:space="preserve">2016.gada I pusgadā plānots uzsākt ievērojamu skaitu </w:t>
      </w:r>
      <w:r w:rsidRPr="00A705D8">
        <w:rPr>
          <w:rFonts w:cs="Times New Roman"/>
        </w:rPr>
        <w:t xml:space="preserve">SAM/pasākumu īstenošanu izglītības, transporta, vides, energoefektivitātes, veselības kā arī uzņēmējdarbības jomā, </w:t>
      </w:r>
      <w:r w:rsidRPr="00801EB7">
        <w:rPr>
          <w:rFonts w:cs="Times New Roman"/>
        </w:rPr>
        <w:t>tomēr vēl nav izpildīti SAM/pasākumu uzsākšanas priekšnosacījumi (kritēriji, MK</w:t>
      </w:r>
      <w:r w:rsidR="00C76DDB">
        <w:rPr>
          <w:rFonts w:cs="Times New Roman"/>
        </w:rPr>
        <w:t xml:space="preserve"> noteikumi</w:t>
      </w:r>
      <w:r w:rsidRPr="00801EB7">
        <w:rPr>
          <w:rFonts w:cs="Times New Roman"/>
        </w:rPr>
        <w:t>)</w:t>
      </w:r>
      <w:r>
        <w:rPr>
          <w:rFonts w:cs="Times New Roman"/>
        </w:rPr>
        <w:t xml:space="preserve"> (skatīt informāciju ministriju griezumā zemāk)</w:t>
      </w:r>
      <w:r w:rsidRPr="00801EB7">
        <w:rPr>
          <w:rFonts w:cs="Times New Roman"/>
        </w:rPr>
        <w:t xml:space="preserve">. </w:t>
      </w:r>
      <w:r w:rsidR="003D5C3B">
        <w:rPr>
          <w:rFonts w:cs="Times New Roman"/>
        </w:rPr>
        <w:t xml:space="preserve">Tāpat </w:t>
      </w:r>
      <w:r w:rsidR="003D5C3B">
        <w:rPr>
          <w:rFonts w:eastAsia="Times New Roman" w:cs="Times New Roman"/>
          <w:color w:val="000000"/>
          <w:szCs w:val="24"/>
        </w:rPr>
        <w:t xml:space="preserve">darbs pie </w:t>
      </w:r>
      <w:proofErr w:type="spellStart"/>
      <w:r w:rsidR="003D5C3B" w:rsidRPr="00814BD3">
        <w:rPr>
          <w:rFonts w:eastAsia="Times New Roman" w:cs="Times New Roman"/>
          <w:i/>
          <w:color w:val="000000"/>
          <w:szCs w:val="24"/>
        </w:rPr>
        <w:t>ex-ante</w:t>
      </w:r>
      <w:proofErr w:type="spellEnd"/>
      <w:r w:rsidR="003D5C3B">
        <w:rPr>
          <w:rFonts w:eastAsia="Times New Roman" w:cs="Times New Roman"/>
          <w:color w:val="000000"/>
          <w:szCs w:val="24"/>
        </w:rPr>
        <w:t xml:space="preserve"> nosacījumu izpildes (detalizēta informācija 7.1.apakšadaļā).</w:t>
      </w:r>
    </w:p>
    <w:p w14:paraId="55BD75EF" w14:textId="11B3B724" w:rsidR="00144AB6" w:rsidRDefault="00144AB6" w:rsidP="00A705D8">
      <w:pPr>
        <w:spacing w:before="120" w:after="120" w:line="276" w:lineRule="auto"/>
        <w:jc w:val="both"/>
        <w:rPr>
          <w:rFonts w:cs="Times New Roman"/>
        </w:rPr>
      </w:pPr>
      <w:r>
        <w:rPr>
          <w:rFonts w:eastAsia="Times New Roman" w:cs="Times New Roman"/>
          <w:color w:val="000000"/>
          <w:szCs w:val="24"/>
        </w:rPr>
        <w:t xml:space="preserve">Tālāk sniegta informācija par SAM/pasākumu ieviešanas statusu ministriju griezumā, par atskaites punktu izmantojot sākotnējo, </w:t>
      </w:r>
      <w:r w:rsidRPr="00CB7D2E">
        <w:rPr>
          <w:rFonts w:cs="Times New Roman"/>
          <w:szCs w:val="24"/>
        </w:rPr>
        <w:t>MK 2015.gada 14.jūlija sēdē</w:t>
      </w:r>
      <w:r>
        <w:rPr>
          <w:rFonts w:cs="Times New Roman"/>
          <w:szCs w:val="24"/>
        </w:rPr>
        <w:t xml:space="preserve"> saskaņoto</w:t>
      </w:r>
      <w:r>
        <w:rPr>
          <w:rFonts w:eastAsia="Times New Roman" w:cs="Times New Roman"/>
          <w:color w:val="000000"/>
          <w:szCs w:val="24"/>
        </w:rPr>
        <w:t xml:space="preserve"> SAM laika grafiku.</w:t>
      </w:r>
    </w:p>
    <w:p w14:paraId="017816A1" w14:textId="77777777" w:rsidR="00D65094" w:rsidRDefault="00D65094">
      <w:r>
        <w:br w:type="page"/>
      </w:r>
    </w:p>
    <w:p w14:paraId="68B470B5" w14:textId="30EFFADF" w:rsidR="00D8071F" w:rsidRPr="00B72046" w:rsidRDefault="00607325" w:rsidP="00B72046">
      <w:r w:rsidRPr="00607325">
        <w:lastRenderedPageBreak/>
        <w:t>Tabula</w:t>
      </w:r>
      <w:r w:rsidR="006060BB" w:rsidRPr="00607325">
        <w:t xml:space="preserve"> </w:t>
      </w:r>
      <w:r w:rsidR="006060BB" w:rsidRPr="00001327">
        <w:t>Nr.</w:t>
      </w:r>
      <w:r w:rsidR="00001327" w:rsidRPr="00001327">
        <w:t>4</w:t>
      </w:r>
      <w:r w:rsidR="006060BB" w:rsidRPr="00001327">
        <w:t xml:space="preserve"> </w:t>
      </w:r>
      <w:r w:rsidR="006060BB" w:rsidRPr="00607325">
        <w:rPr>
          <w:i/>
        </w:rPr>
        <w:t xml:space="preserve">“EM progress </w:t>
      </w:r>
      <w:r w:rsidR="005A7060">
        <w:rPr>
          <w:i/>
        </w:rPr>
        <w:t>uz 2016.gada 20</w:t>
      </w:r>
      <w:r w:rsidR="00416300">
        <w:rPr>
          <w:i/>
        </w:rPr>
        <w:t xml:space="preserve">.janvāri </w:t>
      </w:r>
      <w:r w:rsidR="006060BB" w:rsidRPr="00607325">
        <w:rPr>
          <w:i/>
        </w:rPr>
        <w:t>SAM ieviešanā”</w:t>
      </w:r>
      <w:r w:rsidR="00416300">
        <w:rPr>
          <w:i/>
        </w:rPr>
        <w:t xml:space="preserve"> </w:t>
      </w:r>
    </w:p>
    <w:tbl>
      <w:tblPr>
        <w:tblW w:w="8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1126"/>
        <w:gridCol w:w="3828"/>
        <w:gridCol w:w="992"/>
        <w:gridCol w:w="995"/>
        <w:gridCol w:w="1698"/>
      </w:tblGrid>
      <w:tr w:rsidR="00607325" w:rsidRPr="005E35E4" w14:paraId="2DDA0FDB" w14:textId="77777777" w:rsidTr="009E5ED9">
        <w:trPr>
          <w:trHeight w:val="315"/>
        </w:trPr>
        <w:tc>
          <w:tcPr>
            <w:tcW w:w="8639" w:type="dxa"/>
            <w:gridSpan w:val="5"/>
            <w:shd w:val="clear" w:color="auto" w:fill="auto"/>
            <w:tcMar>
              <w:top w:w="15" w:type="dxa"/>
              <w:left w:w="15" w:type="dxa"/>
              <w:bottom w:w="0" w:type="dxa"/>
              <w:right w:w="15" w:type="dxa"/>
            </w:tcMar>
            <w:vAlign w:val="center"/>
          </w:tcPr>
          <w:p w14:paraId="0A8BBCE3" w14:textId="77777777" w:rsidR="00607325" w:rsidRPr="005E35E4" w:rsidRDefault="00607325" w:rsidP="00E53D9B">
            <w:pPr>
              <w:rPr>
                <w:b/>
                <w:bCs/>
              </w:rPr>
            </w:pPr>
            <w:r w:rsidRPr="005E35E4">
              <w:rPr>
                <w:b/>
                <w:bCs/>
              </w:rPr>
              <w:t>EM SAM/pasākumu ieviešanas statuss</w:t>
            </w:r>
          </w:p>
        </w:tc>
      </w:tr>
      <w:tr w:rsidR="00607325" w:rsidRPr="005E35E4" w14:paraId="268C678D" w14:textId="77777777" w:rsidTr="009E5ED9">
        <w:trPr>
          <w:trHeight w:val="315"/>
        </w:trPr>
        <w:tc>
          <w:tcPr>
            <w:tcW w:w="4954" w:type="dxa"/>
            <w:gridSpan w:val="2"/>
            <w:shd w:val="clear" w:color="auto" w:fill="auto"/>
            <w:tcMar>
              <w:top w:w="15" w:type="dxa"/>
              <w:left w:w="15" w:type="dxa"/>
              <w:bottom w:w="0" w:type="dxa"/>
              <w:right w:w="15" w:type="dxa"/>
            </w:tcMar>
            <w:vAlign w:val="center"/>
            <w:hideMark/>
          </w:tcPr>
          <w:p w14:paraId="219F11A9" w14:textId="77777777" w:rsidR="00607325" w:rsidRPr="005E35E4" w:rsidRDefault="00607325" w:rsidP="00E53D9B">
            <w:r w:rsidRPr="005E35E4">
              <w:t>SAM/pasākumu kopējais skaits</w:t>
            </w:r>
          </w:p>
        </w:tc>
        <w:tc>
          <w:tcPr>
            <w:tcW w:w="3685" w:type="dxa"/>
            <w:gridSpan w:val="3"/>
            <w:shd w:val="clear" w:color="auto" w:fill="auto"/>
            <w:tcMar>
              <w:top w:w="15" w:type="dxa"/>
              <w:left w:w="15" w:type="dxa"/>
              <w:bottom w:w="0" w:type="dxa"/>
              <w:right w:w="15" w:type="dxa"/>
            </w:tcMar>
            <w:vAlign w:val="center"/>
            <w:hideMark/>
          </w:tcPr>
          <w:p w14:paraId="6E7556B6" w14:textId="77777777" w:rsidR="00607325" w:rsidRPr="005E35E4" w:rsidRDefault="00607325" w:rsidP="00E53D9B">
            <w:r w:rsidRPr="005E35E4">
              <w:rPr>
                <w:b/>
                <w:bCs/>
              </w:rPr>
              <w:t>2</w:t>
            </w:r>
            <w:r>
              <w:rPr>
                <w:b/>
                <w:bCs/>
              </w:rPr>
              <w:t>0</w:t>
            </w:r>
          </w:p>
        </w:tc>
      </w:tr>
      <w:tr w:rsidR="00607325" w:rsidRPr="005E35E4" w14:paraId="41AFFD61" w14:textId="77777777" w:rsidTr="009E5ED9">
        <w:trPr>
          <w:trHeight w:val="315"/>
        </w:trPr>
        <w:tc>
          <w:tcPr>
            <w:tcW w:w="4954" w:type="dxa"/>
            <w:gridSpan w:val="2"/>
            <w:shd w:val="clear" w:color="auto" w:fill="auto"/>
            <w:tcMar>
              <w:top w:w="15" w:type="dxa"/>
              <w:left w:w="15" w:type="dxa"/>
              <w:bottom w:w="0" w:type="dxa"/>
              <w:right w:w="15" w:type="dxa"/>
            </w:tcMar>
            <w:vAlign w:val="center"/>
            <w:hideMark/>
          </w:tcPr>
          <w:p w14:paraId="736D4132" w14:textId="77777777" w:rsidR="00607325" w:rsidRPr="005E35E4" w:rsidRDefault="00607325" w:rsidP="00E53D9B">
            <w:r w:rsidRPr="005E35E4">
              <w:t xml:space="preserve">SAM kopējais KP finansējums, </w:t>
            </w:r>
            <w:r w:rsidRPr="00D676B6">
              <w:rPr>
                <w:i/>
              </w:rPr>
              <w:t>euro</w:t>
            </w:r>
            <w:r w:rsidRPr="005E35E4">
              <w:t xml:space="preserve"> </w:t>
            </w:r>
          </w:p>
        </w:tc>
        <w:tc>
          <w:tcPr>
            <w:tcW w:w="3685" w:type="dxa"/>
            <w:gridSpan w:val="3"/>
            <w:shd w:val="clear" w:color="auto" w:fill="auto"/>
            <w:tcMar>
              <w:top w:w="15" w:type="dxa"/>
              <w:left w:w="15" w:type="dxa"/>
              <w:bottom w:w="0" w:type="dxa"/>
              <w:right w:w="15" w:type="dxa"/>
            </w:tcMar>
            <w:vAlign w:val="center"/>
            <w:hideMark/>
          </w:tcPr>
          <w:p w14:paraId="416B051D" w14:textId="48927F2E" w:rsidR="00607325" w:rsidRPr="005E35E4" w:rsidRDefault="001556FB" w:rsidP="00E53D9B">
            <w:r>
              <w:t>764 306 380</w:t>
            </w:r>
          </w:p>
        </w:tc>
      </w:tr>
      <w:tr w:rsidR="00607325" w:rsidRPr="005E35E4" w14:paraId="7B14AC5C" w14:textId="77777777" w:rsidTr="00E043D5">
        <w:trPr>
          <w:trHeight w:val="315"/>
        </w:trPr>
        <w:tc>
          <w:tcPr>
            <w:tcW w:w="4954" w:type="dxa"/>
            <w:gridSpan w:val="2"/>
            <w:shd w:val="clear" w:color="auto" w:fill="auto"/>
            <w:tcMar>
              <w:top w:w="15" w:type="dxa"/>
              <w:left w:w="15" w:type="dxa"/>
              <w:bottom w:w="0" w:type="dxa"/>
              <w:right w:w="15" w:type="dxa"/>
            </w:tcMar>
            <w:vAlign w:val="center"/>
            <w:hideMark/>
          </w:tcPr>
          <w:p w14:paraId="179855E5" w14:textId="77777777" w:rsidR="00607325" w:rsidRPr="005E35E4" w:rsidRDefault="00607325" w:rsidP="00E53D9B">
            <w:r w:rsidRPr="005E35E4">
              <w:t>Statuss</w:t>
            </w:r>
          </w:p>
        </w:tc>
        <w:tc>
          <w:tcPr>
            <w:tcW w:w="992" w:type="dxa"/>
            <w:shd w:val="clear" w:color="auto" w:fill="FF9999"/>
            <w:tcMar>
              <w:top w:w="15" w:type="dxa"/>
              <w:left w:w="15" w:type="dxa"/>
              <w:bottom w:w="0" w:type="dxa"/>
              <w:right w:w="15" w:type="dxa"/>
            </w:tcMar>
            <w:vAlign w:val="center"/>
            <w:hideMark/>
          </w:tcPr>
          <w:p w14:paraId="4A23FBFF" w14:textId="77777777" w:rsidR="00607325" w:rsidRPr="005E35E4" w:rsidRDefault="00607325" w:rsidP="00E53D9B">
            <w:r w:rsidRPr="005E35E4">
              <w:t>Kavēts</w:t>
            </w:r>
          </w:p>
        </w:tc>
        <w:tc>
          <w:tcPr>
            <w:tcW w:w="995" w:type="dxa"/>
            <w:shd w:val="clear" w:color="auto" w:fill="auto"/>
            <w:tcMar>
              <w:top w:w="15" w:type="dxa"/>
              <w:left w:w="15" w:type="dxa"/>
              <w:bottom w:w="0" w:type="dxa"/>
              <w:right w:w="15" w:type="dxa"/>
            </w:tcMar>
            <w:vAlign w:val="bottom"/>
            <w:hideMark/>
          </w:tcPr>
          <w:p w14:paraId="61873C41" w14:textId="77777777" w:rsidR="00607325" w:rsidRPr="005E35E4" w:rsidRDefault="00607325" w:rsidP="00E53D9B">
            <w:r w:rsidRPr="005E35E4">
              <w:t xml:space="preserve">Izpildīts </w:t>
            </w:r>
          </w:p>
        </w:tc>
        <w:tc>
          <w:tcPr>
            <w:tcW w:w="1698" w:type="dxa"/>
            <w:shd w:val="clear" w:color="auto" w:fill="auto"/>
            <w:tcMar>
              <w:top w:w="15" w:type="dxa"/>
              <w:left w:w="15" w:type="dxa"/>
              <w:bottom w:w="0" w:type="dxa"/>
              <w:right w:w="15" w:type="dxa"/>
            </w:tcMar>
            <w:vAlign w:val="bottom"/>
            <w:hideMark/>
          </w:tcPr>
          <w:p w14:paraId="1C1F628E" w14:textId="77777777" w:rsidR="00607325" w:rsidRPr="005E35E4" w:rsidRDefault="00607325" w:rsidP="00E53D9B">
            <w:r w:rsidRPr="005E35E4">
              <w:t>Nav pienācis</w:t>
            </w:r>
          </w:p>
        </w:tc>
      </w:tr>
      <w:tr w:rsidR="00607325" w:rsidRPr="005E35E4" w14:paraId="4B58179A" w14:textId="77777777" w:rsidTr="00E043D5">
        <w:trPr>
          <w:trHeight w:val="227"/>
        </w:trPr>
        <w:tc>
          <w:tcPr>
            <w:tcW w:w="1126" w:type="dxa"/>
            <w:vMerge w:val="restart"/>
            <w:shd w:val="clear" w:color="auto" w:fill="auto"/>
            <w:tcMar>
              <w:top w:w="15" w:type="dxa"/>
              <w:left w:w="15" w:type="dxa"/>
              <w:bottom w:w="0" w:type="dxa"/>
              <w:right w:w="15" w:type="dxa"/>
            </w:tcMar>
            <w:vAlign w:val="center"/>
            <w:hideMark/>
          </w:tcPr>
          <w:p w14:paraId="63255043" w14:textId="598A5631" w:rsidR="00607325" w:rsidRPr="005E35E4" w:rsidRDefault="00607325" w:rsidP="009C345C">
            <w:r w:rsidRPr="005E35E4">
              <w:t>SAM/</w:t>
            </w:r>
            <w:r w:rsidR="00D676B6">
              <w:t xml:space="preserve"> </w:t>
            </w:r>
            <w:r w:rsidRPr="005E35E4">
              <w:t>pasākumu skaits</w:t>
            </w:r>
          </w:p>
        </w:tc>
        <w:tc>
          <w:tcPr>
            <w:tcW w:w="3828" w:type="dxa"/>
            <w:shd w:val="clear" w:color="auto" w:fill="auto"/>
            <w:tcMar>
              <w:top w:w="15" w:type="dxa"/>
              <w:left w:w="15" w:type="dxa"/>
              <w:bottom w:w="0" w:type="dxa"/>
              <w:right w:w="15" w:type="dxa"/>
            </w:tcMar>
            <w:vAlign w:val="center"/>
            <w:hideMark/>
          </w:tcPr>
          <w:p w14:paraId="29850A82" w14:textId="77777777" w:rsidR="00607325" w:rsidRPr="005E35E4" w:rsidRDefault="00607325" w:rsidP="009C345C">
            <w:r w:rsidRPr="005E35E4">
              <w:t xml:space="preserve">Sākotnējā novērtējuma iesniegšana </w:t>
            </w:r>
          </w:p>
        </w:tc>
        <w:tc>
          <w:tcPr>
            <w:tcW w:w="992" w:type="dxa"/>
            <w:shd w:val="clear" w:color="auto" w:fill="FF9999"/>
            <w:tcMar>
              <w:top w:w="15" w:type="dxa"/>
              <w:left w:w="15" w:type="dxa"/>
              <w:bottom w:w="0" w:type="dxa"/>
              <w:right w:w="15" w:type="dxa"/>
            </w:tcMar>
            <w:vAlign w:val="center"/>
            <w:hideMark/>
          </w:tcPr>
          <w:p w14:paraId="6FF0F3D7" w14:textId="77777777" w:rsidR="00607325" w:rsidRPr="005E35E4" w:rsidRDefault="00607325" w:rsidP="009C345C">
            <w:pPr>
              <w:jc w:val="center"/>
            </w:pPr>
            <w:r>
              <w:t>2</w:t>
            </w:r>
          </w:p>
        </w:tc>
        <w:tc>
          <w:tcPr>
            <w:tcW w:w="995" w:type="dxa"/>
            <w:shd w:val="clear" w:color="auto" w:fill="auto"/>
            <w:tcMar>
              <w:top w:w="15" w:type="dxa"/>
              <w:left w:w="15" w:type="dxa"/>
              <w:bottom w:w="0" w:type="dxa"/>
              <w:right w:w="15" w:type="dxa"/>
            </w:tcMar>
            <w:vAlign w:val="center"/>
            <w:hideMark/>
          </w:tcPr>
          <w:p w14:paraId="09C77E6A" w14:textId="77777777" w:rsidR="00607325" w:rsidRPr="005E35E4" w:rsidRDefault="00607325" w:rsidP="009C345C">
            <w:pPr>
              <w:jc w:val="center"/>
            </w:pPr>
            <w:r w:rsidRPr="005E35E4">
              <w:t>1</w:t>
            </w:r>
            <w:r>
              <w:t>7</w:t>
            </w:r>
          </w:p>
        </w:tc>
        <w:tc>
          <w:tcPr>
            <w:tcW w:w="1698" w:type="dxa"/>
            <w:shd w:val="clear" w:color="auto" w:fill="auto"/>
            <w:tcMar>
              <w:top w:w="15" w:type="dxa"/>
              <w:left w:w="15" w:type="dxa"/>
              <w:bottom w:w="0" w:type="dxa"/>
              <w:right w:w="15" w:type="dxa"/>
            </w:tcMar>
            <w:vAlign w:val="center"/>
            <w:hideMark/>
          </w:tcPr>
          <w:p w14:paraId="281BBE16" w14:textId="3447BC98" w:rsidR="00607325" w:rsidRPr="005E35E4" w:rsidRDefault="00607325" w:rsidP="0003117C">
            <w:pPr>
              <w:jc w:val="center"/>
            </w:pPr>
            <w:r>
              <w:t>1</w:t>
            </w:r>
          </w:p>
        </w:tc>
      </w:tr>
      <w:tr w:rsidR="00607325" w:rsidRPr="005E35E4" w14:paraId="5CD2B657" w14:textId="77777777" w:rsidTr="00E043D5">
        <w:trPr>
          <w:trHeight w:val="227"/>
        </w:trPr>
        <w:tc>
          <w:tcPr>
            <w:tcW w:w="1126" w:type="dxa"/>
            <w:vMerge/>
            <w:vAlign w:val="center"/>
            <w:hideMark/>
          </w:tcPr>
          <w:p w14:paraId="0D8E3EF9" w14:textId="77777777" w:rsidR="00607325" w:rsidRPr="005E35E4" w:rsidRDefault="00607325" w:rsidP="009C345C"/>
        </w:tc>
        <w:tc>
          <w:tcPr>
            <w:tcW w:w="3828" w:type="dxa"/>
            <w:shd w:val="clear" w:color="auto" w:fill="auto"/>
            <w:tcMar>
              <w:top w:w="15" w:type="dxa"/>
              <w:left w:w="15" w:type="dxa"/>
              <w:bottom w:w="0" w:type="dxa"/>
              <w:right w:w="15" w:type="dxa"/>
            </w:tcMar>
            <w:vAlign w:val="center"/>
            <w:hideMark/>
          </w:tcPr>
          <w:p w14:paraId="251289A3" w14:textId="77777777" w:rsidR="00607325" w:rsidRPr="005E35E4" w:rsidRDefault="00607325" w:rsidP="009C345C">
            <w:r w:rsidRPr="005E35E4">
              <w:t>Kritēriji iesniegti AK</w:t>
            </w:r>
          </w:p>
        </w:tc>
        <w:tc>
          <w:tcPr>
            <w:tcW w:w="992" w:type="dxa"/>
            <w:shd w:val="clear" w:color="auto" w:fill="FF9999"/>
            <w:tcMar>
              <w:top w:w="15" w:type="dxa"/>
              <w:left w:w="15" w:type="dxa"/>
              <w:bottom w:w="0" w:type="dxa"/>
              <w:right w:w="15" w:type="dxa"/>
            </w:tcMar>
            <w:vAlign w:val="center"/>
            <w:hideMark/>
          </w:tcPr>
          <w:p w14:paraId="5336E803" w14:textId="77777777" w:rsidR="00607325" w:rsidRPr="005E35E4" w:rsidRDefault="00607325" w:rsidP="009C345C">
            <w:pPr>
              <w:jc w:val="center"/>
            </w:pPr>
            <w:r>
              <w:t>1</w:t>
            </w:r>
          </w:p>
        </w:tc>
        <w:tc>
          <w:tcPr>
            <w:tcW w:w="995" w:type="dxa"/>
            <w:shd w:val="clear" w:color="auto" w:fill="auto"/>
            <w:tcMar>
              <w:top w:w="15" w:type="dxa"/>
              <w:left w:w="15" w:type="dxa"/>
              <w:bottom w:w="0" w:type="dxa"/>
              <w:right w:w="15" w:type="dxa"/>
            </w:tcMar>
            <w:vAlign w:val="center"/>
            <w:hideMark/>
          </w:tcPr>
          <w:p w14:paraId="7C6FA4F6" w14:textId="77777777" w:rsidR="00607325" w:rsidRPr="005E35E4" w:rsidRDefault="00607325" w:rsidP="009C345C">
            <w:pPr>
              <w:jc w:val="center"/>
            </w:pPr>
            <w:r w:rsidRPr="005E35E4">
              <w:t>1</w:t>
            </w:r>
            <w:r>
              <w:t>7</w:t>
            </w:r>
          </w:p>
        </w:tc>
        <w:tc>
          <w:tcPr>
            <w:tcW w:w="1698" w:type="dxa"/>
            <w:shd w:val="clear" w:color="auto" w:fill="auto"/>
            <w:tcMar>
              <w:top w:w="15" w:type="dxa"/>
              <w:left w:w="15" w:type="dxa"/>
              <w:bottom w:w="0" w:type="dxa"/>
              <w:right w:w="15" w:type="dxa"/>
            </w:tcMar>
            <w:vAlign w:val="center"/>
            <w:hideMark/>
          </w:tcPr>
          <w:p w14:paraId="62186475" w14:textId="77777777" w:rsidR="00607325" w:rsidRPr="005E35E4" w:rsidRDefault="00607325" w:rsidP="009C345C">
            <w:pPr>
              <w:jc w:val="center"/>
            </w:pPr>
            <w:r>
              <w:t>2</w:t>
            </w:r>
          </w:p>
        </w:tc>
      </w:tr>
      <w:tr w:rsidR="00607325" w:rsidRPr="005E35E4" w14:paraId="417E4AA0" w14:textId="77777777" w:rsidTr="00E043D5">
        <w:trPr>
          <w:trHeight w:val="227"/>
        </w:trPr>
        <w:tc>
          <w:tcPr>
            <w:tcW w:w="1126" w:type="dxa"/>
            <w:vMerge/>
            <w:vAlign w:val="center"/>
            <w:hideMark/>
          </w:tcPr>
          <w:p w14:paraId="1AAA1FA5" w14:textId="77777777" w:rsidR="00607325" w:rsidRPr="005E35E4" w:rsidRDefault="00607325" w:rsidP="009C345C"/>
        </w:tc>
        <w:tc>
          <w:tcPr>
            <w:tcW w:w="3828" w:type="dxa"/>
            <w:shd w:val="clear" w:color="auto" w:fill="auto"/>
            <w:tcMar>
              <w:top w:w="15" w:type="dxa"/>
              <w:left w:w="15" w:type="dxa"/>
              <w:bottom w:w="0" w:type="dxa"/>
              <w:right w:w="15" w:type="dxa"/>
            </w:tcMar>
            <w:vAlign w:val="center"/>
            <w:hideMark/>
          </w:tcPr>
          <w:p w14:paraId="0B8CAFF9" w14:textId="77777777" w:rsidR="00607325" w:rsidRPr="005E35E4" w:rsidRDefault="00607325" w:rsidP="009C345C">
            <w:r w:rsidRPr="005E35E4">
              <w:t>MK noteikumu izsludināti VSS</w:t>
            </w:r>
          </w:p>
        </w:tc>
        <w:tc>
          <w:tcPr>
            <w:tcW w:w="992" w:type="dxa"/>
            <w:shd w:val="clear" w:color="auto" w:fill="FF9999"/>
            <w:tcMar>
              <w:top w:w="15" w:type="dxa"/>
              <w:left w:w="15" w:type="dxa"/>
              <w:bottom w:w="0" w:type="dxa"/>
              <w:right w:w="15" w:type="dxa"/>
            </w:tcMar>
            <w:vAlign w:val="center"/>
            <w:hideMark/>
          </w:tcPr>
          <w:p w14:paraId="2F478B52" w14:textId="6CD2931A" w:rsidR="00607325" w:rsidRPr="005E35E4" w:rsidRDefault="00DA044A" w:rsidP="009C345C">
            <w:pPr>
              <w:jc w:val="center"/>
            </w:pPr>
            <w:r>
              <w:t>4</w:t>
            </w:r>
          </w:p>
        </w:tc>
        <w:tc>
          <w:tcPr>
            <w:tcW w:w="995" w:type="dxa"/>
            <w:shd w:val="clear" w:color="auto" w:fill="auto"/>
            <w:tcMar>
              <w:top w:w="15" w:type="dxa"/>
              <w:left w:w="15" w:type="dxa"/>
              <w:bottom w:w="0" w:type="dxa"/>
              <w:right w:w="15" w:type="dxa"/>
            </w:tcMar>
            <w:vAlign w:val="center"/>
            <w:hideMark/>
          </w:tcPr>
          <w:p w14:paraId="66B8948A" w14:textId="2814E526" w:rsidR="00607325" w:rsidRPr="005E35E4" w:rsidRDefault="00DA044A" w:rsidP="009C345C">
            <w:pPr>
              <w:jc w:val="center"/>
            </w:pPr>
            <w:r>
              <w:t>11</w:t>
            </w:r>
          </w:p>
        </w:tc>
        <w:tc>
          <w:tcPr>
            <w:tcW w:w="1698" w:type="dxa"/>
            <w:shd w:val="clear" w:color="auto" w:fill="auto"/>
            <w:tcMar>
              <w:top w:w="15" w:type="dxa"/>
              <w:left w:w="15" w:type="dxa"/>
              <w:bottom w:w="0" w:type="dxa"/>
              <w:right w:w="15" w:type="dxa"/>
            </w:tcMar>
            <w:vAlign w:val="center"/>
            <w:hideMark/>
          </w:tcPr>
          <w:p w14:paraId="4C4656D7" w14:textId="3F1AEC29" w:rsidR="00607325" w:rsidRPr="005E35E4" w:rsidRDefault="00607325" w:rsidP="0003117C">
            <w:pPr>
              <w:jc w:val="center"/>
            </w:pPr>
            <w:r>
              <w:t>5</w:t>
            </w:r>
          </w:p>
        </w:tc>
      </w:tr>
      <w:tr w:rsidR="00607325" w:rsidRPr="005E35E4" w14:paraId="1D9F74DF" w14:textId="77777777" w:rsidTr="00E043D5">
        <w:trPr>
          <w:trHeight w:val="227"/>
        </w:trPr>
        <w:tc>
          <w:tcPr>
            <w:tcW w:w="1126" w:type="dxa"/>
            <w:vMerge/>
            <w:vAlign w:val="center"/>
            <w:hideMark/>
          </w:tcPr>
          <w:p w14:paraId="2501B1C5" w14:textId="77777777" w:rsidR="00607325" w:rsidRPr="005E35E4" w:rsidRDefault="00607325" w:rsidP="009C345C"/>
        </w:tc>
        <w:tc>
          <w:tcPr>
            <w:tcW w:w="3828" w:type="dxa"/>
            <w:shd w:val="clear" w:color="auto" w:fill="auto"/>
            <w:tcMar>
              <w:top w:w="15" w:type="dxa"/>
              <w:left w:w="15" w:type="dxa"/>
              <w:bottom w:w="0" w:type="dxa"/>
              <w:right w:w="15" w:type="dxa"/>
            </w:tcMar>
            <w:vAlign w:val="center"/>
            <w:hideMark/>
          </w:tcPr>
          <w:p w14:paraId="4D0D9DA5" w14:textId="77777777" w:rsidR="00607325" w:rsidRPr="005E35E4" w:rsidRDefault="00607325" w:rsidP="009C345C">
            <w:r w:rsidRPr="005E35E4">
              <w:t>MK noteikumu apstiprināšana MK</w:t>
            </w:r>
          </w:p>
        </w:tc>
        <w:tc>
          <w:tcPr>
            <w:tcW w:w="992" w:type="dxa"/>
            <w:shd w:val="clear" w:color="auto" w:fill="FF9999"/>
            <w:tcMar>
              <w:top w:w="15" w:type="dxa"/>
              <w:left w:w="15" w:type="dxa"/>
              <w:bottom w:w="0" w:type="dxa"/>
              <w:right w:w="15" w:type="dxa"/>
            </w:tcMar>
            <w:vAlign w:val="center"/>
            <w:hideMark/>
          </w:tcPr>
          <w:p w14:paraId="1E659CEF" w14:textId="77777777" w:rsidR="00607325" w:rsidRPr="005E35E4" w:rsidRDefault="00607325" w:rsidP="009C345C">
            <w:pPr>
              <w:jc w:val="center"/>
            </w:pPr>
            <w:r>
              <w:t>5</w:t>
            </w:r>
          </w:p>
        </w:tc>
        <w:tc>
          <w:tcPr>
            <w:tcW w:w="995" w:type="dxa"/>
            <w:shd w:val="clear" w:color="auto" w:fill="auto"/>
            <w:tcMar>
              <w:top w:w="15" w:type="dxa"/>
              <w:left w:w="15" w:type="dxa"/>
              <w:bottom w:w="0" w:type="dxa"/>
              <w:right w:w="15" w:type="dxa"/>
            </w:tcMar>
            <w:vAlign w:val="center"/>
            <w:hideMark/>
          </w:tcPr>
          <w:p w14:paraId="3B423612" w14:textId="77777777" w:rsidR="00607325" w:rsidRPr="005E35E4" w:rsidRDefault="00607325" w:rsidP="009C345C">
            <w:pPr>
              <w:jc w:val="center"/>
            </w:pPr>
            <w:r>
              <w:t>3</w:t>
            </w:r>
          </w:p>
        </w:tc>
        <w:tc>
          <w:tcPr>
            <w:tcW w:w="1698" w:type="dxa"/>
            <w:shd w:val="clear" w:color="auto" w:fill="auto"/>
            <w:tcMar>
              <w:top w:w="15" w:type="dxa"/>
              <w:left w:w="15" w:type="dxa"/>
              <w:bottom w:w="0" w:type="dxa"/>
              <w:right w:w="15" w:type="dxa"/>
            </w:tcMar>
            <w:vAlign w:val="center"/>
            <w:hideMark/>
          </w:tcPr>
          <w:p w14:paraId="70162BE9" w14:textId="06E2ABAD" w:rsidR="00607325" w:rsidRPr="005E35E4" w:rsidRDefault="00607325" w:rsidP="0003117C">
            <w:pPr>
              <w:jc w:val="center"/>
            </w:pPr>
            <w:r>
              <w:t>12</w:t>
            </w:r>
          </w:p>
        </w:tc>
      </w:tr>
      <w:tr w:rsidR="00607325" w:rsidRPr="005E35E4" w14:paraId="130010E5" w14:textId="77777777" w:rsidTr="00E043D5">
        <w:trPr>
          <w:trHeight w:val="227"/>
        </w:trPr>
        <w:tc>
          <w:tcPr>
            <w:tcW w:w="1126" w:type="dxa"/>
            <w:vMerge/>
            <w:vAlign w:val="center"/>
            <w:hideMark/>
          </w:tcPr>
          <w:p w14:paraId="09533FCB" w14:textId="77777777" w:rsidR="00607325" w:rsidRPr="005E35E4" w:rsidRDefault="00607325" w:rsidP="009C345C"/>
        </w:tc>
        <w:tc>
          <w:tcPr>
            <w:tcW w:w="3828" w:type="dxa"/>
            <w:shd w:val="clear" w:color="auto" w:fill="auto"/>
            <w:tcMar>
              <w:top w:w="15" w:type="dxa"/>
              <w:left w:w="15" w:type="dxa"/>
              <w:bottom w:w="0" w:type="dxa"/>
              <w:right w:w="15" w:type="dxa"/>
            </w:tcMar>
            <w:vAlign w:val="center"/>
            <w:hideMark/>
          </w:tcPr>
          <w:p w14:paraId="59C30BBD" w14:textId="77777777" w:rsidR="00607325" w:rsidRPr="005E35E4" w:rsidRDefault="00607325" w:rsidP="009C345C">
            <w:r w:rsidRPr="005E35E4">
              <w:t>Uzsākta atlase</w:t>
            </w:r>
          </w:p>
        </w:tc>
        <w:tc>
          <w:tcPr>
            <w:tcW w:w="992" w:type="dxa"/>
            <w:shd w:val="clear" w:color="auto" w:fill="FF9999"/>
            <w:tcMar>
              <w:top w:w="15" w:type="dxa"/>
              <w:left w:w="15" w:type="dxa"/>
              <w:bottom w:w="0" w:type="dxa"/>
              <w:right w:w="15" w:type="dxa"/>
            </w:tcMar>
            <w:vAlign w:val="center"/>
            <w:hideMark/>
          </w:tcPr>
          <w:p w14:paraId="2AA625F5" w14:textId="6AB18BD6" w:rsidR="00607325" w:rsidRPr="005E35E4" w:rsidRDefault="00607325" w:rsidP="009C345C">
            <w:pPr>
              <w:jc w:val="center"/>
            </w:pPr>
            <w:r>
              <w:t>4</w:t>
            </w:r>
          </w:p>
        </w:tc>
        <w:tc>
          <w:tcPr>
            <w:tcW w:w="995" w:type="dxa"/>
            <w:shd w:val="clear" w:color="auto" w:fill="auto"/>
            <w:tcMar>
              <w:top w:w="15" w:type="dxa"/>
              <w:left w:w="15" w:type="dxa"/>
              <w:bottom w:w="0" w:type="dxa"/>
              <w:right w:w="15" w:type="dxa"/>
            </w:tcMar>
            <w:vAlign w:val="center"/>
            <w:hideMark/>
          </w:tcPr>
          <w:p w14:paraId="430AE8BE" w14:textId="656235B8" w:rsidR="00607325" w:rsidRPr="005E35E4" w:rsidRDefault="00DA044A" w:rsidP="009C345C">
            <w:pPr>
              <w:jc w:val="center"/>
            </w:pPr>
            <w:r>
              <w:t>0</w:t>
            </w:r>
          </w:p>
        </w:tc>
        <w:tc>
          <w:tcPr>
            <w:tcW w:w="1698" w:type="dxa"/>
            <w:shd w:val="clear" w:color="auto" w:fill="auto"/>
            <w:tcMar>
              <w:top w:w="15" w:type="dxa"/>
              <w:left w:w="15" w:type="dxa"/>
              <w:bottom w:w="0" w:type="dxa"/>
              <w:right w:w="15" w:type="dxa"/>
            </w:tcMar>
            <w:vAlign w:val="center"/>
            <w:hideMark/>
          </w:tcPr>
          <w:p w14:paraId="63D8E618" w14:textId="06149BFE" w:rsidR="00607325" w:rsidRPr="005E35E4" w:rsidRDefault="00607325" w:rsidP="009C345C">
            <w:pPr>
              <w:jc w:val="center"/>
            </w:pPr>
            <w:r>
              <w:t>16</w:t>
            </w:r>
          </w:p>
        </w:tc>
      </w:tr>
      <w:tr w:rsidR="00607325" w:rsidRPr="005E35E4" w14:paraId="153DE7E3" w14:textId="77777777" w:rsidTr="00E043D5">
        <w:trPr>
          <w:trHeight w:val="227"/>
        </w:trPr>
        <w:tc>
          <w:tcPr>
            <w:tcW w:w="1126" w:type="dxa"/>
            <w:vMerge/>
            <w:vAlign w:val="center"/>
            <w:hideMark/>
          </w:tcPr>
          <w:p w14:paraId="0494E36F" w14:textId="77777777" w:rsidR="00607325" w:rsidRPr="005E35E4" w:rsidRDefault="00607325" w:rsidP="009C345C"/>
        </w:tc>
        <w:tc>
          <w:tcPr>
            <w:tcW w:w="3828" w:type="dxa"/>
            <w:shd w:val="clear" w:color="auto" w:fill="auto"/>
            <w:tcMar>
              <w:top w:w="15" w:type="dxa"/>
              <w:left w:w="15" w:type="dxa"/>
              <w:bottom w:w="0" w:type="dxa"/>
              <w:right w:w="15" w:type="dxa"/>
            </w:tcMar>
            <w:vAlign w:val="center"/>
            <w:hideMark/>
          </w:tcPr>
          <w:p w14:paraId="5EE5BC50" w14:textId="77777777" w:rsidR="00607325" w:rsidRPr="005E35E4" w:rsidRDefault="00607325" w:rsidP="009C345C">
            <w:r w:rsidRPr="005E35E4">
              <w:t>Noslēgti līgumi</w:t>
            </w:r>
          </w:p>
        </w:tc>
        <w:tc>
          <w:tcPr>
            <w:tcW w:w="992" w:type="dxa"/>
            <w:shd w:val="clear" w:color="auto" w:fill="auto"/>
            <w:tcMar>
              <w:top w:w="15" w:type="dxa"/>
              <w:left w:w="15" w:type="dxa"/>
              <w:bottom w:w="0" w:type="dxa"/>
              <w:right w:w="15" w:type="dxa"/>
            </w:tcMar>
            <w:vAlign w:val="center"/>
            <w:hideMark/>
          </w:tcPr>
          <w:p w14:paraId="2E764299" w14:textId="0CF6915B" w:rsidR="00607325" w:rsidRPr="005E35E4" w:rsidRDefault="00031D79" w:rsidP="009C345C">
            <w:pPr>
              <w:jc w:val="center"/>
            </w:pPr>
            <w:r>
              <w:t>-</w:t>
            </w:r>
          </w:p>
        </w:tc>
        <w:tc>
          <w:tcPr>
            <w:tcW w:w="995" w:type="dxa"/>
            <w:shd w:val="clear" w:color="auto" w:fill="auto"/>
            <w:tcMar>
              <w:top w:w="15" w:type="dxa"/>
              <w:left w:w="15" w:type="dxa"/>
              <w:bottom w:w="0" w:type="dxa"/>
              <w:right w:w="15" w:type="dxa"/>
            </w:tcMar>
            <w:vAlign w:val="center"/>
            <w:hideMark/>
          </w:tcPr>
          <w:p w14:paraId="09E5B2E3" w14:textId="6A33015C" w:rsidR="00607325" w:rsidRPr="005E35E4" w:rsidRDefault="00031D79" w:rsidP="009C345C">
            <w:pPr>
              <w:jc w:val="center"/>
            </w:pPr>
            <w:r>
              <w:t>-</w:t>
            </w:r>
          </w:p>
        </w:tc>
        <w:tc>
          <w:tcPr>
            <w:tcW w:w="1698" w:type="dxa"/>
            <w:shd w:val="clear" w:color="auto" w:fill="auto"/>
            <w:tcMar>
              <w:top w:w="15" w:type="dxa"/>
              <w:left w:w="15" w:type="dxa"/>
              <w:bottom w:w="0" w:type="dxa"/>
              <w:right w:w="15" w:type="dxa"/>
            </w:tcMar>
            <w:vAlign w:val="center"/>
            <w:hideMark/>
          </w:tcPr>
          <w:p w14:paraId="4C0C76FF" w14:textId="41C81431" w:rsidR="00607325" w:rsidRPr="005E35E4" w:rsidRDefault="00031D79" w:rsidP="009C345C">
            <w:pPr>
              <w:jc w:val="center"/>
            </w:pPr>
            <w:r>
              <w:t>-</w:t>
            </w:r>
          </w:p>
        </w:tc>
      </w:tr>
      <w:tr w:rsidR="00607325" w:rsidRPr="005E35E4" w14:paraId="33737213" w14:textId="77777777" w:rsidTr="009E5ED9">
        <w:trPr>
          <w:trHeight w:val="630"/>
        </w:trPr>
        <w:tc>
          <w:tcPr>
            <w:tcW w:w="1126" w:type="dxa"/>
            <w:vAlign w:val="center"/>
          </w:tcPr>
          <w:p w14:paraId="02F59B60" w14:textId="77777777" w:rsidR="00607325" w:rsidRPr="005E35E4" w:rsidRDefault="00607325" w:rsidP="00E53D9B">
            <w:r>
              <w:t>Riski</w:t>
            </w:r>
          </w:p>
        </w:tc>
        <w:tc>
          <w:tcPr>
            <w:tcW w:w="7513" w:type="dxa"/>
            <w:gridSpan w:val="4"/>
            <w:shd w:val="clear" w:color="auto" w:fill="auto"/>
            <w:tcMar>
              <w:top w:w="15" w:type="dxa"/>
              <w:left w:w="15" w:type="dxa"/>
              <w:bottom w:w="0" w:type="dxa"/>
              <w:right w:w="15" w:type="dxa"/>
            </w:tcMar>
            <w:vAlign w:val="center"/>
          </w:tcPr>
          <w:p w14:paraId="4704A224" w14:textId="5134A677" w:rsidR="00607325" w:rsidRPr="00D05205" w:rsidRDefault="00607325" w:rsidP="00D676B6">
            <w:pPr>
              <w:spacing w:before="120" w:after="120"/>
              <w:jc w:val="both"/>
              <w:rPr>
                <w:u w:val="single"/>
              </w:rPr>
            </w:pPr>
            <w:r w:rsidRPr="00D05205">
              <w:rPr>
                <w:u w:val="single"/>
              </w:rPr>
              <w:t xml:space="preserve">Tehnoloģiju </w:t>
            </w:r>
            <w:proofErr w:type="spellStart"/>
            <w:r w:rsidRPr="00D05205">
              <w:rPr>
                <w:u w:val="single"/>
              </w:rPr>
              <w:t>pārneses</w:t>
            </w:r>
            <w:proofErr w:type="spellEnd"/>
            <w:r w:rsidRPr="00D05205">
              <w:rPr>
                <w:u w:val="single"/>
              </w:rPr>
              <w:t xml:space="preserve"> programma</w:t>
            </w:r>
          </w:p>
          <w:p w14:paraId="21AF89A3" w14:textId="77777777" w:rsidR="00A52F5D" w:rsidRPr="00D05205" w:rsidRDefault="00A52F5D" w:rsidP="00A52F5D">
            <w:pPr>
              <w:spacing w:before="120" w:after="120"/>
              <w:jc w:val="both"/>
              <w:rPr>
                <w:szCs w:val="24"/>
              </w:rPr>
            </w:pPr>
            <w:r w:rsidRPr="00D05205">
              <w:rPr>
                <w:szCs w:val="24"/>
              </w:rPr>
              <w:t xml:space="preserve">Par vienu ceturksni kavējās tehnoloģiju </w:t>
            </w:r>
            <w:proofErr w:type="spellStart"/>
            <w:r w:rsidRPr="00D05205">
              <w:rPr>
                <w:szCs w:val="24"/>
              </w:rPr>
              <w:t>pārneses</w:t>
            </w:r>
            <w:proofErr w:type="spellEnd"/>
            <w:r w:rsidRPr="00D05205">
              <w:rPr>
                <w:szCs w:val="24"/>
              </w:rPr>
              <w:t xml:space="preserve"> programmas</w:t>
            </w:r>
            <w:r w:rsidRPr="00D05205">
              <w:rPr>
                <w:b/>
                <w:szCs w:val="24"/>
              </w:rPr>
              <w:t xml:space="preserve"> </w:t>
            </w:r>
            <w:r w:rsidRPr="00D05205">
              <w:rPr>
                <w:szCs w:val="24"/>
              </w:rPr>
              <w:t xml:space="preserve">(ERAF 24,5 milj. </w:t>
            </w:r>
            <w:r w:rsidRPr="00D05205">
              <w:rPr>
                <w:i/>
                <w:szCs w:val="24"/>
              </w:rPr>
              <w:t>euro</w:t>
            </w:r>
            <w:r w:rsidRPr="00D05205">
              <w:rPr>
                <w:szCs w:val="24"/>
              </w:rPr>
              <w:t>)</w:t>
            </w:r>
            <w:r w:rsidRPr="00D05205">
              <w:rPr>
                <w:b/>
                <w:szCs w:val="24"/>
              </w:rPr>
              <w:t xml:space="preserve"> īstenošanas dokumentu</w:t>
            </w:r>
            <w:r w:rsidRPr="00D05205">
              <w:rPr>
                <w:szCs w:val="24"/>
              </w:rPr>
              <w:t xml:space="preserve"> </w:t>
            </w:r>
            <w:r w:rsidRPr="00D05205">
              <w:rPr>
                <w:b/>
                <w:szCs w:val="24"/>
              </w:rPr>
              <w:t>izstrāde,</w:t>
            </w:r>
            <w:r w:rsidRPr="00D05205">
              <w:rPr>
                <w:szCs w:val="24"/>
              </w:rPr>
              <w:t xml:space="preserve"> kas rada risku par finanšu rādītāju sasniegšanu līdz 2018.gadam. EM sadarbībā ar FM ir izstrādājusi priekšlikumu jaunam pasākuma ieviešanas modelim, kas paredz 2 pasākumu apvienošanu -  1.2.1.3. pasākums  „Inovāciju </w:t>
            </w:r>
            <w:proofErr w:type="spellStart"/>
            <w:r w:rsidRPr="00D05205">
              <w:rPr>
                <w:szCs w:val="24"/>
              </w:rPr>
              <w:t>vaučeri</w:t>
            </w:r>
            <w:proofErr w:type="spellEnd"/>
            <w:r w:rsidRPr="00D05205">
              <w:rPr>
                <w:szCs w:val="24"/>
              </w:rPr>
              <w:t xml:space="preserve"> MVK” (turpmāk – 1.2.1.3. pasākums) tiks apvienots ar 1.2.1.2.pasākumu “Atbalsts tehnoloģiju </w:t>
            </w:r>
            <w:proofErr w:type="spellStart"/>
            <w:r w:rsidRPr="00D05205">
              <w:rPr>
                <w:szCs w:val="24"/>
              </w:rPr>
              <w:t>pārneses</w:t>
            </w:r>
            <w:proofErr w:type="spellEnd"/>
            <w:r w:rsidRPr="00D05205">
              <w:rPr>
                <w:szCs w:val="24"/>
              </w:rPr>
              <w:t xml:space="preserve"> sistēmas pilnveidošanai” un ieviests ar LIAA starpniecību, kurā kā papildus struktūrvienība tiks izveidots Vienotais tehnoloģiju </w:t>
            </w:r>
            <w:proofErr w:type="spellStart"/>
            <w:r w:rsidRPr="00D05205">
              <w:rPr>
                <w:szCs w:val="24"/>
              </w:rPr>
              <w:t>pārneses</w:t>
            </w:r>
            <w:proofErr w:type="spellEnd"/>
            <w:r w:rsidRPr="00D05205">
              <w:rPr>
                <w:szCs w:val="24"/>
              </w:rPr>
              <w:t xml:space="preserve"> centrs. Pasākuma sākotnējais novērtējums līdz 2016.gada 23.februārim tiks nosūtīts saskaņošanai AK dalībniekiem un tiks š.g. martā tiks uzsāktas diskusijas par programmas ieviešanas modeli (sarežģīta programma). Tehnoloģiju </w:t>
            </w:r>
            <w:proofErr w:type="spellStart"/>
            <w:r w:rsidRPr="00D05205">
              <w:rPr>
                <w:szCs w:val="24"/>
              </w:rPr>
              <w:t>pārneses</w:t>
            </w:r>
            <w:proofErr w:type="spellEnd"/>
            <w:r w:rsidRPr="00D05205">
              <w:rPr>
                <w:szCs w:val="24"/>
              </w:rPr>
              <w:t xml:space="preserve"> programma papildina virkni IZM un EM aktivitātes atbalstam pētniecībai un inovācijai un tai ir ietekme uz citu pasākumu rezultātiem. </w:t>
            </w:r>
          </w:p>
          <w:p w14:paraId="1D536101" w14:textId="13F56CCB" w:rsidR="00607325" w:rsidRPr="00D05205" w:rsidRDefault="00D676B6" w:rsidP="0003117C">
            <w:pPr>
              <w:spacing w:before="120" w:after="120"/>
              <w:jc w:val="both"/>
              <w:rPr>
                <w:u w:val="single"/>
              </w:rPr>
            </w:pPr>
            <w:r w:rsidRPr="00D05205">
              <w:rPr>
                <w:u w:val="single"/>
              </w:rPr>
              <w:t>Finanšu instrumenti</w:t>
            </w:r>
          </w:p>
          <w:p w14:paraId="4E1C3184" w14:textId="77777777" w:rsidR="003F3D21" w:rsidRPr="00D05205" w:rsidRDefault="003F3D21" w:rsidP="003F3D21">
            <w:pPr>
              <w:spacing w:before="120" w:after="120"/>
              <w:jc w:val="both"/>
            </w:pPr>
            <w:r w:rsidRPr="00D05205">
              <w:t>Lai nodrošinātu finanšu pieejamības nepārtrauktību saimnieciskās darbības veicējiem līdz jaunu atbalsta instrumentu ieviešanai, ir pagarinātas finanšu instrumentu 2007.–2013.plānošanas perioda atbalsta aktivitātes (mikro aizdevumu, aizdevumu uzņēmējdarbības uzsācējiem un aizdevumu un īstermiņa eksporta kredītu garantiju  līgumu slēgšana paredzēta līdz 2016.gada jūnijam un riska kapitāla ieguldījumiem – līdz 2016.gada oktobrim). Tomēr neskatoties uz to, ka finanšu instrumentu 2007.–2013.plānošanas perioda atbalsta aktivitātes ir pagarinātas, joprojām pastāv risks to savlaicīgai uzsākšanai un finansējuma pārrāvumam.</w:t>
            </w:r>
          </w:p>
          <w:p w14:paraId="2AA476A9" w14:textId="643C2559" w:rsidR="003F3D21" w:rsidRPr="00D05205" w:rsidRDefault="003F3D21" w:rsidP="003F3D21">
            <w:pPr>
              <w:spacing w:before="120" w:after="120"/>
              <w:jc w:val="both"/>
            </w:pPr>
            <w:r w:rsidRPr="00D05205">
              <w:t xml:space="preserve">Lai nodrošinātu 2014.-2020.gada plānošanas perioda finanšu instrumentu uzsākšanu, nepieciešama līguma par fondu </w:t>
            </w:r>
            <w:proofErr w:type="spellStart"/>
            <w:r w:rsidRPr="00D05205">
              <w:t>fondu</w:t>
            </w:r>
            <w:proofErr w:type="spellEnd"/>
            <w:r w:rsidRPr="00D05205">
              <w:t xml:space="preserve"> starp </w:t>
            </w:r>
            <w:proofErr w:type="spellStart"/>
            <w:r w:rsidRPr="00D05205">
              <w:t>Atlum</w:t>
            </w:r>
            <w:proofErr w:type="spellEnd"/>
            <w:r w:rsidRPr="00D05205">
              <w:t xml:space="preserve"> un CFLA noslēgšana (līgumu slēgšana indikatīvi paredzēta 2016.gada maijā). Ņemot vērā, ka riska kapitāla fondu pārvaldnieki tiks izvēlēti publiskās iepirkumu procedūras ietvarā, pastāv risks, ka </w:t>
            </w:r>
            <w:proofErr w:type="spellStart"/>
            <w:r w:rsidRPr="00D05205">
              <w:t>akselerācijas</w:t>
            </w:r>
            <w:proofErr w:type="spellEnd"/>
            <w:r w:rsidRPr="00D05205">
              <w:t>, sēklas un sākuma kapitāla fondi un izaugsmes kapitāla fondi tiks ieviesti vēlāk, nekā paredzēts (normatīvie akti publisko iepirkumu jomā paredz apstrīdēšanas iespējas dažādās iepirkumu stadijās).</w:t>
            </w:r>
            <w:r w:rsidR="00B95F9B">
              <w:t xml:space="preserve"> Biznesa eņģeļu pasākuma MK noteikumus</w:t>
            </w:r>
            <w:r w:rsidR="00196595">
              <w:t xml:space="preserve"> plānots </w:t>
            </w:r>
            <w:r w:rsidR="00B95F9B">
              <w:t>apstiprināt</w:t>
            </w:r>
            <w:r w:rsidR="00196595">
              <w:t xml:space="preserve"> 2017.gada janvārī, sākotnēji līgumu/vienošanās slēgšana par projekta īstenošanu bija plānota 2016.gada IV ceturksnī.</w:t>
            </w:r>
          </w:p>
          <w:p w14:paraId="4C91F739" w14:textId="77777777" w:rsidR="00607325" w:rsidRPr="00D05205" w:rsidRDefault="00607325" w:rsidP="0003117C">
            <w:pPr>
              <w:spacing w:before="120" w:after="120"/>
              <w:jc w:val="both"/>
              <w:rPr>
                <w:b/>
              </w:rPr>
            </w:pPr>
            <w:r w:rsidRPr="00D05205">
              <w:rPr>
                <w:u w:val="single"/>
              </w:rPr>
              <w:t>Daudzdzīvokļu māju siltināšanas programma</w:t>
            </w:r>
            <w:r w:rsidRPr="00D05205">
              <w:rPr>
                <w:b/>
              </w:rPr>
              <w:t xml:space="preserve">. </w:t>
            </w:r>
          </w:p>
          <w:p w14:paraId="792EA266" w14:textId="401BCF37" w:rsidR="00FB7880" w:rsidRPr="00D05205" w:rsidRDefault="00FB7880" w:rsidP="00FB7880">
            <w:pPr>
              <w:spacing w:before="120" w:after="120"/>
              <w:jc w:val="both"/>
              <w:rPr>
                <w:szCs w:val="24"/>
              </w:rPr>
            </w:pPr>
            <w:r w:rsidRPr="00D05205">
              <w:lastRenderedPageBreak/>
              <w:t xml:space="preserve">EM dots uzdevums </w:t>
            </w:r>
            <w:r w:rsidRPr="00D05205">
              <w:rPr>
                <w:szCs w:val="24"/>
              </w:rPr>
              <w:t>iesniegt MK noteikumu projektu apstiprināšanai MK līdz 2016.gada 29.februārim.</w:t>
            </w:r>
          </w:p>
          <w:p w14:paraId="081CB8E5" w14:textId="7D4A0DAB" w:rsidR="003F4B75" w:rsidRPr="00D05205" w:rsidRDefault="003F4B75" w:rsidP="00FB7880">
            <w:pPr>
              <w:spacing w:before="120" w:after="120"/>
              <w:jc w:val="both"/>
              <w:rPr>
                <w:szCs w:val="24"/>
              </w:rPr>
            </w:pPr>
            <w:r w:rsidRPr="00D05205">
              <w:rPr>
                <w:szCs w:val="24"/>
              </w:rPr>
              <w:t xml:space="preserve">2016.gada 25.janvārī tika saņemts EK DG COMP viedoklis par valsts atbalstu šajā programmā. MK noteikumu projekts ir precizēts atbilstoši valsts atbalsta regulējumam un 2016.gada 8.februārī nosūtīts oficiālajai saskaņošanai iestādēm un citiem partneriem. </w:t>
            </w:r>
            <w:r w:rsidR="00136FBB" w:rsidRPr="00D05205">
              <w:rPr>
                <w:szCs w:val="24"/>
              </w:rPr>
              <w:t>Vienlaicīgi</w:t>
            </w:r>
            <w:r w:rsidR="00997E06" w:rsidRPr="00D05205">
              <w:rPr>
                <w:szCs w:val="24"/>
              </w:rPr>
              <w:t xml:space="preserve"> </w:t>
            </w:r>
            <w:r w:rsidR="00FB7880" w:rsidRPr="00D05205">
              <w:rPr>
                <w:szCs w:val="24"/>
              </w:rPr>
              <w:t xml:space="preserve">EK DG </w:t>
            </w:r>
            <w:proofErr w:type="spellStart"/>
            <w:r w:rsidR="00FB7880" w:rsidRPr="00D05205">
              <w:rPr>
                <w:szCs w:val="24"/>
              </w:rPr>
              <w:t>Regio</w:t>
            </w:r>
            <w:proofErr w:type="spellEnd"/>
            <w:r w:rsidR="00136FBB" w:rsidRPr="00D05205">
              <w:rPr>
                <w:szCs w:val="24"/>
              </w:rPr>
              <w:t xml:space="preserve"> ir informējusi, ka </w:t>
            </w:r>
            <w:r w:rsidRPr="00D05205">
              <w:rPr>
                <w:szCs w:val="24"/>
              </w:rPr>
              <w:t>Komisijas dienesti šī jautājumā risināšanā un īstenoš</w:t>
            </w:r>
            <w:r w:rsidR="00136FBB" w:rsidRPr="00D05205">
              <w:rPr>
                <w:szCs w:val="24"/>
              </w:rPr>
              <w:t>anā (EK bažu noņemšana) paļaujas uz atbilstošo</w:t>
            </w:r>
            <w:r w:rsidRPr="00D05205">
              <w:rPr>
                <w:szCs w:val="24"/>
              </w:rPr>
              <w:t xml:space="preserve"> kompetento iestāžu ekspertīzi, n</w:t>
            </w:r>
            <w:r w:rsidR="00136FBB" w:rsidRPr="00D05205">
              <w:rPr>
                <w:szCs w:val="24"/>
              </w:rPr>
              <w:t>odrošinot tirgus situācijai atbilstošākās  daudzdzīvokļu māju siltināšanas shēmas palaiš</w:t>
            </w:r>
            <w:r w:rsidRPr="00D05205">
              <w:rPr>
                <w:szCs w:val="24"/>
              </w:rPr>
              <w:t xml:space="preserve">anu un </w:t>
            </w:r>
            <w:r w:rsidR="00421544" w:rsidRPr="00D05205">
              <w:rPr>
                <w:szCs w:val="24"/>
              </w:rPr>
              <w:t>DP</w:t>
            </w:r>
            <w:r w:rsidR="00136FBB" w:rsidRPr="00D05205">
              <w:rPr>
                <w:szCs w:val="24"/>
              </w:rPr>
              <w:t xml:space="preserve"> “Izaugsmes un nodarbinātība”</w:t>
            </w:r>
            <w:r w:rsidR="00421544" w:rsidRPr="00D05205">
              <w:rPr>
                <w:szCs w:val="24"/>
              </w:rPr>
              <w:t xml:space="preserve"> </w:t>
            </w:r>
            <w:r w:rsidRPr="00D05205">
              <w:rPr>
                <w:szCs w:val="24"/>
              </w:rPr>
              <w:t>noteikto mērķ</w:t>
            </w:r>
            <w:r w:rsidR="001D1D31" w:rsidRPr="00D05205">
              <w:rPr>
                <w:szCs w:val="24"/>
              </w:rPr>
              <w:t>u</w:t>
            </w:r>
            <w:r w:rsidRPr="00D05205">
              <w:rPr>
                <w:szCs w:val="24"/>
              </w:rPr>
              <w:t xml:space="preserve"> sasniegšanu.</w:t>
            </w:r>
          </w:p>
          <w:p w14:paraId="6E8FBE2A" w14:textId="3CF51719" w:rsidR="00FB7880" w:rsidRPr="00D05205" w:rsidRDefault="00FB7880" w:rsidP="00FB7880">
            <w:pPr>
              <w:spacing w:before="120" w:after="120"/>
              <w:jc w:val="both"/>
              <w:rPr>
                <w:szCs w:val="24"/>
              </w:rPr>
            </w:pPr>
            <w:r w:rsidRPr="00D05205">
              <w:rPr>
                <w:szCs w:val="24"/>
              </w:rPr>
              <w:t xml:space="preserve">EM un FM </w:t>
            </w:r>
            <w:r w:rsidR="00136FBB" w:rsidRPr="00D05205">
              <w:rPr>
                <w:szCs w:val="24"/>
              </w:rPr>
              <w:t>ir vienojušās</w:t>
            </w:r>
            <w:r w:rsidRPr="00D05205">
              <w:rPr>
                <w:szCs w:val="24"/>
              </w:rPr>
              <w:t xml:space="preserve">, ka MK noteikumi tiek virzīti tālākai apstiprināšanai un atbalsta intensitātes uzraudzīšana netiks regulēta MK noteikumos, bet </w:t>
            </w:r>
            <w:proofErr w:type="spellStart"/>
            <w:r w:rsidRPr="00D05205">
              <w:rPr>
                <w:szCs w:val="24"/>
              </w:rPr>
              <w:t>Altum</w:t>
            </w:r>
            <w:proofErr w:type="spellEnd"/>
            <w:r w:rsidRPr="00D05205">
              <w:rPr>
                <w:szCs w:val="24"/>
              </w:rPr>
              <w:t xml:space="preserve"> kārtībās par atbalsta izsniegšanu un uzraudzību, saskaņojot to ar </w:t>
            </w:r>
            <w:r w:rsidR="00421544" w:rsidRPr="00D05205">
              <w:rPr>
                <w:szCs w:val="24"/>
              </w:rPr>
              <w:t>EM</w:t>
            </w:r>
            <w:r w:rsidRPr="00D05205">
              <w:rPr>
                <w:szCs w:val="24"/>
              </w:rPr>
              <w:t xml:space="preserve"> un </w:t>
            </w:r>
            <w:r w:rsidR="00421544" w:rsidRPr="00D05205">
              <w:rPr>
                <w:szCs w:val="24"/>
              </w:rPr>
              <w:t>FM</w:t>
            </w:r>
            <w:r w:rsidRPr="00D05205">
              <w:rPr>
                <w:szCs w:val="24"/>
              </w:rPr>
              <w:t>.</w:t>
            </w:r>
          </w:p>
          <w:p w14:paraId="4FB02475" w14:textId="79FC031B" w:rsidR="00607325" w:rsidRPr="005E35E4" w:rsidRDefault="00607325" w:rsidP="003F4B75">
            <w:pPr>
              <w:spacing w:before="120" w:after="120"/>
              <w:jc w:val="both"/>
            </w:pPr>
            <w:r w:rsidRPr="003557BB">
              <w:rPr>
                <w:szCs w:val="24"/>
              </w:rPr>
              <w:t xml:space="preserve">Sākotnēji bija plānots, ka </w:t>
            </w:r>
            <w:proofErr w:type="spellStart"/>
            <w:r w:rsidRPr="003557BB">
              <w:rPr>
                <w:szCs w:val="24"/>
              </w:rPr>
              <w:t>Altum</w:t>
            </w:r>
            <w:proofErr w:type="spellEnd"/>
            <w:r w:rsidRPr="003557BB">
              <w:rPr>
                <w:szCs w:val="24"/>
              </w:rPr>
              <w:t xml:space="preserve"> projekta atlase tiks uzsākta 2015.gada jūlijā</w:t>
            </w:r>
            <w:r w:rsidR="00415C0E" w:rsidRPr="003557BB">
              <w:rPr>
                <w:szCs w:val="24"/>
              </w:rPr>
              <w:t>. Tomēr, ņemot vērā aktuālo situāciju un</w:t>
            </w:r>
            <w:r w:rsidR="003557BB">
              <w:rPr>
                <w:szCs w:val="24"/>
              </w:rPr>
              <w:t xml:space="preserve"> saskaņošanas</w:t>
            </w:r>
            <w:r w:rsidR="00415C0E" w:rsidRPr="003557BB">
              <w:rPr>
                <w:szCs w:val="24"/>
              </w:rPr>
              <w:t xml:space="preserve"> </w:t>
            </w:r>
            <w:r w:rsidR="00C214C4" w:rsidRPr="003557BB">
              <w:rPr>
                <w:szCs w:val="24"/>
              </w:rPr>
              <w:t>s</w:t>
            </w:r>
            <w:r w:rsidR="00415C0E" w:rsidRPr="003557BB">
              <w:rPr>
                <w:szCs w:val="24"/>
              </w:rPr>
              <w:t>tadiju, par</w:t>
            </w:r>
            <w:r w:rsidR="001A67AD" w:rsidRPr="003557BB">
              <w:rPr>
                <w:szCs w:val="24"/>
              </w:rPr>
              <w:t>e</w:t>
            </w:r>
            <w:r w:rsidR="00415C0E" w:rsidRPr="003557BB">
              <w:rPr>
                <w:szCs w:val="24"/>
              </w:rPr>
              <w:t xml:space="preserve">dzams, ka  </w:t>
            </w:r>
            <w:r w:rsidRPr="003168C5">
              <w:rPr>
                <w:szCs w:val="24"/>
              </w:rPr>
              <w:t xml:space="preserve">aizkavēšanās </w:t>
            </w:r>
            <w:r w:rsidR="00415C0E" w:rsidRPr="003168C5">
              <w:rPr>
                <w:szCs w:val="24"/>
              </w:rPr>
              <w:t xml:space="preserve">būs par </w:t>
            </w:r>
            <w:r w:rsidR="00C214C4" w:rsidRPr="003168C5">
              <w:rPr>
                <w:szCs w:val="24"/>
              </w:rPr>
              <w:t>vismaz 8 mēnešiem</w:t>
            </w:r>
            <w:r w:rsidRPr="00DC755D">
              <w:rPr>
                <w:szCs w:val="24"/>
              </w:rPr>
              <w:t>.</w:t>
            </w:r>
            <w:r w:rsidRPr="003A2A60">
              <w:rPr>
                <w:sz w:val="20"/>
                <w:szCs w:val="20"/>
              </w:rPr>
              <w:t xml:space="preserve"> </w:t>
            </w:r>
          </w:p>
        </w:tc>
      </w:tr>
    </w:tbl>
    <w:p w14:paraId="498B6643" w14:textId="29D0325E" w:rsidR="00D8071F" w:rsidRPr="00D65094" w:rsidRDefault="00607325" w:rsidP="00D65094">
      <w:pPr>
        <w:spacing w:before="240" w:after="240"/>
      </w:pPr>
      <w:r>
        <w:lastRenderedPageBreak/>
        <w:t>Tabula</w:t>
      </w:r>
      <w:r w:rsidR="006060BB" w:rsidRPr="00607325">
        <w:t xml:space="preserve"> </w:t>
      </w:r>
      <w:r w:rsidR="006060BB" w:rsidRPr="00001327">
        <w:t>Nr.</w:t>
      </w:r>
      <w:r w:rsidR="00001327" w:rsidRPr="00001327">
        <w:t>5</w:t>
      </w:r>
      <w:r w:rsidR="006060BB" w:rsidRPr="00001327">
        <w:t xml:space="preserve"> </w:t>
      </w:r>
      <w:r w:rsidR="006060BB" w:rsidRPr="00607325">
        <w:rPr>
          <w:i/>
        </w:rPr>
        <w:t xml:space="preserve">“IZM progress </w:t>
      </w:r>
      <w:r w:rsidR="005A7060">
        <w:rPr>
          <w:i/>
        </w:rPr>
        <w:t>uz 2016.gada 20</w:t>
      </w:r>
      <w:r w:rsidR="00416300">
        <w:rPr>
          <w:i/>
        </w:rPr>
        <w:t xml:space="preserve">.janvāri </w:t>
      </w:r>
      <w:r w:rsidR="006060BB" w:rsidRPr="00607325">
        <w:rPr>
          <w:i/>
        </w:rPr>
        <w:t xml:space="preserve">SAM ieviešanā” </w:t>
      </w:r>
    </w:p>
    <w:tbl>
      <w:tblPr>
        <w:tblW w:w="8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1126"/>
        <w:gridCol w:w="3828"/>
        <w:gridCol w:w="850"/>
        <w:gridCol w:w="1276"/>
        <w:gridCol w:w="1701"/>
      </w:tblGrid>
      <w:tr w:rsidR="00607325" w:rsidRPr="008C752B" w14:paraId="3BF6FA6B" w14:textId="77777777" w:rsidTr="009E5ED9">
        <w:trPr>
          <w:trHeight w:val="283"/>
        </w:trPr>
        <w:tc>
          <w:tcPr>
            <w:tcW w:w="8781" w:type="dxa"/>
            <w:gridSpan w:val="5"/>
            <w:shd w:val="clear" w:color="auto" w:fill="auto"/>
            <w:tcMar>
              <w:top w:w="15" w:type="dxa"/>
              <w:left w:w="15" w:type="dxa"/>
              <w:bottom w:w="0" w:type="dxa"/>
              <w:right w:w="15" w:type="dxa"/>
            </w:tcMar>
            <w:vAlign w:val="center"/>
          </w:tcPr>
          <w:p w14:paraId="7A30C4B3" w14:textId="77777777" w:rsidR="00607325" w:rsidRPr="008C752B" w:rsidRDefault="00607325" w:rsidP="00E53D9B">
            <w:pPr>
              <w:rPr>
                <w:b/>
                <w:bCs/>
              </w:rPr>
            </w:pPr>
            <w:r w:rsidRPr="008C752B">
              <w:rPr>
                <w:b/>
                <w:bCs/>
              </w:rPr>
              <w:t>IZM SAM/pasākumu ieviešanas statuss</w:t>
            </w:r>
          </w:p>
        </w:tc>
      </w:tr>
      <w:tr w:rsidR="00607325" w:rsidRPr="008C752B" w14:paraId="054DE515" w14:textId="77777777" w:rsidTr="009E5ED9">
        <w:trPr>
          <w:trHeight w:val="283"/>
        </w:trPr>
        <w:tc>
          <w:tcPr>
            <w:tcW w:w="4954" w:type="dxa"/>
            <w:gridSpan w:val="2"/>
            <w:shd w:val="clear" w:color="auto" w:fill="auto"/>
            <w:tcMar>
              <w:top w:w="15" w:type="dxa"/>
              <w:left w:w="15" w:type="dxa"/>
              <w:bottom w:w="0" w:type="dxa"/>
              <w:right w:w="15" w:type="dxa"/>
            </w:tcMar>
            <w:vAlign w:val="center"/>
            <w:hideMark/>
          </w:tcPr>
          <w:p w14:paraId="0CF1AA39" w14:textId="77777777" w:rsidR="00607325" w:rsidRPr="008C752B" w:rsidRDefault="00607325" w:rsidP="00E53D9B">
            <w:r w:rsidRPr="008C752B">
              <w:t>SAM/pasākumu kopējais skaits</w:t>
            </w:r>
          </w:p>
        </w:tc>
        <w:tc>
          <w:tcPr>
            <w:tcW w:w="3827" w:type="dxa"/>
            <w:gridSpan w:val="3"/>
            <w:shd w:val="clear" w:color="auto" w:fill="auto"/>
            <w:tcMar>
              <w:top w:w="15" w:type="dxa"/>
              <w:left w:w="15" w:type="dxa"/>
              <w:bottom w:w="0" w:type="dxa"/>
              <w:right w:w="15" w:type="dxa"/>
            </w:tcMar>
            <w:vAlign w:val="center"/>
            <w:hideMark/>
          </w:tcPr>
          <w:p w14:paraId="2E1C0DE5" w14:textId="77777777" w:rsidR="00607325" w:rsidRPr="003E3ABF" w:rsidRDefault="00607325" w:rsidP="00E53D9B">
            <w:pPr>
              <w:rPr>
                <w:b/>
                <w:bCs/>
              </w:rPr>
            </w:pPr>
            <w:r w:rsidRPr="008C752B">
              <w:rPr>
                <w:b/>
                <w:bCs/>
              </w:rPr>
              <w:t>28</w:t>
            </w:r>
          </w:p>
        </w:tc>
      </w:tr>
      <w:tr w:rsidR="00607325" w:rsidRPr="008C752B" w14:paraId="4B9D5298" w14:textId="77777777" w:rsidTr="009E5ED9">
        <w:trPr>
          <w:trHeight w:val="283"/>
        </w:trPr>
        <w:tc>
          <w:tcPr>
            <w:tcW w:w="4954" w:type="dxa"/>
            <w:gridSpan w:val="2"/>
            <w:shd w:val="clear" w:color="auto" w:fill="auto"/>
            <w:tcMar>
              <w:top w:w="15" w:type="dxa"/>
              <w:left w:w="15" w:type="dxa"/>
              <w:bottom w:w="0" w:type="dxa"/>
              <w:right w:w="15" w:type="dxa"/>
            </w:tcMar>
            <w:vAlign w:val="center"/>
            <w:hideMark/>
          </w:tcPr>
          <w:p w14:paraId="185A16C5" w14:textId="77777777" w:rsidR="00607325" w:rsidRPr="008C752B" w:rsidRDefault="00607325" w:rsidP="00E53D9B">
            <w:r w:rsidRPr="008C752B">
              <w:t xml:space="preserve">SAM kopējais KP finansējums, </w:t>
            </w:r>
            <w:r w:rsidRPr="00D676B6">
              <w:rPr>
                <w:i/>
              </w:rPr>
              <w:t xml:space="preserve">euro </w:t>
            </w:r>
          </w:p>
        </w:tc>
        <w:tc>
          <w:tcPr>
            <w:tcW w:w="3827" w:type="dxa"/>
            <w:gridSpan w:val="3"/>
            <w:shd w:val="clear" w:color="auto" w:fill="auto"/>
            <w:tcMar>
              <w:top w:w="15" w:type="dxa"/>
              <w:left w:w="15" w:type="dxa"/>
              <w:bottom w:w="0" w:type="dxa"/>
              <w:right w:w="15" w:type="dxa"/>
            </w:tcMar>
            <w:vAlign w:val="center"/>
            <w:hideMark/>
          </w:tcPr>
          <w:p w14:paraId="532849A0" w14:textId="2183EB3B" w:rsidR="00607325" w:rsidRPr="003F4B75" w:rsidRDefault="00BE790F" w:rsidP="00DA044A">
            <w:pPr>
              <w:rPr>
                <w:b/>
                <w:bCs/>
                <w:color w:val="000000"/>
              </w:rPr>
            </w:pPr>
            <w:r>
              <w:rPr>
                <w:b/>
                <w:bCs/>
                <w:color w:val="000000"/>
              </w:rPr>
              <w:t>784 208 468</w:t>
            </w:r>
          </w:p>
        </w:tc>
      </w:tr>
      <w:tr w:rsidR="00607325" w:rsidRPr="008C752B" w14:paraId="104D5E80" w14:textId="77777777" w:rsidTr="009E5ED9">
        <w:trPr>
          <w:trHeight w:val="318"/>
        </w:trPr>
        <w:tc>
          <w:tcPr>
            <w:tcW w:w="4954" w:type="dxa"/>
            <w:gridSpan w:val="2"/>
            <w:shd w:val="clear" w:color="auto" w:fill="auto"/>
            <w:tcMar>
              <w:top w:w="15" w:type="dxa"/>
              <w:left w:w="15" w:type="dxa"/>
              <w:bottom w:w="0" w:type="dxa"/>
              <w:right w:w="15" w:type="dxa"/>
            </w:tcMar>
            <w:vAlign w:val="center"/>
            <w:hideMark/>
          </w:tcPr>
          <w:p w14:paraId="6D767864" w14:textId="77777777" w:rsidR="00607325" w:rsidRPr="008C752B" w:rsidRDefault="00607325" w:rsidP="00E53D9B">
            <w:r w:rsidRPr="008C752B">
              <w:t>Statuss</w:t>
            </w:r>
          </w:p>
        </w:tc>
        <w:tc>
          <w:tcPr>
            <w:tcW w:w="850" w:type="dxa"/>
            <w:shd w:val="clear" w:color="auto" w:fill="FF9999"/>
            <w:tcMar>
              <w:top w:w="15" w:type="dxa"/>
              <w:left w:w="15" w:type="dxa"/>
              <w:bottom w:w="0" w:type="dxa"/>
              <w:right w:w="15" w:type="dxa"/>
            </w:tcMar>
            <w:vAlign w:val="center"/>
            <w:hideMark/>
          </w:tcPr>
          <w:p w14:paraId="74F59919" w14:textId="77777777" w:rsidR="00607325" w:rsidRPr="008C752B" w:rsidRDefault="00607325" w:rsidP="0003117C">
            <w:pPr>
              <w:jc w:val="center"/>
            </w:pPr>
            <w:r w:rsidRPr="008C752B">
              <w:t>Kavēts</w:t>
            </w:r>
          </w:p>
        </w:tc>
        <w:tc>
          <w:tcPr>
            <w:tcW w:w="1276" w:type="dxa"/>
            <w:shd w:val="clear" w:color="auto" w:fill="auto"/>
            <w:tcMar>
              <w:top w:w="15" w:type="dxa"/>
              <w:left w:w="15" w:type="dxa"/>
              <w:bottom w:w="0" w:type="dxa"/>
              <w:right w:w="15" w:type="dxa"/>
            </w:tcMar>
            <w:vAlign w:val="center"/>
            <w:hideMark/>
          </w:tcPr>
          <w:p w14:paraId="0CFF4F31" w14:textId="2E8F62CE" w:rsidR="00607325" w:rsidRPr="008C752B" w:rsidRDefault="00607325" w:rsidP="0003117C">
            <w:pPr>
              <w:jc w:val="center"/>
            </w:pPr>
            <w:r w:rsidRPr="008C752B">
              <w:t>Izpildīts</w:t>
            </w:r>
          </w:p>
        </w:tc>
        <w:tc>
          <w:tcPr>
            <w:tcW w:w="1701" w:type="dxa"/>
            <w:shd w:val="clear" w:color="auto" w:fill="auto"/>
            <w:tcMar>
              <w:top w:w="15" w:type="dxa"/>
              <w:left w:w="15" w:type="dxa"/>
              <w:bottom w:w="0" w:type="dxa"/>
              <w:right w:w="15" w:type="dxa"/>
            </w:tcMar>
            <w:vAlign w:val="center"/>
            <w:hideMark/>
          </w:tcPr>
          <w:p w14:paraId="398DCF10" w14:textId="77777777" w:rsidR="00607325" w:rsidRPr="008C752B" w:rsidRDefault="00607325" w:rsidP="0003117C">
            <w:pPr>
              <w:jc w:val="center"/>
            </w:pPr>
            <w:r w:rsidRPr="008C752B">
              <w:t>Nav pienācis</w:t>
            </w:r>
          </w:p>
        </w:tc>
      </w:tr>
      <w:tr w:rsidR="00607325" w:rsidRPr="008C752B" w14:paraId="3EF0FD70" w14:textId="77777777" w:rsidTr="009E5ED9">
        <w:trPr>
          <w:trHeight w:val="170"/>
        </w:trPr>
        <w:tc>
          <w:tcPr>
            <w:tcW w:w="1126" w:type="dxa"/>
            <w:vMerge w:val="restart"/>
            <w:shd w:val="clear" w:color="auto" w:fill="auto"/>
            <w:tcMar>
              <w:top w:w="15" w:type="dxa"/>
              <w:left w:w="15" w:type="dxa"/>
              <w:bottom w:w="0" w:type="dxa"/>
              <w:right w:w="15" w:type="dxa"/>
            </w:tcMar>
            <w:vAlign w:val="center"/>
            <w:hideMark/>
          </w:tcPr>
          <w:p w14:paraId="032F0522" w14:textId="2919B039" w:rsidR="00607325" w:rsidRPr="008C752B" w:rsidRDefault="00607325" w:rsidP="00E53D9B">
            <w:r w:rsidRPr="008C752B">
              <w:t>SAM/</w:t>
            </w:r>
            <w:r w:rsidR="00D676B6">
              <w:t xml:space="preserve"> </w:t>
            </w:r>
            <w:r w:rsidRPr="008C752B">
              <w:t>pasākumu skaits</w:t>
            </w:r>
          </w:p>
        </w:tc>
        <w:tc>
          <w:tcPr>
            <w:tcW w:w="3828" w:type="dxa"/>
            <w:shd w:val="clear" w:color="auto" w:fill="auto"/>
            <w:tcMar>
              <w:top w:w="15" w:type="dxa"/>
              <w:left w:w="15" w:type="dxa"/>
              <w:bottom w:w="0" w:type="dxa"/>
              <w:right w:w="15" w:type="dxa"/>
            </w:tcMar>
            <w:vAlign w:val="center"/>
            <w:hideMark/>
          </w:tcPr>
          <w:p w14:paraId="3DE49868" w14:textId="77777777" w:rsidR="00607325" w:rsidRPr="008C752B" w:rsidRDefault="00607325" w:rsidP="00E53D9B">
            <w:r w:rsidRPr="008C752B">
              <w:t xml:space="preserve">Sākotnējā novērtējuma iesniegšana </w:t>
            </w:r>
          </w:p>
        </w:tc>
        <w:tc>
          <w:tcPr>
            <w:tcW w:w="850" w:type="dxa"/>
            <w:shd w:val="clear" w:color="auto" w:fill="FF9999"/>
            <w:tcMar>
              <w:top w:w="15" w:type="dxa"/>
              <w:left w:w="15" w:type="dxa"/>
              <w:bottom w:w="0" w:type="dxa"/>
              <w:right w:w="15" w:type="dxa"/>
            </w:tcMar>
            <w:vAlign w:val="center"/>
            <w:hideMark/>
          </w:tcPr>
          <w:p w14:paraId="05B7AA53" w14:textId="77777777" w:rsidR="00607325" w:rsidRPr="008C752B" w:rsidRDefault="00607325" w:rsidP="0003117C">
            <w:pPr>
              <w:jc w:val="center"/>
            </w:pPr>
            <w:r>
              <w:t>13</w:t>
            </w:r>
          </w:p>
        </w:tc>
        <w:tc>
          <w:tcPr>
            <w:tcW w:w="1276" w:type="dxa"/>
            <w:shd w:val="clear" w:color="auto" w:fill="auto"/>
            <w:tcMar>
              <w:top w:w="15" w:type="dxa"/>
              <w:left w:w="15" w:type="dxa"/>
              <w:bottom w:w="0" w:type="dxa"/>
              <w:right w:w="15" w:type="dxa"/>
            </w:tcMar>
            <w:vAlign w:val="center"/>
            <w:hideMark/>
          </w:tcPr>
          <w:p w14:paraId="720DE2C7" w14:textId="77777777" w:rsidR="00607325" w:rsidRPr="008C752B" w:rsidRDefault="00607325" w:rsidP="0003117C">
            <w:pPr>
              <w:jc w:val="center"/>
            </w:pPr>
            <w:r>
              <w:t>12</w:t>
            </w:r>
          </w:p>
        </w:tc>
        <w:tc>
          <w:tcPr>
            <w:tcW w:w="1701" w:type="dxa"/>
            <w:shd w:val="clear" w:color="auto" w:fill="auto"/>
            <w:tcMar>
              <w:top w:w="15" w:type="dxa"/>
              <w:left w:w="15" w:type="dxa"/>
              <w:bottom w:w="0" w:type="dxa"/>
              <w:right w:w="15" w:type="dxa"/>
            </w:tcMar>
            <w:vAlign w:val="center"/>
            <w:hideMark/>
          </w:tcPr>
          <w:p w14:paraId="19C1E814" w14:textId="77777777" w:rsidR="00607325" w:rsidRPr="008C752B" w:rsidRDefault="00607325" w:rsidP="0003117C">
            <w:pPr>
              <w:jc w:val="center"/>
            </w:pPr>
            <w:r>
              <w:t>3</w:t>
            </w:r>
          </w:p>
        </w:tc>
      </w:tr>
      <w:tr w:rsidR="00607325" w:rsidRPr="008C752B" w14:paraId="18B6EA83" w14:textId="77777777" w:rsidTr="009E5ED9">
        <w:trPr>
          <w:trHeight w:val="170"/>
        </w:trPr>
        <w:tc>
          <w:tcPr>
            <w:tcW w:w="1126" w:type="dxa"/>
            <w:vMerge/>
            <w:vAlign w:val="center"/>
            <w:hideMark/>
          </w:tcPr>
          <w:p w14:paraId="3E37980A" w14:textId="77777777" w:rsidR="00607325" w:rsidRPr="008C752B" w:rsidRDefault="00607325" w:rsidP="00E53D9B"/>
        </w:tc>
        <w:tc>
          <w:tcPr>
            <w:tcW w:w="3828" w:type="dxa"/>
            <w:shd w:val="clear" w:color="auto" w:fill="auto"/>
            <w:tcMar>
              <w:top w:w="15" w:type="dxa"/>
              <w:left w:w="15" w:type="dxa"/>
              <w:bottom w:w="0" w:type="dxa"/>
              <w:right w:w="15" w:type="dxa"/>
            </w:tcMar>
            <w:vAlign w:val="center"/>
            <w:hideMark/>
          </w:tcPr>
          <w:p w14:paraId="75D0961D" w14:textId="77777777" w:rsidR="00607325" w:rsidRPr="008C752B" w:rsidRDefault="00607325" w:rsidP="00E53D9B">
            <w:r w:rsidRPr="008C752B">
              <w:t>Kritēriji iesniegti AK</w:t>
            </w:r>
          </w:p>
        </w:tc>
        <w:tc>
          <w:tcPr>
            <w:tcW w:w="850" w:type="dxa"/>
            <w:shd w:val="clear" w:color="auto" w:fill="FF9999"/>
            <w:tcMar>
              <w:top w:w="15" w:type="dxa"/>
              <w:left w:w="15" w:type="dxa"/>
              <w:bottom w:w="0" w:type="dxa"/>
              <w:right w:w="15" w:type="dxa"/>
            </w:tcMar>
            <w:vAlign w:val="center"/>
            <w:hideMark/>
          </w:tcPr>
          <w:p w14:paraId="5E1BD89C" w14:textId="77777777" w:rsidR="00607325" w:rsidRPr="008C752B" w:rsidRDefault="00607325" w:rsidP="0003117C">
            <w:pPr>
              <w:jc w:val="center"/>
            </w:pPr>
            <w:r>
              <w:t>12</w:t>
            </w:r>
          </w:p>
        </w:tc>
        <w:tc>
          <w:tcPr>
            <w:tcW w:w="1276" w:type="dxa"/>
            <w:shd w:val="clear" w:color="auto" w:fill="auto"/>
            <w:tcMar>
              <w:top w:w="15" w:type="dxa"/>
              <w:left w:w="15" w:type="dxa"/>
              <w:bottom w:w="0" w:type="dxa"/>
              <w:right w:w="15" w:type="dxa"/>
            </w:tcMar>
            <w:vAlign w:val="center"/>
            <w:hideMark/>
          </w:tcPr>
          <w:p w14:paraId="6D51BF19" w14:textId="77777777" w:rsidR="00607325" w:rsidRPr="008C752B" w:rsidRDefault="00607325" w:rsidP="0003117C">
            <w:pPr>
              <w:jc w:val="center"/>
            </w:pPr>
            <w:r>
              <w:t>12</w:t>
            </w:r>
          </w:p>
        </w:tc>
        <w:tc>
          <w:tcPr>
            <w:tcW w:w="1701" w:type="dxa"/>
            <w:shd w:val="clear" w:color="auto" w:fill="auto"/>
            <w:tcMar>
              <w:top w:w="15" w:type="dxa"/>
              <w:left w:w="15" w:type="dxa"/>
              <w:bottom w:w="0" w:type="dxa"/>
              <w:right w:w="15" w:type="dxa"/>
            </w:tcMar>
            <w:vAlign w:val="center"/>
            <w:hideMark/>
          </w:tcPr>
          <w:p w14:paraId="741D0788" w14:textId="77777777" w:rsidR="00607325" w:rsidRPr="008C752B" w:rsidRDefault="00607325" w:rsidP="0003117C">
            <w:pPr>
              <w:jc w:val="center"/>
            </w:pPr>
            <w:r>
              <w:t>4</w:t>
            </w:r>
          </w:p>
        </w:tc>
      </w:tr>
      <w:tr w:rsidR="00607325" w:rsidRPr="008C752B" w14:paraId="63539082" w14:textId="77777777" w:rsidTr="009E5ED9">
        <w:trPr>
          <w:trHeight w:val="170"/>
        </w:trPr>
        <w:tc>
          <w:tcPr>
            <w:tcW w:w="1126" w:type="dxa"/>
            <w:vMerge/>
            <w:vAlign w:val="center"/>
            <w:hideMark/>
          </w:tcPr>
          <w:p w14:paraId="3C4F720A" w14:textId="77777777" w:rsidR="00607325" w:rsidRPr="008C752B" w:rsidRDefault="00607325" w:rsidP="00E53D9B"/>
        </w:tc>
        <w:tc>
          <w:tcPr>
            <w:tcW w:w="3828" w:type="dxa"/>
            <w:shd w:val="clear" w:color="auto" w:fill="auto"/>
            <w:tcMar>
              <w:top w:w="15" w:type="dxa"/>
              <w:left w:w="15" w:type="dxa"/>
              <w:bottom w:w="0" w:type="dxa"/>
              <w:right w:w="15" w:type="dxa"/>
            </w:tcMar>
            <w:vAlign w:val="center"/>
            <w:hideMark/>
          </w:tcPr>
          <w:p w14:paraId="4ED6CA4A" w14:textId="77777777" w:rsidR="00607325" w:rsidRPr="008C752B" w:rsidRDefault="00607325" w:rsidP="00E53D9B">
            <w:r w:rsidRPr="008C752B">
              <w:t>MK noteikumu izsludināti VSS</w:t>
            </w:r>
          </w:p>
        </w:tc>
        <w:tc>
          <w:tcPr>
            <w:tcW w:w="850" w:type="dxa"/>
            <w:shd w:val="clear" w:color="auto" w:fill="FF9999"/>
            <w:tcMar>
              <w:top w:w="15" w:type="dxa"/>
              <w:left w:w="15" w:type="dxa"/>
              <w:bottom w:w="0" w:type="dxa"/>
              <w:right w:w="15" w:type="dxa"/>
            </w:tcMar>
            <w:vAlign w:val="center"/>
            <w:hideMark/>
          </w:tcPr>
          <w:p w14:paraId="211B5EDD" w14:textId="5CE40568" w:rsidR="00607325" w:rsidRPr="008C752B" w:rsidRDefault="00C45DBC" w:rsidP="0003117C">
            <w:pPr>
              <w:jc w:val="center"/>
            </w:pPr>
            <w:r>
              <w:t>6</w:t>
            </w:r>
          </w:p>
        </w:tc>
        <w:tc>
          <w:tcPr>
            <w:tcW w:w="1276" w:type="dxa"/>
            <w:shd w:val="clear" w:color="auto" w:fill="auto"/>
            <w:tcMar>
              <w:top w:w="15" w:type="dxa"/>
              <w:left w:w="15" w:type="dxa"/>
              <w:bottom w:w="0" w:type="dxa"/>
              <w:right w:w="15" w:type="dxa"/>
            </w:tcMar>
            <w:vAlign w:val="center"/>
            <w:hideMark/>
          </w:tcPr>
          <w:p w14:paraId="3212FFEE" w14:textId="32B051DB" w:rsidR="00607325" w:rsidRPr="008C752B" w:rsidRDefault="00C45DBC" w:rsidP="0003117C">
            <w:pPr>
              <w:jc w:val="center"/>
            </w:pPr>
            <w:r>
              <w:t>12</w:t>
            </w:r>
          </w:p>
        </w:tc>
        <w:tc>
          <w:tcPr>
            <w:tcW w:w="1701" w:type="dxa"/>
            <w:shd w:val="clear" w:color="auto" w:fill="auto"/>
            <w:tcMar>
              <w:top w:w="15" w:type="dxa"/>
              <w:left w:w="15" w:type="dxa"/>
              <w:bottom w:w="0" w:type="dxa"/>
              <w:right w:w="15" w:type="dxa"/>
            </w:tcMar>
            <w:vAlign w:val="center"/>
            <w:hideMark/>
          </w:tcPr>
          <w:p w14:paraId="451C2210" w14:textId="0AB0D277" w:rsidR="00607325" w:rsidRPr="008C752B" w:rsidRDefault="00607325" w:rsidP="0003117C">
            <w:pPr>
              <w:jc w:val="center"/>
            </w:pPr>
            <w:r>
              <w:t>10</w:t>
            </w:r>
          </w:p>
        </w:tc>
      </w:tr>
      <w:tr w:rsidR="00607325" w:rsidRPr="008C752B" w14:paraId="07845262" w14:textId="77777777" w:rsidTr="009E5ED9">
        <w:trPr>
          <w:trHeight w:val="170"/>
        </w:trPr>
        <w:tc>
          <w:tcPr>
            <w:tcW w:w="1126" w:type="dxa"/>
            <w:vMerge/>
            <w:vAlign w:val="center"/>
            <w:hideMark/>
          </w:tcPr>
          <w:p w14:paraId="17DBBD1F" w14:textId="77777777" w:rsidR="00607325" w:rsidRPr="008C752B" w:rsidRDefault="00607325" w:rsidP="00E53D9B"/>
        </w:tc>
        <w:tc>
          <w:tcPr>
            <w:tcW w:w="3828" w:type="dxa"/>
            <w:shd w:val="clear" w:color="auto" w:fill="auto"/>
            <w:tcMar>
              <w:top w:w="15" w:type="dxa"/>
              <w:left w:w="15" w:type="dxa"/>
              <w:bottom w:w="0" w:type="dxa"/>
              <w:right w:w="15" w:type="dxa"/>
            </w:tcMar>
            <w:vAlign w:val="center"/>
            <w:hideMark/>
          </w:tcPr>
          <w:p w14:paraId="63F30555" w14:textId="77777777" w:rsidR="00607325" w:rsidRPr="008C752B" w:rsidRDefault="00607325" w:rsidP="00E53D9B">
            <w:r w:rsidRPr="008C752B">
              <w:t>MK noteikumu apstiprināšana MK</w:t>
            </w:r>
          </w:p>
        </w:tc>
        <w:tc>
          <w:tcPr>
            <w:tcW w:w="850" w:type="dxa"/>
            <w:shd w:val="clear" w:color="auto" w:fill="FF9999"/>
            <w:tcMar>
              <w:top w:w="15" w:type="dxa"/>
              <w:left w:w="15" w:type="dxa"/>
              <w:bottom w:w="0" w:type="dxa"/>
              <w:right w:w="15" w:type="dxa"/>
            </w:tcMar>
            <w:vAlign w:val="center"/>
            <w:hideMark/>
          </w:tcPr>
          <w:p w14:paraId="7D207B1F" w14:textId="314107B1" w:rsidR="00607325" w:rsidRPr="008C752B" w:rsidRDefault="00C45DBC" w:rsidP="0003117C">
            <w:pPr>
              <w:jc w:val="center"/>
            </w:pPr>
            <w:r>
              <w:t>4</w:t>
            </w:r>
          </w:p>
        </w:tc>
        <w:tc>
          <w:tcPr>
            <w:tcW w:w="1276" w:type="dxa"/>
            <w:shd w:val="clear" w:color="auto" w:fill="auto"/>
            <w:tcMar>
              <w:top w:w="15" w:type="dxa"/>
              <w:left w:w="15" w:type="dxa"/>
              <w:bottom w:w="0" w:type="dxa"/>
              <w:right w:w="15" w:type="dxa"/>
            </w:tcMar>
            <w:vAlign w:val="center"/>
            <w:hideMark/>
          </w:tcPr>
          <w:p w14:paraId="62204E05" w14:textId="26D0CF91" w:rsidR="00607325" w:rsidRPr="008C752B" w:rsidRDefault="00C45DBC" w:rsidP="0003117C">
            <w:pPr>
              <w:jc w:val="center"/>
            </w:pPr>
            <w:r>
              <w:t>5</w:t>
            </w:r>
          </w:p>
        </w:tc>
        <w:tc>
          <w:tcPr>
            <w:tcW w:w="1701" w:type="dxa"/>
            <w:shd w:val="clear" w:color="auto" w:fill="auto"/>
            <w:tcMar>
              <w:top w:w="15" w:type="dxa"/>
              <w:left w:w="15" w:type="dxa"/>
              <w:bottom w:w="0" w:type="dxa"/>
              <w:right w:w="15" w:type="dxa"/>
            </w:tcMar>
            <w:vAlign w:val="center"/>
            <w:hideMark/>
          </w:tcPr>
          <w:p w14:paraId="0BB70696" w14:textId="1F0DA9EF" w:rsidR="00607325" w:rsidRPr="008C752B" w:rsidRDefault="00607325" w:rsidP="0003117C">
            <w:pPr>
              <w:jc w:val="center"/>
            </w:pPr>
            <w:r>
              <w:t>19</w:t>
            </w:r>
          </w:p>
        </w:tc>
      </w:tr>
      <w:tr w:rsidR="00607325" w:rsidRPr="008C752B" w14:paraId="02FA81D6" w14:textId="77777777" w:rsidTr="009E5ED9">
        <w:trPr>
          <w:trHeight w:val="170"/>
        </w:trPr>
        <w:tc>
          <w:tcPr>
            <w:tcW w:w="1126" w:type="dxa"/>
            <w:vMerge/>
            <w:vAlign w:val="center"/>
            <w:hideMark/>
          </w:tcPr>
          <w:p w14:paraId="7A591B51" w14:textId="77777777" w:rsidR="00607325" w:rsidRPr="008C752B" w:rsidRDefault="00607325" w:rsidP="00E53D9B"/>
        </w:tc>
        <w:tc>
          <w:tcPr>
            <w:tcW w:w="3828" w:type="dxa"/>
            <w:shd w:val="clear" w:color="auto" w:fill="auto"/>
            <w:tcMar>
              <w:top w:w="15" w:type="dxa"/>
              <w:left w:w="15" w:type="dxa"/>
              <w:bottom w:w="0" w:type="dxa"/>
              <w:right w:w="15" w:type="dxa"/>
            </w:tcMar>
            <w:vAlign w:val="center"/>
            <w:hideMark/>
          </w:tcPr>
          <w:p w14:paraId="4779E896" w14:textId="77777777" w:rsidR="00607325" w:rsidRPr="008C752B" w:rsidRDefault="00607325" w:rsidP="00E53D9B">
            <w:r w:rsidRPr="008C752B">
              <w:t>Uzsākta atlase</w:t>
            </w:r>
          </w:p>
        </w:tc>
        <w:tc>
          <w:tcPr>
            <w:tcW w:w="850" w:type="dxa"/>
            <w:shd w:val="clear" w:color="auto" w:fill="FF9999"/>
            <w:tcMar>
              <w:top w:w="15" w:type="dxa"/>
              <w:left w:w="15" w:type="dxa"/>
              <w:bottom w:w="0" w:type="dxa"/>
              <w:right w:w="15" w:type="dxa"/>
            </w:tcMar>
            <w:vAlign w:val="center"/>
            <w:hideMark/>
          </w:tcPr>
          <w:p w14:paraId="2ADCAD91" w14:textId="77777777" w:rsidR="00607325" w:rsidRPr="008C752B" w:rsidRDefault="00607325" w:rsidP="0003117C">
            <w:pPr>
              <w:jc w:val="center"/>
            </w:pPr>
            <w:r>
              <w:t>7</w:t>
            </w:r>
          </w:p>
        </w:tc>
        <w:tc>
          <w:tcPr>
            <w:tcW w:w="1276" w:type="dxa"/>
            <w:shd w:val="clear" w:color="auto" w:fill="auto"/>
            <w:tcMar>
              <w:top w:w="15" w:type="dxa"/>
              <w:left w:w="15" w:type="dxa"/>
              <w:bottom w:w="0" w:type="dxa"/>
              <w:right w:w="15" w:type="dxa"/>
            </w:tcMar>
            <w:vAlign w:val="center"/>
            <w:hideMark/>
          </w:tcPr>
          <w:p w14:paraId="6EFB5CCE" w14:textId="6A3D0B77" w:rsidR="00607325" w:rsidRPr="008C752B" w:rsidRDefault="00607325" w:rsidP="0003117C">
            <w:pPr>
              <w:jc w:val="center"/>
            </w:pPr>
            <w:r w:rsidRPr="008C752B">
              <w:t>2</w:t>
            </w:r>
          </w:p>
        </w:tc>
        <w:tc>
          <w:tcPr>
            <w:tcW w:w="1701" w:type="dxa"/>
            <w:shd w:val="clear" w:color="auto" w:fill="auto"/>
            <w:tcMar>
              <w:top w:w="15" w:type="dxa"/>
              <w:left w:w="15" w:type="dxa"/>
              <w:bottom w:w="0" w:type="dxa"/>
              <w:right w:w="15" w:type="dxa"/>
            </w:tcMar>
            <w:vAlign w:val="center"/>
            <w:hideMark/>
          </w:tcPr>
          <w:p w14:paraId="533DBFF8" w14:textId="2971FF62" w:rsidR="00607325" w:rsidRPr="008C752B" w:rsidRDefault="00607325" w:rsidP="0003117C">
            <w:pPr>
              <w:jc w:val="center"/>
            </w:pPr>
            <w:r>
              <w:t>19</w:t>
            </w:r>
          </w:p>
        </w:tc>
      </w:tr>
      <w:tr w:rsidR="00607325" w:rsidRPr="008C752B" w14:paraId="529C25C3" w14:textId="77777777" w:rsidTr="009E5ED9">
        <w:trPr>
          <w:trHeight w:val="170"/>
        </w:trPr>
        <w:tc>
          <w:tcPr>
            <w:tcW w:w="1126" w:type="dxa"/>
            <w:vMerge/>
            <w:vAlign w:val="center"/>
            <w:hideMark/>
          </w:tcPr>
          <w:p w14:paraId="5F53A211" w14:textId="77777777" w:rsidR="00607325" w:rsidRPr="008C752B" w:rsidRDefault="00607325" w:rsidP="00E53D9B"/>
        </w:tc>
        <w:tc>
          <w:tcPr>
            <w:tcW w:w="3828" w:type="dxa"/>
            <w:shd w:val="clear" w:color="auto" w:fill="auto"/>
            <w:tcMar>
              <w:top w:w="15" w:type="dxa"/>
              <w:left w:w="15" w:type="dxa"/>
              <w:bottom w:w="0" w:type="dxa"/>
              <w:right w:w="15" w:type="dxa"/>
            </w:tcMar>
            <w:vAlign w:val="center"/>
            <w:hideMark/>
          </w:tcPr>
          <w:p w14:paraId="267D5047" w14:textId="77777777" w:rsidR="00607325" w:rsidRPr="008C752B" w:rsidRDefault="00607325" w:rsidP="00E53D9B">
            <w:r w:rsidRPr="008C752B">
              <w:t>Noslēgti līgumi</w:t>
            </w:r>
          </w:p>
        </w:tc>
        <w:tc>
          <w:tcPr>
            <w:tcW w:w="850" w:type="dxa"/>
            <w:shd w:val="clear" w:color="auto" w:fill="auto"/>
            <w:tcMar>
              <w:top w:w="15" w:type="dxa"/>
              <w:left w:w="15" w:type="dxa"/>
              <w:bottom w:w="0" w:type="dxa"/>
              <w:right w:w="15" w:type="dxa"/>
            </w:tcMar>
            <w:vAlign w:val="center"/>
            <w:hideMark/>
          </w:tcPr>
          <w:p w14:paraId="307D8611" w14:textId="4607CE91" w:rsidR="00607325" w:rsidRPr="008C752B" w:rsidRDefault="0003117C" w:rsidP="0003117C">
            <w:pPr>
              <w:jc w:val="center"/>
            </w:pPr>
            <w:r>
              <w:t>-</w:t>
            </w:r>
          </w:p>
        </w:tc>
        <w:tc>
          <w:tcPr>
            <w:tcW w:w="1276" w:type="dxa"/>
            <w:shd w:val="clear" w:color="auto" w:fill="auto"/>
            <w:tcMar>
              <w:top w:w="15" w:type="dxa"/>
              <w:left w:w="15" w:type="dxa"/>
              <w:bottom w:w="0" w:type="dxa"/>
              <w:right w:w="15" w:type="dxa"/>
            </w:tcMar>
            <w:vAlign w:val="center"/>
            <w:hideMark/>
          </w:tcPr>
          <w:p w14:paraId="5A8CFE96" w14:textId="36C53179" w:rsidR="00607325" w:rsidRPr="008C752B" w:rsidRDefault="00607325" w:rsidP="0003117C">
            <w:pPr>
              <w:jc w:val="center"/>
            </w:pPr>
            <w:r>
              <w:t>1</w:t>
            </w:r>
          </w:p>
        </w:tc>
        <w:tc>
          <w:tcPr>
            <w:tcW w:w="1701" w:type="dxa"/>
            <w:shd w:val="clear" w:color="auto" w:fill="auto"/>
            <w:tcMar>
              <w:top w:w="15" w:type="dxa"/>
              <w:left w:w="15" w:type="dxa"/>
              <w:bottom w:w="0" w:type="dxa"/>
              <w:right w:w="15" w:type="dxa"/>
            </w:tcMar>
            <w:vAlign w:val="center"/>
            <w:hideMark/>
          </w:tcPr>
          <w:p w14:paraId="66B1EB48" w14:textId="348C61D3" w:rsidR="00607325" w:rsidRPr="008C752B" w:rsidRDefault="0003117C" w:rsidP="0003117C">
            <w:pPr>
              <w:jc w:val="center"/>
            </w:pPr>
            <w:r>
              <w:t>-</w:t>
            </w:r>
          </w:p>
        </w:tc>
      </w:tr>
      <w:tr w:rsidR="00607325" w:rsidRPr="008C752B" w14:paraId="3C154806" w14:textId="77777777" w:rsidTr="009E5ED9">
        <w:trPr>
          <w:trHeight w:val="597"/>
        </w:trPr>
        <w:tc>
          <w:tcPr>
            <w:tcW w:w="1126" w:type="dxa"/>
            <w:vAlign w:val="center"/>
          </w:tcPr>
          <w:p w14:paraId="4B61864D" w14:textId="77777777" w:rsidR="00607325" w:rsidRPr="008C752B" w:rsidRDefault="00607325" w:rsidP="00E53D9B">
            <w:r>
              <w:t>Riski</w:t>
            </w:r>
          </w:p>
        </w:tc>
        <w:tc>
          <w:tcPr>
            <w:tcW w:w="7655" w:type="dxa"/>
            <w:gridSpan w:val="4"/>
            <w:shd w:val="clear" w:color="auto" w:fill="auto"/>
            <w:tcMar>
              <w:top w:w="15" w:type="dxa"/>
              <w:left w:w="15" w:type="dxa"/>
              <w:bottom w:w="0" w:type="dxa"/>
              <w:right w:w="15" w:type="dxa"/>
            </w:tcMar>
            <w:vAlign w:val="center"/>
          </w:tcPr>
          <w:p w14:paraId="3C0EE0AA" w14:textId="0E07F1A4" w:rsidR="00607325" w:rsidRPr="00CE3717" w:rsidRDefault="00607325" w:rsidP="0003117C">
            <w:pPr>
              <w:spacing w:before="120" w:after="120"/>
              <w:jc w:val="both"/>
              <w:rPr>
                <w:u w:val="single"/>
              </w:rPr>
            </w:pPr>
            <w:r w:rsidRPr="00CE3717">
              <w:rPr>
                <w:u w:val="single"/>
              </w:rPr>
              <w:t>Zinātnes infrastruktūra</w:t>
            </w:r>
          </w:p>
          <w:p w14:paraId="21CDB519" w14:textId="735E9107" w:rsidR="00607325" w:rsidRDefault="00607325" w:rsidP="0003117C">
            <w:pPr>
              <w:spacing w:before="120" w:after="120"/>
              <w:jc w:val="both"/>
            </w:pPr>
            <w:r>
              <w:t xml:space="preserve">Ņemot vērā, ka IZM VSS atlika ziņojuma par pētniecības un inovācijas (P&amp;I) infrastruktūras kartējumu iesniegšanu līdz </w:t>
            </w:r>
            <w:r w:rsidR="0003117C">
              <w:t>2016.gada</w:t>
            </w:r>
            <w:r>
              <w:t xml:space="preserve"> 1.jūnijam </w:t>
            </w:r>
            <w:r>
              <w:rPr>
                <w:b/>
              </w:rPr>
              <w:t xml:space="preserve">(priekšnoteikums </w:t>
            </w:r>
            <w:r w:rsidRPr="00CE3717">
              <w:rPr>
                <w:b/>
              </w:rPr>
              <w:t>investīciju veikšanai pasākuma ietvaros)</w:t>
            </w:r>
            <w:r>
              <w:t xml:space="preserve">, pastāv risks, ka tiks aizkavēta </w:t>
            </w:r>
            <w:r>
              <w:rPr>
                <w:b/>
              </w:rPr>
              <w:t>programmas</w:t>
            </w:r>
            <w:r w:rsidRPr="00CE3717">
              <w:rPr>
                <w:b/>
              </w:rPr>
              <w:t xml:space="preserve"> “P&amp;A infrastruktūras attīstīšana Viedās specializācijas jomās un zinātnisko institūciju institucionālās kapacitātes stiprināšana”</w:t>
            </w:r>
            <w:r>
              <w:t xml:space="preserve"> ieviešana (pasākums Nr. 1.1.1.4.). Tāpat nav ticis ievērots pasākuma materiālu (kritēriji un sākotnējais novērtējums) iesniegšanas termiņš izskatīš</w:t>
            </w:r>
            <w:r w:rsidR="0003117C">
              <w:t>anai AK – 2015.gada decembris.</w:t>
            </w:r>
            <w:r>
              <w:t xml:space="preserve"> Ņemot vērā, ka pasākums ir papildinošs IZM praktisko pētījumu programmai </w:t>
            </w:r>
            <w:r w:rsidR="00D676B6">
              <w:t>(pasākums Nr. 1.1.1.1.) un pēc</w:t>
            </w:r>
            <w:r>
              <w:t xml:space="preserve">-doktorantūras pētījumu programmai (pasākums Nr. 1.1.1.2.), gan arī EM kompetences centru programmai (pasākums Nr. 1.2.1.1.), programmas ieviešanas aizkavēšana var negatīvi ietekmēt arī pārējo programmu rezultātus. (ERAF – 98 milj. </w:t>
            </w:r>
            <w:r w:rsidRPr="0003117C">
              <w:rPr>
                <w:i/>
              </w:rPr>
              <w:t>euro</w:t>
            </w:r>
            <w:r>
              <w:t>).</w:t>
            </w:r>
          </w:p>
          <w:p w14:paraId="6BA943AA" w14:textId="77777777" w:rsidR="00607325" w:rsidRPr="00CE3717" w:rsidRDefault="00607325" w:rsidP="0003117C">
            <w:pPr>
              <w:spacing w:before="120" w:after="120"/>
              <w:jc w:val="both"/>
              <w:rPr>
                <w:u w:val="single"/>
              </w:rPr>
            </w:pPr>
            <w:r w:rsidRPr="00CE3717">
              <w:rPr>
                <w:u w:val="single"/>
              </w:rPr>
              <w:t>Atbalsts pieteikumu gatavošanai Horizonts 2020</w:t>
            </w:r>
          </w:p>
          <w:p w14:paraId="5795CAD1" w14:textId="7D6BE8C4" w:rsidR="00607325" w:rsidRDefault="00607325" w:rsidP="0003117C">
            <w:pPr>
              <w:spacing w:before="120" w:after="120"/>
              <w:jc w:val="both"/>
            </w:pPr>
            <w:r w:rsidRPr="00CE3717">
              <w:lastRenderedPageBreak/>
              <w:t xml:space="preserve">Risks par finansējuma pārrāvumu pasākumam “Atbalsts starptautiskās sadarbības projektiem pētniecībā un inovācijās”  (pasākums Nr.1.1.1.5.)., jo </w:t>
            </w:r>
            <w:r>
              <w:t>nav ticis ievērots</w:t>
            </w:r>
            <w:r w:rsidRPr="00CE3717">
              <w:t xml:space="preserve"> </w:t>
            </w:r>
            <w:r>
              <w:t>termiņš</w:t>
            </w:r>
            <w:r w:rsidRPr="00CE3717">
              <w:t xml:space="preserve"> kritēriju</w:t>
            </w:r>
            <w:r>
              <w:t xml:space="preserve"> priekšlikuma iesniegšanai izskatīšanai AK sēdē  un </w:t>
            </w:r>
            <w:r w:rsidR="00C76DDB">
              <w:t xml:space="preserve">MK noteikumu </w:t>
            </w:r>
            <w:r>
              <w:t xml:space="preserve">projekta izsludināšanai VSS – 2015.gada decembris. (ERAF – 32,5 milj. </w:t>
            </w:r>
            <w:r w:rsidRPr="0003117C">
              <w:rPr>
                <w:i/>
              </w:rPr>
              <w:t>euro</w:t>
            </w:r>
            <w:r>
              <w:t>).</w:t>
            </w:r>
          </w:p>
          <w:p w14:paraId="289289B8" w14:textId="77777777" w:rsidR="00607325" w:rsidRPr="00CE3717" w:rsidRDefault="00607325" w:rsidP="0003117C">
            <w:pPr>
              <w:spacing w:before="120" w:after="120"/>
              <w:jc w:val="both"/>
              <w:rPr>
                <w:u w:val="single"/>
              </w:rPr>
            </w:pPr>
            <w:r w:rsidRPr="00CE3717">
              <w:rPr>
                <w:u w:val="single"/>
              </w:rPr>
              <w:t>Inovāciju granti studentiem</w:t>
            </w:r>
          </w:p>
          <w:p w14:paraId="39F139AB" w14:textId="734CBB0D" w:rsidR="00607325" w:rsidRDefault="005A7060" w:rsidP="0003117C">
            <w:pPr>
              <w:spacing w:before="120" w:after="120"/>
              <w:jc w:val="both"/>
              <w:rPr>
                <w:u w:val="single"/>
              </w:rPr>
            </w:pPr>
            <w:r>
              <w:t>Tiek aizkavēta 1.1.1.3.</w:t>
            </w:r>
            <w:r w:rsidR="00607325">
              <w:t>pasākuma “Inovāciju granti studentiem” ieviešana, jo nav ticis ievērots</w:t>
            </w:r>
            <w:r w:rsidR="00607325" w:rsidRPr="00CE3717">
              <w:t xml:space="preserve"> </w:t>
            </w:r>
            <w:r w:rsidR="00607325">
              <w:t>termiņš kritēriju priekšlikuma iesniegšanai izskatīšanai AK sēdē  un MK</w:t>
            </w:r>
            <w:r w:rsidR="00C76DDB">
              <w:t xml:space="preserve"> noteikumu </w:t>
            </w:r>
            <w:r w:rsidR="00607325">
              <w:t>projekta izsludināšanai VSS – 2015.gada decembris.</w:t>
            </w:r>
          </w:p>
          <w:p w14:paraId="763E357A" w14:textId="77777777" w:rsidR="00607325" w:rsidRPr="00D452CC" w:rsidRDefault="00607325" w:rsidP="0003117C">
            <w:pPr>
              <w:spacing w:before="120" w:after="120"/>
              <w:jc w:val="both"/>
              <w:rPr>
                <w:u w:val="single"/>
              </w:rPr>
            </w:pPr>
            <w:r w:rsidRPr="00D452CC">
              <w:rPr>
                <w:u w:val="single"/>
              </w:rPr>
              <w:t>Augstākā izglītība:</w:t>
            </w:r>
          </w:p>
          <w:p w14:paraId="66CB0695" w14:textId="0891AAA1" w:rsidR="00607325" w:rsidRDefault="00607325" w:rsidP="0003117C">
            <w:pPr>
              <w:spacing w:before="120" w:after="120"/>
              <w:jc w:val="both"/>
            </w:pPr>
            <w:r w:rsidRPr="006A6C5C">
              <w:t>Nepieciešama analīze</w:t>
            </w:r>
            <w:r>
              <w:t xml:space="preserve"> par augstāko izglītību, kas pamatotu investīciju veikšanu uz</w:t>
            </w:r>
            <w:r w:rsidRPr="009A1BC2">
              <w:t xml:space="preserve"> </w:t>
            </w:r>
            <w:r w:rsidRPr="006A6C5C">
              <w:t xml:space="preserve">rezultātiem orientētas efektīvas </w:t>
            </w:r>
            <w:r w:rsidRPr="009A1BC2">
              <w:t xml:space="preserve">augstākās izglītības </w:t>
            </w:r>
            <w:r>
              <w:t xml:space="preserve">pārvaldības īstenošanai. </w:t>
            </w:r>
          </w:p>
          <w:p w14:paraId="46AD3A87" w14:textId="0167FDD7" w:rsidR="00607325" w:rsidRPr="0003117C" w:rsidRDefault="00607325" w:rsidP="0003117C">
            <w:pPr>
              <w:spacing w:before="120" w:after="120"/>
              <w:jc w:val="both"/>
            </w:pPr>
            <w:r>
              <w:t xml:space="preserve">Ieviešanas uzsākšanu kavē tas, ka vēl nav izstrādāts izglītības infrastruktūras kartējums pa visiem izglītības līmeņiem un nav saskaņots ar </w:t>
            </w:r>
            <w:r w:rsidR="006B65F7">
              <w:t>EK</w:t>
            </w:r>
            <w:r>
              <w:t>, kas ir priekšnosacījums ieguldījumu uzsākšanai.</w:t>
            </w:r>
          </w:p>
          <w:p w14:paraId="7EAB23CE" w14:textId="77777777" w:rsidR="00607325" w:rsidRDefault="00607325" w:rsidP="0003117C">
            <w:pPr>
              <w:spacing w:before="120" w:after="120"/>
              <w:jc w:val="both"/>
              <w:rPr>
                <w:u w:val="single"/>
              </w:rPr>
            </w:pPr>
            <w:r w:rsidRPr="00D452CC">
              <w:rPr>
                <w:u w:val="single"/>
              </w:rPr>
              <w:t>Vispārējā izglītība</w:t>
            </w:r>
          </w:p>
          <w:p w14:paraId="6941F8E0" w14:textId="2C1A8861" w:rsidR="00607325" w:rsidRPr="0003117C" w:rsidRDefault="00607325" w:rsidP="0003117C">
            <w:pPr>
              <w:pStyle w:val="Default"/>
              <w:spacing w:line="240" w:lineRule="auto"/>
              <w:rPr>
                <w:rFonts w:eastAsiaTheme="minorHAnsi" w:cstheme="minorBidi"/>
                <w:color w:val="auto"/>
                <w:szCs w:val="22"/>
                <w:lang w:eastAsia="en-US"/>
              </w:rPr>
            </w:pPr>
            <w:r w:rsidRPr="00416300">
              <w:rPr>
                <w:rFonts w:eastAsiaTheme="minorHAnsi" w:cstheme="minorBidi"/>
                <w:color w:val="auto"/>
                <w:szCs w:val="22"/>
                <w:lang w:eastAsia="en-US"/>
              </w:rPr>
              <w:t>Ieviešanas uzsākšana tiek kavēta, jo būtiski iekavējusies konceptuālā ziņojuma par agrīni skolu pametušo jauniešu skaita samazināšanu izstrāde, kas ir arī viens no priekšnosacījumiem investīciju uzsākšanai (</w:t>
            </w:r>
            <w:proofErr w:type="spellStart"/>
            <w:r w:rsidRPr="00416300">
              <w:rPr>
                <w:rFonts w:eastAsiaTheme="minorHAnsi" w:cstheme="minorBidi"/>
                <w:color w:val="auto"/>
                <w:szCs w:val="22"/>
                <w:lang w:eastAsia="en-US"/>
              </w:rPr>
              <w:t>ex-ante</w:t>
            </w:r>
            <w:proofErr w:type="spellEnd"/>
            <w:r w:rsidRPr="00416300">
              <w:rPr>
                <w:rFonts w:eastAsiaTheme="minorHAnsi" w:cstheme="minorBidi"/>
                <w:color w:val="auto"/>
                <w:szCs w:val="22"/>
                <w:lang w:eastAsia="en-US"/>
              </w:rPr>
              <w:t xml:space="preserve"> nosacījums, kura izpildes termiņš tiek kavēts). Konceptuālais ziņojums izsludināts VSS </w:t>
            </w:r>
            <w:r w:rsidR="0003117C">
              <w:rPr>
                <w:rFonts w:eastAsiaTheme="minorHAnsi" w:cstheme="minorBidi"/>
                <w:color w:val="auto"/>
                <w:szCs w:val="22"/>
                <w:lang w:eastAsia="en-US"/>
              </w:rPr>
              <w:t>2015.gada 5.novembrī</w:t>
            </w:r>
            <w:r w:rsidR="00C45DBC">
              <w:rPr>
                <w:rFonts w:eastAsiaTheme="minorHAnsi" w:cstheme="minorBidi"/>
                <w:color w:val="auto"/>
                <w:szCs w:val="22"/>
                <w:lang w:eastAsia="en-US"/>
              </w:rPr>
              <w:t xml:space="preserve">, </w:t>
            </w:r>
            <w:r w:rsidR="00C45DBC" w:rsidRPr="00C45DBC">
              <w:rPr>
                <w:rFonts w:eastAsiaTheme="minorHAnsi" w:cstheme="minorBidi"/>
                <w:color w:val="auto"/>
                <w:szCs w:val="22"/>
                <w:lang w:eastAsia="en-US"/>
              </w:rPr>
              <w:t>izvērtējot saņemtos komentārus par ziņojuma projektu, IZM ir nepieciešams papildu laiks konceptuālā ziņojuma precizēšanai un saskaņošanai, t.sk. diskusijām ar iesaistītajām pusēm. Plānots, ka konceptuālais ziņojums tiks iesniegts apstiprināšanai MK un virzīts izskatīšanai ES fondu apakškomitejā 2016.gada martā</w:t>
            </w:r>
          </w:p>
          <w:p w14:paraId="0CE48546" w14:textId="10EEA8B0" w:rsidR="00607325" w:rsidRDefault="00607325" w:rsidP="0003117C">
            <w:pPr>
              <w:spacing w:before="120" w:after="120"/>
              <w:rPr>
                <w:u w:val="single"/>
              </w:rPr>
            </w:pPr>
            <w:r>
              <w:t xml:space="preserve">Ieviešanas uzsākšanu kavē tas, ka vēl nav izstrādāts izglītības infrastruktūras kartējums pa visiem izglītības līmeņiem un nav saskaņots ar </w:t>
            </w:r>
            <w:r w:rsidR="00B1204C">
              <w:t>EK</w:t>
            </w:r>
            <w:r>
              <w:t>, kas ir priekšnosacījums ieguldījumu uzsākšanai.</w:t>
            </w:r>
            <w:r w:rsidR="00C45DBC">
              <w:t xml:space="preserve"> </w:t>
            </w:r>
            <w:r w:rsidR="00C45DBC" w:rsidRPr="0043054F">
              <w:t>Attiecībā uz vispārējās izglītības iestāžu infrastruktūru ir noteikti pamatprincipi kartējuma izstrādei</w:t>
            </w:r>
            <w:r w:rsidR="00C45DBC">
              <w:rPr>
                <w:rStyle w:val="FootnoteReference"/>
              </w:rPr>
              <w:footnoteReference w:id="37"/>
            </w:r>
            <w:r w:rsidR="00C45DBC" w:rsidRPr="0043054F">
              <w:t xml:space="preserve">, kā 8.1.2.SAM ietvaros atbalstāmo vispārējās izglītības iestāžu stratēģiskie </w:t>
            </w:r>
            <w:proofErr w:type="spellStart"/>
            <w:r w:rsidR="00C45DBC" w:rsidRPr="0043054F">
              <w:t>priekšatlases</w:t>
            </w:r>
            <w:proofErr w:type="spellEnd"/>
            <w:r w:rsidR="00C45DBC" w:rsidRPr="0043054F">
              <w:t xml:space="preserve"> kritēriji.)</w:t>
            </w:r>
            <w:r>
              <w:rPr>
                <w:u w:val="single"/>
              </w:rPr>
              <w:t>Pieaugušo izglītība:</w:t>
            </w:r>
          </w:p>
          <w:p w14:paraId="74DDAD00" w14:textId="6CEC4A9A" w:rsidR="00607325" w:rsidRPr="0003117C" w:rsidRDefault="00607325" w:rsidP="0003117C">
            <w:pPr>
              <w:spacing w:before="120" w:after="120"/>
              <w:jc w:val="both"/>
            </w:pPr>
            <w:r w:rsidRPr="006A6C5C">
              <w:t xml:space="preserve">Ieviešana kavējas, jo iekavējusies </w:t>
            </w:r>
            <w:r w:rsidRPr="002037FF">
              <w:t>pieaugušo</w:t>
            </w:r>
            <w:r>
              <w:t xml:space="preserve"> izglītības stratēģijas izstrāde, lai varētu uzsākt investīciju ieguldījumus. Stratēģijas projekts tika izsludināts VSS </w:t>
            </w:r>
            <w:r w:rsidR="00E32555">
              <w:t>2015.gada 2.jūlijā</w:t>
            </w:r>
            <w:r>
              <w:t>., taču joprojām nav saņemts precizēts stratēģijas projektu (saskaņā ar vienošanos ar EK tas bija jāpaveic līdz 2015.gada septembra beigām).</w:t>
            </w:r>
          </w:p>
          <w:p w14:paraId="7742DAFF" w14:textId="77777777" w:rsidR="00607325" w:rsidRDefault="00607325" w:rsidP="0003117C">
            <w:pPr>
              <w:spacing w:before="120" w:after="120"/>
              <w:jc w:val="both"/>
              <w:rPr>
                <w:u w:val="single"/>
              </w:rPr>
            </w:pPr>
            <w:r>
              <w:rPr>
                <w:u w:val="single"/>
              </w:rPr>
              <w:t>Profesionālā izglītība:</w:t>
            </w:r>
          </w:p>
          <w:p w14:paraId="32D32F64" w14:textId="1CEBE7C4" w:rsidR="00C45DBC" w:rsidRDefault="00C45DBC" w:rsidP="0043054F">
            <w:pPr>
              <w:jc w:val="both"/>
            </w:pPr>
            <w:r>
              <w:t>Ievieš</w:t>
            </w:r>
            <w:r w:rsidR="00476E90">
              <w:t>a</w:t>
            </w:r>
            <w:r>
              <w:t>nas uzsākšan</w:t>
            </w:r>
            <w:r w:rsidR="00476E90">
              <w:t>as</w:t>
            </w:r>
            <w:r>
              <w:t xml:space="preserve"> aizkavēšanās 8.1.3.SAM Palielināt modernizēto profesionālās izglītības iestāžu skaitu” uzsākšanā saistīta ar:</w:t>
            </w:r>
          </w:p>
          <w:p w14:paraId="6ACDD53C" w14:textId="77777777" w:rsidR="00C45DBC" w:rsidRDefault="00C45DBC" w:rsidP="0043054F">
            <w:pPr>
              <w:jc w:val="both"/>
            </w:pPr>
            <w:r>
              <w:t>1)</w:t>
            </w:r>
            <w:r>
              <w:tab/>
              <w:t>ilgstošo diskusiju procesu nacionālās vienošanās panākšanai par SAM finansējuma sadalījuma metodiku;</w:t>
            </w:r>
          </w:p>
          <w:p w14:paraId="5AD86E88" w14:textId="1719D637" w:rsidR="00607325" w:rsidRPr="008C752B" w:rsidRDefault="00C45DBC" w:rsidP="001D1D31">
            <w:pPr>
              <w:jc w:val="both"/>
            </w:pPr>
            <w:r>
              <w:t>2)</w:t>
            </w:r>
            <w:r>
              <w:tab/>
              <w:t>ES fondu uzraudzības komitejas sēdē</w:t>
            </w:r>
            <w:r>
              <w:rPr>
                <w:rStyle w:val="FootnoteReference"/>
              </w:rPr>
              <w:footnoteReference w:id="38"/>
            </w:r>
            <w:r>
              <w:t xml:space="preserve"> nolemto par SAM projektu iesniegumu vērtēšanas kritēriju apstiprināšanu ar nosacījumu, ka tiek turpinātas </w:t>
            </w:r>
            <w:r>
              <w:lastRenderedPageBreak/>
              <w:t>diskusijas par sākotnējo novērtējumu, kartējumu un MK noteikumu projektu</w:t>
            </w:r>
            <w:r>
              <w:rPr>
                <w:rStyle w:val="FootnoteReference"/>
              </w:rPr>
              <w:footnoteReference w:id="39"/>
            </w:r>
            <w:r>
              <w:t>.</w:t>
            </w:r>
            <w:r w:rsidR="00766572">
              <w:t xml:space="preserve"> Šobrīd turpinās sākotnējā paplašinātā novērtējuma saskaņošana ar </w:t>
            </w:r>
            <w:r w:rsidR="001D1D31">
              <w:t>EK</w:t>
            </w:r>
            <w:r w:rsidR="00766572">
              <w:t xml:space="preserve"> pārstāvjiem.</w:t>
            </w:r>
            <w:r>
              <w:t xml:space="preserve"> </w:t>
            </w:r>
          </w:p>
        </w:tc>
      </w:tr>
    </w:tbl>
    <w:p w14:paraId="2E84EFFA" w14:textId="3230E793" w:rsidR="00D8071F" w:rsidRPr="007B7DBF" w:rsidRDefault="007B7DBF" w:rsidP="00624261">
      <w:pPr>
        <w:spacing w:before="120" w:after="120" w:line="276" w:lineRule="auto"/>
        <w:jc w:val="both"/>
        <w:rPr>
          <w:i/>
        </w:rPr>
      </w:pPr>
      <w:r w:rsidRPr="007B7DBF">
        <w:lastRenderedPageBreak/>
        <w:t>Tabula</w:t>
      </w:r>
      <w:r w:rsidR="006060BB" w:rsidRPr="007B7DBF">
        <w:t xml:space="preserve"> Nr.</w:t>
      </w:r>
      <w:r w:rsidR="00001327">
        <w:t>6</w:t>
      </w:r>
      <w:r w:rsidR="006060BB" w:rsidRPr="007B7DBF">
        <w:t xml:space="preserve"> </w:t>
      </w:r>
      <w:r w:rsidR="003D5C3B">
        <w:rPr>
          <w:i/>
        </w:rPr>
        <w:t>“</w:t>
      </w:r>
      <w:r w:rsidR="006060BB" w:rsidRPr="007B7DBF">
        <w:rPr>
          <w:i/>
        </w:rPr>
        <w:t>KM progress</w:t>
      </w:r>
      <w:r w:rsidR="00416300" w:rsidRPr="00416300">
        <w:rPr>
          <w:i/>
        </w:rPr>
        <w:t xml:space="preserve"> </w:t>
      </w:r>
      <w:r w:rsidR="005A7060">
        <w:rPr>
          <w:i/>
        </w:rPr>
        <w:t>uz 2016.gada 20</w:t>
      </w:r>
      <w:r w:rsidR="00416300">
        <w:rPr>
          <w:i/>
        </w:rPr>
        <w:t>.janvāri</w:t>
      </w:r>
      <w:r w:rsidR="006060BB" w:rsidRPr="007B7DBF">
        <w:rPr>
          <w:i/>
        </w:rPr>
        <w:t xml:space="preserve"> SAM ieviešanā”</w:t>
      </w:r>
    </w:p>
    <w:tbl>
      <w:tblPr>
        <w:tblW w:w="8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1126"/>
        <w:gridCol w:w="4111"/>
        <w:gridCol w:w="995"/>
        <w:gridCol w:w="848"/>
        <w:gridCol w:w="1701"/>
      </w:tblGrid>
      <w:tr w:rsidR="007B7DBF" w:rsidRPr="004702E2" w14:paraId="447AC762" w14:textId="77777777" w:rsidTr="009E5ED9">
        <w:trPr>
          <w:trHeight w:val="283"/>
        </w:trPr>
        <w:tc>
          <w:tcPr>
            <w:tcW w:w="8781" w:type="dxa"/>
            <w:gridSpan w:val="5"/>
            <w:shd w:val="clear" w:color="auto" w:fill="auto"/>
            <w:tcMar>
              <w:top w:w="15" w:type="dxa"/>
              <w:left w:w="15" w:type="dxa"/>
              <w:bottom w:w="0" w:type="dxa"/>
              <w:right w:w="15" w:type="dxa"/>
            </w:tcMar>
            <w:vAlign w:val="center"/>
          </w:tcPr>
          <w:p w14:paraId="38AF9F30" w14:textId="77777777" w:rsidR="007B7DBF" w:rsidRPr="004702E2" w:rsidRDefault="007B7DBF" w:rsidP="00E53D9B">
            <w:pPr>
              <w:rPr>
                <w:b/>
                <w:bCs/>
              </w:rPr>
            </w:pPr>
            <w:r w:rsidRPr="004702E2">
              <w:rPr>
                <w:b/>
                <w:bCs/>
              </w:rPr>
              <w:t>KM SAM/pasākumu ieviešanas statuss</w:t>
            </w:r>
          </w:p>
        </w:tc>
      </w:tr>
      <w:tr w:rsidR="007B7DBF" w:rsidRPr="004702E2" w14:paraId="46D2E855" w14:textId="77777777" w:rsidTr="009E5ED9">
        <w:trPr>
          <w:trHeight w:val="283"/>
        </w:trPr>
        <w:tc>
          <w:tcPr>
            <w:tcW w:w="5237" w:type="dxa"/>
            <w:gridSpan w:val="2"/>
            <w:shd w:val="clear" w:color="auto" w:fill="auto"/>
            <w:tcMar>
              <w:top w:w="15" w:type="dxa"/>
              <w:left w:w="15" w:type="dxa"/>
              <w:bottom w:w="0" w:type="dxa"/>
              <w:right w:w="15" w:type="dxa"/>
            </w:tcMar>
            <w:vAlign w:val="center"/>
            <w:hideMark/>
          </w:tcPr>
          <w:p w14:paraId="353FD75D" w14:textId="77777777" w:rsidR="007B7DBF" w:rsidRPr="004702E2" w:rsidRDefault="007B7DBF" w:rsidP="00E53D9B">
            <w:r w:rsidRPr="004702E2">
              <w:t>SAM/pasākumu kopējais skaits</w:t>
            </w:r>
          </w:p>
        </w:tc>
        <w:tc>
          <w:tcPr>
            <w:tcW w:w="3544" w:type="dxa"/>
            <w:gridSpan w:val="3"/>
            <w:shd w:val="clear" w:color="auto" w:fill="auto"/>
            <w:tcMar>
              <w:top w:w="15" w:type="dxa"/>
              <w:left w:w="15" w:type="dxa"/>
              <w:bottom w:w="0" w:type="dxa"/>
              <w:right w:w="15" w:type="dxa"/>
            </w:tcMar>
            <w:vAlign w:val="center"/>
            <w:hideMark/>
          </w:tcPr>
          <w:p w14:paraId="6D35DFAD" w14:textId="77777777" w:rsidR="007B7DBF" w:rsidRPr="004702E2" w:rsidRDefault="007B7DBF" w:rsidP="00E53D9B">
            <w:r w:rsidRPr="004702E2">
              <w:rPr>
                <w:b/>
                <w:bCs/>
              </w:rPr>
              <w:t>3</w:t>
            </w:r>
          </w:p>
        </w:tc>
      </w:tr>
      <w:tr w:rsidR="007B7DBF" w:rsidRPr="004702E2" w14:paraId="26D8CEF9" w14:textId="77777777" w:rsidTr="009E5ED9">
        <w:trPr>
          <w:trHeight w:val="283"/>
        </w:trPr>
        <w:tc>
          <w:tcPr>
            <w:tcW w:w="5237" w:type="dxa"/>
            <w:gridSpan w:val="2"/>
            <w:shd w:val="clear" w:color="auto" w:fill="auto"/>
            <w:tcMar>
              <w:top w:w="15" w:type="dxa"/>
              <w:left w:w="15" w:type="dxa"/>
              <w:bottom w:w="0" w:type="dxa"/>
              <w:right w:w="15" w:type="dxa"/>
            </w:tcMar>
            <w:vAlign w:val="center"/>
            <w:hideMark/>
          </w:tcPr>
          <w:p w14:paraId="2427E1B8" w14:textId="77777777" w:rsidR="007B7DBF" w:rsidRPr="004702E2" w:rsidRDefault="007B7DBF" w:rsidP="00E53D9B">
            <w:r w:rsidRPr="004702E2">
              <w:t xml:space="preserve">SAM kopējais KP finansējums, </w:t>
            </w:r>
            <w:r w:rsidRPr="00D676B6">
              <w:rPr>
                <w:i/>
              </w:rPr>
              <w:t xml:space="preserve">euro </w:t>
            </w:r>
          </w:p>
        </w:tc>
        <w:tc>
          <w:tcPr>
            <w:tcW w:w="3544" w:type="dxa"/>
            <w:gridSpan w:val="3"/>
            <w:shd w:val="clear" w:color="auto" w:fill="auto"/>
            <w:tcMar>
              <w:top w:w="15" w:type="dxa"/>
              <w:left w:w="15" w:type="dxa"/>
              <w:bottom w:w="0" w:type="dxa"/>
              <w:right w:w="15" w:type="dxa"/>
            </w:tcMar>
            <w:vAlign w:val="center"/>
            <w:hideMark/>
          </w:tcPr>
          <w:p w14:paraId="290B0558" w14:textId="216D4B53" w:rsidR="007B7DBF" w:rsidRPr="00DA044A" w:rsidRDefault="002E5F9A" w:rsidP="00E53D9B">
            <w:pPr>
              <w:rPr>
                <w:b/>
              </w:rPr>
            </w:pPr>
            <w:r>
              <w:rPr>
                <w:b/>
              </w:rPr>
              <w:t>115</w:t>
            </w:r>
            <w:r w:rsidR="007B7DBF" w:rsidRPr="00DA044A">
              <w:rPr>
                <w:b/>
              </w:rPr>
              <w:t xml:space="preserve"> 573 346</w:t>
            </w:r>
          </w:p>
        </w:tc>
      </w:tr>
      <w:tr w:rsidR="007B7DBF" w:rsidRPr="004702E2" w14:paraId="2D633F6D" w14:textId="77777777" w:rsidTr="009E5ED9">
        <w:trPr>
          <w:trHeight w:val="298"/>
        </w:trPr>
        <w:tc>
          <w:tcPr>
            <w:tcW w:w="5237" w:type="dxa"/>
            <w:gridSpan w:val="2"/>
            <w:shd w:val="clear" w:color="auto" w:fill="auto"/>
            <w:tcMar>
              <w:top w:w="15" w:type="dxa"/>
              <w:left w:w="15" w:type="dxa"/>
              <w:bottom w:w="0" w:type="dxa"/>
              <w:right w:w="15" w:type="dxa"/>
            </w:tcMar>
            <w:vAlign w:val="center"/>
            <w:hideMark/>
          </w:tcPr>
          <w:p w14:paraId="6688DD4D" w14:textId="77777777" w:rsidR="007B7DBF" w:rsidRPr="004702E2" w:rsidRDefault="007B7DBF" w:rsidP="00E53D9B">
            <w:r w:rsidRPr="004702E2">
              <w:t>Statuss</w:t>
            </w:r>
          </w:p>
        </w:tc>
        <w:tc>
          <w:tcPr>
            <w:tcW w:w="995" w:type="dxa"/>
            <w:shd w:val="clear" w:color="auto" w:fill="FF9999"/>
            <w:tcMar>
              <w:top w:w="15" w:type="dxa"/>
              <w:left w:w="15" w:type="dxa"/>
              <w:bottom w:w="0" w:type="dxa"/>
              <w:right w:w="15" w:type="dxa"/>
            </w:tcMar>
            <w:vAlign w:val="center"/>
            <w:hideMark/>
          </w:tcPr>
          <w:p w14:paraId="2B9ED1AE" w14:textId="77777777" w:rsidR="007B7DBF" w:rsidRPr="004702E2" w:rsidRDefault="007B7DBF" w:rsidP="0003117C">
            <w:pPr>
              <w:jc w:val="center"/>
            </w:pPr>
            <w:r w:rsidRPr="004702E2">
              <w:t>Kavēts</w:t>
            </w:r>
          </w:p>
        </w:tc>
        <w:tc>
          <w:tcPr>
            <w:tcW w:w="848" w:type="dxa"/>
            <w:shd w:val="clear" w:color="auto" w:fill="auto"/>
            <w:tcMar>
              <w:top w:w="15" w:type="dxa"/>
              <w:left w:w="15" w:type="dxa"/>
              <w:bottom w:w="0" w:type="dxa"/>
              <w:right w:w="15" w:type="dxa"/>
            </w:tcMar>
            <w:vAlign w:val="center"/>
            <w:hideMark/>
          </w:tcPr>
          <w:p w14:paraId="06DEB99C" w14:textId="7154CA34" w:rsidR="007B7DBF" w:rsidRPr="004702E2" w:rsidRDefault="007B7DBF" w:rsidP="0003117C">
            <w:pPr>
              <w:jc w:val="center"/>
            </w:pPr>
            <w:r w:rsidRPr="004702E2">
              <w:t>Izpildīts</w:t>
            </w:r>
          </w:p>
        </w:tc>
        <w:tc>
          <w:tcPr>
            <w:tcW w:w="1701" w:type="dxa"/>
            <w:shd w:val="clear" w:color="auto" w:fill="auto"/>
            <w:tcMar>
              <w:top w:w="15" w:type="dxa"/>
              <w:left w:w="15" w:type="dxa"/>
              <w:bottom w:w="0" w:type="dxa"/>
              <w:right w:w="15" w:type="dxa"/>
            </w:tcMar>
            <w:vAlign w:val="center"/>
            <w:hideMark/>
          </w:tcPr>
          <w:p w14:paraId="29834E65" w14:textId="77777777" w:rsidR="007B7DBF" w:rsidRPr="004702E2" w:rsidRDefault="007B7DBF" w:rsidP="0003117C">
            <w:pPr>
              <w:jc w:val="center"/>
            </w:pPr>
            <w:r w:rsidRPr="004702E2">
              <w:t>Nav pienācis</w:t>
            </w:r>
          </w:p>
        </w:tc>
      </w:tr>
      <w:tr w:rsidR="007B7DBF" w:rsidRPr="004702E2" w14:paraId="00F0AB2D" w14:textId="77777777" w:rsidTr="009E5ED9">
        <w:trPr>
          <w:trHeight w:val="227"/>
        </w:trPr>
        <w:tc>
          <w:tcPr>
            <w:tcW w:w="1126" w:type="dxa"/>
            <w:vMerge w:val="restart"/>
            <w:shd w:val="clear" w:color="auto" w:fill="auto"/>
            <w:tcMar>
              <w:top w:w="15" w:type="dxa"/>
              <w:left w:w="15" w:type="dxa"/>
              <w:bottom w:w="0" w:type="dxa"/>
              <w:right w:w="15" w:type="dxa"/>
            </w:tcMar>
            <w:vAlign w:val="center"/>
            <w:hideMark/>
          </w:tcPr>
          <w:p w14:paraId="5384FE0E" w14:textId="16EC3DC0" w:rsidR="007B7DBF" w:rsidRPr="004702E2" w:rsidRDefault="007B7DBF" w:rsidP="00E53D9B">
            <w:r w:rsidRPr="004702E2">
              <w:t>SAM/</w:t>
            </w:r>
            <w:r w:rsidR="00D676B6">
              <w:t xml:space="preserve"> </w:t>
            </w:r>
            <w:r w:rsidRPr="004702E2">
              <w:t>pasākumu skaits</w:t>
            </w:r>
          </w:p>
        </w:tc>
        <w:tc>
          <w:tcPr>
            <w:tcW w:w="4111" w:type="dxa"/>
            <w:shd w:val="clear" w:color="auto" w:fill="auto"/>
            <w:tcMar>
              <w:top w:w="15" w:type="dxa"/>
              <w:left w:w="15" w:type="dxa"/>
              <w:bottom w:w="0" w:type="dxa"/>
              <w:right w:w="15" w:type="dxa"/>
            </w:tcMar>
            <w:vAlign w:val="center"/>
            <w:hideMark/>
          </w:tcPr>
          <w:p w14:paraId="3013478A" w14:textId="77777777" w:rsidR="007B7DBF" w:rsidRPr="004702E2" w:rsidRDefault="007B7DBF" w:rsidP="00E53D9B">
            <w:r w:rsidRPr="004702E2">
              <w:t xml:space="preserve">Sākotnējā novērtējuma iesniegšana </w:t>
            </w:r>
          </w:p>
        </w:tc>
        <w:tc>
          <w:tcPr>
            <w:tcW w:w="995" w:type="dxa"/>
            <w:shd w:val="clear" w:color="auto" w:fill="auto"/>
            <w:tcMar>
              <w:top w:w="15" w:type="dxa"/>
              <w:left w:w="15" w:type="dxa"/>
              <w:bottom w:w="0" w:type="dxa"/>
              <w:right w:w="15" w:type="dxa"/>
            </w:tcMar>
            <w:vAlign w:val="center"/>
            <w:hideMark/>
          </w:tcPr>
          <w:p w14:paraId="6EAC348C" w14:textId="47253EB7" w:rsidR="007B7DBF" w:rsidRPr="004702E2" w:rsidRDefault="0003117C" w:rsidP="0003117C">
            <w:pPr>
              <w:jc w:val="center"/>
            </w:pPr>
            <w:r>
              <w:t>-</w:t>
            </w:r>
          </w:p>
        </w:tc>
        <w:tc>
          <w:tcPr>
            <w:tcW w:w="848" w:type="dxa"/>
            <w:shd w:val="clear" w:color="auto" w:fill="auto"/>
            <w:tcMar>
              <w:top w:w="15" w:type="dxa"/>
              <w:left w:w="15" w:type="dxa"/>
              <w:bottom w:w="0" w:type="dxa"/>
              <w:right w:w="15" w:type="dxa"/>
            </w:tcMar>
            <w:vAlign w:val="center"/>
            <w:hideMark/>
          </w:tcPr>
          <w:p w14:paraId="5F68E0A2" w14:textId="5CDE18B6" w:rsidR="007B7DBF" w:rsidRPr="004702E2" w:rsidRDefault="007B7DBF" w:rsidP="0003117C">
            <w:pPr>
              <w:jc w:val="center"/>
            </w:pPr>
            <w:r w:rsidRPr="004702E2">
              <w:t>3</w:t>
            </w:r>
          </w:p>
        </w:tc>
        <w:tc>
          <w:tcPr>
            <w:tcW w:w="1701" w:type="dxa"/>
            <w:shd w:val="clear" w:color="auto" w:fill="auto"/>
            <w:tcMar>
              <w:top w:w="15" w:type="dxa"/>
              <w:left w:w="15" w:type="dxa"/>
              <w:bottom w:w="0" w:type="dxa"/>
              <w:right w:w="15" w:type="dxa"/>
            </w:tcMar>
            <w:vAlign w:val="center"/>
            <w:hideMark/>
          </w:tcPr>
          <w:p w14:paraId="74913023" w14:textId="230C552F" w:rsidR="007B7DBF" w:rsidRPr="004702E2" w:rsidRDefault="0003117C" w:rsidP="0003117C">
            <w:pPr>
              <w:jc w:val="center"/>
            </w:pPr>
            <w:r>
              <w:t>-</w:t>
            </w:r>
          </w:p>
        </w:tc>
      </w:tr>
      <w:tr w:rsidR="007B7DBF" w:rsidRPr="004702E2" w14:paraId="25481473" w14:textId="77777777" w:rsidTr="009E5ED9">
        <w:trPr>
          <w:trHeight w:val="227"/>
        </w:trPr>
        <w:tc>
          <w:tcPr>
            <w:tcW w:w="1126" w:type="dxa"/>
            <w:vMerge/>
            <w:vAlign w:val="center"/>
            <w:hideMark/>
          </w:tcPr>
          <w:p w14:paraId="2BE38596" w14:textId="77777777" w:rsidR="007B7DBF" w:rsidRPr="004702E2" w:rsidRDefault="007B7DBF" w:rsidP="00E53D9B"/>
        </w:tc>
        <w:tc>
          <w:tcPr>
            <w:tcW w:w="4111" w:type="dxa"/>
            <w:shd w:val="clear" w:color="auto" w:fill="auto"/>
            <w:tcMar>
              <w:top w:w="15" w:type="dxa"/>
              <w:left w:w="15" w:type="dxa"/>
              <w:bottom w:w="0" w:type="dxa"/>
              <w:right w:w="15" w:type="dxa"/>
            </w:tcMar>
            <w:vAlign w:val="center"/>
            <w:hideMark/>
          </w:tcPr>
          <w:p w14:paraId="528893B9" w14:textId="77777777" w:rsidR="007B7DBF" w:rsidRPr="004702E2" w:rsidRDefault="007B7DBF" w:rsidP="00E53D9B">
            <w:r w:rsidRPr="004702E2">
              <w:t>Kritēriji iesniegti AK</w:t>
            </w:r>
          </w:p>
        </w:tc>
        <w:tc>
          <w:tcPr>
            <w:tcW w:w="995" w:type="dxa"/>
            <w:shd w:val="clear" w:color="auto" w:fill="auto"/>
            <w:tcMar>
              <w:top w:w="15" w:type="dxa"/>
              <w:left w:w="15" w:type="dxa"/>
              <w:bottom w:w="0" w:type="dxa"/>
              <w:right w:w="15" w:type="dxa"/>
            </w:tcMar>
            <w:vAlign w:val="center"/>
            <w:hideMark/>
          </w:tcPr>
          <w:p w14:paraId="5C980971" w14:textId="7AE3D6CE" w:rsidR="007B7DBF" w:rsidRPr="004702E2" w:rsidRDefault="0003117C" w:rsidP="0003117C">
            <w:pPr>
              <w:jc w:val="center"/>
            </w:pPr>
            <w:r>
              <w:t>-</w:t>
            </w:r>
          </w:p>
        </w:tc>
        <w:tc>
          <w:tcPr>
            <w:tcW w:w="848" w:type="dxa"/>
            <w:shd w:val="clear" w:color="auto" w:fill="auto"/>
            <w:tcMar>
              <w:top w:w="15" w:type="dxa"/>
              <w:left w:w="15" w:type="dxa"/>
              <w:bottom w:w="0" w:type="dxa"/>
              <w:right w:w="15" w:type="dxa"/>
            </w:tcMar>
            <w:vAlign w:val="center"/>
            <w:hideMark/>
          </w:tcPr>
          <w:p w14:paraId="4FAF257E" w14:textId="39AB0A54" w:rsidR="007B7DBF" w:rsidRPr="004702E2" w:rsidRDefault="007B7DBF" w:rsidP="0003117C">
            <w:pPr>
              <w:jc w:val="center"/>
            </w:pPr>
            <w:r>
              <w:t>3</w:t>
            </w:r>
          </w:p>
        </w:tc>
        <w:tc>
          <w:tcPr>
            <w:tcW w:w="1701" w:type="dxa"/>
            <w:shd w:val="clear" w:color="auto" w:fill="auto"/>
            <w:tcMar>
              <w:top w:w="15" w:type="dxa"/>
              <w:left w:w="15" w:type="dxa"/>
              <w:bottom w:w="0" w:type="dxa"/>
              <w:right w:w="15" w:type="dxa"/>
            </w:tcMar>
            <w:vAlign w:val="center"/>
            <w:hideMark/>
          </w:tcPr>
          <w:p w14:paraId="0D3E2CC4" w14:textId="2B2CA000" w:rsidR="007B7DBF" w:rsidRPr="004702E2" w:rsidRDefault="0003117C" w:rsidP="0003117C">
            <w:pPr>
              <w:jc w:val="center"/>
            </w:pPr>
            <w:r>
              <w:t>-</w:t>
            </w:r>
          </w:p>
        </w:tc>
      </w:tr>
      <w:tr w:rsidR="007B7DBF" w:rsidRPr="004702E2" w14:paraId="296DA322" w14:textId="77777777" w:rsidTr="009E5ED9">
        <w:trPr>
          <w:trHeight w:val="227"/>
        </w:trPr>
        <w:tc>
          <w:tcPr>
            <w:tcW w:w="1126" w:type="dxa"/>
            <w:vMerge/>
            <w:vAlign w:val="center"/>
            <w:hideMark/>
          </w:tcPr>
          <w:p w14:paraId="594550EC" w14:textId="77777777" w:rsidR="007B7DBF" w:rsidRPr="004702E2" w:rsidRDefault="007B7DBF" w:rsidP="00E53D9B"/>
        </w:tc>
        <w:tc>
          <w:tcPr>
            <w:tcW w:w="4111" w:type="dxa"/>
            <w:shd w:val="clear" w:color="auto" w:fill="auto"/>
            <w:tcMar>
              <w:top w:w="15" w:type="dxa"/>
              <w:left w:w="15" w:type="dxa"/>
              <w:bottom w:w="0" w:type="dxa"/>
              <w:right w:w="15" w:type="dxa"/>
            </w:tcMar>
            <w:vAlign w:val="center"/>
            <w:hideMark/>
          </w:tcPr>
          <w:p w14:paraId="533E6312" w14:textId="77777777" w:rsidR="007B7DBF" w:rsidRPr="004702E2" w:rsidRDefault="007B7DBF" w:rsidP="00E53D9B">
            <w:r w:rsidRPr="004702E2">
              <w:t>MK noteikumu izsludināti VSS</w:t>
            </w:r>
          </w:p>
        </w:tc>
        <w:tc>
          <w:tcPr>
            <w:tcW w:w="995" w:type="dxa"/>
            <w:shd w:val="clear" w:color="auto" w:fill="auto"/>
            <w:tcMar>
              <w:top w:w="15" w:type="dxa"/>
              <w:left w:w="15" w:type="dxa"/>
              <w:bottom w:w="0" w:type="dxa"/>
              <w:right w:w="15" w:type="dxa"/>
            </w:tcMar>
            <w:vAlign w:val="center"/>
            <w:hideMark/>
          </w:tcPr>
          <w:p w14:paraId="1B6B949D" w14:textId="11B4A55C" w:rsidR="007B7DBF" w:rsidRPr="004702E2" w:rsidRDefault="0003117C" w:rsidP="0003117C">
            <w:pPr>
              <w:jc w:val="center"/>
            </w:pPr>
            <w:r>
              <w:t>-</w:t>
            </w:r>
          </w:p>
        </w:tc>
        <w:tc>
          <w:tcPr>
            <w:tcW w:w="848" w:type="dxa"/>
            <w:shd w:val="clear" w:color="auto" w:fill="auto"/>
            <w:tcMar>
              <w:top w:w="15" w:type="dxa"/>
              <w:left w:w="15" w:type="dxa"/>
              <w:bottom w:w="0" w:type="dxa"/>
              <w:right w:w="15" w:type="dxa"/>
            </w:tcMar>
            <w:vAlign w:val="center"/>
            <w:hideMark/>
          </w:tcPr>
          <w:p w14:paraId="0931142B" w14:textId="5873150A" w:rsidR="007B7DBF" w:rsidRPr="004702E2" w:rsidRDefault="007B7DBF" w:rsidP="0003117C">
            <w:pPr>
              <w:jc w:val="center"/>
            </w:pPr>
            <w:r>
              <w:t>3</w:t>
            </w:r>
          </w:p>
        </w:tc>
        <w:tc>
          <w:tcPr>
            <w:tcW w:w="1701" w:type="dxa"/>
            <w:shd w:val="clear" w:color="auto" w:fill="auto"/>
            <w:tcMar>
              <w:top w:w="15" w:type="dxa"/>
              <w:left w:w="15" w:type="dxa"/>
              <w:bottom w:w="0" w:type="dxa"/>
              <w:right w:w="15" w:type="dxa"/>
            </w:tcMar>
            <w:vAlign w:val="center"/>
            <w:hideMark/>
          </w:tcPr>
          <w:p w14:paraId="3ADF73E3" w14:textId="6A02F51E" w:rsidR="007B7DBF" w:rsidRPr="004702E2" w:rsidRDefault="0003117C" w:rsidP="0003117C">
            <w:pPr>
              <w:jc w:val="center"/>
            </w:pPr>
            <w:r>
              <w:t>-</w:t>
            </w:r>
          </w:p>
        </w:tc>
      </w:tr>
      <w:tr w:rsidR="007B7DBF" w:rsidRPr="004702E2" w14:paraId="3A2E17E8" w14:textId="77777777" w:rsidTr="009E5ED9">
        <w:trPr>
          <w:trHeight w:val="227"/>
        </w:trPr>
        <w:tc>
          <w:tcPr>
            <w:tcW w:w="1126" w:type="dxa"/>
            <w:vMerge/>
            <w:vAlign w:val="center"/>
            <w:hideMark/>
          </w:tcPr>
          <w:p w14:paraId="6E1816C1" w14:textId="77777777" w:rsidR="007B7DBF" w:rsidRPr="004702E2" w:rsidRDefault="007B7DBF" w:rsidP="00E53D9B"/>
        </w:tc>
        <w:tc>
          <w:tcPr>
            <w:tcW w:w="4111" w:type="dxa"/>
            <w:shd w:val="clear" w:color="auto" w:fill="auto"/>
            <w:tcMar>
              <w:top w:w="15" w:type="dxa"/>
              <w:left w:w="15" w:type="dxa"/>
              <w:bottom w:w="0" w:type="dxa"/>
              <w:right w:w="15" w:type="dxa"/>
            </w:tcMar>
            <w:vAlign w:val="center"/>
            <w:hideMark/>
          </w:tcPr>
          <w:p w14:paraId="2D2DEE4A" w14:textId="77777777" w:rsidR="007B7DBF" w:rsidRPr="004702E2" w:rsidRDefault="007B7DBF" w:rsidP="00E53D9B">
            <w:r w:rsidRPr="004702E2">
              <w:t>MK noteikumu apstiprināšana MK</w:t>
            </w:r>
          </w:p>
        </w:tc>
        <w:tc>
          <w:tcPr>
            <w:tcW w:w="995" w:type="dxa"/>
            <w:shd w:val="clear" w:color="auto" w:fill="FF9999"/>
            <w:tcMar>
              <w:top w:w="15" w:type="dxa"/>
              <w:left w:w="15" w:type="dxa"/>
              <w:bottom w:w="0" w:type="dxa"/>
              <w:right w:w="15" w:type="dxa"/>
            </w:tcMar>
            <w:vAlign w:val="center"/>
            <w:hideMark/>
          </w:tcPr>
          <w:p w14:paraId="561B503E" w14:textId="26814D72" w:rsidR="007B7DBF" w:rsidRPr="004702E2" w:rsidRDefault="007B7DBF" w:rsidP="0003117C">
            <w:pPr>
              <w:jc w:val="center"/>
            </w:pPr>
            <w:r>
              <w:t>1</w:t>
            </w:r>
          </w:p>
        </w:tc>
        <w:tc>
          <w:tcPr>
            <w:tcW w:w="848" w:type="dxa"/>
            <w:shd w:val="clear" w:color="auto" w:fill="auto"/>
            <w:tcMar>
              <w:top w:w="15" w:type="dxa"/>
              <w:left w:w="15" w:type="dxa"/>
              <w:bottom w:w="0" w:type="dxa"/>
              <w:right w:w="15" w:type="dxa"/>
            </w:tcMar>
            <w:vAlign w:val="center"/>
            <w:hideMark/>
          </w:tcPr>
          <w:p w14:paraId="70E23FAD" w14:textId="7B45B715" w:rsidR="007B7DBF" w:rsidRPr="004702E2" w:rsidRDefault="0003117C" w:rsidP="0003117C">
            <w:pPr>
              <w:jc w:val="center"/>
            </w:pPr>
            <w:r>
              <w:t>-</w:t>
            </w:r>
          </w:p>
        </w:tc>
        <w:tc>
          <w:tcPr>
            <w:tcW w:w="1701" w:type="dxa"/>
            <w:shd w:val="clear" w:color="auto" w:fill="auto"/>
            <w:tcMar>
              <w:top w:w="15" w:type="dxa"/>
              <w:left w:w="15" w:type="dxa"/>
              <w:bottom w:w="0" w:type="dxa"/>
              <w:right w:w="15" w:type="dxa"/>
            </w:tcMar>
            <w:vAlign w:val="center"/>
            <w:hideMark/>
          </w:tcPr>
          <w:p w14:paraId="6603C875" w14:textId="40011DB6" w:rsidR="007B7DBF" w:rsidRPr="004702E2" w:rsidRDefault="007B7DBF" w:rsidP="0003117C">
            <w:pPr>
              <w:jc w:val="center"/>
            </w:pPr>
            <w:r>
              <w:t>2</w:t>
            </w:r>
          </w:p>
        </w:tc>
      </w:tr>
      <w:tr w:rsidR="007B7DBF" w:rsidRPr="004702E2" w14:paraId="2AFD71B5" w14:textId="77777777" w:rsidTr="009E5ED9">
        <w:trPr>
          <w:trHeight w:val="227"/>
        </w:trPr>
        <w:tc>
          <w:tcPr>
            <w:tcW w:w="1126" w:type="dxa"/>
            <w:vMerge/>
            <w:vAlign w:val="center"/>
            <w:hideMark/>
          </w:tcPr>
          <w:p w14:paraId="1557EC3C" w14:textId="77777777" w:rsidR="007B7DBF" w:rsidRPr="004702E2" w:rsidRDefault="007B7DBF" w:rsidP="00E53D9B"/>
        </w:tc>
        <w:tc>
          <w:tcPr>
            <w:tcW w:w="4111" w:type="dxa"/>
            <w:shd w:val="clear" w:color="auto" w:fill="auto"/>
            <w:tcMar>
              <w:top w:w="15" w:type="dxa"/>
              <w:left w:w="15" w:type="dxa"/>
              <w:bottom w:w="0" w:type="dxa"/>
              <w:right w:w="15" w:type="dxa"/>
            </w:tcMar>
            <w:vAlign w:val="center"/>
            <w:hideMark/>
          </w:tcPr>
          <w:p w14:paraId="690E822D" w14:textId="77777777" w:rsidR="007B7DBF" w:rsidRPr="004702E2" w:rsidRDefault="007B7DBF" w:rsidP="00E53D9B">
            <w:r w:rsidRPr="004702E2">
              <w:t>Uzsākta atlase</w:t>
            </w:r>
          </w:p>
        </w:tc>
        <w:tc>
          <w:tcPr>
            <w:tcW w:w="995" w:type="dxa"/>
            <w:shd w:val="clear" w:color="auto" w:fill="auto"/>
            <w:tcMar>
              <w:top w:w="15" w:type="dxa"/>
              <w:left w:w="15" w:type="dxa"/>
              <w:bottom w:w="0" w:type="dxa"/>
              <w:right w:w="15" w:type="dxa"/>
            </w:tcMar>
            <w:vAlign w:val="center"/>
            <w:hideMark/>
          </w:tcPr>
          <w:p w14:paraId="6CA4E404" w14:textId="5A386C19" w:rsidR="007B7DBF" w:rsidRPr="004702E2" w:rsidRDefault="0003117C" w:rsidP="0003117C">
            <w:pPr>
              <w:jc w:val="center"/>
            </w:pPr>
            <w:r>
              <w:t>-</w:t>
            </w:r>
          </w:p>
        </w:tc>
        <w:tc>
          <w:tcPr>
            <w:tcW w:w="848" w:type="dxa"/>
            <w:shd w:val="clear" w:color="auto" w:fill="auto"/>
            <w:tcMar>
              <w:top w:w="15" w:type="dxa"/>
              <w:left w:w="15" w:type="dxa"/>
              <w:bottom w:w="0" w:type="dxa"/>
              <w:right w:w="15" w:type="dxa"/>
            </w:tcMar>
            <w:vAlign w:val="center"/>
            <w:hideMark/>
          </w:tcPr>
          <w:p w14:paraId="0CCC6E55" w14:textId="3C8D8C3A" w:rsidR="007B7DBF" w:rsidRPr="004702E2" w:rsidRDefault="0003117C" w:rsidP="0003117C">
            <w:pPr>
              <w:jc w:val="center"/>
            </w:pPr>
            <w:r>
              <w:t>-</w:t>
            </w:r>
          </w:p>
        </w:tc>
        <w:tc>
          <w:tcPr>
            <w:tcW w:w="1701" w:type="dxa"/>
            <w:shd w:val="clear" w:color="auto" w:fill="auto"/>
            <w:tcMar>
              <w:top w:w="15" w:type="dxa"/>
              <w:left w:w="15" w:type="dxa"/>
              <w:bottom w:w="0" w:type="dxa"/>
              <w:right w:w="15" w:type="dxa"/>
            </w:tcMar>
            <w:vAlign w:val="center"/>
            <w:hideMark/>
          </w:tcPr>
          <w:p w14:paraId="481D66CC" w14:textId="23BA4B6C" w:rsidR="007B7DBF" w:rsidRPr="004702E2" w:rsidRDefault="00247D95" w:rsidP="0003117C">
            <w:pPr>
              <w:jc w:val="center"/>
            </w:pPr>
            <w:r>
              <w:t>3</w:t>
            </w:r>
          </w:p>
        </w:tc>
      </w:tr>
      <w:tr w:rsidR="007B7DBF" w:rsidRPr="004702E2" w14:paraId="6DFDCFFC" w14:textId="77777777" w:rsidTr="009E5ED9">
        <w:trPr>
          <w:trHeight w:val="227"/>
        </w:trPr>
        <w:tc>
          <w:tcPr>
            <w:tcW w:w="1126" w:type="dxa"/>
            <w:vMerge/>
            <w:vAlign w:val="center"/>
            <w:hideMark/>
          </w:tcPr>
          <w:p w14:paraId="57FFFF2D" w14:textId="77777777" w:rsidR="007B7DBF" w:rsidRPr="004702E2" w:rsidRDefault="007B7DBF" w:rsidP="00E53D9B"/>
        </w:tc>
        <w:tc>
          <w:tcPr>
            <w:tcW w:w="4111" w:type="dxa"/>
            <w:shd w:val="clear" w:color="auto" w:fill="auto"/>
            <w:tcMar>
              <w:top w:w="15" w:type="dxa"/>
              <w:left w:w="15" w:type="dxa"/>
              <w:bottom w:w="0" w:type="dxa"/>
              <w:right w:w="15" w:type="dxa"/>
            </w:tcMar>
            <w:vAlign w:val="center"/>
            <w:hideMark/>
          </w:tcPr>
          <w:p w14:paraId="12ED33B2" w14:textId="77777777" w:rsidR="007B7DBF" w:rsidRPr="004702E2" w:rsidRDefault="007B7DBF" w:rsidP="00E53D9B">
            <w:r w:rsidRPr="004702E2">
              <w:t>Noslēgti līgumi</w:t>
            </w:r>
          </w:p>
        </w:tc>
        <w:tc>
          <w:tcPr>
            <w:tcW w:w="995" w:type="dxa"/>
            <w:shd w:val="clear" w:color="auto" w:fill="auto"/>
            <w:tcMar>
              <w:top w:w="15" w:type="dxa"/>
              <w:left w:w="15" w:type="dxa"/>
              <w:bottom w:w="0" w:type="dxa"/>
              <w:right w:w="15" w:type="dxa"/>
            </w:tcMar>
            <w:vAlign w:val="center"/>
            <w:hideMark/>
          </w:tcPr>
          <w:p w14:paraId="30E4FF0B" w14:textId="4197E555" w:rsidR="007B7DBF" w:rsidRPr="004702E2" w:rsidRDefault="0003117C" w:rsidP="0003117C">
            <w:pPr>
              <w:jc w:val="center"/>
            </w:pPr>
            <w:r>
              <w:t>-</w:t>
            </w:r>
          </w:p>
        </w:tc>
        <w:tc>
          <w:tcPr>
            <w:tcW w:w="848" w:type="dxa"/>
            <w:shd w:val="clear" w:color="auto" w:fill="auto"/>
            <w:tcMar>
              <w:top w:w="15" w:type="dxa"/>
              <w:left w:w="15" w:type="dxa"/>
              <w:bottom w:w="0" w:type="dxa"/>
              <w:right w:w="15" w:type="dxa"/>
            </w:tcMar>
            <w:vAlign w:val="center"/>
            <w:hideMark/>
          </w:tcPr>
          <w:p w14:paraId="5C19187E" w14:textId="1D49609E" w:rsidR="007B7DBF" w:rsidRPr="004702E2" w:rsidRDefault="0003117C" w:rsidP="0003117C">
            <w:pPr>
              <w:jc w:val="center"/>
            </w:pPr>
            <w:r>
              <w:t>-</w:t>
            </w:r>
          </w:p>
        </w:tc>
        <w:tc>
          <w:tcPr>
            <w:tcW w:w="1701" w:type="dxa"/>
            <w:shd w:val="clear" w:color="auto" w:fill="auto"/>
            <w:tcMar>
              <w:top w:w="15" w:type="dxa"/>
              <w:left w:w="15" w:type="dxa"/>
              <w:bottom w:w="0" w:type="dxa"/>
              <w:right w:w="15" w:type="dxa"/>
            </w:tcMar>
            <w:vAlign w:val="center"/>
            <w:hideMark/>
          </w:tcPr>
          <w:p w14:paraId="49CD8F43" w14:textId="0E8266EE" w:rsidR="007B7DBF" w:rsidRPr="004702E2" w:rsidRDefault="0003117C" w:rsidP="0003117C">
            <w:pPr>
              <w:jc w:val="center"/>
            </w:pPr>
            <w:r>
              <w:t>-</w:t>
            </w:r>
          </w:p>
        </w:tc>
      </w:tr>
      <w:tr w:rsidR="007B7DBF" w:rsidRPr="004702E2" w14:paraId="12900BC7" w14:textId="77777777" w:rsidTr="009E5ED9">
        <w:trPr>
          <w:trHeight w:val="596"/>
        </w:trPr>
        <w:tc>
          <w:tcPr>
            <w:tcW w:w="1126" w:type="dxa"/>
            <w:vAlign w:val="center"/>
          </w:tcPr>
          <w:p w14:paraId="3D20DDCC" w14:textId="77777777" w:rsidR="007B7DBF" w:rsidRPr="004702E2" w:rsidRDefault="007B7DBF" w:rsidP="00E53D9B">
            <w:r>
              <w:t>Riski</w:t>
            </w:r>
          </w:p>
        </w:tc>
        <w:tc>
          <w:tcPr>
            <w:tcW w:w="7655" w:type="dxa"/>
            <w:gridSpan w:val="4"/>
            <w:shd w:val="clear" w:color="auto" w:fill="auto"/>
            <w:tcMar>
              <w:top w:w="15" w:type="dxa"/>
              <w:left w:w="15" w:type="dxa"/>
              <w:bottom w:w="0" w:type="dxa"/>
              <w:right w:w="15" w:type="dxa"/>
            </w:tcMar>
            <w:vAlign w:val="center"/>
          </w:tcPr>
          <w:p w14:paraId="30E9C0A3" w14:textId="5EDE5FF1" w:rsidR="007B7DBF" w:rsidRPr="004702E2" w:rsidRDefault="007B7DBF" w:rsidP="00C214C4">
            <w:pPr>
              <w:jc w:val="both"/>
            </w:pPr>
            <w:r>
              <w:t>Ņ</w:t>
            </w:r>
            <w:r w:rsidRPr="00687A82">
              <w:t xml:space="preserve">emot vērā SAM ieviešanas aizkavēšanos, pastāv iespēja nesasniegt 2018.gada noteiktos finanšu rādītājus. </w:t>
            </w:r>
          </w:p>
        </w:tc>
      </w:tr>
    </w:tbl>
    <w:p w14:paraId="496C08BE" w14:textId="4A3B9AA4" w:rsidR="00D8071F" w:rsidRPr="007B7DBF" w:rsidRDefault="007B7DBF" w:rsidP="00624261">
      <w:pPr>
        <w:spacing w:before="120" w:after="120" w:line="276" w:lineRule="auto"/>
        <w:jc w:val="both"/>
        <w:rPr>
          <w:i/>
        </w:rPr>
      </w:pPr>
      <w:r w:rsidRPr="007B7DBF">
        <w:t>Tabula</w:t>
      </w:r>
      <w:r w:rsidR="006060BB" w:rsidRPr="007B7DBF">
        <w:t xml:space="preserve"> Nr.</w:t>
      </w:r>
      <w:r w:rsidR="00001327">
        <w:t>7</w:t>
      </w:r>
      <w:r w:rsidR="006060BB" w:rsidRPr="007B7DBF">
        <w:t xml:space="preserve"> </w:t>
      </w:r>
      <w:r w:rsidR="006060BB" w:rsidRPr="007B7DBF">
        <w:rPr>
          <w:i/>
        </w:rPr>
        <w:t xml:space="preserve">„LM progress </w:t>
      </w:r>
      <w:r w:rsidR="005A7060">
        <w:rPr>
          <w:i/>
        </w:rPr>
        <w:t>uz 2016.gada 20</w:t>
      </w:r>
      <w:r w:rsidR="00416300">
        <w:rPr>
          <w:i/>
        </w:rPr>
        <w:t xml:space="preserve">.janvāri </w:t>
      </w:r>
      <w:r w:rsidR="006060BB" w:rsidRPr="007B7DBF">
        <w:rPr>
          <w:i/>
        </w:rPr>
        <w:t>SAM ieviešanā”</w:t>
      </w:r>
    </w:p>
    <w:tbl>
      <w:tblPr>
        <w:tblW w:w="8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1126"/>
        <w:gridCol w:w="3969"/>
        <w:gridCol w:w="851"/>
        <w:gridCol w:w="1134"/>
        <w:gridCol w:w="1701"/>
      </w:tblGrid>
      <w:tr w:rsidR="001B198E" w:rsidRPr="00DC3853" w14:paraId="2D75CE97" w14:textId="77777777" w:rsidTr="009E5ED9">
        <w:trPr>
          <w:trHeight w:val="283"/>
        </w:trPr>
        <w:tc>
          <w:tcPr>
            <w:tcW w:w="8781" w:type="dxa"/>
            <w:gridSpan w:val="5"/>
            <w:shd w:val="clear" w:color="auto" w:fill="auto"/>
            <w:tcMar>
              <w:top w:w="15" w:type="dxa"/>
              <w:left w:w="15" w:type="dxa"/>
              <w:bottom w:w="0" w:type="dxa"/>
              <w:right w:w="15" w:type="dxa"/>
            </w:tcMar>
            <w:vAlign w:val="center"/>
          </w:tcPr>
          <w:p w14:paraId="17EE566A" w14:textId="77777777" w:rsidR="001B198E" w:rsidRPr="00DC3853" w:rsidRDefault="001B198E" w:rsidP="00E53D9B">
            <w:pPr>
              <w:rPr>
                <w:b/>
                <w:bCs/>
              </w:rPr>
            </w:pPr>
            <w:r w:rsidRPr="00DC3853">
              <w:rPr>
                <w:b/>
                <w:bCs/>
              </w:rPr>
              <w:t>LM SAM/pasākumu ieviešanas statuss</w:t>
            </w:r>
          </w:p>
        </w:tc>
      </w:tr>
      <w:tr w:rsidR="001B198E" w:rsidRPr="00DC3853" w14:paraId="6254B0EC" w14:textId="77777777" w:rsidTr="009E5ED9">
        <w:trPr>
          <w:trHeight w:val="283"/>
        </w:trPr>
        <w:tc>
          <w:tcPr>
            <w:tcW w:w="5095" w:type="dxa"/>
            <w:gridSpan w:val="2"/>
            <w:shd w:val="clear" w:color="auto" w:fill="auto"/>
            <w:tcMar>
              <w:top w:w="15" w:type="dxa"/>
              <w:left w:w="15" w:type="dxa"/>
              <w:bottom w:w="0" w:type="dxa"/>
              <w:right w:w="15" w:type="dxa"/>
            </w:tcMar>
            <w:vAlign w:val="center"/>
            <w:hideMark/>
          </w:tcPr>
          <w:p w14:paraId="1B834588" w14:textId="77777777" w:rsidR="001B198E" w:rsidRPr="00DC3853" w:rsidRDefault="001B198E" w:rsidP="00E53D9B">
            <w:r w:rsidRPr="00DC3853">
              <w:t>SAM/pasākumu kopējais skaits</w:t>
            </w:r>
          </w:p>
        </w:tc>
        <w:tc>
          <w:tcPr>
            <w:tcW w:w="3686" w:type="dxa"/>
            <w:gridSpan w:val="3"/>
            <w:shd w:val="clear" w:color="auto" w:fill="auto"/>
            <w:tcMar>
              <w:top w:w="15" w:type="dxa"/>
              <w:left w:w="15" w:type="dxa"/>
              <w:bottom w:w="0" w:type="dxa"/>
              <w:right w:w="15" w:type="dxa"/>
            </w:tcMar>
            <w:vAlign w:val="center"/>
            <w:hideMark/>
          </w:tcPr>
          <w:p w14:paraId="160F419C" w14:textId="77777777" w:rsidR="001B198E" w:rsidRPr="00DC3853" w:rsidRDefault="001B198E" w:rsidP="00E53D9B">
            <w:r w:rsidRPr="00DC3853">
              <w:rPr>
                <w:b/>
                <w:bCs/>
              </w:rPr>
              <w:t>22</w:t>
            </w:r>
          </w:p>
        </w:tc>
      </w:tr>
      <w:tr w:rsidR="001B198E" w:rsidRPr="00DC3853" w14:paraId="2CA770BC" w14:textId="77777777" w:rsidTr="009E5ED9">
        <w:trPr>
          <w:trHeight w:val="283"/>
        </w:trPr>
        <w:tc>
          <w:tcPr>
            <w:tcW w:w="5095" w:type="dxa"/>
            <w:gridSpan w:val="2"/>
            <w:shd w:val="clear" w:color="auto" w:fill="auto"/>
            <w:tcMar>
              <w:top w:w="15" w:type="dxa"/>
              <w:left w:w="15" w:type="dxa"/>
              <w:bottom w:w="0" w:type="dxa"/>
              <w:right w:w="15" w:type="dxa"/>
            </w:tcMar>
            <w:vAlign w:val="center"/>
            <w:hideMark/>
          </w:tcPr>
          <w:p w14:paraId="661430DD" w14:textId="77777777" w:rsidR="001B198E" w:rsidRPr="00DC3853" w:rsidRDefault="001B198E" w:rsidP="00E53D9B">
            <w:r w:rsidRPr="00DC3853">
              <w:t xml:space="preserve">SAM kopējais KP finansējums, </w:t>
            </w:r>
            <w:r w:rsidRPr="00D676B6">
              <w:rPr>
                <w:i/>
              </w:rPr>
              <w:t xml:space="preserve">euro </w:t>
            </w:r>
          </w:p>
        </w:tc>
        <w:tc>
          <w:tcPr>
            <w:tcW w:w="3686" w:type="dxa"/>
            <w:gridSpan w:val="3"/>
            <w:shd w:val="clear" w:color="auto" w:fill="auto"/>
            <w:tcMar>
              <w:top w:w="15" w:type="dxa"/>
              <w:left w:w="15" w:type="dxa"/>
              <w:bottom w:w="0" w:type="dxa"/>
              <w:right w:w="15" w:type="dxa"/>
            </w:tcMar>
            <w:vAlign w:val="center"/>
            <w:hideMark/>
          </w:tcPr>
          <w:p w14:paraId="2FA3740A" w14:textId="553BC0B0" w:rsidR="001B198E" w:rsidRPr="0043054F" w:rsidRDefault="00BE790F" w:rsidP="00DA044A">
            <w:pPr>
              <w:rPr>
                <w:b/>
                <w:bCs/>
                <w:color w:val="000000"/>
              </w:rPr>
            </w:pPr>
            <w:r>
              <w:rPr>
                <w:b/>
                <w:bCs/>
                <w:color w:val="000000"/>
              </w:rPr>
              <w:t>349 762 153</w:t>
            </w:r>
          </w:p>
        </w:tc>
      </w:tr>
      <w:tr w:rsidR="001B198E" w:rsidRPr="00DC3853" w14:paraId="21E58C02" w14:textId="77777777" w:rsidTr="009E5ED9">
        <w:trPr>
          <w:trHeight w:val="369"/>
        </w:trPr>
        <w:tc>
          <w:tcPr>
            <w:tcW w:w="5095" w:type="dxa"/>
            <w:gridSpan w:val="2"/>
            <w:shd w:val="clear" w:color="auto" w:fill="auto"/>
            <w:tcMar>
              <w:top w:w="15" w:type="dxa"/>
              <w:left w:w="15" w:type="dxa"/>
              <w:bottom w:w="0" w:type="dxa"/>
              <w:right w:w="15" w:type="dxa"/>
            </w:tcMar>
            <w:vAlign w:val="center"/>
            <w:hideMark/>
          </w:tcPr>
          <w:p w14:paraId="2E9CB29E" w14:textId="77777777" w:rsidR="001B198E" w:rsidRPr="00DC3853" w:rsidRDefault="001B198E" w:rsidP="00E53D9B">
            <w:r w:rsidRPr="00DC3853">
              <w:t>Statuss</w:t>
            </w:r>
          </w:p>
        </w:tc>
        <w:tc>
          <w:tcPr>
            <w:tcW w:w="851" w:type="dxa"/>
            <w:shd w:val="clear" w:color="auto" w:fill="FF9999"/>
            <w:tcMar>
              <w:top w:w="15" w:type="dxa"/>
              <w:left w:w="15" w:type="dxa"/>
              <w:bottom w:w="0" w:type="dxa"/>
              <w:right w:w="15" w:type="dxa"/>
            </w:tcMar>
            <w:vAlign w:val="center"/>
            <w:hideMark/>
          </w:tcPr>
          <w:p w14:paraId="4C7D1477" w14:textId="77777777" w:rsidR="001B198E" w:rsidRPr="00DC3853" w:rsidRDefault="001B198E" w:rsidP="0003117C">
            <w:pPr>
              <w:jc w:val="center"/>
            </w:pPr>
            <w:r w:rsidRPr="00DC3853">
              <w:t>Kavēts</w:t>
            </w:r>
          </w:p>
        </w:tc>
        <w:tc>
          <w:tcPr>
            <w:tcW w:w="1134" w:type="dxa"/>
            <w:shd w:val="clear" w:color="auto" w:fill="auto"/>
            <w:tcMar>
              <w:top w:w="15" w:type="dxa"/>
              <w:left w:w="15" w:type="dxa"/>
              <w:bottom w:w="0" w:type="dxa"/>
              <w:right w:w="15" w:type="dxa"/>
            </w:tcMar>
            <w:vAlign w:val="center"/>
            <w:hideMark/>
          </w:tcPr>
          <w:p w14:paraId="7586F47D" w14:textId="72C800CA" w:rsidR="001B198E" w:rsidRPr="00DC3853" w:rsidRDefault="001B198E" w:rsidP="0003117C">
            <w:pPr>
              <w:jc w:val="center"/>
            </w:pPr>
            <w:r w:rsidRPr="00DC3853">
              <w:t>Izpildīts</w:t>
            </w:r>
          </w:p>
        </w:tc>
        <w:tc>
          <w:tcPr>
            <w:tcW w:w="1701" w:type="dxa"/>
            <w:shd w:val="clear" w:color="auto" w:fill="auto"/>
            <w:tcMar>
              <w:top w:w="15" w:type="dxa"/>
              <w:left w:w="15" w:type="dxa"/>
              <w:bottom w:w="0" w:type="dxa"/>
              <w:right w:w="15" w:type="dxa"/>
            </w:tcMar>
            <w:vAlign w:val="center"/>
            <w:hideMark/>
          </w:tcPr>
          <w:p w14:paraId="555E68C1" w14:textId="77777777" w:rsidR="001B198E" w:rsidRPr="00DC3853" w:rsidRDefault="001B198E" w:rsidP="0003117C">
            <w:pPr>
              <w:jc w:val="center"/>
            </w:pPr>
            <w:r w:rsidRPr="00DC3853">
              <w:t>Nav pienācis</w:t>
            </w:r>
          </w:p>
        </w:tc>
      </w:tr>
      <w:tr w:rsidR="001B198E" w:rsidRPr="00DC3853" w14:paraId="318EB101" w14:textId="77777777" w:rsidTr="009E5ED9">
        <w:trPr>
          <w:trHeight w:val="283"/>
        </w:trPr>
        <w:tc>
          <w:tcPr>
            <w:tcW w:w="1126" w:type="dxa"/>
            <w:vMerge w:val="restart"/>
            <w:shd w:val="clear" w:color="auto" w:fill="auto"/>
            <w:tcMar>
              <w:top w:w="15" w:type="dxa"/>
              <w:left w:w="15" w:type="dxa"/>
              <w:bottom w:w="0" w:type="dxa"/>
              <w:right w:w="15" w:type="dxa"/>
            </w:tcMar>
            <w:vAlign w:val="center"/>
            <w:hideMark/>
          </w:tcPr>
          <w:p w14:paraId="7E38DEAC" w14:textId="594323CB" w:rsidR="001B198E" w:rsidRPr="00DC3853" w:rsidRDefault="001B198E" w:rsidP="00E53D9B">
            <w:r w:rsidRPr="00DC3853">
              <w:t>SAM/</w:t>
            </w:r>
            <w:r w:rsidR="00D676B6">
              <w:t xml:space="preserve"> </w:t>
            </w:r>
            <w:r w:rsidRPr="00DC3853">
              <w:t>pasākumu skaits</w:t>
            </w:r>
          </w:p>
        </w:tc>
        <w:tc>
          <w:tcPr>
            <w:tcW w:w="3969" w:type="dxa"/>
            <w:shd w:val="clear" w:color="auto" w:fill="auto"/>
            <w:tcMar>
              <w:top w:w="15" w:type="dxa"/>
              <w:left w:w="15" w:type="dxa"/>
              <w:bottom w:w="0" w:type="dxa"/>
              <w:right w:w="15" w:type="dxa"/>
            </w:tcMar>
            <w:vAlign w:val="center"/>
            <w:hideMark/>
          </w:tcPr>
          <w:p w14:paraId="66C3644B" w14:textId="77777777" w:rsidR="001B198E" w:rsidRPr="00DC3853" w:rsidRDefault="001B198E" w:rsidP="00E53D9B">
            <w:r w:rsidRPr="00DC3853">
              <w:t xml:space="preserve">Sākotnējā novērtējuma iesniegšana </w:t>
            </w:r>
          </w:p>
        </w:tc>
        <w:tc>
          <w:tcPr>
            <w:tcW w:w="851" w:type="dxa"/>
            <w:shd w:val="clear" w:color="auto" w:fill="auto"/>
            <w:tcMar>
              <w:top w:w="15" w:type="dxa"/>
              <w:left w:w="15" w:type="dxa"/>
              <w:bottom w:w="0" w:type="dxa"/>
              <w:right w:w="15" w:type="dxa"/>
            </w:tcMar>
            <w:vAlign w:val="center"/>
            <w:hideMark/>
          </w:tcPr>
          <w:p w14:paraId="70EB7C2B" w14:textId="3848A112" w:rsidR="001B198E" w:rsidRPr="00DC3853" w:rsidRDefault="0003117C" w:rsidP="0003117C">
            <w:pPr>
              <w:jc w:val="center"/>
            </w:pPr>
            <w:r>
              <w:t>-</w:t>
            </w:r>
          </w:p>
        </w:tc>
        <w:tc>
          <w:tcPr>
            <w:tcW w:w="1134" w:type="dxa"/>
            <w:shd w:val="clear" w:color="auto" w:fill="auto"/>
            <w:tcMar>
              <w:top w:w="15" w:type="dxa"/>
              <w:left w:w="15" w:type="dxa"/>
              <w:bottom w:w="0" w:type="dxa"/>
              <w:right w:w="15" w:type="dxa"/>
            </w:tcMar>
            <w:vAlign w:val="center"/>
            <w:hideMark/>
          </w:tcPr>
          <w:p w14:paraId="15075F2E" w14:textId="77777777" w:rsidR="001B198E" w:rsidRPr="00DC3853" w:rsidRDefault="001B198E" w:rsidP="0003117C">
            <w:pPr>
              <w:jc w:val="center"/>
            </w:pPr>
            <w:r>
              <w:t>18</w:t>
            </w:r>
          </w:p>
        </w:tc>
        <w:tc>
          <w:tcPr>
            <w:tcW w:w="1701" w:type="dxa"/>
            <w:shd w:val="clear" w:color="auto" w:fill="auto"/>
            <w:tcMar>
              <w:top w:w="15" w:type="dxa"/>
              <w:left w:w="15" w:type="dxa"/>
              <w:bottom w:w="0" w:type="dxa"/>
              <w:right w:w="15" w:type="dxa"/>
            </w:tcMar>
            <w:vAlign w:val="center"/>
            <w:hideMark/>
          </w:tcPr>
          <w:p w14:paraId="56DB2E5E" w14:textId="77777777" w:rsidR="001B198E" w:rsidRPr="00DC3853" w:rsidRDefault="001B198E" w:rsidP="0003117C">
            <w:pPr>
              <w:jc w:val="center"/>
            </w:pPr>
            <w:r w:rsidRPr="00DC3853">
              <w:t>4</w:t>
            </w:r>
          </w:p>
        </w:tc>
      </w:tr>
      <w:tr w:rsidR="001B198E" w:rsidRPr="00DC3853" w14:paraId="0D5D29DC" w14:textId="77777777" w:rsidTr="009E5ED9">
        <w:trPr>
          <w:trHeight w:val="283"/>
        </w:trPr>
        <w:tc>
          <w:tcPr>
            <w:tcW w:w="1126" w:type="dxa"/>
            <w:vMerge/>
            <w:vAlign w:val="center"/>
            <w:hideMark/>
          </w:tcPr>
          <w:p w14:paraId="4A293992" w14:textId="77777777" w:rsidR="001B198E" w:rsidRPr="00DC3853" w:rsidRDefault="001B198E" w:rsidP="00E53D9B"/>
        </w:tc>
        <w:tc>
          <w:tcPr>
            <w:tcW w:w="3969" w:type="dxa"/>
            <w:shd w:val="clear" w:color="auto" w:fill="auto"/>
            <w:tcMar>
              <w:top w:w="15" w:type="dxa"/>
              <w:left w:w="15" w:type="dxa"/>
              <w:bottom w:w="0" w:type="dxa"/>
              <w:right w:w="15" w:type="dxa"/>
            </w:tcMar>
            <w:vAlign w:val="center"/>
            <w:hideMark/>
          </w:tcPr>
          <w:p w14:paraId="2A927773" w14:textId="77777777" w:rsidR="001B198E" w:rsidRPr="00DC3853" w:rsidRDefault="001B198E" w:rsidP="00E53D9B">
            <w:r w:rsidRPr="00DC3853">
              <w:t>Kritēriji iesniegti AK</w:t>
            </w:r>
          </w:p>
        </w:tc>
        <w:tc>
          <w:tcPr>
            <w:tcW w:w="851" w:type="dxa"/>
            <w:shd w:val="clear" w:color="auto" w:fill="auto"/>
            <w:tcMar>
              <w:top w:w="15" w:type="dxa"/>
              <w:left w:w="15" w:type="dxa"/>
              <w:bottom w:w="0" w:type="dxa"/>
              <w:right w:w="15" w:type="dxa"/>
            </w:tcMar>
            <w:vAlign w:val="center"/>
            <w:hideMark/>
          </w:tcPr>
          <w:p w14:paraId="4FFD2F59" w14:textId="5557F239" w:rsidR="001B198E" w:rsidRPr="00DC3853" w:rsidRDefault="0003117C" w:rsidP="0003117C">
            <w:pPr>
              <w:jc w:val="center"/>
            </w:pPr>
            <w:r>
              <w:t>-</w:t>
            </w:r>
          </w:p>
        </w:tc>
        <w:tc>
          <w:tcPr>
            <w:tcW w:w="1134" w:type="dxa"/>
            <w:shd w:val="clear" w:color="auto" w:fill="auto"/>
            <w:tcMar>
              <w:top w:w="15" w:type="dxa"/>
              <w:left w:w="15" w:type="dxa"/>
              <w:bottom w:w="0" w:type="dxa"/>
              <w:right w:w="15" w:type="dxa"/>
            </w:tcMar>
            <w:vAlign w:val="center"/>
            <w:hideMark/>
          </w:tcPr>
          <w:p w14:paraId="3F0E487E" w14:textId="77777777" w:rsidR="001B198E" w:rsidRPr="00DC3853" w:rsidRDefault="001B198E" w:rsidP="0003117C">
            <w:pPr>
              <w:jc w:val="center"/>
            </w:pPr>
            <w:r w:rsidRPr="00DC3853">
              <w:t>18</w:t>
            </w:r>
          </w:p>
        </w:tc>
        <w:tc>
          <w:tcPr>
            <w:tcW w:w="1701" w:type="dxa"/>
            <w:shd w:val="clear" w:color="auto" w:fill="auto"/>
            <w:tcMar>
              <w:top w:w="15" w:type="dxa"/>
              <w:left w:w="15" w:type="dxa"/>
              <w:bottom w:w="0" w:type="dxa"/>
              <w:right w:w="15" w:type="dxa"/>
            </w:tcMar>
            <w:vAlign w:val="center"/>
            <w:hideMark/>
          </w:tcPr>
          <w:p w14:paraId="6EFA24A8" w14:textId="283CEB7A" w:rsidR="001B198E" w:rsidRPr="00DC3853" w:rsidRDefault="00247D95" w:rsidP="0003117C">
            <w:pPr>
              <w:jc w:val="center"/>
            </w:pPr>
            <w:r>
              <w:t>4</w:t>
            </w:r>
          </w:p>
        </w:tc>
      </w:tr>
      <w:tr w:rsidR="001B198E" w:rsidRPr="00DC3853" w14:paraId="73B20B79" w14:textId="77777777" w:rsidTr="009E5ED9">
        <w:trPr>
          <w:trHeight w:val="283"/>
        </w:trPr>
        <w:tc>
          <w:tcPr>
            <w:tcW w:w="1126" w:type="dxa"/>
            <w:vMerge/>
            <w:vAlign w:val="center"/>
            <w:hideMark/>
          </w:tcPr>
          <w:p w14:paraId="4A1B94E5" w14:textId="77777777" w:rsidR="001B198E" w:rsidRPr="00DC3853" w:rsidRDefault="001B198E" w:rsidP="00E53D9B"/>
        </w:tc>
        <w:tc>
          <w:tcPr>
            <w:tcW w:w="3969" w:type="dxa"/>
            <w:shd w:val="clear" w:color="auto" w:fill="auto"/>
            <w:tcMar>
              <w:top w:w="15" w:type="dxa"/>
              <w:left w:w="15" w:type="dxa"/>
              <w:bottom w:w="0" w:type="dxa"/>
              <w:right w:w="15" w:type="dxa"/>
            </w:tcMar>
            <w:vAlign w:val="center"/>
            <w:hideMark/>
          </w:tcPr>
          <w:p w14:paraId="1F2BE2F8" w14:textId="77777777" w:rsidR="001B198E" w:rsidRPr="00DC3853" w:rsidRDefault="001B198E" w:rsidP="00E53D9B">
            <w:r w:rsidRPr="00DC3853">
              <w:t>MK noteikumu izsludināti VSS</w:t>
            </w:r>
          </w:p>
        </w:tc>
        <w:tc>
          <w:tcPr>
            <w:tcW w:w="851" w:type="dxa"/>
            <w:shd w:val="clear" w:color="auto" w:fill="auto"/>
            <w:tcMar>
              <w:top w:w="15" w:type="dxa"/>
              <w:left w:w="15" w:type="dxa"/>
              <w:bottom w:w="0" w:type="dxa"/>
              <w:right w:w="15" w:type="dxa"/>
            </w:tcMar>
            <w:vAlign w:val="center"/>
            <w:hideMark/>
          </w:tcPr>
          <w:p w14:paraId="71AF0C66" w14:textId="29F467E0" w:rsidR="001B198E" w:rsidRPr="00DC3853" w:rsidRDefault="0003117C" w:rsidP="0003117C">
            <w:pPr>
              <w:jc w:val="center"/>
            </w:pPr>
            <w:r>
              <w:t>-</w:t>
            </w:r>
          </w:p>
        </w:tc>
        <w:tc>
          <w:tcPr>
            <w:tcW w:w="1134" w:type="dxa"/>
            <w:shd w:val="clear" w:color="auto" w:fill="auto"/>
            <w:tcMar>
              <w:top w:w="15" w:type="dxa"/>
              <w:left w:w="15" w:type="dxa"/>
              <w:bottom w:w="0" w:type="dxa"/>
              <w:right w:w="15" w:type="dxa"/>
            </w:tcMar>
            <w:vAlign w:val="center"/>
            <w:hideMark/>
          </w:tcPr>
          <w:p w14:paraId="637B89C2" w14:textId="77777777" w:rsidR="001B198E" w:rsidRPr="00DC3853" w:rsidRDefault="001B198E" w:rsidP="0003117C">
            <w:pPr>
              <w:jc w:val="center"/>
            </w:pPr>
            <w:r w:rsidRPr="00DC3853">
              <w:t>1</w:t>
            </w:r>
            <w:r>
              <w:t>8</w:t>
            </w:r>
          </w:p>
        </w:tc>
        <w:tc>
          <w:tcPr>
            <w:tcW w:w="1701" w:type="dxa"/>
            <w:shd w:val="clear" w:color="auto" w:fill="auto"/>
            <w:tcMar>
              <w:top w:w="15" w:type="dxa"/>
              <w:left w:w="15" w:type="dxa"/>
              <w:bottom w:w="0" w:type="dxa"/>
              <w:right w:w="15" w:type="dxa"/>
            </w:tcMar>
            <w:vAlign w:val="center"/>
            <w:hideMark/>
          </w:tcPr>
          <w:p w14:paraId="3A3739D2" w14:textId="67AF82ED" w:rsidR="001B198E" w:rsidRPr="00DC3853" w:rsidRDefault="001B198E" w:rsidP="0003117C">
            <w:pPr>
              <w:jc w:val="center"/>
            </w:pPr>
            <w:r>
              <w:t>4</w:t>
            </w:r>
          </w:p>
        </w:tc>
      </w:tr>
      <w:tr w:rsidR="001B198E" w:rsidRPr="00DC3853" w14:paraId="22CB1FA8" w14:textId="77777777" w:rsidTr="009E5ED9">
        <w:trPr>
          <w:trHeight w:val="283"/>
        </w:trPr>
        <w:tc>
          <w:tcPr>
            <w:tcW w:w="1126" w:type="dxa"/>
            <w:vMerge/>
            <w:vAlign w:val="center"/>
            <w:hideMark/>
          </w:tcPr>
          <w:p w14:paraId="106F072A" w14:textId="77777777" w:rsidR="001B198E" w:rsidRPr="00DC3853" w:rsidRDefault="001B198E" w:rsidP="00E53D9B"/>
        </w:tc>
        <w:tc>
          <w:tcPr>
            <w:tcW w:w="3969" w:type="dxa"/>
            <w:shd w:val="clear" w:color="auto" w:fill="auto"/>
            <w:tcMar>
              <w:top w:w="15" w:type="dxa"/>
              <w:left w:w="15" w:type="dxa"/>
              <w:bottom w:w="0" w:type="dxa"/>
              <w:right w:w="15" w:type="dxa"/>
            </w:tcMar>
            <w:vAlign w:val="center"/>
            <w:hideMark/>
          </w:tcPr>
          <w:p w14:paraId="0E728072" w14:textId="77777777" w:rsidR="001B198E" w:rsidRPr="00DC3853" w:rsidRDefault="001B198E" w:rsidP="00E53D9B">
            <w:r w:rsidRPr="00DC3853">
              <w:t>MK noteikumu apstiprināšana MK</w:t>
            </w:r>
          </w:p>
        </w:tc>
        <w:tc>
          <w:tcPr>
            <w:tcW w:w="851" w:type="dxa"/>
            <w:shd w:val="clear" w:color="auto" w:fill="auto"/>
            <w:tcMar>
              <w:top w:w="15" w:type="dxa"/>
              <w:left w:w="15" w:type="dxa"/>
              <w:bottom w:w="0" w:type="dxa"/>
              <w:right w:w="15" w:type="dxa"/>
            </w:tcMar>
            <w:vAlign w:val="center"/>
            <w:hideMark/>
          </w:tcPr>
          <w:p w14:paraId="59B65301" w14:textId="2041B6D2" w:rsidR="001B198E" w:rsidRPr="00DC3853" w:rsidRDefault="0003117C" w:rsidP="0003117C">
            <w:pPr>
              <w:jc w:val="center"/>
            </w:pPr>
            <w:r>
              <w:t>-</w:t>
            </w:r>
          </w:p>
        </w:tc>
        <w:tc>
          <w:tcPr>
            <w:tcW w:w="1134" w:type="dxa"/>
            <w:shd w:val="clear" w:color="auto" w:fill="auto"/>
            <w:tcMar>
              <w:top w:w="15" w:type="dxa"/>
              <w:left w:w="15" w:type="dxa"/>
              <w:bottom w:w="0" w:type="dxa"/>
              <w:right w:w="15" w:type="dxa"/>
            </w:tcMar>
            <w:vAlign w:val="center"/>
            <w:hideMark/>
          </w:tcPr>
          <w:p w14:paraId="429B330B" w14:textId="77777777" w:rsidR="001B198E" w:rsidRPr="00DC3853" w:rsidRDefault="001B198E" w:rsidP="0003117C">
            <w:pPr>
              <w:jc w:val="center"/>
            </w:pPr>
            <w:r w:rsidRPr="00DC3853">
              <w:t>14</w:t>
            </w:r>
          </w:p>
        </w:tc>
        <w:tc>
          <w:tcPr>
            <w:tcW w:w="1701" w:type="dxa"/>
            <w:shd w:val="clear" w:color="auto" w:fill="auto"/>
            <w:tcMar>
              <w:top w:w="15" w:type="dxa"/>
              <w:left w:w="15" w:type="dxa"/>
              <w:bottom w:w="0" w:type="dxa"/>
              <w:right w:w="15" w:type="dxa"/>
            </w:tcMar>
            <w:vAlign w:val="center"/>
            <w:hideMark/>
          </w:tcPr>
          <w:p w14:paraId="00D9136E" w14:textId="5A806E97" w:rsidR="001B198E" w:rsidRPr="00DC3853" w:rsidRDefault="00247D95" w:rsidP="0003117C">
            <w:pPr>
              <w:jc w:val="center"/>
            </w:pPr>
            <w:r>
              <w:t>8</w:t>
            </w:r>
          </w:p>
        </w:tc>
      </w:tr>
      <w:tr w:rsidR="001B198E" w:rsidRPr="00DC3853" w14:paraId="1F3065C1" w14:textId="77777777" w:rsidTr="00DA044A">
        <w:trPr>
          <w:trHeight w:val="283"/>
        </w:trPr>
        <w:tc>
          <w:tcPr>
            <w:tcW w:w="1126" w:type="dxa"/>
            <w:vMerge/>
            <w:vAlign w:val="center"/>
            <w:hideMark/>
          </w:tcPr>
          <w:p w14:paraId="658A2874" w14:textId="77777777" w:rsidR="001B198E" w:rsidRPr="00DC3853" w:rsidRDefault="001B198E" w:rsidP="00E53D9B"/>
        </w:tc>
        <w:tc>
          <w:tcPr>
            <w:tcW w:w="3969" w:type="dxa"/>
            <w:shd w:val="clear" w:color="auto" w:fill="auto"/>
            <w:tcMar>
              <w:top w:w="15" w:type="dxa"/>
              <w:left w:w="15" w:type="dxa"/>
              <w:bottom w:w="0" w:type="dxa"/>
              <w:right w:w="15" w:type="dxa"/>
            </w:tcMar>
            <w:vAlign w:val="center"/>
            <w:hideMark/>
          </w:tcPr>
          <w:p w14:paraId="003EC6DE" w14:textId="77777777" w:rsidR="001B198E" w:rsidRPr="00DC3853" w:rsidRDefault="001B198E" w:rsidP="00E53D9B">
            <w:r w:rsidRPr="00DC3853">
              <w:t>Uzsākta atlase</w:t>
            </w:r>
          </w:p>
        </w:tc>
        <w:tc>
          <w:tcPr>
            <w:tcW w:w="851" w:type="dxa"/>
            <w:shd w:val="clear" w:color="auto" w:fill="auto"/>
            <w:tcMar>
              <w:top w:w="15" w:type="dxa"/>
              <w:left w:w="15" w:type="dxa"/>
              <w:bottom w:w="0" w:type="dxa"/>
              <w:right w:w="15" w:type="dxa"/>
            </w:tcMar>
            <w:vAlign w:val="center"/>
            <w:hideMark/>
          </w:tcPr>
          <w:p w14:paraId="035FF0D8" w14:textId="2992F67A" w:rsidR="001B198E" w:rsidRPr="00DA044A" w:rsidRDefault="00DA044A" w:rsidP="0003117C">
            <w:pPr>
              <w:jc w:val="center"/>
            </w:pPr>
            <w:r>
              <w:t>0</w:t>
            </w:r>
          </w:p>
        </w:tc>
        <w:tc>
          <w:tcPr>
            <w:tcW w:w="1134" w:type="dxa"/>
            <w:shd w:val="clear" w:color="auto" w:fill="auto"/>
            <w:tcMar>
              <w:top w:w="15" w:type="dxa"/>
              <w:left w:w="15" w:type="dxa"/>
              <w:bottom w:w="0" w:type="dxa"/>
              <w:right w:w="15" w:type="dxa"/>
            </w:tcMar>
            <w:vAlign w:val="center"/>
            <w:hideMark/>
          </w:tcPr>
          <w:p w14:paraId="12A738CF" w14:textId="4428CE9B" w:rsidR="001B198E" w:rsidRPr="00DC3853" w:rsidRDefault="00DA044A" w:rsidP="0003117C">
            <w:pPr>
              <w:jc w:val="center"/>
            </w:pPr>
            <w:r>
              <w:t>14</w:t>
            </w:r>
          </w:p>
        </w:tc>
        <w:tc>
          <w:tcPr>
            <w:tcW w:w="1701" w:type="dxa"/>
            <w:shd w:val="clear" w:color="auto" w:fill="auto"/>
            <w:tcMar>
              <w:top w:w="15" w:type="dxa"/>
              <w:left w:w="15" w:type="dxa"/>
              <w:bottom w:w="0" w:type="dxa"/>
              <w:right w:w="15" w:type="dxa"/>
            </w:tcMar>
            <w:vAlign w:val="center"/>
            <w:hideMark/>
          </w:tcPr>
          <w:p w14:paraId="58FDE469" w14:textId="3FBD959B" w:rsidR="001B198E" w:rsidRPr="00DC3853" w:rsidRDefault="00DA044A" w:rsidP="0003117C">
            <w:pPr>
              <w:jc w:val="center"/>
            </w:pPr>
            <w:r>
              <w:t>8</w:t>
            </w:r>
          </w:p>
        </w:tc>
      </w:tr>
      <w:tr w:rsidR="001B198E" w:rsidRPr="00DC3853" w14:paraId="20325900" w14:textId="77777777" w:rsidTr="009E5ED9">
        <w:trPr>
          <w:trHeight w:val="283"/>
        </w:trPr>
        <w:tc>
          <w:tcPr>
            <w:tcW w:w="1126" w:type="dxa"/>
            <w:vMerge/>
            <w:vAlign w:val="center"/>
            <w:hideMark/>
          </w:tcPr>
          <w:p w14:paraId="1EBC5191" w14:textId="77777777" w:rsidR="001B198E" w:rsidRPr="00DC3853" w:rsidRDefault="001B198E" w:rsidP="00E53D9B"/>
        </w:tc>
        <w:tc>
          <w:tcPr>
            <w:tcW w:w="3969" w:type="dxa"/>
            <w:shd w:val="clear" w:color="auto" w:fill="auto"/>
            <w:tcMar>
              <w:top w:w="15" w:type="dxa"/>
              <w:left w:w="15" w:type="dxa"/>
              <w:bottom w:w="0" w:type="dxa"/>
              <w:right w:w="15" w:type="dxa"/>
            </w:tcMar>
            <w:vAlign w:val="center"/>
            <w:hideMark/>
          </w:tcPr>
          <w:p w14:paraId="3991E0D9" w14:textId="77777777" w:rsidR="001B198E" w:rsidRPr="00DC3853" w:rsidRDefault="001B198E" w:rsidP="00E53D9B">
            <w:r w:rsidRPr="00DC3853">
              <w:t>Noslēgti līgumi</w:t>
            </w:r>
          </w:p>
        </w:tc>
        <w:tc>
          <w:tcPr>
            <w:tcW w:w="851" w:type="dxa"/>
            <w:shd w:val="clear" w:color="auto" w:fill="auto"/>
            <w:tcMar>
              <w:top w:w="15" w:type="dxa"/>
              <w:left w:w="15" w:type="dxa"/>
              <w:bottom w:w="0" w:type="dxa"/>
              <w:right w:w="15" w:type="dxa"/>
            </w:tcMar>
            <w:vAlign w:val="center"/>
            <w:hideMark/>
          </w:tcPr>
          <w:p w14:paraId="2C6BAF03" w14:textId="140F63D8" w:rsidR="001B198E" w:rsidRPr="00DC3853" w:rsidRDefault="0003117C" w:rsidP="0003117C">
            <w:pPr>
              <w:jc w:val="center"/>
            </w:pPr>
            <w:r>
              <w:t>-</w:t>
            </w:r>
          </w:p>
        </w:tc>
        <w:tc>
          <w:tcPr>
            <w:tcW w:w="1134" w:type="dxa"/>
            <w:shd w:val="clear" w:color="auto" w:fill="auto"/>
            <w:tcMar>
              <w:top w:w="15" w:type="dxa"/>
              <w:left w:w="15" w:type="dxa"/>
              <w:bottom w:w="0" w:type="dxa"/>
              <w:right w:w="15" w:type="dxa"/>
            </w:tcMar>
            <w:vAlign w:val="center"/>
            <w:hideMark/>
          </w:tcPr>
          <w:p w14:paraId="3A25D930" w14:textId="705C0F6E" w:rsidR="001B198E" w:rsidRPr="00DC3853" w:rsidRDefault="00BE790F" w:rsidP="0003117C">
            <w:pPr>
              <w:jc w:val="center"/>
            </w:pPr>
            <w:r>
              <w:t>14</w:t>
            </w:r>
          </w:p>
        </w:tc>
        <w:tc>
          <w:tcPr>
            <w:tcW w:w="1701" w:type="dxa"/>
            <w:shd w:val="clear" w:color="auto" w:fill="auto"/>
            <w:tcMar>
              <w:top w:w="15" w:type="dxa"/>
              <w:left w:w="15" w:type="dxa"/>
              <w:bottom w:w="0" w:type="dxa"/>
              <w:right w:w="15" w:type="dxa"/>
            </w:tcMar>
            <w:vAlign w:val="center"/>
            <w:hideMark/>
          </w:tcPr>
          <w:p w14:paraId="67B4DA94" w14:textId="2D7608DF" w:rsidR="001B198E" w:rsidRPr="00DC3853" w:rsidRDefault="0003117C" w:rsidP="0003117C">
            <w:pPr>
              <w:jc w:val="center"/>
            </w:pPr>
            <w:r>
              <w:t>-</w:t>
            </w:r>
          </w:p>
        </w:tc>
      </w:tr>
      <w:tr w:rsidR="001B198E" w:rsidRPr="00DC3853" w14:paraId="58D1B896" w14:textId="77777777" w:rsidTr="009E5ED9">
        <w:trPr>
          <w:trHeight w:val="682"/>
        </w:trPr>
        <w:tc>
          <w:tcPr>
            <w:tcW w:w="1126" w:type="dxa"/>
            <w:vAlign w:val="center"/>
          </w:tcPr>
          <w:p w14:paraId="468D2ACB" w14:textId="77777777" w:rsidR="001B198E" w:rsidRPr="00DC3853" w:rsidRDefault="001B198E" w:rsidP="00E53D9B">
            <w:r>
              <w:t>Riski</w:t>
            </w:r>
          </w:p>
        </w:tc>
        <w:tc>
          <w:tcPr>
            <w:tcW w:w="7655" w:type="dxa"/>
            <w:gridSpan w:val="4"/>
            <w:shd w:val="clear" w:color="auto" w:fill="auto"/>
            <w:tcMar>
              <w:top w:w="15" w:type="dxa"/>
              <w:left w:w="15" w:type="dxa"/>
              <w:bottom w:w="0" w:type="dxa"/>
              <w:right w:w="15" w:type="dxa"/>
            </w:tcMar>
            <w:vAlign w:val="center"/>
          </w:tcPr>
          <w:p w14:paraId="4B584436" w14:textId="77777777" w:rsidR="003D5C3B" w:rsidRDefault="001B198E" w:rsidP="00E32555">
            <w:pPr>
              <w:jc w:val="both"/>
            </w:pPr>
            <w:r>
              <w:t xml:space="preserve">LM kopumā precīzi ievēro SAM/pasākumu ieviešanas laika grafikā plānotos termiņus. </w:t>
            </w:r>
          </w:p>
          <w:p w14:paraId="1AFBB6F2" w14:textId="0D81D3E9" w:rsidR="003D5C3B" w:rsidRDefault="001B198E" w:rsidP="00E32555">
            <w:pPr>
              <w:jc w:val="both"/>
            </w:pPr>
            <w:r>
              <w:t xml:space="preserve">Pagaidām nav iemesla uzskatīt, ka pastāv risks nesasniegt </w:t>
            </w:r>
            <w:r w:rsidRPr="00A860D0">
              <w:t xml:space="preserve">2018.gadam </w:t>
            </w:r>
            <w:r w:rsidR="006B65F7">
              <w:t>noteiktos</w:t>
            </w:r>
            <w:r w:rsidR="006B65F7" w:rsidRPr="00A860D0">
              <w:t xml:space="preserve"> </w:t>
            </w:r>
            <w:r w:rsidRPr="00A860D0">
              <w:t>snieguma ietvara un finanšu mērķus</w:t>
            </w:r>
            <w:r w:rsidRPr="001F2E07">
              <w:t>.</w:t>
            </w:r>
          </w:p>
          <w:p w14:paraId="30AF86C3" w14:textId="13F35C70" w:rsidR="001B198E" w:rsidRPr="001F2E07" w:rsidRDefault="001F2E07" w:rsidP="00E32555">
            <w:pPr>
              <w:jc w:val="both"/>
              <w:rPr>
                <w:rFonts w:eastAsia="Times New Roman" w:cs="Times New Roman"/>
                <w:szCs w:val="24"/>
                <w:highlight w:val="yellow"/>
              </w:rPr>
            </w:pPr>
            <w:r w:rsidRPr="001F2E07">
              <w:t>LM arī ir vislielākais progress SAM ieviešanas nosacījumu izstrādē.</w:t>
            </w:r>
          </w:p>
        </w:tc>
      </w:tr>
    </w:tbl>
    <w:p w14:paraId="260AA283" w14:textId="7CD0EB5A" w:rsidR="006B4C6F" w:rsidRPr="00397C77" w:rsidRDefault="00397C77" w:rsidP="00624261">
      <w:pPr>
        <w:spacing w:before="120" w:after="120" w:line="276" w:lineRule="auto"/>
        <w:jc w:val="both"/>
        <w:rPr>
          <w:rFonts w:eastAsia="Times New Roman" w:cs="Times New Roman"/>
          <w:b/>
          <w:szCs w:val="24"/>
        </w:rPr>
      </w:pPr>
      <w:r>
        <w:t>Tabula</w:t>
      </w:r>
      <w:r w:rsidR="006060BB" w:rsidRPr="00397C77">
        <w:t xml:space="preserve"> Nr.</w:t>
      </w:r>
      <w:r w:rsidR="00001327">
        <w:t>8</w:t>
      </w:r>
      <w:r w:rsidR="006060BB" w:rsidRPr="00397C77">
        <w:t xml:space="preserve"> </w:t>
      </w:r>
      <w:r w:rsidR="006060BB" w:rsidRPr="00397C77">
        <w:rPr>
          <w:i/>
        </w:rPr>
        <w:t>„SM progress</w:t>
      </w:r>
      <w:r w:rsidR="00416300" w:rsidRPr="00416300">
        <w:rPr>
          <w:i/>
        </w:rPr>
        <w:t xml:space="preserve"> </w:t>
      </w:r>
      <w:r w:rsidR="005A7060">
        <w:rPr>
          <w:i/>
        </w:rPr>
        <w:t>uz 2016.gada 20</w:t>
      </w:r>
      <w:r w:rsidR="00416300">
        <w:rPr>
          <w:i/>
        </w:rPr>
        <w:t>.janvāri</w:t>
      </w:r>
      <w:r w:rsidR="006060BB" w:rsidRPr="00397C77">
        <w:rPr>
          <w:i/>
        </w:rPr>
        <w:t xml:space="preserve"> SAM ieviešanā”</w:t>
      </w:r>
    </w:p>
    <w:tbl>
      <w:tblPr>
        <w:tblW w:w="8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1126"/>
        <w:gridCol w:w="3828"/>
        <w:gridCol w:w="992"/>
        <w:gridCol w:w="1134"/>
        <w:gridCol w:w="1701"/>
      </w:tblGrid>
      <w:tr w:rsidR="00397C77" w:rsidRPr="00F06E04" w14:paraId="18E3CEA1" w14:textId="77777777" w:rsidTr="009E5ED9">
        <w:trPr>
          <w:trHeight w:val="283"/>
        </w:trPr>
        <w:tc>
          <w:tcPr>
            <w:tcW w:w="8781" w:type="dxa"/>
            <w:gridSpan w:val="5"/>
            <w:shd w:val="clear" w:color="auto" w:fill="auto"/>
            <w:tcMar>
              <w:top w:w="15" w:type="dxa"/>
              <w:left w:w="15" w:type="dxa"/>
              <w:bottom w:w="0" w:type="dxa"/>
              <w:right w:w="15" w:type="dxa"/>
            </w:tcMar>
            <w:vAlign w:val="center"/>
          </w:tcPr>
          <w:p w14:paraId="229713EA" w14:textId="77777777" w:rsidR="00397C77" w:rsidRPr="00F06E04" w:rsidRDefault="00397C77" w:rsidP="00E53D9B">
            <w:pPr>
              <w:rPr>
                <w:b/>
                <w:bCs/>
              </w:rPr>
            </w:pPr>
            <w:r w:rsidRPr="00F06E04">
              <w:rPr>
                <w:b/>
                <w:bCs/>
              </w:rPr>
              <w:t>SM SAM/pasākumu ieviešanas statuss</w:t>
            </w:r>
          </w:p>
        </w:tc>
      </w:tr>
      <w:tr w:rsidR="00397C77" w:rsidRPr="00F06E04" w14:paraId="629B6444" w14:textId="77777777" w:rsidTr="009E5ED9">
        <w:trPr>
          <w:trHeight w:val="283"/>
        </w:trPr>
        <w:tc>
          <w:tcPr>
            <w:tcW w:w="4954" w:type="dxa"/>
            <w:gridSpan w:val="2"/>
            <w:shd w:val="clear" w:color="auto" w:fill="auto"/>
            <w:tcMar>
              <w:top w:w="15" w:type="dxa"/>
              <w:left w:w="15" w:type="dxa"/>
              <w:bottom w:w="0" w:type="dxa"/>
              <w:right w:w="15" w:type="dxa"/>
            </w:tcMar>
            <w:vAlign w:val="center"/>
            <w:hideMark/>
          </w:tcPr>
          <w:p w14:paraId="767AA910" w14:textId="77777777" w:rsidR="00397C77" w:rsidRPr="00F06E04" w:rsidRDefault="00397C77" w:rsidP="00E53D9B">
            <w:r w:rsidRPr="00F06E04">
              <w:t>SAM/pasākumu kopējais skaits</w:t>
            </w:r>
          </w:p>
        </w:tc>
        <w:tc>
          <w:tcPr>
            <w:tcW w:w="3827" w:type="dxa"/>
            <w:gridSpan w:val="3"/>
            <w:shd w:val="clear" w:color="auto" w:fill="auto"/>
            <w:tcMar>
              <w:top w:w="15" w:type="dxa"/>
              <w:left w:w="15" w:type="dxa"/>
              <w:bottom w:w="0" w:type="dxa"/>
              <w:right w:w="15" w:type="dxa"/>
            </w:tcMar>
            <w:vAlign w:val="center"/>
            <w:hideMark/>
          </w:tcPr>
          <w:p w14:paraId="5AB4BBF4" w14:textId="77777777" w:rsidR="00397C77" w:rsidRPr="00F06E04" w:rsidRDefault="00397C77" w:rsidP="00E53D9B">
            <w:r w:rsidRPr="00F06E04">
              <w:rPr>
                <w:b/>
                <w:bCs/>
              </w:rPr>
              <w:t>14</w:t>
            </w:r>
          </w:p>
        </w:tc>
      </w:tr>
      <w:tr w:rsidR="00397C77" w:rsidRPr="00F06E04" w14:paraId="006C3048" w14:textId="77777777" w:rsidTr="009E5ED9">
        <w:trPr>
          <w:trHeight w:val="283"/>
        </w:trPr>
        <w:tc>
          <w:tcPr>
            <w:tcW w:w="4954" w:type="dxa"/>
            <w:gridSpan w:val="2"/>
            <w:shd w:val="clear" w:color="auto" w:fill="auto"/>
            <w:tcMar>
              <w:top w:w="15" w:type="dxa"/>
              <w:left w:w="15" w:type="dxa"/>
              <w:bottom w:w="0" w:type="dxa"/>
              <w:right w:w="15" w:type="dxa"/>
            </w:tcMar>
            <w:vAlign w:val="center"/>
            <w:hideMark/>
          </w:tcPr>
          <w:p w14:paraId="7E6282BB" w14:textId="77777777" w:rsidR="00397C77" w:rsidRPr="00F06E04" w:rsidRDefault="00397C77" w:rsidP="00E53D9B">
            <w:r w:rsidRPr="00F06E04">
              <w:t xml:space="preserve">SAM kopējais KP finansējums, </w:t>
            </w:r>
            <w:r w:rsidRPr="00D676B6">
              <w:rPr>
                <w:i/>
              </w:rPr>
              <w:t xml:space="preserve">euro </w:t>
            </w:r>
          </w:p>
        </w:tc>
        <w:tc>
          <w:tcPr>
            <w:tcW w:w="3827" w:type="dxa"/>
            <w:gridSpan w:val="3"/>
            <w:shd w:val="clear" w:color="auto" w:fill="auto"/>
            <w:tcMar>
              <w:top w:w="15" w:type="dxa"/>
              <w:left w:w="15" w:type="dxa"/>
              <w:bottom w:w="0" w:type="dxa"/>
              <w:right w:w="15" w:type="dxa"/>
            </w:tcMar>
            <w:vAlign w:val="center"/>
            <w:hideMark/>
          </w:tcPr>
          <w:p w14:paraId="243E2DB5" w14:textId="77777777" w:rsidR="00397C77" w:rsidRPr="00DA044A" w:rsidRDefault="00397C77" w:rsidP="00E53D9B">
            <w:pPr>
              <w:rPr>
                <w:b/>
              </w:rPr>
            </w:pPr>
            <w:r w:rsidRPr="00DA044A">
              <w:rPr>
                <w:b/>
              </w:rPr>
              <w:t>1 319 355 340</w:t>
            </w:r>
          </w:p>
        </w:tc>
      </w:tr>
      <w:tr w:rsidR="00397C77" w:rsidRPr="00F06E04" w14:paraId="6AC081B7" w14:textId="77777777" w:rsidTr="009E5ED9">
        <w:trPr>
          <w:trHeight w:val="342"/>
        </w:trPr>
        <w:tc>
          <w:tcPr>
            <w:tcW w:w="4954" w:type="dxa"/>
            <w:gridSpan w:val="2"/>
            <w:shd w:val="clear" w:color="auto" w:fill="auto"/>
            <w:tcMar>
              <w:top w:w="15" w:type="dxa"/>
              <w:left w:w="15" w:type="dxa"/>
              <w:bottom w:w="0" w:type="dxa"/>
              <w:right w:w="15" w:type="dxa"/>
            </w:tcMar>
            <w:vAlign w:val="center"/>
            <w:hideMark/>
          </w:tcPr>
          <w:p w14:paraId="5184DE1F" w14:textId="77777777" w:rsidR="00397C77" w:rsidRPr="00F06E04" w:rsidRDefault="00397C77" w:rsidP="00E53D9B">
            <w:r w:rsidRPr="00F06E04">
              <w:t>Statuss</w:t>
            </w:r>
          </w:p>
        </w:tc>
        <w:tc>
          <w:tcPr>
            <w:tcW w:w="992" w:type="dxa"/>
            <w:shd w:val="clear" w:color="auto" w:fill="FF9999"/>
            <w:tcMar>
              <w:top w:w="15" w:type="dxa"/>
              <w:left w:w="15" w:type="dxa"/>
              <w:bottom w:w="0" w:type="dxa"/>
              <w:right w:w="15" w:type="dxa"/>
            </w:tcMar>
            <w:vAlign w:val="center"/>
            <w:hideMark/>
          </w:tcPr>
          <w:p w14:paraId="714A2C4B" w14:textId="77777777" w:rsidR="00397C77" w:rsidRPr="00F06E04" w:rsidRDefault="00397C77" w:rsidP="0003117C">
            <w:pPr>
              <w:jc w:val="center"/>
            </w:pPr>
            <w:r w:rsidRPr="00F06E04">
              <w:t>Kavēts</w:t>
            </w:r>
          </w:p>
        </w:tc>
        <w:tc>
          <w:tcPr>
            <w:tcW w:w="1134" w:type="dxa"/>
            <w:shd w:val="clear" w:color="auto" w:fill="auto"/>
            <w:tcMar>
              <w:top w:w="15" w:type="dxa"/>
              <w:left w:w="15" w:type="dxa"/>
              <w:bottom w:w="0" w:type="dxa"/>
              <w:right w:w="15" w:type="dxa"/>
            </w:tcMar>
            <w:vAlign w:val="center"/>
            <w:hideMark/>
          </w:tcPr>
          <w:p w14:paraId="4592272A" w14:textId="479DD9AA" w:rsidR="00397C77" w:rsidRPr="00F06E04" w:rsidRDefault="00397C77" w:rsidP="0003117C">
            <w:pPr>
              <w:jc w:val="center"/>
            </w:pPr>
            <w:r w:rsidRPr="00F06E04">
              <w:t>Izpildīts</w:t>
            </w:r>
          </w:p>
        </w:tc>
        <w:tc>
          <w:tcPr>
            <w:tcW w:w="1701" w:type="dxa"/>
            <w:shd w:val="clear" w:color="auto" w:fill="auto"/>
            <w:tcMar>
              <w:top w:w="15" w:type="dxa"/>
              <w:left w:w="15" w:type="dxa"/>
              <w:bottom w:w="0" w:type="dxa"/>
              <w:right w:w="15" w:type="dxa"/>
            </w:tcMar>
            <w:vAlign w:val="center"/>
            <w:hideMark/>
          </w:tcPr>
          <w:p w14:paraId="12F56215" w14:textId="77777777" w:rsidR="00397C77" w:rsidRPr="00F06E04" w:rsidRDefault="00397C77" w:rsidP="0003117C">
            <w:pPr>
              <w:jc w:val="center"/>
            </w:pPr>
            <w:r w:rsidRPr="00F06E04">
              <w:t>Nav pienācis</w:t>
            </w:r>
          </w:p>
        </w:tc>
      </w:tr>
      <w:tr w:rsidR="00397C77" w:rsidRPr="00F06E04" w14:paraId="07FF53BF" w14:textId="77777777" w:rsidTr="009E5ED9">
        <w:trPr>
          <w:trHeight w:val="283"/>
        </w:trPr>
        <w:tc>
          <w:tcPr>
            <w:tcW w:w="1126" w:type="dxa"/>
            <w:vMerge w:val="restart"/>
            <w:shd w:val="clear" w:color="auto" w:fill="auto"/>
            <w:tcMar>
              <w:top w:w="15" w:type="dxa"/>
              <w:left w:w="15" w:type="dxa"/>
              <w:bottom w:w="0" w:type="dxa"/>
              <w:right w:w="15" w:type="dxa"/>
            </w:tcMar>
            <w:vAlign w:val="center"/>
            <w:hideMark/>
          </w:tcPr>
          <w:p w14:paraId="763D2B42" w14:textId="230B8E62" w:rsidR="00397C77" w:rsidRPr="00F06E04" w:rsidRDefault="00397C77" w:rsidP="00E53D9B">
            <w:r w:rsidRPr="00F06E04">
              <w:t>SAM/</w:t>
            </w:r>
            <w:r w:rsidR="00D676B6">
              <w:t xml:space="preserve"> </w:t>
            </w:r>
            <w:r w:rsidRPr="00F06E04">
              <w:t>pasākumu skaits</w:t>
            </w:r>
          </w:p>
        </w:tc>
        <w:tc>
          <w:tcPr>
            <w:tcW w:w="3828" w:type="dxa"/>
            <w:shd w:val="clear" w:color="auto" w:fill="auto"/>
            <w:tcMar>
              <w:top w:w="15" w:type="dxa"/>
              <w:left w:w="15" w:type="dxa"/>
              <w:bottom w:w="0" w:type="dxa"/>
              <w:right w:w="15" w:type="dxa"/>
            </w:tcMar>
            <w:vAlign w:val="center"/>
            <w:hideMark/>
          </w:tcPr>
          <w:p w14:paraId="23B184C1" w14:textId="77777777" w:rsidR="00397C77" w:rsidRPr="00F06E04" w:rsidRDefault="00397C77" w:rsidP="00E53D9B">
            <w:r w:rsidRPr="00F06E04">
              <w:t xml:space="preserve">Sākotnējā novērtējuma iesniegšana </w:t>
            </w:r>
          </w:p>
        </w:tc>
        <w:tc>
          <w:tcPr>
            <w:tcW w:w="992" w:type="dxa"/>
            <w:shd w:val="clear" w:color="auto" w:fill="FF9999"/>
            <w:tcMar>
              <w:top w:w="15" w:type="dxa"/>
              <w:left w:w="15" w:type="dxa"/>
              <w:bottom w:w="0" w:type="dxa"/>
              <w:right w:w="15" w:type="dxa"/>
            </w:tcMar>
            <w:vAlign w:val="center"/>
            <w:hideMark/>
          </w:tcPr>
          <w:p w14:paraId="6C3EAAAA" w14:textId="1CD03ECC" w:rsidR="00397C77" w:rsidRPr="00F06E04" w:rsidRDefault="00144AB6" w:rsidP="0003117C">
            <w:pPr>
              <w:jc w:val="center"/>
            </w:pPr>
            <w:r>
              <w:t>2</w:t>
            </w:r>
          </w:p>
        </w:tc>
        <w:tc>
          <w:tcPr>
            <w:tcW w:w="1134" w:type="dxa"/>
            <w:shd w:val="clear" w:color="auto" w:fill="auto"/>
            <w:tcMar>
              <w:top w:w="15" w:type="dxa"/>
              <w:left w:w="15" w:type="dxa"/>
              <w:bottom w:w="0" w:type="dxa"/>
              <w:right w:w="15" w:type="dxa"/>
            </w:tcMar>
            <w:vAlign w:val="center"/>
            <w:hideMark/>
          </w:tcPr>
          <w:p w14:paraId="3B2631B2" w14:textId="77777777" w:rsidR="00397C77" w:rsidRPr="00F06E04" w:rsidRDefault="00397C77" w:rsidP="0003117C">
            <w:pPr>
              <w:jc w:val="center"/>
            </w:pPr>
            <w:r>
              <w:t>9</w:t>
            </w:r>
          </w:p>
        </w:tc>
        <w:tc>
          <w:tcPr>
            <w:tcW w:w="1701" w:type="dxa"/>
            <w:shd w:val="clear" w:color="auto" w:fill="auto"/>
            <w:tcMar>
              <w:top w:w="15" w:type="dxa"/>
              <w:left w:w="15" w:type="dxa"/>
              <w:bottom w:w="0" w:type="dxa"/>
              <w:right w:w="15" w:type="dxa"/>
            </w:tcMar>
            <w:vAlign w:val="center"/>
            <w:hideMark/>
          </w:tcPr>
          <w:p w14:paraId="434D4FE8" w14:textId="7C05D027" w:rsidR="00397C77" w:rsidRPr="00F06E04" w:rsidRDefault="00144AB6" w:rsidP="0003117C">
            <w:pPr>
              <w:jc w:val="center"/>
            </w:pPr>
            <w:r>
              <w:t>3</w:t>
            </w:r>
          </w:p>
        </w:tc>
      </w:tr>
      <w:tr w:rsidR="00397C77" w:rsidRPr="00F06E04" w14:paraId="158F0A43" w14:textId="77777777" w:rsidTr="009E5ED9">
        <w:trPr>
          <w:trHeight w:val="283"/>
        </w:trPr>
        <w:tc>
          <w:tcPr>
            <w:tcW w:w="1126" w:type="dxa"/>
            <w:vMerge/>
            <w:vAlign w:val="center"/>
            <w:hideMark/>
          </w:tcPr>
          <w:p w14:paraId="693C7F68" w14:textId="77777777" w:rsidR="00397C77" w:rsidRPr="00F06E04" w:rsidRDefault="00397C77" w:rsidP="00E53D9B"/>
        </w:tc>
        <w:tc>
          <w:tcPr>
            <w:tcW w:w="3828" w:type="dxa"/>
            <w:shd w:val="clear" w:color="auto" w:fill="auto"/>
            <w:tcMar>
              <w:top w:w="15" w:type="dxa"/>
              <w:left w:w="15" w:type="dxa"/>
              <w:bottom w:w="0" w:type="dxa"/>
              <w:right w:w="15" w:type="dxa"/>
            </w:tcMar>
            <w:vAlign w:val="center"/>
            <w:hideMark/>
          </w:tcPr>
          <w:p w14:paraId="50F09B63" w14:textId="77777777" w:rsidR="00397C77" w:rsidRPr="00F06E04" w:rsidRDefault="00397C77" w:rsidP="00E53D9B">
            <w:r w:rsidRPr="00F06E04">
              <w:t>Kritēriji iesniegti AK</w:t>
            </w:r>
          </w:p>
        </w:tc>
        <w:tc>
          <w:tcPr>
            <w:tcW w:w="992" w:type="dxa"/>
            <w:shd w:val="clear" w:color="auto" w:fill="FF9999"/>
            <w:tcMar>
              <w:top w:w="15" w:type="dxa"/>
              <w:left w:w="15" w:type="dxa"/>
              <w:bottom w:w="0" w:type="dxa"/>
              <w:right w:w="15" w:type="dxa"/>
            </w:tcMar>
            <w:vAlign w:val="center"/>
            <w:hideMark/>
          </w:tcPr>
          <w:p w14:paraId="3986004E" w14:textId="093379CA" w:rsidR="00397C77" w:rsidRPr="00F06E04" w:rsidRDefault="00144AB6" w:rsidP="0003117C">
            <w:pPr>
              <w:jc w:val="center"/>
            </w:pPr>
            <w:r>
              <w:t>4</w:t>
            </w:r>
          </w:p>
        </w:tc>
        <w:tc>
          <w:tcPr>
            <w:tcW w:w="1134" w:type="dxa"/>
            <w:shd w:val="clear" w:color="auto" w:fill="auto"/>
            <w:tcMar>
              <w:top w:w="15" w:type="dxa"/>
              <w:left w:w="15" w:type="dxa"/>
              <w:bottom w:w="0" w:type="dxa"/>
              <w:right w:w="15" w:type="dxa"/>
            </w:tcMar>
            <w:vAlign w:val="center"/>
            <w:hideMark/>
          </w:tcPr>
          <w:p w14:paraId="64C673EB" w14:textId="77777777" w:rsidR="00397C77" w:rsidRPr="00F06E04" w:rsidRDefault="00397C77" w:rsidP="0003117C">
            <w:pPr>
              <w:jc w:val="center"/>
            </w:pPr>
            <w:r w:rsidRPr="00F06E04">
              <w:t>10</w:t>
            </w:r>
          </w:p>
        </w:tc>
        <w:tc>
          <w:tcPr>
            <w:tcW w:w="1701" w:type="dxa"/>
            <w:shd w:val="clear" w:color="auto" w:fill="auto"/>
            <w:tcMar>
              <w:top w:w="15" w:type="dxa"/>
              <w:left w:w="15" w:type="dxa"/>
              <w:bottom w:w="0" w:type="dxa"/>
              <w:right w:w="15" w:type="dxa"/>
            </w:tcMar>
            <w:vAlign w:val="center"/>
            <w:hideMark/>
          </w:tcPr>
          <w:p w14:paraId="129C69AF" w14:textId="16D3E000" w:rsidR="00397C77" w:rsidRPr="00F06E04" w:rsidRDefault="00144AB6" w:rsidP="0003117C">
            <w:pPr>
              <w:jc w:val="center"/>
            </w:pPr>
            <w:r>
              <w:t>0</w:t>
            </w:r>
          </w:p>
        </w:tc>
      </w:tr>
      <w:tr w:rsidR="00397C77" w:rsidRPr="00F06E04" w14:paraId="62606B78" w14:textId="77777777" w:rsidTr="009E5ED9">
        <w:trPr>
          <w:trHeight w:val="283"/>
        </w:trPr>
        <w:tc>
          <w:tcPr>
            <w:tcW w:w="1126" w:type="dxa"/>
            <w:vMerge/>
            <w:vAlign w:val="center"/>
            <w:hideMark/>
          </w:tcPr>
          <w:p w14:paraId="2B895BD9" w14:textId="77777777" w:rsidR="00397C77" w:rsidRPr="00F06E04" w:rsidRDefault="00397C77" w:rsidP="00E53D9B"/>
        </w:tc>
        <w:tc>
          <w:tcPr>
            <w:tcW w:w="3828" w:type="dxa"/>
            <w:shd w:val="clear" w:color="auto" w:fill="auto"/>
            <w:tcMar>
              <w:top w:w="15" w:type="dxa"/>
              <w:left w:w="15" w:type="dxa"/>
              <w:bottom w:w="0" w:type="dxa"/>
              <w:right w:w="15" w:type="dxa"/>
            </w:tcMar>
            <w:vAlign w:val="center"/>
            <w:hideMark/>
          </w:tcPr>
          <w:p w14:paraId="4F954D74" w14:textId="77777777" w:rsidR="00397C77" w:rsidRPr="00F06E04" w:rsidRDefault="00397C77" w:rsidP="00E53D9B">
            <w:r w:rsidRPr="00F06E04">
              <w:t>MK noteikumu izsludināti VSS</w:t>
            </w:r>
          </w:p>
        </w:tc>
        <w:tc>
          <w:tcPr>
            <w:tcW w:w="992" w:type="dxa"/>
            <w:shd w:val="clear" w:color="auto" w:fill="FF9999"/>
            <w:tcMar>
              <w:top w:w="15" w:type="dxa"/>
              <w:left w:w="15" w:type="dxa"/>
              <w:bottom w:w="0" w:type="dxa"/>
              <w:right w:w="15" w:type="dxa"/>
            </w:tcMar>
            <w:vAlign w:val="center"/>
            <w:hideMark/>
          </w:tcPr>
          <w:p w14:paraId="2DC928C5" w14:textId="77777777" w:rsidR="00397C77" w:rsidRPr="00F06E04" w:rsidRDefault="00397C77" w:rsidP="0003117C">
            <w:pPr>
              <w:jc w:val="center"/>
            </w:pPr>
            <w:r>
              <w:t>5</w:t>
            </w:r>
          </w:p>
        </w:tc>
        <w:tc>
          <w:tcPr>
            <w:tcW w:w="1134" w:type="dxa"/>
            <w:shd w:val="clear" w:color="auto" w:fill="auto"/>
            <w:tcMar>
              <w:top w:w="15" w:type="dxa"/>
              <w:left w:w="15" w:type="dxa"/>
              <w:bottom w:w="0" w:type="dxa"/>
              <w:right w:w="15" w:type="dxa"/>
            </w:tcMar>
            <w:vAlign w:val="center"/>
            <w:hideMark/>
          </w:tcPr>
          <w:p w14:paraId="192DC7F0" w14:textId="77777777" w:rsidR="00397C77" w:rsidRPr="00F06E04" w:rsidRDefault="00397C77" w:rsidP="0003117C">
            <w:pPr>
              <w:jc w:val="center"/>
            </w:pPr>
            <w:r w:rsidRPr="00F06E04">
              <w:t>4</w:t>
            </w:r>
          </w:p>
        </w:tc>
        <w:tc>
          <w:tcPr>
            <w:tcW w:w="1701" w:type="dxa"/>
            <w:shd w:val="clear" w:color="auto" w:fill="auto"/>
            <w:tcMar>
              <w:top w:w="15" w:type="dxa"/>
              <w:left w:w="15" w:type="dxa"/>
              <w:bottom w:w="0" w:type="dxa"/>
              <w:right w:w="15" w:type="dxa"/>
            </w:tcMar>
            <w:vAlign w:val="center"/>
            <w:hideMark/>
          </w:tcPr>
          <w:p w14:paraId="41C94B74" w14:textId="15943D87" w:rsidR="00397C77" w:rsidRPr="00F06E04" w:rsidRDefault="00397C77" w:rsidP="0003117C">
            <w:pPr>
              <w:jc w:val="center"/>
            </w:pPr>
            <w:r>
              <w:t>5</w:t>
            </w:r>
          </w:p>
        </w:tc>
      </w:tr>
      <w:tr w:rsidR="00397C77" w:rsidRPr="00F06E04" w14:paraId="30A0E5EA" w14:textId="77777777" w:rsidTr="009E5ED9">
        <w:trPr>
          <w:trHeight w:val="283"/>
        </w:trPr>
        <w:tc>
          <w:tcPr>
            <w:tcW w:w="1126" w:type="dxa"/>
            <w:vMerge/>
            <w:vAlign w:val="center"/>
            <w:hideMark/>
          </w:tcPr>
          <w:p w14:paraId="2807BBA1" w14:textId="77777777" w:rsidR="00397C77" w:rsidRPr="00F06E04" w:rsidRDefault="00397C77" w:rsidP="00E53D9B"/>
        </w:tc>
        <w:tc>
          <w:tcPr>
            <w:tcW w:w="3828" w:type="dxa"/>
            <w:shd w:val="clear" w:color="auto" w:fill="auto"/>
            <w:tcMar>
              <w:top w:w="15" w:type="dxa"/>
              <w:left w:w="15" w:type="dxa"/>
              <w:bottom w:w="0" w:type="dxa"/>
              <w:right w:w="15" w:type="dxa"/>
            </w:tcMar>
            <w:vAlign w:val="center"/>
            <w:hideMark/>
          </w:tcPr>
          <w:p w14:paraId="4BB5CB95" w14:textId="77777777" w:rsidR="00397C77" w:rsidRPr="00F06E04" w:rsidRDefault="00397C77" w:rsidP="00E53D9B">
            <w:r w:rsidRPr="00F06E04">
              <w:t>MK noteikumu apstiprināšana MK</w:t>
            </w:r>
          </w:p>
        </w:tc>
        <w:tc>
          <w:tcPr>
            <w:tcW w:w="992" w:type="dxa"/>
            <w:shd w:val="clear" w:color="auto" w:fill="FF9999"/>
            <w:tcMar>
              <w:top w:w="15" w:type="dxa"/>
              <w:left w:w="15" w:type="dxa"/>
              <w:bottom w:w="0" w:type="dxa"/>
              <w:right w:w="15" w:type="dxa"/>
            </w:tcMar>
            <w:vAlign w:val="center"/>
            <w:hideMark/>
          </w:tcPr>
          <w:p w14:paraId="184FE088" w14:textId="77777777" w:rsidR="00397C77" w:rsidRPr="00F06E04" w:rsidRDefault="00397C77" w:rsidP="0003117C">
            <w:pPr>
              <w:jc w:val="center"/>
            </w:pPr>
            <w:r>
              <w:t>3</w:t>
            </w:r>
          </w:p>
        </w:tc>
        <w:tc>
          <w:tcPr>
            <w:tcW w:w="1134" w:type="dxa"/>
            <w:shd w:val="clear" w:color="auto" w:fill="auto"/>
            <w:tcMar>
              <w:top w:w="15" w:type="dxa"/>
              <w:left w:w="15" w:type="dxa"/>
              <w:bottom w:w="0" w:type="dxa"/>
              <w:right w:w="15" w:type="dxa"/>
            </w:tcMar>
            <w:vAlign w:val="center"/>
            <w:hideMark/>
          </w:tcPr>
          <w:p w14:paraId="4B658D3C" w14:textId="77777777" w:rsidR="00397C77" w:rsidRPr="00F06E04" w:rsidRDefault="00397C77" w:rsidP="0003117C">
            <w:pPr>
              <w:jc w:val="center"/>
            </w:pPr>
            <w:r>
              <w:t>3</w:t>
            </w:r>
          </w:p>
        </w:tc>
        <w:tc>
          <w:tcPr>
            <w:tcW w:w="1701" w:type="dxa"/>
            <w:shd w:val="clear" w:color="auto" w:fill="auto"/>
            <w:tcMar>
              <w:top w:w="15" w:type="dxa"/>
              <w:left w:w="15" w:type="dxa"/>
              <w:bottom w:w="0" w:type="dxa"/>
              <w:right w:w="15" w:type="dxa"/>
            </w:tcMar>
            <w:vAlign w:val="center"/>
            <w:hideMark/>
          </w:tcPr>
          <w:p w14:paraId="0DCA9ACA" w14:textId="14112CB4" w:rsidR="00397C77" w:rsidRPr="00F06E04" w:rsidRDefault="00397C77" w:rsidP="0003117C">
            <w:pPr>
              <w:jc w:val="center"/>
            </w:pPr>
            <w:r>
              <w:t>8</w:t>
            </w:r>
          </w:p>
        </w:tc>
      </w:tr>
      <w:tr w:rsidR="00397C77" w:rsidRPr="00F06E04" w14:paraId="4F92C087" w14:textId="77777777" w:rsidTr="009E5ED9">
        <w:trPr>
          <w:trHeight w:val="283"/>
        </w:trPr>
        <w:tc>
          <w:tcPr>
            <w:tcW w:w="1126" w:type="dxa"/>
            <w:vMerge/>
            <w:vAlign w:val="center"/>
            <w:hideMark/>
          </w:tcPr>
          <w:p w14:paraId="27A11422" w14:textId="77777777" w:rsidR="00397C77" w:rsidRPr="00F06E04" w:rsidRDefault="00397C77" w:rsidP="00E53D9B"/>
        </w:tc>
        <w:tc>
          <w:tcPr>
            <w:tcW w:w="3828" w:type="dxa"/>
            <w:shd w:val="clear" w:color="auto" w:fill="auto"/>
            <w:tcMar>
              <w:top w:w="15" w:type="dxa"/>
              <w:left w:w="15" w:type="dxa"/>
              <w:bottom w:w="0" w:type="dxa"/>
              <w:right w:w="15" w:type="dxa"/>
            </w:tcMar>
            <w:vAlign w:val="center"/>
            <w:hideMark/>
          </w:tcPr>
          <w:p w14:paraId="698E12D2" w14:textId="77777777" w:rsidR="00397C77" w:rsidRPr="00F06E04" w:rsidRDefault="00397C77" w:rsidP="00E53D9B">
            <w:r w:rsidRPr="00F06E04">
              <w:t>Uzsākta atlase</w:t>
            </w:r>
          </w:p>
        </w:tc>
        <w:tc>
          <w:tcPr>
            <w:tcW w:w="992" w:type="dxa"/>
            <w:shd w:val="clear" w:color="auto" w:fill="FF9999"/>
            <w:tcMar>
              <w:top w:w="15" w:type="dxa"/>
              <w:left w:w="15" w:type="dxa"/>
              <w:bottom w:w="0" w:type="dxa"/>
              <w:right w:w="15" w:type="dxa"/>
            </w:tcMar>
            <w:vAlign w:val="center"/>
            <w:hideMark/>
          </w:tcPr>
          <w:p w14:paraId="0A750485" w14:textId="0F19A41E" w:rsidR="00397C77" w:rsidRPr="00F06E04" w:rsidRDefault="00DA044A" w:rsidP="0003117C">
            <w:pPr>
              <w:jc w:val="center"/>
            </w:pPr>
            <w:r>
              <w:t>3</w:t>
            </w:r>
          </w:p>
        </w:tc>
        <w:tc>
          <w:tcPr>
            <w:tcW w:w="1134" w:type="dxa"/>
            <w:shd w:val="clear" w:color="auto" w:fill="auto"/>
            <w:tcMar>
              <w:top w:w="15" w:type="dxa"/>
              <w:left w:w="15" w:type="dxa"/>
              <w:bottom w:w="0" w:type="dxa"/>
              <w:right w:w="15" w:type="dxa"/>
            </w:tcMar>
            <w:vAlign w:val="center"/>
            <w:hideMark/>
          </w:tcPr>
          <w:p w14:paraId="463B09F4" w14:textId="7EAD93BC" w:rsidR="00397C77" w:rsidRPr="00F06E04" w:rsidRDefault="00DA044A" w:rsidP="0003117C">
            <w:pPr>
              <w:jc w:val="center"/>
            </w:pPr>
            <w:r>
              <w:t>2</w:t>
            </w:r>
          </w:p>
        </w:tc>
        <w:tc>
          <w:tcPr>
            <w:tcW w:w="1701" w:type="dxa"/>
            <w:shd w:val="clear" w:color="auto" w:fill="auto"/>
            <w:tcMar>
              <w:top w:w="15" w:type="dxa"/>
              <w:left w:w="15" w:type="dxa"/>
              <w:bottom w:w="0" w:type="dxa"/>
              <w:right w:w="15" w:type="dxa"/>
            </w:tcMar>
            <w:vAlign w:val="center"/>
            <w:hideMark/>
          </w:tcPr>
          <w:p w14:paraId="434F2D89" w14:textId="257765F8" w:rsidR="00397C77" w:rsidRPr="00F06E04" w:rsidRDefault="00DA044A" w:rsidP="0003117C">
            <w:pPr>
              <w:jc w:val="center"/>
            </w:pPr>
            <w:r>
              <w:t>9</w:t>
            </w:r>
          </w:p>
        </w:tc>
      </w:tr>
      <w:tr w:rsidR="00397C77" w:rsidRPr="00F06E04" w14:paraId="557FB7B9" w14:textId="77777777" w:rsidTr="009E5ED9">
        <w:trPr>
          <w:trHeight w:val="283"/>
        </w:trPr>
        <w:tc>
          <w:tcPr>
            <w:tcW w:w="1126" w:type="dxa"/>
            <w:vMerge/>
            <w:vAlign w:val="center"/>
            <w:hideMark/>
          </w:tcPr>
          <w:p w14:paraId="4BF0DA20" w14:textId="77777777" w:rsidR="00397C77" w:rsidRPr="00F06E04" w:rsidRDefault="00397C77" w:rsidP="00E53D9B"/>
        </w:tc>
        <w:tc>
          <w:tcPr>
            <w:tcW w:w="3828" w:type="dxa"/>
            <w:shd w:val="clear" w:color="auto" w:fill="auto"/>
            <w:tcMar>
              <w:top w:w="15" w:type="dxa"/>
              <w:left w:w="15" w:type="dxa"/>
              <w:bottom w:w="0" w:type="dxa"/>
              <w:right w:w="15" w:type="dxa"/>
            </w:tcMar>
            <w:vAlign w:val="center"/>
            <w:hideMark/>
          </w:tcPr>
          <w:p w14:paraId="71ECEAB8" w14:textId="77777777" w:rsidR="00397C77" w:rsidRPr="00F06E04" w:rsidRDefault="00397C77" w:rsidP="00E53D9B">
            <w:r w:rsidRPr="00F06E04">
              <w:t>Noslēgti līgumi</w:t>
            </w:r>
          </w:p>
        </w:tc>
        <w:tc>
          <w:tcPr>
            <w:tcW w:w="992" w:type="dxa"/>
            <w:shd w:val="clear" w:color="auto" w:fill="auto"/>
            <w:tcMar>
              <w:top w:w="15" w:type="dxa"/>
              <w:left w:w="15" w:type="dxa"/>
              <w:bottom w:w="0" w:type="dxa"/>
              <w:right w:w="15" w:type="dxa"/>
            </w:tcMar>
            <w:vAlign w:val="center"/>
            <w:hideMark/>
          </w:tcPr>
          <w:p w14:paraId="28F580AB" w14:textId="4ECD2AFE" w:rsidR="00397C77" w:rsidRPr="00F06E04" w:rsidRDefault="00397C77" w:rsidP="0003117C">
            <w:pPr>
              <w:jc w:val="center"/>
            </w:pPr>
          </w:p>
        </w:tc>
        <w:tc>
          <w:tcPr>
            <w:tcW w:w="1134" w:type="dxa"/>
            <w:shd w:val="clear" w:color="auto" w:fill="auto"/>
            <w:tcMar>
              <w:top w:w="15" w:type="dxa"/>
              <w:left w:w="15" w:type="dxa"/>
              <w:bottom w:w="0" w:type="dxa"/>
              <w:right w:w="15" w:type="dxa"/>
            </w:tcMar>
            <w:vAlign w:val="center"/>
            <w:hideMark/>
          </w:tcPr>
          <w:p w14:paraId="6D55E248" w14:textId="77777777" w:rsidR="00397C77" w:rsidRPr="00F06E04" w:rsidRDefault="00397C77" w:rsidP="0003117C">
            <w:pPr>
              <w:jc w:val="center"/>
            </w:pPr>
            <w:r w:rsidRPr="00F06E04">
              <w:t>1</w:t>
            </w:r>
          </w:p>
        </w:tc>
        <w:tc>
          <w:tcPr>
            <w:tcW w:w="1701" w:type="dxa"/>
            <w:shd w:val="clear" w:color="auto" w:fill="auto"/>
            <w:tcMar>
              <w:top w:w="15" w:type="dxa"/>
              <w:left w:w="15" w:type="dxa"/>
              <w:bottom w:w="0" w:type="dxa"/>
              <w:right w:w="15" w:type="dxa"/>
            </w:tcMar>
            <w:vAlign w:val="center"/>
            <w:hideMark/>
          </w:tcPr>
          <w:p w14:paraId="12D6CCE9" w14:textId="2FF7406B" w:rsidR="00397C77" w:rsidRPr="00F06E04" w:rsidRDefault="00397C77" w:rsidP="0003117C">
            <w:pPr>
              <w:jc w:val="center"/>
            </w:pPr>
          </w:p>
        </w:tc>
      </w:tr>
      <w:tr w:rsidR="00397C77" w:rsidRPr="00F06E04" w14:paraId="38C2CF33" w14:textId="77777777" w:rsidTr="009E5ED9">
        <w:trPr>
          <w:trHeight w:val="671"/>
        </w:trPr>
        <w:tc>
          <w:tcPr>
            <w:tcW w:w="1126" w:type="dxa"/>
            <w:vAlign w:val="center"/>
          </w:tcPr>
          <w:p w14:paraId="1FB80D13" w14:textId="77777777" w:rsidR="00397C77" w:rsidRPr="00F06E04" w:rsidRDefault="00397C77" w:rsidP="00E53D9B">
            <w:r>
              <w:t>Riski</w:t>
            </w:r>
          </w:p>
        </w:tc>
        <w:tc>
          <w:tcPr>
            <w:tcW w:w="7655" w:type="dxa"/>
            <w:gridSpan w:val="4"/>
            <w:shd w:val="clear" w:color="auto" w:fill="auto"/>
            <w:tcMar>
              <w:top w:w="15" w:type="dxa"/>
              <w:left w:w="15" w:type="dxa"/>
              <w:bottom w:w="0" w:type="dxa"/>
              <w:right w:w="15" w:type="dxa"/>
            </w:tcMar>
            <w:vAlign w:val="center"/>
          </w:tcPr>
          <w:p w14:paraId="72DA55B6" w14:textId="2C3D533C" w:rsidR="00397C77" w:rsidRDefault="006B36E8" w:rsidP="00E32555">
            <w:pPr>
              <w:jc w:val="both"/>
            </w:pPr>
            <w:r>
              <w:t>Iespējami riski saistīti ar to, ka</w:t>
            </w:r>
            <w:r w:rsidR="00397C77">
              <w:t xml:space="preserve"> SM pārziņā ir finansiāli ietilpīgākie SAM, </w:t>
            </w:r>
            <w:r>
              <w:t>tai skaitā lieli</w:t>
            </w:r>
            <w:r w:rsidR="00820DF5">
              <w:t>e</w:t>
            </w:r>
            <w:r>
              <w:t xml:space="preserve"> projekti</w:t>
            </w:r>
            <w:r w:rsidR="00397C77">
              <w:t xml:space="preserve"> (Rīgas tramvaja līnijas attīstība, dzelzceļa</w:t>
            </w:r>
            <w:r w:rsidR="003D5C3B">
              <w:t xml:space="preserve"> tīkla </w:t>
            </w:r>
            <w:r w:rsidR="00397C77">
              <w:t xml:space="preserve"> elektrifikācija</w:t>
            </w:r>
            <w:r w:rsidR="003D5C3B">
              <w:t>,</w:t>
            </w:r>
            <w:r w:rsidR="00397C77">
              <w:t xml:space="preserve"> kopā 442,6 milj.</w:t>
            </w:r>
            <w:r w:rsidR="00E32555">
              <w:t xml:space="preserve"> </w:t>
            </w:r>
            <w:r w:rsidR="00E32555" w:rsidRPr="00E32555">
              <w:rPr>
                <w:i/>
              </w:rPr>
              <w:t>euro</w:t>
            </w:r>
            <w:r w:rsidR="00397C77">
              <w:t>)</w:t>
            </w:r>
            <w:r>
              <w:t>.</w:t>
            </w:r>
            <w:r w:rsidR="00397C77">
              <w:t xml:space="preserve">  </w:t>
            </w:r>
          </w:p>
          <w:p w14:paraId="06C0F2FC" w14:textId="0ED3A35A" w:rsidR="003D5C3B" w:rsidRDefault="00397C77" w:rsidP="00E32555">
            <w:pPr>
              <w:jc w:val="both"/>
            </w:pPr>
            <w:r>
              <w:t>Dzelzceļa elektrifikācijas projektam plānotais finansējums veido vairāk kā ceturto daļu no prioritārajam virzienam “Ilgtspējīga transporta sistēma” pieejamā KF finansējuma</w:t>
            </w:r>
            <w:r w:rsidR="006B36E8">
              <w:t>.</w:t>
            </w:r>
            <w:r>
              <w:t xml:space="preserve"> </w:t>
            </w:r>
          </w:p>
          <w:p w14:paraId="3266240B" w14:textId="77777777" w:rsidR="00397C77" w:rsidRDefault="00397C77" w:rsidP="00E32555">
            <w:pPr>
              <w:jc w:val="both"/>
            </w:pPr>
            <w:r>
              <w:t>Ņemot vērā finansiālo ietekmi negatīvu risku iestāšanās gadījumā, lielo projektu ieviešanas gaita tiek īpaši uzraudzīta.</w:t>
            </w:r>
          </w:p>
          <w:p w14:paraId="3D170FB8" w14:textId="0D010518" w:rsidR="007641BF" w:rsidRPr="00F06E04" w:rsidRDefault="007641BF" w:rsidP="007641BF">
            <w:pPr>
              <w:jc w:val="both"/>
            </w:pPr>
            <w:r w:rsidRPr="007641BF">
              <w:rPr>
                <w:bCs/>
              </w:rPr>
              <w:t>SM līdz 2016.gada 15.februārim jāsniedz ziņojums MK D</w:t>
            </w:r>
            <w:r w:rsidRPr="007641BF">
              <w:t xml:space="preserve">zelzceļa tīkla elektrifikācijas projekta attīstības gaitu, pamatojot izvēlēto </w:t>
            </w:r>
            <w:r>
              <w:t>projekta</w:t>
            </w:r>
            <w:r w:rsidRPr="007641BF">
              <w:t xml:space="preserve"> risinājumu, iekļaujot informāciju, kā tiek risināti JASPERS ekspertu </w:t>
            </w:r>
            <w:r>
              <w:t xml:space="preserve">ieteikumi </w:t>
            </w:r>
            <w:r w:rsidRPr="007641BF">
              <w:t>un citi būtiskākie problemātiskie jautājumi, kā arī priekšlikumu par kopējā ilgtermiņa projekta politisko pārvaldību.</w:t>
            </w:r>
          </w:p>
        </w:tc>
      </w:tr>
    </w:tbl>
    <w:p w14:paraId="4CD2155B" w14:textId="228E4A72" w:rsidR="00AB004A" w:rsidRPr="005370B0" w:rsidRDefault="005370B0" w:rsidP="00624261">
      <w:pPr>
        <w:spacing w:before="120" w:after="120" w:line="276" w:lineRule="auto"/>
        <w:jc w:val="both"/>
      </w:pPr>
      <w:r>
        <w:t>Tabula</w:t>
      </w:r>
      <w:r w:rsidR="006060BB" w:rsidRPr="005370B0">
        <w:t xml:space="preserve"> Nr.</w:t>
      </w:r>
      <w:r w:rsidR="00001327">
        <w:t>9</w:t>
      </w:r>
      <w:r w:rsidR="006060BB" w:rsidRPr="005370B0">
        <w:rPr>
          <w:color w:val="FF0000"/>
        </w:rPr>
        <w:t xml:space="preserve"> </w:t>
      </w:r>
      <w:r w:rsidR="003D5C3B">
        <w:rPr>
          <w:i/>
        </w:rPr>
        <w:t>“</w:t>
      </w:r>
      <w:r w:rsidR="006060BB" w:rsidRPr="005370B0">
        <w:rPr>
          <w:i/>
        </w:rPr>
        <w:t>TM progress</w:t>
      </w:r>
      <w:r w:rsidR="00416300" w:rsidRPr="00416300">
        <w:rPr>
          <w:i/>
        </w:rPr>
        <w:t xml:space="preserve"> </w:t>
      </w:r>
      <w:r w:rsidR="005A7060">
        <w:rPr>
          <w:i/>
        </w:rPr>
        <w:t>uz 2016.gada 20</w:t>
      </w:r>
      <w:r w:rsidR="00416300">
        <w:rPr>
          <w:i/>
        </w:rPr>
        <w:t>.janvāri</w:t>
      </w:r>
      <w:r w:rsidR="006060BB" w:rsidRPr="005370B0">
        <w:rPr>
          <w:i/>
        </w:rPr>
        <w:t xml:space="preserve"> SAM ieviešanā”</w:t>
      </w:r>
    </w:p>
    <w:tbl>
      <w:tblPr>
        <w:tblW w:w="8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1126"/>
        <w:gridCol w:w="3828"/>
        <w:gridCol w:w="850"/>
        <w:gridCol w:w="1276"/>
        <w:gridCol w:w="1701"/>
      </w:tblGrid>
      <w:tr w:rsidR="005370B0" w:rsidRPr="00F06881" w14:paraId="682D480E" w14:textId="77777777" w:rsidTr="009E5ED9">
        <w:trPr>
          <w:trHeight w:val="216"/>
        </w:trPr>
        <w:tc>
          <w:tcPr>
            <w:tcW w:w="8781" w:type="dxa"/>
            <w:gridSpan w:val="5"/>
            <w:shd w:val="clear" w:color="auto" w:fill="auto"/>
            <w:tcMar>
              <w:top w:w="15" w:type="dxa"/>
              <w:left w:w="15" w:type="dxa"/>
              <w:bottom w:w="0" w:type="dxa"/>
              <w:right w:w="15" w:type="dxa"/>
            </w:tcMar>
            <w:vAlign w:val="center"/>
          </w:tcPr>
          <w:p w14:paraId="26AD79FB" w14:textId="77777777" w:rsidR="005370B0" w:rsidRPr="00F06881" w:rsidRDefault="005370B0" w:rsidP="00E53D9B">
            <w:pPr>
              <w:rPr>
                <w:b/>
                <w:bCs/>
              </w:rPr>
            </w:pPr>
            <w:r w:rsidRPr="00F06881">
              <w:rPr>
                <w:b/>
                <w:bCs/>
              </w:rPr>
              <w:t>TM SAM/pasākumu ieviešanas statuss</w:t>
            </w:r>
          </w:p>
        </w:tc>
      </w:tr>
      <w:tr w:rsidR="005370B0" w:rsidRPr="00F06881" w14:paraId="7D50A663" w14:textId="77777777" w:rsidTr="009E5ED9">
        <w:trPr>
          <w:trHeight w:val="216"/>
        </w:trPr>
        <w:tc>
          <w:tcPr>
            <w:tcW w:w="4954" w:type="dxa"/>
            <w:gridSpan w:val="2"/>
            <w:shd w:val="clear" w:color="auto" w:fill="auto"/>
            <w:tcMar>
              <w:top w:w="15" w:type="dxa"/>
              <w:left w:w="15" w:type="dxa"/>
              <w:bottom w:w="0" w:type="dxa"/>
              <w:right w:w="15" w:type="dxa"/>
            </w:tcMar>
            <w:vAlign w:val="center"/>
            <w:hideMark/>
          </w:tcPr>
          <w:p w14:paraId="2C3231EE" w14:textId="77777777" w:rsidR="005370B0" w:rsidRPr="00F06881" w:rsidRDefault="005370B0" w:rsidP="00E53D9B">
            <w:r w:rsidRPr="00F06881">
              <w:t>SAM/pasākumu kopējais skaits</w:t>
            </w:r>
          </w:p>
        </w:tc>
        <w:tc>
          <w:tcPr>
            <w:tcW w:w="3827" w:type="dxa"/>
            <w:gridSpan w:val="3"/>
            <w:shd w:val="clear" w:color="auto" w:fill="auto"/>
            <w:tcMar>
              <w:top w:w="15" w:type="dxa"/>
              <w:left w:w="15" w:type="dxa"/>
              <w:bottom w:w="0" w:type="dxa"/>
              <w:right w:w="15" w:type="dxa"/>
            </w:tcMar>
            <w:vAlign w:val="center"/>
            <w:hideMark/>
          </w:tcPr>
          <w:p w14:paraId="1CB24012" w14:textId="77777777" w:rsidR="005370B0" w:rsidRPr="00F06881" w:rsidRDefault="005370B0" w:rsidP="00E53D9B">
            <w:r w:rsidRPr="00F06881">
              <w:rPr>
                <w:b/>
                <w:bCs/>
              </w:rPr>
              <w:t>3</w:t>
            </w:r>
          </w:p>
        </w:tc>
      </w:tr>
      <w:tr w:rsidR="005370B0" w:rsidRPr="00F06881" w14:paraId="60400A90" w14:textId="77777777" w:rsidTr="009E5ED9">
        <w:trPr>
          <w:trHeight w:val="342"/>
        </w:trPr>
        <w:tc>
          <w:tcPr>
            <w:tcW w:w="4954" w:type="dxa"/>
            <w:gridSpan w:val="2"/>
            <w:shd w:val="clear" w:color="auto" w:fill="auto"/>
            <w:tcMar>
              <w:top w:w="15" w:type="dxa"/>
              <w:left w:w="15" w:type="dxa"/>
              <w:bottom w:w="0" w:type="dxa"/>
              <w:right w:w="15" w:type="dxa"/>
            </w:tcMar>
            <w:vAlign w:val="center"/>
            <w:hideMark/>
          </w:tcPr>
          <w:p w14:paraId="1A0C187B" w14:textId="77777777" w:rsidR="005370B0" w:rsidRPr="00F06881" w:rsidRDefault="005370B0" w:rsidP="00E53D9B">
            <w:r w:rsidRPr="00F06881">
              <w:t xml:space="preserve">SAM kopējais KP finansējums, </w:t>
            </w:r>
            <w:r w:rsidRPr="00D676B6">
              <w:rPr>
                <w:i/>
              </w:rPr>
              <w:t xml:space="preserve">euro </w:t>
            </w:r>
          </w:p>
        </w:tc>
        <w:tc>
          <w:tcPr>
            <w:tcW w:w="3827" w:type="dxa"/>
            <w:gridSpan w:val="3"/>
            <w:shd w:val="clear" w:color="auto" w:fill="auto"/>
            <w:tcMar>
              <w:top w:w="15" w:type="dxa"/>
              <w:left w:w="15" w:type="dxa"/>
              <w:bottom w:w="0" w:type="dxa"/>
              <w:right w:w="15" w:type="dxa"/>
            </w:tcMar>
            <w:vAlign w:val="center"/>
            <w:hideMark/>
          </w:tcPr>
          <w:p w14:paraId="5D13EB8B" w14:textId="77777777" w:rsidR="005370B0" w:rsidRPr="00DA044A" w:rsidRDefault="005370B0" w:rsidP="00E53D9B">
            <w:pPr>
              <w:rPr>
                <w:b/>
              </w:rPr>
            </w:pPr>
            <w:r w:rsidRPr="00DA044A">
              <w:rPr>
                <w:b/>
              </w:rPr>
              <w:t>17 992 213</w:t>
            </w:r>
          </w:p>
        </w:tc>
      </w:tr>
      <w:tr w:rsidR="005370B0" w:rsidRPr="00F06881" w14:paraId="721FCA15" w14:textId="77777777" w:rsidTr="009E5ED9">
        <w:trPr>
          <w:trHeight w:val="314"/>
        </w:trPr>
        <w:tc>
          <w:tcPr>
            <w:tcW w:w="4954" w:type="dxa"/>
            <w:gridSpan w:val="2"/>
            <w:shd w:val="clear" w:color="auto" w:fill="auto"/>
            <w:tcMar>
              <w:top w:w="15" w:type="dxa"/>
              <w:left w:w="15" w:type="dxa"/>
              <w:bottom w:w="0" w:type="dxa"/>
              <w:right w:w="15" w:type="dxa"/>
            </w:tcMar>
            <w:vAlign w:val="center"/>
            <w:hideMark/>
          </w:tcPr>
          <w:p w14:paraId="13E212B4" w14:textId="77777777" w:rsidR="005370B0" w:rsidRPr="00F06881" w:rsidRDefault="005370B0" w:rsidP="00E53D9B">
            <w:r w:rsidRPr="00F06881">
              <w:t>Statuss</w:t>
            </w:r>
          </w:p>
        </w:tc>
        <w:tc>
          <w:tcPr>
            <w:tcW w:w="850" w:type="dxa"/>
            <w:shd w:val="clear" w:color="auto" w:fill="FF9999"/>
            <w:tcMar>
              <w:top w:w="15" w:type="dxa"/>
              <w:left w:w="15" w:type="dxa"/>
              <w:bottom w:w="0" w:type="dxa"/>
              <w:right w:w="15" w:type="dxa"/>
            </w:tcMar>
            <w:vAlign w:val="center"/>
            <w:hideMark/>
          </w:tcPr>
          <w:p w14:paraId="62F43571" w14:textId="77777777" w:rsidR="005370B0" w:rsidRPr="00F06881" w:rsidRDefault="005370B0" w:rsidP="0003117C">
            <w:pPr>
              <w:jc w:val="center"/>
            </w:pPr>
            <w:r w:rsidRPr="00F06881">
              <w:t>Kavēts</w:t>
            </w:r>
          </w:p>
        </w:tc>
        <w:tc>
          <w:tcPr>
            <w:tcW w:w="1276" w:type="dxa"/>
            <w:shd w:val="clear" w:color="auto" w:fill="auto"/>
            <w:tcMar>
              <w:top w:w="15" w:type="dxa"/>
              <w:left w:w="15" w:type="dxa"/>
              <w:bottom w:w="0" w:type="dxa"/>
              <w:right w:w="15" w:type="dxa"/>
            </w:tcMar>
            <w:vAlign w:val="center"/>
            <w:hideMark/>
          </w:tcPr>
          <w:p w14:paraId="4DB316C7" w14:textId="3B6F2329" w:rsidR="005370B0" w:rsidRPr="00F06881" w:rsidRDefault="005370B0" w:rsidP="0003117C">
            <w:pPr>
              <w:jc w:val="center"/>
            </w:pPr>
            <w:r w:rsidRPr="00F06881">
              <w:t>Izpildīts</w:t>
            </w:r>
          </w:p>
        </w:tc>
        <w:tc>
          <w:tcPr>
            <w:tcW w:w="1701" w:type="dxa"/>
            <w:shd w:val="clear" w:color="auto" w:fill="auto"/>
            <w:tcMar>
              <w:top w:w="15" w:type="dxa"/>
              <w:left w:w="15" w:type="dxa"/>
              <w:bottom w:w="0" w:type="dxa"/>
              <w:right w:w="15" w:type="dxa"/>
            </w:tcMar>
            <w:vAlign w:val="center"/>
            <w:hideMark/>
          </w:tcPr>
          <w:p w14:paraId="6A7DAB41" w14:textId="77777777" w:rsidR="005370B0" w:rsidRPr="00F06881" w:rsidRDefault="005370B0" w:rsidP="0003117C">
            <w:pPr>
              <w:jc w:val="center"/>
            </w:pPr>
            <w:r w:rsidRPr="00F06881">
              <w:t>Nav pienācis</w:t>
            </w:r>
          </w:p>
        </w:tc>
      </w:tr>
      <w:tr w:rsidR="005370B0" w:rsidRPr="00F06881" w14:paraId="1FE2EAC7" w14:textId="77777777" w:rsidTr="009E5ED9">
        <w:trPr>
          <w:trHeight w:val="283"/>
        </w:trPr>
        <w:tc>
          <w:tcPr>
            <w:tcW w:w="1126" w:type="dxa"/>
            <w:vMerge w:val="restart"/>
            <w:shd w:val="clear" w:color="auto" w:fill="auto"/>
            <w:tcMar>
              <w:top w:w="15" w:type="dxa"/>
              <w:left w:w="15" w:type="dxa"/>
              <w:bottom w:w="0" w:type="dxa"/>
              <w:right w:w="15" w:type="dxa"/>
            </w:tcMar>
            <w:vAlign w:val="center"/>
            <w:hideMark/>
          </w:tcPr>
          <w:p w14:paraId="48986FEE" w14:textId="22009D2B" w:rsidR="005370B0" w:rsidRPr="00F06881" w:rsidRDefault="005370B0" w:rsidP="00E53D9B">
            <w:r w:rsidRPr="00F06881">
              <w:t>SAM/</w:t>
            </w:r>
            <w:r w:rsidR="00D676B6">
              <w:t xml:space="preserve"> </w:t>
            </w:r>
            <w:r w:rsidRPr="00F06881">
              <w:t>pasākumu skaits</w:t>
            </w:r>
          </w:p>
        </w:tc>
        <w:tc>
          <w:tcPr>
            <w:tcW w:w="3828" w:type="dxa"/>
            <w:shd w:val="clear" w:color="auto" w:fill="auto"/>
            <w:tcMar>
              <w:top w:w="15" w:type="dxa"/>
              <w:left w:w="15" w:type="dxa"/>
              <w:bottom w:w="0" w:type="dxa"/>
              <w:right w:w="15" w:type="dxa"/>
            </w:tcMar>
            <w:vAlign w:val="center"/>
            <w:hideMark/>
          </w:tcPr>
          <w:p w14:paraId="1B0AD14F" w14:textId="77777777" w:rsidR="005370B0" w:rsidRPr="00F06881" w:rsidRDefault="005370B0" w:rsidP="00E53D9B">
            <w:r w:rsidRPr="00F06881">
              <w:t xml:space="preserve">Sākotnējā novērtējuma iesniegšana </w:t>
            </w:r>
          </w:p>
        </w:tc>
        <w:tc>
          <w:tcPr>
            <w:tcW w:w="850" w:type="dxa"/>
            <w:shd w:val="clear" w:color="auto" w:fill="auto"/>
            <w:tcMar>
              <w:top w:w="15" w:type="dxa"/>
              <w:left w:w="15" w:type="dxa"/>
              <w:bottom w:w="0" w:type="dxa"/>
              <w:right w:w="15" w:type="dxa"/>
            </w:tcMar>
            <w:vAlign w:val="center"/>
            <w:hideMark/>
          </w:tcPr>
          <w:p w14:paraId="090C80FF" w14:textId="07CD6C52" w:rsidR="005370B0" w:rsidRPr="00F06881" w:rsidRDefault="0003117C" w:rsidP="0003117C">
            <w:pPr>
              <w:jc w:val="center"/>
            </w:pPr>
            <w:r>
              <w:t>-</w:t>
            </w:r>
          </w:p>
        </w:tc>
        <w:tc>
          <w:tcPr>
            <w:tcW w:w="1276" w:type="dxa"/>
            <w:shd w:val="clear" w:color="auto" w:fill="auto"/>
            <w:tcMar>
              <w:top w:w="15" w:type="dxa"/>
              <w:left w:w="15" w:type="dxa"/>
              <w:bottom w:w="0" w:type="dxa"/>
              <w:right w:w="15" w:type="dxa"/>
            </w:tcMar>
            <w:vAlign w:val="center"/>
            <w:hideMark/>
          </w:tcPr>
          <w:p w14:paraId="3FBD5A14" w14:textId="77777777" w:rsidR="005370B0" w:rsidRPr="00F06881" w:rsidRDefault="005370B0" w:rsidP="0003117C">
            <w:pPr>
              <w:jc w:val="center"/>
            </w:pPr>
            <w:r w:rsidRPr="00F06881">
              <w:t>1</w:t>
            </w:r>
          </w:p>
        </w:tc>
        <w:tc>
          <w:tcPr>
            <w:tcW w:w="1701" w:type="dxa"/>
            <w:shd w:val="clear" w:color="auto" w:fill="auto"/>
            <w:tcMar>
              <w:top w:w="15" w:type="dxa"/>
              <w:left w:w="15" w:type="dxa"/>
              <w:bottom w:w="0" w:type="dxa"/>
              <w:right w:w="15" w:type="dxa"/>
            </w:tcMar>
            <w:vAlign w:val="center"/>
            <w:hideMark/>
          </w:tcPr>
          <w:p w14:paraId="46AAC20B" w14:textId="71339710" w:rsidR="005370B0" w:rsidRPr="00F06881" w:rsidRDefault="00247D95" w:rsidP="0003117C">
            <w:pPr>
              <w:jc w:val="center"/>
            </w:pPr>
            <w:r>
              <w:t>2</w:t>
            </w:r>
          </w:p>
        </w:tc>
      </w:tr>
      <w:tr w:rsidR="005370B0" w:rsidRPr="00F06881" w14:paraId="47AB005C" w14:textId="77777777" w:rsidTr="009E5ED9">
        <w:trPr>
          <w:trHeight w:val="283"/>
        </w:trPr>
        <w:tc>
          <w:tcPr>
            <w:tcW w:w="1126" w:type="dxa"/>
            <w:vMerge/>
            <w:vAlign w:val="center"/>
            <w:hideMark/>
          </w:tcPr>
          <w:p w14:paraId="5F559268" w14:textId="77777777" w:rsidR="005370B0" w:rsidRPr="00F06881" w:rsidRDefault="005370B0" w:rsidP="00E53D9B"/>
        </w:tc>
        <w:tc>
          <w:tcPr>
            <w:tcW w:w="3828" w:type="dxa"/>
            <w:shd w:val="clear" w:color="auto" w:fill="auto"/>
            <w:tcMar>
              <w:top w:w="15" w:type="dxa"/>
              <w:left w:w="15" w:type="dxa"/>
              <w:bottom w:w="0" w:type="dxa"/>
              <w:right w:w="15" w:type="dxa"/>
            </w:tcMar>
            <w:vAlign w:val="center"/>
            <w:hideMark/>
          </w:tcPr>
          <w:p w14:paraId="70DE8FDF" w14:textId="77777777" w:rsidR="005370B0" w:rsidRPr="00F06881" w:rsidRDefault="005370B0" w:rsidP="00E53D9B">
            <w:r w:rsidRPr="00F06881">
              <w:t>Kritēriji iesniegti AK</w:t>
            </w:r>
          </w:p>
        </w:tc>
        <w:tc>
          <w:tcPr>
            <w:tcW w:w="850" w:type="dxa"/>
            <w:shd w:val="clear" w:color="auto" w:fill="auto"/>
            <w:tcMar>
              <w:top w:w="15" w:type="dxa"/>
              <w:left w:w="15" w:type="dxa"/>
              <w:bottom w:w="0" w:type="dxa"/>
              <w:right w:w="15" w:type="dxa"/>
            </w:tcMar>
            <w:vAlign w:val="center"/>
            <w:hideMark/>
          </w:tcPr>
          <w:p w14:paraId="25425407" w14:textId="6EC13883" w:rsidR="005370B0" w:rsidRPr="00F06881" w:rsidRDefault="0003117C" w:rsidP="0003117C">
            <w:pPr>
              <w:jc w:val="center"/>
            </w:pPr>
            <w:r>
              <w:t>-</w:t>
            </w:r>
          </w:p>
        </w:tc>
        <w:tc>
          <w:tcPr>
            <w:tcW w:w="1276" w:type="dxa"/>
            <w:shd w:val="clear" w:color="auto" w:fill="auto"/>
            <w:tcMar>
              <w:top w:w="15" w:type="dxa"/>
              <w:left w:w="15" w:type="dxa"/>
              <w:bottom w:w="0" w:type="dxa"/>
              <w:right w:w="15" w:type="dxa"/>
            </w:tcMar>
            <w:vAlign w:val="center"/>
            <w:hideMark/>
          </w:tcPr>
          <w:p w14:paraId="7C9E4750" w14:textId="77777777" w:rsidR="005370B0" w:rsidRPr="00F06881" w:rsidRDefault="005370B0" w:rsidP="0003117C">
            <w:pPr>
              <w:jc w:val="center"/>
            </w:pPr>
            <w:r w:rsidRPr="00F06881">
              <w:t>1</w:t>
            </w:r>
          </w:p>
        </w:tc>
        <w:tc>
          <w:tcPr>
            <w:tcW w:w="1701" w:type="dxa"/>
            <w:shd w:val="clear" w:color="auto" w:fill="auto"/>
            <w:tcMar>
              <w:top w:w="15" w:type="dxa"/>
              <w:left w:w="15" w:type="dxa"/>
              <w:bottom w:w="0" w:type="dxa"/>
              <w:right w:w="15" w:type="dxa"/>
            </w:tcMar>
            <w:vAlign w:val="center"/>
            <w:hideMark/>
          </w:tcPr>
          <w:p w14:paraId="5324D923" w14:textId="57BDBFAF" w:rsidR="005370B0" w:rsidRPr="00F06881" w:rsidRDefault="00247D95" w:rsidP="0003117C">
            <w:pPr>
              <w:jc w:val="center"/>
            </w:pPr>
            <w:r>
              <w:t>2</w:t>
            </w:r>
          </w:p>
        </w:tc>
      </w:tr>
      <w:tr w:rsidR="005370B0" w:rsidRPr="00F06881" w14:paraId="0935C1DA" w14:textId="77777777" w:rsidTr="009E5ED9">
        <w:trPr>
          <w:trHeight w:val="283"/>
        </w:trPr>
        <w:tc>
          <w:tcPr>
            <w:tcW w:w="1126" w:type="dxa"/>
            <w:vMerge/>
            <w:vAlign w:val="center"/>
            <w:hideMark/>
          </w:tcPr>
          <w:p w14:paraId="0639B1CD" w14:textId="77777777" w:rsidR="005370B0" w:rsidRPr="00F06881" w:rsidRDefault="005370B0" w:rsidP="00E53D9B"/>
        </w:tc>
        <w:tc>
          <w:tcPr>
            <w:tcW w:w="3828" w:type="dxa"/>
            <w:shd w:val="clear" w:color="auto" w:fill="auto"/>
            <w:tcMar>
              <w:top w:w="15" w:type="dxa"/>
              <w:left w:w="15" w:type="dxa"/>
              <w:bottom w:w="0" w:type="dxa"/>
              <w:right w:w="15" w:type="dxa"/>
            </w:tcMar>
            <w:vAlign w:val="center"/>
            <w:hideMark/>
          </w:tcPr>
          <w:p w14:paraId="6E66B9EC" w14:textId="77777777" w:rsidR="005370B0" w:rsidRPr="00F06881" w:rsidRDefault="005370B0" w:rsidP="00E53D9B">
            <w:r w:rsidRPr="00F06881">
              <w:t>MK noteikumu izsludināti VSS</w:t>
            </w:r>
          </w:p>
        </w:tc>
        <w:tc>
          <w:tcPr>
            <w:tcW w:w="850" w:type="dxa"/>
            <w:shd w:val="clear" w:color="auto" w:fill="auto"/>
            <w:tcMar>
              <w:top w:w="15" w:type="dxa"/>
              <w:left w:w="15" w:type="dxa"/>
              <w:bottom w:w="0" w:type="dxa"/>
              <w:right w:w="15" w:type="dxa"/>
            </w:tcMar>
            <w:vAlign w:val="center"/>
            <w:hideMark/>
          </w:tcPr>
          <w:p w14:paraId="75F77244" w14:textId="05A1F8AC" w:rsidR="005370B0" w:rsidRPr="00F06881" w:rsidRDefault="0003117C" w:rsidP="0003117C">
            <w:pPr>
              <w:jc w:val="center"/>
            </w:pPr>
            <w:r>
              <w:t>-</w:t>
            </w:r>
          </w:p>
        </w:tc>
        <w:tc>
          <w:tcPr>
            <w:tcW w:w="1276" w:type="dxa"/>
            <w:shd w:val="clear" w:color="auto" w:fill="auto"/>
            <w:tcMar>
              <w:top w:w="15" w:type="dxa"/>
              <w:left w:w="15" w:type="dxa"/>
              <w:bottom w:w="0" w:type="dxa"/>
              <w:right w:w="15" w:type="dxa"/>
            </w:tcMar>
            <w:vAlign w:val="center"/>
            <w:hideMark/>
          </w:tcPr>
          <w:p w14:paraId="30E78B52" w14:textId="77777777" w:rsidR="005370B0" w:rsidRPr="00F06881" w:rsidRDefault="005370B0" w:rsidP="0003117C">
            <w:pPr>
              <w:jc w:val="center"/>
            </w:pPr>
            <w:r w:rsidRPr="00F06881">
              <w:t>1</w:t>
            </w:r>
          </w:p>
        </w:tc>
        <w:tc>
          <w:tcPr>
            <w:tcW w:w="1701" w:type="dxa"/>
            <w:shd w:val="clear" w:color="auto" w:fill="auto"/>
            <w:tcMar>
              <w:top w:w="15" w:type="dxa"/>
              <w:left w:w="15" w:type="dxa"/>
              <w:bottom w:w="0" w:type="dxa"/>
              <w:right w:w="15" w:type="dxa"/>
            </w:tcMar>
            <w:vAlign w:val="center"/>
            <w:hideMark/>
          </w:tcPr>
          <w:p w14:paraId="3AEF4BA5" w14:textId="3EF0BFC2" w:rsidR="005370B0" w:rsidRPr="00F06881" w:rsidRDefault="00247D95" w:rsidP="0003117C">
            <w:pPr>
              <w:jc w:val="center"/>
            </w:pPr>
            <w:r>
              <w:t>2</w:t>
            </w:r>
          </w:p>
        </w:tc>
      </w:tr>
      <w:tr w:rsidR="005370B0" w:rsidRPr="00F06881" w14:paraId="66333E81" w14:textId="77777777" w:rsidTr="009E5ED9">
        <w:trPr>
          <w:trHeight w:val="283"/>
        </w:trPr>
        <w:tc>
          <w:tcPr>
            <w:tcW w:w="1126" w:type="dxa"/>
            <w:vMerge/>
            <w:vAlign w:val="center"/>
            <w:hideMark/>
          </w:tcPr>
          <w:p w14:paraId="6E5A718E" w14:textId="77777777" w:rsidR="005370B0" w:rsidRPr="00F06881" w:rsidRDefault="005370B0" w:rsidP="00E53D9B"/>
        </w:tc>
        <w:tc>
          <w:tcPr>
            <w:tcW w:w="3828" w:type="dxa"/>
            <w:shd w:val="clear" w:color="auto" w:fill="auto"/>
            <w:tcMar>
              <w:top w:w="15" w:type="dxa"/>
              <w:left w:w="15" w:type="dxa"/>
              <w:bottom w:w="0" w:type="dxa"/>
              <w:right w:w="15" w:type="dxa"/>
            </w:tcMar>
            <w:vAlign w:val="center"/>
            <w:hideMark/>
          </w:tcPr>
          <w:p w14:paraId="1EC3389E" w14:textId="77777777" w:rsidR="005370B0" w:rsidRPr="00F06881" w:rsidRDefault="005370B0" w:rsidP="00E53D9B">
            <w:r w:rsidRPr="00F06881">
              <w:t>MK noteikumu apstiprināšana MK</w:t>
            </w:r>
          </w:p>
        </w:tc>
        <w:tc>
          <w:tcPr>
            <w:tcW w:w="850" w:type="dxa"/>
            <w:shd w:val="clear" w:color="auto" w:fill="auto"/>
            <w:tcMar>
              <w:top w:w="15" w:type="dxa"/>
              <w:left w:w="15" w:type="dxa"/>
              <w:bottom w:w="0" w:type="dxa"/>
              <w:right w:w="15" w:type="dxa"/>
            </w:tcMar>
            <w:vAlign w:val="center"/>
            <w:hideMark/>
          </w:tcPr>
          <w:p w14:paraId="425FCBC2" w14:textId="31CD945C" w:rsidR="005370B0" w:rsidRPr="00F06881" w:rsidRDefault="0003117C" w:rsidP="0003117C">
            <w:pPr>
              <w:jc w:val="center"/>
            </w:pPr>
            <w:r>
              <w:t>-</w:t>
            </w:r>
          </w:p>
        </w:tc>
        <w:tc>
          <w:tcPr>
            <w:tcW w:w="1276" w:type="dxa"/>
            <w:shd w:val="clear" w:color="auto" w:fill="auto"/>
            <w:tcMar>
              <w:top w:w="15" w:type="dxa"/>
              <w:left w:w="15" w:type="dxa"/>
              <w:bottom w:w="0" w:type="dxa"/>
              <w:right w:w="15" w:type="dxa"/>
            </w:tcMar>
            <w:vAlign w:val="center"/>
            <w:hideMark/>
          </w:tcPr>
          <w:p w14:paraId="70189A74" w14:textId="77777777" w:rsidR="005370B0" w:rsidRPr="00F06881" w:rsidRDefault="005370B0" w:rsidP="0003117C">
            <w:pPr>
              <w:jc w:val="center"/>
            </w:pPr>
            <w:r>
              <w:t>1</w:t>
            </w:r>
          </w:p>
        </w:tc>
        <w:tc>
          <w:tcPr>
            <w:tcW w:w="1701" w:type="dxa"/>
            <w:shd w:val="clear" w:color="auto" w:fill="auto"/>
            <w:tcMar>
              <w:top w:w="15" w:type="dxa"/>
              <w:left w:w="15" w:type="dxa"/>
              <w:bottom w:w="0" w:type="dxa"/>
              <w:right w:w="15" w:type="dxa"/>
            </w:tcMar>
            <w:vAlign w:val="center"/>
            <w:hideMark/>
          </w:tcPr>
          <w:p w14:paraId="0A39CB27" w14:textId="5CEE7661" w:rsidR="005370B0" w:rsidRPr="00F06881" w:rsidRDefault="005370B0" w:rsidP="0003117C">
            <w:pPr>
              <w:jc w:val="center"/>
            </w:pPr>
            <w:r>
              <w:t>2</w:t>
            </w:r>
          </w:p>
        </w:tc>
      </w:tr>
      <w:tr w:rsidR="005370B0" w:rsidRPr="00F06881" w14:paraId="4FC2CA79" w14:textId="77777777" w:rsidTr="009E5ED9">
        <w:trPr>
          <w:trHeight w:val="283"/>
        </w:trPr>
        <w:tc>
          <w:tcPr>
            <w:tcW w:w="1126" w:type="dxa"/>
            <w:vMerge/>
            <w:vAlign w:val="center"/>
            <w:hideMark/>
          </w:tcPr>
          <w:p w14:paraId="56F1C290" w14:textId="77777777" w:rsidR="005370B0" w:rsidRPr="00F06881" w:rsidRDefault="005370B0" w:rsidP="00E53D9B"/>
        </w:tc>
        <w:tc>
          <w:tcPr>
            <w:tcW w:w="3828" w:type="dxa"/>
            <w:shd w:val="clear" w:color="auto" w:fill="auto"/>
            <w:tcMar>
              <w:top w:w="15" w:type="dxa"/>
              <w:left w:w="15" w:type="dxa"/>
              <w:bottom w:w="0" w:type="dxa"/>
              <w:right w:w="15" w:type="dxa"/>
            </w:tcMar>
            <w:vAlign w:val="center"/>
            <w:hideMark/>
          </w:tcPr>
          <w:p w14:paraId="13C1F724" w14:textId="77777777" w:rsidR="005370B0" w:rsidRPr="00F06881" w:rsidRDefault="005370B0" w:rsidP="00E53D9B">
            <w:r w:rsidRPr="00F06881">
              <w:t>Uzsākta atlase</w:t>
            </w:r>
          </w:p>
        </w:tc>
        <w:tc>
          <w:tcPr>
            <w:tcW w:w="850" w:type="dxa"/>
            <w:shd w:val="clear" w:color="auto" w:fill="auto"/>
            <w:tcMar>
              <w:top w:w="15" w:type="dxa"/>
              <w:left w:w="15" w:type="dxa"/>
              <w:bottom w:w="0" w:type="dxa"/>
              <w:right w:w="15" w:type="dxa"/>
            </w:tcMar>
            <w:vAlign w:val="center"/>
            <w:hideMark/>
          </w:tcPr>
          <w:p w14:paraId="1332D7FA" w14:textId="36C157E7" w:rsidR="005370B0" w:rsidRPr="00F06881" w:rsidRDefault="0003117C" w:rsidP="0003117C">
            <w:pPr>
              <w:jc w:val="center"/>
            </w:pPr>
            <w:r>
              <w:t>-</w:t>
            </w:r>
          </w:p>
        </w:tc>
        <w:tc>
          <w:tcPr>
            <w:tcW w:w="1276" w:type="dxa"/>
            <w:shd w:val="clear" w:color="auto" w:fill="auto"/>
            <w:tcMar>
              <w:top w:w="15" w:type="dxa"/>
              <w:left w:w="15" w:type="dxa"/>
              <w:bottom w:w="0" w:type="dxa"/>
              <w:right w:w="15" w:type="dxa"/>
            </w:tcMar>
            <w:vAlign w:val="center"/>
            <w:hideMark/>
          </w:tcPr>
          <w:p w14:paraId="209458A1" w14:textId="32560186" w:rsidR="005370B0" w:rsidRPr="00F06881" w:rsidRDefault="0003117C" w:rsidP="0003117C">
            <w:pPr>
              <w:jc w:val="center"/>
            </w:pPr>
            <w:r>
              <w:t>-</w:t>
            </w:r>
          </w:p>
        </w:tc>
        <w:tc>
          <w:tcPr>
            <w:tcW w:w="1701" w:type="dxa"/>
            <w:shd w:val="clear" w:color="auto" w:fill="auto"/>
            <w:tcMar>
              <w:top w:w="15" w:type="dxa"/>
              <w:left w:w="15" w:type="dxa"/>
              <w:bottom w:w="0" w:type="dxa"/>
              <w:right w:w="15" w:type="dxa"/>
            </w:tcMar>
            <w:vAlign w:val="center"/>
            <w:hideMark/>
          </w:tcPr>
          <w:p w14:paraId="3412C956" w14:textId="1630AD0C" w:rsidR="005370B0" w:rsidRPr="00F06881" w:rsidRDefault="00247D95" w:rsidP="0003117C">
            <w:pPr>
              <w:jc w:val="center"/>
            </w:pPr>
            <w:r>
              <w:t>3</w:t>
            </w:r>
          </w:p>
        </w:tc>
      </w:tr>
      <w:tr w:rsidR="005370B0" w:rsidRPr="00F06881" w14:paraId="20D26DCD" w14:textId="77777777" w:rsidTr="009E5ED9">
        <w:trPr>
          <w:trHeight w:val="283"/>
        </w:trPr>
        <w:tc>
          <w:tcPr>
            <w:tcW w:w="1126" w:type="dxa"/>
            <w:vMerge/>
            <w:vAlign w:val="center"/>
            <w:hideMark/>
          </w:tcPr>
          <w:p w14:paraId="7EDE62D0" w14:textId="77777777" w:rsidR="005370B0" w:rsidRPr="00F06881" w:rsidRDefault="005370B0" w:rsidP="00E53D9B"/>
        </w:tc>
        <w:tc>
          <w:tcPr>
            <w:tcW w:w="3828" w:type="dxa"/>
            <w:shd w:val="clear" w:color="auto" w:fill="auto"/>
            <w:tcMar>
              <w:top w:w="15" w:type="dxa"/>
              <w:left w:w="15" w:type="dxa"/>
              <w:bottom w:w="0" w:type="dxa"/>
              <w:right w:w="15" w:type="dxa"/>
            </w:tcMar>
            <w:vAlign w:val="center"/>
            <w:hideMark/>
          </w:tcPr>
          <w:p w14:paraId="3481C41E" w14:textId="77777777" w:rsidR="005370B0" w:rsidRPr="00F06881" w:rsidRDefault="005370B0" w:rsidP="00E53D9B">
            <w:r w:rsidRPr="00F06881">
              <w:t>Noslēgti līgumi</w:t>
            </w:r>
          </w:p>
        </w:tc>
        <w:tc>
          <w:tcPr>
            <w:tcW w:w="850" w:type="dxa"/>
            <w:shd w:val="clear" w:color="auto" w:fill="auto"/>
            <w:tcMar>
              <w:top w:w="15" w:type="dxa"/>
              <w:left w:w="15" w:type="dxa"/>
              <w:bottom w:w="0" w:type="dxa"/>
              <w:right w:w="15" w:type="dxa"/>
            </w:tcMar>
            <w:vAlign w:val="center"/>
            <w:hideMark/>
          </w:tcPr>
          <w:p w14:paraId="714D84CB" w14:textId="28854BE5" w:rsidR="005370B0" w:rsidRPr="00F06881" w:rsidRDefault="0003117C" w:rsidP="0003117C">
            <w:pPr>
              <w:jc w:val="center"/>
            </w:pPr>
            <w:r>
              <w:t>-</w:t>
            </w:r>
          </w:p>
        </w:tc>
        <w:tc>
          <w:tcPr>
            <w:tcW w:w="1276" w:type="dxa"/>
            <w:shd w:val="clear" w:color="auto" w:fill="auto"/>
            <w:tcMar>
              <w:top w:w="15" w:type="dxa"/>
              <w:left w:w="15" w:type="dxa"/>
              <w:bottom w:w="0" w:type="dxa"/>
              <w:right w:w="15" w:type="dxa"/>
            </w:tcMar>
            <w:vAlign w:val="center"/>
            <w:hideMark/>
          </w:tcPr>
          <w:p w14:paraId="45EC4E0A" w14:textId="1CBD5E58" w:rsidR="005370B0" w:rsidRPr="00F06881" w:rsidRDefault="0003117C" w:rsidP="0003117C">
            <w:pPr>
              <w:jc w:val="center"/>
            </w:pPr>
            <w:r>
              <w:t>-</w:t>
            </w:r>
          </w:p>
        </w:tc>
        <w:tc>
          <w:tcPr>
            <w:tcW w:w="1701" w:type="dxa"/>
            <w:shd w:val="clear" w:color="auto" w:fill="auto"/>
            <w:tcMar>
              <w:top w:w="15" w:type="dxa"/>
              <w:left w:w="15" w:type="dxa"/>
              <w:bottom w:w="0" w:type="dxa"/>
              <w:right w:w="15" w:type="dxa"/>
            </w:tcMar>
            <w:vAlign w:val="center"/>
            <w:hideMark/>
          </w:tcPr>
          <w:p w14:paraId="157ABDDC" w14:textId="27D91AC1" w:rsidR="005370B0" w:rsidRPr="00F06881" w:rsidRDefault="0003117C" w:rsidP="0003117C">
            <w:pPr>
              <w:jc w:val="center"/>
            </w:pPr>
            <w:r>
              <w:t>-</w:t>
            </w:r>
          </w:p>
        </w:tc>
      </w:tr>
      <w:tr w:rsidR="005370B0" w:rsidRPr="00F06881" w14:paraId="0258C656" w14:textId="77777777" w:rsidTr="009E5ED9">
        <w:trPr>
          <w:trHeight w:val="627"/>
        </w:trPr>
        <w:tc>
          <w:tcPr>
            <w:tcW w:w="1126" w:type="dxa"/>
            <w:vAlign w:val="center"/>
          </w:tcPr>
          <w:p w14:paraId="43CB12E3" w14:textId="77777777" w:rsidR="005370B0" w:rsidRPr="009B5ACA" w:rsidRDefault="005370B0" w:rsidP="00E53D9B">
            <w:r w:rsidRPr="009B5ACA">
              <w:t>Riski</w:t>
            </w:r>
          </w:p>
        </w:tc>
        <w:tc>
          <w:tcPr>
            <w:tcW w:w="7655" w:type="dxa"/>
            <w:gridSpan w:val="4"/>
            <w:shd w:val="clear" w:color="auto" w:fill="auto"/>
            <w:tcMar>
              <w:top w:w="15" w:type="dxa"/>
              <w:left w:w="15" w:type="dxa"/>
              <w:bottom w:w="0" w:type="dxa"/>
              <w:right w:w="15" w:type="dxa"/>
            </w:tcMar>
            <w:vAlign w:val="center"/>
          </w:tcPr>
          <w:p w14:paraId="60A057E5" w14:textId="4597EA69" w:rsidR="005370B0" w:rsidRPr="009B5ACA" w:rsidRDefault="009B5ACA" w:rsidP="00E32555">
            <w:pPr>
              <w:spacing w:after="120"/>
              <w:jc w:val="both"/>
            </w:pPr>
            <w:r w:rsidRPr="009B5ACA">
              <w:rPr>
                <w:rFonts w:eastAsia="Times New Roman" w:cs="Times New Roman"/>
                <w:szCs w:val="24"/>
              </w:rPr>
              <w:t xml:space="preserve">TM </w:t>
            </w:r>
            <w:r w:rsidR="001C3026">
              <w:t xml:space="preserve">kopumā ievēro SAM/pasākumu ieviešanas laika grafikā plānotos termiņus. Pagaidām nav iemesla uzskatīt, ka pastāv risks nesasniegt </w:t>
            </w:r>
            <w:r w:rsidR="001C3026" w:rsidRPr="00A860D0">
              <w:t xml:space="preserve">2018.gadam </w:t>
            </w:r>
            <w:r w:rsidR="006B65F7">
              <w:t>noteiktos</w:t>
            </w:r>
            <w:r w:rsidR="001C3026" w:rsidRPr="00A860D0">
              <w:t xml:space="preserve"> snieguma ietvara un finanšu mērķus</w:t>
            </w:r>
            <w:r w:rsidR="00E32555">
              <w:t>.</w:t>
            </w:r>
          </w:p>
        </w:tc>
      </w:tr>
    </w:tbl>
    <w:p w14:paraId="4A95448B" w14:textId="4D2AD8EE" w:rsidR="00EF7FDC" w:rsidRPr="00CE18DB" w:rsidRDefault="00CE18DB" w:rsidP="00D65094">
      <w:pPr>
        <w:spacing w:before="240" w:after="240"/>
      </w:pPr>
      <w:r>
        <w:t>Tabula</w:t>
      </w:r>
      <w:r w:rsidR="006060BB" w:rsidRPr="00CE18DB">
        <w:t xml:space="preserve"> Nr.</w:t>
      </w:r>
      <w:r w:rsidR="00001327">
        <w:t>10</w:t>
      </w:r>
      <w:r w:rsidR="006060BB" w:rsidRPr="00CE18DB">
        <w:t xml:space="preserve"> </w:t>
      </w:r>
      <w:r w:rsidR="003D5C3B">
        <w:rPr>
          <w:i/>
        </w:rPr>
        <w:t>“</w:t>
      </w:r>
      <w:r w:rsidR="006060BB" w:rsidRPr="00CE18DB">
        <w:rPr>
          <w:i/>
        </w:rPr>
        <w:t>VARAM progress</w:t>
      </w:r>
      <w:r w:rsidR="00416300" w:rsidRPr="00416300">
        <w:rPr>
          <w:i/>
        </w:rPr>
        <w:t xml:space="preserve"> </w:t>
      </w:r>
      <w:r w:rsidR="005A7060">
        <w:rPr>
          <w:i/>
        </w:rPr>
        <w:t>uz 2016.gada 20</w:t>
      </w:r>
      <w:r w:rsidR="00416300">
        <w:rPr>
          <w:i/>
        </w:rPr>
        <w:t>.janvāri</w:t>
      </w:r>
      <w:r w:rsidR="006060BB" w:rsidRPr="00CE18DB">
        <w:rPr>
          <w:i/>
        </w:rPr>
        <w:t xml:space="preserve"> SAM ieviešanā”</w:t>
      </w:r>
    </w:p>
    <w:tbl>
      <w:tblPr>
        <w:tblW w:w="8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1126"/>
        <w:gridCol w:w="3828"/>
        <w:gridCol w:w="850"/>
        <w:gridCol w:w="1276"/>
        <w:gridCol w:w="1701"/>
      </w:tblGrid>
      <w:tr w:rsidR="00CE18DB" w:rsidRPr="007A6583" w14:paraId="185CC7C1" w14:textId="77777777" w:rsidTr="009E5ED9">
        <w:trPr>
          <w:trHeight w:val="283"/>
        </w:trPr>
        <w:tc>
          <w:tcPr>
            <w:tcW w:w="8781" w:type="dxa"/>
            <w:gridSpan w:val="5"/>
            <w:shd w:val="clear" w:color="auto" w:fill="auto"/>
            <w:tcMar>
              <w:top w:w="15" w:type="dxa"/>
              <w:left w:w="15" w:type="dxa"/>
              <w:bottom w:w="0" w:type="dxa"/>
              <w:right w:w="15" w:type="dxa"/>
            </w:tcMar>
            <w:vAlign w:val="center"/>
          </w:tcPr>
          <w:p w14:paraId="182D2E7A" w14:textId="77777777" w:rsidR="00CE18DB" w:rsidRPr="007A6583" w:rsidRDefault="00CE18DB" w:rsidP="00E53D9B">
            <w:pPr>
              <w:rPr>
                <w:b/>
                <w:bCs/>
              </w:rPr>
            </w:pPr>
            <w:r w:rsidRPr="007A6583">
              <w:rPr>
                <w:b/>
                <w:bCs/>
              </w:rPr>
              <w:t>VARAM SAM/pasākumu ieviešanas statuss</w:t>
            </w:r>
          </w:p>
        </w:tc>
      </w:tr>
      <w:tr w:rsidR="00CE18DB" w:rsidRPr="007A6583" w14:paraId="1C5FDFFF" w14:textId="77777777" w:rsidTr="001A67AD">
        <w:trPr>
          <w:trHeight w:val="247"/>
        </w:trPr>
        <w:tc>
          <w:tcPr>
            <w:tcW w:w="4954" w:type="dxa"/>
            <w:gridSpan w:val="2"/>
            <w:shd w:val="clear" w:color="auto" w:fill="auto"/>
            <w:tcMar>
              <w:top w:w="15" w:type="dxa"/>
              <w:left w:w="15" w:type="dxa"/>
              <w:bottom w:w="0" w:type="dxa"/>
              <w:right w:w="15" w:type="dxa"/>
            </w:tcMar>
            <w:vAlign w:val="center"/>
            <w:hideMark/>
          </w:tcPr>
          <w:p w14:paraId="3A67EAE4" w14:textId="77777777" w:rsidR="00CE18DB" w:rsidRPr="007A6583" w:rsidRDefault="00CE18DB" w:rsidP="00E53D9B">
            <w:r w:rsidRPr="007A6583">
              <w:t>SAM/pasākumu kopējais skaits</w:t>
            </w:r>
          </w:p>
        </w:tc>
        <w:tc>
          <w:tcPr>
            <w:tcW w:w="3827" w:type="dxa"/>
            <w:gridSpan w:val="3"/>
            <w:shd w:val="clear" w:color="auto" w:fill="auto"/>
            <w:tcMar>
              <w:top w:w="15" w:type="dxa"/>
              <w:left w:w="15" w:type="dxa"/>
              <w:bottom w:w="0" w:type="dxa"/>
              <w:right w:w="15" w:type="dxa"/>
            </w:tcMar>
            <w:vAlign w:val="center"/>
            <w:hideMark/>
          </w:tcPr>
          <w:p w14:paraId="3FAAF403" w14:textId="77777777" w:rsidR="00CE18DB" w:rsidRPr="007A6583" w:rsidRDefault="00CE18DB" w:rsidP="00E53D9B">
            <w:r w:rsidRPr="007A6583">
              <w:rPr>
                <w:b/>
                <w:bCs/>
              </w:rPr>
              <w:t>14</w:t>
            </w:r>
          </w:p>
        </w:tc>
      </w:tr>
      <w:tr w:rsidR="00CE18DB" w:rsidRPr="007A6583" w14:paraId="2B12126D" w14:textId="77777777" w:rsidTr="009E5ED9">
        <w:trPr>
          <w:trHeight w:val="283"/>
        </w:trPr>
        <w:tc>
          <w:tcPr>
            <w:tcW w:w="4954" w:type="dxa"/>
            <w:gridSpan w:val="2"/>
            <w:shd w:val="clear" w:color="auto" w:fill="auto"/>
            <w:tcMar>
              <w:top w:w="15" w:type="dxa"/>
              <w:left w:w="15" w:type="dxa"/>
              <w:bottom w:w="0" w:type="dxa"/>
              <w:right w:w="15" w:type="dxa"/>
            </w:tcMar>
            <w:vAlign w:val="center"/>
            <w:hideMark/>
          </w:tcPr>
          <w:p w14:paraId="2521095D" w14:textId="77777777" w:rsidR="00CE18DB" w:rsidRPr="007A6583" w:rsidRDefault="00CE18DB" w:rsidP="00E53D9B">
            <w:r w:rsidRPr="007A6583">
              <w:t xml:space="preserve">SAM kopējais KP finansējums, </w:t>
            </w:r>
            <w:r w:rsidRPr="00D676B6">
              <w:rPr>
                <w:i/>
              </w:rPr>
              <w:t xml:space="preserve">euro </w:t>
            </w:r>
          </w:p>
        </w:tc>
        <w:tc>
          <w:tcPr>
            <w:tcW w:w="3827" w:type="dxa"/>
            <w:gridSpan w:val="3"/>
            <w:shd w:val="clear" w:color="auto" w:fill="auto"/>
            <w:tcMar>
              <w:top w:w="15" w:type="dxa"/>
              <w:left w:w="15" w:type="dxa"/>
              <w:bottom w:w="0" w:type="dxa"/>
              <w:right w:w="15" w:type="dxa"/>
            </w:tcMar>
            <w:vAlign w:val="center"/>
            <w:hideMark/>
          </w:tcPr>
          <w:p w14:paraId="7F70F273" w14:textId="77777777" w:rsidR="00CE18DB" w:rsidRPr="00DA044A" w:rsidRDefault="00CE18DB" w:rsidP="00E53D9B">
            <w:pPr>
              <w:rPr>
                <w:b/>
              </w:rPr>
            </w:pPr>
            <w:r w:rsidRPr="00DA044A">
              <w:rPr>
                <w:b/>
              </w:rPr>
              <w:t>689 820 689</w:t>
            </w:r>
          </w:p>
        </w:tc>
      </w:tr>
      <w:tr w:rsidR="00CE18DB" w:rsidRPr="007A6583" w14:paraId="3633BE77" w14:textId="77777777" w:rsidTr="009E5ED9">
        <w:trPr>
          <w:trHeight w:val="319"/>
        </w:trPr>
        <w:tc>
          <w:tcPr>
            <w:tcW w:w="4954" w:type="dxa"/>
            <w:gridSpan w:val="2"/>
            <w:shd w:val="clear" w:color="auto" w:fill="auto"/>
            <w:tcMar>
              <w:top w:w="15" w:type="dxa"/>
              <w:left w:w="15" w:type="dxa"/>
              <w:bottom w:w="0" w:type="dxa"/>
              <w:right w:w="15" w:type="dxa"/>
            </w:tcMar>
            <w:vAlign w:val="center"/>
            <w:hideMark/>
          </w:tcPr>
          <w:p w14:paraId="6F59A1C2" w14:textId="77777777" w:rsidR="00CE18DB" w:rsidRPr="007A6583" w:rsidRDefault="00CE18DB" w:rsidP="00E53D9B">
            <w:r w:rsidRPr="007A6583">
              <w:t>Statuss</w:t>
            </w:r>
          </w:p>
        </w:tc>
        <w:tc>
          <w:tcPr>
            <w:tcW w:w="850" w:type="dxa"/>
            <w:shd w:val="clear" w:color="auto" w:fill="FF9999"/>
            <w:tcMar>
              <w:top w:w="15" w:type="dxa"/>
              <w:left w:w="15" w:type="dxa"/>
              <w:bottom w:w="0" w:type="dxa"/>
              <w:right w:w="15" w:type="dxa"/>
            </w:tcMar>
            <w:vAlign w:val="center"/>
            <w:hideMark/>
          </w:tcPr>
          <w:p w14:paraId="5C9F783A" w14:textId="77777777" w:rsidR="00CE18DB" w:rsidRPr="007A6583" w:rsidRDefault="00CE18DB" w:rsidP="0003117C">
            <w:pPr>
              <w:jc w:val="center"/>
            </w:pPr>
            <w:r w:rsidRPr="007A6583">
              <w:t>Kavēts</w:t>
            </w:r>
          </w:p>
        </w:tc>
        <w:tc>
          <w:tcPr>
            <w:tcW w:w="1276" w:type="dxa"/>
            <w:shd w:val="clear" w:color="auto" w:fill="auto"/>
            <w:tcMar>
              <w:top w:w="15" w:type="dxa"/>
              <w:left w:w="15" w:type="dxa"/>
              <w:bottom w:w="0" w:type="dxa"/>
              <w:right w:w="15" w:type="dxa"/>
            </w:tcMar>
            <w:vAlign w:val="center"/>
            <w:hideMark/>
          </w:tcPr>
          <w:p w14:paraId="6CD42082" w14:textId="31A4B104" w:rsidR="00CE18DB" w:rsidRPr="007A6583" w:rsidRDefault="00CE18DB" w:rsidP="0003117C">
            <w:pPr>
              <w:jc w:val="center"/>
            </w:pPr>
            <w:r w:rsidRPr="007A6583">
              <w:t>Izpildīts</w:t>
            </w:r>
          </w:p>
        </w:tc>
        <w:tc>
          <w:tcPr>
            <w:tcW w:w="1701" w:type="dxa"/>
            <w:shd w:val="clear" w:color="auto" w:fill="auto"/>
            <w:tcMar>
              <w:top w:w="15" w:type="dxa"/>
              <w:left w:w="15" w:type="dxa"/>
              <w:bottom w:w="0" w:type="dxa"/>
              <w:right w:w="15" w:type="dxa"/>
            </w:tcMar>
            <w:vAlign w:val="center"/>
            <w:hideMark/>
          </w:tcPr>
          <w:p w14:paraId="20F01A75" w14:textId="77777777" w:rsidR="00CE18DB" w:rsidRPr="007A6583" w:rsidRDefault="00CE18DB" w:rsidP="0003117C">
            <w:pPr>
              <w:jc w:val="center"/>
            </w:pPr>
            <w:r w:rsidRPr="007A6583">
              <w:t>Nav pienācis</w:t>
            </w:r>
          </w:p>
        </w:tc>
      </w:tr>
      <w:tr w:rsidR="00CE18DB" w:rsidRPr="007A6583" w14:paraId="77775A72" w14:textId="77777777" w:rsidTr="009E5ED9">
        <w:trPr>
          <w:trHeight w:val="283"/>
        </w:trPr>
        <w:tc>
          <w:tcPr>
            <w:tcW w:w="1126" w:type="dxa"/>
            <w:vMerge w:val="restart"/>
            <w:shd w:val="clear" w:color="auto" w:fill="auto"/>
            <w:tcMar>
              <w:top w:w="15" w:type="dxa"/>
              <w:left w:w="15" w:type="dxa"/>
              <w:bottom w:w="0" w:type="dxa"/>
              <w:right w:w="15" w:type="dxa"/>
            </w:tcMar>
            <w:vAlign w:val="center"/>
            <w:hideMark/>
          </w:tcPr>
          <w:p w14:paraId="7A1EAB67" w14:textId="74E6F500" w:rsidR="00CE18DB" w:rsidRPr="007A6583" w:rsidRDefault="00CE18DB" w:rsidP="00E53D9B">
            <w:r w:rsidRPr="007A6583">
              <w:t>SAM/</w:t>
            </w:r>
            <w:r w:rsidR="00D676B6">
              <w:t xml:space="preserve"> </w:t>
            </w:r>
            <w:r w:rsidRPr="007A6583">
              <w:t>pasākumu skaits</w:t>
            </w:r>
          </w:p>
        </w:tc>
        <w:tc>
          <w:tcPr>
            <w:tcW w:w="3828" w:type="dxa"/>
            <w:shd w:val="clear" w:color="auto" w:fill="auto"/>
            <w:tcMar>
              <w:top w:w="15" w:type="dxa"/>
              <w:left w:w="15" w:type="dxa"/>
              <w:bottom w:w="0" w:type="dxa"/>
              <w:right w:w="15" w:type="dxa"/>
            </w:tcMar>
            <w:vAlign w:val="center"/>
            <w:hideMark/>
          </w:tcPr>
          <w:p w14:paraId="05A275E6" w14:textId="77777777" w:rsidR="00CE18DB" w:rsidRPr="007A6583" w:rsidRDefault="00CE18DB" w:rsidP="00E53D9B">
            <w:r w:rsidRPr="007A6583">
              <w:t xml:space="preserve">Sākotnējā novērtējuma iesniegšana </w:t>
            </w:r>
          </w:p>
        </w:tc>
        <w:tc>
          <w:tcPr>
            <w:tcW w:w="850" w:type="dxa"/>
            <w:shd w:val="clear" w:color="auto" w:fill="FF9999"/>
            <w:tcMar>
              <w:top w:w="15" w:type="dxa"/>
              <w:left w:w="15" w:type="dxa"/>
              <w:bottom w:w="0" w:type="dxa"/>
              <w:right w:w="15" w:type="dxa"/>
            </w:tcMar>
            <w:vAlign w:val="center"/>
            <w:hideMark/>
          </w:tcPr>
          <w:p w14:paraId="4491A630" w14:textId="4109954F" w:rsidR="00CE18DB" w:rsidRPr="007A6583" w:rsidRDefault="00CE18DB" w:rsidP="0003117C">
            <w:pPr>
              <w:jc w:val="center"/>
            </w:pPr>
            <w:r>
              <w:t>4</w:t>
            </w:r>
          </w:p>
        </w:tc>
        <w:tc>
          <w:tcPr>
            <w:tcW w:w="1276" w:type="dxa"/>
            <w:shd w:val="clear" w:color="auto" w:fill="auto"/>
            <w:tcMar>
              <w:top w:w="15" w:type="dxa"/>
              <w:left w:w="15" w:type="dxa"/>
              <w:bottom w:w="0" w:type="dxa"/>
              <w:right w:w="15" w:type="dxa"/>
            </w:tcMar>
            <w:vAlign w:val="center"/>
            <w:hideMark/>
          </w:tcPr>
          <w:p w14:paraId="22A14AAB" w14:textId="77777777" w:rsidR="00CE18DB" w:rsidRPr="007A6583" w:rsidRDefault="00CE18DB" w:rsidP="0003117C">
            <w:pPr>
              <w:jc w:val="center"/>
            </w:pPr>
            <w:r>
              <w:t>7</w:t>
            </w:r>
          </w:p>
        </w:tc>
        <w:tc>
          <w:tcPr>
            <w:tcW w:w="1701" w:type="dxa"/>
            <w:shd w:val="clear" w:color="auto" w:fill="auto"/>
            <w:tcMar>
              <w:top w:w="15" w:type="dxa"/>
              <w:left w:w="15" w:type="dxa"/>
              <w:bottom w:w="0" w:type="dxa"/>
              <w:right w:w="15" w:type="dxa"/>
            </w:tcMar>
            <w:vAlign w:val="center"/>
            <w:hideMark/>
          </w:tcPr>
          <w:p w14:paraId="24C367F1" w14:textId="60BBA85D" w:rsidR="00CE18DB" w:rsidRPr="007A6583" w:rsidRDefault="00247D95" w:rsidP="0003117C">
            <w:pPr>
              <w:jc w:val="center"/>
            </w:pPr>
            <w:r>
              <w:t>3</w:t>
            </w:r>
          </w:p>
        </w:tc>
      </w:tr>
      <w:tr w:rsidR="00CE18DB" w:rsidRPr="007A6583" w14:paraId="2633223E" w14:textId="77777777" w:rsidTr="009E5ED9">
        <w:trPr>
          <w:trHeight w:val="283"/>
        </w:trPr>
        <w:tc>
          <w:tcPr>
            <w:tcW w:w="1126" w:type="dxa"/>
            <w:vMerge/>
            <w:vAlign w:val="center"/>
            <w:hideMark/>
          </w:tcPr>
          <w:p w14:paraId="38D5B5B6" w14:textId="77777777" w:rsidR="00CE18DB" w:rsidRPr="007A6583" w:rsidRDefault="00CE18DB" w:rsidP="00E53D9B"/>
        </w:tc>
        <w:tc>
          <w:tcPr>
            <w:tcW w:w="3828" w:type="dxa"/>
            <w:shd w:val="clear" w:color="auto" w:fill="auto"/>
            <w:tcMar>
              <w:top w:w="15" w:type="dxa"/>
              <w:left w:w="15" w:type="dxa"/>
              <w:bottom w:w="0" w:type="dxa"/>
              <w:right w:w="15" w:type="dxa"/>
            </w:tcMar>
            <w:vAlign w:val="center"/>
            <w:hideMark/>
          </w:tcPr>
          <w:p w14:paraId="79A8C8FA" w14:textId="77777777" w:rsidR="00CE18DB" w:rsidRPr="007A6583" w:rsidRDefault="00CE18DB" w:rsidP="00E53D9B">
            <w:r w:rsidRPr="007A6583">
              <w:t>Kritēriji iesniegti AK</w:t>
            </w:r>
          </w:p>
        </w:tc>
        <w:tc>
          <w:tcPr>
            <w:tcW w:w="850" w:type="dxa"/>
            <w:shd w:val="clear" w:color="auto" w:fill="FF9999"/>
            <w:tcMar>
              <w:top w:w="15" w:type="dxa"/>
              <w:left w:w="15" w:type="dxa"/>
              <w:bottom w:w="0" w:type="dxa"/>
              <w:right w:w="15" w:type="dxa"/>
            </w:tcMar>
            <w:vAlign w:val="center"/>
            <w:hideMark/>
          </w:tcPr>
          <w:p w14:paraId="5B33120F" w14:textId="77777777" w:rsidR="00CE18DB" w:rsidRPr="007A6583" w:rsidRDefault="00CE18DB" w:rsidP="0003117C">
            <w:pPr>
              <w:jc w:val="center"/>
            </w:pPr>
            <w:r>
              <w:t>4</w:t>
            </w:r>
          </w:p>
        </w:tc>
        <w:tc>
          <w:tcPr>
            <w:tcW w:w="1276" w:type="dxa"/>
            <w:shd w:val="clear" w:color="auto" w:fill="auto"/>
            <w:tcMar>
              <w:top w:w="15" w:type="dxa"/>
              <w:left w:w="15" w:type="dxa"/>
              <w:bottom w:w="0" w:type="dxa"/>
              <w:right w:w="15" w:type="dxa"/>
            </w:tcMar>
            <w:vAlign w:val="center"/>
            <w:hideMark/>
          </w:tcPr>
          <w:p w14:paraId="5148B160" w14:textId="77777777" w:rsidR="00CE18DB" w:rsidRPr="007A6583" w:rsidRDefault="00CE18DB" w:rsidP="0003117C">
            <w:pPr>
              <w:jc w:val="center"/>
            </w:pPr>
            <w:r>
              <w:t>7</w:t>
            </w:r>
          </w:p>
        </w:tc>
        <w:tc>
          <w:tcPr>
            <w:tcW w:w="1701" w:type="dxa"/>
            <w:shd w:val="clear" w:color="auto" w:fill="auto"/>
            <w:tcMar>
              <w:top w:w="15" w:type="dxa"/>
              <w:left w:w="15" w:type="dxa"/>
              <w:bottom w:w="0" w:type="dxa"/>
              <w:right w:w="15" w:type="dxa"/>
            </w:tcMar>
            <w:vAlign w:val="center"/>
            <w:hideMark/>
          </w:tcPr>
          <w:p w14:paraId="0A56276C" w14:textId="461D0164" w:rsidR="00CE18DB" w:rsidRPr="007A6583" w:rsidRDefault="00247D95" w:rsidP="0003117C">
            <w:pPr>
              <w:jc w:val="center"/>
            </w:pPr>
            <w:r>
              <w:t>3</w:t>
            </w:r>
          </w:p>
        </w:tc>
      </w:tr>
      <w:tr w:rsidR="00CE18DB" w:rsidRPr="007A6583" w14:paraId="15228C45" w14:textId="77777777" w:rsidTr="009E5ED9">
        <w:trPr>
          <w:trHeight w:val="283"/>
        </w:trPr>
        <w:tc>
          <w:tcPr>
            <w:tcW w:w="1126" w:type="dxa"/>
            <w:vMerge/>
            <w:vAlign w:val="center"/>
            <w:hideMark/>
          </w:tcPr>
          <w:p w14:paraId="12B56D5B" w14:textId="77777777" w:rsidR="00CE18DB" w:rsidRPr="007A6583" w:rsidRDefault="00CE18DB" w:rsidP="00E53D9B"/>
        </w:tc>
        <w:tc>
          <w:tcPr>
            <w:tcW w:w="3828" w:type="dxa"/>
            <w:shd w:val="clear" w:color="auto" w:fill="auto"/>
            <w:tcMar>
              <w:top w:w="15" w:type="dxa"/>
              <w:left w:w="15" w:type="dxa"/>
              <w:bottom w:w="0" w:type="dxa"/>
              <w:right w:w="15" w:type="dxa"/>
            </w:tcMar>
            <w:vAlign w:val="center"/>
            <w:hideMark/>
          </w:tcPr>
          <w:p w14:paraId="553104D0" w14:textId="77777777" w:rsidR="00CE18DB" w:rsidRPr="007A6583" w:rsidRDefault="00CE18DB" w:rsidP="00E53D9B">
            <w:r w:rsidRPr="007A6583">
              <w:t>MK noteikumu izsludināti VSS</w:t>
            </w:r>
          </w:p>
        </w:tc>
        <w:tc>
          <w:tcPr>
            <w:tcW w:w="850" w:type="dxa"/>
            <w:shd w:val="clear" w:color="auto" w:fill="FF9999"/>
            <w:tcMar>
              <w:top w:w="15" w:type="dxa"/>
              <w:left w:w="15" w:type="dxa"/>
              <w:bottom w:w="0" w:type="dxa"/>
              <w:right w:w="15" w:type="dxa"/>
            </w:tcMar>
            <w:vAlign w:val="center"/>
            <w:hideMark/>
          </w:tcPr>
          <w:p w14:paraId="549287B6" w14:textId="2D91BE13" w:rsidR="00CE18DB" w:rsidRPr="007A6583" w:rsidRDefault="00DA044A" w:rsidP="0003117C">
            <w:pPr>
              <w:jc w:val="center"/>
            </w:pPr>
            <w:r>
              <w:t>4</w:t>
            </w:r>
          </w:p>
        </w:tc>
        <w:tc>
          <w:tcPr>
            <w:tcW w:w="1276" w:type="dxa"/>
            <w:shd w:val="clear" w:color="auto" w:fill="auto"/>
            <w:tcMar>
              <w:top w:w="15" w:type="dxa"/>
              <w:left w:w="15" w:type="dxa"/>
              <w:bottom w:w="0" w:type="dxa"/>
              <w:right w:w="15" w:type="dxa"/>
            </w:tcMar>
            <w:vAlign w:val="center"/>
            <w:hideMark/>
          </w:tcPr>
          <w:p w14:paraId="146D3D64" w14:textId="4FCA5849" w:rsidR="00CE18DB" w:rsidRPr="007A6583" w:rsidRDefault="00DA044A" w:rsidP="0003117C">
            <w:pPr>
              <w:jc w:val="center"/>
            </w:pPr>
            <w:r>
              <w:t>7</w:t>
            </w:r>
          </w:p>
        </w:tc>
        <w:tc>
          <w:tcPr>
            <w:tcW w:w="1701" w:type="dxa"/>
            <w:shd w:val="clear" w:color="auto" w:fill="auto"/>
            <w:tcMar>
              <w:top w:w="15" w:type="dxa"/>
              <w:left w:w="15" w:type="dxa"/>
              <w:bottom w:w="0" w:type="dxa"/>
              <w:right w:w="15" w:type="dxa"/>
            </w:tcMar>
            <w:vAlign w:val="center"/>
            <w:hideMark/>
          </w:tcPr>
          <w:p w14:paraId="45B6E957" w14:textId="48D9086D" w:rsidR="00CE18DB" w:rsidRPr="007A6583" w:rsidRDefault="00CE18DB" w:rsidP="0003117C">
            <w:pPr>
              <w:jc w:val="center"/>
            </w:pPr>
            <w:r>
              <w:t>3</w:t>
            </w:r>
          </w:p>
        </w:tc>
      </w:tr>
      <w:tr w:rsidR="00CE18DB" w:rsidRPr="007A6583" w14:paraId="304C500A" w14:textId="77777777" w:rsidTr="009E5ED9">
        <w:trPr>
          <w:trHeight w:val="283"/>
        </w:trPr>
        <w:tc>
          <w:tcPr>
            <w:tcW w:w="1126" w:type="dxa"/>
            <w:vMerge/>
            <w:vAlign w:val="center"/>
            <w:hideMark/>
          </w:tcPr>
          <w:p w14:paraId="696BE87D" w14:textId="77777777" w:rsidR="00CE18DB" w:rsidRPr="007A6583" w:rsidRDefault="00CE18DB" w:rsidP="00E53D9B"/>
        </w:tc>
        <w:tc>
          <w:tcPr>
            <w:tcW w:w="3828" w:type="dxa"/>
            <w:shd w:val="clear" w:color="auto" w:fill="auto"/>
            <w:tcMar>
              <w:top w:w="15" w:type="dxa"/>
              <w:left w:w="15" w:type="dxa"/>
              <w:bottom w:w="0" w:type="dxa"/>
              <w:right w:w="15" w:type="dxa"/>
            </w:tcMar>
            <w:vAlign w:val="center"/>
            <w:hideMark/>
          </w:tcPr>
          <w:p w14:paraId="6BC2F0CE" w14:textId="77777777" w:rsidR="00CE18DB" w:rsidRPr="007A6583" w:rsidRDefault="00CE18DB" w:rsidP="00E53D9B">
            <w:r w:rsidRPr="007A6583">
              <w:t>MK noteikumu apstiprināšana MK</w:t>
            </w:r>
          </w:p>
        </w:tc>
        <w:tc>
          <w:tcPr>
            <w:tcW w:w="850" w:type="dxa"/>
            <w:shd w:val="clear" w:color="auto" w:fill="FF9999"/>
            <w:tcMar>
              <w:top w:w="15" w:type="dxa"/>
              <w:left w:w="15" w:type="dxa"/>
              <w:bottom w:w="0" w:type="dxa"/>
              <w:right w:w="15" w:type="dxa"/>
            </w:tcMar>
            <w:vAlign w:val="center"/>
            <w:hideMark/>
          </w:tcPr>
          <w:p w14:paraId="309CF02B" w14:textId="19C74D04" w:rsidR="00CE18DB" w:rsidRPr="007A6583" w:rsidRDefault="00CE18DB" w:rsidP="0003117C">
            <w:pPr>
              <w:jc w:val="center"/>
            </w:pPr>
            <w:r w:rsidRPr="007A6583">
              <w:t>2</w:t>
            </w:r>
          </w:p>
        </w:tc>
        <w:tc>
          <w:tcPr>
            <w:tcW w:w="1276" w:type="dxa"/>
            <w:shd w:val="clear" w:color="auto" w:fill="auto"/>
            <w:tcMar>
              <w:top w:w="15" w:type="dxa"/>
              <w:left w:w="15" w:type="dxa"/>
              <w:bottom w:w="0" w:type="dxa"/>
              <w:right w:w="15" w:type="dxa"/>
            </w:tcMar>
            <w:vAlign w:val="center"/>
            <w:hideMark/>
          </w:tcPr>
          <w:p w14:paraId="0FB679AA" w14:textId="77777777" w:rsidR="00CE18DB" w:rsidRPr="007A6583" w:rsidRDefault="00CE18DB" w:rsidP="0003117C">
            <w:pPr>
              <w:jc w:val="center"/>
            </w:pPr>
            <w:r w:rsidRPr="007A6583">
              <w:t>4</w:t>
            </w:r>
          </w:p>
        </w:tc>
        <w:tc>
          <w:tcPr>
            <w:tcW w:w="1701" w:type="dxa"/>
            <w:shd w:val="clear" w:color="auto" w:fill="auto"/>
            <w:tcMar>
              <w:top w:w="15" w:type="dxa"/>
              <w:left w:w="15" w:type="dxa"/>
              <w:bottom w:w="0" w:type="dxa"/>
              <w:right w:w="15" w:type="dxa"/>
            </w:tcMar>
            <w:vAlign w:val="center"/>
            <w:hideMark/>
          </w:tcPr>
          <w:p w14:paraId="79B1AD25" w14:textId="2A796329" w:rsidR="00CE18DB" w:rsidRPr="007A6583" w:rsidRDefault="00247D95" w:rsidP="0003117C">
            <w:pPr>
              <w:jc w:val="center"/>
            </w:pPr>
            <w:r>
              <w:t>8</w:t>
            </w:r>
          </w:p>
        </w:tc>
      </w:tr>
      <w:tr w:rsidR="00CE18DB" w:rsidRPr="007A6583" w14:paraId="4C9F4342" w14:textId="77777777" w:rsidTr="009E5ED9">
        <w:trPr>
          <w:trHeight w:val="283"/>
        </w:trPr>
        <w:tc>
          <w:tcPr>
            <w:tcW w:w="1126" w:type="dxa"/>
            <w:vMerge/>
            <w:vAlign w:val="center"/>
            <w:hideMark/>
          </w:tcPr>
          <w:p w14:paraId="7AA7632D" w14:textId="77777777" w:rsidR="00CE18DB" w:rsidRPr="007A6583" w:rsidRDefault="00CE18DB" w:rsidP="00E53D9B"/>
        </w:tc>
        <w:tc>
          <w:tcPr>
            <w:tcW w:w="3828" w:type="dxa"/>
            <w:shd w:val="clear" w:color="auto" w:fill="auto"/>
            <w:tcMar>
              <w:top w:w="15" w:type="dxa"/>
              <w:left w:w="15" w:type="dxa"/>
              <w:bottom w:w="0" w:type="dxa"/>
              <w:right w:w="15" w:type="dxa"/>
            </w:tcMar>
            <w:vAlign w:val="center"/>
            <w:hideMark/>
          </w:tcPr>
          <w:p w14:paraId="0294A37F" w14:textId="77777777" w:rsidR="00CE18DB" w:rsidRPr="007A6583" w:rsidRDefault="00CE18DB" w:rsidP="00E53D9B">
            <w:r w:rsidRPr="007A6583">
              <w:t>Uzsākta atlase</w:t>
            </w:r>
          </w:p>
        </w:tc>
        <w:tc>
          <w:tcPr>
            <w:tcW w:w="850" w:type="dxa"/>
            <w:shd w:val="clear" w:color="auto" w:fill="FF9999"/>
            <w:tcMar>
              <w:top w:w="15" w:type="dxa"/>
              <w:left w:w="15" w:type="dxa"/>
              <w:bottom w:w="0" w:type="dxa"/>
              <w:right w:w="15" w:type="dxa"/>
            </w:tcMar>
            <w:vAlign w:val="center"/>
            <w:hideMark/>
          </w:tcPr>
          <w:p w14:paraId="1B50F337" w14:textId="77777777" w:rsidR="00CE18DB" w:rsidRPr="007A6583" w:rsidRDefault="00CE18DB" w:rsidP="0003117C">
            <w:pPr>
              <w:jc w:val="center"/>
            </w:pPr>
            <w:r>
              <w:t>4</w:t>
            </w:r>
          </w:p>
        </w:tc>
        <w:tc>
          <w:tcPr>
            <w:tcW w:w="1276" w:type="dxa"/>
            <w:shd w:val="clear" w:color="auto" w:fill="auto"/>
            <w:tcMar>
              <w:top w:w="15" w:type="dxa"/>
              <w:left w:w="15" w:type="dxa"/>
              <w:bottom w:w="0" w:type="dxa"/>
              <w:right w:w="15" w:type="dxa"/>
            </w:tcMar>
            <w:vAlign w:val="center"/>
            <w:hideMark/>
          </w:tcPr>
          <w:p w14:paraId="0B8F41AE" w14:textId="77777777" w:rsidR="00CE18DB" w:rsidRPr="007A6583" w:rsidRDefault="00CE18DB" w:rsidP="0003117C">
            <w:pPr>
              <w:jc w:val="center"/>
            </w:pPr>
            <w:r w:rsidRPr="007A6583">
              <w:t>1</w:t>
            </w:r>
          </w:p>
        </w:tc>
        <w:tc>
          <w:tcPr>
            <w:tcW w:w="1701" w:type="dxa"/>
            <w:shd w:val="clear" w:color="auto" w:fill="auto"/>
            <w:tcMar>
              <w:top w:w="15" w:type="dxa"/>
              <w:left w:w="15" w:type="dxa"/>
              <w:bottom w:w="0" w:type="dxa"/>
              <w:right w:w="15" w:type="dxa"/>
            </w:tcMar>
            <w:vAlign w:val="center"/>
            <w:hideMark/>
          </w:tcPr>
          <w:p w14:paraId="0D889A97" w14:textId="21F1F95A" w:rsidR="00CE18DB" w:rsidRPr="007A6583" w:rsidRDefault="00CE18DB" w:rsidP="0003117C">
            <w:pPr>
              <w:jc w:val="center"/>
            </w:pPr>
            <w:r>
              <w:t>9</w:t>
            </w:r>
          </w:p>
        </w:tc>
      </w:tr>
      <w:tr w:rsidR="00CE18DB" w:rsidRPr="007A6583" w14:paraId="0BB27B89" w14:textId="77777777" w:rsidTr="009E5ED9">
        <w:trPr>
          <w:trHeight w:val="283"/>
        </w:trPr>
        <w:tc>
          <w:tcPr>
            <w:tcW w:w="1126" w:type="dxa"/>
            <w:vMerge/>
            <w:vAlign w:val="center"/>
            <w:hideMark/>
          </w:tcPr>
          <w:p w14:paraId="14E421DB" w14:textId="77777777" w:rsidR="00CE18DB" w:rsidRPr="007A6583" w:rsidRDefault="00CE18DB" w:rsidP="00E53D9B"/>
        </w:tc>
        <w:tc>
          <w:tcPr>
            <w:tcW w:w="3828" w:type="dxa"/>
            <w:shd w:val="clear" w:color="auto" w:fill="auto"/>
            <w:tcMar>
              <w:top w:w="15" w:type="dxa"/>
              <w:left w:w="15" w:type="dxa"/>
              <w:bottom w:w="0" w:type="dxa"/>
              <w:right w:w="15" w:type="dxa"/>
            </w:tcMar>
            <w:vAlign w:val="center"/>
            <w:hideMark/>
          </w:tcPr>
          <w:p w14:paraId="0EF39119" w14:textId="77777777" w:rsidR="00CE18DB" w:rsidRPr="007A6583" w:rsidRDefault="00CE18DB" w:rsidP="00E53D9B">
            <w:r w:rsidRPr="007A6583">
              <w:t>Noslēgti līgumi</w:t>
            </w:r>
          </w:p>
        </w:tc>
        <w:tc>
          <w:tcPr>
            <w:tcW w:w="850" w:type="dxa"/>
            <w:shd w:val="clear" w:color="auto" w:fill="auto"/>
            <w:tcMar>
              <w:top w:w="15" w:type="dxa"/>
              <w:left w:w="15" w:type="dxa"/>
              <w:bottom w:w="0" w:type="dxa"/>
              <w:right w:w="15" w:type="dxa"/>
            </w:tcMar>
            <w:vAlign w:val="center"/>
            <w:hideMark/>
          </w:tcPr>
          <w:p w14:paraId="31122AF3" w14:textId="4EE42E36" w:rsidR="00CE18DB" w:rsidRPr="007A6583" w:rsidRDefault="0003117C" w:rsidP="0003117C">
            <w:pPr>
              <w:jc w:val="center"/>
            </w:pPr>
            <w:r>
              <w:t>-</w:t>
            </w:r>
          </w:p>
        </w:tc>
        <w:tc>
          <w:tcPr>
            <w:tcW w:w="1276" w:type="dxa"/>
            <w:shd w:val="clear" w:color="auto" w:fill="auto"/>
            <w:tcMar>
              <w:top w:w="15" w:type="dxa"/>
              <w:left w:w="15" w:type="dxa"/>
              <w:bottom w:w="0" w:type="dxa"/>
              <w:right w:w="15" w:type="dxa"/>
            </w:tcMar>
            <w:vAlign w:val="center"/>
            <w:hideMark/>
          </w:tcPr>
          <w:p w14:paraId="21066EF7" w14:textId="4011258F" w:rsidR="00CE18DB" w:rsidRPr="007A6583" w:rsidRDefault="00CE18DB" w:rsidP="0003117C">
            <w:pPr>
              <w:jc w:val="center"/>
            </w:pPr>
            <w:r>
              <w:t>1</w:t>
            </w:r>
          </w:p>
        </w:tc>
        <w:tc>
          <w:tcPr>
            <w:tcW w:w="1701" w:type="dxa"/>
            <w:shd w:val="clear" w:color="auto" w:fill="auto"/>
            <w:tcMar>
              <w:top w:w="15" w:type="dxa"/>
              <w:left w:w="15" w:type="dxa"/>
              <w:bottom w:w="0" w:type="dxa"/>
              <w:right w:w="15" w:type="dxa"/>
            </w:tcMar>
            <w:vAlign w:val="center"/>
            <w:hideMark/>
          </w:tcPr>
          <w:p w14:paraId="205C3037" w14:textId="22CDAE20" w:rsidR="00CE18DB" w:rsidRPr="007A6583" w:rsidRDefault="0003117C" w:rsidP="0003117C">
            <w:pPr>
              <w:jc w:val="center"/>
            </w:pPr>
            <w:r>
              <w:t>-</w:t>
            </w:r>
          </w:p>
        </w:tc>
      </w:tr>
      <w:tr w:rsidR="00CE18DB" w:rsidRPr="007A6583" w14:paraId="0E9B0DC4" w14:textId="77777777" w:rsidTr="009E5ED9">
        <w:trPr>
          <w:trHeight w:val="548"/>
        </w:trPr>
        <w:tc>
          <w:tcPr>
            <w:tcW w:w="1126" w:type="dxa"/>
            <w:vAlign w:val="center"/>
          </w:tcPr>
          <w:p w14:paraId="5939EA2B" w14:textId="77777777" w:rsidR="00CE18DB" w:rsidRPr="007A6583" w:rsidRDefault="00CE18DB" w:rsidP="00E53D9B">
            <w:r>
              <w:t>Riski</w:t>
            </w:r>
          </w:p>
        </w:tc>
        <w:tc>
          <w:tcPr>
            <w:tcW w:w="7655" w:type="dxa"/>
            <w:gridSpan w:val="4"/>
            <w:shd w:val="clear" w:color="auto" w:fill="auto"/>
            <w:tcMar>
              <w:top w:w="15" w:type="dxa"/>
              <w:left w:w="15" w:type="dxa"/>
              <w:bottom w:w="0" w:type="dxa"/>
              <w:right w:w="15" w:type="dxa"/>
            </w:tcMar>
            <w:vAlign w:val="center"/>
          </w:tcPr>
          <w:p w14:paraId="1DD964B1" w14:textId="77777777" w:rsidR="00CE18DB" w:rsidRDefault="00CE18DB" w:rsidP="00E32555">
            <w:pPr>
              <w:jc w:val="both"/>
            </w:pPr>
            <w:r w:rsidRPr="00821688">
              <w:t xml:space="preserve">IKT projektu uzsākšanu kavē tas, ka vēl nav MK iesniegta un apstiprināta vienotā IKT </w:t>
            </w:r>
            <w:proofErr w:type="spellStart"/>
            <w:r w:rsidRPr="00821688">
              <w:t>mērķarhitektūra</w:t>
            </w:r>
            <w:proofErr w:type="spellEnd"/>
            <w:r w:rsidRPr="00821688">
              <w:t>.</w:t>
            </w:r>
          </w:p>
          <w:p w14:paraId="37F89173" w14:textId="1C853D74" w:rsidR="00CE18DB" w:rsidRDefault="00CE18DB" w:rsidP="00E32555">
            <w:pPr>
              <w:jc w:val="both"/>
            </w:pPr>
            <w:r>
              <w:lastRenderedPageBreak/>
              <w:t xml:space="preserve">Atkritumu </w:t>
            </w:r>
            <w:r w:rsidR="006F43E6">
              <w:t xml:space="preserve">apsaimniekošanas </w:t>
            </w:r>
            <w:r>
              <w:t>jomā</w:t>
            </w:r>
            <w:r w:rsidRPr="001B5435">
              <w:t xml:space="preserve"> </w:t>
            </w:r>
            <w:r>
              <w:t xml:space="preserve">bijusi negatīva pieredze </w:t>
            </w:r>
            <w:r w:rsidRPr="001B5435">
              <w:t>ES fondu 2007.–2013.gada plānošanas periodā</w:t>
            </w:r>
            <w:r w:rsidR="006F43E6">
              <w:t>, kā rezultātā</w:t>
            </w:r>
            <w:r w:rsidRPr="001B5435">
              <w:t xml:space="preserve"> netika apgūts </w:t>
            </w:r>
            <w:r>
              <w:t xml:space="preserve">pieejamais </w:t>
            </w:r>
            <w:r w:rsidRPr="001B5435">
              <w:t xml:space="preserve">finansējums lielā apjomā. </w:t>
            </w:r>
          </w:p>
          <w:p w14:paraId="55F0B6A0" w14:textId="77777777" w:rsidR="00CE18DB" w:rsidRPr="007A6583" w:rsidRDefault="00CE18DB" w:rsidP="00E32555">
            <w:pPr>
              <w:jc w:val="both"/>
            </w:pPr>
            <w:r>
              <w:t>Ūdenssaimniecības jomā būtiski nodrošināt savlaicīgu investīciju uzsākšanu, lai nodrošinātu ES direktīvu prasību izpildi</w:t>
            </w:r>
            <w:r w:rsidRPr="001B5435">
              <w:t>.</w:t>
            </w:r>
          </w:p>
        </w:tc>
      </w:tr>
    </w:tbl>
    <w:p w14:paraId="3D4EC6DC" w14:textId="6F7101C7" w:rsidR="0020750A" w:rsidRPr="00DF202A" w:rsidRDefault="00DF202A" w:rsidP="0020750A">
      <w:pPr>
        <w:spacing w:before="120" w:after="120" w:line="276" w:lineRule="auto"/>
        <w:jc w:val="both"/>
      </w:pPr>
      <w:r w:rsidRPr="00DF202A">
        <w:lastRenderedPageBreak/>
        <w:t>Tabula</w:t>
      </w:r>
      <w:r w:rsidR="006060BB" w:rsidRPr="00DF202A">
        <w:t xml:space="preserve"> Nr.</w:t>
      </w:r>
      <w:r w:rsidR="00001327">
        <w:t>11</w:t>
      </w:r>
      <w:r w:rsidR="006060BB" w:rsidRPr="00DF202A">
        <w:rPr>
          <w:color w:val="FF0000"/>
        </w:rPr>
        <w:t xml:space="preserve"> </w:t>
      </w:r>
      <w:r w:rsidR="006060BB" w:rsidRPr="00DF202A">
        <w:rPr>
          <w:i/>
        </w:rPr>
        <w:t>„VM progress</w:t>
      </w:r>
      <w:r w:rsidR="005A7060">
        <w:rPr>
          <w:i/>
        </w:rPr>
        <w:t xml:space="preserve"> uz 2016.gada 20</w:t>
      </w:r>
      <w:r w:rsidR="00416300">
        <w:rPr>
          <w:i/>
        </w:rPr>
        <w:t>.janvāri</w:t>
      </w:r>
      <w:r w:rsidR="006060BB" w:rsidRPr="00DF202A">
        <w:rPr>
          <w:i/>
        </w:rPr>
        <w:t xml:space="preserve"> SAM ieviešanā”</w:t>
      </w:r>
    </w:p>
    <w:tbl>
      <w:tblPr>
        <w:tblW w:w="8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1126"/>
        <w:gridCol w:w="3969"/>
        <w:gridCol w:w="851"/>
        <w:gridCol w:w="1276"/>
        <w:gridCol w:w="1559"/>
      </w:tblGrid>
      <w:tr w:rsidR="00D2167D" w:rsidRPr="0063493C" w14:paraId="6B319F58" w14:textId="77777777" w:rsidTr="009E5ED9">
        <w:trPr>
          <w:trHeight w:val="283"/>
        </w:trPr>
        <w:tc>
          <w:tcPr>
            <w:tcW w:w="8781" w:type="dxa"/>
            <w:gridSpan w:val="5"/>
            <w:shd w:val="clear" w:color="auto" w:fill="auto"/>
            <w:tcMar>
              <w:top w:w="15" w:type="dxa"/>
              <w:left w:w="15" w:type="dxa"/>
              <w:bottom w:w="0" w:type="dxa"/>
              <w:right w:w="15" w:type="dxa"/>
            </w:tcMar>
            <w:vAlign w:val="center"/>
          </w:tcPr>
          <w:p w14:paraId="3E981385" w14:textId="77777777" w:rsidR="00D2167D" w:rsidRPr="0063493C" w:rsidRDefault="00D2167D" w:rsidP="00E53D9B">
            <w:pPr>
              <w:rPr>
                <w:b/>
                <w:bCs/>
              </w:rPr>
            </w:pPr>
            <w:r w:rsidRPr="0063493C">
              <w:rPr>
                <w:b/>
                <w:bCs/>
              </w:rPr>
              <w:t>VM SAM/pasākumu ieviešanas statuss</w:t>
            </w:r>
          </w:p>
        </w:tc>
      </w:tr>
      <w:tr w:rsidR="00D2167D" w:rsidRPr="0063493C" w14:paraId="4511AC78" w14:textId="77777777" w:rsidTr="009E5ED9">
        <w:trPr>
          <w:trHeight w:val="283"/>
        </w:trPr>
        <w:tc>
          <w:tcPr>
            <w:tcW w:w="5095" w:type="dxa"/>
            <w:gridSpan w:val="2"/>
            <w:shd w:val="clear" w:color="auto" w:fill="auto"/>
            <w:tcMar>
              <w:top w:w="15" w:type="dxa"/>
              <w:left w:w="15" w:type="dxa"/>
              <w:bottom w:w="0" w:type="dxa"/>
              <w:right w:w="15" w:type="dxa"/>
            </w:tcMar>
            <w:vAlign w:val="center"/>
            <w:hideMark/>
          </w:tcPr>
          <w:p w14:paraId="69BADE7D" w14:textId="77777777" w:rsidR="00D2167D" w:rsidRPr="0063493C" w:rsidRDefault="00D2167D" w:rsidP="00E53D9B">
            <w:r w:rsidRPr="0063493C">
              <w:t>SAM/pasākumu kopējais skaits</w:t>
            </w:r>
          </w:p>
        </w:tc>
        <w:tc>
          <w:tcPr>
            <w:tcW w:w="3686" w:type="dxa"/>
            <w:gridSpan w:val="3"/>
            <w:shd w:val="clear" w:color="auto" w:fill="auto"/>
            <w:tcMar>
              <w:top w:w="15" w:type="dxa"/>
              <w:left w:w="15" w:type="dxa"/>
              <w:bottom w:w="0" w:type="dxa"/>
              <w:right w:w="15" w:type="dxa"/>
            </w:tcMar>
            <w:vAlign w:val="center"/>
            <w:hideMark/>
          </w:tcPr>
          <w:p w14:paraId="40F6546D" w14:textId="77777777" w:rsidR="00D2167D" w:rsidRPr="00DA044A" w:rsidRDefault="00D2167D" w:rsidP="00E53D9B">
            <w:pPr>
              <w:rPr>
                <w:b/>
              </w:rPr>
            </w:pPr>
            <w:r w:rsidRPr="00DA044A">
              <w:rPr>
                <w:b/>
                <w:bCs/>
              </w:rPr>
              <w:t>6</w:t>
            </w:r>
          </w:p>
        </w:tc>
      </w:tr>
      <w:tr w:rsidR="00D2167D" w:rsidRPr="0063493C" w14:paraId="764C19ED" w14:textId="77777777" w:rsidTr="009E5ED9">
        <w:trPr>
          <w:trHeight w:val="283"/>
        </w:trPr>
        <w:tc>
          <w:tcPr>
            <w:tcW w:w="5095" w:type="dxa"/>
            <w:gridSpan w:val="2"/>
            <w:shd w:val="clear" w:color="auto" w:fill="auto"/>
            <w:tcMar>
              <w:top w:w="15" w:type="dxa"/>
              <w:left w:w="15" w:type="dxa"/>
              <w:bottom w:w="0" w:type="dxa"/>
              <w:right w:w="15" w:type="dxa"/>
            </w:tcMar>
            <w:vAlign w:val="center"/>
            <w:hideMark/>
          </w:tcPr>
          <w:p w14:paraId="52124D63" w14:textId="77777777" w:rsidR="00D2167D" w:rsidRPr="0063493C" w:rsidRDefault="00D2167D" w:rsidP="00E53D9B">
            <w:r w:rsidRPr="0063493C">
              <w:t xml:space="preserve">SAM kopējais KP finansējums, </w:t>
            </w:r>
            <w:r w:rsidRPr="0003117C">
              <w:rPr>
                <w:i/>
              </w:rPr>
              <w:t xml:space="preserve">euro </w:t>
            </w:r>
          </w:p>
        </w:tc>
        <w:tc>
          <w:tcPr>
            <w:tcW w:w="3686" w:type="dxa"/>
            <w:gridSpan w:val="3"/>
            <w:shd w:val="clear" w:color="auto" w:fill="auto"/>
            <w:tcMar>
              <w:top w:w="15" w:type="dxa"/>
              <w:left w:w="15" w:type="dxa"/>
              <w:bottom w:w="0" w:type="dxa"/>
              <w:right w:w="15" w:type="dxa"/>
            </w:tcMar>
            <w:vAlign w:val="center"/>
            <w:hideMark/>
          </w:tcPr>
          <w:p w14:paraId="232FA7FB" w14:textId="77777777" w:rsidR="00D2167D" w:rsidRPr="00DA044A" w:rsidRDefault="00D2167D" w:rsidP="00E53D9B">
            <w:pPr>
              <w:rPr>
                <w:b/>
              </w:rPr>
            </w:pPr>
            <w:r w:rsidRPr="00DA044A">
              <w:rPr>
                <w:b/>
              </w:rPr>
              <w:t>230 949 123</w:t>
            </w:r>
          </w:p>
        </w:tc>
      </w:tr>
      <w:tr w:rsidR="00D2167D" w:rsidRPr="0063493C" w14:paraId="6C5C4311" w14:textId="77777777" w:rsidTr="009E5ED9">
        <w:trPr>
          <w:trHeight w:val="325"/>
        </w:trPr>
        <w:tc>
          <w:tcPr>
            <w:tcW w:w="5095" w:type="dxa"/>
            <w:gridSpan w:val="2"/>
            <w:shd w:val="clear" w:color="auto" w:fill="auto"/>
            <w:tcMar>
              <w:top w:w="15" w:type="dxa"/>
              <w:left w:w="15" w:type="dxa"/>
              <w:bottom w:w="0" w:type="dxa"/>
              <w:right w:w="15" w:type="dxa"/>
            </w:tcMar>
            <w:vAlign w:val="center"/>
            <w:hideMark/>
          </w:tcPr>
          <w:p w14:paraId="608B9FD1" w14:textId="77777777" w:rsidR="00D2167D" w:rsidRPr="0063493C" w:rsidRDefault="00D2167D" w:rsidP="00E53D9B">
            <w:r w:rsidRPr="0063493C">
              <w:t>Statuss</w:t>
            </w:r>
          </w:p>
        </w:tc>
        <w:tc>
          <w:tcPr>
            <w:tcW w:w="851" w:type="dxa"/>
            <w:shd w:val="clear" w:color="auto" w:fill="FF9999"/>
            <w:tcMar>
              <w:top w:w="15" w:type="dxa"/>
              <w:left w:w="15" w:type="dxa"/>
              <w:bottom w:w="0" w:type="dxa"/>
              <w:right w:w="15" w:type="dxa"/>
            </w:tcMar>
            <w:vAlign w:val="center"/>
            <w:hideMark/>
          </w:tcPr>
          <w:p w14:paraId="677F058A" w14:textId="77777777" w:rsidR="00D2167D" w:rsidRPr="0063493C" w:rsidRDefault="00D2167D" w:rsidP="0003117C">
            <w:pPr>
              <w:jc w:val="center"/>
            </w:pPr>
            <w:r w:rsidRPr="0063493C">
              <w:t>Kavēts</w:t>
            </w:r>
          </w:p>
        </w:tc>
        <w:tc>
          <w:tcPr>
            <w:tcW w:w="1276" w:type="dxa"/>
            <w:shd w:val="clear" w:color="auto" w:fill="auto"/>
            <w:tcMar>
              <w:top w:w="15" w:type="dxa"/>
              <w:left w:w="15" w:type="dxa"/>
              <w:bottom w:w="0" w:type="dxa"/>
              <w:right w:w="15" w:type="dxa"/>
            </w:tcMar>
            <w:vAlign w:val="center"/>
            <w:hideMark/>
          </w:tcPr>
          <w:p w14:paraId="0F047F90" w14:textId="1627A71E" w:rsidR="00D2167D" w:rsidRPr="0063493C" w:rsidRDefault="00D2167D" w:rsidP="0003117C">
            <w:pPr>
              <w:jc w:val="center"/>
            </w:pPr>
            <w:r w:rsidRPr="0063493C">
              <w:t>Izpildīts</w:t>
            </w:r>
          </w:p>
        </w:tc>
        <w:tc>
          <w:tcPr>
            <w:tcW w:w="1559" w:type="dxa"/>
            <w:shd w:val="clear" w:color="auto" w:fill="auto"/>
            <w:tcMar>
              <w:top w:w="15" w:type="dxa"/>
              <w:left w:w="15" w:type="dxa"/>
              <w:bottom w:w="0" w:type="dxa"/>
              <w:right w:w="15" w:type="dxa"/>
            </w:tcMar>
            <w:vAlign w:val="center"/>
            <w:hideMark/>
          </w:tcPr>
          <w:p w14:paraId="3A9E7787" w14:textId="77777777" w:rsidR="00D2167D" w:rsidRPr="0063493C" w:rsidRDefault="00D2167D" w:rsidP="0003117C">
            <w:pPr>
              <w:jc w:val="center"/>
            </w:pPr>
            <w:r w:rsidRPr="0063493C">
              <w:t>Nav pienācis</w:t>
            </w:r>
          </w:p>
        </w:tc>
      </w:tr>
      <w:tr w:rsidR="00D2167D" w:rsidRPr="0063493C" w14:paraId="0679C60F" w14:textId="77777777" w:rsidTr="009E5ED9">
        <w:trPr>
          <w:trHeight w:val="283"/>
        </w:trPr>
        <w:tc>
          <w:tcPr>
            <w:tcW w:w="1126" w:type="dxa"/>
            <w:vMerge w:val="restart"/>
            <w:shd w:val="clear" w:color="auto" w:fill="auto"/>
            <w:tcMar>
              <w:top w:w="15" w:type="dxa"/>
              <w:left w:w="15" w:type="dxa"/>
              <w:bottom w:w="0" w:type="dxa"/>
              <w:right w:w="15" w:type="dxa"/>
            </w:tcMar>
            <w:vAlign w:val="center"/>
            <w:hideMark/>
          </w:tcPr>
          <w:p w14:paraId="2A85D8E4" w14:textId="3FC560E6" w:rsidR="00D2167D" w:rsidRPr="0063493C" w:rsidRDefault="00D2167D" w:rsidP="00E53D9B">
            <w:r w:rsidRPr="0063493C">
              <w:t>SAM/</w:t>
            </w:r>
            <w:r w:rsidR="00D676B6">
              <w:t xml:space="preserve"> </w:t>
            </w:r>
            <w:r w:rsidRPr="0063493C">
              <w:t>pasākumu skaits</w:t>
            </w:r>
          </w:p>
        </w:tc>
        <w:tc>
          <w:tcPr>
            <w:tcW w:w="3969" w:type="dxa"/>
            <w:shd w:val="clear" w:color="auto" w:fill="auto"/>
            <w:tcMar>
              <w:top w:w="15" w:type="dxa"/>
              <w:left w:w="15" w:type="dxa"/>
              <w:bottom w:w="0" w:type="dxa"/>
              <w:right w:w="15" w:type="dxa"/>
            </w:tcMar>
            <w:vAlign w:val="center"/>
            <w:hideMark/>
          </w:tcPr>
          <w:p w14:paraId="6BDE6417" w14:textId="77777777" w:rsidR="00D2167D" w:rsidRPr="0063493C" w:rsidRDefault="00D2167D" w:rsidP="00E53D9B">
            <w:r w:rsidRPr="0063493C">
              <w:t xml:space="preserve">Sākotnējā novērtējuma iesniegšana </w:t>
            </w:r>
          </w:p>
        </w:tc>
        <w:tc>
          <w:tcPr>
            <w:tcW w:w="851" w:type="dxa"/>
            <w:shd w:val="clear" w:color="auto" w:fill="FF9999"/>
            <w:tcMar>
              <w:top w:w="15" w:type="dxa"/>
              <w:left w:w="15" w:type="dxa"/>
              <w:bottom w:w="0" w:type="dxa"/>
              <w:right w:w="15" w:type="dxa"/>
            </w:tcMar>
            <w:vAlign w:val="center"/>
            <w:hideMark/>
          </w:tcPr>
          <w:p w14:paraId="4DB2A836" w14:textId="77777777" w:rsidR="00D2167D" w:rsidRPr="0063493C" w:rsidRDefault="00D2167D" w:rsidP="0003117C">
            <w:pPr>
              <w:jc w:val="center"/>
            </w:pPr>
            <w:r w:rsidRPr="0063493C">
              <w:t>2</w:t>
            </w:r>
          </w:p>
        </w:tc>
        <w:tc>
          <w:tcPr>
            <w:tcW w:w="1276" w:type="dxa"/>
            <w:shd w:val="clear" w:color="auto" w:fill="auto"/>
            <w:tcMar>
              <w:top w:w="15" w:type="dxa"/>
              <w:left w:w="15" w:type="dxa"/>
              <w:bottom w:w="0" w:type="dxa"/>
              <w:right w:w="15" w:type="dxa"/>
            </w:tcMar>
            <w:vAlign w:val="center"/>
            <w:hideMark/>
          </w:tcPr>
          <w:p w14:paraId="59EC0226" w14:textId="28298682" w:rsidR="00D2167D" w:rsidRPr="0063493C" w:rsidRDefault="00BC7398" w:rsidP="0003117C">
            <w:pPr>
              <w:jc w:val="center"/>
            </w:pPr>
            <w:r>
              <w:t>3</w:t>
            </w:r>
          </w:p>
        </w:tc>
        <w:tc>
          <w:tcPr>
            <w:tcW w:w="1559" w:type="dxa"/>
            <w:shd w:val="clear" w:color="auto" w:fill="auto"/>
            <w:tcMar>
              <w:top w:w="15" w:type="dxa"/>
              <w:left w:w="15" w:type="dxa"/>
              <w:bottom w:w="0" w:type="dxa"/>
              <w:right w:w="15" w:type="dxa"/>
            </w:tcMar>
            <w:vAlign w:val="center"/>
            <w:hideMark/>
          </w:tcPr>
          <w:p w14:paraId="4E1B402C" w14:textId="77777777" w:rsidR="00D2167D" w:rsidRPr="0063493C" w:rsidRDefault="00D2167D" w:rsidP="0003117C">
            <w:pPr>
              <w:jc w:val="center"/>
            </w:pPr>
            <w:r w:rsidRPr="0063493C">
              <w:t>1</w:t>
            </w:r>
          </w:p>
        </w:tc>
      </w:tr>
      <w:tr w:rsidR="00D2167D" w:rsidRPr="0063493C" w14:paraId="04B55F6E" w14:textId="77777777" w:rsidTr="009E5ED9">
        <w:trPr>
          <w:trHeight w:val="283"/>
        </w:trPr>
        <w:tc>
          <w:tcPr>
            <w:tcW w:w="1126" w:type="dxa"/>
            <w:vMerge/>
            <w:vAlign w:val="center"/>
            <w:hideMark/>
          </w:tcPr>
          <w:p w14:paraId="08AFDA69" w14:textId="77777777" w:rsidR="00D2167D" w:rsidRPr="0063493C" w:rsidRDefault="00D2167D" w:rsidP="00E53D9B"/>
        </w:tc>
        <w:tc>
          <w:tcPr>
            <w:tcW w:w="3969" w:type="dxa"/>
            <w:shd w:val="clear" w:color="auto" w:fill="auto"/>
            <w:tcMar>
              <w:top w:w="15" w:type="dxa"/>
              <w:left w:w="15" w:type="dxa"/>
              <w:bottom w:w="0" w:type="dxa"/>
              <w:right w:w="15" w:type="dxa"/>
            </w:tcMar>
            <w:vAlign w:val="center"/>
            <w:hideMark/>
          </w:tcPr>
          <w:p w14:paraId="5D5AA105" w14:textId="77777777" w:rsidR="00D2167D" w:rsidRPr="0063493C" w:rsidRDefault="00D2167D" w:rsidP="00E53D9B">
            <w:r w:rsidRPr="0063493C">
              <w:t>Kritēriji iesniegti AK</w:t>
            </w:r>
          </w:p>
        </w:tc>
        <w:tc>
          <w:tcPr>
            <w:tcW w:w="851" w:type="dxa"/>
            <w:shd w:val="clear" w:color="auto" w:fill="FF9999"/>
            <w:tcMar>
              <w:top w:w="15" w:type="dxa"/>
              <w:left w:w="15" w:type="dxa"/>
              <w:bottom w:w="0" w:type="dxa"/>
              <w:right w:w="15" w:type="dxa"/>
            </w:tcMar>
            <w:vAlign w:val="center"/>
            <w:hideMark/>
          </w:tcPr>
          <w:p w14:paraId="78E02377" w14:textId="77777777" w:rsidR="00D2167D" w:rsidRPr="0063493C" w:rsidRDefault="00D2167D" w:rsidP="0003117C">
            <w:pPr>
              <w:jc w:val="center"/>
            </w:pPr>
            <w:r w:rsidRPr="0063493C">
              <w:t>2</w:t>
            </w:r>
          </w:p>
        </w:tc>
        <w:tc>
          <w:tcPr>
            <w:tcW w:w="1276" w:type="dxa"/>
            <w:shd w:val="clear" w:color="auto" w:fill="auto"/>
            <w:tcMar>
              <w:top w:w="15" w:type="dxa"/>
              <w:left w:w="15" w:type="dxa"/>
              <w:bottom w:w="0" w:type="dxa"/>
              <w:right w:w="15" w:type="dxa"/>
            </w:tcMar>
            <w:vAlign w:val="center"/>
            <w:hideMark/>
          </w:tcPr>
          <w:p w14:paraId="49BD8697" w14:textId="5C1A041D" w:rsidR="00D2167D" w:rsidRPr="0063493C" w:rsidRDefault="00BC7398" w:rsidP="0003117C">
            <w:pPr>
              <w:jc w:val="center"/>
            </w:pPr>
            <w:r>
              <w:t>3</w:t>
            </w:r>
          </w:p>
        </w:tc>
        <w:tc>
          <w:tcPr>
            <w:tcW w:w="1559" w:type="dxa"/>
            <w:shd w:val="clear" w:color="auto" w:fill="auto"/>
            <w:tcMar>
              <w:top w:w="15" w:type="dxa"/>
              <w:left w:w="15" w:type="dxa"/>
              <w:bottom w:w="0" w:type="dxa"/>
              <w:right w:w="15" w:type="dxa"/>
            </w:tcMar>
            <w:vAlign w:val="center"/>
            <w:hideMark/>
          </w:tcPr>
          <w:p w14:paraId="06E11A2A" w14:textId="77777777" w:rsidR="00D2167D" w:rsidRPr="0063493C" w:rsidRDefault="00D2167D" w:rsidP="0003117C">
            <w:pPr>
              <w:jc w:val="center"/>
            </w:pPr>
            <w:r w:rsidRPr="0063493C">
              <w:t>1</w:t>
            </w:r>
          </w:p>
        </w:tc>
      </w:tr>
      <w:tr w:rsidR="00D2167D" w:rsidRPr="0063493C" w14:paraId="797767BD" w14:textId="77777777" w:rsidTr="009E5ED9">
        <w:trPr>
          <w:trHeight w:val="277"/>
        </w:trPr>
        <w:tc>
          <w:tcPr>
            <w:tcW w:w="1126" w:type="dxa"/>
            <w:vMerge/>
            <w:vAlign w:val="center"/>
            <w:hideMark/>
          </w:tcPr>
          <w:p w14:paraId="3D1AABD8" w14:textId="77777777" w:rsidR="00D2167D" w:rsidRPr="0063493C" w:rsidRDefault="00D2167D" w:rsidP="00E53D9B"/>
        </w:tc>
        <w:tc>
          <w:tcPr>
            <w:tcW w:w="3969" w:type="dxa"/>
            <w:shd w:val="clear" w:color="auto" w:fill="auto"/>
            <w:tcMar>
              <w:top w:w="15" w:type="dxa"/>
              <w:left w:w="15" w:type="dxa"/>
              <w:bottom w:w="0" w:type="dxa"/>
              <w:right w:w="15" w:type="dxa"/>
            </w:tcMar>
            <w:vAlign w:val="center"/>
            <w:hideMark/>
          </w:tcPr>
          <w:p w14:paraId="433F4FBD" w14:textId="77777777" w:rsidR="00D2167D" w:rsidRPr="0063493C" w:rsidRDefault="00D2167D" w:rsidP="00E53D9B">
            <w:r w:rsidRPr="0063493C">
              <w:t>MK noteikumu izsludināti VSS</w:t>
            </w:r>
          </w:p>
        </w:tc>
        <w:tc>
          <w:tcPr>
            <w:tcW w:w="851" w:type="dxa"/>
            <w:shd w:val="clear" w:color="auto" w:fill="FF9999"/>
            <w:tcMar>
              <w:top w:w="15" w:type="dxa"/>
              <w:left w:w="15" w:type="dxa"/>
              <w:bottom w:w="0" w:type="dxa"/>
              <w:right w:w="15" w:type="dxa"/>
            </w:tcMar>
            <w:vAlign w:val="center"/>
            <w:hideMark/>
          </w:tcPr>
          <w:p w14:paraId="6EE2F06E" w14:textId="77777777" w:rsidR="00D2167D" w:rsidRPr="0063493C" w:rsidRDefault="00D2167D" w:rsidP="0003117C">
            <w:pPr>
              <w:jc w:val="center"/>
            </w:pPr>
            <w:r>
              <w:t>2</w:t>
            </w:r>
          </w:p>
        </w:tc>
        <w:tc>
          <w:tcPr>
            <w:tcW w:w="1276" w:type="dxa"/>
            <w:shd w:val="clear" w:color="auto" w:fill="auto"/>
            <w:tcMar>
              <w:top w:w="15" w:type="dxa"/>
              <w:left w:w="15" w:type="dxa"/>
              <w:bottom w:w="0" w:type="dxa"/>
              <w:right w:w="15" w:type="dxa"/>
            </w:tcMar>
            <w:vAlign w:val="center"/>
            <w:hideMark/>
          </w:tcPr>
          <w:p w14:paraId="132EA5F2" w14:textId="77777777" w:rsidR="00D2167D" w:rsidRPr="0063493C" w:rsidRDefault="00D2167D" w:rsidP="0003117C">
            <w:pPr>
              <w:jc w:val="center"/>
            </w:pPr>
            <w:r w:rsidRPr="0063493C">
              <w:t>3</w:t>
            </w:r>
          </w:p>
        </w:tc>
        <w:tc>
          <w:tcPr>
            <w:tcW w:w="1559" w:type="dxa"/>
            <w:shd w:val="clear" w:color="auto" w:fill="auto"/>
            <w:tcMar>
              <w:top w:w="15" w:type="dxa"/>
              <w:left w:w="15" w:type="dxa"/>
              <w:bottom w:w="0" w:type="dxa"/>
              <w:right w:w="15" w:type="dxa"/>
            </w:tcMar>
            <w:vAlign w:val="center"/>
            <w:hideMark/>
          </w:tcPr>
          <w:p w14:paraId="5F1666EC" w14:textId="7ABC3FFD" w:rsidR="00D2167D" w:rsidRPr="0063493C" w:rsidRDefault="00D2167D" w:rsidP="0003117C">
            <w:pPr>
              <w:jc w:val="center"/>
            </w:pPr>
            <w:r>
              <w:t>1</w:t>
            </w:r>
          </w:p>
        </w:tc>
      </w:tr>
      <w:tr w:rsidR="00D2167D" w:rsidRPr="0063493C" w14:paraId="309D5BD3" w14:textId="77777777" w:rsidTr="009E5ED9">
        <w:trPr>
          <w:trHeight w:val="283"/>
        </w:trPr>
        <w:tc>
          <w:tcPr>
            <w:tcW w:w="1126" w:type="dxa"/>
            <w:vMerge/>
            <w:vAlign w:val="center"/>
            <w:hideMark/>
          </w:tcPr>
          <w:p w14:paraId="74D3AF19" w14:textId="77777777" w:rsidR="00D2167D" w:rsidRPr="0063493C" w:rsidRDefault="00D2167D" w:rsidP="00E53D9B"/>
        </w:tc>
        <w:tc>
          <w:tcPr>
            <w:tcW w:w="3969" w:type="dxa"/>
            <w:shd w:val="clear" w:color="auto" w:fill="auto"/>
            <w:tcMar>
              <w:top w:w="15" w:type="dxa"/>
              <w:left w:w="15" w:type="dxa"/>
              <w:bottom w:w="0" w:type="dxa"/>
              <w:right w:w="15" w:type="dxa"/>
            </w:tcMar>
            <w:vAlign w:val="center"/>
            <w:hideMark/>
          </w:tcPr>
          <w:p w14:paraId="77F15295" w14:textId="77777777" w:rsidR="00D2167D" w:rsidRPr="0063493C" w:rsidRDefault="00D2167D" w:rsidP="00E53D9B">
            <w:r w:rsidRPr="0063493C">
              <w:t>MK noteikumu apstiprināšana MK</w:t>
            </w:r>
          </w:p>
        </w:tc>
        <w:tc>
          <w:tcPr>
            <w:tcW w:w="851" w:type="dxa"/>
            <w:shd w:val="clear" w:color="auto" w:fill="auto"/>
            <w:tcMar>
              <w:top w:w="15" w:type="dxa"/>
              <w:left w:w="15" w:type="dxa"/>
              <w:bottom w:w="0" w:type="dxa"/>
              <w:right w:w="15" w:type="dxa"/>
            </w:tcMar>
            <w:vAlign w:val="center"/>
            <w:hideMark/>
          </w:tcPr>
          <w:p w14:paraId="7FFA0BBF" w14:textId="62D677B7" w:rsidR="00D2167D" w:rsidRPr="0063493C" w:rsidRDefault="0003117C" w:rsidP="0003117C">
            <w:pPr>
              <w:jc w:val="center"/>
            </w:pPr>
            <w:r>
              <w:t>-</w:t>
            </w:r>
          </w:p>
        </w:tc>
        <w:tc>
          <w:tcPr>
            <w:tcW w:w="1276" w:type="dxa"/>
            <w:shd w:val="clear" w:color="auto" w:fill="auto"/>
            <w:tcMar>
              <w:top w:w="15" w:type="dxa"/>
              <w:left w:w="15" w:type="dxa"/>
              <w:bottom w:w="0" w:type="dxa"/>
              <w:right w:w="15" w:type="dxa"/>
            </w:tcMar>
            <w:vAlign w:val="center"/>
            <w:hideMark/>
          </w:tcPr>
          <w:p w14:paraId="36A194B3" w14:textId="77777777" w:rsidR="00D2167D" w:rsidRPr="0063493C" w:rsidRDefault="00D2167D" w:rsidP="0003117C">
            <w:pPr>
              <w:jc w:val="center"/>
            </w:pPr>
            <w:r w:rsidRPr="0063493C">
              <w:t>1</w:t>
            </w:r>
          </w:p>
        </w:tc>
        <w:tc>
          <w:tcPr>
            <w:tcW w:w="1559" w:type="dxa"/>
            <w:shd w:val="clear" w:color="auto" w:fill="auto"/>
            <w:tcMar>
              <w:top w:w="15" w:type="dxa"/>
              <w:left w:w="15" w:type="dxa"/>
              <w:bottom w:w="0" w:type="dxa"/>
              <w:right w:w="15" w:type="dxa"/>
            </w:tcMar>
            <w:vAlign w:val="center"/>
            <w:hideMark/>
          </w:tcPr>
          <w:p w14:paraId="762CD2BC" w14:textId="304C5095" w:rsidR="00D2167D" w:rsidRPr="0063493C" w:rsidRDefault="00D2167D" w:rsidP="0003117C">
            <w:pPr>
              <w:jc w:val="center"/>
            </w:pPr>
            <w:r w:rsidRPr="0063493C">
              <w:t>5</w:t>
            </w:r>
          </w:p>
        </w:tc>
      </w:tr>
      <w:tr w:rsidR="00D2167D" w:rsidRPr="0063493C" w14:paraId="47B4AD6F" w14:textId="77777777" w:rsidTr="009E5ED9">
        <w:trPr>
          <w:trHeight w:val="283"/>
        </w:trPr>
        <w:tc>
          <w:tcPr>
            <w:tcW w:w="1126" w:type="dxa"/>
            <w:vMerge/>
            <w:vAlign w:val="center"/>
            <w:hideMark/>
          </w:tcPr>
          <w:p w14:paraId="1FD88C4A" w14:textId="77777777" w:rsidR="00D2167D" w:rsidRPr="0063493C" w:rsidRDefault="00D2167D" w:rsidP="00E53D9B"/>
        </w:tc>
        <w:tc>
          <w:tcPr>
            <w:tcW w:w="3969" w:type="dxa"/>
            <w:shd w:val="clear" w:color="auto" w:fill="auto"/>
            <w:tcMar>
              <w:top w:w="15" w:type="dxa"/>
              <w:left w:w="15" w:type="dxa"/>
              <w:bottom w:w="0" w:type="dxa"/>
              <w:right w:w="15" w:type="dxa"/>
            </w:tcMar>
            <w:vAlign w:val="center"/>
            <w:hideMark/>
          </w:tcPr>
          <w:p w14:paraId="518AB62B" w14:textId="77777777" w:rsidR="00D2167D" w:rsidRPr="0063493C" w:rsidRDefault="00D2167D" w:rsidP="00E53D9B">
            <w:r w:rsidRPr="0063493C">
              <w:t>Uzsākta atlase</w:t>
            </w:r>
          </w:p>
        </w:tc>
        <w:tc>
          <w:tcPr>
            <w:tcW w:w="851" w:type="dxa"/>
            <w:shd w:val="clear" w:color="auto" w:fill="auto"/>
            <w:tcMar>
              <w:top w:w="15" w:type="dxa"/>
              <w:left w:w="15" w:type="dxa"/>
              <w:bottom w:w="0" w:type="dxa"/>
              <w:right w:w="15" w:type="dxa"/>
            </w:tcMar>
            <w:vAlign w:val="center"/>
            <w:hideMark/>
          </w:tcPr>
          <w:p w14:paraId="517B6DCE" w14:textId="58BB86CA" w:rsidR="00D2167D" w:rsidRPr="0063493C" w:rsidRDefault="0003117C" w:rsidP="0003117C">
            <w:pPr>
              <w:jc w:val="center"/>
            </w:pPr>
            <w:r>
              <w:t>-</w:t>
            </w:r>
          </w:p>
        </w:tc>
        <w:tc>
          <w:tcPr>
            <w:tcW w:w="1276" w:type="dxa"/>
            <w:shd w:val="clear" w:color="auto" w:fill="auto"/>
            <w:tcMar>
              <w:top w:w="15" w:type="dxa"/>
              <w:left w:w="15" w:type="dxa"/>
              <w:bottom w:w="0" w:type="dxa"/>
              <w:right w:w="15" w:type="dxa"/>
            </w:tcMar>
            <w:vAlign w:val="center"/>
            <w:hideMark/>
          </w:tcPr>
          <w:p w14:paraId="07305E0B" w14:textId="49223DE0" w:rsidR="00D2167D" w:rsidRPr="0063493C" w:rsidRDefault="00D2167D" w:rsidP="0003117C">
            <w:pPr>
              <w:jc w:val="center"/>
            </w:pPr>
            <w:r>
              <w:t>1</w:t>
            </w:r>
          </w:p>
        </w:tc>
        <w:tc>
          <w:tcPr>
            <w:tcW w:w="1559" w:type="dxa"/>
            <w:shd w:val="clear" w:color="auto" w:fill="auto"/>
            <w:tcMar>
              <w:top w:w="15" w:type="dxa"/>
              <w:left w:w="15" w:type="dxa"/>
              <w:bottom w:w="0" w:type="dxa"/>
              <w:right w:w="15" w:type="dxa"/>
            </w:tcMar>
            <w:vAlign w:val="center"/>
            <w:hideMark/>
          </w:tcPr>
          <w:p w14:paraId="0B86A6AB" w14:textId="22EFC147" w:rsidR="00D2167D" w:rsidRPr="0063493C" w:rsidRDefault="00D2167D" w:rsidP="0003117C">
            <w:pPr>
              <w:jc w:val="center"/>
            </w:pPr>
            <w:r>
              <w:t>5</w:t>
            </w:r>
          </w:p>
        </w:tc>
      </w:tr>
      <w:tr w:rsidR="00D2167D" w:rsidRPr="0063493C" w14:paraId="4A5B08CB" w14:textId="77777777" w:rsidTr="009E5ED9">
        <w:trPr>
          <w:trHeight w:val="283"/>
        </w:trPr>
        <w:tc>
          <w:tcPr>
            <w:tcW w:w="1126" w:type="dxa"/>
            <w:vMerge/>
            <w:vAlign w:val="center"/>
            <w:hideMark/>
          </w:tcPr>
          <w:p w14:paraId="796E67D1" w14:textId="77777777" w:rsidR="00D2167D" w:rsidRPr="0063493C" w:rsidRDefault="00D2167D" w:rsidP="00E53D9B"/>
        </w:tc>
        <w:tc>
          <w:tcPr>
            <w:tcW w:w="3969" w:type="dxa"/>
            <w:shd w:val="clear" w:color="auto" w:fill="auto"/>
            <w:tcMar>
              <w:top w:w="15" w:type="dxa"/>
              <w:left w:w="15" w:type="dxa"/>
              <w:bottom w:w="0" w:type="dxa"/>
              <w:right w:w="15" w:type="dxa"/>
            </w:tcMar>
            <w:vAlign w:val="center"/>
            <w:hideMark/>
          </w:tcPr>
          <w:p w14:paraId="1B91BDBB" w14:textId="77777777" w:rsidR="00D2167D" w:rsidRPr="0063493C" w:rsidRDefault="00D2167D" w:rsidP="00E53D9B">
            <w:r w:rsidRPr="0063493C">
              <w:t>Noslēgti līgumi</w:t>
            </w:r>
          </w:p>
        </w:tc>
        <w:tc>
          <w:tcPr>
            <w:tcW w:w="851" w:type="dxa"/>
            <w:shd w:val="clear" w:color="auto" w:fill="auto"/>
            <w:tcMar>
              <w:top w:w="15" w:type="dxa"/>
              <w:left w:w="15" w:type="dxa"/>
              <w:bottom w:w="0" w:type="dxa"/>
              <w:right w:w="15" w:type="dxa"/>
            </w:tcMar>
            <w:vAlign w:val="center"/>
            <w:hideMark/>
          </w:tcPr>
          <w:p w14:paraId="41286BB3" w14:textId="2D2ECF06" w:rsidR="00D2167D" w:rsidRPr="0063493C" w:rsidRDefault="0003117C" w:rsidP="0003117C">
            <w:pPr>
              <w:jc w:val="center"/>
            </w:pPr>
            <w:r>
              <w:t>-</w:t>
            </w:r>
          </w:p>
        </w:tc>
        <w:tc>
          <w:tcPr>
            <w:tcW w:w="1276" w:type="dxa"/>
            <w:shd w:val="clear" w:color="auto" w:fill="auto"/>
            <w:tcMar>
              <w:top w:w="15" w:type="dxa"/>
              <w:left w:w="15" w:type="dxa"/>
              <w:bottom w:w="0" w:type="dxa"/>
              <w:right w:w="15" w:type="dxa"/>
            </w:tcMar>
            <w:vAlign w:val="center"/>
            <w:hideMark/>
          </w:tcPr>
          <w:p w14:paraId="46B897C8" w14:textId="77C8D246" w:rsidR="00D2167D" w:rsidRPr="0063493C" w:rsidRDefault="0003117C" w:rsidP="0003117C">
            <w:pPr>
              <w:jc w:val="center"/>
            </w:pPr>
            <w:r>
              <w:t>-</w:t>
            </w:r>
          </w:p>
        </w:tc>
        <w:tc>
          <w:tcPr>
            <w:tcW w:w="1559" w:type="dxa"/>
            <w:shd w:val="clear" w:color="auto" w:fill="auto"/>
            <w:tcMar>
              <w:top w:w="15" w:type="dxa"/>
              <w:left w:w="15" w:type="dxa"/>
              <w:bottom w:w="0" w:type="dxa"/>
              <w:right w:w="15" w:type="dxa"/>
            </w:tcMar>
            <w:vAlign w:val="center"/>
            <w:hideMark/>
          </w:tcPr>
          <w:p w14:paraId="32A3A0C2" w14:textId="6E37B100" w:rsidR="00D2167D" w:rsidRPr="0063493C" w:rsidRDefault="0003117C" w:rsidP="0003117C">
            <w:pPr>
              <w:jc w:val="center"/>
            </w:pPr>
            <w:r>
              <w:t>-</w:t>
            </w:r>
          </w:p>
        </w:tc>
      </w:tr>
      <w:tr w:rsidR="00D2167D" w:rsidRPr="0063493C" w14:paraId="435407A7" w14:textId="77777777" w:rsidTr="009E5ED9">
        <w:trPr>
          <w:trHeight w:val="650"/>
        </w:trPr>
        <w:tc>
          <w:tcPr>
            <w:tcW w:w="1126" w:type="dxa"/>
            <w:vAlign w:val="center"/>
          </w:tcPr>
          <w:p w14:paraId="216D372E" w14:textId="77777777" w:rsidR="00D2167D" w:rsidRPr="0063493C" w:rsidRDefault="00D2167D" w:rsidP="00E53D9B">
            <w:r>
              <w:t>Riski</w:t>
            </w:r>
          </w:p>
        </w:tc>
        <w:tc>
          <w:tcPr>
            <w:tcW w:w="7655" w:type="dxa"/>
            <w:gridSpan w:val="4"/>
            <w:shd w:val="clear" w:color="auto" w:fill="auto"/>
            <w:tcMar>
              <w:top w:w="15" w:type="dxa"/>
              <w:left w:w="15" w:type="dxa"/>
              <w:bottom w:w="0" w:type="dxa"/>
              <w:right w:w="15" w:type="dxa"/>
            </w:tcMar>
            <w:vAlign w:val="center"/>
          </w:tcPr>
          <w:p w14:paraId="75EA949B" w14:textId="12BD165C" w:rsidR="00D2167D" w:rsidRPr="0063493C" w:rsidRDefault="00D2167D" w:rsidP="00E32555">
            <w:pPr>
              <w:jc w:val="both"/>
            </w:pPr>
            <w:r w:rsidRPr="00A860D0">
              <w:t>Pastāv risks aizkavēties vis</w:t>
            </w:r>
            <w:r>
              <w:t>iem VM projektiem, ņemot vērā</w:t>
            </w:r>
            <w:r w:rsidRPr="00A860D0">
              <w:t>, ka datu nesavlaicīg</w:t>
            </w:r>
            <w:r>
              <w:t>as iegūšanas dēļ aizkavējies  Pasaules bankas</w:t>
            </w:r>
            <w:r w:rsidRPr="00A860D0">
              <w:t xml:space="preserve"> pētījums 9.2.3.SAM</w:t>
            </w:r>
            <w:r>
              <w:rPr>
                <w:rStyle w:val="FootnoteReference"/>
              </w:rPr>
              <w:footnoteReference w:id="40"/>
            </w:r>
            <w:r w:rsidRPr="00A860D0">
              <w:t xml:space="preserve"> ietvaros, jo uz šī pētījuma pamata VM izstrādās veselības attīstības vadlīnijas kā pamatu pārējiem ES fondu ieguldījumiem. Līdz ar to pastāv risks nesasniegt 2018.gadam </w:t>
            </w:r>
            <w:r w:rsidR="006B65F7">
              <w:t>noteiktos</w:t>
            </w:r>
            <w:r w:rsidR="006B65F7" w:rsidRPr="00A860D0" w:rsidDel="006B65F7">
              <w:t xml:space="preserve"> </w:t>
            </w:r>
            <w:r w:rsidRPr="00A860D0">
              <w:t>snieguma ietvara un finanšu mērķus.</w:t>
            </w:r>
          </w:p>
        </w:tc>
      </w:tr>
    </w:tbl>
    <w:p w14:paraId="1BA9FD44" w14:textId="54627531" w:rsidR="001F4BBA" w:rsidRPr="00EC748A" w:rsidRDefault="00CC5409" w:rsidP="00EC748A">
      <w:pPr>
        <w:pStyle w:val="ListParagraph"/>
        <w:numPr>
          <w:ilvl w:val="0"/>
          <w:numId w:val="24"/>
        </w:numPr>
        <w:spacing w:before="120" w:after="120" w:line="276" w:lineRule="auto"/>
        <w:jc w:val="both"/>
        <w:rPr>
          <w:b/>
        </w:rPr>
      </w:pPr>
      <w:r w:rsidRPr="00EC748A">
        <w:rPr>
          <w:b/>
        </w:rPr>
        <w:t xml:space="preserve">ZM progress </w:t>
      </w:r>
      <w:r w:rsidR="005A7060" w:rsidRPr="00EC748A">
        <w:rPr>
          <w:b/>
        </w:rPr>
        <w:t>uz 2016.gada 20</w:t>
      </w:r>
      <w:r w:rsidR="00416300" w:rsidRPr="00EC748A">
        <w:rPr>
          <w:b/>
        </w:rPr>
        <w:t>.janvāri</w:t>
      </w:r>
      <w:r w:rsidR="00416300" w:rsidRPr="00EC748A">
        <w:rPr>
          <w:b/>
          <w:i/>
        </w:rPr>
        <w:t xml:space="preserve"> </w:t>
      </w:r>
      <w:r w:rsidRPr="00EC748A">
        <w:rPr>
          <w:b/>
        </w:rPr>
        <w:t>SAM ieviešanā</w:t>
      </w:r>
    </w:p>
    <w:p w14:paraId="40B51487" w14:textId="58F32EBA" w:rsidR="00413C83" w:rsidRDefault="00E53D9B" w:rsidP="00E53D9B">
      <w:pPr>
        <w:spacing w:before="120" w:after="120" w:line="276" w:lineRule="auto"/>
        <w:jc w:val="both"/>
        <w:rPr>
          <w:rFonts w:eastAsia="Times New Roman" w:cs="Times New Roman"/>
          <w:szCs w:val="24"/>
        </w:rPr>
      </w:pPr>
      <w:r>
        <w:rPr>
          <w:rFonts w:eastAsia="Times New Roman" w:cs="Times New Roman"/>
          <w:szCs w:val="24"/>
        </w:rPr>
        <w:t>Z</w:t>
      </w:r>
      <w:r w:rsidR="003D5C3B">
        <w:rPr>
          <w:rFonts w:eastAsia="Times New Roman" w:cs="Times New Roman"/>
          <w:szCs w:val="24"/>
        </w:rPr>
        <w:t xml:space="preserve">M pārziņā ir viens SAM </w:t>
      </w:r>
      <w:r>
        <w:rPr>
          <w:rFonts w:eastAsia="Times New Roman" w:cs="Times New Roman"/>
          <w:szCs w:val="24"/>
        </w:rPr>
        <w:t xml:space="preserve">ar kopējo </w:t>
      </w:r>
      <w:r w:rsidR="00181071">
        <w:rPr>
          <w:rFonts w:eastAsia="Times New Roman" w:cs="Times New Roman"/>
          <w:szCs w:val="24"/>
        </w:rPr>
        <w:t xml:space="preserve">KP </w:t>
      </w:r>
      <w:r>
        <w:rPr>
          <w:rFonts w:eastAsia="Times New Roman" w:cs="Times New Roman"/>
          <w:szCs w:val="24"/>
        </w:rPr>
        <w:t>fi</w:t>
      </w:r>
      <w:r w:rsidR="00216A5F">
        <w:rPr>
          <w:rFonts w:eastAsia="Times New Roman" w:cs="Times New Roman"/>
          <w:szCs w:val="24"/>
        </w:rPr>
        <w:t>na</w:t>
      </w:r>
      <w:r>
        <w:rPr>
          <w:rFonts w:eastAsia="Times New Roman" w:cs="Times New Roman"/>
          <w:szCs w:val="24"/>
        </w:rPr>
        <w:t xml:space="preserve">nsējumu 36 881 516 </w:t>
      </w:r>
      <w:r w:rsidRPr="0001782F">
        <w:rPr>
          <w:rFonts w:eastAsia="Times New Roman" w:cs="Times New Roman"/>
          <w:i/>
          <w:szCs w:val="24"/>
        </w:rPr>
        <w:t>euro</w:t>
      </w:r>
      <w:r>
        <w:rPr>
          <w:rFonts w:eastAsia="Times New Roman" w:cs="Times New Roman"/>
          <w:szCs w:val="24"/>
        </w:rPr>
        <w:t>.</w:t>
      </w:r>
      <w:r w:rsidRPr="00E53D9B">
        <w:rPr>
          <w:rFonts w:eastAsia="Times New Roman" w:cs="Times New Roman"/>
          <w:szCs w:val="24"/>
        </w:rPr>
        <w:t xml:space="preserve"> </w:t>
      </w:r>
      <w:r>
        <w:rPr>
          <w:rFonts w:eastAsia="Times New Roman" w:cs="Times New Roman"/>
          <w:szCs w:val="24"/>
        </w:rPr>
        <w:t>P</w:t>
      </w:r>
      <w:r w:rsidRPr="0001782F">
        <w:rPr>
          <w:rFonts w:eastAsia="Times New Roman" w:cs="Times New Roman"/>
          <w:szCs w:val="24"/>
        </w:rPr>
        <w:t xml:space="preserve">ārskata periodā </w:t>
      </w:r>
      <w:r>
        <w:rPr>
          <w:rFonts w:eastAsia="Times New Roman" w:cs="Times New Roman"/>
          <w:szCs w:val="24"/>
        </w:rPr>
        <w:t xml:space="preserve">ir apstiprināti MK </w:t>
      </w:r>
      <w:r w:rsidR="003D5C3B">
        <w:rPr>
          <w:rFonts w:eastAsia="Times New Roman" w:cs="Times New Roman"/>
          <w:szCs w:val="24"/>
        </w:rPr>
        <w:t xml:space="preserve">apstiprināti </w:t>
      </w:r>
      <w:r>
        <w:rPr>
          <w:rFonts w:eastAsia="Times New Roman" w:cs="Times New Roman"/>
          <w:szCs w:val="24"/>
        </w:rPr>
        <w:t>noteikumi</w:t>
      </w:r>
      <w:r w:rsidRPr="0001782F">
        <w:rPr>
          <w:rFonts w:eastAsia="Times New Roman" w:cs="Times New Roman"/>
          <w:szCs w:val="24"/>
        </w:rPr>
        <w:t xml:space="preserve"> par </w:t>
      </w:r>
      <w:r w:rsidR="00AF7F49">
        <w:rPr>
          <w:rFonts w:eastAsia="Times New Roman" w:cs="Times New Roman"/>
          <w:szCs w:val="24"/>
        </w:rPr>
        <w:t>5.1.</w:t>
      </w:r>
      <w:r w:rsidRPr="0001782F">
        <w:rPr>
          <w:rFonts w:eastAsia="Times New Roman" w:cs="Times New Roman"/>
          <w:szCs w:val="24"/>
        </w:rPr>
        <w:t>2.SAM “</w:t>
      </w:r>
      <w:r w:rsidR="00AF7F49" w:rsidRPr="00AF7F49">
        <w:rPr>
          <w:rFonts w:eastAsia="Times New Roman" w:cs="Times New Roman"/>
          <w:szCs w:val="24"/>
        </w:rPr>
        <w:t>Samazināt plūdu riskus lauku teritorijās</w:t>
      </w:r>
      <w:r w:rsidRPr="0001782F">
        <w:rPr>
          <w:rFonts w:eastAsia="Times New Roman" w:cs="Times New Roman"/>
          <w:szCs w:val="24"/>
        </w:rPr>
        <w:t>” īstenošanu</w:t>
      </w:r>
      <w:r w:rsidR="007B75DE">
        <w:rPr>
          <w:rFonts w:eastAsia="Times New Roman" w:cs="Times New Roman"/>
          <w:szCs w:val="24"/>
        </w:rPr>
        <w:t>.</w:t>
      </w:r>
    </w:p>
    <w:p w14:paraId="277C46AD" w14:textId="2FBA74DE" w:rsidR="003D5C3B" w:rsidRPr="00DD52CB" w:rsidRDefault="003D5C3B" w:rsidP="00190973">
      <w:pPr>
        <w:pStyle w:val="ListParagraph"/>
        <w:numPr>
          <w:ilvl w:val="0"/>
          <w:numId w:val="18"/>
        </w:numPr>
        <w:spacing w:before="120" w:after="120" w:line="276" w:lineRule="auto"/>
        <w:jc w:val="both"/>
        <w:rPr>
          <w:b/>
        </w:rPr>
      </w:pPr>
      <w:proofErr w:type="spellStart"/>
      <w:r w:rsidRPr="00DD52CB">
        <w:rPr>
          <w:b/>
        </w:rPr>
        <w:t>VKanc</w:t>
      </w:r>
      <w:proofErr w:type="spellEnd"/>
      <w:r w:rsidRPr="00DD52CB">
        <w:rPr>
          <w:b/>
        </w:rPr>
        <w:t xml:space="preserve"> progress </w:t>
      </w:r>
      <w:r w:rsidR="005A7060" w:rsidRPr="00DD52CB">
        <w:rPr>
          <w:b/>
        </w:rPr>
        <w:t>uz 2016.gada 20</w:t>
      </w:r>
      <w:r w:rsidRPr="00DD52CB">
        <w:rPr>
          <w:b/>
        </w:rPr>
        <w:t>.janvāri SAM ieviešanā</w:t>
      </w:r>
    </w:p>
    <w:p w14:paraId="6C58D8A6" w14:textId="1A8B5341" w:rsidR="003D5C3B" w:rsidRDefault="003D5C3B" w:rsidP="00E53D9B">
      <w:pPr>
        <w:spacing w:before="120" w:after="120" w:line="276" w:lineRule="auto"/>
        <w:jc w:val="both"/>
        <w:rPr>
          <w:rFonts w:eastAsia="Times New Roman" w:cs="Times New Roman"/>
          <w:szCs w:val="24"/>
        </w:rPr>
      </w:pPr>
      <w:proofErr w:type="spellStart"/>
      <w:r w:rsidRPr="0001782F">
        <w:rPr>
          <w:rFonts w:eastAsia="Times New Roman" w:cs="Times New Roman"/>
          <w:szCs w:val="24"/>
        </w:rPr>
        <w:t>VKanc</w:t>
      </w:r>
      <w:proofErr w:type="spellEnd"/>
      <w:r>
        <w:rPr>
          <w:rFonts w:eastAsia="Times New Roman" w:cs="Times New Roman"/>
          <w:szCs w:val="24"/>
        </w:rPr>
        <w:t xml:space="preserve"> pārziņā ir viens SAM ar kopējo</w:t>
      </w:r>
      <w:r w:rsidR="00181071">
        <w:rPr>
          <w:rFonts w:eastAsia="Times New Roman" w:cs="Times New Roman"/>
          <w:szCs w:val="24"/>
        </w:rPr>
        <w:t xml:space="preserve"> KP</w:t>
      </w:r>
      <w:r>
        <w:rPr>
          <w:rFonts w:eastAsia="Times New Roman" w:cs="Times New Roman"/>
          <w:szCs w:val="24"/>
        </w:rPr>
        <w:t xml:space="preserve"> finansējumu 8 067 683 </w:t>
      </w:r>
      <w:r w:rsidRPr="0001782F">
        <w:rPr>
          <w:rFonts w:eastAsia="Times New Roman" w:cs="Times New Roman"/>
          <w:i/>
          <w:szCs w:val="24"/>
        </w:rPr>
        <w:t>euro</w:t>
      </w:r>
      <w:r>
        <w:rPr>
          <w:rFonts w:eastAsia="Times New Roman" w:cs="Times New Roman"/>
          <w:szCs w:val="24"/>
        </w:rPr>
        <w:t>. P</w:t>
      </w:r>
      <w:r w:rsidRPr="0001782F">
        <w:rPr>
          <w:rFonts w:eastAsia="Times New Roman" w:cs="Times New Roman"/>
          <w:szCs w:val="24"/>
        </w:rPr>
        <w:t xml:space="preserve">ārskata periodā </w:t>
      </w:r>
      <w:r>
        <w:rPr>
          <w:rFonts w:eastAsia="Times New Roman" w:cs="Times New Roman"/>
          <w:szCs w:val="24"/>
        </w:rPr>
        <w:t>ir apstiprināti MK noteikumi</w:t>
      </w:r>
      <w:r w:rsidRPr="0001782F">
        <w:rPr>
          <w:rFonts w:eastAsia="Times New Roman" w:cs="Times New Roman"/>
          <w:szCs w:val="24"/>
        </w:rPr>
        <w:t xml:space="preserve"> par 3.4.2.SAM “Valsts pārvaldes profesionālā pilnveide labāka tiesiskā regulējuma izstrādē mazo un vidējo komersantu atbalsta, korupcijas novēršanas un ēnu ekonomikas mazināšanas jomās” īstenošanu</w:t>
      </w:r>
      <w:r>
        <w:rPr>
          <w:rFonts w:eastAsia="Times New Roman" w:cs="Times New Roman"/>
          <w:szCs w:val="24"/>
        </w:rPr>
        <w:t>, kā arī uzsākta projektu iesniegumu atlase.</w:t>
      </w:r>
      <w:r w:rsidR="00E37C4B">
        <w:rPr>
          <w:rFonts w:eastAsia="Times New Roman" w:cs="Times New Roman"/>
          <w:szCs w:val="24"/>
        </w:rPr>
        <w:t xml:space="preserve"> Līdz </w:t>
      </w:r>
      <w:r w:rsidR="00E13DE0">
        <w:rPr>
          <w:rFonts w:eastAsia="Times New Roman" w:cs="Times New Roman"/>
          <w:szCs w:val="24"/>
        </w:rPr>
        <w:t xml:space="preserve">2016.gada </w:t>
      </w:r>
      <w:r w:rsidR="00E37C4B">
        <w:rPr>
          <w:rFonts w:eastAsia="Times New Roman" w:cs="Times New Roman"/>
          <w:szCs w:val="24"/>
        </w:rPr>
        <w:t>20.janvārim noslēgti divi l</w:t>
      </w:r>
      <w:r w:rsidR="00E13DE0">
        <w:rPr>
          <w:rFonts w:eastAsia="Times New Roman" w:cs="Times New Roman"/>
          <w:szCs w:val="24"/>
        </w:rPr>
        <w:t>īgumi par projektu</w:t>
      </w:r>
      <w:r w:rsidR="00E37C4B">
        <w:rPr>
          <w:rFonts w:eastAsia="Times New Roman" w:cs="Times New Roman"/>
          <w:szCs w:val="24"/>
        </w:rPr>
        <w:t xml:space="preserve"> īstenošanu.</w:t>
      </w:r>
    </w:p>
    <w:p w14:paraId="016DB2DB" w14:textId="0B1FBB69" w:rsidR="003A3B1D" w:rsidRPr="003A3B1D" w:rsidRDefault="003A3B1D" w:rsidP="00E53D9B">
      <w:pPr>
        <w:spacing w:before="120" w:after="120" w:line="276" w:lineRule="auto"/>
        <w:jc w:val="both"/>
        <w:rPr>
          <w:rFonts w:eastAsia="Times New Roman" w:cs="Times New Roman"/>
          <w:b/>
          <w:i/>
          <w:szCs w:val="24"/>
        </w:rPr>
      </w:pPr>
      <w:r w:rsidRPr="003A3B1D">
        <w:rPr>
          <w:rFonts w:eastAsia="Times New Roman" w:cs="Times New Roman"/>
          <w:b/>
          <w:i/>
          <w:szCs w:val="24"/>
        </w:rPr>
        <w:t>Komunikācijas aktivitātes</w:t>
      </w:r>
    </w:p>
    <w:p w14:paraId="2A184AC7" w14:textId="510B5DE9" w:rsidR="003A3B1D" w:rsidRPr="003A3B1D" w:rsidRDefault="003A3B1D" w:rsidP="003A3B1D">
      <w:pPr>
        <w:spacing w:before="120" w:after="120" w:line="276" w:lineRule="auto"/>
        <w:jc w:val="both"/>
        <w:rPr>
          <w:szCs w:val="24"/>
        </w:rPr>
      </w:pPr>
      <w:r>
        <w:t>Lai nodrošinātu vienotu un stratēģisku visu ES fondu vadībā iesaistīto iestāžu komunikāciju 2014. – 2020.gada plānošanas periodā, 2015.gadā izstrādāta un 30.aprīļa Uzraudzības komitejas sēdē apstiprināta ES fondu Komunikācijas stratēģija 2015. – 2023.gadam</w:t>
      </w:r>
      <w:r>
        <w:rPr>
          <w:rStyle w:val="FootnoteReference"/>
        </w:rPr>
        <w:footnoteReference w:id="41"/>
      </w:r>
      <w:r>
        <w:t xml:space="preserve">. </w:t>
      </w:r>
    </w:p>
    <w:p w14:paraId="00F97629" w14:textId="076D6593" w:rsidR="003A3B1D" w:rsidRDefault="003A3B1D" w:rsidP="003A3B1D">
      <w:pPr>
        <w:spacing w:before="120" w:after="120" w:line="276" w:lineRule="auto"/>
        <w:jc w:val="both"/>
      </w:pPr>
      <w:r>
        <w:lastRenderedPageBreak/>
        <w:t>ES fondu komunikācijas mērķis šajā plānošanas periodā ir veicināt sabiedrības izpratni par ES fondu īstenoto projektu ieguldījuma nozīmi Latvijas tautsaimniecībā, ekonomiskajā attīstībā un katra Latvijas iedzīvotāja labklājības līmeņa celšanā, kā arī sekmēt sabiedrības atbalstu un uzticēšanos ES fondu ieguldījumam un Latvijā īstenoto projektu realizācijai. Lai veicinātu sabiedrības izpratni par plānotajiem ieguldījumiem, 2015.gadā FM īstenoja komunikācijas kampaņu, kuras ietvaros tostarp  piedalījās gaismas festivālā “Staro Rīga”. FM pirmo reizi festivāla ietvaros izveidoja gaismas instalāciju ar unikālu papildinātās realitātes tehnoloģiju. Projekcija piedāvāja iespēju virtuāli ielūkoties mūsu valsts nākotnē un pozitīvajās pārmaiņās, kuras, pateicoties ES fondu finansējumam, piedzīvosim, līdz 2020.gadam. Oktobrī un novembrī FM ar projekciju viesojās arī 7 Latvijas reģionu pilsētās</w:t>
      </w:r>
      <w:r>
        <w:rPr>
          <w:rStyle w:val="FootnoteReference"/>
        </w:rPr>
        <w:footnoteReference w:id="42"/>
      </w:r>
      <w:r>
        <w:t>.</w:t>
      </w:r>
    </w:p>
    <w:p w14:paraId="7DD01F5F" w14:textId="34514A14" w:rsidR="00D81B49" w:rsidRDefault="00D81B49" w:rsidP="00D81B49">
      <w:pPr>
        <w:spacing w:before="120" w:after="120" w:line="276" w:lineRule="auto"/>
        <w:jc w:val="both"/>
      </w:pPr>
      <w:r w:rsidRPr="001B304A">
        <w:t>Papildus VI īstenotajiem komunikācijas pasākumiem, arī EM 2015. gada rudenī jau trešo reizi organizēja forumu ciklu “Atbalsts uzņēmējiem”, viesojoties 9 Latvijas pilsētās un informējot sabiedrību par visiem ar ES fondiem saistītajiem jautājumiem attiecībā uz ES fondu 2014.-2020.gada plānošanas periodā plānoto atbalstu uzņēmējiem. Pasākumos informāciju esošajiem un topošajiem uzņēmējiem sniedza, tādas institūcijas kā EM, VARAM, CFLA, ALTUM, LIAA, NVA, L</w:t>
      </w:r>
      <w:r w:rsidR="001336ED">
        <w:t>auku atbalsta dienests</w:t>
      </w:r>
      <w:r w:rsidRPr="001B304A">
        <w:t xml:space="preserve"> u.c.. Pasākumu cikls tiek organizēts, ar mērķi nodrošināt  informācijas pieejamību cilvēkiem Rīgā un reģionos par plānoto un pieejamo līdzfinansē</w:t>
      </w:r>
      <w:r w:rsidR="00015D1F">
        <w:t xml:space="preserve">jumu uzņēmējdarbības </w:t>
      </w:r>
      <w:r w:rsidR="00015D1F" w:rsidRPr="00D05205">
        <w:t xml:space="preserve">attīstībai, tostarp mērķa sasniegšana tiek nodrošināta ar sociālā tīkla </w:t>
      </w:r>
      <w:proofErr w:type="spellStart"/>
      <w:r w:rsidR="00015D1F" w:rsidRPr="00D05205">
        <w:t>Facebook</w:t>
      </w:r>
      <w:proofErr w:type="spellEnd"/>
      <w:r w:rsidR="00015D1F" w:rsidRPr="00D05205">
        <w:t xml:space="preserve"> konta “Atbalsts uzņēmējiem” uzturēšanu.</w:t>
      </w:r>
      <w:r w:rsidRPr="00D05205">
        <w:t xml:space="preserve"> Forumus </w:t>
      </w:r>
      <w:r w:rsidRPr="001B304A">
        <w:t>EM organizē jau trešo gadu. 2015.gada forumos kopumā piedalījās vismaz 950 dalībnieki; papildus jāpiezīmē, ka tiešraidi (</w:t>
      </w:r>
      <w:r w:rsidR="001336ED">
        <w:t>2015.gada 1.decembris</w:t>
      </w:r>
      <w:r w:rsidRPr="001B304A">
        <w:t>, Rīga) skatījās no 358 unikālajām IP adresēm.</w:t>
      </w:r>
    </w:p>
    <w:p w14:paraId="0248A881" w14:textId="77777777" w:rsidR="00012974" w:rsidRDefault="003A3B1D" w:rsidP="001B304A">
      <w:pPr>
        <w:spacing w:before="120" w:after="120" w:line="276" w:lineRule="auto"/>
        <w:jc w:val="both"/>
      </w:pPr>
      <w:r>
        <w:t>Kopš 2004. gada ik gadu tiek izvērtēta veikto ES fondu komunikācijas pasākumu efektivitāte, īstenojot sabiedriskās domas aptaujas</w:t>
      </w:r>
      <w:r w:rsidR="00012974">
        <w:rPr>
          <w:rStyle w:val="FootnoteReference"/>
        </w:rPr>
        <w:footnoteReference w:id="43"/>
      </w:r>
      <w:r>
        <w:t>. To mērķis ir noskaidrot sabiedrības informētību par ES fondiem, redzējumu par ES fondu ietekmi uz Latvijas tautsaimniecību, kā arī apmierinātību ar informācijas par ES fondiem pieejamību. Jau vairākus gadus aptaujas rezultāti norāda uz pozitīvām tendencēm kopējā Latvijas iedzīvotāju noskaņojumā par līdz šim veiktajiem ES fondu ieguldī</w:t>
      </w:r>
      <w:r w:rsidR="00012974">
        <w:t>jumiem. 2015.</w:t>
      </w:r>
      <w:r>
        <w:t>gadā pirmo reizi ES fondu finansējuma ieguldīšanu Latvijā kā sekmīgu vērtēja vairāk nekā 70% jeb jau 73,3% aptauj</w:t>
      </w:r>
      <w:r w:rsidR="00012974">
        <w:t>āto iedzīvotāju. Savukārt 2015.</w:t>
      </w:r>
      <w:r>
        <w:t>gada jūnijā veiktajā Eirobarometra pētījumā Latvija ierindojas pirmajā vietā starp visām ES dalībvalstīm ES fondu ietekmes vērtējumā, proti, 93% Latvijas iedzīvotāju pozitīvi novērtē ES fondu ieguldījumu valsts attīstībā. Vidējais rādītājs starp visā</w:t>
      </w:r>
      <w:r w:rsidR="00012974">
        <w:t xml:space="preserve">m ES dalībvalstīm ir 75%. </w:t>
      </w:r>
    </w:p>
    <w:p w14:paraId="79309BD0" w14:textId="387500AE" w:rsidR="009C0862" w:rsidRPr="00750411" w:rsidRDefault="009C0862" w:rsidP="00012974">
      <w:pPr>
        <w:pStyle w:val="2lmenis"/>
      </w:pPr>
      <w:bookmarkStart w:id="25" w:name="_Toc443658863"/>
      <w:proofErr w:type="spellStart"/>
      <w:r w:rsidRPr="00750411">
        <w:t>Ex-ante</w:t>
      </w:r>
      <w:proofErr w:type="spellEnd"/>
      <w:r w:rsidRPr="00750411">
        <w:t xml:space="preserve"> nosacījumu izpildes progress</w:t>
      </w:r>
      <w:bookmarkEnd w:id="25"/>
    </w:p>
    <w:p w14:paraId="04EFB931" w14:textId="7688821B" w:rsidR="003D1A99" w:rsidRPr="00750411" w:rsidRDefault="003D1A99" w:rsidP="003D1A99">
      <w:pPr>
        <w:spacing w:before="120" w:after="120" w:line="276" w:lineRule="auto"/>
        <w:jc w:val="both"/>
        <w:rPr>
          <w:rFonts w:eastAsia="Times New Roman" w:cs="Times New Roman"/>
          <w:szCs w:val="24"/>
        </w:rPr>
      </w:pPr>
      <w:r w:rsidRPr="00750411">
        <w:rPr>
          <w:rFonts w:cs="Times New Roman"/>
        </w:rPr>
        <w:t xml:space="preserve">Partnerības līgumā </w:t>
      </w:r>
      <w:r w:rsidRPr="00750411">
        <w:rPr>
          <w:rFonts w:eastAsia="Times New Roman" w:cs="Times New Roman"/>
          <w:szCs w:val="24"/>
        </w:rPr>
        <w:t xml:space="preserve">ir noteikti </w:t>
      </w:r>
      <w:proofErr w:type="spellStart"/>
      <w:r w:rsidRPr="00750411">
        <w:rPr>
          <w:rFonts w:eastAsia="Times New Roman" w:cs="Times New Roman"/>
          <w:i/>
          <w:szCs w:val="24"/>
        </w:rPr>
        <w:t>ex-ante</w:t>
      </w:r>
      <w:proofErr w:type="spellEnd"/>
      <w:r w:rsidRPr="00750411">
        <w:rPr>
          <w:rFonts w:eastAsia="Times New Roman" w:cs="Times New Roman"/>
          <w:szCs w:val="24"/>
        </w:rPr>
        <w:t xml:space="preserve"> nosacījumi, kas ir EK izvirzītie priekšnosacījumi</w:t>
      </w:r>
      <w:r w:rsidRPr="00750411">
        <w:rPr>
          <w:rFonts w:cs="Times New Roman"/>
        </w:rPr>
        <w:t xml:space="preserve"> investīciju uzsākšanai (nozares sākotnējā izpēte, nepieciešamo investīciju pamatojums, u.c.) ES fondu 2014.–2020.gada plānošanas periodā attiecīgajās nozarēs</w:t>
      </w:r>
      <w:r w:rsidR="00750411">
        <w:rPr>
          <w:rFonts w:cs="Times New Roman"/>
        </w:rPr>
        <w:t>.</w:t>
      </w:r>
      <w:r w:rsidRPr="00750411">
        <w:rPr>
          <w:rFonts w:cs="Times New Roman"/>
        </w:rPr>
        <w:t xml:space="preserve"> </w:t>
      </w:r>
    </w:p>
    <w:p w14:paraId="7BA04DE9" w14:textId="141A9424" w:rsidR="003D1A99" w:rsidRPr="006A7116" w:rsidRDefault="00AA2722" w:rsidP="003D1A99">
      <w:pPr>
        <w:spacing w:before="120" w:after="120" w:line="276" w:lineRule="auto"/>
        <w:jc w:val="both"/>
        <w:rPr>
          <w:rFonts w:eastAsia="Times New Roman" w:cs="Times New Roman"/>
          <w:szCs w:val="24"/>
        </w:rPr>
      </w:pPr>
      <w:r>
        <w:rPr>
          <w:rFonts w:eastAsia="Times New Roman" w:cs="Times New Roman"/>
          <w:szCs w:val="24"/>
        </w:rPr>
        <w:t>P</w:t>
      </w:r>
      <w:r w:rsidR="00880A00">
        <w:rPr>
          <w:rFonts w:eastAsia="Times New Roman" w:cs="Times New Roman"/>
          <w:szCs w:val="24"/>
        </w:rPr>
        <w:t>artnerības līgumā noteikto</w:t>
      </w:r>
      <w:r w:rsidR="00C93E93">
        <w:rPr>
          <w:rFonts w:eastAsia="Times New Roman" w:cs="Times New Roman"/>
          <w:i/>
          <w:szCs w:val="24"/>
        </w:rPr>
        <w:t xml:space="preserve"> </w:t>
      </w:r>
      <w:proofErr w:type="spellStart"/>
      <w:r w:rsidR="00C93E93">
        <w:rPr>
          <w:rFonts w:eastAsia="Times New Roman" w:cs="Times New Roman"/>
          <w:i/>
          <w:szCs w:val="24"/>
        </w:rPr>
        <w:t>e</w:t>
      </w:r>
      <w:r w:rsidR="003D1A99" w:rsidRPr="00750411">
        <w:rPr>
          <w:rFonts w:eastAsia="Times New Roman" w:cs="Times New Roman"/>
          <w:i/>
          <w:szCs w:val="24"/>
        </w:rPr>
        <w:t>x</w:t>
      </w:r>
      <w:r w:rsidR="003D1A99" w:rsidRPr="006A7116">
        <w:rPr>
          <w:rFonts w:eastAsia="Times New Roman" w:cs="Times New Roman"/>
          <w:i/>
          <w:szCs w:val="24"/>
        </w:rPr>
        <w:t>-ante</w:t>
      </w:r>
      <w:proofErr w:type="spellEnd"/>
      <w:r w:rsidR="003D1A99" w:rsidRPr="006A7116">
        <w:rPr>
          <w:rFonts w:eastAsia="Times New Roman" w:cs="Times New Roman"/>
          <w:szCs w:val="24"/>
        </w:rPr>
        <w:t xml:space="preserve"> </w:t>
      </w:r>
      <w:r w:rsidR="009038A2" w:rsidRPr="006A7116">
        <w:rPr>
          <w:rFonts w:eastAsia="Times New Roman" w:cs="Times New Roman"/>
          <w:szCs w:val="24"/>
        </w:rPr>
        <w:t xml:space="preserve">nosacījumu </w:t>
      </w:r>
      <w:r w:rsidR="003D1A99" w:rsidRPr="006A7116">
        <w:rPr>
          <w:rFonts w:eastAsia="Times New Roman" w:cs="Times New Roman"/>
          <w:szCs w:val="24"/>
        </w:rPr>
        <w:t>izpild</w:t>
      </w:r>
      <w:r w:rsidR="00C93E93">
        <w:rPr>
          <w:rFonts w:eastAsia="Times New Roman" w:cs="Times New Roman"/>
          <w:szCs w:val="24"/>
        </w:rPr>
        <w:t>ē</w:t>
      </w:r>
      <w:r>
        <w:rPr>
          <w:rFonts w:eastAsia="Times New Roman" w:cs="Times New Roman"/>
          <w:szCs w:val="24"/>
        </w:rPr>
        <w:t xml:space="preserve"> gan pārskata periodā, gan kopumā</w:t>
      </w:r>
      <w:r w:rsidR="003D1A99" w:rsidRPr="006A7116">
        <w:rPr>
          <w:rFonts w:eastAsia="Times New Roman" w:cs="Times New Roman"/>
          <w:szCs w:val="24"/>
        </w:rPr>
        <w:t xml:space="preserve"> uz 201</w:t>
      </w:r>
      <w:r w:rsidR="00EA19D9" w:rsidRPr="006A7116">
        <w:rPr>
          <w:rFonts w:eastAsia="Times New Roman" w:cs="Times New Roman"/>
          <w:szCs w:val="24"/>
        </w:rPr>
        <w:t>6</w:t>
      </w:r>
      <w:r w:rsidR="003D1A99" w:rsidRPr="006A7116">
        <w:rPr>
          <w:rFonts w:eastAsia="Times New Roman" w:cs="Times New Roman"/>
          <w:szCs w:val="24"/>
        </w:rPr>
        <w:t xml:space="preserve">.gada </w:t>
      </w:r>
      <w:r w:rsidR="00EA19D9" w:rsidRPr="006A7116">
        <w:rPr>
          <w:rFonts w:eastAsia="Times New Roman" w:cs="Times New Roman"/>
          <w:szCs w:val="24"/>
        </w:rPr>
        <w:t>janvāri</w:t>
      </w:r>
      <w:r w:rsidR="00C93E93">
        <w:rPr>
          <w:rFonts w:eastAsia="Times New Roman" w:cs="Times New Roman"/>
          <w:szCs w:val="24"/>
        </w:rPr>
        <w:t xml:space="preserve"> ir sasniegts būtisks progress</w:t>
      </w:r>
      <w:r>
        <w:rPr>
          <w:rFonts w:eastAsia="Times New Roman" w:cs="Times New Roman"/>
          <w:szCs w:val="24"/>
        </w:rPr>
        <w:t xml:space="preserve">, </w:t>
      </w:r>
      <w:r>
        <w:rPr>
          <w:rFonts w:cs="Times New Roman"/>
        </w:rPr>
        <w:t xml:space="preserve">kaut arī ir </w:t>
      </w:r>
      <w:r w:rsidR="008C792B">
        <w:rPr>
          <w:rFonts w:cs="Times New Roman"/>
        </w:rPr>
        <w:t xml:space="preserve">atlikuši vairāki </w:t>
      </w:r>
      <w:r>
        <w:rPr>
          <w:rFonts w:cs="Times New Roman"/>
        </w:rPr>
        <w:t xml:space="preserve">veicamie uzdevumi, </w:t>
      </w:r>
      <w:r>
        <w:rPr>
          <w:rFonts w:cs="Times New Roman"/>
        </w:rPr>
        <w:lastRenderedPageBreak/>
        <w:t>lai varētu teikt, ka Latvija savas sa</w:t>
      </w:r>
      <w:r w:rsidR="00217F5E">
        <w:rPr>
          <w:rFonts w:cs="Times New Roman"/>
        </w:rPr>
        <w:t>is</w:t>
      </w:r>
      <w:r>
        <w:rPr>
          <w:rFonts w:cs="Times New Roman"/>
        </w:rPr>
        <w:t>tības ar EK</w:t>
      </w:r>
      <w:r w:rsidR="008C792B">
        <w:rPr>
          <w:rFonts w:cs="Times New Roman"/>
        </w:rPr>
        <w:t xml:space="preserve"> </w:t>
      </w:r>
      <w:proofErr w:type="spellStart"/>
      <w:r w:rsidR="008C792B">
        <w:rPr>
          <w:rFonts w:eastAsia="Times New Roman" w:cs="Times New Roman"/>
          <w:i/>
          <w:szCs w:val="24"/>
        </w:rPr>
        <w:t>e</w:t>
      </w:r>
      <w:r w:rsidR="008C792B" w:rsidRPr="00750411">
        <w:rPr>
          <w:rFonts w:eastAsia="Times New Roman" w:cs="Times New Roman"/>
          <w:i/>
          <w:szCs w:val="24"/>
        </w:rPr>
        <w:t>x</w:t>
      </w:r>
      <w:r w:rsidR="008C792B" w:rsidRPr="006A7116">
        <w:rPr>
          <w:rFonts w:eastAsia="Times New Roman" w:cs="Times New Roman"/>
          <w:i/>
          <w:szCs w:val="24"/>
        </w:rPr>
        <w:t>-ante</w:t>
      </w:r>
      <w:proofErr w:type="spellEnd"/>
      <w:r w:rsidR="008C792B" w:rsidRPr="006A7116">
        <w:rPr>
          <w:rFonts w:eastAsia="Times New Roman" w:cs="Times New Roman"/>
          <w:szCs w:val="24"/>
        </w:rPr>
        <w:t xml:space="preserve"> nosacījumu izpild</w:t>
      </w:r>
      <w:r w:rsidR="008C792B">
        <w:rPr>
          <w:rFonts w:eastAsia="Times New Roman" w:cs="Times New Roman"/>
          <w:szCs w:val="24"/>
        </w:rPr>
        <w:t>ē</w:t>
      </w:r>
      <w:r>
        <w:rPr>
          <w:rFonts w:cs="Times New Roman"/>
        </w:rPr>
        <w:t xml:space="preserve"> ir izpildījusi</w:t>
      </w:r>
      <w:r w:rsidR="008C792B">
        <w:rPr>
          <w:rFonts w:cs="Times New Roman"/>
        </w:rPr>
        <w:t xml:space="preserve"> pilnībā</w:t>
      </w:r>
      <w:r>
        <w:rPr>
          <w:rFonts w:cs="Times New Roman"/>
        </w:rPr>
        <w:t xml:space="preserve"> un, ka investīcijas tiek veiktas atbildīgi un pārdomāti.</w:t>
      </w:r>
    </w:p>
    <w:p w14:paraId="4ABA9CF9" w14:textId="65EB2F5B" w:rsidR="006A7116" w:rsidRPr="00AA2722" w:rsidRDefault="00C93E93" w:rsidP="00AA2722">
      <w:pPr>
        <w:spacing w:before="120" w:after="120" w:line="276" w:lineRule="auto"/>
        <w:jc w:val="both"/>
        <w:rPr>
          <w:rFonts w:eastAsia="Times New Roman" w:cs="Times New Roman"/>
          <w:szCs w:val="24"/>
        </w:rPr>
      </w:pPr>
      <w:r w:rsidRPr="00AA2722">
        <w:rPr>
          <w:rFonts w:eastAsia="Times New Roman" w:cs="Times New Roman"/>
          <w:szCs w:val="24"/>
        </w:rPr>
        <w:t xml:space="preserve">Līdz šim ir </w:t>
      </w:r>
      <w:r w:rsidR="006A7116" w:rsidRPr="00AA2722">
        <w:rPr>
          <w:rFonts w:eastAsia="Times New Roman" w:cs="Times New Roman"/>
          <w:szCs w:val="24"/>
        </w:rPr>
        <w:t>saņemts</w:t>
      </w:r>
      <w:r w:rsidR="00880A00">
        <w:rPr>
          <w:rFonts w:eastAsia="Times New Roman" w:cs="Times New Roman"/>
          <w:szCs w:val="24"/>
        </w:rPr>
        <w:t xml:space="preserve"> pozitīvs</w:t>
      </w:r>
      <w:r w:rsidR="006A7116" w:rsidRPr="00AA2722">
        <w:rPr>
          <w:rFonts w:eastAsia="Times New Roman" w:cs="Times New Roman"/>
          <w:szCs w:val="24"/>
        </w:rPr>
        <w:t xml:space="preserve"> EK lēmums par</w:t>
      </w:r>
      <w:r>
        <w:rPr>
          <w:rFonts w:eastAsia="Times New Roman" w:cs="Times New Roman"/>
          <w:szCs w:val="24"/>
        </w:rPr>
        <w:t xml:space="preserve"> šādu </w:t>
      </w:r>
      <w:proofErr w:type="spellStart"/>
      <w:r>
        <w:rPr>
          <w:rFonts w:eastAsia="Times New Roman" w:cs="Times New Roman"/>
          <w:i/>
          <w:szCs w:val="24"/>
        </w:rPr>
        <w:t>e</w:t>
      </w:r>
      <w:r w:rsidRPr="00750411">
        <w:rPr>
          <w:rFonts w:eastAsia="Times New Roman" w:cs="Times New Roman"/>
          <w:i/>
          <w:szCs w:val="24"/>
        </w:rPr>
        <w:t>x</w:t>
      </w:r>
      <w:r w:rsidRPr="006A7116">
        <w:rPr>
          <w:rFonts w:eastAsia="Times New Roman" w:cs="Times New Roman"/>
          <w:i/>
          <w:szCs w:val="24"/>
        </w:rPr>
        <w:t>-ante</w:t>
      </w:r>
      <w:proofErr w:type="spellEnd"/>
      <w:r w:rsidR="006A7116" w:rsidRPr="00AA2722">
        <w:rPr>
          <w:rFonts w:eastAsia="Times New Roman" w:cs="Times New Roman"/>
          <w:szCs w:val="24"/>
        </w:rPr>
        <w:t xml:space="preserve"> </w:t>
      </w:r>
      <w:r w:rsidR="00217F5E">
        <w:rPr>
          <w:rFonts w:eastAsia="Times New Roman" w:cs="Times New Roman"/>
          <w:szCs w:val="24"/>
        </w:rPr>
        <w:t xml:space="preserve">nosacījumu </w:t>
      </w:r>
      <w:r w:rsidR="006A7116" w:rsidRPr="00AA2722">
        <w:rPr>
          <w:rFonts w:eastAsia="Times New Roman" w:cs="Times New Roman"/>
          <w:szCs w:val="24"/>
        </w:rPr>
        <w:t>izpildi:</w:t>
      </w:r>
    </w:p>
    <w:p w14:paraId="4BCCF2D2" w14:textId="3E2E57B7" w:rsidR="00BD6AD6" w:rsidRDefault="00BD6AD6" w:rsidP="00190973">
      <w:pPr>
        <w:pStyle w:val="ListParagraph"/>
        <w:numPr>
          <w:ilvl w:val="0"/>
          <w:numId w:val="16"/>
        </w:numPr>
        <w:spacing w:before="120" w:after="120" w:line="276" w:lineRule="auto"/>
        <w:jc w:val="both"/>
        <w:rPr>
          <w:color w:val="000000" w:themeColor="text1"/>
        </w:rPr>
      </w:pPr>
      <w:r w:rsidRPr="00AA2722">
        <w:rPr>
          <w:color w:val="000000" w:themeColor="text1"/>
        </w:rPr>
        <w:t xml:space="preserve">Izglītības un zinātnes jomā </w:t>
      </w:r>
      <w:proofErr w:type="spellStart"/>
      <w:r w:rsidRPr="00AA2722">
        <w:rPr>
          <w:i/>
          <w:color w:val="000000" w:themeColor="text1"/>
        </w:rPr>
        <w:t>ex-ante</w:t>
      </w:r>
      <w:proofErr w:type="spellEnd"/>
      <w:r w:rsidRPr="00AA2722">
        <w:rPr>
          <w:color w:val="000000" w:themeColor="text1"/>
        </w:rPr>
        <w:t xml:space="preserve"> nosacījuma izpilde nodrošināta ar </w:t>
      </w:r>
      <w:r w:rsidR="001F4B2B">
        <w:rPr>
          <w:color w:val="000000" w:themeColor="text1"/>
        </w:rPr>
        <w:t xml:space="preserve">IZM sadarbībā ar EM izstrādātu </w:t>
      </w:r>
      <w:r w:rsidRPr="00AA2722">
        <w:rPr>
          <w:color w:val="000000" w:themeColor="text1"/>
        </w:rPr>
        <w:t>informatīvo ziņojumu “Viedās specializācijas stratēģijas monitoringa sistēma”</w:t>
      </w:r>
      <w:r w:rsidR="001F4B2B">
        <w:rPr>
          <w:rStyle w:val="FootnoteReference"/>
          <w:color w:val="000000" w:themeColor="text1"/>
        </w:rPr>
        <w:footnoteReference w:id="44"/>
      </w:r>
      <w:r w:rsidRPr="00AA2722">
        <w:rPr>
          <w:color w:val="000000" w:themeColor="text1"/>
        </w:rPr>
        <w:t xml:space="preserve"> (EK 2015.gada 17.decembra vēstule);</w:t>
      </w:r>
    </w:p>
    <w:p w14:paraId="00EA8580" w14:textId="60A15B4B" w:rsidR="00BD6AD6" w:rsidRDefault="00BD6AD6" w:rsidP="00190973">
      <w:pPr>
        <w:pStyle w:val="ListParagraph"/>
        <w:numPr>
          <w:ilvl w:val="0"/>
          <w:numId w:val="16"/>
        </w:numPr>
        <w:spacing w:before="120" w:after="120" w:line="276" w:lineRule="auto"/>
        <w:jc w:val="both"/>
        <w:rPr>
          <w:color w:val="000000" w:themeColor="text1"/>
        </w:rPr>
      </w:pPr>
      <w:r w:rsidRPr="00BD6AD6">
        <w:rPr>
          <w:color w:val="000000" w:themeColor="text1"/>
        </w:rPr>
        <w:t xml:space="preserve">Transporta jomā pilnīga saistošo </w:t>
      </w:r>
      <w:proofErr w:type="spellStart"/>
      <w:r w:rsidRPr="00AA2722">
        <w:rPr>
          <w:i/>
          <w:color w:val="000000" w:themeColor="text1"/>
        </w:rPr>
        <w:t>ex-ante</w:t>
      </w:r>
      <w:proofErr w:type="spellEnd"/>
      <w:r w:rsidRPr="00BD6AD6">
        <w:rPr>
          <w:color w:val="000000" w:themeColor="text1"/>
        </w:rPr>
        <w:t xml:space="preserve"> nosacījuma izpilde nodrošināta ar </w:t>
      </w:r>
      <w:r w:rsidR="008C792B">
        <w:rPr>
          <w:color w:val="000000" w:themeColor="text1"/>
        </w:rPr>
        <w:t xml:space="preserve">SM izstrādāto </w:t>
      </w:r>
      <w:r w:rsidRPr="00BD6AD6">
        <w:rPr>
          <w:color w:val="000000" w:themeColor="text1"/>
        </w:rPr>
        <w:t>informatīvo ziņojumu ar detalizētāku plānoto projektu indikatīvo sarakstu, ieviešanas laika grafiku un finansēšanas plānu</w:t>
      </w:r>
      <w:r w:rsidR="008C792B">
        <w:rPr>
          <w:rStyle w:val="FootnoteReference"/>
          <w:color w:val="000000" w:themeColor="text1"/>
        </w:rPr>
        <w:footnoteReference w:id="45"/>
      </w:r>
      <w:r w:rsidRPr="00BD6AD6">
        <w:rPr>
          <w:color w:val="000000" w:themeColor="text1"/>
        </w:rPr>
        <w:t xml:space="preserve"> (</w:t>
      </w:r>
      <w:r w:rsidRPr="00F8088A">
        <w:rPr>
          <w:color w:val="000000" w:themeColor="text1"/>
        </w:rPr>
        <w:t xml:space="preserve">EK 2015.gada </w:t>
      </w:r>
      <w:r>
        <w:rPr>
          <w:color w:val="000000" w:themeColor="text1"/>
        </w:rPr>
        <w:t>10.marta</w:t>
      </w:r>
      <w:r w:rsidRPr="00F8088A">
        <w:rPr>
          <w:color w:val="000000" w:themeColor="text1"/>
        </w:rPr>
        <w:t xml:space="preserve"> vēstule</w:t>
      </w:r>
      <w:r>
        <w:rPr>
          <w:color w:val="000000" w:themeColor="text1"/>
        </w:rPr>
        <w:t>) kā arī SM izstrādāto metodiku</w:t>
      </w:r>
      <w:r w:rsidRPr="00BD6AD6">
        <w:rPr>
          <w:color w:val="000000" w:themeColor="text1"/>
        </w:rPr>
        <w:t xml:space="preserve"> starpniekinstitūciju spēju stiprināšanai</w:t>
      </w:r>
      <w:r>
        <w:rPr>
          <w:color w:val="000000" w:themeColor="text1"/>
        </w:rPr>
        <w:t xml:space="preserve"> </w:t>
      </w:r>
      <w:r w:rsidRPr="00BD6AD6">
        <w:rPr>
          <w:color w:val="000000" w:themeColor="text1"/>
        </w:rPr>
        <w:t>(</w:t>
      </w:r>
      <w:r w:rsidRPr="00F8088A">
        <w:rPr>
          <w:color w:val="000000" w:themeColor="text1"/>
        </w:rPr>
        <w:t xml:space="preserve">EK 2015.gada </w:t>
      </w:r>
      <w:r>
        <w:rPr>
          <w:color w:val="000000" w:themeColor="text1"/>
        </w:rPr>
        <w:t>18.augusta</w:t>
      </w:r>
      <w:r w:rsidRPr="00F8088A">
        <w:rPr>
          <w:color w:val="000000" w:themeColor="text1"/>
        </w:rPr>
        <w:t xml:space="preserve"> vēstule</w:t>
      </w:r>
      <w:r>
        <w:rPr>
          <w:color w:val="000000" w:themeColor="text1"/>
        </w:rPr>
        <w:t>);</w:t>
      </w:r>
    </w:p>
    <w:p w14:paraId="52B70921" w14:textId="5CBF2424" w:rsidR="00880A00" w:rsidRDefault="00BD6AD6" w:rsidP="00190973">
      <w:pPr>
        <w:pStyle w:val="ListParagraph"/>
        <w:numPr>
          <w:ilvl w:val="0"/>
          <w:numId w:val="16"/>
        </w:numPr>
        <w:spacing w:before="120" w:after="120" w:line="276" w:lineRule="auto"/>
        <w:jc w:val="both"/>
        <w:rPr>
          <w:color w:val="000000" w:themeColor="text1"/>
        </w:rPr>
      </w:pPr>
      <w:r>
        <w:rPr>
          <w:color w:val="000000" w:themeColor="text1"/>
        </w:rPr>
        <w:t>Sociālās iekļau</w:t>
      </w:r>
      <w:r w:rsidR="008C792B">
        <w:rPr>
          <w:color w:val="000000" w:themeColor="text1"/>
        </w:rPr>
        <w:t>šanas</w:t>
      </w:r>
      <w:r>
        <w:rPr>
          <w:color w:val="000000" w:themeColor="text1"/>
        </w:rPr>
        <w:t xml:space="preserve"> veicināšanas darba tirgū jomā </w:t>
      </w:r>
      <w:r w:rsidRPr="00BD6AD6">
        <w:rPr>
          <w:color w:val="000000" w:themeColor="text1"/>
        </w:rPr>
        <w:t xml:space="preserve">pilnīga saistošo </w:t>
      </w:r>
      <w:proofErr w:type="spellStart"/>
      <w:r w:rsidRPr="00F8088A">
        <w:rPr>
          <w:i/>
          <w:color w:val="000000" w:themeColor="text1"/>
        </w:rPr>
        <w:t>ex-ante</w:t>
      </w:r>
      <w:proofErr w:type="spellEnd"/>
      <w:r w:rsidRPr="00BD6AD6">
        <w:rPr>
          <w:color w:val="000000" w:themeColor="text1"/>
        </w:rPr>
        <w:t xml:space="preserve"> n</w:t>
      </w:r>
      <w:r w:rsidR="00880A00">
        <w:rPr>
          <w:color w:val="000000" w:themeColor="text1"/>
        </w:rPr>
        <w:t>osacījuma izpild</w:t>
      </w:r>
      <w:r w:rsidR="00217F5E">
        <w:rPr>
          <w:color w:val="000000" w:themeColor="text1"/>
        </w:rPr>
        <w:t>i</w:t>
      </w:r>
      <w:r w:rsidR="00880A00">
        <w:rPr>
          <w:color w:val="000000" w:themeColor="text1"/>
        </w:rPr>
        <w:t xml:space="preserve"> nodrošinā</w:t>
      </w:r>
      <w:r w:rsidR="00217F5E">
        <w:rPr>
          <w:color w:val="000000" w:themeColor="text1"/>
        </w:rPr>
        <w:t>juši</w:t>
      </w:r>
      <w:r w:rsidR="007A2DBD">
        <w:rPr>
          <w:color w:val="000000" w:themeColor="text1"/>
        </w:rPr>
        <w:t xml:space="preserve"> </w:t>
      </w:r>
      <w:r w:rsidR="007A2DBD" w:rsidRPr="00AA2722">
        <w:rPr>
          <w:color w:val="000000" w:themeColor="text1"/>
        </w:rPr>
        <w:t>(EK 2015.gada 17.decembra vēstule)</w:t>
      </w:r>
      <w:r w:rsidR="007A2DBD">
        <w:rPr>
          <w:color w:val="000000" w:themeColor="text1"/>
        </w:rPr>
        <w:t>:</w:t>
      </w:r>
    </w:p>
    <w:p w14:paraId="48DB4E8E" w14:textId="746A2ECC" w:rsidR="00880A00" w:rsidRDefault="00217F5E" w:rsidP="00190973">
      <w:pPr>
        <w:pStyle w:val="ListParagraph"/>
        <w:numPr>
          <w:ilvl w:val="1"/>
          <w:numId w:val="16"/>
        </w:numPr>
        <w:spacing w:before="120" w:after="120" w:line="276" w:lineRule="auto"/>
        <w:jc w:val="both"/>
        <w:rPr>
          <w:color w:val="000000" w:themeColor="text1"/>
        </w:rPr>
      </w:pPr>
      <w:r>
        <w:rPr>
          <w:color w:val="000000" w:themeColor="text1"/>
        </w:rPr>
        <w:t>LM</w:t>
      </w:r>
      <w:r w:rsidR="00BD6AD6" w:rsidRPr="005505D3">
        <w:rPr>
          <w:color w:val="000000" w:themeColor="text1"/>
        </w:rPr>
        <w:t xml:space="preserve"> i</w:t>
      </w:r>
      <w:r w:rsidR="001F4B2B">
        <w:rPr>
          <w:color w:val="000000" w:themeColor="text1"/>
        </w:rPr>
        <w:t>zstrādāt</w:t>
      </w:r>
      <w:r>
        <w:rPr>
          <w:color w:val="000000" w:themeColor="text1"/>
        </w:rPr>
        <w:t>ā</w:t>
      </w:r>
      <w:r w:rsidR="001F4B2B" w:rsidRPr="001F4B2B">
        <w:t xml:space="preserve"> </w:t>
      </w:r>
      <w:r w:rsidR="001F4B2B" w:rsidRPr="001F4B2B">
        <w:rPr>
          <w:color w:val="000000" w:themeColor="text1"/>
        </w:rPr>
        <w:t>koncepcij</w:t>
      </w:r>
      <w:r>
        <w:rPr>
          <w:color w:val="000000" w:themeColor="text1"/>
        </w:rPr>
        <w:t>a</w:t>
      </w:r>
      <w:r w:rsidR="001F4B2B" w:rsidRPr="001F4B2B">
        <w:rPr>
          <w:color w:val="000000" w:themeColor="text1"/>
        </w:rPr>
        <w:t xml:space="preserve"> </w:t>
      </w:r>
      <w:r w:rsidR="007A2DBD">
        <w:rPr>
          <w:color w:val="000000" w:themeColor="text1"/>
        </w:rPr>
        <w:t>“</w:t>
      </w:r>
      <w:r w:rsidR="001F4B2B" w:rsidRPr="001F4B2B">
        <w:rPr>
          <w:color w:val="000000" w:themeColor="text1"/>
        </w:rPr>
        <w:t>Par minimālā ienākuma līmeņa noteikšanu</w:t>
      </w:r>
      <w:r w:rsidR="007A2DBD">
        <w:rPr>
          <w:color w:val="000000" w:themeColor="text1"/>
        </w:rPr>
        <w:t>”</w:t>
      </w:r>
      <w:r w:rsidR="001F4B2B" w:rsidRPr="001F4B2B">
        <w:rPr>
          <w:rStyle w:val="FootnoteReference"/>
          <w:color w:val="000000" w:themeColor="text1"/>
          <w:vertAlign w:val="baseline"/>
        </w:rPr>
        <w:t xml:space="preserve"> </w:t>
      </w:r>
      <w:r w:rsidR="001F4B2B">
        <w:rPr>
          <w:rStyle w:val="FootnoteReference"/>
          <w:color w:val="000000" w:themeColor="text1"/>
        </w:rPr>
        <w:footnoteReference w:id="46"/>
      </w:r>
      <w:r w:rsidR="00BD6AD6" w:rsidRPr="005505D3">
        <w:rPr>
          <w:color w:val="000000" w:themeColor="text1"/>
        </w:rPr>
        <w:t xml:space="preserve">; </w:t>
      </w:r>
    </w:p>
    <w:p w14:paraId="0E6270A3" w14:textId="09F177C3" w:rsidR="00880A00" w:rsidRDefault="00217F5E" w:rsidP="00190973">
      <w:pPr>
        <w:pStyle w:val="ListParagraph"/>
        <w:numPr>
          <w:ilvl w:val="1"/>
          <w:numId w:val="16"/>
        </w:numPr>
        <w:spacing w:before="120" w:after="120" w:line="276" w:lineRule="auto"/>
        <w:jc w:val="both"/>
        <w:rPr>
          <w:color w:val="000000" w:themeColor="text1"/>
        </w:rPr>
      </w:pPr>
      <w:r>
        <w:rPr>
          <w:color w:val="000000" w:themeColor="text1"/>
        </w:rPr>
        <w:t>TM</w:t>
      </w:r>
      <w:r w:rsidR="00BD6AD6" w:rsidRPr="005505D3">
        <w:rPr>
          <w:color w:val="000000" w:themeColor="text1"/>
        </w:rPr>
        <w:t xml:space="preserve"> </w:t>
      </w:r>
      <w:r w:rsidRPr="005505D3">
        <w:rPr>
          <w:color w:val="000000" w:themeColor="text1"/>
        </w:rPr>
        <w:t>izstrādāt</w:t>
      </w:r>
      <w:r>
        <w:rPr>
          <w:color w:val="000000" w:themeColor="text1"/>
        </w:rPr>
        <w:t>ās</w:t>
      </w:r>
      <w:r w:rsidRPr="005505D3">
        <w:rPr>
          <w:color w:val="000000" w:themeColor="text1"/>
        </w:rPr>
        <w:t xml:space="preserve"> </w:t>
      </w:r>
      <w:r w:rsidR="00880A00" w:rsidRPr="005505D3">
        <w:rPr>
          <w:color w:val="000000" w:themeColor="text1"/>
        </w:rPr>
        <w:t>pamatnostādn</w:t>
      </w:r>
      <w:r>
        <w:rPr>
          <w:color w:val="000000" w:themeColor="text1"/>
        </w:rPr>
        <w:t>es</w:t>
      </w:r>
      <w:r w:rsidR="00880A00" w:rsidRPr="005505D3">
        <w:rPr>
          <w:color w:val="000000" w:themeColor="text1"/>
        </w:rPr>
        <w:t xml:space="preserve"> “Ieslodzīto </w:t>
      </w:r>
      <w:proofErr w:type="spellStart"/>
      <w:r w:rsidR="00880A00" w:rsidRPr="005505D3">
        <w:rPr>
          <w:color w:val="000000" w:themeColor="text1"/>
        </w:rPr>
        <w:t>resocializācijas</w:t>
      </w:r>
      <w:proofErr w:type="spellEnd"/>
      <w:r w:rsidR="00880A00" w:rsidRPr="005505D3">
        <w:rPr>
          <w:color w:val="000000" w:themeColor="text1"/>
        </w:rPr>
        <w:t xml:space="preserve"> pilnveidošanai ieslodzījuma laikā un pēc atbrīvošanas no 2015.gada līdz 2020.gadam”, kā arī to ieviešanas plān</w:t>
      </w:r>
      <w:r>
        <w:rPr>
          <w:color w:val="000000" w:themeColor="text1"/>
        </w:rPr>
        <w:t>s</w:t>
      </w:r>
      <w:r w:rsidR="001F4B2B">
        <w:rPr>
          <w:rStyle w:val="FootnoteReference"/>
          <w:color w:val="000000" w:themeColor="text1"/>
        </w:rPr>
        <w:footnoteReference w:id="47"/>
      </w:r>
      <w:r w:rsidR="00880A00">
        <w:rPr>
          <w:color w:val="000000" w:themeColor="text1"/>
        </w:rPr>
        <w:t>;</w:t>
      </w:r>
    </w:p>
    <w:p w14:paraId="492D8369" w14:textId="0A0D8E05" w:rsidR="00BD6AD6" w:rsidRDefault="00880A00" w:rsidP="00190973">
      <w:pPr>
        <w:pStyle w:val="ListParagraph"/>
        <w:numPr>
          <w:ilvl w:val="1"/>
          <w:numId w:val="16"/>
        </w:numPr>
        <w:spacing w:before="120" w:after="120" w:line="276" w:lineRule="auto"/>
        <w:jc w:val="both"/>
        <w:rPr>
          <w:color w:val="000000" w:themeColor="text1"/>
        </w:rPr>
      </w:pPr>
      <w:r w:rsidRPr="005505D3">
        <w:rPr>
          <w:color w:val="000000" w:themeColor="text1"/>
        </w:rPr>
        <w:t>aktualizēt</w:t>
      </w:r>
      <w:r w:rsidR="00865C24">
        <w:rPr>
          <w:color w:val="000000" w:themeColor="text1"/>
        </w:rPr>
        <w:t>ajā</w:t>
      </w:r>
      <w:r w:rsidRPr="005505D3">
        <w:rPr>
          <w:color w:val="000000" w:themeColor="text1"/>
        </w:rPr>
        <w:t xml:space="preserve"> </w:t>
      </w:r>
      <w:r w:rsidR="0032304A">
        <w:rPr>
          <w:color w:val="000000" w:themeColor="text1"/>
        </w:rPr>
        <w:t>VI</w:t>
      </w:r>
      <w:r w:rsidRPr="005505D3">
        <w:rPr>
          <w:color w:val="000000" w:themeColor="text1"/>
        </w:rPr>
        <w:t xml:space="preserve"> un Sertifikācijas iestādes funkciju un procedūru aprakstā</w:t>
      </w:r>
      <w:r w:rsidR="001F4B2B">
        <w:rPr>
          <w:rStyle w:val="FootnoteReference"/>
          <w:color w:val="000000" w:themeColor="text1"/>
        </w:rPr>
        <w:footnoteReference w:id="48"/>
      </w:r>
      <w:r w:rsidR="00217F5E">
        <w:rPr>
          <w:color w:val="000000" w:themeColor="text1"/>
        </w:rPr>
        <w:t>,</w:t>
      </w:r>
      <w:r w:rsidRPr="005505D3">
        <w:rPr>
          <w:color w:val="000000" w:themeColor="text1"/>
        </w:rPr>
        <w:t xml:space="preserve"> ietverot informāciju</w:t>
      </w:r>
      <w:r w:rsidR="00BD6AD6" w:rsidRPr="005505D3">
        <w:rPr>
          <w:color w:val="000000" w:themeColor="text1"/>
        </w:rPr>
        <w:t xml:space="preserve"> par sistēmu, kā projekta pieteicējam būs iespējams saņemt nepieciešamo palīdzību un informāciju par pieteikuma iesniegšanu, projekta īstenošanu un pārvaldību</w:t>
      </w:r>
      <w:r w:rsidRPr="005505D3">
        <w:rPr>
          <w:color w:val="000000" w:themeColor="text1"/>
        </w:rPr>
        <w:t>;</w:t>
      </w:r>
    </w:p>
    <w:p w14:paraId="02C47C70" w14:textId="41FF64C6" w:rsidR="00880A00" w:rsidRDefault="00880A00" w:rsidP="00190973">
      <w:pPr>
        <w:pStyle w:val="ListParagraph"/>
        <w:numPr>
          <w:ilvl w:val="0"/>
          <w:numId w:val="16"/>
        </w:numPr>
        <w:spacing w:before="120" w:after="120" w:line="276" w:lineRule="auto"/>
        <w:jc w:val="both"/>
        <w:rPr>
          <w:color w:val="000000" w:themeColor="text1"/>
        </w:rPr>
      </w:pPr>
      <w:r w:rsidRPr="005505D3">
        <w:rPr>
          <w:color w:val="000000" w:themeColor="text1"/>
        </w:rPr>
        <w:t xml:space="preserve">Veselības jomā </w:t>
      </w:r>
      <w:proofErr w:type="spellStart"/>
      <w:r w:rsidRPr="005505D3">
        <w:rPr>
          <w:i/>
          <w:color w:val="000000" w:themeColor="text1"/>
        </w:rPr>
        <w:t>ex-ante</w:t>
      </w:r>
      <w:proofErr w:type="spellEnd"/>
      <w:r w:rsidRPr="005505D3">
        <w:rPr>
          <w:color w:val="000000" w:themeColor="text1"/>
        </w:rPr>
        <w:t xml:space="preserve"> nosacījuma izpilde nodrošināta ar </w:t>
      </w:r>
      <w:r w:rsidR="00217F5E">
        <w:rPr>
          <w:color w:val="000000" w:themeColor="text1"/>
        </w:rPr>
        <w:t xml:space="preserve">VM </w:t>
      </w:r>
      <w:r w:rsidRPr="005505D3">
        <w:rPr>
          <w:color w:val="000000" w:themeColor="text1"/>
        </w:rPr>
        <w:t>izstrād</w:t>
      </w:r>
      <w:r w:rsidR="001F4B2B">
        <w:rPr>
          <w:color w:val="000000" w:themeColor="text1"/>
        </w:rPr>
        <w:t>ātaj</w:t>
      </w:r>
      <w:r w:rsidRPr="005505D3">
        <w:rPr>
          <w:color w:val="000000" w:themeColor="text1"/>
        </w:rPr>
        <w:t>ām “Sabiedrības veselības pamatnostādnēm</w:t>
      </w:r>
      <w:r w:rsidRPr="00AA2722">
        <w:rPr>
          <w:color w:val="000000" w:themeColor="text1"/>
        </w:rPr>
        <w:t xml:space="preserve"> 2014.–2020.gadam”</w:t>
      </w:r>
      <w:r w:rsidR="00E57CE3">
        <w:rPr>
          <w:rStyle w:val="FootnoteReference"/>
          <w:color w:val="000000" w:themeColor="text1"/>
        </w:rPr>
        <w:footnoteReference w:id="49"/>
      </w:r>
      <w:r w:rsidRPr="00AA2722">
        <w:rPr>
          <w:color w:val="000000" w:themeColor="text1"/>
        </w:rPr>
        <w:t xml:space="preserve"> (EK 2015.gada 30.janvāra vēstule);</w:t>
      </w:r>
    </w:p>
    <w:p w14:paraId="1792309D" w14:textId="1E659ABD" w:rsidR="005505D3" w:rsidRPr="005505D3" w:rsidRDefault="005505D3" w:rsidP="00190973">
      <w:pPr>
        <w:pStyle w:val="ListParagraph"/>
        <w:numPr>
          <w:ilvl w:val="0"/>
          <w:numId w:val="16"/>
        </w:numPr>
        <w:spacing w:before="120" w:after="120" w:line="276" w:lineRule="auto"/>
        <w:jc w:val="both"/>
        <w:rPr>
          <w:color w:val="000000" w:themeColor="text1"/>
        </w:rPr>
      </w:pPr>
      <w:r>
        <w:rPr>
          <w:color w:val="000000" w:themeColor="text1"/>
        </w:rPr>
        <w:t xml:space="preserve">Valsts pārvaldes kapacitātes stiprināšanas jomā </w:t>
      </w:r>
      <w:proofErr w:type="spellStart"/>
      <w:r w:rsidRPr="005505D3">
        <w:rPr>
          <w:i/>
          <w:color w:val="000000" w:themeColor="text1"/>
        </w:rPr>
        <w:t>ex-ante</w:t>
      </w:r>
      <w:proofErr w:type="spellEnd"/>
      <w:r w:rsidRPr="005505D3">
        <w:rPr>
          <w:color w:val="000000" w:themeColor="text1"/>
        </w:rPr>
        <w:t xml:space="preserve"> nosacījuma izpilde nodrošināta ar</w:t>
      </w:r>
      <w:r>
        <w:rPr>
          <w:color w:val="000000" w:themeColor="text1"/>
        </w:rPr>
        <w:t xml:space="preserve"> (EK 2015.gada 21.oktobra vēstule)</w:t>
      </w:r>
    </w:p>
    <w:p w14:paraId="6D614C8F" w14:textId="2A0659F5" w:rsidR="00880A00" w:rsidRPr="00AA2722" w:rsidRDefault="00880A00" w:rsidP="00190973">
      <w:pPr>
        <w:pStyle w:val="naiskr"/>
        <w:numPr>
          <w:ilvl w:val="1"/>
          <w:numId w:val="16"/>
        </w:numPr>
        <w:spacing w:before="120" w:after="120" w:line="276" w:lineRule="auto"/>
        <w:jc w:val="both"/>
        <w:rPr>
          <w:color w:val="000000" w:themeColor="text1"/>
        </w:rPr>
      </w:pPr>
      <w:proofErr w:type="spellStart"/>
      <w:r w:rsidRPr="005505D3">
        <w:rPr>
          <w:color w:val="000000" w:themeColor="text1"/>
        </w:rPr>
        <w:t>VKanc</w:t>
      </w:r>
      <w:proofErr w:type="spellEnd"/>
      <w:r w:rsidRPr="005505D3">
        <w:rPr>
          <w:color w:val="000000" w:themeColor="text1"/>
        </w:rPr>
        <w:t xml:space="preserve"> izstrādāto informatīvo ziņojumu “Valsts pārvaldes cilvēkresursu kapacitātes stiprināšanai, nolūkā mazināt administratīvo slogu uzņēmējdarbības videi, kā arī veicināt korupcijas un ēnu ekonomikas apkarošanu laika periodā no 2014.–2020.gadam”</w:t>
      </w:r>
      <w:r w:rsidR="00AA2722">
        <w:rPr>
          <w:rStyle w:val="FootnoteReference"/>
          <w:color w:val="000000" w:themeColor="text1"/>
        </w:rPr>
        <w:footnoteReference w:id="50"/>
      </w:r>
      <w:r w:rsidR="005505D3" w:rsidRPr="00AA2722">
        <w:rPr>
          <w:color w:val="000000" w:themeColor="text1"/>
        </w:rPr>
        <w:t xml:space="preserve"> un</w:t>
      </w:r>
      <w:r w:rsidRPr="00AA2722">
        <w:rPr>
          <w:color w:val="000000" w:themeColor="text1"/>
        </w:rPr>
        <w:t xml:space="preserve"> </w:t>
      </w:r>
      <w:r w:rsidR="005505D3" w:rsidRPr="00AA2722">
        <w:rPr>
          <w:color w:val="000000" w:themeColor="text1"/>
        </w:rPr>
        <w:t>Valsts pārvaldes politikas attīstības pamatnostādnēm 2014.-2020.gadam</w:t>
      </w:r>
      <w:r w:rsidR="00AA2722">
        <w:rPr>
          <w:rStyle w:val="FootnoteReference"/>
          <w:color w:val="000000" w:themeColor="text1"/>
        </w:rPr>
        <w:footnoteReference w:id="51"/>
      </w:r>
      <w:r w:rsidR="005505D3" w:rsidRPr="00AA2722">
        <w:rPr>
          <w:color w:val="000000" w:themeColor="text1"/>
        </w:rPr>
        <w:t xml:space="preserve"> </w:t>
      </w:r>
      <w:r w:rsidRPr="00AA2722">
        <w:rPr>
          <w:color w:val="000000" w:themeColor="text1"/>
        </w:rPr>
        <w:t xml:space="preserve">. </w:t>
      </w:r>
    </w:p>
    <w:p w14:paraId="6621DA1F" w14:textId="31816B2A" w:rsidR="005505D3" w:rsidRPr="00AA2722" w:rsidRDefault="00880A00" w:rsidP="00190973">
      <w:pPr>
        <w:pStyle w:val="naiskr"/>
        <w:numPr>
          <w:ilvl w:val="1"/>
          <w:numId w:val="16"/>
        </w:numPr>
        <w:spacing w:before="120" w:after="120" w:line="276" w:lineRule="auto"/>
        <w:jc w:val="both"/>
      </w:pPr>
      <w:r w:rsidRPr="00AA2722">
        <w:t xml:space="preserve">Korupcijas novēršanas un apkarošanas biroja sadarbībā ar </w:t>
      </w:r>
      <w:proofErr w:type="spellStart"/>
      <w:r w:rsidRPr="00AA2722">
        <w:t>VKanc</w:t>
      </w:r>
      <w:proofErr w:type="spellEnd"/>
      <w:r w:rsidRPr="00AA2722">
        <w:t xml:space="preserve"> izstrādāt</w:t>
      </w:r>
      <w:r w:rsidR="005505D3" w:rsidRPr="00AA2722">
        <w:t xml:space="preserve">ajām </w:t>
      </w:r>
      <w:r w:rsidRPr="00AA2722">
        <w:t>pamatnostādn</w:t>
      </w:r>
      <w:r w:rsidR="005505D3" w:rsidRPr="00AA2722">
        <w:t>ēm</w:t>
      </w:r>
      <w:r w:rsidRPr="00AA2722">
        <w:t xml:space="preserve"> “Korupcijas novēršanas un apkarošanas pamatnostādnes </w:t>
      </w:r>
      <w:r w:rsidRPr="00AA2722">
        <w:br/>
        <w:t>2014.–2020.gadam”</w:t>
      </w:r>
      <w:r w:rsidR="00AA2722">
        <w:rPr>
          <w:rStyle w:val="FootnoteReference"/>
        </w:rPr>
        <w:footnoteReference w:id="52"/>
      </w:r>
      <w:r w:rsidR="005505D3">
        <w:rPr>
          <w:color w:val="000000" w:themeColor="text1"/>
        </w:rPr>
        <w:t>;</w:t>
      </w:r>
    </w:p>
    <w:p w14:paraId="539BACFE" w14:textId="66A3D110" w:rsidR="00880A00" w:rsidRPr="00AA2722" w:rsidRDefault="005505D3" w:rsidP="00190973">
      <w:pPr>
        <w:pStyle w:val="naiskr"/>
        <w:numPr>
          <w:ilvl w:val="1"/>
          <w:numId w:val="16"/>
        </w:numPr>
        <w:spacing w:before="120" w:after="120" w:line="276" w:lineRule="auto"/>
        <w:jc w:val="both"/>
      </w:pPr>
      <w:r>
        <w:rPr>
          <w:color w:val="000000" w:themeColor="text1"/>
        </w:rPr>
        <w:lastRenderedPageBreak/>
        <w:t>Grozījumi</w:t>
      </w:r>
      <w:r w:rsidR="00E57CE3">
        <w:rPr>
          <w:color w:val="000000" w:themeColor="text1"/>
        </w:rPr>
        <w:t>em</w:t>
      </w:r>
      <w:r>
        <w:rPr>
          <w:color w:val="000000" w:themeColor="text1"/>
        </w:rPr>
        <w:t xml:space="preserve"> </w:t>
      </w:r>
      <w:r w:rsidR="00880A00" w:rsidRPr="00AA2722">
        <w:rPr>
          <w:color w:val="000000" w:themeColor="text1"/>
        </w:rPr>
        <w:t>TM izstrādāt</w:t>
      </w:r>
      <w:r>
        <w:rPr>
          <w:color w:val="000000" w:themeColor="text1"/>
        </w:rPr>
        <w:t>ajā</w:t>
      </w:r>
      <w:r w:rsidR="00880A00" w:rsidRPr="00AA2722">
        <w:rPr>
          <w:color w:val="000000" w:themeColor="text1"/>
        </w:rPr>
        <w:t xml:space="preserve"> “Tiesu varas un tiesībaizsardzības iestāžu darbinieku cilvēkresursu kapacitātes stiprināšana</w:t>
      </w:r>
      <w:r w:rsidRPr="005505D3">
        <w:rPr>
          <w:color w:val="000000" w:themeColor="text1"/>
        </w:rPr>
        <w:t>s un kompetenču attīstības plān</w:t>
      </w:r>
      <w:r>
        <w:rPr>
          <w:color w:val="000000" w:themeColor="text1"/>
        </w:rPr>
        <w:t>ā</w:t>
      </w:r>
      <w:r w:rsidR="00880A00" w:rsidRPr="00AA2722">
        <w:rPr>
          <w:color w:val="000000" w:themeColor="text1"/>
        </w:rPr>
        <w:t xml:space="preserve"> </w:t>
      </w:r>
      <w:r w:rsidR="00880A00" w:rsidRPr="00AA2722">
        <w:rPr>
          <w:color w:val="000000" w:themeColor="text1"/>
        </w:rPr>
        <w:br/>
        <w:t>2014.–2020.gadam”</w:t>
      </w:r>
      <w:r w:rsidR="00AA2722">
        <w:rPr>
          <w:rStyle w:val="FootnoteReference"/>
          <w:color w:val="000000" w:themeColor="text1"/>
        </w:rPr>
        <w:footnoteReference w:id="53"/>
      </w:r>
      <w:r>
        <w:rPr>
          <w:color w:val="000000" w:themeColor="text1"/>
        </w:rPr>
        <w:t>;</w:t>
      </w:r>
    </w:p>
    <w:p w14:paraId="249AB5D1" w14:textId="6D703FFA" w:rsidR="005505D3" w:rsidRPr="00AA2722" w:rsidRDefault="005505D3" w:rsidP="00190973">
      <w:pPr>
        <w:pStyle w:val="naiskr"/>
        <w:numPr>
          <w:ilvl w:val="0"/>
          <w:numId w:val="16"/>
        </w:numPr>
        <w:spacing w:before="120" w:after="120" w:line="276" w:lineRule="auto"/>
        <w:jc w:val="both"/>
      </w:pPr>
      <w:r>
        <w:t xml:space="preserve">Trīs vispārīgo </w:t>
      </w:r>
      <w:proofErr w:type="spellStart"/>
      <w:r w:rsidRPr="00AA2722">
        <w:rPr>
          <w:i/>
        </w:rPr>
        <w:t>ex-ante</w:t>
      </w:r>
      <w:proofErr w:type="spellEnd"/>
      <w:r w:rsidR="00CF500D">
        <w:t xml:space="preserve"> nosacījumu izpilde</w:t>
      </w:r>
      <w:r>
        <w:t xml:space="preserve"> nodrošināta</w:t>
      </w:r>
      <w:r w:rsidR="00CF500D">
        <w:t>,</w:t>
      </w:r>
      <w:r>
        <w:t xml:space="preserve"> attiecīgu informāciju iekļaujot </w:t>
      </w:r>
      <w:r w:rsidRPr="005505D3">
        <w:rPr>
          <w:color w:val="000000" w:themeColor="text1"/>
        </w:rPr>
        <w:t>Vadošās iestādes un Sertifikācijas iestādes funkciju un procedūru aprakstā</w:t>
      </w:r>
      <w:r>
        <w:rPr>
          <w:color w:val="000000" w:themeColor="text1"/>
        </w:rPr>
        <w:t xml:space="preserve"> (EK 2015.gada 14.oktobra vēstule)</w:t>
      </w:r>
    </w:p>
    <w:p w14:paraId="3A36168E" w14:textId="55CE93F1" w:rsidR="006A7116" w:rsidRDefault="00AA2722" w:rsidP="005505D3">
      <w:pPr>
        <w:pStyle w:val="ListParagraph"/>
        <w:ind w:left="0"/>
        <w:jc w:val="both"/>
      </w:pPr>
      <w:r>
        <w:t xml:space="preserve">Vēl </w:t>
      </w:r>
      <w:r w:rsidR="008C792B">
        <w:t>vairāki</w:t>
      </w:r>
      <w:r>
        <w:t xml:space="preserve"> </w:t>
      </w:r>
      <w:proofErr w:type="spellStart"/>
      <w:r w:rsidRPr="00AA2722">
        <w:rPr>
          <w:i/>
        </w:rPr>
        <w:t>ex-ante</w:t>
      </w:r>
      <w:proofErr w:type="spellEnd"/>
      <w:r>
        <w:t xml:space="preserve"> nosac</w:t>
      </w:r>
      <w:r w:rsidR="00217F5E">
        <w:t>ījumi ir izpildīti nacionālā līmenī un to</w:t>
      </w:r>
      <w:r>
        <w:t xml:space="preserve"> izpildei nepieciešam</w:t>
      </w:r>
      <w:r w:rsidR="00F377D7">
        <w:t>i</w:t>
      </w:r>
      <w:r>
        <w:t>e doku</w:t>
      </w:r>
      <w:r w:rsidR="00217F5E">
        <w:t>me</w:t>
      </w:r>
      <w:r>
        <w:t>nti iesniegti izvērtēšanai EK</w:t>
      </w:r>
      <w:r w:rsidR="00217F5E">
        <w:t xml:space="preserve"> un attiecīgi par to pilnīgu izpildi tiek gaidīts EK lēmums</w:t>
      </w:r>
      <w:r>
        <w:t>:</w:t>
      </w:r>
    </w:p>
    <w:p w14:paraId="7C323C46" w14:textId="77777777" w:rsidR="00AA2722" w:rsidRPr="00BD6AD6" w:rsidRDefault="00AA2722" w:rsidP="005505D3">
      <w:pPr>
        <w:pStyle w:val="ListParagraph"/>
        <w:ind w:left="0"/>
        <w:jc w:val="both"/>
      </w:pPr>
    </w:p>
    <w:p w14:paraId="2B055C5D" w14:textId="1FC3D0B9" w:rsidR="006A7116" w:rsidRDefault="00217F5E" w:rsidP="00190973">
      <w:pPr>
        <w:pStyle w:val="ListParagraph"/>
        <w:numPr>
          <w:ilvl w:val="0"/>
          <w:numId w:val="15"/>
        </w:numPr>
        <w:spacing w:before="120" w:after="120" w:line="276" w:lineRule="auto"/>
        <w:ind w:left="426"/>
        <w:jc w:val="both"/>
        <w:rPr>
          <w:rFonts w:eastAsia="Times New Roman" w:cs="Times New Roman"/>
          <w:szCs w:val="24"/>
        </w:rPr>
      </w:pPr>
      <w:r>
        <w:rPr>
          <w:rFonts w:eastAsia="Times New Roman" w:cs="Times New Roman"/>
          <w:szCs w:val="24"/>
        </w:rPr>
        <w:t>Atkritumu apsaimniekošanas jomā</w:t>
      </w:r>
      <w:r w:rsidR="00AA2722">
        <w:rPr>
          <w:rFonts w:eastAsia="Times New Roman" w:cs="Times New Roman"/>
          <w:szCs w:val="24"/>
        </w:rPr>
        <w:t xml:space="preserve"> saistošā nosacījuma izpildei nepieciešamie dokumenti iesniegti EK 2015.gada 24.j</w:t>
      </w:r>
      <w:r>
        <w:rPr>
          <w:rFonts w:eastAsia="Times New Roman" w:cs="Times New Roman"/>
          <w:szCs w:val="24"/>
        </w:rPr>
        <w:t>ūlijā</w:t>
      </w:r>
      <w:r w:rsidR="00AA2722">
        <w:rPr>
          <w:rFonts w:eastAsia="Times New Roman" w:cs="Times New Roman"/>
          <w:szCs w:val="24"/>
        </w:rPr>
        <w:t>, saņem</w:t>
      </w:r>
      <w:r>
        <w:rPr>
          <w:rFonts w:eastAsia="Times New Roman" w:cs="Times New Roman"/>
          <w:szCs w:val="24"/>
        </w:rPr>
        <w:t>ot</w:t>
      </w:r>
      <w:r w:rsidR="00AA2722">
        <w:rPr>
          <w:rFonts w:eastAsia="Times New Roman" w:cs="Times New Roman"/>
          <w:szCs w:val="24"/>
        </w:rPr>
        <w:t xml:space="preserve"> EK komentārus, papildu informācija iesniegta 2015.gada 4.novembrī un tiek gaidīts EK l</w:t>
      </w:r>
      <w:r>
        <w:rPr>
          <w:rFonts w:eastAsia="Times New Roman" w:cs="Times New Roman"/>
          <w:szCs w:val="24"/>
        </w:rPr>
        <w:t>ēmums;</w:t>
      </w:r>
    </w:p>
    <w:p w14:paraId="462EFB08" w14:textId="070E8AB3" w:rsidR="006E0900" w:rsidRPr="006E0900" w:rsidRDefault="00AA2722" w:rsidP="006E0900">
      <w:pPr>
        <w:pStyle w:val="ListParagraph"/>
        <w:numPr>
          <w:ilvl w:val="0"/>
          <w:numId w:val="15"/>
        </w:numPr>
        <w:spacing w:before="120" w:after="120" w:line="276" w:lineRule="auto"/>
        <w:ind w:left="426"/>
        <w:jc w:val="both"/>
      </w:pPr>
      <w:r>
        <w:rPr>
          <w:rFonts w:eastAsia="Times New Roman" w:cs="Times New Roman"/>
          <w:szCs w:val="24"/>
        </w:rPr>
        <w:t>Ūdenssaimniecības jomā nepieciešamā informācija par upju baseinu apsaimniekošanas plāniem ir iesniegta EK 2016.gada 12.janv</w:t>
      </w:r>
      <w:r w:rsidR="006E0900">
        <w:rPr>
          <w:rFonts w:eastAsia="Times New Roman" w:cs="Times New Roman"/>
          <w:szCs w:val="24"/>
        </w:rPr>
        <w:t>āri;</w:t>
      </w:r>
    </w:p>
    <w:p w14:paraId="1F99B782" w14:textId="53EBB6F7" w:rsidR="006E0900" w:rsidRPr="0043054F" w:rsidRDefault="006E0900" w:rsidP="00231B89">
      <w:pPr>
        <w:pStyle w:val="ListParagraph"/>
        <w:numPr>
          <w:ilvl w:val="0"/>
          <w:numId w:val="15"/>
        </w:numPr>
        <w:spacing w:before="120" w:after="120" w:line="276" w:lineRule="auto"/>
        <w:ind w:left="426"/>
        <w:jc w:val="both"/>
      </w:pPr>
      <w:r w:rsidRPr="006E0900">
        <w:rPr>
          <w:rFonts w:eastAsia="Times New Roman" w:cs="Times New Roman"/>
          <w:szCs w:val="24"/>
        </w:rPr>
        <w:t>Risku pārvaldības jomā izstrādātais informatīvais ziņojums ar viena riska un vairāku risku scenār</w:t>
      </w:r>
      <w:r>
        <w:rPr>
          <w:rFonts w:eastAsia="Times New Roman" w:cs="Times New Roman"/>
          <w:szCs w:val="24"/>
        </w:rPr>
        <w:t>iju aprakstiem un pašnovērtējumu</w:t>
      </w:r>
      <w:r w:rsidRPr="006E0900">
        <w:rPr>
          <w:rFonts w:eastAsia="Times New Roman" w:cs="Times New Roman"/>
          <w:szCs w:val="24"/>
        </w:rPr>
        <w:t xml:space="preserve"> iesnieg</w:t>
      </w:r>
      <w:r>
        <w:rPr>
          <w:rFonts w:eastAsia="Times New Roman" w:cs="Times New Roman"/>
          <w:szCs w:val="24"/>
        </w:rPr>
        <w:t>ts</w:t>
      </w:r>
      <w:r w:rsidRPr="006E0900">
        <w:rPr>
          <w:rFonts w:eastAsia="Times New Roman" w:cs="Times New Roman"/>
          <w:szCs w:val="24"/>
        </w:rPr>
        <w:t xml:space="preserve"> EK</w:t>
      </w:r>
      <w:r>
        <w:rPr>
          <w:rFonts w:eastAsia="Times New Roman" w:cs="Times New Roman"/>
          <w:szCs w:val="24"/>
        </w:rPr>
        <w:t xml:space="preserve"> 2016.gada 25.janvārī.</w:t>
      </w:r>
    </w:p>
    <w:p w14:paraId="6E635516" w14:textId="3841E2CC" w:rsidR="00231B89" w:rsidRPr="006E0900" w:rsidRDefault="00231B89" w:rsidP="0043054F">
      <w:pPr>
        <w:pStyle w:val="ListParagraph"/>
        <w:numPr>
          <w:ilvl w:val="0"/>
          <w:numId w:val="15"/>
        </w:numPr>
        <w:ind w:left="426"/>
        <w:jc w:val="both"/>
      </w:pPr>
      <w:r w:rsidRPr="00231B89">
        <w:t xml:space="preserve">Vispārīgā </w:t>
      </w:r>
      <w:proofErr w:type="spellStart"/>
      <w:r w:rsidRPr="00231B89">
        <w:t>ex-ante</w:t>
      </w:r>
      <w:proofErr w:type="spellEnd"/>
      <w:r w:rsidRPr="00231B89">
        <w:t xml:space="preserve"> nosacījuma attiecībā uz pilnas funkcionalitātes e-iepirku</w:t>
      </w:r>
      <w:r>
        <w:t>mu procedūras ieviešanu izpildei</w:t>
      </w:r>
      <w:r w:rsidRPr="00231B89">
        <w:t xml:space="preserve"> </w:t>
      </w:r>
      <w:r>
        <w:t>nepiecie</w:t>
      </w:r>
      <w:r w:rsidR="00476E90">
        <w:t>ša</w:t>
      </w:r>
      <w:r>
        <w:t>mā informācija</w:t>
      </w:r>
      <w:r w:rsidRPr="00231B89">
        <w:t xml:space="preserve"> un pašnovērtējums iesniegts EK 2016.gada </w:t>
      </w:r>
      <w:r>
        <w:t>5.</w:t>
      </w:r>
      <w:r w:rsidRPr="00231B89">
        <w:t>februārī;</w:t>
      </w:r>
    </w:p>
    <w:p w14:paraId="30C06601" w14:textId="1DC68DED" w:rsidR="008C792B" w:rsidRDefault="00AA2722" w:rsidP="0043054F">
      <w:pPr>
        <w:spacing w:before="120" w:after="120" w:line="276" w:lineRule="auto"/>
        <w:jc w:val="both"/>
        <w:rPr>
          <w:bCs/>
        </w:rPr>
      </w:pPr>
      <w:r>
        <w:rPr>
          <w:rFonts w:eastAsia="Times New Roman" w:cs="Times New Roman"/>
          <w:szCs w:val="24"/>
        </w:rPr>
        <w:t>Lai nodrošin</w:t>
      </w:r>
      <w:r w:rsidR="00217F5E">
        <w:rPr>
          <w:rFonts w:eastAsia="Times New Roman" w:cs="Times New Roman"/>
          <w:szCs w:val="24"/>
        </w:rPr>
        <w:t>ātu visu</w:t>
      </w:r>
      <w:r>
        <w:rPr>
          <w:rFonts w:eastAsia="Times New Roman" w:cs="Times New Roman"/>
          <w:szCs w:val="24"/>
        </w:rPr>
        <w:t xml:space="preserve"> Partnerības līgumā noteikto </w:t>
      </w:r>
      <w:proofErr w:type="spellStart"/>
      <w:r>
        <w:rPr>
          <w:rFonts w:eastAsia="Times New Roman" w:cs="Times New Roman"/>
          <w:szCs w:val="24"/>
        </w:rPr>
        <w:t>ex-ante</w:t>
      </w:r>
      <w:proofErr w:type="spellEnd"/>
      <w:r>
        <w:rPr>
          <w:rFonts w:eastAsia="Times New Roman" w:cs="Times New Roman"/>
          <w:szCs w:val="24"/>
        </w:rPr>
        <w:t xml:space="preserve"> nosacījumu izpildi, nākamajā pārskata periodā jānodrošina</w:t>
      </w:r>
      <w:r w:rsidR="00231B89">
        <w:rPr>
          <w:rFonts w:eastAsia="Times New Roman" w:cs="Times New Roman"/>
          <w:szCs w:val="24"/>
        </w:rPr>
        <w:t xml:space="preserve"> p</w:t>
      </w:r>
      <w:r w:rsidR="008C792B" w:rsidRPr="00216A5F">
        <w:rPr>
          <w:rFonts w:eastAsia="Times New Roman"/>
          <w:szCs w:val="24"/>
        </w:rPr>
        <w:t xml:space="preserve">ētījuma par priekšlaicīgas mācību pamešanas iemesliem izstrāde un iesniegšana EK, tādējādi nodrošinot </w:t>
      </w:r>
      <w:proofErr w:type="spellStart"/>
      <w:r w:rsidR="008C792B" w:rsidRPr="00216A5F">
        <w:rPr>
          <w:rFonts w:eastAsia="Times New Roman"/>
          <w:szCs w:val="24"/>
        </w:rPr>
        <w:t>ex-ante</w:t>
      </w:r>
      <w:proofErr w:type="spellEnd"/>
      <w:r w:rsidR="008C792B" w:rsidRPr="00216A5F">
        <w:rPr>
          <w:rFonts w:eastAsia="Times New Roman"/>
          <w:szCs w:val="24"/>
        </w:rPr>
        <w:t xml:space="preserve"> nosacījumu pilnīgu izpildi izglītības jomā. </w:t>
      </w:r>
      <w:r w:rsidR="008C792B" w:rsidRPr="00216A5F">
        <w:rPr>
          <w:szCs w:val="24"/>
        </w:rPr>
        <w:t xml:space="preserve">Partnerības līgumā kā minētā </w:t>
      </w:r>
      <w:proofErr w:type="spellStart"/>
      <w:r w:rsidR="008C792B" w:rsidRPr="00216A5F">
        <w:rPr>
          <w:i/>
          <w:szCs w:val="24"/>
        </w:rPr>
        <w:t>ex-ante</w:t>
      </w:r>
      <w:proofErr w:type="spellEnd"/>
      <w:r w:rsidR="008C792B" w:rsidRPr="00216A5F">
        <w:rPr>
          <w:szCs w:val="24"/>
        </w:rPr>
        <w:t xml:space="preserve"> nosacījuma izpildes termiņš tika noteikts 2015.gada 31.jūlijs.</w:t>
      </w:r>
      <w:r w:rsidR="008C1137" w:rsidRPr="00216A5F">
        <w:rPr>
          <w:rFonts w:eastAsia="Calibri"/>
          <w:szCs w:val="24"/>
        </w:rPr>
        <w:t xml:space="preserve"> </w:t>
      </w:r>
      <w:r w:rsidR="00667861" w:rsidRPr="00216A5F">
        <w:rPr>
          <w:rFonts w:eastAsia="Calibri"/>
          <w:szCs w:val="24"/>
        </w:rPr>
        <w:t>Trešais p</w:t>
      </w:r>
      <w:r w:rsidR="008C1137" w:rsidRPr="00216A5F">
        <w:rPr>
          <w:szCs w:val="24"/>
        </w:rPr>
        <w:t xml:space="preserve">ētījuma ziņojums </w:t>
      </w:r>
      <w:r w:rsidR="00667861" w:rsidRPr="00216A5F">
        <w:rPr>
          <w:szCs w:val="24"/>
        </w:rPr>
        <w:t xml:space="preserve">“Pētījums par politikas alternatīvu veidošanu priekšlaicīgas mācību pārtraukšanas problēmas risināšanai” </w:t>
      </w:r>
      <w:r w:rsidR="008C1137" w:rsidRPr="00216A5F">
        <w:rPr>
          <w:szCs w:val="24"/>
        </w:rPr>
        <w:t>iesniegts 2015.gada oktobrī, uz kā pamata IZM ir izstrādājusi konceptuālā ziņojuma “</w:t>
      </w:r>
      <w:r w:rsidR="008C1137" w:rsidRPr="00216A5F">
        <w:rPr>
          <w:bCs/>
          <w:szCs w:val="24"/>
        </w:rPr>
        <w:t>Par politikas alternatīvu veidošanu priekšlaicīgas mācību pārtraukšanas problēmas risināšanai, lai nodrošinātu 8.3.4.specifiskā atbalsta mērķa “Samazināt priekšlaicīgu mācību</w:t>
      </w:r>
      <w:r w:rsidR="008C1137" w:rsidRPr="008C1137">
        <w:rPr>
          <w:bCs/>
        </w:rPr>
        <w:t xml:space="preserve"> pārtraukšanu, īstenojot preventīvus un intervences pasākumus” ieviešanu” projektu</w:t>
      </w:r>
      <w:r w:rsidR="008C1137">
        <w:rPr>
          <w:bCs/>
        </w:rPr>
        <w:t xml:space="preserve">. Minēto konceptuālo ziņojumu plānots </w:t>
      </w:r>
      <w:r w:rsidR="00C45DBC">
        <w:rPr>
          <w:bCs/>
        </w:rPr>
        <w:t xml:space="preserve">virzīt </w:t>
      </w:r>
      <w:r w:rsidR="008C1137">
        <w:rPr>
          <w:bCs/>
        </w:rPr>
        <w:t>apstiprinā</w:t>
      </w:r>
      <w:r w:rsidR="00C45DBC">
        <w:rPr>
          <w:bCs/>
        </w:rPr>
        <w:t>šanai</w:t>
      </w:r>
      <w:r w:rsidR="008C1137">
        <w:rPr>
          <w:bCs/>
        </w:rPr>
        <w:t xml:space="preserve"> </w:t>
      </w:r>
      <w:r w:rsidR="007F656B">
        <w:rPr>
          <w:bCs/>
        </w:rPr>
        <w:t>MK</w:t>
      </w:r>
      <w:r w:rsidR="008C1137">
        <w:rPr>
          <w:bCs/>
        </w:rPr>
        <w:t xml:space="preserve"> </w:t>
      </w:r>
      <w:r w:rsidR="002F044C">
        <w:rPr>
          <w:bCs/>
        </w:rPr>
        <w:t xml:space="preserve">un iesniegt EK </w:t>
      </w:r>
      <w:r w:rsidR="008C1137">
        <w:rPr>
          <w:bCs/>
        </w:rPr>
        <w:t xml:space="preserve">indikatīvi 2016.gada </w:t>
      </w:r>
      <w:r w:rsidR="00231B89">
        <w:rPr>
          <w:bCs/>
        </w:rPr>
        <w:t>martā</w:t>
      </w:r>
      <w:r w:rsidR="008C1137">
        <w:rPr>
          <w:bCs/>
        </w:rPr>
        <w:t>.</w:t>
      </w:r>
    </w:p>
    <w:p w14:paraId="51F65763" w14:textId="72836420" w:rsidR="00D65094" w:rsidRDefault="00D65094">
      <w:pPr>
        <w:rPr>
          <w:bCs/>
        </w:rPr>
      </w:pPr>
      <w:r>
        <w:rPr>
          <w:bCs/>
        </w:rPr>
        <w:br w:type="page"/>
      </w:r>
    </w:p>
    <w:p w14:paraId="35A526CC" w14:textId="77777777" w:rsidR="00D65094" w:rsidRPr="00CE1D85" w:rsidRDefault="00D65094" w:rsidP="0043054F">
      <w:pPr>
        <w:spacing w:before="120" w:after="120" w:line="276" w:lineRule="auto"/>
        <w:jc w:val="both"/>
        <w:rPr>
          <w:rFonts w:eastAsia="Times New Roman"/>
          <w:szCs w:val="24"/>
        </w:rPr>
      </w:pPr>
    </w:p>
    <w:p w14:paraId="38D43012" w14:textId="47F36257" w:rsidR="009C0862" w:rsidRPr="00D55E09" w:rsidRDefault="009C0862" w:rsidP="00ED7675">
      <w:pPr>
        <w:pStyle w:val="2lmenis"/>
      </w:pPr>
      <w:bookmarkStart w:id="26" w:name="_Toc443658864"/>
      <w:r w:rsidRPr="00D55E09">
        <w:t>Valsts budžeta izdevumi 2014.-2020.gada plānošanas periodam</w:t>
      </w:r>
      <w:bookmarkEnd w:id="26"/>
    </w:p>
    <w:p w14:paraId="1B57686A" w14:textId="653F8ED3" w:rsidR="0026198E" w:rsidRPr="00D55E09" w:rsidRDefault="00413C83" w:rsidP="009C0862">
      <w:pPr>
        <w:spacing w:line="276" w:lineRule="auto"/>
        <w:jc w:val="both"/>
        <w:rPr>
          <w:rFonts w:eastAsia="Times New Roman" w:cs="Times New Roman"/>
          <w:i/>
          <w:color w:val="000000"/>
          <w:szCs w:val="24"/>
        </w:rPr>
      </w:pPr>
      <w:r>
        <w:rPr>
          <w:rFonts w:eastAsia="Times New Roman" w:cs="Times New Roman"/>
          <w:color w:val="000000"/>
          <w:szCs w:val="24"/>
        </w:rPr>
        <w:t>Grafiks Nr.1</w:t>
      </w:r>
      <w:r w:rsidR="00942E5A">
        <w:rPr>
          <w:rFonts w:eastAsia="Times New Roman" w:cs="Times New Roman"/>
          <w:color w:val="000000"/>
          <w:szCs w:val="24"/>
        </w:rPr>
        <w:t>6</w:t>
      </w:r>
      <w:r w:rsidR="0026198E" w:rsidRPr="00D55E09">
        <w:rPr>
          <w:rFonts w:eastAsia="Times New Roman" w:cs="Times New Roman"/>
          <w:color w:val="000000"/>
          <w:szCs w:val="24"/>
        </w:rPr>
        <w:t xml:space="preserve"> </w:t>
      </w:r>
      <w:r w:rsidR="0026198E" w:rsidRPr="00D55E09">
        <w:rPr>
          <w:rFonts w:eastAsia="Times New Roman" w:cs="Times New Roman"/>
          <w:i/>
          <w:color w:val="000000"/>
          <w:szCs w:val="24"/>
        </w:rPr>
        <w:t>„Izdevumu plūsma 2014.-202</w:t>
      </w:r>
      <w:r w:rsidR="00D55E09" w:rsidRPr="00D55E09">
        <w:rPr>
          <w:rFonts w:eastAsia="Times New Roman" w:cs="Times New Roman"/>
          <w:i/>
          <w:color w:val="000000"/>
          <w:szCs w:val="24"/>
        </w:rPr>
        <w:t>0. gada plānošanas periodā, 2016.gada 18.janvāra</w:t>
      </w:r>
      <w:r w:rsidR="0026198E" w:rsidRPr="00D55E09">
        <w:rPr>
          <w:rFonts w:eastAsia="Times New Roman" w:cs="Times New Roman"/>
          <w:i/>
          <w:color w:val="000000"/>
          <w:szCs w:val="24"/>
        </w:rPr>
        <w:t xml:space="preserve"> dati, milj. euro ”</w:t>
      </w:r>
    </w:p>
    <w:p w14:paraId="648C239B" w14:textId="2E077399" w:rsidR="00D55E09" w:rsidRPr="00D55E09" w:rsidRDefault="00106F3A" w:rsidP="00DC6335">
      <w:pPr>
        <w:spacing w:line="276" w:lineRule="auto"/>
        <w:jc w:val="center"/>
        <w:rPr>
          <w:rFonts w:eastAsia="Times New Roman" w:cs="Times New Roman"/>
          <w:color w:val="000000"/>
          <w:szCs w:val="24"/>
          <w:highlight w:val="yellow"/>
        </w:rPr>
      </w:pPr>
      <w:r w:rsidRPr="003F76BB">
        <w:rPr>
          <w:rFonts w:eastAsia="Times New Roman" w:cs="Times New Roman"/>
          <w:noProof/>
          <w:color w:val="000000"/>
          <w:szCs w:val="24"/>
          <w:lang w:eastAsia="lv-LV"/>
        </w:rPr>
        <w:drawing>
          <wp:inline distT="0" distB="0" distL="0" distR="0" wp14:anchorId="62AF4626" wp14:editId="68A603F9">
            <wp:extent cx="5724400" cy="3288691"/>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32706" cy="3293463"/>
                    </a:xfrm>
                    <a:prstGeom prst="rect">
                      <a:avLst/>
                    </a:prstGeom>
                    <a:noFill/>
                  </pic:spPr>
                </pic:pic>
              </a:graphicData>
            </a:graphic>
          </wp:inline>
        </w:drawing>
      </w:r>
    </w:p>
    <w:p w14:paraId="5A5BDAD0" w14:textId="60EA217D" w:rsidR="00106F3A" w:rsidRDefault="00106F3A" w:rsidP="00106F3A">
      <w:pPr>
        <w:spacing w:before="120" w:after="120" w:line="276" w:lineRule="auto"/>
        <w:jc w:val="both"/>
        <w:rPr>
          <w:rFonts w:eastAsia="Times New Roman" w:cs="Times New Roman"/>
          <w:color w:val="000000"/>
          <w:szCs w:val="24"/>
        </w:rPr>
      </w:pPr>
      <w:r>
        <w:rPr>
          <w:rFonts w:eastAsia="Times New Roman" w:cs="Times New Roman"/>
          <w:color w:val="000000"/>
          <w:szCs w:val="24"/>
        </w:rPr>
        <w:t>Salīdzinot ar datiem 2015.gada vidū, i</w:t>
      </w:r>
      <w:r w:rsidRPr="003D1940">
        <w:rPr>
          <w:rFonts w:eastAsia="Times New Roman" w:cs="Times New Roman"/>
          <w:color w:val="000000"/>
          <w:szCs w:val="24"/>
        </w:rPr>
        <w:t>zdevumu prognoze 201</w:t>
      </w:r>
      <w:r>
        <w:rPr>
          <w:rFonts w:eastAsia="Times New Roman" w:cs="Times New Roman"/>
          <w:color w:val="000000"/>
          <w:szCs w:val="24"/>
        </w:rPr>
        <w:t xml:space="preserve">6.gadam ievērojami pasliktinās, ir </w:t>
      </w:r>
      <w:r w:rsidRPr="003D1940">
        <w:rPr>
          <w:rFonts w:eastAsia="Times New Roman" w:cs="Times New Roman"/>
          <w:color w:val="000000"/>
          <w:szCs w:val="24"/>
        </w:rPr>
        <w:t>kavēta investīciju pasākumu uzsākšana</w:t>
      </w:r>
      <w:r>
        <w:rPr>
          <w:rFonts w:eastAsia="Times New Roman" w:cs="Times New Roman"/>
          <w:color w:val="000000"/>
          <w:szCs w:val="24"/>
        </w:rPr>
        <w:t>. Atbilstoši aktuālajām budžeta prognozēm N+3 principa un s</w:t>
      </w:r>
      <w:r w:rsidRPr="00106F3A">
        <w:rPr>
          <w:rFonts w:eastAsia="Times New Roman" w:cs="Times New Roman"/>
          <w:color w:val="000000"/>
          <w:szCs w:val="24"/>
        </w:rPr>
        <w:t>nieguma</w:t>
      </w:r>
      <w:r>
        <w:rPr>
          <w:rFonts w:eastAsia="Times New Roman" w:cs="Times New Roman"/>
          <w:color w:val="000000"/>
          <w:szCs w:val="24"/>
        </w:rPr>
        <w:t xml:space="preserve"> </w:t>
      </w:r>
      <w:r w:rsidRPr="00106F3A">
        <w:rPr>
          <w:rFonts w:eastAsia="Times New Roman" w:cs="Times New Roman"/>
          <w:color w:val="000000"/>
          <w:szCs w:val="24"/>
        </w:rPr>
        <w:t>ietvara</w:t>
      </w:r>
      <w:r>
        <w:rPr>
          <w:rFonts w:eastAsia="Times New Roman" w:cs="Times New Roman"/>
          <w:color w:val="000000"/>
          <w:szCs w:val="24"/>
        </w:rPr>
        <w:t xml:space="preserve"> </w:t>
      </w:r>
      <w:r w:rsidRPr="00106F3A">
        <w:rPr>
          <w:rFonts w:eastAsia="Times New Roman" w:cs="Times New Roman"/>
          <w:color w:val="000000"/>
          <w:szCs w:val="24"/>
        </w:rPr>
        <w:t>2018.gada</w:t>
      </w:r>
      <w:r>
        <w:rPr>
          <w:rFonts w:eastAsia="Times New Roman" w:cs="Times New Roman"/>
          <w:color w:val="000000"/>
          <w:szCs w:val="24"/>
        </w:rPr>
        <w:t xml:space="preserve"> </w:t>
      </w:r>
      <w:r w:rsidRPr="00106F3A">
        <w:rPr>
          <w:rFonts w:eastAsia="Times New Roman" w:cs="Times New Roman"/>
          <w:color w:val="000000"/>
          <w:szCs w:val="24"/>
        </w:rPr>
        <w:t>beigu</w:t>
      </w:r>
      <w:r>
        <w:rPr>
          <w:rFonts w:eastAsia="Times New Roman" w:cs="Times New Roman"/>
          <w:color w:val="000000"/>
          <w:szCs w:val="24"/>
        </w:rPr>
        <w:t xml:space="preserve"> </w:t>
      </w:r>
      <w:r w:rsidRPr="00106F3A">
        <w:rPr>
          <w:rFonts w:eastAsia="Times New Roman" w:cs="Times New Roman"/>
          <w:color w:val="000000"/>
          <w:szCs w:val="24"/>
        </w:rPr>
        <w:t>finanšu</w:t>
      </w:r>
      <w:r>
        <w:rPr>
          <w:rFonts w:eastAsia="Times New Roman" w:cs="Times New Roman"/>
          <w:color w:val="000000"/>
          <w:szCs w:val="24"/>
        </w:rPr>
        <w:t xml:space="preserve"> </w:t>
      </w:r>
      <w:r w:rsidRPr="00106F3A">
        <w:rPr>
          <w:rFonts w:eastAsia="Times New Roman" w:cs="Times New Roman"/>
          <w:color w:val="000000"/>
          <w:szCs w:val="24"/>
        </w:rPr>
        <w:t>mērķu</w:t>
      </w:r>
      <w:r>
        <w:rPr>
          <w:rFonts w:eastAsia="Times New Roman" w:cs="Times New Roman"/>
          <w:color w:val="000000"/>
          <w:szCs w:val="24"/>
        </w:rPr>
        <w:t xml:space="preserve"> ievērošanā nepastāv kritiski riski</w:t>
      </w:r>
      <w:r w:rsidR="00AA01BF">
        <w:rPr>
          <w:rFonts w:eastAsia="Times New Roman" w:cs="Times New Roman"/>
          <w:color w:val="000000"/>
          <w:szCs w:val="24"/>
        </w:rPr>
        <w:t>, kas norādītu uz ES fondu finansējuma zaudēšanu</w:t>
      </w:r>
      <w:r>
        <w:rPr>
          <w:rFonts w:eastAsia="Times New Roman" w:cs="Times New Roman"/>
          <w:color w:val="000000"/>
          <w:szCs w:val="24"/>
        </w:rPr>
        <w:t>.</w:t>
      </w:r>
    </w:p>
    <w:p w14:paraId="5C7AFF65" w14:textId="15E4E15B" w:rsidR="00E26450" w:rsidRDefault="00875EBC" w:rsidP="00CE1D85">
      <w:pPr>
        <w:spacing w:before="120" w:after="120" w:line="276" w:lineRule="auto"/>
        <w:jc w:val="both"/>
        <w:rPr>
          <w:rFonts w:eastAsia="Times New Roman" w:cs="Times New Roman"/>
          <w:color w:val="000000"/>
          <w:szCs w:val="24"/>
        </w:rPr>
      </w:pPr>
      <w:r w:rsidRPr="00875EBC">
        <w:rPr>
          <w:rFonts w:eastAsia="Times New Roman" w:cs="Times New Roman"/>
          <w:color w:val="000000"/>
          <w:szCs w:val="24"/>
        </w:rPr>
        <w:t>2014.-2020.gadu plānošanas perioda ietvaros 2015.gadā līdz 31.decembrim ES fondu valsts budžeta izdevumu plāna neizpilde ir 0,1 milj.</w:t>
      </w:r>
      <w:r>
        <w:rPr>
          <w:rFonts w:eastAsia="Times New Roman" w:cs="Times New Roman"/>
          <w:color w:val="000000"/>
          <w:szCs w:val="24"/>
        </w:rPr>
        <w:t xml:space="preserve"> </w:t>
      </w:r>
      <w:r w:rsidRPr="00D04D5E">
        <w:rPr>
          <w:rFonts w:eastAsia="Times New Roman" w:cs="Times New Roman"/>
          <w:i/>
          <w:color w:val="000000"/>
          <w:szCs w:val="24"/>
        </w:rPr>
        <w:t>euro</w:t>
      </w:r>
      <w:r>
        <w:rPr>
          <w:rFonts w:eastAsia="Times New Roman" w:cs="Times New Roman"/>
          <w:color w:val="000000"/>
          <w:szCs w:val="24"/>
        </w:rPr>
        <w:t xml:space="preserve"> jeb 0,1% no perioda plāna, izpilde 127,4 milj. </w:t>
      </w:r>
      <w:r>
        <w:rPr>
          <w:rFonts w:eastAsia="Times New Roman" w:cs="Times New Roman"/>
          <w:i/>
          <w:color w:val="000000"/>
          <w:szCs w:val="24"/>
        </w:rPr>
        <w:t>euro</w:t>
      </w:r>
      <w:r>
        <w:rPr>
          <w:rFonts w:eastAsia="Times New Roman" w:cs="Times New Roman"/>
          <w:color w:val="000000"/>
          <w:szCs w:val="24"/>
        </w:rPr>
        <w:t>.</w:t>
      </w:r>
      <w:r w:rsidR="00E26450">
        <w:rPr>
          <w:rFonts w:eastAsia="Times New Roman" w:cs="Times New Roman"/>
          <w:color w:val="000000"/>
          <w:szCs w:val="24"/>
        </w:rPr>
        <w:t>,</w:t>
      </w:r>
      <w:r w:rsidRPr="00875EBC">
        <w:rPr>
          <w:rFonts w:eastAsia="Times New Roman" w:cs="Times New Roman"/>
          <w:color w:val="000000"/>
          <w:szCs w:val="24"/>
        </w:rPr>
        <w:t xml:space="preserve"> izpildīti 99,9% no gada plāna.</w:t>
      </w:r>
      <w:r w:rsidR="00E26450" w:rsidRPr="00E26450">
        <w:rPr>
          <w:rFonts w:eastAsia="Times New Roman" w:cs="Times New Roman"/>
          <w:color w:val="000000"/>
          <w:szCs w:val="24"/>
        </w:rPr>
        <w:t xml:space="preserve"> </w:t>
      </w:r>
      <w:r w:rsidR="00E26450">
        <w:rPr>
          <w:rFonts w:eastAsia="Times New Roman" w:cs="Times New Roman"/>
          <w:color w:val="000000"/>
          <w:szCs w:val="24"/>
        </w:rPr>
        <w:t>Būtiskas neizpildes nav konstatētas.</w:t>
      </w:r>
    </w:p>
    <w:p w14:paraId="71D5D61A" w14:textId="6C861D04" w:rsidR="00875EBC" w:rsidRDefault="00E26450" w:rsidP="00CE1D85">
      <w:pPr>
        <w:spacing w:before="120" w:after="120" w:line="276" w:lineRule="auto"/>
        <w:jc w:val="both"/>
        <w:rPr>
          <w:rFonts w:eastAsia="Times New Roman" w:cs="Times New Roman"/>
          <w:color w:val="000000"/>
          <w:szCs w:val="24"/>
        </w:rPr>
      </w:pPr>
      <w:r>
        <w:rPr>
          <w:rFonts w:eastAsia="Times New Roman" w:cs="Times New Roman"/>
          <w:color w:val="000000"/>
          <w:szCs w:val="24"/>
        </w:rPr>
        <w:t>2015.gad</w:t>
      </w:r>
      <w:r w:rsidR="00855ACD">
        <w:rPr>
          <w:rFonts w:eastAsia="Times New Roman" w:cs="Times New Roman"/>
          <w:color w:val="000000"/>
          <w:szCs w:val="24"/>
        </w:rPr>
        <w:t>ā kopā veikt</w:t>
      </w:r>
      <w:r w:rsidR="006F4721">
        <w:rPr>
          <w:rFonts w:eastAsia="Times New Roman" w:cs="Times New Roman"/>
          <w:color w:val="000000"/>
          <w:szCs w:val="24"/>
        </w:rPr>
        <w:t>as</w:t>
      </w:r>
      <w:r w:rsidR="00855ACD">
        <w:rPr>
          <w:rFonts w:eastAsia="Times New Roman" w:cs="Times New Roman"/>
          <w:color w:val="000000"/>
          <w:szCs w:val="24"/>
        </w:rPr>
        <w:t xml:space="preserve"> investīcijas gandrīz </w:t>
      </w:r>
      <w:r w:rsidR="00770C59">
        <w:rPr>
          <w:rFonts w:eastAsia="Times New Roman" w:cs="Times New Roman"/>
          <w:color w:val="000000"/>
          <w:szCs w:val="24"/>
        </w:rPr>
        <w:t xml:space="preserve">divreiz </w:t>
      </w:r>
      <w:r w:rsidR="00855ACD">
        <w:rPr>
          <w:rFonts w:eastAsia="Times New Roman" w:cs="Times New Roman"/>
          <w:color w:val="000000"/>
          <w:szCs w:val="24"/>
        </w:rPr>
        <w:t>lielā</w:t>
      </w:r>
      <w:r w:rsidR="006F4721">
        <w:rPr>
          <w:rFonts w:eastAsia="Times New Roman" w:cs="Times New Roman"/>
          <w:color w:val="000000"/>
          <w:szCs w:val="24"/>
        </w:rPr>
        <w:t>kā apmērā nekā bija prognozēts,</w:t>
      </w:r>
      <w:r>
        <w:rPr>
          <w:rFonts w:eastAsia="Times New Roman" w:cs="Times New Roman"/>
          <w:color w:val="000000"/>
          <w:szCs w:val="24"/>
        </w:rPr>
        <w:t xml:space="preserve"> </w:t>
      </w:r>
      <w:r w:rsidR="006F4721">
        <w:rPr>
          <w:rFonts w:eastAsia="Times New Roman" w:cs="Times New Roman"/>
          <w:color w:val="000000"/>
          <w:szCs w:val="24"/>
        </w:rPr>
        <w:t>galvenokārt saistībā ar</w:t>
      </w:r>
      <w:r>
        <w:rPr>
          <w:rFonts w:eastAsia="Times New Roman" w:cs="Times New Roman"/>
          <w:color w:val="000000"/>
          <w:szCs w:val="24"/>
        </w:rPr>
        <w:t xml:space="preserve"> SM v</w:t>
      </w:r>
      <w:r w:rsidRPr="00875EBC">
        <w:rPr>
          <w:rFonts w:eastAsia="Times New Roman" w:cs="Times New Roman"/>
          <w:color w:val="000000"/>
          <w:szCs w:val="24"/>
        </w:rPr>
        <w:t>alsts gal</w:t>
      </w:r>
      <w:r>
        <w:rPr>
          <w:rFonts w:eastAsia="Times New Roman" w:cs="Times New Roman"/>
          <w:color w:val="000000"/>
          <w:szCs w:val="24"/>
        </w:rPr>
        <w:t xml:space="preserve">veno un reģionālo ceļu projektu </w:t>
      </w:r>
      <w:r w:rsidR="00855ACD">
        <w:rPr>
          <w:rFonts w:eastAsia="Times New Roman" w:cs="Times New Roman"/>
          <w:color w:val="000000"/>
          <w:szCs w:val="24"/>
        </w:rPr>
        <w:t>intensīvu ieviešanas periodu un sekmīgu būvniecības sezonu</w:t>
      </w:r>
      <w:r>
        <w:rPr>
          <w:rFonts w:eastAsia="Times New Roman" w:cs="Times New Roman"/>
          <w:color w:val="000000"/>
          <w:szCs w:val="24"/>
        </w:rPr>
        <w:t>.</w:t>
      </w:r>
    </w:p>
    <w:p w14:paraId="45CA5FDF" w14:textId="7B1CAB96" w:rsidR="009C0862" w:rsidRPr="005B6B68" w:rsidRDefault="009C0862" w:rsidP="004D147C">
      <w:pPr>
        <w:pStyle w:val="1lmenis"/>
      </w:pPr>
      <w:bookmarkStart w:id="27" w:name="_Toc443658865"/>
      <w:r w:rsidRPr="005B6B68">
        <w:t>ES fondu ieviešanas, vadības, kontroles un uzraudzības sistēmas darbība un pasākumi tās pilnveidošanai ES fondu 2007.-2013. un 2014.-2020.gada plānošanas periodiem</w:t>
      </w:r>
      <w:bookmarkEnd w:id="27"/>
    </w:p>
    <w:p w14:paraId="6DD6CAF8" w14:textId="1D3DBBBF" w:rsidR="009C0862" w:rsidRPr="003F76BB" w:rsidRDefault="009C0862" w:rsidP="00DC6335">
      <w:pPr>
        <w:pStyle w:val="ListParagraph"/>
        <w:numPr>
          <w:ilvl w:val="6"/>
          <w:numId w:val="16"/>
        </w:numPr>
        <w:spacing w:before="120" w:after="120" w:line="276" w:lineRule="auto"/>
        <w:ind w:left="0" w:firstLine="0"/>
        <w:rPr>
          <w:rFonts w:eastAsia="Times New Roman" w:cs="Times New Roman"/>
          <w:b/>
          <w:szCs w:val="24"/>
        </w:rPr>
      </w:pPr>
      <w:r w:rsidRPr="003F76BB">
        <w:rPr>
          <w:rFonts w:eastAsia="Times New Roman" w:cs="Times New Roman"/>
          <w:b/>
          <w:szCs w:val="24"/>
        </w:rPr>
        <w:t xml:space="preserve">Attiecībā uz </w:t>
      </w:r>
      <w:r w:rsidRPr="003F76BB">
        <w:rPr>
          <w:rFonts w:eastAsia="Times New Roman" w:cs="Times New Roman"/>
          <w:b/>
          <w:szCs w:val="24"/>
          <w:u w:val="single"/>
        </w:rPr>
        <w:t>ES fondu 2</w:t>
      </w:r>
      <w:r w:rsidR="00350726" w:rsidRPr="003F76BB">
        <w:rPr>
          <w:rFonts w:eastAsia="Times New Roman" w:cs="Times New Roman"/>
          <w:b/>
          <w:szCs w:val="24"/>
          <w:u w:val="single"/>
        </w:rPr>
        <w:t>007.2013.gada plānošanas periodu</w:t>
      </w:r>
      <w:r w:rsidR="00AB1865" w:rsidRPr="003F76BB">
        <w:rPr>
          <w:rFonts w:eastAsia="Times New Roman" w:cs="Times New Roman"/>
          <w:b/>
          <w:szCs w:val="24"/>
        </w:rPr>
        <w:t xml:space="preserve"> veiktie pasākumi ES fondu vadības un kontroles sistēmas pilnveidošanai</w:t>
      </w:r>
      <w:r w:rsidRPr="003F76BB">
        <w:rPr>
          <w:rFonts w:eastAsia="Times New Roman" w:cs="Times New Roman"/>
          <w:b/>
          <w:szCs w:val="24"/>
        </w:rPr>
        <w:t>:</w:t>
      </w:r>
    </w:p>
    <w:p w14:paraId="64357BCF" w14:textId="77777777" w:rsidR="009C0862" w:rsidRPr="003F76BB" w:rsidRDefault="009C0862" w:rsidP="003F76BB">
      <w:pPr>
        <w:autoSpaceDE w:val="0"/>
        <w:autoSpaceDN w:val="0"/>
        <w:adjustRightInd w:val="0"/>
        <w:spacing w:before="120" w:after="120" w:line="276" w:lineRule="auto"/>
        <w:jc w:val="both"/>
        <w:rPr>
          <w:b/>
          <w:bCs/>
        </w:rPr>
      </w:pPr>
      <w:r w:rsidRPr="003F76BB">
        <w:rPr>
          <w:b/>
          <w:bCs/>
        </w:rPr>
        <w:t>Normatīvās bāzes stiprināšana ES fondu ieviešanā</w:t>
      </w:r>
    </w:p>
    <w:p w14:paraId="72DBADCE" w14:textId="61280294" w:rsidR="009C0862" w:rsidRPr="00907F13" w:rsidRDefault="009C0862" w:rsidP="009C0862">
      <w:pPr>
        <w:autoSpaceDE w:val="0"/>
        <w:autoSpaceDN w:val="0"/>
        <w:adjustRightInd w:val="0"/>
        <w:spacing w:before="120" w:after="120" w:line="276" w:lineRule="auto"/>
        <w:ind w:left="360"/>
        <w:jc w:val="both"/>
        <w:rPr>
          <w:sz w:val="23"/>
          <w:szCs w:val="23"/>
          <w:highlight w:val="yellow"/>
        </w:rPr>
      </w:pPr>
      <w:r w:rsidRPr="00A7719C">
        <w:rPr>
          <w:i/>
          <w:sz w:val="23"/>
          <w:szCs w:val="23"/>
        </w:rPr>
        <w:t xml:space="preserve">Grozījumi MK 2010.gada </w:t>
      </w:r>
      <w:r w:rsidR="00A7719C" w:rsidRPr="00A7719C">
        <w:rPr>
          <w:i/>
          <w:sz w:val="23"/>
          <w:szCs w:val="23"/>
        </w:rPr>
        <w:t>16</w:t>
      </w:r>
      <w:r w:rsidRPr="00A7719C">
        <w:rPr>
          <w:i/>
          <w:sz w:val="23"/>
          <w:szCs w:val="23"/>
        </w:rPr>
        <w:t>.</w:t>
      </w:r>
      <w:r w:rsidR="00A7719C" w:rsidRPr="00A7719C">
        <w:rPr>
          <w:i/>
          <w:sz w:val="23"/>
          <w:szCs w:val="23"/>
        </w:rPr>
        <w:t xml:space="preserve">februāra </w:t>
      </w:r>
      <w:r w:rsidRPr="00A7719C">
        <w:rPr>
          <w:i/>
          <w:sz w:val="23"/>
          <w:szCs w:val="23"/>
        </w:rPr>
        <w:t>noteikumos Nr.</w:t>
      </w:r>
      <w:r w:rsidR="00A7719C" w:rsidRPr="00A7719C">
        <w:rPr>
          <w:i/>
          <w:sz w:val="23"/>
          <w:szCs w:val="23"/>
        </w:rPr>
        <w:t xml:space="preserve">140 </w:t>
      </w:r>
      <w:r w:rsidRPr="00A7719C">
        <w:rPr>
          <w:i/>
          <w:sz w:val="23"/>
          <w:szCs w:val="23"/>
        </w:rPr>
        <w:t>„</w:t>
      </w:r>
      <w:r w:rsidR="00A7719C" w:rsidRPr="00A7719C">
        <w:rPr>
          <w:i/>
          <w:sz w:val="23"/>
          <w:szCs w:val="23"/>
        </w:rPr>
        <w:t>Kārtība, kādā vadošā iestāde, sertifikācijas iestāde, sadarbības iestāde vai atbildīgā iestāde veic pārbaudi Eiropas Savienības struktūrfondu un Kohēzijas fonda finansētā projekta īstenošanas vietā</w:t>
      </w:r>
      <w:r w:rsidRPr="00A7719C">
        <w:rPr>
          <w:i/>
          <w:sz w:val="23"/>
          <w:szCs w:val="23"/>
        </w:rPr>
        <w:t>”</w:t>
      </w:r>
      <w:r w:rsidR="00A7719C">
        <w:rPr>
          <w:i/>
          <w:sz w:val="23"/>
          <w:szCs w:val="23"/>
        </w:rPr>
        <w:t>.</w:t>
      </w:r>
    </w:p>
    <w:p w14:paraId="176B770C" w14:textId="5FAE4D0C" w:rsidR="00E46CA1" w:rsidRDefault="00A7719C" w:rsidP="00E46CA1">
      <w:pPr>
        <w:autoSpaceDE w:val="0"/>
        <w:autoSpaceDN w:val="0"/>
        <w:adjustRightInd w:val="0"/>
        <w:spacing w:before="120" w:after="120" w:line="276" w:lineRule="auto"/>
        <w:jc w:val="both"/>
        <w:rPr>
          <w:sz w:val="23"/>
          <w:szCs w:val="23"/>
          <w:highlight w:val="yellow"/>
        </w:rPr>
      </w:pPr>
      <w:r>
        <w:rPr>
          <w:sz w:val="23"/>
          <w:szCs w:val="23"/>
        </w:rPr>
        <w:lastRenderedPageBreak/>
        <w:t xml:space="preserve">Ņemot vērā </w:t>
      </w:r>
      <w:r w:rsidRPr="00A7719C">
        <w:rPr>
          <w:sz w:val="23"/>
          <w:szCs w:val="23"/>
        </w:rPr>
        <w:t>2015.gada 7.jūlijā</w:t>
      </w:r>
      <w:r>
        <w:rPr>
          <w:sz w:val="23"/>
          <w:szCs w:val="23"/>
        </w:rPr>
        <w:t xml:space="preserve"> pieņemtos</w:t>
      </w:r>
      <w:r w:rsidRPr="00A7719C">
        <w:rPr>
          <w:sz w:val="23"/>
          <w:szCs w:val="23"/>
        </w:rPr>
        <w:t xml:space="preserve"> </w:t>
      </w:r>
      <w:r w:rsidR="001115EE">
        <w:rPr>
          <w:sz w:val="23"/>
          <w:szCs w:val="23"/>
        </w:rPr>
        <w:t>MK</w:t>
      </w:r>
      <w:r w:rsidR="00B64CF6" w:rsidRPr="00A7719C">
        <w:rPr>
          <w:sz w:val="23"/>
          <w:szCs w:val="23"/>
        </w:rPr>
        <w:t xml:space="preserve"> </w:t>
      </w:r>
      <w:r w:rsidRPr="00A7719C">
        <w:rPr>
          <w:sz w:val="23"/>
          <w:szCs w:val="23"/>
        </w:rPr>
        <w:t>noteikumus Nr.376 “Grozījumi Ministru kabineta 2010.gada 9.novembra noteikumos Nr.1041 "Kārtība, kādā paredzami valsts budžeta līdzekļi Eiropas Savienības struktūrfondu un Kohēzijas fonda līdzfinansēto projektu īstenošanai, kā arī maksājumu veikšanas un izdevumu deklarācijas sagatavošanas kārtība"”</w:t>
      </w:r>
      <w:r w:rsidR="00097978">
        <w:rPr>
          <w:sz w:val="23"/>
          <w:szCs w:val="23"/>
        </w:rPr>
        <w:t>,</w:t>
      </w:r>
      <w:r w:rsidR="00B64CF6">
        <w:rPr>
          <w:sz w:val="23"/>
          <w:szCs w:val="23"/>
        </w:rPr>
        <w:t xml:space="preserve"> </w:t>
      </w:r>
      <w:r w:rsidR="00B64CF6" w:rsidRPr="00CE1D85">
        <w:rPr>
          <w:sz w:val="23"/>
          <w:szCs w:val="23"/>
        </w:rPr>
        <w:t>ir</w:t>
      </w:r>
      <w:r w:rsidR="009C0862" w:rsidRPr="00CE1D85">
        <w:rPr>
          <w:sz w:val="23"/>
          <w:szCs w:val="23"/>
        </w:rPr>
        <w:t xml:space="preserve"> izstrādāts</w:t>
      </w:r>
      <w:r w:rsidR="009C0862" w:rsidRPr="00097978">
        <w:rPr>
          <w:sz w:val="23"/>
          <w:szCs w:val="23"/>
        </w:rPr>
        <w:t xml:space="preserve"> un</w:t>
      </w:r>
      <w:r w:rsidR="009C0862" w:rsidRPr="00097978">
        <w:rPr>
          <w:i/>
          <w:sz w:val="23"/>
          <w:szCs w:val="23"/>
        </w:rPr>
        <w:t xml:space="preserve"> </w:t>
      </w:r>
      <w:r w:rsidR="009C0862" w:rsidRPr="00097978">
        <w:rPr>
          <w:sz w:val="23"/>
          <w:szCs w:val="23"/>
        </w:rPr>
        <w:t xml:space="preserve">2015.gada </w:t>
      </w:r>
      <w:r w:rsidR="00097978" w:rsidRPr="00097978">
        <w:rPr>
          <w:sz w:val="23"/>
          <w:szCs w:val="23"/>
        </w:rPr>
        <w:t>5</w:t>
      </w:r>
      <w:r w:rsidR="009C0862" w:rsidRPr="00097978">
        <w:rPr>
          <w:sz w:val="23"/>
          <w:szCs w:val="23"/>
        </w:rPr>
        <w:t>.</w:t>
      </w:r>
      <w:r w:rsidR="00097978" w:rsidRPr="00097978">
        <w:rPr>
          <w:sz w:val="23"/>
          <w:szCs w:val="23"/>
        </w:rPr>
        <w:t>novembrī iesniegts MK izskatīšanai</w:t>
      </w:r>
      <w:r w:rsidR="009C0862" w:rsidRPr="00097978">
        <w:rPr>
          <w:sz w:val="23"/>
          <w:szCs w:val="23"/>
        </w:rPr>
        <w:t xml:space="preserve"> MK noteikumu projekts “</w:t>
      </w:r>
      <w:r w:rsidR="00097978" w:rsidRPr="00097978">
        <w:rPr>
          <w:sz w:val="23"/>
          <w:szCs w:val="23"/>
        </w:rPr>
        <w:t>Grozījumi Ministru kabineta 2010.gada 16.februāra noteikumos Nr.140 „Kārtība, kādā vadošā iestāde, sertifikācijas iestāde, sadarbības iestāde vai atbildīgā iestāde veic pārbaudi Eiropas Savienības struktūrfondu un Kohēzijas fonda finansētā projekta īstenošanas vietā</w:t>
      </w:r>
      <w:r w:rsidR="009C0862" w:rsidRPr="00097978">
        <w:rPr>
          <w:sz w:val="23"/>
          <w:szCs w:val="23"/>
        </w:rPr>
        <w:t>”</w:t>
      </w:r>
      <w:r w:rsidR="00600B4F" w:rsidRPr="00097978">
        <w:rPr>
          <w:sz w:val="23"/>
          <w:szCs w:val="23"/>
        </w:rPr>
        <w:t xml:space="preserve">. Minētais MK noteikumu projekts pieņemts MK 2015.gada </w:t>
      </w:r>
      <w:r w:rsidR="00097978" w:rsidRPr="00097978">
        <w:rPr>
          <w:sz w:val="23"/>
          <w:szCs w:val="23"/>
        </w:rPr>
        <w:t>1</w:t>
      </w:r>
      <w:r w:rsidR="00600B4F" w:rsidRPr="00097978">
        <w:rPr>
          <w:sz w:val="23"/>
          <w:szCs w:val="23"/>
        </w:rPr>
        <w:t>7.</w:t>
      </w:r>
      <w:r w:rsidR="00097978" w:rsidRPr="00097978">
        <w:rPr>
          <w:sz w:val="23"/>
          <w:szCs w:val="23"/>
        </w:rPr>
        <w:t xml:space="preserve">novembrī </w:t>
      </w:r>
      <w:r w:rsidR="00600B4F" w:rsidRPr="00097978">
        <w:rPr>
          <w:sz w:val="23"/>
          <w:szCs w:val="23"/>
        </w:rPr>
        <w:t>un</w:t>
      </w:r>
      <w:r w:rsidR="009C0862" w:rsidRPr="00097978">
        <w:rPr>
          <w:sz w:val="23"/>
          <w:szCs w:val="23"/>
        </w:rPr>
        <w:t xml:space="preserve"> stājās spēkā 2015.gada </w:t>
      </w:r>
      <w:r w:rsidR="00097978" w:rsidRPr="00097978">
        <w:rPr>
          <w:sz w:val="23"/>
          <w:szCs w:val="23"/>
        </w:rPr>
        <w:t>21</w:t>
      </w:r>
      <w:r w:rsidR="009C0862" w:rsidRPr="00097978">
        <w:rPr>
          <w:sz w:val="23"/>
          <w:szCs w:val="23"/>
        </w:rPr>
        <w:t>.</w:t>
      </w:r>
      <w:r w:rsidR="00097978" w:rsidRPr="00097978">
        <w:rPr>
          <w:sz w:val="23"/>
          <w:szCs w:val="23"/>
        </w:rPr>
        <w:t>novembrī</w:t>
      </w:r>
      <w:r w:rsidR="009C0862" w:rsidRPr="00097978">
        <w:rPr>
          <w:sz w:val="23"/>
          <w:szCs w:val="23"/>
        </w:rPr>
        <w:t>.</w:t>
      </w:r>
      <w:r w:rsidR="009C0862" w:rsidRPr="00907F13">
        <w:rPr>
          <w:sz w:val="23"/>
          <w:szCs w:val="23"/>
          <w:highlight w:val="yellow"/>
        </w:rPr>
        <w:t xml:space="preserve"> </w:t>
      </w:r>
      <w:r w:rsidR="00E46CA1" w:rsidRPr="00907F13">
        <w:rPr>
          <w:sz w:val="23"/>
          <w:szCs w:val="23"/>
          <w:highlight w:val="yellow"/>
        </w:rPr>
        <w:t xml:space="preserve"> </w:t>
      </w:r>
    </w:p>
    <w:p w14:paraId="57BAC99F" w14:textId="47395D64" w:rsidR="008B1B5C" w:rsidRPr="008B1B5C" w:rsidRDefault="008B1B5C" w:rsidP="008B1B5C">
      <w:pPr>
        <w:autoSpaceDE w:val="0"/>
        <w:autoSpaceDN w:val="0"/>
        <w:adjustRightInd w:val="0"/>
        <w:spacing w:before="120" w:after="120"/>
        <w:ind w:left="426"/>
        <w:jc w:val="both"/>
        <w:rPr>
          <w:i/>
          <w:szCs w:val="24"/>
        </w:rPr>
      </w:pPr>
      <w:r w:rsidRPr="008B1B5C">
        <w:rPr>
          <w:i/>
          <w:szCs w:val="24"/>
        </w:rPr>
        <w:t>2015.gada 23.decembrī ir aktualizēta vadošās iestādes metodika Nr.12.2. “Eiropas Savienības fondu vadošās iestādes metodika pārbaužu veikšanai Eiropas Savienības struktūrfondu un Kohēzijas fonda finansētā projekta īstenošanas vietā 2007. - 2013.gada plānošanas periodā”</w:t>
      </w:r>
    </w:p>
    <w:p w14:paraId="68B9818C" w14:textId="4C469938" w:rsidR="008B1B5C" w:rsidRPr="008B1B5C" w:rsidRDefault="008B1B5C" w:rsidP="008C24CE">
      <w:pPr>
        <w:autoSpaceDE w:val="0"/>
        <w:autoSpaceDN w:val="0"/>
        <w:adjustRightInd w:val="0"/>
        <w:spacing w:before="120" w:after="120" w:line="276" w:lineRule="auto"/>
        <w:jc w:val="both"/>
        <w:rPr>
          <w:bCs/>
          <w:szCs w:val="24"/>
        </w:rPr>
      </w:pPr>
      <w:r w:rsidRPr="008B1B5C">
        <w:rPr>
          <w:bCs/>
          <w:szCs w:val="24"/>
        </w:rPr>
        <w:t xml:space="preserve">Aktualizēšana saistīta ar 2015.gada 21.novembra grozījumiem MK </w:t>
      </w:r>
      <w:r w:rsidR="00C6746C" w:rsidRPr="00C6746C">
        <w:rPr>
          <w:bCs/>
          <w:szCs w:val="24"/>
        </w:rPr>
        <w:t xml:space="preserve">2010.gada 16.februāra </w:t>
      </w:r>
      <w:r w:rsidRPr="008B1B5C">
        <w:rPr>
          <w:bCs/>
          <w:szCs w:val="24"/>
        </w:rPr>
        <w:t xml:space="preserve">noteikumos Nr.140 “Kārtība, kādā vadošā iestāde, sertifikācijas iestāde, sadarbības iestāde vai atbildīgā iestāde veic pārbaudi Eiropas Savienības struktūrfondu un Kohēzijas fonda finansētā projekta īstenošanas vietā”, kuru ietvaros precizēta projektu riska līmeņa novērtēšanas kārtība, noteikts, ka pārbaudes projektu </w:t>
      </w:r>
      <w:proofErr w:type="spellStart"/>
      <w:r w:rsidRPr="008B1B5C">
        <w:rPr>
          <w:bCs/>
          <w:szCs w:val="24"/>
        </w:rPr>
        <w:t>pēcuzr</w:t>
      </w:r>
      <w:r w:rsidR="00C6746C">
        <w:rPr>
          <w:bCs/>
          <w:szCs w:val="24"/>
        </w:rPr>
        <w:t>a</w:t>
      </w:r>
      <w:r w:rsidRPr="008B1B5C">
        <w:rPr>
          <w:bCs/>
          <w:szCs w:val="24"/>
        </w:rPr>
        <w:t>udzības</w:t>
      </w:r>
      <w:proofErr w:type="spellEnd"/>
      <w:r w:rsidRPr="008B1B5C">
        <w:rPr>
          <w:bCs/>
          <w:szCs w:val="24"/>
        </w:rPr>
        <w:t xml:space="preserve"> periodā veic tikai tiem projektiem, kuru ietvaros ir veikti ieguldījumi infrastruktūrā un produktīvie darījumi (ja vien MK noteikumos par attiecīgo aktivitāti nav noteikts savādāk), precizēta nefunkcionējoša projekta definīcija (nacionālajā līmenī).</w:t>
      </w:r>
    </w:p>
    <w:p w14:paraId="6C29D684" w14:textId="525DE6CD" w:rsidR="009C0862" w:rsidRPr="00DC6335" w:rsidRDefault="009C0862" w:rsidP="00DC6335">
      <w:pPr>
        <w:autoSpaceDE w:val="0"/>
        <w:autoSpaceDN w:val="0"/>
        <w:adjustRightInd w:val="0"/>
        <w:spacing w:before="120" w:after="120" w:line="276" w:lineRule="auto"/>
        <w:jc w:val="both"/>
        <w:rPr>
          <w:b/>
          <w:bCs/>
        </w:rPr>
      </w:pPr>
      <w:r w:rsidRPr="00DC6335">
        <w:rPr>
          <w:b/>
          <w:bCs/>
        </w:rPr>
        <w:t>VI kontroļu un virsuzraudzības stiprināšana</w:t>
      </w:r>
    </w:p>
    <w:p w14:paraId="1C176796" w14:textId="58DD0805" w:rsidR="009C0862" w:rsidRPr="0012455A" w:rsidRDefault="009C0862" w:rsidP="009C0862">
      <w:pPr>
        <w:spacing w:before="120" w:after="120" w:line="276" w:lineRule="auto"/>
        <w:jc w:val="both"/>
        <w:rPr>
          <w:rFonts w:eastAsia="Times New Roman" w:cs="Times New Roman"/>
          <w:color w:val="000000"/>
        </w:rPr>
      </w:pPr>
      <w:r w:rsidRPr="0012455A">
        <w:rPr>
          <w:rFonts w:eastAsia="Times New Roman" w:cs="Times New Roman"/>
          <w:color w:val="000000"/>
        </w:rPr>
        <w:t>Pārskata periodā VI ir turpinājusi veikt deleģēto funkciju pārbaudes, kā arī pārbaudes projektu īstenošanas vietās. Uz informatīvā z</w:t>
      </w:r>
      <w:r w:rsidR="0012455A">
        <w:rPr>
          <w:rFonts w:eastAsia="Times New Roman" w:cs="Times New Roman"/>
          <w:color w:val="000000"/>
        </w:rPr>
        <w:t>iņojuma sagatavošanas brīdi 2015</w:t>
      </w:r>
      <w:r w:rsidRPr="0012455A">
        <w:rPr>
          <w:rFonts w:eastAsia="Times New Roman" w:cs="Times New Roman"/>
          <w:color w:val="000000"/>
        </w:rPr>
        <w:t>.gada pārbaužu cikla ietvaros ir noslēgušās visas plānotās deleģēto funkciju pārbaudes</w:t>
      </w:r>
      <w:r w:rsidR="0012455A">
        <w:rPr>
          <w:rFonts w:eastAsia="Times New Roman" w:cs="Times New Roman"/>
          <w:color w:val="000000"/>
        </w:rPr>
        <w:t xml:space="preserve"> 2007.-2013.gada plānošanas perioda ietvaros</w:t>
      </w:r>
      <w:r w:rsidRPr="0012455A">
        <w:rPr>
          <w:rFonts w:eastAsia="Times New Roman" w:cs="Times New Roman"/>
          <w:color w:val="000000"/>
        </w:rPr>
        <w:t xml:space="preserve">, t.i., </w:t>
      </w:r>
      <w:r w:rsidR="0012455A">
        <w:rPr>
          <w:rFonts w:eastAsia="Times New Roman" w:cs="Times New Roman"/>
          <w:color w:val="000000"/>
        </w:rPr>
        <w:t xml:space="preserve">gala </w:t>
      </w:r>
      <w:r w:rsidRPr="0012455A">
        <w:rPr>
          <w:rFonts w:eastAsia="Times New Roman" w:cs="Times New Roman"/>
          <w:color w:val="000000"/>
        </w:rPr>
        <w:t xml:space="preserve">pārbaudes veiktas </w:t>
      </w:r>
      <w:r w:rsidR="0012455A">
        <w:rPr>
          <w:rFonts w:eastAsia="Times New Roman" w:cs="Times New Roman"/>
          <w:color w:val="000000"/>
        </w:rPr>
        <w:t xml:space="preserve">VIAA, VRAA, VM, LIAA, kā arī veikta virkne pārbaužu projektu īstenošanas vietās ar mērķi gūt pārliecību par </w:t>
      </w:r>
      <w:r w:rsidR="00412A3D">
        <w:rPr>
          <w:rFonts w:eastAsia="Times New Roman" w:cs="Times New Roman"/>
          <w:color w:val="000000"/>
        </w:rPr>
        <w:t>projektu īstenošanu atbilstoši sākotnēji noteiktajiem mērķiem, par rezultatīvo rādītāju sasniegšanu, kā arī radīto vērtību atbilstošu uzturēšanu un ilgtspēju pēc projektu pabeigšanas. Šobrīd attiecībā uz 2007.-2013.gada plānošanas periodu ir ieplānotas atsevišķas administratīvās pārbaudes, lai gūtu pārliecību par atsevišķu auditu ieteikumu atbilstošu ieviešanu</w:t>
      </w:r>
      <w:r w:rsidR="006B14F3">
        <w:rPr>
          <w:rFonts w:eastAsia="Times New Roman" w:cs="Times New Roman"/>
          <w:color w:val="000000"/>
        </w:rPr>
        <w:t>, un finanšu instrumentu aktivitāšu ietvaros gūt pārliecību, ka n</w:t>
      </w:r>
      <w:r w:rsidR="006B14F3" w:rsidRPr="006B14F3">
        <w:rPr>
          <w:rFonts w:eastAsia="Times New Roman" w:cs="Times New Roman"/>
          <w:color w:val="000000"/>
        </w:rPr>
        <w:t>oslēdzot 2007.-2013.gadu plānošanas periodu, finanšu instrumentos pieejamais finansējums ir izmantots atbilstoši mērķim</w:t>
      </w:r>
      <w:r w:rsidR="00B62AEC">
        <w:rPr>
          <w:rFonts w:eastAsia="Times New Roman" w:cs="Times New Roman"/>
          <w:color w:val="000000"/>
        </w:rPr>
        <w:t xml:space="preserve"> </w:t>
      </w:r>
      <w:r w:rsidR="006B14F3" w:rsidRPr="006B14F3">
        <w:rPr>
          <w:rFonts w:eastAsia="Times New Roman" w:cs="Times New Roman"/>
          <w:color w:val="000000"/>
        </w:rPr>
        <w:t xml:space="preserve">un </w:t>
      </w:r>
      <w:r w:rsidR="006B14F3">
        <w:rPr>
          <w:rFonts w:eastAsia="Times New Roman" w:cs="Times New Roman"/>
          <w:color w:val="000000"/>
        </w:rPr>
        <w:t xml:space="preserve">ir </w:t>
      </w:r>
      <w:r w:rsidR="006B14F3" w:rsidRPr="006B14F3">
        <w:rPr>
          <w:rFonts w:eastAsia="Times New Roman" w:cs="Times New Roman"/>
          <w:color w:val="000000"/>
        </w:rPr>
        <w:t>ievērotas prasības vadības izmaksu piemērošanā</w:t>
      </w:r>
      <w:r w:rsidR="006B14F3">
        <w:rPr>
          <w:rFonts w:eastAsia="Times New Roman" w:cs="Times New Roman"/>
          <w:color w:val="000000"/>
        </w:rPr>
        <w:t>.</w:t>
      </w:r>
    </w:p>
    <w:p w14:paraId="5EF8F953" w14:textId="12603A8D" w:rsidR="009C0862" w:rsidRPr="00B62AEC" w:rsidRDefault="009C0862" w:rsidP="009C0862">
      <w:pPr>
        <w:spacing w:before="120" w:after="120" w:line="276" w:lineRule="auto"/>
        <w:jc w:val="both"/>
        <w:rPr>
          <w:rFonts w:eastAsia="Times New Roman" w:cs="Times New Roman"/>
        </w:rPr>
      </w:pPr>
      <w:r w:rsidRPr="00B62AEC">
        <w:rPr>
          <w:rFonts w:eastAsia="Times New Roman" w:cs="Times New Roman"/>
        </w:rPr>
        <w:t xml:space="preserve">Ņemot vērā gan auditos (RI, EK), gan pārbaudēs konstatētos trūkumus, gan AI/SI jautājumus vai neskaidrības par atsevišķu procesu nodrošināšanu vai konkrētu gadījumu risinājumiem, VI turpina aktualizēt un apstiprināt virkni metodisko un skaidrojošo materiālu ES fondu vadībā iesaistītajām iestādēm, kas izstrādāti un regulāri tiek precizēti un papildināti ar mērķi nodrošināt vienotu praksi starp iestādēm un mazināt neatbilstoši veikto izdevumu rašanās risku. </w:t>
      </w:r>
    </w:p>
    <w:p w14:paraId="1081D58C" w14:textId="0794A18B" w:rsidR="009C0862" w:rsidRPr="006B14F3" w:rsidRDefault="009C0862" w:rsidP="009C0862">
      <w:pPr>
        <w:spacing w:before="120" w:after="120" w:line="276" w:lineRule="auto"/>
        <w:jc w:val="both"/>
        <w:rPr>
          <w:rFonts w:eastAsia="Times New Roman" w:cs="Times New Roman"/>
          <w:color w:val="000000"/>
        </w:rPr>
      </w:pPr>
      <w:r w:rsidRPr="006B14F3">
        <w:rPr>
          <w:rFonts w:eastAsia="Times New Roman" w:cs="Times New Roman"/>
          <w:color w:val="000000"/>
        </w:rPr>
        <w:t>Ievērojot šajā periodā pabeigto pārbaužu rezultātus, VI ir guvusi pārliecību, ka kopumā AI un SI 200</w:t>
      </w:r>
      <w:r w:rsidR="006B14F3">
        <w:rPr>
          <w:rFonts w:eastAsia="Times New Roman" w:cs="Times New Roman"/>
          <w:color w:val="000000"/>
        </w:rPr>
        <w:t xml:space="preserve">7.-2013.gada plānošanas periodā, </w:t>
      </w:r>
      <w:r w:rsidRPr="006B14F3">
        <w:rPr>
          <w:rFonts w:eastAsia="Times New Roman" w:cs="Times New Roman"/>
          <w:color w:val="000000"/>
        </w:rPr>
        <w:t xml:space="preserve">saskaņā ar Regulas Nr.1083/2006 59.panta otro </w:t>
      </w:r>
      <w:r w:rsidRPr="006B14F3">
        <w:rPr>
          <w:rFonts w:eastAsia="Times New Roman" w:cs="Times New Roman"/>
          <w:color w:val="000000"/>
        </w:rPr>
        <w:lastRenderedPageBreak/>
        <w:t xml:space="preserve">punktu un 60.pantu deleģētās funkcijas pilda atbilstošā kvalitātē, vadības un kontroles sistēma </w:t>
      </w:r>
      <w:r w:rsidR="006B14F3">
        <w:rPr>
          <w:rFonts w:eastAsia="Times New Roman" w:cs="Times New Roman"/>
          <w:color w:val="000000"/>
        </w:rPr>
        <w:t xml:space="preserve">kopumā </w:t>
      </w:r>
      <w:r w:rsidRPr="006B14F3">
        <w:rPr>
          <w:rFonts w:eastAsia="Times New Roman" w:cs="Times New Roman"/>
          <w:color w:val="000000"/>
        </w:rPr>
        <w:t xml:space="preserve">darbojas atbilstoši – atsevišķos gadījumos konstatēti trūkumi, kuriem nav būtiskas ietekmes uz deleģēto funkciju izpildes kopējo kvalitāti. Par konstatēto trūkumu novēršanu ir sagatavoti un ar </w:t>
      </w:r>
      <w:r w:rsidR="006B14F3">
        <w:rPr>
          <w:rFonts w:eastAsia="Times New Roman" w:cs="Times New Roman"/>
          <w:color w:val="000000"/>
        </w:rPr>
        <w:t>iestādēm</w:t>
      </w:r>
      <w:r w:rsidRPr="006B14F3">
        <w:rPr>
          <w:rFonts w:eastAsia="Times New Roman" w:cs="Times New Roman"/>
          <w:color w:val="000000"/>
        </w:rPr>
        <w:t xml:space="preserve"> saskaņoti rīcības plāni, kas tiek pildīti</w:t>
      </w:r>
      <w:r w:rsidR="006B14F3">
        <w:rPr>
          <w:rFonts w:eastAsia="Times New Roman" w:cs="Times New Roman"/>
          <w:color w:val="000000"/>
        </w:rPr>
        <w:t xml:space="preserve"> kopumā</w:t>
      </w:r>
      <w:r w:rsidRPr="006B14F3">
        <w:rPr>
          <w:rFonts w:eastAsia="Times New Roman" w:cs="Times New Roman"/>
          <w:color w:val="000000"/>
        </w:rPr>
        <w:t xml:space="preserve"> ievērojot saskaņotos termiņus.</w:t>
      </w:r>
    </w:p>
    <w:p w14:paraId="5FEA2104" w14:textId="7C18744E" w:rsidR="009C0862" w:rsidRDefault="009C0862" w:rsidP="009C0862">
      <w:pPr>
        <w:spacing w:before="120" w:after="120" w:line="276" w:lineRule="auto"/>
        <w:jc w:val="both"/>
        <w:rPr>
          <w:rFonts w:eastAsia="Times New Roman" w:cs="Times New Roman"/>
          <w:color w:val="000000"/>
        </w:rPr>
      </w:pPr>
      <w:r w:rsidRPr="006B14F3">
        <w:rPr>
          <w:rFonts w:eastAsia="Times New Roman" w:cs="Times New Roman"/>
          <w:color w:val="000000"/>
        </w:rPr>
        <w:t>Veikto pārbaužu ietvaros nav konstatēti būtiski trūkumi ar sistēmiskām pazīmēm, kas varētu ietekmēt atbilstošu vadības</w:t>
      </w:r>
      <w:r w:rsidR="006B14F3">
        <w:rPr>
          <w:rFonts w:eastAsia="Times New Roman" w:cs="Times New Roman"/>
          <w:color w:val="000000"/>
        </w:rPr>
        <w:t xml:space="preserve"> un kontroles sistēmas darbību, tomēr LIAA gadījumā vispārējās uzraudzības procesos ir identific</w:t>
      </w:r>
      <w:r w:rsidR="004D226B">
        <w:rPr>
          <w:rFonts w:eastAsia="Times New Roman" w:cs="Times New Roman"/>
          <w:color w:val="000000"/>
        </w:rPr>
        <w:t>ēti</w:t>
      </w:r>
      <w:r w:rsidR="006B14F3">
        <w:rPr>
          <w:rFonts w:eastAsia="Times New Roman" w:cs="Times New Roman"/>
          <w:color w:val="000000"/>
        </w:rPr>
        <w:t xml:space="preserve"> </w:t>
      </w:r>
      <w:r w:rsidR="004D226B" w:rsidRPr="004D226B">
        <w:rPr>
          <w:rFonts w:eastAsia="Times New Roman" w:cs="Times New Roman"/>
          <w:color w:val="000000"/>
        </w:rPr>
        <w:t>riski attiecībā uz turpmāku kvalitatīvu un sekmīgu LIAA funkciju īstenošanu attiecībā uz 2007.-2013.gada plānošanas perioda Eiropas Savienības struktūrfondu projektu ieviešanu</w:t>
      </w:r>
      <w:r w:rsidR="004D226B">
        <w:rPr>
          <w:rFonts w:eastAsia="Times New Roman" w:cs="Times New Roman"/>
          <w:color w:val="000000"/>
        </w:rPr>
        <w:t xml:space="preserve"> (noslēguma pārbaudes)</w:t>
      </w:r>
      <w:r w:rsidR="004D226B" w:rsidRPr="004D226B">
        <w:rPr>
          <w:rFonts w:eastAsia="Times New Roman" w:cs="Times New Roman"/>
          <w:color w:val="000000"/>
        </w:rPr>
        <w:t xml:space="preserve"> un to </w:t>
      </w:r>
      <w:proofErr w:type="spellStart"/>
      <w:r w:rsidR="004D226B" w:rsidRPr="004D226B">
        <w:rPr>
          <w:rFonts w:eastAsia="Times New Roman" w:cs="Times New Roman"/>
          <w:color w:val="000000"/>
        </w:rPr>
        <w:t>pēcuzraudzības</w:t>
      </w:r>
      <w:proofErr w:type="spellEnd"/>
      <w:r w:rsidR="004D226B" w:rsidRPr="004D226B">
        <w:rPr>
          <w:rFonts w:eastAsia="Times New Roman" w:cs="Times New Roman"/>
          <w:color w:val="000000"/>
        </w:rPr>
        <w:t xml:space="preserve"> nodrošināšanu.</w:t>
      </w:r>
      <w:r w:rsidR="004D226B">
        <w:rPr>
          <w:rFonts w:eastAsia="Times New Roman" w:cs="Times New Roman"/>
          <w:color w:val="000000"/>
        </w:rPr>
        <w:t xml:space="preserve"> Minēto jautājumu risināšanā ir piesaistīta EM, kas ir atbildīgā iestāde pār aktivitātēm, kuras īsteno LIAA, kā arī par minēto </w:t>
      </w:r>
      <w:proofErr w:type="spellStart"/>
      <w:r w:rsidR="004D226B">
        <w:rPr>
          <w:rFonts w:eastAsia="Times New Roman" w:cs="Times New Roman"/>
          <w:color w:val="000000"/>
        </w:rPr>
        <w:t>problēmsituāciju</w:t>
      </w:r>
      <w:proofErr w:type="spellEnd"/>
      <w:r w:rsidR="004D226B">
        <w:rPr>
          <w:rFonts w:eastAsia="Times New Roman" w:cs="Times New Roman"/>
          <w:color w:val="000000"/>
        </w:rPr>
        <w:t xml:space="preserve"> ir informēta Ministru prezidente. Plānotie situācijas risinājumi no LIAA puses ir prezentēti 2015.gada 3.decembra </w:t>
      </w:r>
      <w:r w:rsidR="004D226B" w:rsidRPr="004D226B">
        <w:rPr>
          <w:rFonts w:eastAsia="Times New Roman" w:cs="Times New Roman"/>
          <w:color w:val="000000"/>
        </w:rPr>
        <w:t>Koalīcijas partneru darba grupa</w:t>
      </w:r>
      <w:r w:rsidR="004D226B">
        <w:rPr>
          <w:rFonts w:eastAsia="Times New Roman" w:cs="Times New Roman"/>
          <w:color w:val="000000"/>
        </w:rPr>
        <w:t>s par ES fondu jautājumiem sēdē</w:t>
      </w:r>
      <w:r w:rsidR="001F1635">
        <w:rPr>
          <w:rFonts w:eastAsia="Times New Roman" w:cs="Times New Roman"/>
          <w:color w:val="000000"/>
        </w:rPr>
        <w:t xml:space="preserve">, un tie, lai nodrošinātu dokumentācijas pārbaudi līdz 2016.gada 31.martam, </w:t>
      </w:r>
      <w:r w:rsidR="004D226B">
        <w:rPr>
          <w:rFonts w:eastAsia="Times New Roman" w:cs="Times New Roman"/>
          <w:color w:val="000000"/>
        </w:rPr>
        <w:t>ir:</w:t>
      </w:r>
    </w:p>
    <w:p w14:paraId="2B2F6893" w14:textId="24DDB3BC" w:rsidR="003D5A0A" w:rsidRPr="001F1635" w:rsidRDefault="00192033" w:rsidP="00190973">
      <w:pPr>
        <w:numPr>
          <w:ilvl w:val="0"/>
          <w:numId w:val="13"/>
        </w:numPr>
        <w:jc w:val="both"/>
        <w:rPr>
          <w:rFonts w:eastAsia="Times New Roman" w:cs="Times New Roman"/>
          <w:color w:val="000000"/>
        </w:rPr>
      </w:pPr>
      <w:r w:rsidRPr="001F1635">
        <w:rPr>
          <w:rFonts w:eastAsia="Times New Roman" w:cs="Times New Roman"/>
          <w:bCs/>
          <w:color w:val="000000"/>
        </w:rPr>
        <w:t xml:space="preserve">nodrošināt darbinieku motivēšanu </w:t>
      </w:r>
      <w:r w:rsidR="001F1635">
        <w:rPr>
          <w:rFonts w:eastAsia="Times New Roman" w:cs="Times New Roman"/>
          <w:bCs/>
          <w:color w:val="000000"/>
        </w:rPr>
        <w:t>ar papildus atlīdzību – piemaksas par</w:t>
      </w:r>
      <w:r w:rsidRPr="001F1635">
        <w:rPr>
          <w:rFonts w:eastAsia="Times New Roman" w:cs="Times New Roman"/>
          <w:bCs/>
          <w:color w:val="000000"/>
        </w:rPr>
        <w:t xml:space="preserve"> virs</w:t>
      </w:r>
      <w:r w:rsidR="00F276C7">
        <w:rPr>
          <w:rFonts w:eastAsia="Times New Roman" w:cs="Times New Roman"/>
          <w:bCs/>
          <w:color w:val="000000"/>
        </w:rPr>
        <w:t>s</w:t>
      </w:r>
      <w:r w:rsidRPr="001F1635">
        <w:rPr>
          <w:rFonts w:eastAsia="Times New Roman" w:cs="Times New Roman"/>
          <w:bCs/>
          <w:color w:val="000000"/>
        </w:rPr>
        <w:t>tundām</w:t>
      </w:r>
      <w:r w:rsidR="001F1635">
        <w:rPr>
          <w:rFonts w:eastAsia="Times New Roman" w:cs="Times New Roman"/>
          <w:bCs/>
          <w:color w:val="000000"/>
        </w:rPr>
        <w:t xml:space="preserve"> u.c.</w:t>
      </w:r>
      <w:r w:rsidR="000C7ECA">
        <w:rPr>
          <w:rFonts w:eastAsia="Times New Roman" w:cs="Times New Roman"/>
          <w:bCs/>
          <w:color w:val="000000"/>
        </w:rPr>
        <w:t xml:space="preserve"> </w:t>
      </w:r>
      <w:r w:rsidR="001F1635">
        <w:rPr>
          <w:rFonts w:eastAsia="Times New Roman" w:cs="Times New Roman"/>
          <w:bCs/>
          <w:color w:val="000000"/>
        </w:rPr>
        <w:t>piemaksas;</w:t>
      </w:r>
    </w:p>
    <w:p w14:paraId="54CB97C8" w14:textId="121FFDED" w:rsidR="003D5A0A" w:rsidRPr="000C7ECA" w:rsidRDefault="000C7ECA" w:rsidP="00E67DAB">
      <w:pPr>
        <w:numPr>
          <w:ilvl w:val="0"/>
          <w:numId w:val="13"/>
        </w:numPr>
        <w:spacing w:line="276" w:lineRule="auto"/>
        <w:jc w:val="both"/>
        <w:rPr>
          <w:rFonts w:eastAsia="Times New Roman" w:cs="Times New Roman"/>
        </w:rPr>
      </w:pPr>
      <w:r w:rsidRPr="000C7ECA">
        <w:rPr>
          <w:rFonts w:eastAsia="Times New Roman" w:cs="Times New Roman"/>
          <w:bCs/>
        </w:rPr>
        <w:t>maksājuma pieprasījumu izskatīšana un izmaksājamā ES fondu finansējuma apmēra noteikšana, pamatojoties uz maksājuma pieprasījumam pievienotajiem izdevumus apliecinošiem dokumentiem, bez vairākkārtējas papildus informācijas pieprasīšanas finansējuma saņēmējiem;</w:t>
      </w:r>
    </w:p>
    <w:p w14:paraId="218ABF55" w14:textId="6C623A5F" w:rsidR="003D5A0A" w:rsidRPr="001F1635" w:rsidRDefault="001F1635" w:rsidP="00190973">
      <w:pPr>
        <w:numPr>
          <w:ilvl w:val="0"/>
          <w:numId w:val="13"/>
        </w:numPr>
        <w:jc w:val="both"/>
        <w:rPr>
          <w:rFonts w:eastAsia="Times New Roman" w:cs="Times New Roman"/>
          <w:color w:val="000000"/>
        </w:rPr>
      </w:pPr>
      <w:r>
        <w:rPr>
          <w:rFonts w:eastAsia="Times New Roman" w:cs="Times New Roman"/>
          <w:bCs/>
          <w:color w:val="000000"/>
        </w:rPr>
        <w:t>izveidot darba grupu</w:t>
      </w:r>
      <w:r w:rsidR="00192033" w:rsidRPr="001F1635">
        <w:rPr>
          <w:rFonts w:eastAsia="Times New Roman" w:cs="Times New Roman"/>
          <w:bCs/>
          <w:color w:val="000000"/>
        </w:rPr>
        <w:t xml:space="preserve"> </w:t>
      </w:r>
      <w:r>
        <w:rPr>
          <w:rFonts w:eastAsia="Times New Roman" w:cs="Times New Roman"/>
          <w:bCs/>
          <w:color w:val="000000"/>
        </w:rPr>
        <w:t>starp LIAA, finansējuma saņēmējiem</w:t>
      </w:r>
      <w:r w:rsidR="00192033" w:rsidRPr="001F1635">
        <w:rPr>
          <w:rFonts w:eastAsia="Times New Roman" w:cs="Times New Roman"/>
          <w:bCs/>
          <w:color w:val="000000"/>
        </w:rPr>
        <w:t xml:space="preserve"> </w:t>
      </w:r>
      <w:r>
        <w:rPr>
          <w:rFonts w:eastAsia="Times New Roman" w:cs="Times New Roman"/>
          <w:bCs/>
          <w:color w:val="000000"/>
        </w:rPr>
        <w:t xml:space="preserve">(komercsabiedrības, kurām ir licence siltumenerģijas ražošanai, pārvadei vai sadalei/sabiedrisko pakalpojumu sniedzēji) </w:t>
      </w:r>
      <w:r w:rsidR="00192033" w:rsidRPr="001F1635">
        <w:rPr>
          <w:rFonts w:eastAsia="Times New Roman" w:cs="Times New Roman"/>
          <w:bCs/>
          <w:color w:val="000000"/>
        </w:rPr>
        <w:t>un citām valsts un pašvaldību institūcijām par darbības optimizāciju un infor</w:t>
      </w:r>
      <w:r>
        <w:rPr>
          <w:rFonts w:eastAsia="Times New Roman" w:cs="Times New Roman"/>
          <w:bCs/>
          <w:color w:val="000000"/>
        </w:rPr>
        <w:t xml:space="preserve">mācijas aprites paātrināšanu </w:t>
      </w:r>
      <w:r w:rsidRPr="001F1635">
        <w:rPr>
          <w:rFonts w:eastAsia="Times New Roman" w:cs="Times New Roman"/>
          <w:bCs/>
          <w:color w:val="000000"/>
        </w:rPr>
        <w:t xml:space="preserve">3.5.2.1.1.apakšaktivitātes "Pasākumi centralizētās siltumapgādes sistēmu efektivitātes paaugstināšanai” </w:t>
      </w:r>
      <w:r w:rsidR="00192033" w:rsidRPr="001F1635">
        <w:rPr>
          <w:rFonts w:eastAsia="Times New Roman" w:cs="Times New Roman"/>
          <w:bCs/>
          <w:color w:val="000000"/>
        </w:rPr>
        <w:t>ieviešanai</w:t>
      </w:r>
      <w:r w:rsidRPr="001F1635">
        <w:rPr>
          <w:rFonts w:eastAsia="Times New Roman" w:cs="Times New Roman"/>
          <w:bCs/>
          <w:color w:val="000000"/>
        </w:rPr>
        <w:t>.</w:t>
      </w:r>
    </w:p>
    <w:p w14:paraId="08F4D7EC" w14:textId="456A94DD" w:rsidR="004D226B" w:rsidRPr="006B14F3" w:rsidRDefault="0057066A" w:rsidP="009C0862">
      <w:pPr>
        <w:spacing w:before="120" w:after="120" w:line="276" w:lineRule="auto"/>
        <w:jc w:val="both"/>
        <w:rPr>
          <w:rFonts w:eastAsia="Times New Roman" w:cs="Times New Roman"/>
          <w:color w:val="000000"/>
        </w:rPr>
      </w:pPr>
      <w:r>
        <w:rPr>
          <w:rFonts w:eastAsia="Times New Roman" w:cs="Times New Roman"/>
          <w:color w:val="000000"/>
        </w:rPr>
        <w:t>VI</w:t>
      </w:r>
      <w:r w:rsidR="00B62AEC">
        <w:rPr>
          <w:rFonts w:eastAsia="Times New Roman" w:cs="Times New Roman"/>
          <w:color w:val="000000"/>
        </w:rPr>
        <w:t xml:space="preserve"> ir paaugstinājusi LIAA kā iestādes, kurai deleģētas vadošās iestādes funkcijas, riska līmeni un nodrošina pastiprinātu uzraudzību pār LIAA admini</w:t>
      </w:r>
      <w:r w:rsidR="00F276C7">
        <w:rPr>
          <w:rFonts w:eastAsia="Times New Roman" w:cs="Times New Roman"/>
          <w:color w:val="000000"/>
        </w:rPr>
        <w:t>s</w:t>
      </w:r>
      <w:r w:rsidR="00B62AEC">
        <w:rPr>
          <w:rFonts w:eastAsia="Times New Roman" w:cs="Times New Roman"/>
          <w:color w:val="000000"/>
        </w:rPr>
        <w:t xml:space="preserve">trēto projektu atbilstošu pabeigšanu, noslēguma maksājumu veikšanu un </w:t>
      </w:r>
      <w:r w:rsidR="00B62AEC" w:rsidRPr="00B62AEC">
        <w:rPr>
          <w:rFonts w:eastAsia="Times New Roman" w:cs="Times New Roman"/>
          <w:color w:val="000000"/>
        </w:rPr>
        <w:t xml:space="preserve">2007.-2013.gada plānošanas perioda </w:t>
      </w:r>
      <w:r w:rsidR="00B62AEC">
        <w:rPr>
          <w:rFonts w:eastAsia="Times New Roman" w:cs="Times New Roman"/>
          <w:color w:val="000000"/>
        </w:rPr>
        <w:t xml:space="preserve">projektu </w:t>
      </w:r>
      <w:proofErr w:type="spellStart"/>
      <w:r w:rsidR="00B62AEC" w:rsidRPr="00B62AEC">
        <w:rPr>
          <w:rFonts w:eastAsia="Times New Roman" w:cs="Times New Roman"/>
          <w:color w:val="000000"/>
        </w:rPr>
        <w:t>pēcuzraudzības</w:t>
      </w:r>
      <w:proofErr w:type="spellEnd"/>
      <w:r w:rsidR="00B62AEC" w:rsidRPr="00B62AEC">
        <w:rPr>
          <w:rFonts w:eastAsia="Times New Roman" w:cs="Times New Roman"/>
          <w:color w:val="000000"/>
        </w:rPr>
        <w:t xml:space="preserve"> nodrošināšanu</w:t>
      </w:r>
      <w:r w:rsidR="00B62AEC">
        <w:rPr>
          <w:rFonts w:eastAsia="Times New Roman" w:cs="Times New Roman"/>
          <w:color w:val="000000"/>
        </w:rPr>
        <w:t>.</w:t>
      </w:r>
      <w:r w:rsidR="0041186B">
        <w:rPr>
          <w:rFonts w:eastAsia="Times New Roman" w:cs="Times New Roman"/>
          <w:color w:val="000000"/>
        </w:rPr>
        <w:t xml:space="preserve"> Tāpat, lai praktiski atbalstītu LIAA un citas iestādes, kurām 2007.-2013.gadu plānoš</w:t>
      </w:r>
      <w:r w:rsidR="00C95D4C">
        <w:rPr>
          <w:rFonts w:eastAsia="Times New Roman" w:cs="Times New Roman"/>
          <w:color w:val="000000"/>
        </w:rPr>
        <w:t>a</w:t>
      </w:r>
      <w:r w:rsidR="0041186B">
        <w:rPr>
          <w:rFonts w:eastAsia="Times New Roman" w:cs="Times New Roman"/>
          <w:color w:val="000000"/>
        </w:rPr>
        <w:t xml:space="preserve">nas perioda noslēguma posmā ir nepieciešams pieņemt lēmumus “šaubīgos” vai citos </w:t>
      </w:r>
      <w:proofErr w:type="spellStart"/>
      <w:r w:rsidR="0041186B">
        <w:rPr>
          <w:rFonts w:eastAsia="Times New Roman" w:cs="Times New Roman"/>
          <w:color w:val="000000"/>
        </w:rPr>
        <w:t>problēmgadījumos</w:t>
      </w:r>
      <w:proofErr w:type="spellEnd"/>
      <w:r w:rsidR="0041186B">
        <w:rPr>
          <w:rFonts w:eastAsia="Times New Roman" w:cs="Times New Roman"/>
          <w:color w:val="000000"/>
        </w:rPr>
        <w:t>, kā arī stiprināt kapacitāti, VI operatīvi sniedz nep</w:t>
      </w:r>
      <w:r w:rsidR="00C95D4C">
        <w:rPr>
          <w:rFonts w:eastAsia="Times New Roman" w:cs="Times New Roman"/>
          <w:color w:val="000000"/>
        </w:rPr>
        <w:t>ie</w:t>
      </w:r>
      <w:r w:rsidR="0041186B">
        <w:rPr>
          <w:rFonts w:eastAsia="Times New Roman" w:cs="Times New Roman"/>
          <w:color w:val="000000"/>
        </w:rPr>
        <w:t>ciešamās konsultācijas un norādījumus atbilstošai rīcībai.</w:t>
      </w:r>
    </w:p>
    <w:p w14:paraId="34018965" w14:textId="6FABFBD4" w:rsidR="009C0862" w:rsidRPr="00DC6335" w:rsidRDefault="009C0862" w:rsidP="00E67DAB">
      <w:pPr>
        <w:pStyle w:val="ListParagraph"/>
        <w:numPr>
          <w:ilvl w:val="6"/>
          <w:numId w:val="16"/>
        </w:numPr>
        <w:spacing w:before="120" w:after="120" w:line="276" w:lineRule="auto"/>
        <w:ind w:left="0" w:firstLine="0"/>
        <w:contextualSpacing w:val="0"/>
        <w:jc w:val="both"/>
        <w:rPr>
          <w:rFonts w:eastAsia="Times New Roman" w:cs="Times New Roman"/>
          <w:b/>
          <w:szCs w:val="24"/>
        </w:rPr>
      </w:pPr>
      <w:r w:rsidRPr="00DC6335">
        <w:rPr>
          <w:rFonts w:eastAsia="Times New Roman" w:cs="Times New Roman"/>
          <w:b/>
          <w:szCs w:val="24"/>
        </w:rPr>
        <w:t xml:space="preserve">Pārskata periodā turpinājās darbs pie </w:t>
      </w:r>
      <w:r w:rsidRPr="00DC6335">
        <w:rPr>
          <w:rFonts w:eastAsia="Times New Roman" w:cs="Times New Roman"/>
          <w:b/>
          <w:szCs w:val="24"/>
          <w:u w:val="single"/>
        </w:rPr>
        <w:t>ES fondu 2014.-2020.gada plānošanas perioda</w:t>
      </w:r>
      <w:r w:rsidRPr="00DC6335">
        <w:rPr>
          <w:rFonts w:eastAsia="Times New Roman" w:cs="Times New Roman"/>
          <w:b/>
          <w:szCs w:val="24"/>
        </w:rPr>
        <w:t xml:space="preserve"> vadības un kontroles sistēmas jautājumiem:  </w:t>
      </w:r>
    </w:p>
    <w:p w14:paraId="7A6FE946" w14:textId="09FEA2E8" w:rsidR="007D70F3" w:rsidRDefault="00631109" w:rsidP="00E67DAB">
      <w:pPr>
        <w:pStyle w:val="ListParagraph"/>
        <w:numPr>
          <w:ilvl w:val="0"/>
          <w:numId w:val="8"/>
        </w:numPr>
        <w:tabs>
          <w:tab w:val="left" w:pos="851"/>
        </w:tabs>
        <w:spacing w:before="120" w:after="120" w:line="276" w:lineRule="auto"/>
        <w:ind w:left="0" w:firstLine="360"/>
        <w:contextualSpacing w:val="0"/>
        <w:jc w:val="both"/>
      </w:pPr>
      <w:r>
        <w:t>Sask</w:t>
      </w:r>
      <w:r w:rsidR="006A10E4">
        <w:t>aņ</w:t>
      </w:r>
      <w:r>
        <w:t xml:space="preserve">ā ar  </w:t>
      </w:r>
      <w:r w:rsidR="0032304A">
        <w:t>E</w:t>
      </w:r>
      <w:r w:rsidR="007F656B">
        <w:t xml:space="preserve">iropas </w:t>
      </w:r>
      <w:r w:rsidR="0032304A">
        <w:t>S</w:t>
      </w:r>
      <w:r w:rsidR="007F656B">
        <w:t>avienības struktūrfondu un Kohēzijas</w:t>
      </w:r>
      <w:r w:rsidR="0032304A">
        <w:t xml:space="preserve"> fond</w:t>
      </w:r>
      <w:r w:rsidR="007F656B">
        <w:t>a</w:t>
      </w:r>
      <w:r w:rsidRPr="00631109">
        <w:t xml:space="preserve"> 2014.—2020.gada plānošanas perioda vadības likum</w:t>
      </w:r>
      <w:r w:rsidR="008C24CE">
        <w:t>a</w:t>
      </w:r>
      <w:r>
        <w:t xml:space="preserve"> 19.panta trešo daļu</w:t>
      </w:r>
      <w:r w:rsidRPr="00631109">
        <w:t xml:space="preserve"> </w:t>
      </w:r>
      <w:r w:rsidR="0032304A">
        <w:t>EK</w:t>
      </w:r>
      <w:r>
        <w:t xml:space="preserve"> </w:t>
      </w:r>
      <w:r w:rsidR="006A10E4">
        <w:t xml:space="preserve">2015.gada 5.augustā </w:t>
      </w:r>
      <w:r w:rsidRPr="00631109">
        <w:t>informē</w:t>
      </w:r>
      <w:r>
        <w:t xml:space="preserve">ta par </w:t>
      </w:r>
      <w:r w:rsidR="0032304A">
        <w:t>VI</w:t>
      </w:r>
      <w:r>
        <w:t xml:space="preserve"> un S</w:t>
      </w:r>
      <w:r w:rsidRPr="00631109">
        <w:t xml:space="preserve">ertifikācijas iestādes atbilstību </w:t>
      </w:r>
      <w:r w:rsidR="007F656B">
        <w:t>R</w:t>
      </w:r>
      <w:r w:rsidR="007F656B" w:rsidRPr="00631109">
        <w:t xml:space="preserve">egulas </w:t>
      </w:r>
      <w:r w:rsidRPr="00631109">
        <w:t>Nr. 1303/2013</w:t>
      </w:r>
      <w:r w:rsidR="007F656B">
        <w:rPr>
          <w:rStyle w:val="FootnoteReference"/>
        </w:rPr>
        <w:footnoteReference w:id="54"/>
      </w:r>
      <w:r w:rsidRPr="00631109">
        <w:t xml:space="preserve"> XIII pielikumā noteiktajiem </w:t>
      </w:r>
      <w:r w:rsidRPr="00631109">
        <w:lastRenderedPageBreak/>
        <w:t>kritērijiem šīs regulas 124.pantā noteiktajā kārtībā.</w:t>
      </w:r>
      <w:r w:rsidR="006A10E4">
        <w:t xml:space="preserve"> 2015.gada 5.novembrī no </w:t>
      </w:r>
      <w:r w:rsidR="008C24CE">
        <w:t>EK</w:t>
      </w:r>
      <w:r w:rsidR="006A10E4">
        <w:t xml:space="preserve"> dienestiem saņemta atbilde par paziņojumu bez apsvērumiem. </w:t>
      </w:r>
    </w:p>
    <w:p w14:paraId="672D3F82" w14:textId="08BC5F8C" w:rsidR="00631109" w:rsidRDefault="007D70F3" w:rsidP="00E67DAB">
      <w:pPr>
        <w:pStyle w:val="ListParagraph"/>
        <w:numPr>
          <w:ilvl w:val="0"/>
          <w:numId w:val="8"/>
        </w:numPr>
        <w:tabs>
          <w:tab w:val="left" w:pos="851"/>
        </w:tabs>
        <w:spacing w:before="120" w:after="120" w:line="276" w:lineRule="auto"/>
        <w:ind w:left="0" w:firstLine="360"/>
        <w:contextualSpacing w:val="0"/>
        <w:jc w:val="both"/>
      </w:pPr>
      <w:r w:rsidRPr="007D70F3">
        <w:t>turpinā</w:t>
      </w:r>
      <w:r>
        <w:t xml:space="preserve">jās </w:t>
      </w:r>
      <w:r w:rsidRPr="007D70F3">
        <w:t>darb</w:t>
      </w:r>
      <w:r>
        <w:t>s</w:t>
      </w:r>
      <w:r w:rsidRPr="007D70F3">
        <w:t xml:space="preserve"> pie pilnīgas ES fondu vadības un kontroles sistēmas izveides un akreditācijas proces</w:t>
      </w:r>
      <w:r>
        <w:t xml:space="preserve">ā izteikto ieteikumu ieviešanas, virzot izskatīšanai </w:t>
      </w:r>
      <w:r w:rsidR="0032304A">
        <w:t>MK</w:t>
      </w:r>
      <w:r>
        <w:t xml:space="preserve"> noteikumu projektus un apstiprinot metodiskos materiālus. </w:t>
      </w:r>
    </w:p>
    <w:p w14:paraId="3A00B398" w14:textId="7B7A09B2" w:rsidR="009C0862" w:rsidRPr="00631109" w:rsidRDefault="009C0862" w:rsidP="00E67DAB">
      <w:pPr>
        <w:pStyle w:val="ListParagraph"/>
        <w:numPr>
          <w:ilvl w:val="0"/>
          <w:numId w:val="8"/>
        </w:numPr>
        <w:tabs>
          <w:tab w:val="left" w:pos="851"/>
        </w:tabs>
        <w:spacing w:before="120" w:after="120" w:line="276" w:lineRule="auto"/>
        <w:ind w:left="0" w:firstLine="567"/>
        <w:contextualSpacing w:val="0"/>
        <w:jc w:val="both"/>
      </w:pPr>
      <w:r w:rsidRPr="00631109">
        <w:t>sadarbībā ar ES fondu administrēšanā iesaistītajām institūcijām ir</w:t>
      </w:r>
      <w:r w:rsidRPr="00631109">
        <w:rPr>
          <w:b/>
        </w:rPr>
        <w:t xml:space="preserve"> apstiprināts </w:t>
      </w:r>
      <w:r w:rsidR="00631109" w:rsidRPr="00631109">
        <w:rPr>
          <w:b/>
        </w:rPr>
        <w:t xml:space="preserve">aktualizētais </w:t>
      </w:r>
      <w:r w:rsidRPr="00631109">
        <w:rPr>
          <w:b/>
        </w:rPr>
        <w:t>VI un Sertifikācijas iestādes funkciju un procedūru apraksts</w:t>
      </w:r>
      <w:r w:rsidR="00C7255D">
        <w:rPr>
          <w:rStyle w:val="FootnoteReference"/>
          <w:b/>
        </w:rPr>
        <w:footnoteReference w:id="55"/>
      </w:r>
      <w:r w:rsidR="00631109" w:rsidRPr="00631109">
        <w:t xml:space="preserve"> uz 2015.gada 30.jūniju</w:t>
      </w:r>
      <w:r w:rsidR="007F656B">
        <w:t xml:space="preserve"> </w:t>
      </w:r>
      <w:r w:rsidRPr="00631109">
        <w:t xml:space="preserve">(papildinātā versija 2015.gada </w:t>
      </w:r>
      <w:r w:rsidR="00631109" w:rsidRPr="00631109">
        <w:t>26.oktobris</w:t>
      </w:r>
      <w:r w:rsidRPr="00631109">
        <w:t>)</w:t>
      </w:r>
      <w:r w:rsidR="002C0654">
        <w:t>.</w:t>
      </w:r>
      <w:r w:rsidRPr="00631109">
        <w:t xml:space="preserve"> </w:t>
      </w:r>
    </w:p>
    <w:p w14:paraId="1FEB629E" w14:textId="46671413" w:rsidR="00631109" w:rsidRPr="009E55DC" w:rsidRDefault="007F656B" w:rsidP="00E67DAB">
      <w:pPr>
        <w:pStyle w:val="ListParagraph"/>
        <w:numPr>
          <w:ilvl w:val="0"/>
          <w:numId w:val="8"/>
        </w:numPr>
        <w:tabs>
          <w:tab w:val="left" w:pos="851"/>
        </w:tabs>
        <w:spacing w:before="120" w:after="120" w:line="276" w:lineRule="auto"/>
        <w:ind w:left="0" w:firstLine="567"/>
        <w:contextualSpacing w:val="0"/>
        <w:jc w:val="both"/>
      </w:pPr>
      <w:r>
        <w:t>MK</w:t>
      </w:r>
      <w:r w:rsidR="00631109">
        <w:t xml:space="preserve"> 2015.gada 15.decembra sēdē izskatīts </w:t>
      </w:r>
      <w:r w:rsidR="00631109" w:rsidRPr="00631109">
        <w:t>Informatīvais ziņojums "Par Eiropas Reģionālās attīstības fonda, Eiropas Sociālā fonda un Kohēzijas fonda cilvēkresursiem un uzraudzības mehānismiem 2014.-2020.gada plānošanas periodā"</w:t>
      </w:r>
      <w:r w:rsidR="00631109">
        <w:t xml:space="preserve"> (</w:t>
      </w:r>
      <w:r w:rsidR="00631109" w:rsidRPr="00631109">
        <w:t>TA-2699</w:t>
      </w:r>
      <w:r w:rsidR="00631109">
        <w:t xml:space="preserve">, </w:t>
      </w:r>
      <w:r w:rsidR="00631109" w:rsidRPr="00631109">
        <w:t>73.§</w:t>
      </w:r>
      <w:r w:rsidR="00631109">
        <w:t>).</w:t>
      </w:r>
    </w:p>
    <w:p w14:paraId="5023B401" w14:textId="42C01E11" w:rsidR="008011C6" w:rsidRPr="0032304A" w:rsidRDefault="00F2015A" w:rsidP="00E67DAB">
      <w:pPr>
        <w:pStyle w:val="ListParagraph"/>
        <w:numPr>
          <w:ilvl w:val="0"/>
          <w:numId w:val="8"/>
        </w:numPr>
        <w:tabs>
          <w:tab w:val="left" w:pos="851"/>
        </w:tabs>
        <w:spacing w:before="120" w:after="120" w:line="276" w:lineRule="auto"/>
        <w:ind w:left="0" w:firstLine="567"/>
        <w:contextualSpacing w:val="0"/>
        <w:jc w:val="both"/>
      </w:pPr>
      <w:r w:rsidRPr="009E55DC">
        <w:t>2015.gada</w:t>
      </w:r>
      <w:r w:rsidR="008011C6" w:rsidRPr="009E55DC">
        <w:t xml:space="preserve"> 6.augustā</w:t>
      </w:r>
      <w:r w:rsidRPr="009E55DC">
        <w:t xml:space="preserve"> tika apstiprināts “Pasākumu plāns krāpšanas un korupcijas risku mazināšanai Eiropas Sociālā fonda, Eiropas Reģionālā attīstības fonda un Kohēzijas fonda 2014</w:t>
      </w:r>
      <w:r w:rsidR="008011C6" w:rsidRPr="009E55DC">
        <w:t>.-2020.gada plānošanas periodā”</w:t>
      </w:r>
      <w:r w:rsidR="002C0654">
        <w:rPr>
          <w:rStyle w:val="FootnoteReference"/>
        </w:rPr>
        <w:footnoteReference w:id="56"/>
      </w:r>
      <w:r w:rsidR="008011C6" w:rsidRPr="009E55DC">
        <w:t xml:space="preserve">, kur analizēti </w:t>
      </w:r>
      <w:r w:rsidR="008011C6" w:rsidRPr="009E55DC">
        <w:rPr>
          <w:rFonts w:cs="Times New Roman"/>
          <w:szCs w:val="24"/>
        </w:rPr>
        <w:t>krāpšanai un korupcijai visvairāk pakļautajos ES fondu ieviešanas posmos</w:t>
      </w:r>
      <w:r w:rsidR="009E55DC" w:rsidRPr="009E55DC">
        <w:rPr>
          <w:rStyle w:val="FootnoteReference"/>
          <w:rFonts w:cs="Times New Roman"/>
          <w:szCs w:val="24"/>
        </w:rPr>
        <w:footnoteReference w:id="57"/>
      </w:r>
      <w:r w:rsidR="008011C6" w:rsidRPr="009E55DC">
        <w:rPr>
          <w:rFonts w:cs="Times New Roman"/>
          <w:szCs w:val="24"/>
        </w:rPr>
        <w:t xml:space="preserve"> apzināt</w:t>
      </w:r>
      <w:r w:rsidR="009E55DC" w:rsidRPr="009E55DC">
        <w:rPr>
          <w:rFonts w:cs="Times New Roman"/>
          <w:szCs w:val="24"/>
        </w:rPr>
        <w:t>ie</w:t>
      </w:r>
      <w:r w:rsidR="008011C6" w:rsidRPr="009E55DC">
        <w:rPr>
          <w:rFonts w:cs="Times New Roman"/>
          <w:szCs w:val="24"/>
        </w:rPr>
        <w:t xml:space="preserve"> risk</w:t>
      </w:r>
      <w:r w:rsidR="009E55DC" w:rsidRPr="009E55DC">
        <w:rPr>
          <w:rFonts w:cs="Times New Roman"/>
          <w:szCs w:val="24"/>
        </w:rPr>
        <w:t xml:space="preserve">i un paredzēti atsevišķi risku </w:t>
      </w:r>
      <w:r w:rsidR="009E55DC" w:rsidRPr="0032304A">
        <w:rPr>
          <w:rFonts w:cs="Times New Roman"/>
          <w:szCs w:val="24"/>
        </w:rPr>
        <w:t xml:space="preserve">pārvaldības pasākumi saistībā ar </w:t>
      </w:r>
      <w:r w:rsidR="00362CBE" w:rsidRPr="0032304A">
        <w:rPr>
          <w:rFonts w:cs="Times New Roman"/>
          <w:szCs w:val="24"/>
        </w:rPr>
        <w:t xml:space="preserve">konkrēto </w:t>
      </w:r>
      <w:r w:rsidR="009E55DC" w:rsidRPr="0032304A">
        <w:rPr>
          <w:rFonts w:cs="Times New Roman"/>
          <w:szCs w:val="24"/>
        </w:rPr>
        <w:t>ES fondu vadības funkciju izpildi.</w:t>
      </w:r>
    </w:p>
    <w:p w14:paraId="11A38E48" w14:textId="55DAA4C4" w:rsidR="005B6B68" w:rsidRPr="001115EE" w:rsidRDefault="007F656B" w:rsidP="00E67DAB">
      <w:pPr>
        <w:pStyle w:val="ListParagraph"/>
        <w:tabs>
          <w:tab w:val="left" w:pos="851"/>
        </w:tabs>
        <w:spacing w:before="120" w:after="120" w:line="276" w:lineRule="auto"/>
        <w:ind w:left="0" w:firstLine="567"/>
        <w:contextualSpacing w:val="0"/>
        <w:jc w:val="both"/>
        <w:rPr>
          <w:bCs/>
        </w:rPr>
      </w:pPr>
      <w:r>
        <w:rPr>
          <w:rStyle w:val="Hyperlink"/>
          <w:color w:val="auto"/>
          <w:u w:val="none"/>
        </w:rPr>
        <w:t>6</w:t>
      </w:r>
      <w:r w:rsidR="005B6B68" w:rsidRPr="0032304A">
        <w:rPr>
          <w:rStyle w:val="Hyperlink"/>
          <w:color w:val="auto"/>
          <w:u w:val="none"/>
        </w:rPr>
        <w:t xml:space="preserve">) </w:t>
      </w:r>
      <w:r w:rsidR="0057066A" w:rsidRPr="0032304A">
        <w:rPr>
          <w:rStyle w:val="Hyperlink"/>
          <w:color w:val="auto"/>
          <w:u w:val="none"/>
        </w:rPr>
        <w:t xml:space="preserve">VI </w:t>
      </w:r>
      <w:r w:rsidR="00E45D0B" w:rsidRPr="0032304A">
        <w:rPr>
          <w:rStyle w:val="Hyperlink"/>
          <w:color w:val="auto"/>
          <w:u w:val="none"/>
        </w:rPr>
        <w:t>2015.gada jūlijā</w:t>
      </w:r>
      <w:r w:rsidR="005B6B68" w:rsidRPr="0032304A">
        <w:rPr>
          <w:rStyle w:val="Hyperlink"/>
          <w:color w:val="auto"/>
          <w:u w:val="none"/>
        </w:rPr>
        <w:t xml:space="preserve">, ievērojot </w:t>
      </w:r>
      <w:r w:rsidR="005B6B68" w:rsidRPr="001115EE">
        <w:rPr>
          <w:bCs/>
        </w:rPr>
        <w:t>ES struktūrfondu un Kohēzijas fonda 2014.—2020.gada plānošanas perioda vadības likuma 10.panta</w:t>
      </w:r>
      <w:r w:rsidR="002F58D7" w:rsidRPr="001115EE">
        <w:rPr>
          <w:bCs/>
        </w:rPr>
        <w:t xml:space="preserve"> trešās daļas 1.punktu</w:t>
      </w:r>
      <w:r w:rsidR="005B6B68" w:rsidRPr="001115EE">
        <w:rPr>
          <w:bCs/>
        </w:rPr>
        <w:t xml:space="preserve">, un ņemot vērā </w:t>
      </w:r>
      <w:r w:rsidR="0032304A">
        <w:rPr>
          <w:bCs/>
        </w:rPr>
        <w:t>MK</w:t>
      </w:r>
      <w:r w:rsidR="005B6B68" w:rsidRPr="001115EE">
        <w:rPr>
          <w:bCs/>
        </w:rPr>
        <w:t xml:space="preserve"> noteikum</w:t>
      </w:r>
      <w:r w:rsidR="00DB29ED" w:rsidRPr="001115EE">
        <w:rPr>
          <w:bCs/>
        </w:rPr>
        <w:t>u</w:t>
      </w:r>
      <w:r w:rsidR="005B6B68" w:rsidRPr="001115EE">
        <w:rPr>
          <w:bCs/>
        </w:rPr>
        <w:t xml:space="preserve"> Nr.611</w:t>
      </w:r>
      <w:r w:rsidR="005B6B68" w:rsidRPr="001115EE">
        <w:rPr>
          <w:bCs/>
          <w:vertAlign w:val="superscript"/>
        </w:rPr>
        <w:footnoteReference w:id="58"/>
      </w:r>
      <w:r w:rsidR="005B6B68" w:rsidRPr="001115EE">
        <w:rPr>
          <w:bCs/>
          <w:vertAlign w:val="superscript"/>
        </w:rPr>
        <w:t xml:space="preserve"> </w:t>
      </w:r>
      <w:r w:rsidR="00DB29ED" w:rsidRPr="001115EE">
        <w:rPr>
          <w:bCs/>
        </w:rPr>
        <w:t>19.punktu un</w:t>
      </w:r>
      <w:r w:rsidR="00DB29ED" w:rsidRPr="001115EE">
        <w:rPr>
          <w:bCs/>
          <w:vertAlign w:val="superscript"/>
        </w:rPr>
        <w:t xml:space="preserve"> </w:t>
      </w:r>
      <w:r w:rsidR="005B6B68" w:rsidRPr="001115EE">
        <w:rPr>
          <w:bCs/>
        </w:rPr>
        <w:t>noteikt</w:t>
      </w:r>
      <w:r w:rsidR="00DB29ED" w:rsidRPr="001115EE">
        <w:rPr>
          <w:bCs/>
        </w:rPr>
        <w:t>os</w:t>
      </w:r>
      <w:r w:rsidR="005B6B68" w:rsidRPr="001115EE">
        <w:rPr>
          <w:bCs/>
        </w:rPr>
        <w:t xml:space="preserve"> procedūru izstrādes termiņ</w:t>
      </w:r>
      <w:r w:rsidR="00DB29ED" w:rsidRPr="001115EE">
        <w:rPr>
          <w:bCs/>
        </w:rPr>
        <w:t>us</w:t>
      </w:r>
      <w:r w:rsidR="005B6B68" w:rsidRPr="001115EE">
        <w:rPr>
          <w:bCs/>
        </w:rPr>
        <w:t>,</w:t>
      </w:r>
      <w:r w:rsidR="005B6B68" w:rsidRPr="0032304A">
        <w:rPr>
          <w:rStyle w:val="Hyperlink"/>
          <w:color w:val="auto"/>
          <w:u w:val="none"/>
        </w:rPr>
        <w:t xml:space="preserve"> pabeidza 2014.-2020.gada plānošanas periodā iesaistītajām </w:t>
      </w:r>
      <w:r w:rsidR="0057066A" w:rsidRPr="0032304A">
        <w:rPr>
          <w:rStyle w:val="Hyperlink"/>
          <w:color w:val="auto"/>
          <w:u w:val="none"/>
        </w:rPr>
        <w:t>AI</w:t>
      </w:r>
      <w:r w:rsidR="005B6B68" w:rsidRPr="0032304A">
        <w:rPr>
          <w:rStyle w:val="Hyperlink"/>
          <w:color w:val="auto"/>
          <w:u w:val="none"/>
        </w:rPr>
        <w:t xml:space="preserve"> un </w:t>
      </w:r>
      <w:r w:rsidR="0057066A" w:rsidRPr="0032304A">
        <w:rPr>
          <w:rStyle w:val="Hyperlink"/>
          <w:color w:val="auto"/>
          <w:u w:val="none"/>
        </w:rPr>
        <w:t>SI</w:t>
      </w:r>
      <w:r w:rsidR="005B6B68" w:rsidRPr="0032304A">
        <w:rPr>
          <w:rStyle w:val="Hyperlink"/>
          <w:color w:val="auto"/>
          <w:u w:val="none"/>
        </w:rPr>
        <w:t xml:space="preserve"> (CFLA) </w:t>
      </w:r>
      <w:r w:rsidR="005B6B68" w:rsidRPr="001115EE">
        <w:rPr>
          <w:bCs/>
        </w:rPr>
        <w:t xml:space="preserve">deleģēto funkciju nodrošināšanai izstrādāto iekšējo procedūru pārbaudi. Pārbaudes rezultātā tika izteikti ieteikumi, kas tiek novērsti, ievērojot </w:t>
      </w:r>
      <w:r w:rsidR="002C0654">
        <w:rPr>
          <w:bCs/>
        </w:rPr>
        <w:t xml:space="preserve">VI </w:t>
      </w:r>
      <w:r w:rsidR="005B6B68" w:rsidRPr="001115EE">
        <w:rPr>
          <w:bCs/>
        </w:rPr>
        <w:t xml:space="preserve">noteiktos termiņus. </w:t>
      </w:r>
      <w:r w:rsidR="002C0654">
        <w:rPr>
          <w:bCs/>
        </w:rPr>
        <w:t xml:space="preserve">Kopumā rezultāts pozitīvs, gūta pietiekoša pārliecība par iekšējās kontroles vides  atbilstību prasībām. </w:t>
      </w:r>
    </w:p>
    <w:p w14:paraId="5E6A4608" w14:textId="6DC5181E" w:rsidR="00DB29ED" w:rsidRPr="001115EE" w:rsidRDefault="00DB29ED" w:rsidP="00E67DAB">
      <w:pPr>
        <w:pStyle w:val="ListParagraph"/>
        <w:tabs>
          <w:tab w:val="left" w:pos="851"/>
        </w:tabs>
        <w:spacing w:before="120" w:after="120" w:line="276" w:lineRule="auto"/>
        <w:ind w:left="0" w:firstLine="567"/>
        <w:contextualSpacing w:val="0"/>
        <w:jc w:val="both"/>
        <w:rPr>
          <w:bCs/>
        </w:rPr>
      </w:pPr>
      <w:r w:rsidRPr="0032304A">
        <w:rPr>
          <w:rStyle w:val="Hyperlink"/>
          <w:color w:val="auto"/>
          <w:u w:val="none"/>
        </w:rPr>
        <w:t>Tāpat VI ir uzsākusi atsevišķas SI darbību izpildes pārbaudes ar mērķi gūt pārliecību par atbilstošu deleģēto funkciju izpildi.</w:t>
      </w:r>
    </w:p>
    <w:p w14:paraId="3026C214" w14:textId="1BB7BB79" w:rsidR="00F2015A" w:rsidRPr="001115EE" w:rsidRDefault="007F656B" w:rsidP="00E67DAB">
      <w:pPr>
        <w:pStyle w:val="ListParagraph"/>
        <w:tabs>
          <w:tab w:val="left" w:pos="851"/>
        </w:tabs>
        <w:spacing w:before="120" w:after="120" w:line="276" w:lineRule="auto"/>
        <w:ind w:left="0" w:firstLine="567"/>
        <w:contextualSpacing w:val="0"/>
        <w:jc w:val="both"/>
        <w:rPr>
          <w:bCs/>
        </w:rPr>
      </w:pPr>
      <w:r>
        <w:rPr>
          <w:bCs/>
        </w:rPr>
        <w:t>7</w:t>
      </w:r>
      <w:r w:rsidR="00C737B3" w:rsidRPr="001115EE">
        <w:rPr>
          <w:bCs/>
        </w:rPr>
        <w:t>) 2015.gada</w:t>
      </w:r>
      <w:r w:rsidR="002F58D7" w:rsidRPr="001115EE">
        <w:rPr>
          <w:bCs/>
        </w:rPr>
        <w:t xml:space="preserve"> </w:t>
      </w:r>
      <w:r w:rsidR="00C737B3" w:rsidRPr="001115EE">
        <w:rPr>
          <w:bCs/>
        </w:rPr>
        <w:t>decembrī</w:t>
      </w:r>
      <w:r w:rsidR="00192033" w:rsidRPr="001115EE">
        <w:rPr>
          <w:bCs/>
        </w:rPr>
        <w:t xml:space="preserve">, saskaņā ar </w:t>
      </w:r>
      <w:r w:rsidRPr="007F656B">
        <w:rPr>
          <w:bCs/>
        </w:rPr>
        <w:t>Eiropas Savienības struktūrfondu un Kohēzijas</w:t>
      </w:r>
      <w:r w:rsidR="00192033" w:rsidRPr="001115EE">
        <w:rPr>
          <w:bCs/>
        </w:rPr>
        <w:t xml:space="preserve"> </w:t>
      </w:r>
      <w:r w:rsidR="0032304A">
        <w:rPr>
          <w:bCs/>
        </w:rPr>
        <w:t>fond</w:t>
      </w:r>
      <w:r>
        <w:rPr>
          <w:bCs/>
        </w:rPr>
        <w:t>a</w:t>
      </w:r>
      <w:r w:rsidR="00192033" w:rsidRPr="001115EE">
        <w:rPr>
          <w:bCs/>
        </w:rPr>
        <w:t xml:space="preserve"> 2014.-2020.gada plānošanas perioda vadības likuma 10.panta trešās daļas 1.punktu, </w:t>
      </w:r>
      <w:r w:rsidR="0032304A">
        <w:rPr>
          <w:bCs/>
        </w:rPr>
        <w:t>MK</w:t>
      </w:r>
      <w:r w:rsidR="00192033" w:rsidRPr="001115EE">
        <w:rPr>
          <w:bCs/>
        </w:rPr>
        <w:t xml:space="preserve"> noteikumu Nr.611</w:t>
      </w:r>
      <w:r w:rsidR="00621F6C">
        <w:rPr>
          <w:rStyle w:val="FootnoteReference"/>
          <w:bCs/>
        </w:rPr>
        <w:footnoteReference w:id="59"/>
      </w:r>
      <w:r w:rsidR="00192033" w:rsidRPr="001115EE">
        <w:rPr>
          <w:bCs/>
        </w:rPr>
        <w:t xml:space="preserve"> 8.9.apakšpunktu un 19.punktu, kā arī ievērojot </w:t>
      </w:r>
      <w:r w:rsidR="002F58D7" w:rsidRPr="001115EE">
        <w:rPr>
          <w:bCs/>
        </w:rPr>
        <w:t>d</w:t>
      </w:r>
      <w:r w:rsidR="00192033" w:rsidRPr="001115EE">
        <w:rPr>
          <w:bCs/>
        </w:rPr>
        <w:t>eleģēšanas līgum</w:t>
      </w:r>
      <w:r w:rsidR="002F58D7" w:rsidRPr="001115EE">
        <w:rPr>
          <w:bCs/>
        </w:rPr>
        <w:t>os</w:t>
      </w:r>
      <w:r w:rsidR="00192033" w:rsidRPr="001115EE">
        <w:rPr>
          <w:bCs/>
        </w:rPr>
        <w:t xml:space="preserve"> ar pašvaldīb</w:t>
      </w:r>
      <w:r w:rsidR="002F58D7" w:rsidRPr="001115EE">
        <w:rPr>
          <w:bCs/>
        </w:rPr>
        <w:t>ām</w:t>
      </w:r>
      <w:r w:rsidR="00192033" w:rsidRPr="001115EE">
        <w:rPr>
          <w:bCs/>
        </w:rPr>
        <w:t xml:space="preserve"> par integrētu teritoriālo investīciju projektu iesniegumu atlases nodrošināšanu noteikto, </w:t>
      </w:r>
      <w:r w:rsidR="0057066A" w:rsidRPr="001115EE">
        <w:rPr>
          <w:bCs/>
        </w:rPr>
        <w:t>VI</w:t>
      </w:r>
      <w:r w:rsidR="00192033" w:rsidRPr="001115EE">
        <w:rPr>
          <w:bCs/>
        </w:rPr>
        <w:t xml:space="preserve"> ir uzsākusi pašvaldību iekšējo procedūru aprakstu pārbaudi.</w:t>
      </w:r>
    </w:p>
    <w:p w14:paraId="5C9CF8FE" w14:textId="3AC60FF4" w:rsidR="009C0862" w:rsidRPr="00DC6335" w:rsidRDefault="009C0862" w:rsidP="00DC6335">
      <w:pPr>
        <w:tabs>
          <w:tab w:val="left" w:pos="851"/>
        </w:tabs>
        <w:spacing w:before="120" w:after="120" w:line="276" w:lineRule="auto"/>
        <w:jc w:val="both"/>
        <w:rPr>
          <w:b/>
        </w:rPr>
      </w:pPr>
      <w:r w:rsidRPr="00DC6335">
        <w:rPr>
          <w:b/>
        </w:rPr>
        <w:lastRenderedPageBreak/>
        <w:t xml:space="preserve">Pārskata periodā MK </w:t>
      </w:r>
      <w:r w:rsidR="00591574" w:rsidRPr="00DC6335">
        <w:rPr>
          <w:b/>
        </w:rPr>
        <w:t xml:space="preserve">ir apstiprināti šādi </w:t>
      </w:r>
      <w:r w:rsidRPr="00DC6335">
        <w:rPr>
          <w:b/>
        </w:rPr>
        <w:t xml:space="preserve">MK </w:t>
      </w:r>
      <w:r w:rsidR="00591574" w:rsidRPr="00DC6335">
        <w:rPr>
          <w:b/>
        </w:rPr>
        <w:t>noteikumi</w:t>
      </w:r>
      <w:r w:rsidRPr="00DC6335">
        <w:rPr>
          <w:b/>
        </w:rPr>
        <w:t>:</w:t>
      </w:r>
    </w:p>
    <w:p w14:paraId="0D08FD8C" w14:textId="68577A81" w:rsidR="009C0862" w:rsidRPr="00773EEB" w:rsidRDefault="00773EEB" w:rsidP="0023714E">
      <w:pPr>
        <w:pStyle w:val="ListParagraph"/>
        <w:numPr>
          <w:ilvl w:val="1"/>
          <w:numId w:val="8"/>
        </w:numPr>
        <w:tabs>
          <w:tab w:val="left" w:pos="993"/>
        </w:tabs>
        <w:spacing w:line="276" w:lineRule="auto"/>
        <w:ind w:left="284"/>
        <w:jc w:val="both"/>
      </w:pPr>
      <w:r w:rsidRPr="00773EEB">
        <w:t>Ministru kabinet</w:t>
      </w:r>
      <w:r w:rsidR="000D5828">
        <w:t>s</w:t>
      </w:r>
      <w:r w:rsidRPr="00773EEB">
        <w:t xml:space="preserve"> 2015.gada 25.august</w:t>
      </w:r>
      <w:r w:rsidR="000D5828">
        <w:t>ā apstiprinājis noteikumus, kas nosaka kārtību, kādā  īstenos tehniskās palīdzības specifiskā atbalsta mērķus, prasības projektu iesniedzējiem un sadarbības partneriem, minēto mērķu īstenošanai maksimāli pieejamo finansējumu</w:t>
      </w:r>
      <w:r w:rsidR="000D5828">
        <w:rPr>
          <w:rStyle w:val="FootnoteReference"/>
        </w:rPr>
        <w:footnoteReference w:id="60"/>
      </w:r>
      <w:r w:rsidR="000D5828">
        <w:t xml:space="preserve">. </w:t>
      </w:r>
      <w:r w:rsidRPr="00773EEB">
        <w:t xml:space="preserve"> </w:t>
      </w:r>
      <w:r w:rsidR="000D5828">
        <w:t xml:space="preserve">Minētie noteikumi </w:t>
      </w:r>
      <w:r w:rsidRPr="00773EEB">
        <w:t>stāj</w:t>
      </w:r>
      <w:r w:rsidR="00B64CF6">
        <w:t>ā</w:t>
      </w:r>
      <w:r w:rsidRPr="00773EEB">
        <w:t xml:space="preserve">s spēkā 2015.gada 4.septembrī. </w:t>
      </w:r>
    </w:p>
    <w:p w14:paraId="2CF38C19" w14:textId="65127ACE" w:rsidR="009C0862" w:rsidRPr="00773EEB" w:rsidRDefault="002F6B78" w:rsidP="0023714E">
      <w:pPr>
        <w:pStyle w:val="ListParagraph"/>
        <w:numPr>
          <w:ilvl w:val="1"/>
          <w:numId w:val="8"/>
        </w:numPr>
        <w:tabs>
          <w:tab w:val="left" w:pos="635"/>
        </w:tabs>
        <w:spacing w:line="276" w:lineRule="auto"/>
        <w:ind w:left="284" w:hanging="357"/>
        <w:jc w:val="both"/>
      </w:pPr>
      <w:r w:rsidRPr="002F6B78">
        <w:t>Ministru kabinet</w:t>
      </w:r>
      <w:r w:rsidR="000D5828">
        <w:t>s</w:t>
      </w:r>
      <w:r w:rsidRPr="002F6B78">
        <w:t xml:space="preserve"> 2015.gada</w:t>
      </w:r>
      <w:r w:rsidR="00773EEB" w:rsidRPr="00773EEB">
        <w:t xml:space="preserve"> 8.septembr</w:t>
      </w:r>
      <w:r w:rsidR="000D5828">
        <w:t>ī</w:t>
      </w:r>
      <w:r w:rsidR="00773EEB" w:rsidRPr="00773EEB">
        <w:t xml:space="preserve"> </w:t>
      </w:r>
      <w:r w:rsidR="000D5828">
        <w:t xml:space="preserve">apstiprinājis noteikumus, kas nosaka </w:t>
      </w:r>
      <w:r w:rsidR="00476854">
        <w:t>kārtību, kādā ziņo par konstatētajām neatbilstībām ES fondu projektos, noraksta, ietur un atgūs neatbilstoši veiktos izdevumus, kā arī piemēro proporcionālo finanšu korekciju.</w:t>
      </w:r>
      <w:r w:rsidR="000D5828">
        <w:rPr>
          <w:rStyle w:val="FootnoteReference"/>
        </w:rPr>
        <w:footnoteReference w:id="61"/>
      </w:r>
      <w:r w:rsidR="00773EEB" w:rsidRPr="000D796E">
        <w:t xml:space="preserve"> </w:t>
      </w:r>
      <w:r w:rsidR="00476854">
        <w:t xml:space="preserve">Minētie noteikumi </w:t>
      </w:r>
      <w:r w:rsidR="00B64CF6" w:rsidRPr="000D796E">
        <w:t>stāj</w:t>
      </w:r>
      <w:r w:rsidR="00B64CF6">
        <w:t>ā</w:t>
      </w:r>
      <w:r w:rsidR="00B64CF6" w:rsidRPr="000D796E">
        <w:t xml:space="preserve">s </w:t>
      </w:r>
      <w:r w:rsidR="00773EEB" w:rsidRPr="000D796E">
        <w:t xml:space="preserve">spēkā </w:t>
      </w:r>
      <w:r w:rsidR="00773EEB" w:rsidRPr="00773EEB">
        <w:t xml:space="preserve">2015.gada 12.septembrī. </w:t>
      </w:r>
    </w:p>
    <w:p w14:paraId="4B939A83" w14:textId="3554378B" w:rsidR="00B303A0" w:rsidRPr="00727F91" w:rsidRDefault="00727F91" w:rsidP="00727F91">
      <w:pPr>
        <w:tabs>
          <w:tab w:val="left" w:pos="851"/>
        </w:tabs>
        <w:spacing w:before="120" w:after="120" w:line="276" w:lineRule="auto"/>
        <w:jc w:val="both"/>
        <w:rPr>
          <w:b/>
        </w:rPr>
      </w:pPr>
      <w:r>
        <w:rPr>
          <w:b/>
        </w:rPr>
        <w:t>V</w:t>
      </w:r>
      <w:r w:rsidR="009C0862" w:rsidRPr="00727F91">
        <w:rPr>
          <w:b/>
        </w:rPr>
        <w:t>eikti pasākumi jaunā plānošanas perioda metodoloģiskā atbalsta sniegšanai.</w:t>
      </w:r>
    </w:p>
    <w:p w14:paraId="7BD6BDC9" w14:textId="7AE39660" w:rsidR="00631109" w:rsidRPr="00773EEB" w:rsidRDefault="00B303A0" w:rsidP="00B303A0">
      <w:pPr>
        <w:tabs>
          <w:tab w:val="left" w:pos="851"/>
        </w:tabs>
        <w:spacing w:before="120" w:after="120" w:line="276" w:lineRule="auto"/>
        <w:jc w:val="both"/>
      </w:pPr>
      <w:r w:rsidRPr="00773EEB">
        <w:t xml:space="preserve">Pārskata periodā </w:t>
      </w:r>
      <w:r w:rsidRPr="00773EEB">
        <w:rPr>
          <w:u w:val="single"/>
        </w:rPr>
        <w:t>izstrādātas</w:t>
      </w:r>
      <w:r w:rsidRPr="00773EEB">
        <w:t xml:space="preserve"> </w:t>
      </w:r>
      <w:r w:rsidR="002C0654">
        <w:t>v</w:t>
      </w:r>
      <w:r w:rsidR="00631109" w:rsidRPr="00631109">
        <w:t>adlīnijas par finanšu korekciju piemērošanu, ziņošanu par Eiropas Savienības fondu ieviešanā konstatētajām neatbilstībām, neatbilstoši veikto izdevumu atgūšanu 2014.-2020.gada plānošanas periodā</w:t>
      </w:r>
      <w:r w:rsidR="00631109">
        <w:t xml:space="preserve"> (2015.gada 30.oktobris). </w:t>
      </w:r>
    </w:p>
    <w:p w14:paraId="61110CBF" w14:textId="77777777" w:rsidR="00B303A0" w:rsidRPr="000C686F" w:rsidRDefault="00B303A0" w:rsidP="00B303A0">
      <w:pPr>
        <w:tabs>
          <w:tab w:val="left" w:pos="851"/>
        </w:tabs>
        <w:spacing w:before="120" w:after="120" w:line="276" w:lineRule="auto"/>
        <w:jc w:val="both"/>
      </w:pPr>
      <w:r w:rsidRPr="000C686F">
        <w:t xml:space="preserve">Pārskata periodā </w:t>
      </w:r>
      <w:r w:rsidRPr="000C686F">
        <w:rPr>
          <w:u w:val="single"/>
        </w:rPr>
        <w:t>aktualizētas</w:t>
      </w:r>
      <w:r w:rsidRPr="000C686F">
        <w:t xml:space="preserve"> šādas vadlīnijas un metodikas:</w:t>
      </w:r>
    </w:p>
    <w:p w14:paraId="6622E4F5" w14:textId="22308068" w:rsidR="00B303A0" w:rsidRDefault="00773EEB" w:rsidP="00DC6335">
      <w:pPr>
        <w:pStyle w:val="ListParagraph"/>
        <w:numPr>
          <w:ilvl w:val="1"/>
          <w:numId w:val="23"/>
        </w:numPr>
        <w:tabs>
          <w:tab w:val="left" w:pos="851"/>
        </w:tabs>
        <w:spacing w:line="276" w:lineRule="auto"/>
        <w:ind w:left="426"/>
        <w:jc w:val="both"/>
      </w:pPr>
      <w:r w:rsidRPr="00773EEB">
        <w:t>Eiropas Savienības fondu 2014.-2020. gada plānošanas perioda publicitātes vadlīnijas Eiropas Savienības fondu finansējuma saņēmējiem</w:t>
      </w:r>
      <w:r>
        <w:t xml:space="preserve"> (2015.gada </w:t>
      </w:r>
      <w:r w:rsidR="000D796E">
        <w:t>10.jūlijs</w:t>
      </w:r>
      <w:r>
        <w:t xml:space="preserve">); </w:t>
      </w:r>
    </w:p>
    <w:p w14:paraId="63B68895" w14:textId="77777777" w:rsidR="00B303A0" w:rsidRDefault="00B303A0" w:rsidP="00DC6335">
      <w:pPr>
        <w:pStyle w:val="ListParagraph"/>
        <w:numPr>
          <w:ilvl w:val="1"/>
          <w:numId w:val="23"/>
        </w:numPr>
        <w:tabs>
          <w:tab w:val="left" w:pos="851"/>
        </w:tabs>
        <w:spacing w:line="276" w:lineRule="auto"/>
        <w:ind w:left="426"/>
        <w:jc w:val="both"/>
      </w:pPr>
      <w:r w:rsidRPr="000C686F">
        <w:t>2015.gada 24.aprīlī apstiprinātie “Metodiskie</w:t>
      </w:r>
      <w:r w:rsidRPr="00BD1B63">
        <w:t xml:space="preserve"> norādījumi specifisko krāpšanas un korupcijas risku novērtēšanai Eiropas Reģionālās attīstības fonda, Eiropas Sociālā fonda un Kohēzijas fonda projektu ieviešanā 2014</w:t>
      </w:r>
      <w:r>
        <w:t>.-2020.gada plānošanas periodā” (</w:t>
      </w:r>
      <w:r w:rsidRPr="00BD1B63">
        <w:t>2015.gada 17.decembr</w:t>
      </w:r>
      <w:r>
        <w:t>is).</w:t>
      </w:r>
    </w:p>
    <w:p w14:paraId="1B357397" w14:textId="56A4F1D5" w:rsidR="000D796E" w:rsidRDefault="000D796E" w:rsidP="00DC6335">
      <w:pPr>
        <w:pStyle w:val="ListParagraph"/>
        <w:numPr>
          <w:ilvl w:val="1"/>
          <w:numId w:val="23"/>
        </w:numPr>
        <w:tabs>
          <w:tab w:val="left" w:pos="851"/>
        </w:tabs>
        <w:spacing w:line="276" w:lineRule="auto"/>
        <w:ind w:left="426"/>
        <w:jc w:val="both"/>
      </w:pPr>
      <w:r w:rsidRPr="000D796E">
        <w:t xml:space="preserve">Metodika par iepirkumu </w:t>
      </w:r>
      <w:proofErr w:type="spellStart"/>
      <w:r w:rsidRPr="000D796E">
        <w:t>pirmspārbaužu</w:t>
      </w:r>
      <w:proofErr w:type="spellEnd"/>
      <w:r w:rsidRPr="000D796E">
        <w:t xml:space="preserve"> veikšanu sadarbības iestādei Eiropas Savienības struktūrfondu un Kohēzijas fonda 201</w:t>
      </w:r>
      <w:r>
        <w:t>4.-2020.gada plānošanas periodā (2015.gada 5.augusts);</w:t>
      </w:r>
    </w:p>
    <w:p w14:paraId="0D191335" w14:textId="744720E7" w:rsidR="000D796E" w:rsidRPr="00BD1B63" w:rsidRDefault="000D796E" w:rsidP="00DC6335">
      <w:pPr>
        <w:pStyle w:val="ListParagraph"/>
        <w:numPr>
          <w:ilvl w:val="1"/>
          <w:numId w:val="23"/>
        </w:numPr>
        <w:tabs>
          <w:tab w:val="left" w:pos="851"/>
        </w:tabs>
        <w:spacing w:line="276" w:lineRule="auto"/>
        <w:ind w:left="426"/>
        <w:jc w:val="both"/>
      </w:pPr>
      <w:r w:rsidRPr="000D796E">
        <w:t>Vadlīnijas, kas nosaka Eiropas Savienības struktūrfondu un Kohēzijas fonda uzraudzības sistēmas darbības pamatprincipus un kārtību 2014.-2020.gada plānošanas periodā</w:t>
      </w:r>
      <w:r>
        <w:t xml:space="preserve"> (2015.gada 29.decembris)</w:t>
      </w:r>
    </w:p>
    <w:p w14:paraId="6CA2A673" w14:textId="3452970E" w:rsidR="00B303A0" w:rsidRPr="001115EE" w:rsidRDefault="00B303A0" w:rsidP="00DC6335">
      <w:pPr>
        <w:spacing w:before="120" w:after="120"/>
      </w:pPr>
      <w:r w:rsidRPr="001115EE">
        <w:t xml:space="preserve">Vadlīnijas un metodikas pieejamas ES fondu </w:t>
      </w:r>
      <w:r w:rsidR="00535479" w:rsidRPr="001115EE">
        <w:t>tīmekļa vietnē</w:t>
      </w:r>
      <w:r w:rsidRPr="001115EE">
        <w:rPr>
          <w:rStyle w:val="FootnoteReference"/>
        </w:rPr>
        <w:footnoteReference w:id="62"/>
      </w:r>
      <w:r w:rsidRPr="001115EE">
        <w:t xml:space="preserve">. </w:t>
      </w:r>
    </w:p>
    <w:p w14:paraId="31C4287F" w14:textId="480F12B7" w:rsidR="00BB72F6" w:rsidRPr="001115EE" w:rsidRDefault="009C0862" w:rsidP="00DC6335">
      <w:pPr>
        <w:tabs>
          <w:tab w:val="left" w:pos="851"/>
        </w:tabs>
        <w:spacing w:before="120" w:after="120" w:line="276" w:lineRule="auto"/>
        <w:jc w:val="both"/>
      </w:pPr>
      <w:r w:rsidRPr="001115EE">
        <w:t xml:space="preserve">Turpinās darbs pie </w:t>
      </w:r>
      <w:r w:rsidR="00465BDF" w:rsidRPr="00DC6335">
        <w:rPr>
          <w:color w:val="000000"/>
          <w:lang w:eastAsia="lv-LV"/>
        </w:rPr>
        <w:t>Kohēzijas politikas vadības informācijas sistēmas 2014.-2020.gadam (turpmāk – KP VIS)</w:t>
      </w:r>
      <w:r w:rsidR="00465BDF" w:rsidRPr="001115EE">
        <w:t xml:space="preserve"> </w:t>
      </w:r>
      <w:r w:rsidRPr="001115EE">
        <w:t xml:space="preserve"> izveides. Līdz 2015.gada </w:t>
      </w:r>
      <w:r w:rsidR="00A85ED7" w:rsidRPr="001115EE">
        <w:t>31.decembrim</w:t>
      </w:r>
      <w:r w:rsidRPr="001115EE">
        <w:t xml:space="preserve"> KP VIS ir iestrādāti obligātie datu lauki</w:t>
      </w:r>
      <w:r w:rsidR="003A73FE" w:rsidRPr="001115EE">
        <w:t xml:space="preserve"> un e-vide</w:t>
      </w:r>
      <w:r w:rsidRPr="001115EE">
        <w:t xml:space="preserve"> atbilstoši deleģētās regulas nosacījumiem</w:t>
      </w:r>
      <w:r w:rsidR="00A85ED7" w:rsidRPr="001115EE">
        <w:t xml:space="preserve"> izņemot</w:t>
      </w:r>
      <w:r w:rsidR="003A73FE" w:rsidRPr="001115EE">
        <w:t xml:space="preserve"> sadaļai</w:t>
      </w:r>
      <w:r w:rsidR="00A85ED7" w:rsidRPr="001115EE">
        <w:t xml:space="preserve"> priekš </w:t>
      </w:r>
      <w:r w:rsidR="003A73FE" w:rsidRPr="001115EE">
        <w:t>Finanšu instrumentiem,</w:t>
      </w:r>
      <w:r w:rsidR="00EF7DF8" w:rsidRPr="001115EE">
        <w:t xml:space="preserve"> par</w:t>
      </w:r>
      <w:r w:rsidR="003A73FE" w:rsidRPr="001115EE">
        <w:t xml:space="preserve"> kur</w:t>
      </w:r>
      <w:r w:rsidR="00EF7DF8" w:rsidRPr="001115EE">
        <w:t>u norisinās</w:t>
      </w:r>
      <w:r w:rsidR="003A73FE" w:rsidRPr="001115EE">
        <w:t xml:space="preserve"> </w:t>
      </w:r>
      <w:r w:rsidR="00EF7DF8" w:rsidRPr="001115EE">
        <w:t>prasību saskaņošana starp iesaistītajām pusēm</w:t>
      </w:r>
      <w:r w:rsidRPr="001115EE">
        <w:t>.</w:t>
      </w:r>
    </w:p>
    <w:p w14:paraId="15E7EC52" w14:textId="054DBFFD" w:rsidR="002F6B78" w:rsidRDefault="002F6B78" w:rsidP="00DC6335">
      <w:pPr>
        <w:tabs>
          <w:tab w:val="left" w:pos="851"/>
        </w:tabs>
        <w:spacing w:before="120" w:after="120" w:line="276" w:lineRule="auto"/>
        <w:jc w:val="both"/>
      </w:pPr>
      <w:r w:rsidRPr="001115EE">
        <w:lastRenderedPageBreak/>
        <w:t xml:space="preserve">Pārskata periodā ar republikas nozīmes pilsētu pašvaldībām </w:t>
      </w:r>
      <w:r w:rsidR="00B64CF6" w:rsidRPr="001115EE">
        <w:t xml:space="preserve">ir noslēgti </w:t>
      </w:r>
      <w:r w:rsidRPr="001115EE">
        <w:t xml:space="preserve">Deleģēšanas </w:t>
      </w:r>
      <w:r w:rsidR="00B64CF6" w:rsidRPr="001115EE">
        <w:t xml:space="preserve">līgumi </w:t>
      </w:r>
      <w:r w:rsidRPr="001115EE">
        <w:t>par integrētu teritoriālo investīciju projektu iesniegumu atlases nodrošināšanu.</w:t>
      </w:r>
    </w:p>
    <w:p w14:paraId="317AFA5E" w14:textId="5EF057F1" w:rsidR="002C0654" w:rsidRPr="001115EE" w:rsidRDefault="002C0654" w:rsidP="00DC6335">
      <w:pPr>
        <w:tabs>
          <w:tab w:val="left" w:pos="851"/>
        </w:tabs>
        <w:spacing w:before="120" w:after="120" w:line="276" w:lineRule="auto"/>
        <w:jc w:val="both"/>
      </w:pPr>
      <w:r>
        <w:t>Kopumā secināms, ka ES fondu 2014.-2020.gadu plānošanas perioda projektu admin</w:t>
      </w:r>
      <w:r w:rsidR="00F276C7">
        <w:t>i</w:t>
      </w:r>
      <w:r>
        <w:t xml:space="preserve">strēšanas sistēma ir gan izveidota, gan arī jau darbojas pietiekami efektīvi un bez ievērojamiem trūkumiem. </w:t>
      </w:r>
      <w:r w:rsidR="00DB634A">
        <w:t>VI sadarbībā ar iesaistītām pusēm arvien izskatīs iespējas un nepieciešamību veikt uzlabojumus, pilnveidojumus kādos procesos vai normās, lai maksimāli mazinātu admin</w:t>
      </w:r>
      <w:r w:rsidR="00F276C7">
        <w:t>i</w:t>
      </w:r>
      <w:r w:rsidR="00DB634A">
        <w:t xml:space="preserve">stratīvo slogu visos līmeņos, vienlaikus veicinot fokusu uz labāko rezultātu un lielāko ieguvumu Latvijas tautsaimniecībai un iedzīvotājiem. </w:t>
      </w:r>
    </w:p>
    <w:p w14:paraId="4F7B523B" w14:textId="490E91C0" w:rsidR="0002110F" w:rsidRPr="005D0684" w:rsidRDefault="0002110F" w:rsidP="004D147C">
      <w:pPr>
        <w:pStyle w:val="1lmenis"/>
        <w:rPr>
          <w:rFonts w:eastAsia="Times New Roman"/>
        </w:rPr>
      </w:pPr>
      <w:bookmarkStart w:id="28" w:name="_Toc443658866"/>
      <w:r w:rsidRPr="0002110F">
        <w:t xml:space="preserve">2007-2013. un 2014.-2020.gada plānošanas periodu ES fondu izvērtēšanas </w:t>
      </w:r>
      <w:r w:rsidRPr="00DE1F64">
        <w:t>jautājumi</w:t>
      </w:r>
      <w:bookmarkEnd w:id="28"/>
    </w:p>
    <w:p w14:paraId="28476CC9" w14:textId="1299B11E" w:rsidR="001115EE" w:rsidRDefault="00DB26B5" w:rsidP="001115EE">
      <w:pPr>
        <w:spacing w:before="120" w:after="120" w:line="276" w:lineRule="auto"/>
        <w:jc w:val="both"/>
      </w:pPr>
      <w:r>
        <w:t xml:space="preserve">2015.gada 30.aprīlī </w:t>
      </w:r>
      <w:r w:rsidR="0032304A" w:rsidRPr="001115EE">
        <w:t>ES fondu</w:t>
      </w:r>
      <w:r w:rsidRPr="001115EE">
        <w:t xml:space="preserve"> 2014. –</w:t>
      </w:r>
      <w:r w:rsidR="0043482E" w:rsidRPr="001115EE">
        <w:t xml:space="preserve"> 2020.gada plānošanas perioda </w:t>
      </w:r>
      <w:r w:rsidR="00BB26A8" w:rsidRPr="001115EE">
        <w:t>UK</w:t>
      </w:r>
      <w:r w:rsidRPr="001115EE">
        <w:t xml:space="preserve"> sēdē tika apstiprināts</w:t>
      </w:r>
      <w:r>
        <w:rPr>
          <w:color w:val="555555"/>
        </w:rPr>
        <w:t xml:space="preserve"> </w:t>
      </w:r>
      <w:r w:rsidR="0032304A">
        <w:t>ES fondu</w:t>
      </w:r>
      <w:r w:rsidRPr="00DE1F64">
        <w:t xml:space="preserve"> </w:t>
      </w:r>
      <w:r w:rsidRPr="006D28B0">
        <w:t>izvērtēšanas plān</w:t>
      </w:r>
      <w:r w:rsidR="00AD40B2">
        <w:t>s 2014. – 2020.</w:t>
      </w:r>
      <w:r w:rsidRPr="006D28B0">
        <w:t>gadam</w:t>
      </w:r>
      <w:r>
        <w:t xml:space="preserve"> (turpmāk – izvērtēšanas plāns 2014. – 2020.gadam) un 2015.gada 18.jūnijā </w:t>
      </w:r>
      <w:r>
        <w:rPr>
          <w:color w:val="555555"/>
        </w:rPr>
        <w:t xml:space="preserve"> </w:t>
      </w:r>
      <w:r w:rsidRPr="006D28B0">
        <w:t>Kon</w:t>
      </w:r>
      <w:r w:rsidR="00F276C7">
        <w:t>s</w:t>
      </w:r>
      <w:r w:rsidR="0038143D">
        <w:t>u</w:t>
      </w:r>
      <w:r w:rsidRPr="006D28B0">
        <w:t>ltatīvās izvērtēšanas darba grupā</w:t>
      </w:r>
      <w:r>
        <w:t xml:space="preserve"> (turpmāk – KIDG) apstiprināts Ikgadējais izvērtēšanas plāns 2015.gadam.</w:t>
      </w:r>
    </w:p>
    <w:p w14:paraId="764A3494" w14:textId="12FC8D9F" w:rsidR="00A81669" w:rsidRPr="005D0684" w:rsidRDefault="00A81669" w:rsidP="001115EE">
      <w:pPr>
        <w:spacing w:before="120" w:after="120" w:line="276" w:lineRule="auto"/>
        <w:jc w:val="both"/>
      </w:pPr>
      <w:r w:rsidRPr="005D0684">
        <w:t>Atbilstoši i</w:t>
      </w:r>
      <w:r w:rsidR="00DB26B5" w:rsidRPr="00DB26B5">
        <w:t>zvērtēšanas plānā 2014. – 2020.</w:t>
      </w:r>
      <w:r w:rsidRPr="005D0684">
        <w:t>gadam noteiktajam, VI ir sagat</w:t>
      </w:r>
      <w:r w:rsidR="00B72689">
        <w:t>a</w:t>
      </w:r>
      <w:r w:rsidRPr="005D0684">
        <w:t xml:space="preserve">vojusi  un 2015.gada novembrī  visām </w:t>
      </w:r>
      <w:r w:rsidR="00DB26B5">
        <w:t>KIDG</w:t>
      </w:r>
      <w:r w:rsidR="004A7193">
        <w:t xml:space="preserve"> </w:t>
      </w:r>
      <w:r w:rsidRPr="005D0684">
        <w:t xml:space="preserve">pārstāvētajām institūcijām nosūtījusi un prezentējusi </w:t>
      </w:r>
      <w:r w:rsidR="004A7193" w:rsidRPr="00DB26B5">
        <w:t>i</w:t>
      </w:r>
      <w:r w:rsidRPr="005D0684">
        <w:t xml:space="preserve">eteikumus </w:t>
      </w:r>
      <w:r w:rsidR="0032304A">
        <w:t>ES</w:t>
      </w:r>
      <w:r w:rsidRPr="005D0684">
        <w:t xml:space="preserve"> fondu ieguldījumu izvērtēšanai (turpmāk – izvērtēšanas ieteikumi). Izvērtēšanas ieteikumi sniedz informāciju ikvienam iesaistītajam </w:t>
      </w:r>
      <w:r w:rsidR="0032304A">
        <w:t>ES</w:t>
      </w:r>
      <w:r w:rsidRPr="005D0684">
        <w:t xml:space="preserve"> fondu izvērtēšanā iesaistītajiem par tādiem aspektiem kā:</w:t>
      </w:r>
    </w:p>
    <w:p w14:paraId="17D001A3" w14:textId="77777777" w:rsidR="00A81669" w:rsidRPr="005D0684" w:rsidRDefault="00A81669" w:rsidP="001115EE">
      <w:pPr>
        <w:numPr>
          <w:ilvl w:val="0"/>
          <w:numId w:val="14"/>
        </w:numPr>
        <w:spacing w:line="276" w:lineRule="auto"/>
      </w:pPr>
      <w:r w:rsidRPr="005D0684">
        <w:t>kas ir izvērtēšana un kādēļ tā nepieciešama;</w:t>
      </w:r>
    </w:p>
    <w:p w14:paraId="21DB8509" w14:textId="77777777" w:rsidR="00A81669" w:rsidRPr="005D0684" w:rsidRDefault="00A81669" w:rsidP="001115EE">
      <w:pPr>
        <w:numPr>
          <w:ilvl w:val="0"/>
          <w:numId w:val="14"/>
        </w:numPr>
        <w:spacing w:line="276" w:lineRule="auto"/>
      </w:pPr>
      <w:r w:rsidRPr="005D0684">
        <w:t xml:space="preserve">kā izstrādāt </w:t>
      </w:r>
      <w:proofErr w:type="spellStart"/>
      <w:r w:rsidRPr="005D0684">
        <w:t>izvērtējumus</w:t>
      </w:r>
      <w:proofErr w:type="spellEnd"/>
      <w:r w:rsidRPr="005D0684">
        <w:t>;</w:t>
      </w:r>
    </w:p>
    <w:p w14:paraId="7D8B744C" w14:textId="77777777" w:rsidR="00A81669" w:rsidRPr="005D0684" w:rsidRDefault="00A81669" w:rsidP="001115EE">
      <w:pPr>
        <w:numPr>
          <w:ilvl w:val="0"/>
          <w:numId w:val="14"/>
        </w:numPr>
        <w:spacing w:line="276" w:lineRule="auto"/>
      </w:pPr>
      <w:r w:rsidRPr="005D0684">
        <w:t>kādas ir izvērtēšanas pieejas;</w:t>
      </w:r>
    </w:p>
    <w:p w14:paraId="69F97321" w14:textId="77777777" w:rsidR="00A81669" w:rsidRPr="005D0684" w:rsidRDefault="00A81669" w:rsidP="001115EE">
      <w:pPr>
        <w:numPr>
          <w:ilvl w:val="0"/>
          <w:numId w:val="14"/>
        </w:numPr>
        <w:spacing w:line="276" w:lineRule="auto"/>
      </w:pPr>
      <w:r w:rsidRPr="005D0684">
        <w:t>kā izvēlēties atbilstošākās izvērtēšanas metodes;</w:t>
      </w:r>
    </w:p>
    <w:p w14:paraId="21C2AC01" w14:textId="77777777" w:rsidR="00A81669" w:rsidRPr="005D0684" w:rsidRDefault="00A81669" w:rsidP="001115EE">
      <w:pPr>
        <w:numPr>
          <w:ilvl w:val="0"/>
          <w:numId w:val="14"/>
        </w:numPr>
        <w:spacing w:line="276" w:lineRule="auto"/>
      </w:pPr>
      <w:r w:rsidRPr="005D0684">
        <w:t>kā izmantot izvērtēšanas rezultātus;</w:t>
      </w:r>
    </w:p>
    <w:p w14:paraId="444D753C" w14:textId="77777777" w:rsidR="00A81669" w:rsidRPr="005D0684" w:rsidRDefault="00A81669" w:rsidP="001115EE">
      <w:pPr>
        <w:numPr>
          <w:ilvl w:val="0"/>
          <w:numId w:val="14"/>
        </w:numPr>
        <w:spacing w:line="276" w:lineRule="auto"/>
      </w:pPr>
      <w:r w:rsidRPr="005D0684">
        <w:t>kādā veidā izvērtēšana var uzlabot politikas plānošanu.</w:t>
      </w:r>
    </w:p>
    <w:p w14:paraId="675E66FE" w14:textId="6DE958BA" w:rsidR="00F86704" w:rsidRPr="001115EE" w:rsidRDefault="00802AB7" w:rsidP="001115EE">
      <w:pPr>
        <w:spacing w:line="276" w:lineRule="auto"/>
        <w:jc w:val="both"/>
      </w:pPr>
      <w:r w:rsidRPr="005D0684">
        <w:t xml:space="preserve">2015.gadā </w:t>
      </w:r>
      <w:r w:rsidR="003B063F" w:rsidRPr="005D0684">
        <w:t>noslēdzies darbs pie VI</w:t>
      </w:r>
      <w:r w:rsidR="00DE1F64" w:rsidRPr="005D0684">
        <w:t xml:space="preserve"> sadarbībā ar EK Ietekmes izvērtēšanas centra ekspertiem</w:t>
      </w:r>
      <w:r w:rsidR="003B063F" w:rsidRPr="005D0684">
        <w:t xml:space="preserve"> veiktā </w:t>
      </w:r>
      <w:proofErr w:type="spellStart"/>
      <w:r w:rsidR="003B063F" w:rsidRPr="005D0684">
        <w:t>izvērtējuma</w:t>
      </w:r>
      <w:proofErr w:type="spellEnd"/>
      <w:r w:rsidR="003B063F" w:rsidRPr="005D0684">
        <w:t xml:space="preserve"> </w:t>
      </w:r>
      <w:r w:rsidR="003B063F" w:rsidRPr="00DE1F64">
        <w:t xml:space="preserve">par </w:t>
      </w:r>
      <w:r w:rsidR="0032304A">
        <w:t>DP</w:t>
      </w:r>
      <w:r w:rsidR="003B063F" w:rsidRPr="00DE1F64">
        <w:t xml:space="preserve"> “Cilvēkresursi </w:t>
      </w:r>
      <w:r w:rsidR="005B1017">
        <w:t xml:space="preserve">un nodarbinātība” papildinājuma </w:t>
      </w:r>
      <w:proofErr w:type="spellStart"/>
      <w:r w:rsidR="003B063F" w:rsidRPr="00DE1F64">
        <w:t>apakšaktivitāti</w:t>
      </w:r>
      <w:proofErr w:type="spellEnd"/>
      <w:r w:rsidR="003B063F" w:rsidRPr="00DE1F64">
        <w:t xml:space="preserve"> "Atbalsts nodarbināto apmācībām komersantu  konkurētspējas veicināšanai – atbalsts partnerībās organizētām apmācībām". </w:t>
      </w:r>
      <w:proofErr w:type="spellStart"/>
      <w:r w:rsidR="00DE1F64" w:rsidRPr="00DE1F64">
        <w:t>Izvērtējuma</w:t>
      </w:r>
      <w:proofErr w:type="spellEnd"/>
      <w:r w:rsidR="00DE1F64" w:rsidRPr="00DE1F64">
        <w:t xml:space="preserve"> rezultāti un secinājumi pre</w:t>
      </w:r>
      <w:r w:rsidR="00C65782">
        <w:t>z</w:t>
      </w:r>
      <w:r w:rsidR="00DE1F64" w:rsidRPr="00DE1F64">
        <w:t xml:space="preserve">entēti 2015.gada </w:t>
      </w:r>
      <w:r w:rsidR="00F86704">
        <w:t>11.</w:t>
      </w:r>
      <w:r w:rsidR="00DE1F64" w:rsidRPr="00DE1F64">
        <w:t xml:space="preserve">martā </w:t>
      </w:r>
      <w:r w:rsidR="004A7193">
        <w:t xml:space="preserve">KIDG </w:t>
      </w:r>
      <w:r w:rsidR="00DE1F64" w:rsidRPr="00DE1F64">
        <w:t xml:space="preserve">un 2015.gada </w:t>
      </w:r>
      <w:r w:rsidR="00F86704">
        <w:t>2.</w:t>
      </w:r>
      <w:r w:rsidR="00BB26A8">
        <w:t xml:space="preserve">jūlijā </w:t>
      </w:r>
      <w:r w:rsidR="0032304A">
        <w:t>ES fondu</w:t>
      </w:r>
      <w:r w:rsidR="00DE1F64" w:rsidRPr="00DE1F64">
        <w:t xml:space="preserve"> </w:t>
      </w:r>
      <w:r w:rsidR="00BB26A8">
        <w:t>UK</w:t>
      </w:r>
      <w:r w:rsidR="00DE1F64" w:rsidRPr="00DE1F64">
        <w:t xml:space="preserve"> </w:t>
      </w:r>
      <w:r w:rsidR="00BB26A8">
        <w:t xml:space="preserve"> sēdē</w:t>
      </w:r>
      <w:r w:rsidR="00DE1F64" w:rsidRPr="00DE1F64">
        <w:t xml:space="preserve">. </w:t>
      </w:r>
      <w:proofErr w:type="spellStart"/>
      <w:r w:rsidR="00DE1F64" w:rsidRPr="00DE1F64">
        <w:t>Izvērtējuma</w:t>
      </w:r>
      <w:proofErr w:type="spellEnd"/>
      <w:r w:rsidR="00DE1F64" w:rsidRPr="00DE1F64">
        <w:t xml:space="preserve"> secinājumus un ieteikumus </w:t>
      </w:r>
      <w:r w:rsidR="0032304A">
        <w:t>EM</w:t>
      </w:r>
      <w:r w:rsidR="00DE1F64" w:rsidRPr="00DE1F64">
        <w:t xml:space="preserve"> ņēmusi vērā izstrādājot</w:t>
      </w:r>
      <w:r w:rsidR="000F5C62">
        <w:t xml:space="preserve"> SAM 1.2.2.1. “Atbalsts nodarbināto apmācībām”</w:t>
      </w:r>
      <w:r w:rsidR="00DE1F64" w:rsidRPr="00DE1F64">
        <w:t xml:space="preserve"> </w:t>
      </w:r>
      <w:r w:rsidR="000F5C62">
        <w:t xml:space="preserve">projektu </w:t>
      </w:r>
      <w:r w:rsidR="000F5C62" w:rsidRPr="000F5C62">
        <w:t>iesniegumu v</w:t>
      </w:r>
      <w:r w:rsidR="000F5C62" w:rsidRPr="00F86704">
        <w:t xml:space="preserve">ērtēšanas kritērijus un MK noteikumus atbalsta sniegšanai </w:t>
      </w:r>
      <w:r w:rsidR="00DE1F64" w:rsidRPr="005D0684">
        <w:t xml:space="preserve">2014. – 2020. gada plānošanas </w:t>
      </w:r>
      <w:r w:rsidR="00AD40B2" w:rsidRPr="00AD40B2">
        <w:t>period</w:t>
      </w:r>
      <w:r w:rsidR="00AD40B2">
        <w:t>ā</w:t>
      </w:r>
      <w:r w:rsidR="00DE1F64" w:rsidRPr="000F5C62">
        <w:t>.</w:t>
      </w:r>
      <w:r w:rsidR="007C5DFB">
        <w:t xml:space="preserve"> </w:t>
      </w:r>
      <w:r w:rsidR="004A7193" w:rsidRPr="005D0684">
        <w:t xml:space="preserve">2015.gada 11.novembrī KIDG sanāksmē aktualizēts un apstiprināts Izvērtēšanas ieteikumu plāns, kas papildināts ar 47 lietderīgajiem ieteikumiem no VI veiktā </w:t>
      </w:r>
      <w:proofErr w:type="spellStart"/>
      <w:r w:rsidR="004A7193" w:rsidRPr="005D0684">
        <w:t>izvērtējuma</w:t>
      </w:r>
      <w:proofErr w:type="spellEnd"/>
      <w:r w:rsidR="004A7193" w:rsidRPr="005D0684">
        <w:t xml:space="preserve"> </w:t>
      </w:r>
      <w:r w:rsidR="004A7193" w:rsidRPr="004A7193">
        <w:t xml:space="preserve">par </w:t>
      </w:r>
      <w:r w:rsidR="0032304A">
        <w:t>DP</w:t>
      </w:r>
      <w:r w:rsidR="004A7193" w:rsidRPr="004A7193">
        <w:t xml:space="preserve"> “Cilvēkresursi un nodarbinātība” </w:t>
      </w:r>
      <w:proofErr w:type="spellStart"/>
      <w:r w:rsidR="004A7193" w:rsidRPr="004A7193">
        <w:t>papildinājumaapakšaktivitāti</w:t>
      </w:r>
      <w:proofErr w:type="spellEnd"/>
      <w:r w:rsidR="004A7193" w:rsidRPr="004A7193">
        <w:t xml:space="preserve"> "Atbalsts nodarbināto apmācībām komersantu  konkurētspējas veicināšanai – atbalsts partnerībās organizētām apmācībām" un </w:t>
      </w:r>
      <w:proofErr w:type="spellStart"/>
      <w:r w:rsidR="0032304A">
        <w:t>Vkanc</w:t>
      </w:r>
      <w:proofErr w:type="spellEnd"/>
      <w:r w:rsidR="004A7193" w:rsidRPr="004A7193">
        <w:t xml:space="preserve"> pasūtītā </w:t>
      </w:r>
      <w:r w:rsidR="0032304A">
        <w:t xml:space="preserve">DP </w:t>
      </w:r>
      <w:r w:rsidR="004A7193" w:rsidRPr="004A7193">
        <w:t xml:space="preserve">„Cilvēkresursi un nodarbinātība” un tās papildinājuma ietvaros īstenoto pasākuma „Labāka regulējuma politika” un .pasākuma „Cilvēkresursu kapacitātes stiprināšana” ieviešanas ietekmes </w:t>
      </w:r>
      <w:proofErr w:type="spellStart"/>
      <w:r w:rsidR="004A7193" w:rsidRPr="004A7193">
        <w:t>izvērtējuma</w:t>
      </w:r>
      <w:proofErr w:type="spellEnd"/>
      <w:r w:rsidR="004A7193" w:rsidRPr="004A7193">
        <w:t xml:space="preserve"> 2007.-2013.gada plānošanas periodam. </w:t>
      </w:r>
      <w:r w:rsidR="00AD40B2" w:rsidRPr="005D0684">
        <w:t xml:space="preserve">Aktualizētajā </w:t>
      </w:r>
      <w:r w:rsidR="004A7193" w:rsidRPr="005D0684">
        <w:t xml:space="preserve">Izvērtēšanas ieteikumu </w:t>
      </w:r>
      <w:r w:rsidR="00AD40B2" w:rsidRPr="005D0684">
        <w:t xml:space="preserve">plānā ir iekļauts </w:t>
      </w:r>
      <w:r w:rsidR="004A7193" w:rsidRPr="005D0684">
        <w:t>101 ieteikums, kurš attiecināms</w:t>
      </w:r>
      <w:r w:rsidR="00AD40B2" w:rsidRPr="005D0684">
        <w:t xml:space="preserve"> uz 2014.</w:t>
      </w:r>
      <w:r w:rsidR="004A7193" w:rsidRPr="005D0684">
        <w:t>-2020.</w:t>
      </w:r>
      <w:r w:rsidR="00AD40B2" w:rsidRPr="005D0684">
        <w:t>gada</w:t>
      </w:r>
      <w:r w:rsidR="004A7193" w:rsidRPr="005D0684">
        <w:t xml:space="preserve"> </w:t>
      </w:r>
      <w:r w:rsidR="0032304A">
        <w:t>ES</w:t>
      </w:r>
      <w:r w:rsidR="00AD40B2" w:rsidRPr="005D0684">
        <w:t xml:space="preserve"> </w:t>
      </w:r>
      <w:r w:rsidR="004A7193" w:rsidRPr="005D0684">
        <w:t>fondu plānošanas periodu.</w:t>
      </w:r>
    </w:p>
    <w:p w14:paraId="50836242" w14:textId="348960D2" w:rsidR="009C0862" w:rsidRPr="00CE1D85" w:rsidRDefault="006841EE" w:rsidP="004D147C">
      <w:pPr>
        <w:pStyle w:val="1lmenis"/>
        <w:rPr>
          <w:rFonts w:eastAsia="Times New Roman"/>
        </w:rPr>
      </w:pPr>
      <w:bookmarkStart w:id="29" w:name="_Toc443658867"/>
      <w:r>
        <w:rPr>
          <w:rFonts w:eastAsia="Times New Roman"/>
        </w:rPr>
        <w:lastRenderedPageBreak/>
        <w:t>N</w:t>
      </w:r>
      <w:r w:rsidR="009C0862" w:rsidRPr="00CE1D85">
        <w:rPr>
          <w:rFonts w:eastAsia="Times New Roman"/>
        </w:rPr>
        <w:t>ākamā pārskata perioda aktualitātes</w:t>
      </w:r>
      <w:bookmarkEnd w:id="29"/>
      <w:r w:rsidR="009C0862" w:rsidRPr="00CE1D85">
        <w:rPr>
          <w:rFonts w:eastAsia="Times New Roman"/>
        </w:rPr>
        <w:t xml:space="preserve"> </w:t>
      </w:r>
      <w:bookmarkStart w:id="30" w:name="_Toc346541587"/>
      <w:bookmarkStart w:id="31" w:name="_Toc348033089"/>
    </w:p>
    <w:bookmarkEnd w:id="30"/>
    <w:bookmarkEnd w:id="31"/>
    <w:p w14:paraId="72CC3396" w14:textId="38C73889" w:rsidR="006C1E44" w:rsidRDefault="006C1E44" w:rsidP="006C1E44">
      <w:pPr>
        <w:tabs>
          <w:tab w:val="left" w:pos="851"/>
        </w:tabs>
        <w:spacing w:before="120" w:after="120" w:line="276" w:lineRule="auto"/>
        <w:jc w:val="both"/>
        <w:rPr>
          <w:rFonts w:cs="Times New Roman"/>
          <w:bCs/>
        </w:rPr>
      </w:pPr>
      <w:r>
        <w:rPr>
          <w:rFonts w:cs="Times New Roman"/>
          <w:bCs/>
        </w:rPr>
        <w:t xml:space="preserve">Tiks turpināts darbs pie ES fondu 2014.-2020.gadu plānošanas perioda SAM/pasākumu īstenošanas nosacījumu izstrādes, nodrošinot jau sekmīgi ieviesto partnerību Uzraudzības komitejas un apakškomiteju ietvaros, lai pēc iespējas paātrinātu SAM/pasākumu uzsākšanu un  kvalitatīvu investīciju plūsmu. </w:t>
      </w:r>
    </w:p>
    <w:p w14:paraId="591AC389" w14:textId="3C45A6CC" w:rsidR="006C1E44" w:rsidRPr="006C1E44" w:rsidRDefault="006C1E44" w:rsidP="009C0862">
      <w:pPr>
        <w:tabs>
          <w:tab w:val="left" w:pos="851"/>
        </w:tabs>
        <w:spacing w:before="120" w:after="120" w:line="276" w:lineRule="auto"/>
        <w:jc w:val="both"/>
        <w:rPr>
          <w:rFonts w:cs="Times New Roman"/>
          <w:bCs/>
        </w:rPr>
      </w:pPr>
      <w:r>
        <w:rPr>
          <w:rFonts w:cs="Times New Roman"/>
          <w:bCs/>
        </w:rPr>
        <w:t xml:space="preserve">Valdība un sabiedrība tiks informēta par ES fondu investīciju progresu iesniedzot operatīvu ikmēneša pārskatu MK, kā arī ik ceturksni sniegts pārskats </w:t>
      </w:r>
      <w:r w:rsidRPr="0023714E">
        <w:rPr>
          <w:rFonts w:cs="Times New Roman"/>
          <w:bCs/>
        </w:rPr>
        <w:t>Saeimas Publisko izdevumu un revīzijas komisija</w:t>
      </w:r>
      <w:r>
        <w:rPr>
          <w:rFonts w:cs="Times New Roman"/>
          <w:bCs/>
        </w:rPr>
        <w:t xml:space="preserve">i par ES fondu aktualitātēm. </w:t>
      </w:r>
    </w:p>
    <w:p w14:paraId="3C16A880" w14:textId="248B71B7" w:rsidR="009C0862" w:rsidRDefault="00C74F71" w:rsidP="00536626">
      <w:pPr>
        <w:tabs>
          <w:tab w:val="left" w:pos="851"/>
        </w:tabs>
        <w:spacing w:before="120" w:after="120" w:line="276" w:lineRule="auto"/>
        <w:jc w:val="both"/>
      </w:pPr>
      <w:r>
        <w:t>T</w:t>
      </w:r>
      <w:r w:rsidR="00D32901" w:rsidRPr="001115EE">
        <w:t xml:space="preserve">urpināsies darbs pie KP VIS </w:t>
      </w:r>
      <w:r w:rsidR="005507D3" w:rsidRPr="001115EE">
        <w:t>pilnveidošanas un papildus funkcionalitātes izstrādes</w:t>
      </w:r>
      <w:r>
        <w:t>, lai sekmētu e-vides iekšēju un ārēju lietošanu, ērtāku pieejamību un efektīvas datu analīzes iespējas</w:t>
      </w:r>
      <w:r w:rsidR="00536626" w:rsidRPr="001115EE">
        <w:t>.</w:t>
      </w:r>
    </w:p>
    <w:p w14:paraId="07F1A3A8" w14:textId="12AA3E75" w:rsidR="00ED6BEA" w:rsidRDefault="00ED6BEA" w:rsidP="00536626">
      <w:pPr>
        <w:tabs>
          <w:tab w:val="left" w:pos="851"/>
        </w:tabs>
        <w:spacing w:before="120" w:after="120" w:line="276" w:lineRule="auto"/>
        <w:jc w:val="both"/>
        <w:rPr>
          <w:rFonts w:cs="Times New Roman"/>
          <w:bCs/>
        </w:rPr>
      </w:pPr>
      <w:r w:rsidRPr="00ED6BEA">
        <w:t xml:space="preserve">Lai novērstu ES budžeta līdzekļu izkrāpšanu, </w:t>
      </w:r>
      <w:r w:rsidR="00E45D0B">
        <w:t>EK</w:t>
      </w:r>
      <w:r w:rsidRPr="00ED6BEA">
        <w:t xml:space="preserve"> ir aktīvi pastiprinājusi cīņu pret </w:t>
      </w:r>
      <w:r w:rsidR="00591574" w:rsidRPr="00ED6BEA">
        <w:t>krāp</w:t>
      </w:r>
      <w:r w:rsidR="00591574">
        <w:t>šanu</w:t>
      </w:r>
      <w:r w:rsidRPr="00ED6BEA">
        <w:t xml:space="preserve">, t.sk. korupciju, tāpēc arī nākamajā pārskata periodā īpaša uzmanība tiks pievērsta </w:t>
      </w:r>
      <w:r w:rsidR="00F670A6">
        <w:t>negodprātīgas rīcības</w:t>
      </w:r>
      <w:r w:rsidRPr="00ED6BEA">
        <w:t xml:space="preserve"> risk</w:t>
      </w:r>
      <w:r w:rsidR="00525F05">
        <w:t>u vadībai</w:t>
      </w:r>
      <w:r w:rsidRPr="00ED6BEA">
        <w:t xml:space="preserve">, lai </w:t>
      </w:r>
      <w:r w:rsidRPr="00ED6BEA">
        <w:rPr>
          <w:rFonts w:cs="Times New Roman"/>
          <w:bCs/>
        </w:rPr>
        <w:t>ES fondu vadībā iesaistīto iestāžu darbinieku un finansējuma saņēmēju toleranci pret krāpšanu, korupciju un interešu konfliktu tuvinātu nulles līmenim.</w:t>
      </w:r>
    </w:p>
    <w:p w14:paraId="347F5FFE" w14:textId="4DD0B5F0" w:rsidR="006C1E44" w:rsidRDefault="006C1E44" w:rsidP="00536626">
      <w:pPr>
        <w:tabs>
          <w:tab w:val="left" w:pos="851"/>
        </w:tabs>
        <w:spacing w:before="120" w:after="120" w:line="276" w:lineRule="auto"/>
        <w:jc w:val="both"/>
        <w:rPr>
          <w:rFonts w:cs="Times New Roman"/>
          <w:bCs/>
        </w:rPr>
      </w:pPr>
      <w:r>
        <w:t>Tiks a</w:t>
      </w:r>
      <w:r w:rsidRPr="001115EE">
        <w:t>pstiprināt</w:t>
      </w:r>
      <w:r>
        <w:t>s</w:t>
      </w:r>
      <w:r w:rsidRPr="001115EE">
        <w:t xml:space="preserve"> KIDG Ikgadēj</w:t>
      </w:r>
      <w:r>
        <w:t>ais</w:t>
      </w:r>
      <w:r w:rsidRPr="001115EE">
        <w:t xml:space="preserve"> izvērtēšanas plān</w:t>
      </w:r>
      <w:r>
        <w:t>s</w:t>
      </w:r>
      <w:r w:rsidRPr="001115EE">
        <w:t xml:space="preserve"> 2016.gadam un veikt</w:t>
      </w:r>
      <w:r>
        <w:t>i</w:t>
      </w:r>
      <w:r w:rsidRPr="001115EE">
        <w:t xml:space="preserve"> četr</w:t>
      </w:r>
      <w:r>
        <w:t>i</w:t>
      </w:r>
      <w:r w:rsidRPr="001115EE">
        <w:t xml:space="preserve"> </w:t>
      </w:r>
      <w:r w:rsidRPr="001115EE">
        <w:rPr>
          <w:bCs/>
        </w:rPr>
        <w:t xml:space="preserve">2007. – 2013. gada plānošanas perioda Eiropas Savienības fondu ieguldījumu noslēguma </w:t>
      </w:r>
      <w:proofErr w:type="spellStart"/>
      <w:r w:rsidRPr="001115EE">
        <w:rPr>
          <w:bCs/>
        </w:rPr>
        <w:t>izvērtējumus</w:t>
      </w:r>
      <w:proofErr w:type="spellEnd"/>
      <w:r w:rsidRPr="001115EE">
        <w:rPr>
          <w:bCs/>
        </w:rPr>
        <w:t xml:space="preserve"> (zinātnes, pētniecības un inovāciju atbalsts; uzņēmējdarbības atbalsts; satiksmes pasākumu atbalsts; ieguldījumu pilsētvidē ietekme uz teritoriju attīstību). </w:t>
      </w:r>
    </w:p>
    <w:p w14:paraId="64444E99" w14:textId="009C4D8F" w:rsidR="00ED6BEA" w:rsidRPr="00413C83" w:rsidRDefault="00635464" w:rsidP="00536626">
      <w:pPr>
        <w:tabs>
          <w:tab w:val="left" w:pos="851"/>
        </w:tabs>
        <w:spacing w:before="120" w:after="120" w:line="276" w:lineRule="auto"/>
        <w:jc w:val="both"/>
        <w:rPr>
          <w:rFonts w:cs="Times New Roman"/>
          <w:bCs/>
        </w:rPr>
      </w:pPr>
      <w:r>
        <w:rPr>
          <w:bCs/>
        </w:rPr>
        <w:t>VI vadībā tiks nodrošināts sekmīgs 2007-2013.gada plānošanas perioda programmu slēgšanas process un ar to saistīto jautājumu operatīva  risināšana</w:t>
      </w:r>
      <w:r w:rsidRPr="00D03D13">
        <w:rPr>
          <w:bCs/>
        </w:rPr>
        <w:t xml:space="preserve">.     </w:t>
      </w:r>
    </w:p>
    <w:p w14:paraId="41B99D99" w14:textId="77777777" w:rsidR="00D65094" w:rsidRDefault="00D65094" w:rsidP="00536626">
      <w:pPr>
        <w:tabs>
          <w:tab w:val="right" w:pos="8647"/>
        </w:tabs>
        <w:rPr>
          <w:color w:val="000000" w:themeColor="text1"/>
          <w:spacing w:val="6"/>
          <w:sz w:val="28"/>
          <w:szCs w:val="24"/>
        </w:rPr>
      </w:pPr>
    </w:p>
    <w:p w14:paraId="08DFD419" w14:textId="77777777" w:rsidR="00D65094" w:rsidRDefault="00D65094" w:rsidP="00536626">
      <w:pPr>
        <w:tabs>
          <w:tab w:val="right" w:pos="8647"/>
        </w:tabs>
        <w:rPr>
          <w:color w:val="000000" w:themeColor="text1"/>
          <w:spacing w:val="6"/>
          <w:sz w:val="28"/>
          <w:szCs w:val="24"/>
        </w:rPr>
      </w:pPr>
    </w:p>
    <w:p w14:paraId="427D3250" w14:textId="77777777" w:rsidR="00D65094" w:rsidRDefault="00D65094" w:rsidP="00536626">
      <w:pPr>
        <w:tabs>
          <w:tab w:val="right" w:pos="8647"/>
        </w:tabs>
        <w:rPr>
          <w:color w:val="000000" w:themeColor="text1"/>
          <w:spacing w:val="6"/>
          <w:sz w:val="28"/>
          <w:szCs w:val="24"/>
        </w:rPr>
      </w:pPr>
    </w:p>
    <w:p w14:paraId="580007A5" w14:textId="77777777" w:rsidR="00D65094" w:rsidRDefault="00D65094" w:rsidP="00536626">
      <w:pPr>
        <w:tabs>
          <w:tab w:val="right" w:pos="8647"/>
        </w:tabs>
        <w:rPr>
          <w:color w:val="000000" w:themeColor="text1"/>
          <w:spacing w:val="6"/>
          <w:sz w:val="28"/>
          <w:szCs w:val="24"/>
        </w:rPr>
      </w:pPr>
    </w:p>
    <w:p w14:paraId="327A066F" w14:textId="72FBB09D" w:rsidR="009C0862" w:rsidRPr="00536626" w:rsidRDefault="009C0862" w:rsidP="00536626">
      <w:pPr>
        <w:tabs>
          <w:tab w:val="right" w:pos="8647"/>
        </w:tabs>
        <w:rPr>
          <w:color w:val="000000" w:themeColor="text1"/>
          <w:spacing w:val="6"/>
          <w:sz w:val="28"/>
          <w:szCs w:val="24"/>
        </w:rPr>
      </w:pPr>
      <w:r w:rsidRPr="00C36B75">
        <w:rPr>
          <w:color w:val="000000" w:themeColor="text1"/>
          <w:spacing w:val="6"/>
          <w:sz w:val="28"/>
          <w:szCs w:val="24"/>
        </w:rPr>
        <w:t>F</w:t>
      </w:r>
      <w:r w:rsidR="00536626">
        <w:rPr>
          <w:color w:val="000000" w:themeColor="text1"/>
          <w:spacing w:val="6"/>
          <w:sz w:val="28"/>
          <w:szCs w:val="24"/>
        </w:rPr>
        <w:t>inanšu ministr</w:t>
      </w:r>
      <w:r w:rsidR="001D1D31">
        <w:rPr>
          <w:color w:val="000000" w:themeColor="text1"/>
          <w:spacing w:val="6"/>
          <w:sz w:val="28"/>
          <w:szCs w:val="24"/>
        </w:rPr>
        <w:t>e</w:t>
      </w:r>
      <w:r w:rsidR="00536626">
        <w:rPr>
          <w:color w:val="000000" w:themeColor="text1"/>
          <w:spacing w:val="6"/>
          <w:sz w:val="28"/>
          <w:szCs w:val="24"/>
        </w:rPr>
        <w:t xml:space="preserve"> </w:t>
      </w:r>
      <w:r w:rsidR="00536626">
        <w:rPr>
          <w:color w:val="000000" w:themeColor="text1"/>
          <w:spacing w:val="6"/>
          <w:sz w:val="28"/>
          <w:szCs w:val="24"/>
        </w:rPr>
        <w:tab/>
      </w:r>
      <w:proofErr w:type="spellStart"/>
      <w:r w:rsidR="001D1D31">
        <w:rPr>
          <w:color w:val="000000" w:themeColor="text1"/>
          <w:spacing w:val="6"/>
          <w:sz w:val="28"/>
          <w:szCs w:val="24"/>
        </w:rPr>
        <w:t>D.Reizniece</w:t>
      </w:r>
      <w:proofErr w:type="spellEnd"/>
      <w:r w:rsidR="001D1D31">
        <w:rPr>
          <w:color w:val="000000" w:themeColor="text1"/>
          <w:spacing w:val="6"/>
          <w:sz w:val="28"/>
          <w:szCs w:val="24"/>
        </w:rPr>
        <w:t>-Ozola</w:t>
      </w:r>
    </w:p>
    <w:p w14:paraId="0E559C01" w14:textId="77777777" w:rsidR="009C0862" w:rsidRDefault="009C0862" w:rsidP="009C0862">
      <w:pPr>
        <w:tabs>
          <w:tab w:val="center" w:pos="4153"/>
          <w:tab w:val="right" w:pos="8306"/>
        </w:tabs>
        <w:rPr>
          <w:color w:val="000000" w:themeColor="text1"/>
          <w:sz w:val="20"/>
          <w:highlight w:val="yellow"/>
        </w:rPr>
      </w:pPr>
    </w:p>
    <w:p w14:paraId="143223F4" w14:textId="77777777" w:rsidR="00D65094" w:rsidRDefault="00D65094" w:rsidP="009C0862">
      <w:pPr>
        <w:tabs>
          <w:tab w:val="center" w:pos="4153"/>
          <w:tab w:val="right" w:pos="8306"/>
        </w:tabs>
        <w:rPr>
          <w:color w:val="000000" w:themeColor="text1"/>
          <w:sz w:val="20"/>
          <w:highlight w:val="yellow"/>
        </w:rPr>
      </w:pPr>
    </w:p>
    <w:p w14:paraId="0DFBF471" w14:textId="77777777" w:rsidR="00D65094" w:rsidRDefault="00D65094" w:rsidP="009C0862">
      <w:pPr>
        <w:tabs>
          <w:tab w:val="center" w:pos="4153"/>
          <w:tab w:val="right" w:pos="8306"/>
        </w:tabs>
        <w:rPr>
          <w:color w:val="000000" w:themeColor="text1"/>
          <w:sz w:val="20"/>
          <w:highlight w:val="yellow"/>
        </w:rPr>
      </w:pPr>
    </w:p>
    <w:p w14:paraId="15DD5CB5" w14:textId="77777777" w:rsidR="00D65094" w:rsidRDefault="00D65094" w:rsidP="009C0862">
      <w:pPr>
        <w:tabs>
          <w:tab w:val="center" w:pos="4153"/>
          <w:tab w:val="right" w:pos="8306"/>
        </w:tabs>
        <w:rPr>
          <w:color w:val="000000" w:themeColor="text1"/>
          <w:sz w:val="20"/>
          <w:highlight w:val="yellow"/>
        </w:rPr>
      </w:pPr>
    </w:p>
    <w:p w14:paraId="059DB380" w14:textId="77777777" w:rsidR="00D65094" w:rsidRPr="003279AB" w:rsidRDefault="00D65094" w:rsidP="009C0862">
      <w:pPr>
        <w:tabs>
          <w:tab w:val="center" w:pos="4153"/>
          <w:tab w:val="right" w:pos="8306"/>
        </w:tabs>
        <w:rPr>
          <w:color w:val="000000" w:themeColor="text1"/>
          <w:sz w:val="20"/>
          <w:highlight w:val="yellow"/>
        </w:rPr>
      </w:pPr>
    </w:p>
    <w:p w14:paraId="1AFE5226" w14:textId="77777777" w:rsidR="002D4515" w:rsidRDefault="002D4515" w:rsidP="009C0862">
      <w:pPr>
        <w:tabs>
          <w:tab w:val="left" w:pos="1725"/>
        </w:tabs>
        <w:rPr>
          <w:color w:val="000000" w:themeColor="text1"/>
          <w:sz w:val="18"/>
        </w:rPr>
      </w:pPr>
    </w:p>
    <w:p w14:paraId="054E9760" w14:textId="6E5CDD4B" w:rsidR="009C0862" w:rsidRPr="00927A2E" w:rsidRDefault="00B434B1" w:rsidP="009C0862">
      <w:pPr>
        <w:tabs>
          <w:tab w:val="left" w:pos="1725"/>
        </w:tabs>
        <w:rPr>
          <w:color w:val="000000" w:themeColor="text1"/>
          <w:sz w:val="18"/>
        </w:rPr>
      </w:pPr>
      <w:r>
        <w:rPr>
          <w:color w:val="000000" w:themeColor="text1"/>
          <w:sz w:val="18"/>
        </w:rPr>
        <w:t>23</w:t>
      </w:r>
      <w:r w:rsidR="00927A2E" w:rsidRPr="00927A2E">
        <w:rPr>
          <w:color w:val="000000" w:themeColor="text1"/>
          <w:sz w:val="18"/>
        </w:rPr>
        <w:t>.0</w:t>
      </w:r>
      <w:r w:rsidR="00784A21">
        <w:rPr>
          <w:color w:val="000000" w:themeColor="text1"/>
          <w:sz w:val="18"/>
        </w:rPr>
        <w:t>2</w:t>
      </w:r>
      <w:r w:rsidR="00907F13">
        <w:rPr>
          <w:color w:val="000000" w:themeColor="text1"/>
          <w:sz w:val="18"/>
        </w:rPr>
        <w:t>.2016</w:t>
      </w:r>
      <w:r w:rsidR="00943FA2">
        <w:rPr>
          <w:color w:val="000000" w:themeColor="text1"/>
          <w:sz w:val="18"/>
        </w:rPr>
        <w:t xml:space="preserve"> 13</w:t>
      </w:r>
      <w:r w:rsidR="009C0862" w:rsidRPr="00927A2E">
        <w:rPr>
          <w:color w:val="000000" w:themeColor="text1"/>
          <w:sz w:val="18"/>
        </w:rPr>
        <w:t>:56</w:t>
      </w:r>
    </w:p>
    <w:p w14:paraId="3311FC84" w14:textId="33E6D59D" w:rsidR="009C0862" w:rsidRPr="00B666AB" w:rsidRDefault="000801B7" w:rsidP="009C0862">
      <w:pPr>
        <w:tabs>
          <w:tab w:val="left" w:pos="1725"/>
        </w:tabs>
        <w:rPr>
          <w:color w:val="000000" w:themeColor="text1"/>
          <w:sz w:val="18"/>
        </w:rPr>
      </w:pPr>
      <w:r>
        <w:rPr>
          <w:color w:val="000000" w:themeColor="text1"/>
          <w:sz w:val="18"/>
        </w:rPr>
        <w:t>18 074</w:t>
      </w:r>
    </w:p>
    <w:p w14:paraId="54112819" w14:textId="45D56D00" w:rsidR="009C0862" w:rsidRPr="00C36B75" w:rsidRDefault="009C0862" w:rsidP="009C0862">
      <w:pPr>
        <w:tabs>
          <w:tab w:val="center" w:pos="4153"/>
          <w:tab w:val="right" w:pos="8306"/>
        </w:tabs>
        <w:rPr>
          <w:color w:val="000000"/>
          <w:sz w:val="20"/>
        </w:rPr>
      </w:pPr>
      <w:r w:rsidRPr="00C36B75">
        <w:rPr>
          <w:color w:val="000000"/>
          <w:sz w:val="20"/>
        </w:rPr>
        <w:t xml:space="preserve">Ieva </w:t>
      </w:r>
      <w:r w:rsidR="003210F5">
        <w:rPr>
          <w:color w:val="000000"/>
          <w:sz w:val="20"/>
        </w:rPr>
        <w:t>Ziepniece</w:t>
      </w:r>
    </w:p>
    <w:p w14:paraId="313C203F" w14:textId="77777777" w:rsidR="009C0862" w:rsidRPr="00C36B75" w:rsidRDefault="009C0862" w:rsidP="009C0862">
      <w:pPr>
        <w:tabs>
          <w:tab w:val="center" w:pos="4153"/>
          <w:tab w:val="right" w:pos="8306"/>
        </w:tabs>
        <w:rPr>
          <w:color w:val="000000"/>
          <w:sz w:val="20"/>
        </w:rPr>
      </w:pPr>
      <w:r w:rsidRPr="00C36B75">
        <w:rPr>
          <w:color w:val="000000"/>
          <w:sz w:val="20"/>
        </w:rPr>
        <w:t>Finanšu ministrijas Eiropas Savienības fondu uzraudzības departamenta</w:t>
      </w:r>
    </w:p>
    <w:p w14:paraId="6AADF091" w14:textId="77777777" w:rsidR="009C0862" w:rsidRPr="00C36B75" w:rsidRDefault="009C0862" w:rsidP="009C0862">
      <w:pPr>
        <w:tabs>
          <w:tab w:val="center" w:pos="4153"/>
          <w:tab w:val="right" w:pos="8306"/>
        </w:tabs>
        <w:rPr>
          <w:color w:val="000000"/>
          <w:sz w:val="20"/>
        </w:rPr>
      </w:pPr>
      <w:r w:rsidRPr="00C36B75">
        <w:rPr>
          <w:color w:val="000000"/>
          <w:sz w:val="20"/>
        </w:rPr>
        <w:t>Uzņēmējdarbības un inovāciju uzraudzības nodaļas eksperte</w:t>
      </w:r>
    </w:p>
    <w:p w14:paraId="2DF2E928" w14:textId="77777777" w:rsidR="009C0862" w:rsidRPr="00C36B75" w:rsidRDefault="009C0862" w:rsidP="009C0862">
      <w:pPr>
        <w:tabs>
          <w:tab w:val="center" w:pos="4153"/>
          <w:tab w:val="right" w:pos="8306"/>
        </w:tabs>
        <w:rPr>
          <w:color w:val="000000"/>
          <w:sz w:val="20"/>
        </w:rPr>
      </w:pPr>
      <w:r w:rsidRPr="00C36B75">
        <w:rPr>
          <w:color w:val="000000"/>
          <w:sz w:val="20"/>
        </w:rPr>
        <w:t>Tālr. 67095614, fakss 67095697</w:t>
      </w:r>
    </w:p>
    <w:p w14:paraId="5B036554" w14:textId="6CBA639F" w:rsidR="00942AB5" w:rsidRPr="00536626" w:rsidRDefault="006E65A3" w:rsidP="00536626">
      <w:pPr>
        <w:pStyle w:val="Header"/>
        <w:rPr>
          <w:sz w:val="20"/>
        </w:rPr>
      </w:pPr>
      <w:hyperlink r:id="rId42" w:history="1">
        <w:r w:rsidR="003210F5" w:rsidRPr="003210F5">
          <w:rPr>
            <w:rStyle w:val="Hyperlink"/>
            <w:sz w:val="20"/>
          </w:rPr>
          <w:t>Ieva.</w:t>
        </w:r>
        <w:r w:rsidR="003210F5" w:rsidRPr="004E79F6">
          <w:rPr>
            <w:rStyle w:val="Hyperlink"/>
            <w:sz w:val="20"/>
          </w:rPr>
          <w:t>Ziepniece@fm.gov.lv</w:t>
        </w:r>
      </w:hyperlink>
    </w:p>
    <w:sectPr w:rsidR="00942AB5" w:rsidRPr="00536626" w:rsidSect="00B13216">
      <w:headerReference w:type="default" r:id="rId43"/>
      <w:footerReference w:type="default" r:id="rId44"/>
      <w:headerReference w:type="first" r:id="rId45"/>
      <w:pgSz w:w="11906" w:h="16838" w:code="9"/>
      <w:pgMar w:top="1418" w:right="1418" w:bottom="1418"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4294D" w14:textId="77777777" w:rsidR="00F92817" w:rsidRDefault="00F92817" w:rsidP="009C0862">
      <w:r>
        <w:separator/>
      </w:r>
    </w:p>
  </w:endnote>
  <w:endnote w:type="continuationSeparator" w:id="0">
    <w:p w14:paraId="65559320" w14:textId="77777777" w:rsidR="00F92817" w:rsidRDefault="00F92817" w:rsidP="009C0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5AE8D" w14:textId="5C505BD9" w:rsidR="006E65A3" w:rsidRPr="00C147F0" w:rsidRDefault="006E65A3" w:rsidP="00B13216">
    <w:pPr>
      <w:pStyle w:val="Footer"/>
      <w:jc w:val="both"/>
      <w:rPr>
        <w:sz w:val="20"/>
      </w:rPr>
    </w:pPr>
    <w:r w:rsidRPr="003A479C">
      <w:rPr>
        <w:sz w:val="20"/>
      </w:rPr>
      <w:t>FMzino_</w:t>
    </w:r>
    <w:r>
      <w:rPr>
        <w:sz w:val="20"/>
      </w:rPr>
      <w:t>230216</w:t>
    </w:r>
    <w:r w:rsidRPr="003A479C">
      <w:rPr>
        <w:sz w:val="20"/>
      </w:rPr>
      <w:t xml:space="preserve">_ES_fondi; Informatīvais ziņojums par ES struktūrfondu un Kohēzijas fonda, Eiropas Ekonomikas zonas </w:t>
    </w:r>
    <w:r>
      <w:rPr>
        <w:sz w:val="20"/>
      </w:rPr>
      <w:t xml:space="preserve">finanšu instrumenta, Norvēģijas </w:t>
    </w:r>
    <w:r w:rsidRPr="003A479C">
      <w:rPr>
        <w:sz w:val="20"/>
      </w:rPr>
      <w:t>finanšu instrumenta un Latvijas</w:t>
    </w:r>
    <w:r>
      <w:rPr>
        <w:sz w:val="20"/>
      </w:rPr>
      <w:t xml:space="preserve"> un Šveices sadarbības programmas investīciju progresu</w:t>
    </w:r>
    <w:r w:rsidRPr="003A479C">
      <w:rPr>
        <w:sz w:val="20"/>
      </w:rPr>
      <w:t xml:space="preserve"> līdz </w:t>
    </w:r>
    <w:r>
      <w:rPr>
        <w:sz w:val="20"/>
      </w:rPr>
      <w:t>2015.gada 31.decembrim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29F0D" w14:textId="77777777" w:rsidR="00F92817" w:rsidRDefault="00F92817" w:rsidP="009C0862">
      <w:r>
        <w:separator/>
      </w:r>
    </w:p>
  </w:footnote>
  <w:footnote w:type="continuationSeparator" w:id="0">
    <w:p w14:paraId="3AFF6EC5" w14:textId="77777777" w:rsidR="00F92817" w:rsidRDefault="00F92817" w:rsidP="009C0862">
      <w:r>
        <w:continuationSeparator/>
      </w:r>
    </w:p>
  </w:footnote>
  <w:footnote w:id="1">
    <w:p w14:paraId="77BFD0BF" w14:textId="77777777" w:rsidR="006E65A3" w:rsidRPr="00B77A71" w:rsidRDefault="006E65A3" w:rsidP="00EA720A">
      <w:pPr>
        <w:pStyle w:val="FootnoteText"/>
        <w:jc w:val="both"/>
        <w:rPr>
          <w:color w:val="000000" w:themeColor="text1"/>
        </w:rPr>
      </w:pPr>
      <w:r w:rsidRPr="00B77A71">
        <w:rPr>
          <w:rStyle w:val="FootnoteReference"/>
          <w:color w:val="000000" w:themeColor="text1"/>
        </w:rPr>
        <w:footnoteRef/>
      </w:r>
      <w:r w:rsidRPr="00B77A71">
        <w:rPr>
          <w:color w:val="000000" w:themeColor="text1"/>
        </w:rPr>
        <w:t xml:space="preserve"> Ar EK regulu (EK) Nr. 1080/2006, kas stājās spēkā 2006.gada 1.augustā, tiek noteikti trīs mērķi fondu pasākumu īstenošanai. 1.mērķis ir konverģence, kas paredzēts vismazāk attīstīto dalībvalstu un reģionu konverģences paātrināšanai, uzlabojot pieauguma un nodarbinātības nosacījumus un tiek finansēs no ERAF, ESF un KF līdzekļiem. Latvija ir tiesīga saņemt finansējumu šī mērķa ietvaros.</w:t>
      </w:r>
    </w:p>
  </w:footnote>
  <w:footnote w:id="2">
    <w:p w14:paraId="143F2E0E" w14:textId="77777777" w:rsidR="006E65A3" w:rsidRDefault="006E65A3" w:rsidP="009C0862">
      <w:pPr>
        <w:pStyle w:val="FootnoteText"/>
        <w:jc w:val="both"/>
      </w:pPr>
      <w:r>
        <w:rPr>
          <w:rStyle w:val="FootnoteReference"/>
        </w:rPr>
        <w:footnoteRef/>
      </w:r>
      <w:r>
        <w:t xml:space="preserve"> </w:t>
      </w:r>
      <w:r w:rsidRPr="00C86F26">
        <w:t>Šajā Ziņojumā ES fondu ietekmes analīze balstās uz SIA „Projektu un kvalitātes vadība” pētījuma par izspiešanas efektu un publiskā kapitāla elastību Latvijā ES fondu ietekmes izvērtēšanas metodoloģijas attīstībai (http://www.esfondi.lv/page.php?id=1104) rezultātiem. ES fondu ietekme uz makroekonomiskajiem rādītājiem sniegta balstoties uz 2010.gada salīdzināmajām cenām.</w:t>
      </w:r>
    </w:p>
  </w:footnote>
  <w:footnote w:id="3">
    <w:p w14:paraId="0D885CAB" w14:textId="77777777" w:rsidR="006E65A3" w:rsidRDefault="006E65A3" w:rsidP="004145C0">
      <w:pPr>
        <w:pStyle w:val="FootnoteText"/>
        <w:jc w:val="both"/>
      </w:pPr>
      <w:r>
        <w:rPr>
          <w:rStyle w:val="FootnoteReference"/>
        </w:rPr>
        <w:footnoteRef/>
      </w:r>
      <w:r>
        <w:t xml:space="preserve"> </w:t>
      </w:r>
      <w:r w:rsidRPr="009A2007">
        <w:t xml:space="preserve">Saskaņā ar Latvijas Modeļa metodoloģiju novērtēta ESF, ERAF, KF/ISPA, ES </w:t>
      </w:r>
      <w:proofErr w:type="spellStart"/>
      <w:r w:rsidRPr="009A2007">
        <w:t>pirmsiestāšanās</w:t>
      </w:r>
      <w:proofErr w:type="spellEnd"/>
      <w:r w:rsidRPr="009A2007">
        <w:t xml:space="preserve"> finanšu instrumentu </w:t>
      </w:r>
      <w:proofErr w:type="spellStart"/>
      <w:r w:rsidRPr="009A2007">
        <w:t>Phare</w:t>
      </w:r>
      <w:proofErr w:type="spellEnd"/>
      <w:r w:rsidRPr="009A2007">
        <w:t xml:space="preserve"> un SAPARD, INTERREG, ES Kohēzijas politikas 3.mērķa „Eiropas teritoriālā sadarbība” programmas (ERAF), EEZ/Norvēģijas finanšu instrumentu, kā arī Latvijas un Šveices sadarbības programmas ietekme.</w:t>
      </w:r>
    </w:p>
  </w:footnote>
  <w:footnote w:id="4">
    <w:p w14:paraId="287D035D" w14:textId="3B2DC41C" w:rsidR="006E65A3" w:rsidRDefault="006E65A3" w:rsidP="002531CD">
      <w:pPr>
        <w:pStyle w:val="FootnoteText"/>
        <w:jc w:val="both"/>
      </w:pPr>
      <w:r>
        <w:rPr>
          <w:rStyle w:val="FootnoteReference"/>
        </w:rPr>
        <w:footnoteRef/>
      </w:r>
      <w:r>
        <w:t xml:space="preserve"> </w:t>
      </w:r>
      <w:r w:rsidRPr="0005711D">
        <w:t>Ministru kabineta</w:t>
      </w:r>
      <w:r>
        <w:t xml:space="preserve"> 2015.gada 21.augusta</w:t>
      </w:r>
      <w:r w:rsidRPr="0005711D">
        <w:t xml:space="preserve"> rīkojums Nr. 453</w:t>
      </w:r>
      <w:r>
        <w:t xml:space="preserve"> “</w:t>
      </w:r>
      <w:r w:rsidRPr="0005711D">
        <w:t>Grozījumi darbības programmas "Uzņēmējdarbība un inovācijas" papildinājumā</w:t>
      </w:r>
      <w:r>
        <w:t xml:space="preserve">”. </w:t>
      </w:r>
    </w:p>
  </w:footnote>
  <w:footnote w:id="5">
    <w:p w14:paraId="08B076C9" w14:textId="281DA021" w:rsidR="006E65A3" w:rsidRDefault="006E65A3" w:rsidP="002531CD">
      <w:pPr>
        <w:pStyle w:val="FootnoteText"/>
        <w:jc w:val="both"/>
      </w:pPr>
      <w:r>
        <w:rPr>
          <w:rStyle w:val="FootnoteReference"/>
        </w:rPr>
        <w:footnoteRef/>
      </w:r>
      <w:r>
        <w:t xml:space="preserve"> </w:t>
      </w:r>
      <w:r w:rsidRPr="0005711D">
        <w:t>Ministru kabineta</w:t>
      </w:r>
      <w:r>
        <w:t xml:space="preserve"> 2015.gada 4.novembra rīkojums Nr. 684 “</w:t>
      </w:r>
      <w:r w:rsidRPr="0005711D">
        <w:t xml:space="preserve">Grozījums darbības programmas </w:t>
      </w:r>
      <w:r>
        <w:t>“</w:t>
      </w:r>
      <w:r w:rsidRPr="0005711D">
        <w:t>Uzņēmējdarbība un inovācijas</w:t>
      </w:r>
      <w:r>
        <w:t>”</w:t>
      </w:r>
      <w:r w:rsidRPr="0005711D">
        <w:t xml:space="preserve"> papildinājumā</w:t>
      </w:r>
      <w:r>
        <w:t xml:space="preserve">”. </w:t>
      </w:r>
    </w:p>
  </w:footnote>
  <w:footnote w:id="6">
    <w:p w14:paraId="57889BC6" w14:textId="7125DCE5" w:rsidR="006E65A3" w:rsidRDefault="006E65A3" w:rsidP="00A52F5D">
      <w:pPr>
        <w:pStyle w:val="FootnoteText"/>
        <w:jc w:val="both"/>
      </w:pPr>
      <w:r>
        <w:rPr>
          <w:rStyle w:val="FootnoteReference"/>
        </w:rPr>
        <w:footnoteRef/>
      </w:r>
      <w:r>
        <w:t xml:space="preserve"> Ministru kabineta 2015.gada 15.septembra noteikumi Nr.531 “</w:t>
      </w:r>
      <w:r w:rsidRPr="00A70F1C">
        <w:t>Grozījumi Ministru kabineta 2011. gada 19</w:t>
      </w:r>
      <w:r>
        <w:t>. oktobra noteikumos Nr. 818 “</w:t>
      </w:r>
      <w:r w:rsidRPr="00A70F1C">
        <w:t>Not</w:t>
      </w:r>
      <w:r>
        <w:t>eikumi par darbības programmas “</w:t>
      </w:r>
      <w:r w:rsidRPr="00A70F1C">
        <w:t>Uzņēmējdarbība un inovācijas</w:t>
      </w:r>
      <w:r>
        <w:t>”</w:t>
      </w:r>
      <w:r w:rsidRPr="00A70F1C">
        <w:t xml:space="preserve"> pap</w:t>
      </w:r>
      <w:r>
        <w:t>ildinājuma 2.2.1.1. aktivitāti “</w:t>
      </w:r>
      <w:r w:rsidRPr="00A70F1C">
        <w:t>Ieguldījumu fonds investīcijām garantijās, paaugstināta riska aizdevumos, riska kapitāla fondos un cita veida finanšu instrumentos</w:t>
      </w:r>
      <w:r>
        <w:t xml:space="preserve">”””. </w:t>
      </w:r>
    </w:p>
  </w:footnote>
  <w:footnote w:id="7">
    <w:p w14:paraId="2ECCED0C" w14:textId="19A21CB7" w:rsidR="006E65A3" w:rsidRDefault="006E65A3" w:rsidP="00A52F5D">
      <w:pPr>
        <w:pStyle w:val="FootnoteText"/>
        <w:jc w:val="both"/>
      </w:pPr>
      <w:r>
        <w:rPr>
          <w:rStyle w:val="FootnoteReference"/>
        </w:rPr>
        <w:footnoteRef/>
      </w:r>
      <w:r>
        <w:t xml:space="preserve"> Ministru kabineta 2015.gada 3.novembra noteikumi Nr.629 “</w:t>
      </w:r>
      <w:r w:rsidRPr="000D4C68">
        <w:t>Grozījumi Ministru kabineta 2011. gada</w:t>
      </w:r>
      <w:r>
        <w:t xml:space="preserve"> 2. augusta noteikumos Nr. 614 “</w:t>
      </w:r>
      <w:r w:rsidRPr="000D4C68">
        <w:t>Not</w:t>
      </w:r>
      <w:r>
        <w:t>eikumi par darbības programmas “</w:t>
      </w:r>
      <w:r w:rsidRPr="000D4C68">
        <w:t>Uzņēmējdarbība un inovācijas</w:t>
      </w:r>
      <w:r>
        <w:t>”</w:t>
      </w:r>
      <w:r w:rsidRPr="000D4C68">
        <w:t xml:space="preserve"> papildināj</w:t>
      </w:r>
      <w:r>
        <w:t xml:space="preserve">uma 2.2.1.4.2. </w:t>
      </w:r>
      <w:proofErr w:type="spellStart"/>
      <w:r>
        <w:t>apakšaktivitāti</w:t>
      </w:r>
      <w:proofErr w:type="spellEnd"/>
      <w:r>
        <w:t xml:space="preserve"> “</w:t>
      </w:r>
      <w:proofErr w:type="spellStart"/>
      <w:r w:rsidRPr="000D4C68">
        <w:t>Mezanīna</w:t>
      </w:r>
      <w:proofErr w:type="spellEnd"/>
      <w:r w:rsidRPr="000D4C68">
        <w:t xml:space="preserve"> aizdevumi un nodrošinājuma garantijas saimnieciskās darbības veicēju konkurētspējas uzlabošanai</w:t>
      </w:r>
      <w:r>
        <w:t xml:space="preserve">”””. </w:t>
      </w:r>
    </w:p>
  </w:footnote>
  <w:footnote w:id="8">
    <w:p w14:paraId="63092E15" w14:textId="77777777" w:rsidR="006E65A3" w:rsidRDefault="006E65A3" w:rsidP="009F372B">
      <w:pPr>
        <w:pStyle w:val="FootnoteText"/>
        <w:jc w:val="both"/>
      </w:pPr>
      <w:r>
        <w:rPr>
          <w:rStyle w:val="FootnoteReference"/>
        </w:rPr>
        <w:footnoteRef/>
      </w:r>
      <w:r>
        <w:t xml:space="preserve"> </w:t>
      </w:r>
      <w:proofErr w:type="spellStart"/>
      <w:r w:rsidRPr="004200EB">
        <w:t>Apakšaktivitātē</w:t>
      </w:r>
      <w:proofErr w:type="spellEnd"/>
      <w:r w:rsidRPr="004200EB">
        <w:t xml:space="preserve"> “</w:t>
      </w:r>
      <w:proofErr w:type="spellStart"/>
      <w:r w:rsidRPr="004200EB">
        <w:t>Mezanīna</w:t>
      </w:r>
      <w:proofErr w:type="spellEnd"/>
      <w:r w:rsidRPr="004200EB">
        <w:t xml:space="preserve"> aizdevumi un nodrošinājuma garantijas saimnieciskās darbības veicēju konkurētspējas uzlabošanai” aizdevumu garantiju un īstermiņa eksporta kredītu garantiju līgumu slēgšana – līdz 2016.gada 30.jūnijam, </w:t>
      </w:r>
      <w:proofErr w:type="spellStart"/>
      <w:r w:rsidRPr="004200EB">
        <w:t>mezanīna</w:t>
      </w:r>
      <w:proofErr w:type="spellEnd"/>
      <w:r w:rsidRPr="004200EB">
        <w:t xml:space="preserve"> aizdevumu piešķiršana – līdz 2016.gada 29.februārim un </w:t>
      </w:r>
      <w:proofErr w:type="spellStart"/>
      <w:r w:rsidRPr="004200EB">
        <w:t>mezanīna</w:t>
      </w:r>
      <w:proofErr w:type="spellEnd"/>
      <w:r w:rsidRPr="004200EB">
        <w:t xml:space="preserve"> aizdevumu izmaksa – līdz 2016.gada 30.jūnijam.</w:t>
      </w:r>
    </w:p>
  </w:footnote>
  <w:footnote w:id="9">
    <w:p w14:paraId="7C25C5FE" w14:textId="77777777" w:rsidR="006E65A3" w:rsidRDefault="006E65A3" w:rsidP="009F372B">
      <w:pPr>
        <w:pStyle w:val="FootnoteText"/>
        <w:jc w:val="both"/>
      </w:pPr>
      <w:r>
        <w:rPr>
          <w:rStyle w:val="FootnoteReference"/>
        </w:rPr>
        <w:footnoteRef/>
      </w:r>
      <w:r>
        <w:t xml:space="preserve"> Ministru kabineta 2015.gada 3. novembra noteikumi Nr.630 “</w:t>
      </w:r>
      <w:r w:rsidRPr="000D4C68">
        <w:t>Grozījumi Ministru kabineta 2009. gad</w:t>
      </w:r>
      <w:r>
        <w:t>a 10. marta noteikumos Nr. 238 “</w:t>
      </w:r>
      <w:r w:rsidRPr="000D4C68">
        <w:t>Noteikumi par darbības progra</w:t>
      </w:r>
      <w:r>
        <w:t>mmas “</w:t>
      </w:r>
      <w:r w:rsidRPr="000D4C68">
        <w:t>Uzņēmējdarbība un inovācijas</w:t>
      </w:r>
      <w:r>
        <w:t>”</w:t>
      </w:r>
      <w:r w:rsidRPr="000D4C68">
        <w:t xml:space="preserve"> papildināj</w:t>
      </w:r>
      <w:r>
        <w:t xml:space="preserve">uma 2.2.1.4.1. </w:t>
      </w:r>
      <w:proofErr w:type="spellStart"/>
      <w:r>
        <w:t>apakšaktivitāti</w:t>
      </w:r>
      <w:proofErr w:type="spellEnd"/>
      <w:r>
        <w:t xml:space="preserve"> “</w:t>
      </w:r>
      <w:r w:rsidRPr="000D4C68">
        <w:t>Atbalsts aizdevumu veidā komersantu konkurētspējas uzlabošanai</w:t>
      </w:r>
      <w:r>
        <w:t xml:space="preserve">”””. </w:t>
      </w:r>
    </w:p>
  </w:footnote>
  <w:footnote w:id="10">
    <w:p w14:paraId="612F09C2" w14:textId="7864B251" w:rsidR="006E65A3" w:rsidRPr="00822986" w:rsidRDefault="006E65A3" w:rsidP="002531CD">
      <w:pPr>
        <w:pStyle w:val="FootnoteText"/>
        <w:jc w:val="both"/>
        <w:rPr>
          <w:color w:val="000000" w:themeColor="text1"/>
        </w:rPr>
      </w:pPr>
      <w:r w:rsidRPr="00822986">
        <w:rPr>
          <w:rStyle w:val="FootnoteReference"/>
          <w:color w:val="000000" w:themeColor="text1"/>
        </w:rPr>
        <w:footnoteRef/>
      </w:r>
      <w:r w:rsidRPr="00822986">
        <w:rPr>
          <w:color w:val="000000" w:themeColor="text1"/>
        </w:rPr>
        <w:t xml:space="preserve"> ES fondu </w:t>
      </w:r>
      <w:r>
        <w:rPr>
          <w:color w:val="000000" w:themeColor="text1"/>
        </w:rPr>
        <w:t>tīmekļa</w:t>
      </w:r>
      <w:r w:rsidRPr="00822986">
        <w:rPr>
          <w:color w:val="000000" w:themeColor="text1"/>
        </w:rPr>
        <w:t xml:space="preserve"> vietnē pieejami </w:t>
      </w:r>
      <w:r w:rsidRPr="00822986">
        <w:rPr>
          <w:bCs/>
          <w:color w:val="000000" w:themeColor="text1"/>
        </w:rPr>
        <w:t xml:space="preserve">Latvijas plānošanas dokumenti: </w:t>
      </w:r>
      <w:r>
        <w:t xml:space="preserve"> </w:t>
      </w:r>
      <w:hyperlink r:id="rId1" w:history="1">
        <w:r w:rsidRPr="00050B02">
          <w:rPr>
            <w:rStyle w:val="Hyperlink"/>
          </w:rPr>
          <w:t>http://www.esfondi.lv/2007-2013-planosana</w:t>
        </w:r>
      </w:hyperlink>
      <w:r>
        <w:t xml:space="preserve"> </w:t>
      </w:r>
    </w:p>
  </w:footnote>
  <w:footnote w:id="11">
    <w:p w14:paraId="1685F7B5" w14:textId="55023A6F" w:rsidR="006E65A3" w:rsidRDefault="006E65A3" w:rsidP="009C0862">
      <w:pPr>
        <w:pStyle w:val="FootnoteText"/>
      </w:pPr>
      <w:r>
        <w:rPr>
          <w:rStyle w:val="FootnoteReference"/>
        </w:rPr>
        <w:footnoteRef/>
      </w:r>
      <w:r>
        <w:t xml:space="preserve"> </w:t>
      </w:r>
      <w:hyperlink r:id="rId2" w:history="1">
        <w:r w:rsidRPr="0025051D">
          <w:rPr>
            <w:rStyle w:val="Hyperlink"/>
          </w:rPr>
          <w:t>http://www.esfondi.lv/es-fondu-aktivitasu-kalendars</w:t>
        </w:r>
      </w:hyperlink>
      <w:r>
        <w:t xml:space="preserve"> </w:t>
      </w:r>
    </w:p>
  </w:footnote>
  <w:footnote w:id="12">
    <w:p w14:paraId="7D297F67" w14:textId="77777777" w:rsidR="006E65A3" w:rsidRPr="00822986" w:rsidRDefault="006E65A3" w:rsidP="009779F1">
      <w:pPr>
        <w:pStyle w:val="FootnoteText"/>
        <w:jc w:val="both"/>
        <w:rPr>
          <w:color w:val="000000" w:themeColor="text1"/>
        </w:rPr>
      </w:pPr>
      <w:r w:rsidRPr="00822986">
        <w:rPr>
          <w:rStyle w:val="FootnoteReference"/>
          <w:color w:val="000000" w:themeColor="text1"/>
        </w:rPr>
        <w:footnoteRef/>
      </w:r>
      <w:r w:rsidRPr="00822986">
        <w:rPr>
          <w:color w:val="000000" w:themeColor="text1"/>
        </w:rPr>
        <w:t xml:space="preserve"> ES fondu </w:t>
      </w:r>
      <w:r>
        <w:rPr>
          <w:color w:val="000000" w:themeColor="text1"/>
        </w:rPr>
        <w:t>tīmekļa</w:t>
      </w:r>
      <w:r w:rsidRPr="00822986">
        <w:rPr>
          <w:color w:val="000000" w:themeColor="text1"/>
        </w:rPr>
        <w:t xml:space="preserve"> vietnes sadaļā par </w:t>
      </w:r>
      <w:r w:rsidRPr="00822986">
        <w:t xml:space="preserve">Finanšu instrumentu ieviešanas statusu: </w:t>
      </w:r>
      <w:hyperlink r:id="rId3" w:history="1">
        <w:r w:rsidRPr="00822986">
          <w:rPr>
            <w:rStyle w:val="Hyperlink"/>
            <w:rFonts w:cs="Times New Roman"/>
          </w:rPr>
          <w:t>http://www.esfondi.lv/page.php?id=1064</w:t>
        </w:r>
      </w:hyperlink>
    </w:p>
  </w:footnote>
  <w:footnote w:id="13">
    <w:p w14:paraId="40D87F97" w14:textId="033383BD" w:rsidR="006E65A3" w:rsidRDefault="006E65A3">
      <w:pPr>
        <w:pStyle w:val="FootnoteText"/>
      </w:pPr>
      <w:r>
        <w:rPr>
          <w:rStyle w:val="FootnoteReference"/>
        </w:rPr>
        <w:footnoteRef/>
      </w:r>
      <w:r>
        <w:t xml:space="preserve"> </w:t>
      </w:r>
      <w:r>
        <w:rPr>
          <w:color w:val="000000" w:themeColor="text1"/>
        </w:rPr>
        <w:t>Informatīvais ziņojums</w:t>
      </w:r>
      <w:r w:rsidRPr="009779F1">
        <w:rPr>
          <w:color w:val="000000" w:themeColor="text1"/>
        </w:rPr>
        <w:t xml:space="preserve"> par </w:t>
      </w:r>
      <w:r>
        <w:rPr>
          <w:color w:val="000000" w:themeColor="text1"/>
        </w:rPr>
        <w:t xml:space="preserve">ES fondu </w:t>
      </w:r>
      <w:r w:rsidRPr="009779F1">
        <w:rPr>
          <w:color w:val="000000" w:themeColor="text1"/>
        </w:rPr>
        <w:t xml:space="preserve">un </w:t>
      </w:r>
      <w:r>
        <w:rPr>
          <w:color w:val="000000" w:themeColor="text1"/>
        </w:rPr>
        <w:t>KF</w:t>
      </w:r>
      <w:r w:rsidRPr="009779F1">
        <w:rPr>
          <w:color w:val="000000" w:themeColor="text1"/>
        </w:rPr>
        <w:t xml:space="preserve"> investīciju progresu līdz 2015. gada 30. novembrim</w:t>
      </w:r>
      <w:r>
        <w:t xml:space="preserve"> </w:t>
      </w:r>
      <w:hyperlink r:id="rId4" w:history="1">
        <w:r w:rsidRPr="00A33C88">
          <w:rPr>
            <w:rStyle w:val="Hyperlink"/>
          </w:rPr>
          <w:t>http://www.esfondi.lv/zinojumi-Ministru-kabinetam</w:t>
        </w:r>
      </w:hyperlink>
    </w:p>
  </w:footnote>
  <w:footnote w:id="14">
    <w:p w14:paraId="3825538B" w14:textId="77777777" w:rsidR="006E65A3" w:rsidRDefault="006E65A3" w:rsidP="00033009">
      <w:pPr>
        <w:pStyle w:val="FootnoteText"/>
      </w:pPr>
      <w:r>
        <w:rPr>
          <w:rStyle w:val="FootnoteReference"/>
        </w:rPr>
        <w:footnoteRef/>
      </w:r>
      <w:r>
        <w:t xml:space="preserve"> ES fondu tīmekļa vietne </w:t>
      </w:r>
      <w:r w:rsidRPr="00822986">
        <w:rPr>
          <w:color w:val="000000" w:themeColor="text1"/>
        </w:rPr>
        <w:t xml:space="preserve">sadaļā par </w:t>
      </w:r>
      <w:r w:rsidRPr="00822986">
        <w:t>ES fondu</w:t>
      </w:r>
      <w:r>
        <w:t xml:space="preserve"> ieviešanu - </w:t>
      </w:r>
      <w:hyperlink r:id="rId5" w:history="1">
        <w:r w:rsidRPr="00B22A36">
          <w:rPr>
            <w:rStyle w:val="Hyperlink"/>
          </w:rPr>
          <w:t>http://www.esfondi.lv/atbildigo-iestazu-zinojumi</w:t>
        </w:r>
      </w:hyperlink>
      <w:r>
        <w:t xml:space="preserve"> </w:t>
      </w:r>
    </w:p>
  </w:footnote>
  <w:footnote w:id="15">
    <w:p w14:paraId="7C5F39EA" w14:textId="6527CDEF" w:rsidR="006E65A3" w:rsidRPr="00123472" w:rsidRDefault="006E65A3" w:rsidP="00123472">
      <w:pPr>
        <w:rPr>
          <w:color w:val="1F497D"/>
        </w:rPr>
      </w:pPr>
      <w:r>
        <w:rPr>
          <w:rStyle w:val="FootnoteReference"/>
        </w:rPr>
        <w:footnoteRef/>
      </w:r>
      <w:hyperlink r:id="rId6" w:history="1">
        <w:r w:rsidRPr="00123472">
          <w:rPr>
            <w:rStyle w:val="Hyperlink"/>
            <w:sz w:val="20"/>
          </w:rPr>
          <w:t>http://kom.esfondi.lv/o/7/1_UK_materiāli_(MC_materials)/2015/01_03.07.2015_UK/02_Darb_mat_(work_mat)/1_VI_07-13_progress/1_VI_ESF_KF_investiciju_progress_gala_03072015.pdf</w:t>
        </w:r>
      </w:hyperlink>
      <w:r w:rsidRPr="00123472">
        <w:rPr>
          <w:color w:val="1F497D"/>
          <w:sz w:val="20"/>
        </w:rPr>
        <w:t xml:space="preserve"> </w:t>
      </w:r>
    </w:p>
  </w:footnote>
  <w:footnote w:id="16">
    <w:p w14:paraId="2AEF5D3A" w14:textId="2F82BF45" w:rsidR="006E65A3" w:rsidRDefault="006E65A3" w:rsidP="00123472">
      <w:pPr>
        <w:rPr>
          <w:color w:val="1F497D"/>
        </w:rPr>
      </w:pPr>
      <w:r>
        <w:rPr>
          <w:rStyle w:val="FootnoteReference"/>
        </w:rPr>
        <w:footnoteRef/>
      </w:r>
      <w:hyperlink r:id="rId7" w:history="1">
        <w:r w:rsidRPr="00123472">
          <w:rPr>
            <w:rStyle w:val="Hyperlink"/>
            <w:sz w:val="20"/>
          </w:rPr>
          <w:t>http://kom.esfondi.lv/o/_layouts/15/start.aspx#/7/Forms/AllItems.aspx?RootFolder=%2Fo%2F7%2F5%5FAEM%5FEK%5F%28AEM%5FEC%29%2F2015&amp;FolderCTID=0x0120008483F24FECAA7A469815949F7B4D34E6&amp;View=%7B72505FE4%2D40CA%2D4AE9%2D9265%2DDAC2A9EED787%7D</w:t>
        </w:r>
      </w:hyperlink>
    </w:p>
    <w:p w14:paraId="0B02BC63" w14:textId="2294362F" w:rsidR="006E65A3" w:rsidRPr="00123472" w:rsidRDefault="006E65A3" w:rsidP="00123472">
      <w:pPr>
        <w:rPr>
          <w:color w:val="1F497D"/>
        </w:rPr>
      </w:pPr>
    </w:p>
  </w:footnote>
  <w:footnote w:id="17">
    <w:p w14:paraId="2C7CAB9A" w14:textId="1C78D213" w:rsidR="006E65A3" w:rsidRPr="00822986" w:rsidRDefault="006E65A3" w:rsidP="009C0862">
      <w:pPr>
        <w:pStyle w:val="FootnoteText"/>
        <w:jc w:val="both"/>
        <w:rPr>
          <w:color w:val="000000" w:themeColor="text1"/>
        </w:rPr>
      </w:pPr>
      <w:r w:rsidRPr="00822986">
        <w:rPr>
          <w:rStyle w:val="FootnoteReference"/>
          <w:color w:val="000000" w:themeColor="text1"/>
        </w:rPr>
        <w:footnoteRef/>
      </w:r>
      <w:r w:rsidRPr="00822986">
        <w:rPr>
          <w:color w:val="000000" w:themeColor="text1"/>
        </w:rPr>
        <w:t xml:space="preserve"> ES fondu </w:t>
      </w:r>
      <w:r>
        <w:rPr>
          <w:color w:val="000000" w:themeColor="text1"/>
        </w:rPr>
        <w:t>tīmekļa</w:t>
      </w:r>
      <w:r w:rsidRPr="00822986">
        <w:rPr>
          <w:color w:val="000000" w:themeColor="text1"/>
        </w:rPr>
        <w:t xml:space="preserve"> vietnes sadaļā par </w:t>
      </w:r>
      <w:r w:rsidRPr="00822986">
        <w:t xml:space="preserve">ES fondu finanšu progresu: </w:t>
      </w:r>
      <w:hyperlink r:id="rId8" w:history="1">
        <w:r w:rsidRPr="00621225">
          <w:rPr>
            <w:rStyle w:val="Hyperlink"/>
          </w:rPr>
          <w:t>http://www.esfondi.lv/es-fondu-finansu-progress</w:t>
        </w:r>
      </w:hyperlink>
      <w:r>
        <w:t xml:space="preserve"> </w:t>
      </w:r>
    </w:p>
  </w:footnote>
  <w:footnote w:id="18">
    <w:p w14:paraId="0F35EA3D" w14:textId="1BFE0165" w:rsidR="006E65A3" w:rsidRPr="00F81652" w:rsidRDefault="006E65A3" w:rsidP="009C0862">
      <w:pPr>
        <w:pStyle w:val="FootnoteText"/>
      </w:pPr>
      <w:r w:rsidRPr="00822986">
        <w:rPr>
          <w:rStyle w:val="FootnoteReference"/>
          <w:color w:val="000000" w:themeColor="text1"/>
        </w:rPr>
        <w:footnoteRef/>
      </w:r>
      <w:r w:rsidRPr="00822986">
        <w:rPr>
          <w:rStyle w:val="FootnoteReference"/>
          <w:color w:val="000000" w:themeColor="text1"/>
        </w:rPr>
        <w:t xml:space="preserve"> </w:t>
      </w:r>
      <w:bookmarkStart w:id="12" w:name="26"/>
      <w:r>
        <w:rPr>
          <w:rStyle w:val="FootnoteReference"/>
          <w:color w:val="000000" w:themeColor="text1"/>
          <w:vertAlign w:val="baseline"/>
        </w:rPr>
        <w:t>MK 2015.gada 10.marta sēdes protokols Nr.14</w:t>
      </w:r>
      <w:r w:rsidRPr="00F81652">
        <w:rPr>
          <w:color w:val="000000" w:themeColor="text1"/>
        </w:rPr>
        <w:t xml:space="preserve"> </w:t>
      </w:r>
      <w:r>
        <w:rPr>
          <w:rStyle w:val="FootnoteReference"/>
          <w:color w:val="000000" w:themeColor="text1"/>
          <w:vertAlign w:val="baseline"/>
        </w:rPr>
        <w:t>27</w:t>
      </w:r>
      <w:r w:rsidRPr="00F81652">
        <w:rPr>
          <w:rStyle w:val="FootnoteReference"/>
          <w:color w:val="000000" w:themeColor="text1"/>
          <w:vertAlign w:val="baseline"/>
        </w:rPr>
        <w:t>.§</w:t>
      </w:r>
      <w:bookmarkEnd w:id="12"/>
      <w:r w:rsidRPr="00F81652">
        <w:rPr>
          <w:color w:val="000000" w:themeColor="text1"/>
        </w:rPr>
        <w:t>.</w:t>
      </w:r>
      <w:r w:rsidRPr="00822986">
        <w:rPr>
          <w:color w:val="000000" w:themeColor="text1"/>
        </w:rPr>
        <w:t xml:space="preserve"> Pieejams MK </w:t>
      </w:r>
      <w:r>
        <w:rPr>
          <w:color w:val="000000" w:themeColor="text1"/>
        </w:rPr>
        <w:t>tīmekļa</w:t>
      </w:r>
      <w:r w:rsidRPr="00822986">
        <w:rPr>
          <w:color w:val="000000" w:themeColor="text1"/>
        </w:rPr>
        <w:t xml:space="preserve"> vietnē: </w:t>
      </w:r>
      <w:hyperlink r:id="rId9" w:history="1">
        <w:r w:rsidRPr="00281702">
          <w:rPr>
            <w:rStyle w:val="Hyperlink"/>
          </w:rPr>
          <w:t>http://tap.mk.gov.lv/mk/mksedes/saraksts/protokols/?protokols=2015-03-10</w:t>
        </w:r>
      </w:hyperlink>
      <w:r>
        <w:rPr>
          <w:color w:val="000000" w:themeColor="text1"/>
        </w:rPr>
        <w:t xml:space="preserve"> </w:t>
      </w:r>
    </w:p>
  </w:footnote>
  <w:footnote w:id="19">
    <w:p w14:paraId="420384C5" w14:textId="77777777" w:rsidR="006E65A3" w:rsidRDefault="006E65A3" w:rsidP="00006CA1">
      <w:pPr>
        <w:pStyle w:val="FootnoteText"/>
        <w:jc w:val="both"/>
      </w:pPr>
      <w:r>
        <w:rPr>
          <w:rStyle w:val="FootnoteReference"/>
        </w:rPr>
        <w:footnoteRef/>
      </w:r>
      <w:r>
        <w:t xml:space="preserve"> 2015.gada 28.jūlija p</w:t>
      </w:r>
      <w:r w:rsidRPr="009154DE">
        <w:t>recizētās maksā</w:t>
      </w:r>
      <w:r>
        <w:t xml:space="preserve">jumu prognozes 2015.-2016.gadam: </w:t>
      </w:r>
      <w:hyperlink r:id="rId10" w:history="1">
        <w:r w:rsidRPr="00CC7F03">
          <w:rPr>
            <w:rStyle w:val="Hyperlink"/>
          </w:rPr>
          <w:t>http://www.esfondi.lv/arhivs-8</w:t>
        </w:r>
      </w:hyperlink>
      <w:r>
        <w:t xml:space="preserve"> </w:t>
      </w:r>
    </w:p>
  </w:footnote>
  <w:footnote w:id="20">
    <w:p w14:paraId="6658ABA8" w14:textId="5F8E970F" w:rsidR="006E65A3" w:rsidRDefault="006E65A3">
      <w:pPr>
        <w:pStyle w:val="FootnoteText"/>
      </w:pPr>
      <w:r>
        <w:rPr>
          <w:rStyle w:val="FootnoteReference"/>
        </w:rPr>
        <w:footnoteRef/>
      </w:r>
      <w:r>
        <w:t xml:space="preserve"> Pieejami ES fondu tīmekļa vietnē - </w:t>
      </w:r>
      <w:hyperlink r:id="rId11" w:history="1">
        <w:r w:rsidRPr="006D33BF">
          <w:rPr>
            <w:rStyle w:val="Hyperlink"/>
          </w:rPr>
          <w:t>http://www.esfondi.lv/zinojumi-Ministru-kabinetam</w:t>
        </w:r>
      </w:hyperlink>
      <w:r>
        <w:t xml:space="preserve"> </w:t>
      </w:r>
    </w:p>
  </w:footnote>
  <w:footnote w:id="21">
    <w:p w14:paraId="769B2F30" w14:textId="77777777" w:rsidR="006E65A3" w:rsidRDefault="006E65A3" w:rsidP="00AA6B06">
      <w:pPr>
        <w:pStyle w:val="FootnoteText"/>
        <w:jc w:val="both"/>
      </w:pPr>
      <w:r>
        <w:rPr>
          <w:rStyle w:val="FootnoteReference"/>
        </w:rPr>
        <w:footnoteRef/>
      </w:r>
      <w:r>
        <w:t xml:space="preserve"> Ņemot vērā EK 2015.gada 30.aprīlī apstiprinātajās EK slēgšanas pamatnostādnes, katrā prioritātē no EK iespējams pieprasīt līdz 110% no prioritātei pieejamā ES fondu finansējuma. 110% deklarējamo izdevumu limits ņemts vērā tabulas aprēķinos, lai gan atsevišķās prioritātēs (1.3., 2.1., 2.3. un 3.3.) lēšamais deklarējamo izdevumu prognozētais apjoms pārsniedz šo limitu.</w:t>
      </w:r>
    </w:p>
  </w:footnote>
  <w:footnote w:id="22">
    <w:p w14:paraId="3872B344" w14:textId="3365AF4E" w:rsidR="006E65A3" w:rsidRDefault="006E65A3" w:rsidP="00D05205">
      <w:pPr>
        <w:pStyle w:val="FootnoteText"/>
        <w:jc w:val="both"/>
      </w:pPr>
      <w:r>
        <w:rPr>
          <w:rStyle w:val="FootnoteReference"/>
        </w:rPr>
        <w:footnoteRef/>
      </w:r>
      <w:r>
        <w:t xml:space="preserve"> </w:t>
      </w:r>
      <w:r w:rsidRPr="00545679">
        <w:rPr>
          <w:rFonts w:eastAsia="Times New Roman" w:cs="Times New Roman"/>
          <w:bCs/>
          <w:color w:val="000000"/>
          <w:lang w:eastAsia="lv-LV"/>
        </w:rPr>
        <w:t>EK pieprasāmās summas starpība ar  ES fondu piešķīrumu</w:t>
      </w:r>
      <w:r>
        <w:rPr>
          <w:rFonts w:eastAsia="Times New Roman" w:cs="Times New Roman"/>
          <w:bCs/>
          <w:color w:val="000000"/>
          <w:lang w:eastAsia="lv-LV"/>
        </w:rPr>
        <w:t xml:space="preserve"> ir aprēķināta ņemot vērā summas līdz veselam </w:t>
      </w:r>
      <w:r w:rsidRPr="00066537">
        <w:rPr>
          <w:rFonts w:eastAsia="Times New Roman" w:cs="Times New Roman"/>
          <w:bCs/>
          <w:i/>
          <w:color w:val="000000"/>
          <w:lang w:eastAsia="lv-LV"/>
        </w:rPr>
        <w:t>euro</w:t>
      </w:r>
      <w:r>
        <w:rPr>
          <w:rFonts w:eastAsia="Times New Roman" w:cs="Times New Roman"/>
          <w:bCs/>
          <w:color w:val="000000"/>
          <w:lang w:eastAsia="lv-LV"/>
        </w:rPr>
        <w:t xml:space="preserve">, tabulā iekļauti noapaļoti cipari </w:t>
      </w:r>
      <w:proofErr w:type="spellStart"/>
      <w:r>
        <w:rPr>
          <w:rFonts w:eastAsia="Times New Roman" w:cs="Times New Roman"/>
          <w:bCs/>
          <w:color w:val="000000"/>
          <w:lang w:eastAsia="lv-LV"/>
        </w:rPr>
        <w:t>milj</w:t>
      </w:r>
      <w:proofErr w:type="spellEnd"/>
      <w:r>
        <w:rPr>
          <w:rFonts w:eastAsia="Times New Roman" w:cs="Times New Roman"/>
          <w:bCs/>
          <w:color w:val="000000"/>
          <w:lang w:eastAsia="lv-LV"/>
        </w:rPr>
        <w:t xml:space="preserve">, </w:t>
      </w:r>
      <w:r w:rsidRPr="00066537">
        <w:rPr>
          <w:rFonts w:eastAsia="Times New Roman" w:cs="Times New Roman"/>
          <w:bCs/>
          <w:i/>
          <w:color w:val="000000"/>
          <w:lang w:eastAsia="lv-LV"/>
        </w:rPr>
        <w:t>euro</w:t>
      </w:r>
      <w:r>
        <w:rPr>
          <w:rFonts w:eastAsia="Times New Roman" w:cs="Times New Roman"/>
          <w:bCs/>
          <w:color w:val="000000"/>
          <w:lang w:eastAsia="lv-LV"/>
        </w:rPr>
        <w:t xml:space="preserve">, līdz ar to </w:t>
      </w:r>
      <w:proofErr w:type="spellStart"/>
      <w:r>
        <w:rPr>
          <w:rFonts w:eastAsia="Times New Roman" w:cs="Times New Roman"/>
          <w:bCs/>
          <w:color w:val="000000"/>
          <w:lang w:eastAsia="lv-LV"/>
        </w:rPr>
        <w:t>iepējamas</w:t>
      </w:r>
      <w:proofErr w:type="spellEnd"/>
      <w:r>
        <w:rPr>
          <w:rFonts w:eastAsia="Times New Roman" w:cs="Times New Roman"/>
          <w:bCs/>
          <w:color w:val="000000"/>
          <w:lang w:eastAsia="lv-LV"/>
        </w:rPr>
        <w:t xml:space="preserve"> </w:t>
      </w:r>
      <w:proofErr w:type="spellStart"/>
      <w:r>
        <w:rPr>
          <w:rFonts w:eastAsia="Times New Roman" w:cs="Times New Roman"/>
          <w:bCs/>
          <w:color w:val="000000"/>
          <w:lang w:eastAsia="lv-LV"/>
        </w:rPr>
        <w:t>škietamas</w:t>
      </w:r>
      <w:proofErr w:type="spellEnd"/>
      <w:r>
        <w:rPr>
          <w:rFonts w:eastAsia="Times New Roman" w:cs="Times New Roman"/>
          <w:bCs/>
          <w:color w:val="000000"/>
          <w:lang w:eastAsia="lv-LV"/>
        </w:rPr>
        <w:t xml:space="preserve"> matemātiskas neprecizitātes, kas saistītas ar noapaļošanu. </w:t>
      </w:r>
    </w:p>
  </w:footnote>
  <w:footnote w:id="23">
    <w:p w14:paraId="3A6E35E1" w14:textId="77777777" w:rsidR="006E65A3" w:rsidRDefault="006E65A3" w:rsidP="00AA6B06">
      <w:pPr>
        <w:pStyle w:val="FootnoteText"/>
        <w:jc w:val="both"/>
      </w:pPr>
      <w:r>
        <w:rPr>
          <w:rStyle w:val="FootnoteReference"/>
        </w:rPr>
        <w:footnoteRef/>
      </w:r>
      <w:r>
        <w:t xml:space="preserve"> Vidējā scenārija gadījumā darbības programmā “Uzņēmējdarbība un inovācijas” bez 110% deklarējamo izdevumu limita pastāv papildu rezerve 10 milj. </w:t>
      </w:r>
      <w:r w:rsidRPr="00FA5F72">
        <w:rPr>
          <w:i/>
        </w:rPr>
        <w:t>euro</w:t>
      </w:r>
      <w:r>
        <w:t xml:space="preserve"> apmērā</w:t>
      </w:r>
    </w:p>
  </w:footnote>
  <w:footnote w:id="24">
    <w:p w14:paraId="79399B97" w14:textId="77777777" w:rsidR="006E65A3" w:rsidRDefault="006E65A3" w:rsidP="005B6B9A">
      <w:pPr>
        <w:pStyle w:val="FootnoteText"/>
      </w:pPr>
      <w:r>
        <w:rPr>
          <w:rStyle w:val="FootnoteReference"/>
        </w:rPr>
        <w:footnoteRef/>
      </w:r>
      <w:r>
        <w:t xml:space="preserve"> 2015.gada 30.aprīļa EK slēgšanas pamatnostādnes pieejamas ES fondu interneta vietnē: </w:t>
      </w:r>
      <w:hyperlink r:id="rId12" w:history="1">
        <w:r w:rsidRPr="009317BC">
          <w:rPr>
            <w:rStyle w:val="Hyperlink"/>
          </w:rPr>
          <w:t>http://www.esfondi.lv/page.php?id=1185</w:t>
        </w:r>
      </w:hyperlink>
      <w:r>
        <w:t xml:space="preserve"> </w:t>
      </w:r>
    </w:p>
  </w:footnote>
  <w:footnote w:id="25">
    <w:p w14:paraId="35AAA6EB" w14:textId="77777777" w:rsidR="006E65A3" w:rsidRPr="00822986" w:rsidRDefault="006E65A3" w:rsidP="003A55A9">
      <w:pPr>
        <w:pStyle w:val="FootnoteText"/>
        <w:jc w:val="both"/>
        <w:rPr>
          <w:color w:val="000000" w:themeColor="text1"/>
        </w:rPr>
      </w:pPr>
      <w:r w:rsidRPr="00822986">
        <w:rPr>
          <w:rStyle w:val="FootnoteReference"/>
          <w:color w:val="000000" w:themeColor="text1"/>
        </w:rPr>
        <w:footnoteRef/>
      </w:r>
      <w:r w:rsidRPr="00822986">
        <w:rPr>
          <w:color w:val="000000" w:themeColor="text1"/>
        </w:rPr>
        <w:t xml:space="preserve"> ES fondu </w:t>
      </w:r>
      <w:r>
        <w:rPr>
          <w:color w:val="000000" w:themeColor="text1"/>
        </w:rPr>
        <w:t>tīmekļa</w:t>
      </w:r>
      <w:r w:rsidRPr="00822986">
        <w:rPr>
          <w:color w:val="000000" w:themeColor="text1"/>
        </w:rPr>
        <w:t xml:space="preserve"> vietnes sadaļā par </w:t>
      </w:r>
      <w:r w:rsidRPr="00822986">
        <w:t>ES fondu un Kohēzijas fonda kopējiem EK veiktiem maksājumiem dalībvalstīm:</w:t>
      </w:r>
      <w:r w:rsidRPr="00822986">
        <w:rPr>
          <w:color w:val="000000" w:themeColor="text1"/>
        </w:rPr>
        <w:t xml:space="preserve"> </w:t>
      </w:r>
      <w:hyperlink r:id="rId13" w:history="1">
        <w:r w:rsidRPr="00B16681">
          <w:rPr>
            <w:rStyle w:val="Hyperlink"/>
          </w:rPr>
          <w:t>http://www.esfondi.lv/es-fondu-un-kohezijas-fonda-kopejie-ek-veiktie-maksajumi-dalibvalstim</w:t>
        </w:r>
      </w:hyperlink>
      <w:r>
        <w:t xml:space="preserve"> </w:t>
      </w:r>
    </w:p>
  </w:footnote>
  <w:footnote w:id="26">
    <w:p w14:paraId="6ED25CA9" w14:textId="77777777" w:rsidR="006E65A3" w:rsidRPr="00822986" w:rsidRDefault="006E65A3" w:rsidP="003A55A9">
      <w:pPr>
        <w:pStyle w:val="FootnoteText"/>
        <w:jc w:val="both"/>
        <w:rPr>
          <w:color w:val="000000" w:themeColor="text1"/>
        </w:rPr>
      </w:pPr>
      <w:r w:rsidRPr="00822986">
        <w:rPr>
          <w:rStyle w:val="FootnoteReference"/>
          <w:color w:val="000000" w:themeColor="text1"/>
        </w:rPr>
        <w:footnoteRef/>
      </w:r>
      <w:r w:rsidRPr="00822986">
        <w:rPr>
          <w:color w:val="000000" w:themeColor="text1"/>
        </w:rPr>
        <w:t xml:space="preserve"> ES fondu </w:t>
      </w:r>
      <w:r>
        <w:rPr>
          <w:color w:val="000000" w:themeColor="text1"/>
        </w:rPr>
        <w:t>tīmekļa</w:t>
      </w:r>
      <w:r w:rsidRPr="00822986">
        <w:rPr>
          <w:color w:val="000000" w:themeColor="text1"/>
        </w:rPr>
        <w:t xml:space="preserve"> vietnes sadaļā par </w:t>
      </w:r>
      <w:r w:rsidRPr="00822986">
        <w:t xml:space="preserve">ES fondu </w:t>
      </w:r>
      <w:r>
        <w:t>investīciju progresa salīdzinājums</w:t>
      </w:r>
      <w:r w:rsidRPr="00822986">
        <w:t xml:space="preserve"> starp Baltijas valstīm 2007-2013.g.:</w:t>
      </w:r>
      <w:hyperlink r:id="rId14" w:history="1">
        <w:r w:rsidRPr="009C72CF">
          <w:rPr>
            <w:rStyle w:val="Hyperlink"/>
          </w:rPr>
          <w:t>http://www.esfondi.lv/es-fondu-investiciju-progresa-salidzinajums-starp-baltijas-valstim-2007-2013.g</w:t>
        </w:r>
      </w:hyperlink>
      <w:r w:rsidRPr="008F05D7">
        <w:t>.</w:t>
      </w:r>
      <w:r>
        <w:t xml:space="preserve"> </w:t>
      </w:r>
    </w:p>
  </w:footnote>
  <w:footnote w:id="27">
    <w:p w14:paraId="14F9EEFA" w14:textId="77777777" w:rsidR="006E65A3" w:rsidRPr="00A60696" w:rsidRDefault="006E65A3" w:rsidP="00DF7851">
      <w:pPr>
        <w:pStyle w:val="FootnoteText"/>
        <w:jc w:val="both"/>
        <w:rPr>
          <w:color w:val="000000" w:themeColor="text1"/>
        </w:rPr>
      </w:pPr>
      <w:r>
        <w:rPr>
          <w:rStyle w:val="FootnoteReference"/>
        </w:rPr>
        <w:footnoteRef/>
      </w:r>
      <w:r>
        <w:t xml:space="preserve"> ES fondu tīmekļa vietnes sadaļā par AI ziņojumiem par ES fondu apguvi: </w:t>
      </w:r>
      <w:hyperlink r:id="rId15" w:history="1">
        <w:r w:rsidRPr="00A60696">
          <w:rPr>
            <w:rStyle w:val="Hyperlink"/>
            <w:color w:val="000000" w:themeColor="text1"/>
          </w:rPr>
          <w:t>http://www.esfondi.lv/page.php?id=338</w:t>
        </w:r>
      </w:hyperlink>
    </w:p>
  </w:footnote>
  <w:footnote w:id="28">
    <w:p w14:paraId="7D66CC4F" w14:textId="77777777" w:rsidR="006E65A3" w:rsidRPr="00822986" w:rsidRDefault="006E65A3" w:rsidP="009C0862">
      <w:pPr>
        <w:pStyle w:val="FootnoteText"/>
        <w:jc w:val="both"/>
        <w:rPr>
          <w:color w:val="000000" w:themeColor="text1"/>
        </w:rPr>
      </w:pPr>
      <w:r>
        <w:rPr>
          <w:rStyle w:val="FootnoteReference"/>
        </w:rPr>
        <w:footnoteRef/>
      </w:r>
      <w:r>
        <w:t xml:space="preserve"> </w:t>
      </w:r>
      <w:r w:rsidRPr="00353F65">
        <w:rPr>
          <w:color w:val="000000" w:themeColor="text1"/>
        </w:rPr>
        <w:t>EEZ/</w:t>
      </w:r>
      <w:r>
        <w:rPr>
          <w:color w:val="000000" w:themeColor="text1"/>
        </w:rPr>
        <w:t>Norvēģijas finanšu instrumentu tīmekļa</w:t>
      </w:r>
      <w:r w:rsidRPr="00353F65">
        <w:rPr>
          <w:color w:val="000000" w:themeColor="text1"/>
        </w:rPr>
        <w:t xml:space="preserve"> vietne: </w:t>
      </w:r>
      <w:hyperlink r:id="rId16" w:history="1">
        <w:r w:rsidRPr="002E2AE4">
          <w:rPr>
            <w:rStyle w:val="Hyperlink"/>
            <w:rFonts w:cs="Times New Roman"/>
          </w:rPr>
          <w:t>http://www.eeagrants.lv/?id=23</w:t>
        </w:r>
      </w:hyperlink>
      <w:r>
        <w:t xml:space="preserve"> </w:t>
      </w:r>
      <w:r>
        <w:rPr>
          <w:rStyle w:val="Hyperlink"/>
          <w:rFonts w:cs="Times New Roman"/>
          <w:color w:val="000000" w:themeColor="text1"/>
        </w:rPr>
        <w:t xml:space="preserve">un </w:t>
      </w:r>
      <w:hyperlink r:id="rId17" w:history="1">
        <w:r w:rsidRPr="00A1615D">
          <w:rPr>
            <w:rStyle w:val="Hyperlink"/>
            <w:rFonts w:cs="Times New Roman"/>
          </w:rPr>
          <w:t>http://www.norwaygrants.lv/?id=23</w:t>
        </w:r>
      </w:hyperlink>
    </w:p>
    <w:p w14:paraId="6BB90123" w14:textId="77777777" w:rsidR="006E65A3" w:rsidRDefault="006E65A3" w:rsidP="009C0862">
      <w:pPr>
        <w:pStyle w:val="FootnoteText"/>
      </w:pPr>
    </w:p>
  </w:footnote>
  <w:footnote w:id="29">
    <w:p w14:paraId="18509CB4" w14:textId="77777777" w:rsidR="006E65A3" w:rsidRDefault="006E65A3" w:rsidP="001F7759">
      <w:pPr>
        <w:pStyle w:val="FootnoteText"/>
      </w:pPr>
      <w:r>
        <w:rPr>
          <w:rStyle w:val="FootnoteReference"/>
        </w:rPr>
        <w:footnoteRef/>
      </w:r>
      <w:r>
        <w:t xml:space="preserve"> </w:t>
      </w:r>
      <w:r>
        <w:rPr>
          <w:sz w:val="18"/>
          <w:szCs w:val="18"/>
        </w:rPr>
        <w:t>Pētniecības projektu</w:t>
      </w:r>
      <w:r w:rsidRPr="00C660EB">
        <w:rPr>
          <w:sz w:val="18"/>
          <w:szCs w:val="18"/>
        </w:rPr>
        <w:t xml:space="preserve"> izmaksu </w:t>
      </w:r>
      <w:proofErr w:type="spellStart"/>
      <w:r w:rsidRPr="00C660EB">
        <w:rPr>
          <w:sz w:val="18"/>
          <w:szCs w:val="18"/>
        </w:rPr>
        <w:t>attiecināmības</w:t>
      </w:r>
      <w:proofErr w:type="spellEnd"/>
      <w:r w:rsidRPr="00C660EB">
        <w:rPr>
          <w:sz w:val="18"/>
          <w:szCs w:val="18"/>
        </w:rPr>
        <w:t xml:space="preserve"> termiņš jau pagarināts 2013.gada 27.maijā.</w:t>
      </w:r>
    </w:p>
  </w:footnote>
  <w:footnote w:id="30">
    <w:p w14:paraId="09DD47D7" w14:textId="77777777" w:rsidR="006E65A3" w:rsidRDefault="006E65A3" w:rsidP="00F26818">
      <w:pPr>
        <w:pStyle w:val="FootnoteText"/>
        <w:jc w:val="both"/>
      </w:pPr>
      <w:r>
        <w:rPr>
          <w:rStyle w:val="FootnoteReference"/>
        </w:rPr>
        <w:footnoteRef/>
      </w:r>
      <w:r>
        <w:t xml:space="preserve"> līdzīgi  </w:t>
      </w:r>
      <w:r w:rsidRPr="009E43DF">
        <w:t>citu ārvalstu finanšu palīdzības līdzfinansētu projektu ietvaros</w:t>
      </w:r>
    </w:p>
  </w:footnote>
  <w:footnote w:id="31">
    <w:p w14:paraId="0919C4BF" w14:textId="77777777" w:rsidR="006E65A3" w:rsidRPr="00B9442C" w:rsidRDefault="006E65A3" w:rsidP="00F26818">
      <w:pPr>
        <w:pStyle w:val="FootnoteText"/>
        <w:jc w:val="both"/>
        <w:rPr>
          <w:color w:val="000000"/>
        </w:rPr>
      </w:pPr>
      <w:r w:rsidRPr="00B9442C">
        <w:rPr>
          <w:rStyle w:val="FootnoteReference"/>
          <w:color w:val="000000"/>
        </w:rPr>
        <w:footnoteRef/>
      </w:r>
      <w:r w:rsidRPr="00B9442C">
        <w:rPr>
          <w:color w:val="000000"/>
        </w:rPr>
        <w:t xml:space="preserve"> Jebkurš LR vai ES tiesību akta pārkāpums</w:t>
      </w:r>
      <w:r w:rsidRPr="00B9442C">
        <w:rPr>
          <w:bCs/>
          <w:color w:val="000000"/>
        </w:rPr>
        <w:t xml:space="preserve">, </w:t>
      </w:r>
      <w:r w:rsidRPr="00B9442C">
        <w:rPr>
          <w:color w:val="000000"/>
        </w:rPr>
        <w:t xml:space="preserve">kas atbilst </w:t>
      </w:r>
      <w:r w:rsidRPr="00B9442C">
        <w:rPr>
          <w:bCs/>
          <w:color w:val="000000"/>
        </w:rPr>
        <w:t>Padomes 2006.gada 11.jūlija Regulas (EK) Nr.1083/2006, ar ko paredz vispārīgus noteikumus par ES fondiem un atceļ Regulu (EK) Nr.1260/1999, 2.panta 7.punktā noteiktajam.</w:t>
      </w:r>
    </w:p>
  </w:footnote>
  <w:footnote w:id="32">
    <w:p w14:paraId="3C9D8B5C" w14:textId="2708999F" w:rsidR="006E65A3" w:rsidRDefault="006E65A3" w:rsidP="00F26818">
      <w:pPr>
        <w:pStyle w:val="FootnoteText"/>
        <w:jc w:val="both"/>
      </w:pPr>
      <w:r>
        <w:rPr>
          <w:rStyle w:val="FootnoteReference"/>
        </w:rPr>
        <w:footnoteRef/>
      </w:r>
      <w:r>
        <w:t xml:space="preserve"> </w:t>
      </w:r>
      <w:r w:rsidRPr="00B9442C">
        <w:rPr>
          <w:color w:val="000000"/>
        </w:rPr>
        <w:t>ES fondu tīmekļa</w:t>
      </w:r>
      <w:r>
        <w:rPr>
          <w:color w:val="000000"/>
        </w:rPr>
        <w:t xml:space="preserve"> </w:t>
      </w:r>
      <w:r w:rsidRPr="00B9442C">
        <w:rPr>
          <w:color w:val="000000"/>
        </w:rPr>
        <w:t xml:space="preserve">vietnes sadaļā, kur tiek apkopota informācija par ES fondu vadlīnijām, metodikām un skaidrojumiem: </w:t>
      </w:r>
      <w:r>
        <w:t>http://www.esfondi.lv/page.php?id=1099</w:t>
      </w:r>
    </w:p>
  </w:footnote>
  <w:footnote w:id="33">
    <w:p w14:paraId="02F81634" w14:textId="77777777" w:rsidR="006E65A3" w:rsidRPr="00B9442C" w:rsidRDefault="006E65A3" w:rsidP="00F26818">
      <w:pPr>
        <w:pStyle w:val="FootnoteText"/>
        <w:jc w:val="both"/>
        <w:rPr>
          <w:color w:val="000000"/>
        </w:rPr>
      </w:pPr>
      <w:r w:rsidRPr="00B9442C">
        <w:rPr>
          <w:rStyle w:val="FootnoteReference"/>
          <w:color w:val="000000"/>
        </w:rPr>
        <w:footnoteRef/>
      </w:r>
      <w:r w:rsidRPr="00B9442C">
        <w:rPr>
          <w:color w:val="000000"/>
        </w:rPr>
        <w:t xml:space="preserve"> ES fondu tīmekļa vietnes sadaļā, kur tiek apkopota informācija par ES fondos konstatētām neatbilstībām: </w:t>
      </w:r>
      <w:r w:rsidRPr="00AA6309">
        <w:t>http://www.esfondi.lv/es-fondos-konstatetas-neatbilstibas</w:t>
      </w:r>
    </w:p>
  </w:footnote>
  <w:footnote w:id="34">
    <w:p w14:paraId="0E59510A" w14:textId="77777777" w:rsidR="006E65A3" w:rsidRDefault="006E65A3" w:rsidP="001243EF">
      <w:pPr>
        <w:pStyle w:val="FootnoteText"/>
        <w:jc w:val="both"/>
      </w:pPr>
      <w:r>
        <w:rPr>
          <w:rStyle w:val="FootnoteReference"/>
        </w:rPr>
        <w:footnoteRef/>
      </w:r>
      <w:r>
        <w:t xml:space="preserve"> ES fondu tīmekļa vietnē - </w:t>
      </w:r>
      <w:hyperlink r:id="rId18" w:history="1">
        <w:r w:rsidRPr="00E71698">
          <w:rPr>
            <w:rStyle w:val="Hyperlink"/>
          </w:rPr>
          <w:t>http://www.esfondi.lv/vadlinijas--skaidrojumi</w:t>
        </w:r>
      </w:hyperlink>
      <w:r>
        <w:t xml:space="preserve"> pieejamas EK</w:t>
      </w:r>
      <w:r w:rsidRPr="00E777B0">
        <w:t xml:space="preserve"> vadlīnijas par publisko iepirkumu jautājumiem</w:t>
      </w:r>
    </w:p>
  </w:footnote>
  <w:footnote w:id="35">
    <w:p w14:paraId="4D15A84B" w14:textId="6B2145A8" w:rsidR="006E65A3" w:rsidRPr="00822986" w:rsidRDefault="006E65A3" w:rsidP="00FC0A51">
      <w:pPr>
        <w:pStyle w:val="FootnoteText"/>
        <w:jc w:val="both"/>
        <w:rPr>
          <w:color w:val="000000" w:themeColor="text1"/>
        </w:rPr>
      </w:pPr>
      <w:r w:rsidRPr="00822986">
        <w:rPr>
          <w:rStyle w:val="FootnoteReference"/>
          <w:color w:val="000000" w:themeColor="text1"/>
        </w:rPr>
        <w:footnoteRef/>
      </w:r>
      <w:r w:rsidRPr="00822986">
        <w:rPr>
          <w:color w:val="000000" w:themeColor="text1"/>
        </w:rPr>
        <w:t xml:space="preserve"> ES fondu </w:t>
      </w:r>
      <w:r>
        <w:rPr>
          <w:color w:val="000000" w:themeColor="text1"/>
        </w:rPr>
        <w:t>tīmekļa</w:t>
      </w:r>
      <w:r w:rsidRPr="00822986">
        <w:rPr>
          <w:color w:val="000000" w:themeColor="text1"/>
        </w:rPr>
        <w:t xml:space="preserve"> vietnes sadaļā</w:t>
      </w:r>
      <w:r>
        <w:rPr>
          <w:color w:val="000000" w:themeColor="text1"/>
        </w:rPr>
        <w:t xml:space="preserve">: </w:t>
      </w:r>
      <w:hyperlink r:id="rId19" w:history="1">
        <w:r w:rsidRPr="008311DE">
          <w:rPr>
            <w:rStyle w:val="Hyperlink"/>
          </w:rPr>
          <w:t>http://www.esfondi.lv/14-20_finansu-progress</w:t>
        </w:r>
      </w:hyperlink>
      <w:r>
        <w:t xml:space="preserve"> </w:t>
      </w:r>
    </w:p>
  </w:footnote>
  <w:footnote w:id="36">
    <w:p w14:paraId="5AD9A1A2" w14:textId="556D7018" w:rsidR="006E65A3" w:rsidRDefault="006E65A3">
      <w:pPr>
        <w:pStyle w:val="FootnoteText"/>
      </w:pPr>
      <w:r>
        <w:rPr>
          <w:rStyle w:val="FootnoteReference"/>
        </w:rPr>
        <w:footnoteRef/>
      </w:r>
      <w:r>
        <w:t xml:space="preserve"> Pieejams ES fondu tīmekļa vietnes sadaļā: </w:t>
      </w:r>
      <w:hyperlink r:id="rId20" w:history="1">
        <w:r w:rsidRPr="006B32D0">
          <w:rPr>
            <w:rStyle w:val="Hyperlink"/>
          </w:rPr>
          <w:t>http://www.esfondi.lv/prezentacijas</w:t>
        </w:r>
      </w:hyperlink>
      <w:r>
        <w:t xml:space="preserve"> </w:t>
      </w:r>
    </w:p>
  </w:footnote>
  <w:footnote w:id="37">
    <w:p w14:paraId="2DC6CB10" w14:textId="57D6CDFB" w:rsidR="006E65A3" w:rsidRDefault="006E65A3">
      <w:pPr>
        <w:pStyle w:val="FootnoteText"/>
      </w:pPr>
      <w:r>
        <w:rPr>
          <w:rStyle w:val="FootnoteReference"/>
        </w:rPr>
        <w:footnoteRef/>
      </w:r>
      <w:r>
        <w:t xml:space="preserve"> </w:t>
      </w:r>
      <w:r w:rsidRPr="00C45DBC">
        <w:t>apstiprināti MK 2015.gada 29.septembrī (Prot.Nr.51, 57.§)</w:t>
      </w:r>
    </w:p>
  </w:footnote>
  <w:footnote w:id="38">
    <w:p w14:paraId="3ED71E70" w14:textId="6BF1A91A" w:rsidR="006E65A3" w:rsidRDefault="006E65A3">
      <w:pPr>
        <w:pStyle w:val="FootnoteText"/>
      </w:pPr>
      <w:r>
        <w:rPr>
          <w:rStyle w:val="FootnoteReference"/>
        </w:rPr>
        <w:footnoteRef/>
      </w:r>
      <w:r>
        <w:t xml:space="preserve"> 2015.gada 24.novembra sēde, protokols Nr. P-2015/UK/3</w:t>
      </w:r>
    </w:p>
  </w:footnote>
  <w:footnote w:id="39">
    <w:p w14:paraId="05A0D092" w14:textId="1B34645D" w:rsidR="006E65A3" w:rsidRDefault="006E65A3">
      <w:pPr>
        <w:pStyle w:val="FootnoteText"/>
      </w:pPr>
      <w:r>
        <w:rPr>
          <w:rStyle w:val="FootnoteReference"/>
        </w:rPr>
        <w:footnoteRef/>
      </w:r>
      <w:r>
        <w:t xml:space="preserve"> izsludināts VSS 2015.gada 8.oktobrī</w:t>
      </w:r>
    </w:p>
  </w:footnote>
  <w:footnote w:id="40">
    <w:p w14:paraId="09B66990" w14:textId="77777777" w:rsidR="006E65A3" w:rsidRDefault="006E65A3" w:rsidP="00D2167D">
      <w:pPr>
        <w:pStyle w:val="FootnoteText"/>
      </w:pPr>
      <w:r>
        <w:rPr>
          <w:rStyle w:val="FootnoteReference"/>
        </w:rPr>
        <w:footnoteRef/>
      </w:r>
      <w:r>
        <w:t xml:space="preserve"> 9.2.3.SAM “</w:t>
      </w:r>
      <w:r w:rsidRPr="00892D50">
        <w:t xml:space="preserve">Atbalstīt prioritāro (sirds un asinsvadu, onkoloģijas, perinatālā un </w:t>
      </w:r>
      <w:proofErr w:type="spellStart"/>
      <w:r w:rsidRPr="00892D50">
        <w:t>neonatālā</w:t>
      </w:r>
      <w:proofErr w:type="spellEnd"/>
      <w:r w:rsidRPr="00892D50">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w:t>
      </w:r>
      <w:r>
        <w:t>”</w:t>
      </w:r>
    </w:p>
  </w:footnote>
  <w:footnote w:id="41">
    <w:p w14:paraId="33EC38A0" w14:textId="3C1E9C2C" w:rsidR="006E65A3" w:rsidRDefault="006E65A3">
      <w:pPr>
        <w:pStyle w:val="FootnoteText"/>
      </w:pPr>
      <w:r>
        <w:rPr>
          <w:rStyle w:val="FootnoteReference"/>
        </w:rPr>
        <w:footnoteRef/>
      </w:r>
      <w:r>
        <w:t xml:space="preserve"> Stratēģija pieejama ES fondu mājaslapā: </w:t>
      </w:r>
      <w:hyperlink r:id="rId21" w:history="1">
        <w:r>
          <w:rPr>
            <w:rStyle w:val="Hyperlink"/>
          </w:rPr>
          <w:t>http://www.esfondi.lv/upload/14-20_gads/ES_fondu_Komunikacijas_strategija_2015-2023_LV.pdf</w:t>
        </w:r>
      </w:hyperlink>
    </w:p>
  </w:footnote>
  <w:footnote w:id="42">
    <w:p w14:paraId="0ADE7A91" w14:textId="73A8C991" w:rsidR="006E65A3" w:rsidRPr="003A3B1D" w:rsidRDefault="006E65A3" w:rsidP="003A3B1D">
      <w:pPr>
        <w:jc w:val="both"/>
        <w:rPr>
          <w:sz w:val="20"/>
        </w:rPr>
      </w:pPr>
      <w:r w:rsidRPr="003A3B1D">
        <w:rPr>
          <w:rStyle w:val="FootnoteReference"/>
          <w:sz w:val="20"/>
        </w:rPr>
        <w:footnoteRef/>
      </w:r>
      <w:r>
        <w:t xml:space="preserve"> </w:t>
      </w:r>
      <w:r w:rsidRPr="003A3B1D">
        <w:rPr>
          <w:sz w:val="20"/>
        </w:rPr>
        <w:t xml:space="preserve">Ar </w:t>
      </w:r>
      <w:proofErr w:type="spellStart"/>
      <w:r w:rsidRPr="003A3B1D">
        <w:rPr>
          <w:sz w:val="20"/>
        </w:rPr>
        <w:t>videostāstu</w:t>
      </w:r>
      <w:proofErr w:type="spellEnd"/>
      <w:r w:rsidRPr="003A3B1D">
        <w:rPr>
          <w:sz w:val="20"/>
        </w:rPr>
        <w:t xml:space="preserve"> par FM dalību “Staro Rīga” iespējams iepazīties šeit: </w:t>
      </w:r>
      <w:r>
        <w:rPr>
          <w:sz w:val="20"/>
        </w:rPr>
        <w:t xml:space="preserve"> </w:t>
      </w:r>
      <w:hyperlink r:id="rId22" w:history="1">
        <w:r w:rsidRPr="003A3B1D">
          <w:rPr>
            <w:rStyle w:val="Hyperlink"/>
            <w:sz w:val="20"/>
          </w:rPr>
          <w:t>http://www.esfondi.lv/video-1</w:t>
        </w:r>
      </w:hyperlink>
    </w:p>
  </w:footnote>
  <w:footnote w:id="43">
    <w:p w14:paraId="015F3542" w14:textId="77777777" w:rsidR="006E65A3" w:rsidRPr="00012974" w:rsidRDefault="006E65A3" w:rsidP="00012974">
      <w:pPr>
        <w:jc w:val="both"/>
        <w:rPr>
          <w:sz w:val="20"/>
        </w:rPr>
      </w:pPr>
      <w:r w:rsidRPr="00012974">
        <w:rPr>
          <w:rStyle w:val="FootnoteReference"/>
          <w:sz w:val="20"/>
        </w:rPr>
        <w:footnoteRef/>
      </w:r>
      <w:r w:rsidRPr="00012974">
        <w:rPr>
          <w:sz w:val="20"/>
        </w:rPr>
        <w:t xml:space="preserve"> 2015.gadā veiktās sabiedriskās domas aptaujas rezultāti pieejami: </w:t>
      </w:r>
    </w:p>
    <w:p w14:paraId="730CA769" w14:textId="32D00C25" w:rsidR="006E65A3" w:rsidRDefault="006E65A3" w:rsidP="00012974">
      <w:pPr>
        <w:jc w:val="both"/>
      </w:pPr>
      <w:hyperlink r:id="rId23" w:history="1">
        <w:r w:rsidRPr="00012974">
          <w:rPr>
            <w:rStyle w:val="Hyperlink"/>
            <w:sz w:val="20"/>
          </w:rPr>
          <w:t>http://www.esfondi.lv/upload/01-strukturfondi/petijumi/sabiedriska_doma_2015.pdf</w:t>
        </w:r>
      </w:hyperlink>
    </w:p>
  </w:footnote>
  <w:footnote w:id="44">
    <w:p w14:paraId="12E7E239" w14:textId="5FD96E91" w:rsidR="006E65A3" w:rsidRDefault="006E65A3">
      <w:pPr>
        <w:pStyle w:val="FootnoteText"/>
      </w:pPr>
      <w:r>
        <w:rPr>
          <w:rStyle w:val="FootnoteReference"/>
        </w:rPr>
        <w:footnoteRef/>
      </w:r>
      <w:r>
        <w:t xml:space="preserve"> Izskatīts MK 2015.gada 15.septembrī</w:t>
      </w:r>
    </w:p>
  </w:footnote>
  <w:footnote w:id="45">
    <w:p w14:paraId="20BA2CAA" w14:textId="0937C5D8" w:rsidR="006E65A3" w:rsidRDefault="006E65A3">
      <w:pPr>
        <w:pStyle w:val="FootnoteText"/>
      </w:pPr>
      <w:r>
        <w:rPr>
          <w:rStyle w:val="FootnoteReference"/>
        </w:rPr>
        <w:footnoteRef/>
      </w:r>
      <w:r>
        <w:t xml:space="preserve"> Izskatīts MK 2015.gada 13.janvārī</w:t>
      </w:r>
    </w:p>
  </w:footnote>
  <w:footnote w:id="46">
    <w:p w14:paraId="553638EF" w14:textId="381F6B8F" w:rsidR="006E65A3" w:rsidRDefault="006E65A3">
      <w:pPr>
        <w:pStyle w:val="FootnoteText"/>
      </w:pPr>
      <w:r>
        <w:rPr>
          <w:rStyle w:val="FootnoteReference"/>
        </w:rPr>
        <w:footnoteRef/>
      </w:r>
      <w:r>
        <w:t xml:space="preserve"> Apstiprināts ar MK 2014.gada 30.oktobra rīkojumu</w:t>
      </w:r>
    </w:p>
  </w:footnote>
  <w:footnote w:id="47">
    <w:p w14:paraId="2D7F9A8C" w14:textId="004693BA" w:rsidR="006E65A3" w:rsidRDefault="006E65A3">
      <w:pPr>
        <w:pStyle w:val="FootnoteText"/>
      </w:pPr>
      <w:r>
        <w:rPr>
          <w:rStyle w:val="FootnoteReference"/>
        </w:rPr>
        <w:footnoteRef/>
      </w:r>
      <w:r>
        <w:t xml:space="preserve"> Apstiprināti ar MK 2015.gada 24.septembra rīkojumu</w:t>
      </w:r>
    </w:p>
  </w:footnote>
  <w:footnote w:id="48">
    <w:p w14:paraId="2845BFCB" w14:textId="6ED614AD" w:rsidR="006E65A3" w:rsidRDefault="006E65A3">
      <w:pPr>
        <w:pStyle w:val="FootnoteText"/>
      </w:pPr>
      <w:r>
        <w:rPr>
          <w:rStyle w:val="FootnoteReference"/>
        </w:rPr>
        <w:footnoteRef/>
      </w:r>
      <w:r>
        <w:t xml:space="preserve"> </w:t>
      </w:r>
      <w:r w:rsidRPr="00216A5F">
        <w:t>Aktualizēts uz 2015.gada 30.jūniju</w:t>
      </w:r>
    </w:p>
  </w:footnote>
  <w:footnote w:id="49">
    <w:p w14:paraId="38DC05F7" w14:textId="36D169A4" w:rsidR="006E65A3" w:rsidRDefault="006E65A3">
      <w:pPr>
        <w:pStyle w:val="FootnoteText"/>
      </w:pPr>
      <w:r>
        <w:rPr>
          <w:rStyle w:val="FootnoteReference"/>
        </w:rPr>
        <w:footnoteRef/>
      </w:r>
      <w:r>
        <w:t xml:space="preserve"> Apstiprinātas ar MK 2014.gada 14.oktobra rīkojumu</w:t>
      </w:r>
    </w:p>
  </w:footnote>
  <w:footnote w:id="50">
    <w:p w14:paraId="72D1C9E4" w14:textId="0CAA895C" w:rsidR="006E65A3" w:rsidRDefault="006E65A3">
      <w:pPr>
        <w:pStyle w:val="FootnoteText"/>
      </w:pPr>
      <w:r>
        <w:rPr>
          <w:rStyle w:val="FootnoteReference"/>
        </w:rPr>
        <w:footnoteRef/>
      </w:r>
      <w:r>
        <w:t xml:space="preserve"> </w:t>
      </w:r>
      <w:r>
        <w:rPr>
          <w:color w:val="000000" w:themeColor="text1"/>
        </w:rPr>
        <w:t>A</w:t>
      </w:r>
      <w:r w:rsidRPr="005505D3">
        <w:rPr>
          <w:color w:val="000000" w:themeColor="text1"/>
        </w:rPr>
        <w:t>pstiprināts ar MK 2015.gada 27.janvāra rīkojumu</w:t>
      </w:r>
    </w:p>
  </w:footnote>
  <w:footnote w:id="51">
    <w:p w14:paraId="20BC444E" w14:textId="7BADC5AF" w:rsidR="006E65A3" w:rsidRDefault="006E65A3">
      <w:pPr>
        <w:pStyle w:val="FootnoteText"/>
      </w:pPr>
      <w:r>
        <w:rPr>
          <w:rStyle w:val="FootnoteReference"/>
        </w:rPr>
        <w:footnoteRef/>
      </w:r>
      <w:r>
        <w:t xml:space="preserve"> </w:t>
      </w:r>
      <w:r>
        <w:rPr>
          <w:color w:val="000000" w:themeColor="text1"/>
        </w:rPr>
        <w:t>A</w:t>
      </w:r>
      <w:r w:rsidRPr="00AA2722">
        <w:rPr>
          <w:color w:val="000000" w:themeColor="text1"/>
        </w:rPr>
        <w:t>pstiprinātas ar MK 2014.gada 30.decembra rīkojumu</w:t>
      </w:r>
    </w:p>
  </w:footnote>
  <w:footnote w:id="52">
    <w:p w14:paraId="4CF8F08A" w14:textId="50A2E591" w:rsidR="006E65A3" w:rsidRDefault="006E65A3">
      <w:pPr>
        <w:pStyle w:val="FootnoteText"/>
      </w:pPr>
      <w:r>
        <w:rPr>
          <w:rStyle w:val="FootnoteReference"/>
        </w:rPr>
        <w:footnoteRef/>
      </w:r>
      <w:r>
        <w:t xml:space="preserve"> </w:t>
      </w:r>
      <w:r>
        <w:rPr>
          <w:color w:val="000000" w:themeColor="text1"/>
        </w:rPr>
        <w:t>A</w:t>
      </w:r>
      <w:r w:rsidRPr="00AA2722">
        <w:rPr>
          <w:color w:val="000000" w:themeColor="text1"/>
        </w:rPr>
        <w:t xml:space="preserve">pstiprinātas ar MK </w:t>
      </w:r>
      <w:r>
        <w:rPr>
          <w:color w:val="000000" w:themeColor="text1"/>
        </w:rPr>
        <w:t>2015.gada 16.jūlija rīkojumu</w:t>
      </w:r>
    </w:p>
  </w:footnote>
  <w:footnote w:id="53">
    <w:p w14:paraId="2427F57D" w14:textId="4D38DD19" w:rsidR="006E65A3" w:rsidRDefault="006E65A3">
      <w:pPr>
        <w:pStyle w:val="FootnoteText"/>
      </w:pPr>
      <w:r>
        <w:rPr>
          <w:rStyle w:val="FootnoteReference"/>
        </w:rPr>
        <w:footnoteRef/>
      </w:r>
      <w:r>
        <w:t xml:space="preserve"> </w:t>
      </w:r>
      <w:r>
        <w:rPr>
          <w:color w:val="000000" w:themeColor="text1"/>
        </w:rPr>
        <w:t>Apstiprināti ar MK 2015.gada 27.augusta rīkojumu</w:t>
      </w:r>
    </w:p>
  </w:footnote>
  <w:footnote w:id="54">
    <w:p w14:paraId="7CC98F51" w14:textId="50098930" w:rsidR="006E65A3" w:rsidRDefault="006E65A3" w:rsidP="007F656B">
      <w:pPr>
        <w:pStyle w:val="FootnoteText"/>
        <w:jc w:val="both"/>
      </w:pPr>
      <w:r>
        <w:rPr>
          <w:rStyle w:val="FootnoteReference"/>
        </w:rPr>
        <w:footnoteRef/>
      </w:r>
      <w:r>
        <w:t xml:space="preserve"> </w:t>
      </w:r>
      <w:r w:rsidRPr="007F656B">
        <w:t>Eiropas 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uz kuriem attiecas vienotais stratēģiskais ietvars, un vispārīgus noteikumus par Eiropas Reģionālās attīstības fondu, Eiropas Sociālo fondu un Kohēzijas fondu un atceļ Regulu (EK) Nr.1083/2006</w:t>
      </w:r>
    </w:p>
  </w:footnote>
  <w:footnote w:id="55">
    <w:p w14:paraId="543E3BA5" w14:textId="110FF597" w:rsidR="006E65A3" w:rsidRDefault="006E65A3">
      <w:pPr>
        <w:pStyle w:val="FootnoteText"/>
      </w:pPr>
      <w:r>
        <w:rPr>
          <w:rStyle w:val="FootnoteReference"/>
        </w:rPr>
        <w:footnoteRef/>
      </w:r>
      <w:r>
        <w:t xml:space="preserve"> </w:t>
      </w:r>
      <w:r w:rsidRPr="00C7255D">
        <w:t>http://www.esfondi.lv/ieviesanas-sistema-1</w:t>
      </w:r>
    </w:p>
  </w:footnote>
  <w:footnote w:id="56">
    <w:p w14:paraId="72A2230D" w14:textId="0ECB9802" w:rsidR="006E65A3" w:rsidRPr="00A47298" w:rsidRDefault="006E65A3" w:rsidP="00DC6335">
      <w:pPr>
        <w:pStyle w:val="ListParagraph"/>
        <w:tabs>
          <w:tab w:val="left" w:pos="851"/>
        </w:tabs>
        <w:spacing w:before="120" w:after="120" w:line="276" w:lineRule="auto"/>
        <w:ind w:left="0"/>
        <w:jc w:val="both"/>
        <w:rPr>
          <w:rStyle w:val="Hyperlink"/>
          <w:color w:val="auto"/>
          <w:sz w:val="20"/>
          <w:szCs w:val="20"/>
        </w:rPr>
      </w:pPr>
      <w:r w:rsidRPr="00A47298">
        <w:rPr>
          <w:rStyle w:val="FootnoteReference"/>
          <w:sz w:val="20"/>
          <w:szCs w:val="20"/>
        </w:rPr>
        <w:footnoteRef/>
      </w:r>
      <w:r w:rsidRPr="00A47298">
        <w:rPr>
          <w:sz w:val="20"/>
          <w:szCs w:val="20"/>
        </w:rPr>
        <w:t xml:space="preserve"> </w:t>
      </w:r>
      <w:r>
        <w:rPr>
          <w:sz w:val="20"/>
          <w:szCs w:val="20"/>
        </w:rPr>
        <w:t>Pasākumu plāns korupcijas un riska mazināšanai Es fondos ir pieejams ES fondu tīmekļa vietnē -</w:t>
      </w:r>
      <w:r w:rsidRPr="00DC6335">
        <w:t xml:space="preserve"> </w:t>
      </w:r>
      <w:hyperlink r:id="rId24" w:history="1">
        <w:r w:rsidRPr="00A26FCA">
          <w:rPr>
            <w:rStyle w:val="Hyperlink"/>
            <w:sz w:val="20"/>
            <w:szCs w:val="20"/>
          </w:rPr>
          <w:t>http://www.esfondi.lv/risku-parvaldiba</w:t>
        </w:r>
      </w:hyperlink>
      <w:r>
        <w:rPr>
          <w:sz w:val="20"/>
          <w:szCs w:val="20"/>
        </w:rPr>
        <w:t xml:space="preserve"> </w:t>
      </w:r>
    </w:p>
    <w:p w14:paraId="5F4E5621" w14:textId="6A8B0740" w:rsidR="006E65A3" w:rsidRDefault="006E65A3">
      <w:pPr>
        <w:pStyle w:val="FootnoteText"/>
      </w:pPr>
    </w:p>
  </w:footnote>
  <w:footnote w:id="57">
    <w:p w14:paraId="32E64191" w14:textId="1F621A57" w:rsidR="006E65A3" w:rsidRDefault="006E65A3" w:rsidP="009E55DC">
      <w:pPr>
        <w:pStyle w:val="FootnoteText"/>
        <w:jc w:val="both"/>
      </w:pPr>
      <w:r>
        <w:rPr>
          <w:rStyle w:val="FootnoteReference"/>
        </w:rPr>
        <w:footnoteRef/>
      </w:r>
      <w:r>
        <w:t xml:space="preserve"> </w:t>
      </w:r>
      <w:r w:rsidRPr="002E5B1A">
        <w:t xml:space="preserve">Projektu iesniedzēju (pretendentu) </w:t>
      </w:r>
      <w:r w:rsidRPr="00EA7C39">
        <w:t>atlas</w:t>
      </w:r>
      <w:r>
        <w:t>e, p</w:t>
      </w:r>
      <w:r w:rsidRPr="00EE7440">
        <w:t xml:space="preserve">rojektu </w:t>
      </w:r>
      <w:r w:rsidRPr="00DB5351">
        <w:t>ieviešan</w:t>
      </w:r>
      <w:r>
        <w:t>a</w:t>
      </w:r>
      <w:r w:rsidRPr="009C65B0">
        <w:t xml:space="preserve"> </w:t>
      </w:r>
      <w:r w:rsidRPr="00EE7440">
        <w:t xml:space="preserve">un </w:t>
      </w:r>
      <w:r w:rsidRPr="00DB5351">
        <w:t>uzraudzīb</w:t>
      </w:r>
      <w:r>
        <w:t>a (īpaša uzmanība pievērsta iepirkumiem), m</w:t>
      </w:r>
      <w:r w:rsidRPr="00B5742E">
        <w:t>aksāju</w:t>
      </w:r>
      <w:r w:rsidRPr="00DB5351">
        <w:t>mu veikšan</w:t>
      </w:r>
      <w:r>
        <w:t>a</w:t>
      </w:r>
      <w:r w:rsidRPr="00DB5351">
        <w:t xml:space="preserve"> </w:t>
      </w:r>
      <w:r w:rsidRPr="004331A8">
        <w:t>un</w:t>
      </w:r>
      <w:r>
        <w:t xml:space="preserve"> izdevumu deklarēšana.</w:t>
      </w:r>
    </w:p>
  </w:footnote>
  <w:footnote w:id="58">
    <w:p w14:paraId="0936F3E3" w14:textId="05A1B4ED" w:rsidR="006E65A3" w:rsidRPr="00C5168E" w:rsidRDefault="006E65A3" w:rsidP="005B6B68">
      <w:pPr>
        <w:pStyle w:val="FootnoteText"/>
      </w:pPr>
      <w:r w:rsidRPr="00C5168E">
        <w:rPr>
          <w:rStyle w:val="FootnoteReference"/>
        </w:rPr>
        <w:footnoteRef/>
      </w:r>
      <w:r w:rsidRPr="00C5168E">
        <w:t xml:space="preserve"> </w:t>
      </w:r>
      <w:r>
        <w:t>Ministru kabineta 2014.gada 7.oktobra noteikumi Nr.611 “</w:t>
      </w:r>
      <w:r w:rsidRPr="00FE70B7">
        <w:rPr>
          <w:bCs/>
        </w:rPr>
        <w:t>Prasības Eiropas Savienības struktūrfondu un Kohēzijas fonda 2014.–2020.gada plānošanas perioda vadības un kontroles sistēmas izveidošanai”</w:t>
      </w:r>
    </w:p>
  </w:footnote>
  <w:footnote w:id="59">
    <w:p w14:paraId="729FDD02" w14:textId="71D698AF" w:rsidR="006E65A3" w:rsidRDefault="006E65A3">
      <w:pPr>
        <w:pStyle w:val="FootnoteText"/>
      </w:pPr>
      <w:r>
        <w:rPr>
          <w:rStyle w:val="FootnoteReference"/>
        </w:rPr>
        <w:footnoteRef/>
      </w:r>
      <w:r>
        <w:t xml:space="preserve"> Skatīt iepriekšējo atsauci</w:t>
      </w:r>
    </w:p>
  </w:footnote>
  <w:footnote w:id="60">
    <w:p w14:paraId="59071645" w14:textId="57BFD283" w:rsidR="006E65A3" w:rsidRDefault="006E65A3">
      <w:pPr>
        <w:pStyle w:val="FootnoteText"/>
      </w:pPr>
      <w:r>
        <w:rPr>
          <w:rStyle w:val="FootnoteReference"/>
        </w:rPr>
        <w:footnoteRef/>
      </w:r>
      <w:r>
        <w:t xml:space="preserve"> </w:t>
      </w:r>
      <w:r w:rsidRPr="000D5828">
        <w:t>Ministru kabineta 2015.gada 25.august</w:t>
      </w:r>
      <w:r>
        <w:t>a noteikumi Nr.485 “</w:t>
      </w:r>
      <w:r w:rsidRPr="000D5828">
        <w:t>Noteikumi par 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pirmo kārtu”</w:t>
      </w:r>
      <w:r>
        <w:t>”</w:t>
      </w:r>
    </w:p>
  </w:footnote>
  <w:footnote w:id="61">
    <w:p w14:paraId="2EE1F752" w14:textId="22C1D94B" w:rsidR="006E65A3" w:rsidRDefault="006E65A3">
      <w:pPr>
        <w:pStyle w:val="FootnoteText"/>
      </w:pPr>
      <w:r>
        <w:rPr>
          <w:rStyle w:val="FootnoteReference"/>
        </w:rPr>
        <w:footnoteRef/>
      </w:r>
      <w:r>
        <w:t xml:space="preserve"> </w:t>
      </w:r>
      <w:r w:rsidRPr="000D5828">
        <w:t>Ministru kabineta 2015.gada 8.septembr</w:t>
      </w:r>
      <w:r>
        <w:t>a noteikumi Nr.</w:t>
      </w:r>
      <w:r w:rsidRPr="000D5828">
        <w:t xml:space="preserve"> Nr.517 “Kārtība, kādā ziņo par konstatētajām neatbilstībām un atgūst neatbilstoši veiktos izdevumus Eiropas Savienības struktūrfondu un Kohēzijas fonda ieviešanā 2014.–2020.gada plānošanas periodā”</w:t>
      </w:r>
      <w:r>
        <w:t>.</w:t>
      </w:r>
    </w:p>
  </w:footnote>
  <w:footnote w:id="62">
    <w:p w14:paraId="36D88051" w14:textId="77777777" w:rsidR="006E65A3" w:rsidRDefault="006E65A3" w:rsidP="00B303A0">
      <w:pPr>
        <w:pStyle w:val="FootnoteText"/>
      </w:pPr>
      <w:r>
        <w:rPr>
          <w:rStyle w:val="FootnoteReference"/>
        </w:rPr>
        <w:footnoteRef/>
      </w:r>
      <w:r>
        <w:t xml:space="preserve"> </w:t>
      </w:r>
      <w:hyperlink r:id="rId25" w:history="1">
        <w:r w:rsidRPr="00BB7E08">
          <w:rPr>
            <w:rStyle w:val="Hyperlink"/>
          </w:rPr>
          <w:t>http://www.esfondi.lv/page.php?id=1196</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176919"/>
      <w:docPartObj>
        <w:docPartGallery w:val="Page Numbers (Top of Page)"/>
        <w:docPartUnique/>
      </w:docPartObj>
    </w:sdtPr>
    <w:sdtEndPr>
      <w:rPr>
        <w:noProof/>
      </w:rPr>
    </w:sdtEndPr>
    <w:sdtContent>
      <w:p w14:paraId="11098D96" w14:textId="77777777" w:rsidR="006E65A3" w:rsidRDefault="006E65A3" w:rsidP="00B13216">
        <w:pPr>
          <w:pStyle w:val="Header"/>
          <w:tabs>
            <w:tab w:val="left" w:pos="1407"/>
            <w:tab w:val="center" w:pos="4450"/>
          </w:tabs>
        </w:pPr>
        <w:r>
          <w:tab/>
        </w:r>
        <w:r>
          <w:tab/>
        </w:r>
        <w:r>
          <w:tab/>
        </w:r>
        <w:r>
          <w:fldChar w:fldCharType="begin"/>
        </w:r>
        <w:r>
          <w:instrText xml:space="preserve"> PAGE   \* MERGEFORMAT </w:instrText>
        </w:r>
        <w:r>
          <w:fldChar w:fldCharType="separate"/>
        </w:r>
        <w:r w:rsidR="009A4C2D">
          <w:rPr>
            <w:noProof/>
          </w:rPr>
          <w:t>17</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E66F1" w14:textId="77777777" w:rsidR="006E65A3" w:rsidRDefault="006E65A3">
    <w:pPr>
      <w:pStyle w:val="Header"/>
    </w:pPr>
    <w: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939D6"/>
    <w:multiLevelType w:val="hybridMultilevel"/>
    <w:tmpl w:val="D5829CA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D8029D4"/>
    <w:multiLevelType w:val="hybridMultilevel"/>
    <w:tmpl w:val="BFA498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FC651F6"/>
    <w:multiLevelType w:val="hybridMultilevel"/>
    <w:tmpl w:val="4734E360"/>
    <w:lvl w:ilvl="0" w:tplc="04260011">
      <w:start w:val="1"/>
      <w:numFmt w:val="decimal"/>
      <w:lvlText w:val="%1)"/>
      <w:lvlJc w:val="left"/>
      <w:pPr>
        <w:ind w:left="1512" w:hanging="360"/>
      </w:pPr>
    </w:lvl>
    <w:lvl w:ilvl="1" w:tplc="04260019" w:tentative="1">
      <w:start w:val="1"/>
      <w:numFmt w:val="lowerLetter"/>
      <w:lvlText w:val="%2."/>
      <w:lvlJc w:val="left"/>
      <w:pPr>
        <w:ind w:left="2232" w:hanging="360"/>
      </w:pPr>
    </w:lvl>
    <w:lvl w:ilvl="2" w:tplc="0426001B" w:tentative="1">
      <w:start w:val="1"/>
      <w:numFmt w:val="lowerRoman"/>
      <w:lvlText w:val="%3."/>
      <w:lvlJc w:val="right"/>
      <w:pPr>
        <w:ind w:left="2952" w:hanging="180"/>
      </w:pPr>
    </w:lvl>
    <w:lvl w:ilvl="3" w:tplc="0426000F" w:tentative="1">
      <w:start w:val="1"/>
      <w:numFmt w:val="decimal"/>
      <w:lvlText w:val="%4."/>
      <w:lvlJc w:val="left"/>
      <w:pPr>
        <w:ind w:left="3672" w:hanging="360"/>
      </w:pPr>
    </w:lvl>
    <w:lvl w:ilvl="4" w:tplc="04260019" w:tentative="1">
      <w:start w:val="1"/>
      <w:numFmt w:val="lowerLetter"/>
      <w:lvlText w:val="%5."/>
      <w:lvlJc w:val="left"/>
      <w:pPr>
        <w:ind w:left="4392" w:hanging="360"/>
      </w:pPr>
    </w:lvl>
    <w:lvl w:ilvl="5" w:tplc="0426001B" w:tentative="1">
      <w:start w:val="1"/>
      <w:numFmt w:val="lowerRoman"/>
      <w:lvlText w:val="%6."/>
      <w:lvlJc w:val="right"/>
      <w:pPr>
        <w:ind w:left="5112" w:hanging="180"/>
      </w:pPr>
    </w:lvl>
    <w:lvl w:ilvl="6" w:tplc="0426000F" w:tentative="1">
      <w:start w:val="1"/>
      <w:numFmt w:val="decimal"/>
      <w:lvlText w:val="%7."/>
      <w:lvlJc w:val="left"/>
      <w:pPr>
        <w:ind w:left="5832" w:hanging="360"/>
      </w:pPr>
    </w:lvl>
    <w:lvl w:ilvl="7" w:tplc="04260019" w:tentative="1">
      <w:start w:val="1"/>
      <w:numFmt w:val="lowerLetter"/>
      <w:lvlText w:val="%8."/>
      <w:lvlJc w:val="left"/>
      <w:pPr>
        <w:ind w:left="6552" w:hanging="360"/>
      </w:pPr>
    </w:lvl>
    <w:lvl w:ilvl="8" w:tplc="0426001B" w:tentative="1">
      <w:start w:val="1"/>
      <w:numFmt w:val="lowerRoman"/>
      <w:lvlText w:val="%9."/>
      <w:lvlJc w:val="right"/>
      <w:pPr>
        <w:ind w:left="7272" w:hanging="180"/>
      </w:pPr>
    </w:lvl>
  </w:abstractNum>
  <w:abstractNum w:abstractNumId="3">
    <w:nsid w:val="12F91480"/>
    <w:multiLevelType w:val="multilevel"/>
    <w:tmpl w:val="7B747DA2"/>
    <w:lvl w:ilvl="0">
      <w:start w:val="1"/>
      <w:numFmt w:val="decimal"/>
      <w:lvlText w:val="%1."/>
      <w:lvlJc w:val="left"/>
      <w:pPr>
        <w:ind w:left="360" w:hanging="360"/>
      </w:pPr>
      <w:rPr>
        <w:rFonts w:ascii="Times New Roman" w:hAnsi="Times New Roman" w:hint="default"/>
        <w:sz w:val="24"/>
      </w:rPr>
    </w:lvl>
    <w:lvl w:ilvl="1">
      <w:start w:val="1"/>
      <w:numFmt w:val="decimal"/>
      <w:pStyle w:val="FDUKam"/>
      <w:isLgl/>
      <w:lvlText w:val="%1.%2."/>
      <w:lvlJc w:val="left"/>
      <w:pPr>
        <w:ind w:left="502" w:hanging="360"/>
      </w:pPr>
      <w:rPr>
        <w:rFonts w:ascii="Times New Roman" w:hAnsi="Times New Roman" w:cs="Times New Roman" w:hint="default"/>
        <w:b w:val="0"/>
        <w:sz w:val="22"/>
        <w:szCs w:val="22"/>
      </w:rPr>
    </w:lvl>
    <w:lvl w:ilvl="2">
      <w:start w:val="1"/>
      <w:numFmt w:val="decimal"/>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4D71E4E"/>
    <w:multiLevelType w:val="hybridMultilevel"/>
    <w:tmpl w:val="B1688D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0D12E78"/>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24B51A3"/>
    <w:multiLevelType w:val="multilevel"/>
    <w:tmpl w:val="C97E7336"/>
    <w:lvl w:ilvl="0">
      <w:start w:val="1"/>
      <w:numFmt w:val="decimal"/>
      <w:lvlText w:val="%1."/>
      <w:lvlJc w:val="left"/>
      <w:pPr>
        <w:ind w:left="5606" w:hanging="360"/>
      </w:pPr>
    </w:lvl>
    <w:lvl w:ilvl="1">
      <w:start w:val="1"/>
      <w:numFmt w:val="decimal"/>
      <w:isLgl/>
      <w:lvlText w:val="%1.%2."/>
      <w:lvlJc w:val="left"/>
      <w:pPr>
        <w:ind w:left="1440" w:hanging="360"/>
      </w:pPr>
      <w:rPr>
        <w:rFonts w:hint="default"/>
        <w:b/>
      </w:rPr>
    </w:lvl>
    <w:lvl w:ilvl="2">
      <w:start w:val="1"/>
      <w:numFmt w:val="decimal"/>
      <w:pStyle w:val="3lmenis"/>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nsid w:val="26327816"/>
    <w:multiLevelType w:val="multilevel"/>
    <w:tmpl w:val="80A8546C"/>
    <w:lvl w:ilvl="0">
      <w:start w:val="1"/>
      <w:numFmt w:val="decimal"/>
      <w:lvlText w:val="%1."/>
      <w:lvlJc w:val="left"/>
      <w:pPr>
        <w:ind w:left="420" w:hanging="360"/>
      </w:pPr>
      <w:rPr>
        <w:rFonts w:ascii="Times New Roman" w:hAnsi="Times New Roman" w:cs="Times New Roman"/>
        <w:sz w:val="24"/>
        <w:szCs w:val="24"/>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8">
    <w:nsid w:val="3158293A"/>
    <w:multiLevelType w:val="hybridMultilevel"/>
    <w:tmpl w:val="A8C61F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3A60473"/>
    <w:multiLevelType w:val="hybridMultilevel"/>
    <w:tmpl w:val="D0FA7F3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4BD5367"/>
    <w:multiLevelType w:val="hybridMultilevel"/>
    <w:tmpl w:val="DDF0E6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7CC32AE"/>
    <w:multiLevelType w:val="hybridMultilevel"/>
    <w:tmpl w:val="041CEF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C62116A"/>
    <w:multiLevelType w:val="hybridMultilevel"/>
    <w:tmpl w:val="38E63C2C"/>
    <w:lvl w:ilvl="0" w:tplc="8DB6FA5A">
      <w:start w:val="1"/>
      <w:numFmt w:val="decimal"/>
      <w:lvlText w:val="%1)"/>
      <w:lvlJc w:val="left"/>
      <w:pPr>
        <w:ind w:left="1080" w:hanging="720"/>
      </w:pPr>
      <w:rPr>
        <w:rFonts w:hint="default"/>
      </w:rPr>
    </w:lvl>
    <w:lvl w:ilvl="1" w:tplc="04260019">
      <w:start w:val="1"/>
      <w:numFmt w:val="lowerLetter"/>
      <w:lvlText w:val="%2."/>
      <w:lvlJc w:val="left"/>
      <w:pPr>
        <w:ind w:left="2062" w:hanging="360"/>
      </w:pPr>
    </w:lvl>
    <w:lvl w:ilvl="2" w:tplc="0426001B">
      <w:start w:val="1"/>
      <w:numFmt w:val="lowerRoman"/>
      <w:lvlText w:val="%3."/>
      <w:lvlJc w:val="right"/>
      <w:pPr>
        <w:ind w:left="2160" w:hanging="180"/>
      </w:pPr>
    </w:lvl>
    <w:lvl w:ilvl="3" w:tplc="ACB40774">
      <w:start w:val="1"/>
      <w:numFmt w:val="lowerLetter"/>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4725ABF"/>
    <w:multiLevelType w:val="hybridMultilevel"/>
    <w:tmpl w:val="FE048E58"/>
    <w:lvl w:ilvl="0" w:tplc="8DB6FA5A">
      <w:start w:val="1"/>
      <w:numFmt w:val="decimal"/>
      <w:lvlText w:val="%1)"/>
      <w:lvlJc w:val="left"/>
      <w:pPr>
        <w:ind w:left="1080" w:hanging="720"/>
      </w:pPr>
      <w:rPr>
        <w:rFonts w:hint="default"/>
      </w:rPr>
    </w:lvl>
    <w:lvl w:ilvl="1" w:tplc="72907464">
      <w:start w:val="1"/>
      <w:numFmt w:val="decimal"/>
      <w:lvlText w:val="%2)"/>
      <w:lvlJc w:val="left"/>
      <w:pPr>
        <w:ind w:left="2062" w:hanging="360"/>
      </w:pPr>
      <w:rPr>
        <w:rFonts w:ascii="Times New Roman" w:eastAsiaTheme="minorHAnsi" w:hAnsi="Times New Roman" w:cstheme="minorBidi"/>
      </w:rPr>
    </w:lvl>
    <w:lvl w:ilvl="2" w:tplc="0426001B">
      <w:start w:val="1"/>
      <w:numFmt w:val="lowerRoman"/>
      <w:lvlText w:val="%3."/>
      <w:lvlJc w:val="right"/>
      <w:pPr>
        <w:ind w:left="2160" w:hanging="180"/>
      </w:pPr>
    </w:lvl>
    <w:lvl w:ilvl="3" w:tplc="ACB40774">
      <w:start w:val="1"/>
      <w:numFmt w:val="lowerLetter"/>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8AE533F"/>
    <w:multiLevelType w:val="hybridMultilevel"/>
    <w:tmpl w:val="9746EB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9735ACA"/>
    <w:multiLevelType w:val="hybridMultilevel"/>
    <w:tmpl w:val="696E094C"/>
    <w:lvl w:ilvl="0" w:tplc="F3A46FF6">
      <w:start w:val="1"/>
      <w:numFmt w:val="bullet"/>
      <w:lvlText w:val="•"/>
      <w:lvlJc w:val="left"/>
      <w:pPr>
        <w:tabs>
          <w:tab w:val="num" w:pos="720"/>
        </w:tabs>
        <w:ind w:left="720" w:hanging="360"/>
      </w:pPr>
      <w:rPr>
        <w:rFonts w:ascii="Arial" w:hAnsi="Arial" w:hint="default"/>
      </w:rPr>
    </w:lvl>
    <w:lvl w:ilvl="1" w:tplc="D21861F0" w:tentative="1">
      <w:start w:val="1"/>
      <w:numFmt w:val="bullet"/>
      <w:lvlText w:val="•"/>
      <w:lvlJc w:val="left"/>
      <w:pPr>
        <w:tabs>
          <w:tab w:val="num" w:pos="1440"/>
        </w:tabs>
        <w:ind w:left="1440" w:hanging="360"/>
      </w:pPr>
      <w:rPr>
        <w:rFonts w:ascii="Arial" w:hAnsi="Arial" w:hint="default"/>
      </w:rPr>
    </w:lvl>
    <w:lvl w:ilvl="2" w:tplc="C302B230" w:tentative="1">
      <w:start w:val="1"/>
      <w:numFmt w:val="bullet"/>
      <w:lvlText w:val="•"/>
      <w:lvlJc w:val="left"/>
      <w:pPr>
        <w:tabs>
          <w:tab w:val="num" w:pos="2160"/>
        </w:tabs>
        <w:ind w:left="2160" w:hanging="360"/>
      </w:pPr>
      <w:rPr>
        <w:rFonts w:ascii="Arial" w:hAnsi="Arial" w:hint="default"/>
      </w:rPr>
    </w:lvl>
    <w:lvl w:ilvl="3" w:tplc="827C4D42" w:tentative="1">
      <w:start w:val="1"/>
      <w:numFmt w:val="bullet"/>
      <w:lvlText w:val="•"/>
      <w:lvlJc w:val="left"/>
      <w:pPr>
        <w:tabs>
          <w:tab w:val="num" w:pos="2880"/>
        </w:tabs>
        <w:ind w:left="2880" w:hanging="360"/>
      </w:pPr>
      <w:rPr>
        <w:rFonts w:ascii="Arial" w:hAnsi="Arial" w:hint="default"/>
      </w:rPr>
    </w:lvl>
    <w:lvl w:ilvl="4" w:tplc="74FEBEA2" w:tentative="1">
      <w:start w:val="1"/>
      <w:numFmt w:val="bullet"/>
      <w:lvlText w:val="•"/>
      <w:lvlJc w:val="left"/>
      <w:pPr>
        <w:tabs>
          <w:tab w:val="num" w:pos="3600"/>
        </w:tabs>
        <w:ind w:left="3600" w:hanging="360"/>
      </w:pPr>
      <w:rPr>
        <w:rFonts w:ascii="Arial" w:hAnsi="Arial" w:hint="default"/>
      </w:rPr>
    </w:lvl>
    <w:lvl w:ilvl="5" w:tplc="FB3E1CBE" w:tentative="1">
      <w:start w:val="1"/>
      <w:numFmt w:val="bullet"/>
      <w:lvlText w:val="•"/>
      <w:lvlJc w:val="left"/>
      <w:pPr>
        <w:tabs>
          <w:tab w:val="num" w:pos="4320"/>
        </w:tabs>
        <w:ind w:left="4320" w:hanging="360"/>
      </w:pPr>
      <w:rPr>
        <w:rFonts w:ascii="Arial" w:hAnsi="Arial" w:hint="default"/>
      </w:rPr>
    </w:lvl>
    <w:lvl w:ilvl="6" w:tplc="021EB2DC" w:tentative="1">
      <w:start w:val="1"/>
      <w:numFmt w:val="bullet"/>
      <w:lvlText w:val="•"/>
      <w:lvlJc w:val="left"/>
      <w:pPr>
        <w:tabs>
          <w:tab w:val="num" w:pos="5040"/>
        </w:tabs>
        <w:ind w:left="5040" w:hanging="360"/>
      </w:pPr>
      <w:rPr>
        <w:rFonts w:ascii="Arial" w:hAnsi="Arial" w:hint="default"/>
      </w:rPr>
    </w:lvl>
    <w:lvl w:ilvl="7" w:tplc="561E1226" w:tentative="1">
      <w:start w:val="1"/>
      <w:numFmt w:val="bullet"/>
      <w:lvlText w:val="•"/>
      <w:lvlJc w:val="left"/>
      <w:pPr>
        <w:tabs>
          <w:tab w:val="num" w:pos="5760"/>
        </w:tabs>
        <w:ind w:left="5760" w:hanging="360"/>
      </w:pPr>
      <w:rPr>
        <w:rFonts w:ascii="Arial" w:hAnsi="Arial" w:hint="default"/>
      </w:rPr>
    </w:lvl>
    <w:lvl w:ilvl="8" w:tplc="7CD6A634" w:tentative="1">
      <w:start w:val="1"/>
      <w:numFmt w:val="bullet"/>
      <w:lvlText w:val="•"/>
      <w:lvlJc w:val="left"/>
      <w:pPr>
        <w:tabs>
          <w:tab w:val="num" w:pos="6480"/>
        </w:tabs>
        <w:ind w:left="6480" w:hanging="360"/>
      </w:pPr>
      <w:rPr>
        <w:rFonts w:ascii="Arial" w:hAnsi="Arial" w:hint="default"/>
      </w:rPr>
    </w:lvl>
  </w:abstractNum>
  <w:abstractNum w:abstractNumId="16">
    <w:nsid w:val="597943E5"/>
    <w:multiLevelType w:val="multilevel"/>
    <w:tmpl w:val="8528DD10"/>
    <w:styleLink w:val="WWNum1"/>
    <w:lvl w:ilvl="0">
      <w:start w:val="1"/>
      <w:numFmt w:val="decimal"/>
      <w:lvlText w:val="%1."/>
      <w:lvlJc w:val="left"/>
      <w:pPr>
        <w:ind w:left="360" w:hanging="36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nsid w:val="5FF44EF8"/>
    <w:multiLevelType w:val="multilevel"/>
    <w:tmpl w:val="77D0D564"/>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0B72908"/>
    <w:multiLevelType w:val="hybridMultilevel"/>
    <w:tmpl w:val="BF4EBB8A"/>
    <w:lvl w:ilvl="0" w:tplc="0426000F">
      <w:start w:val="1"/>
      <w:numFmt w:val="decimal"/>
      <w:lvlText w:val="%1."/>
      <w:lvlJc w:val="left"/>
      <w:pPr>
        <w:tabs>
          <w:tab w:val="num" w:pos="720"/>
        </w:tabs>
        <w:ind w:left="720" w:hanging="360"/>
      </w:pPr>
      <w:rPr>
        <w:rFonts w:hint="default"/>
      </w:rPr>
    </w:lvl>
    <w:lvl w:ilvl="1" w:tplc="E236F1B0" w:tentative="1">
      <w:start w:val="1"/>
      <w:numFmt w:val="bullet"/>
      <w:lvlText w:val="•"/>
      <w:lvlJc w:val="left"/>
      <w:pPr>
        <w:tabs>
          <w:tab w:val="num" w:pos="1440"/>
        </w:tabs>
        <w:ind w:left="1440" w:hanging="360"/>
      </w:pPr>
      <w:rPr>
        <w:rFonts w:ascii="Times New Roman" w:hAnsi="Times New Roman" w:hint="default"/>
      </w:rPr>
    </w:lvl>
    <w:lvl w:ilvl="2" w:tplc="AE5ECE48" w:tentative="1">
      <w:start w:val="1"/>
      <w:numFmt w:val="bullet"/>
      <w:lvlText w:val="•"/>
      <w:lvlJc w:val="left"/>
      <w:pPr>
        <w:tabs>
          <w:tab w:val="num" w:pos="2160"/>
        </w:tabs>
        <w:ind w:left="2160" w:hanging="360"/>
      </w:pPr>
      <w:rPr>
        <w:rFonts w:ascii="Times New Roman" w:hAnsi="Times New Roman" w:hint="default"/>
      </w:rPr>
    </w:lvl>
    <w:lvl w:ilvl="3" w:tplc="365482CC" w:tentative="1">
      <w:start w:val="1"/>
      <w:numFmt w:val="bullet"/>
      <w:lvlText w:val="•"/>
      <w:lvlJc w:val="left"/>
      <w:pPr>
        <w:tabs>
          <w:tab w:val="num" w:pos="2880"/>
        </w:tabs>
        <w:ind w:left="2880" w:hanging="360"/>
      </w:pPr>
      <w:rPr>
        <w:rFonts w:ascii="Times New Roman" w:hAnsi="Times New Roman" w:hint="default"/>
      </w:rPr>
    </w:lvl>
    <w:lvl w:ilvl="4" w:tplc="6C0806F6" w:tentative="1">
      <w:start w:val="1"/>
      <w:numFmt w:val="bullet"/>
      <w:lvlText w:val="•"/>
      <w:lvlJc w:val="left"/>
      <w:pPr>
        <w:tabs>
          <w:tab w:val="num" w:pos="3600"/>
        </w:tabs>
        <w:ind w:left="3600" w:hanging="360"/>
      </w:pPr>
      <w:rPr>
        <w:rFonts w:ascii="Times New Roman" w:hAnsi="Times New Roman" w:hint="default"/>
      </w:rPr>
    </w:lvl>
    <w:lvl w:ilvl="5" w:tplc="6248EE48" w:tentative="1">
      <w:start w:val="1"/>
      <w:numFmt w:val="bullet"/>
      <w:lvlText w:val="•"/>
      <w:lvlJc w:val="left"/>
      <w:pPr>
        <w:tabs>
          <w:tab w:val="num" w:pos="4320"/>
        </w:tabs>
        <w:ind w:left="4320" w:hanging="360"/>
      </w:pPr>
      <w:rPr>
        <w:rFonts w:ascii="Times New Roman" w:hAnsi="Times New Roman" w:hint="default"/>
      </w:rPr>
    </w:lvl>
    <w:lvl w:ilvl="6" w:tplc="0958E2A4" w:tentative="1">
      <w:start w:val="1"/>
      <w:numFmt w:val="bullet"/>
      <w:lvlText w:val="•"/>
      <w:lvlJc w:val="left"/>
      <w:pPr>
        <w:tabs>
          <w:tab w:val="num" w:pos="5040"/>
        </w:tabs>
        <w:ind w:left="5040" w:hanging="360"/>
      </w:pPr>
      <w:rPr>
        <w:rFonts w:ascii="Times New Roman" w:hAnsi="Times New Roman" w:hint="default"/>
      </w:rPr>
    </w:lvl>
    <w:lvl w:ilvl="7" w:tplc="3DC88458" w:tentative="1">
      <w:start w:val="1"/>
      <w:numFmt w:val="bullet"/>
      <w:lvlText w:val="•"/>
      <w:lvlJc w:val="left"/>
      <w:pPr>
        <w:tabs>
          <w:tab w:val="num" w:pos="5760"/>
        </w:tabs>
        <w:ind w:left="5760" w:hanging="360"/>
      </w:pPr>
      <w:rPr>
        <w:rFonts w:ascii="Times New Roman" w:hAnsi="Times New Roman" w:hint="default"/>
      </w:rPr>
    </w:lvl>
    <w:lvl w:ilvl="8" w:tplc="C03438A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CF55008"/>
    <w:multiLevelType w:val="multilevel"/>
    <w:tmpl w:val="5D782934"/>
    <w:lvl w:ilvl="0">
      <w:start w:val="1"/>
      <w:numFmt w:val="decimal"/>
      <w:lvlText w:val="%1."/>
      <w:lvlJc w:val="left"/>
      <w:pPr>
        <w:ind w:left="644" w:hanging="360"/>
      </w:pPr>
      <w:rPr>
        <w:rFonts w:ascii="Times New Roman" w:hAnsi="Times New Roman" w:cs="Times New Roman" w:hint="default"/>
        <w:color w:val="auto"/>
      </w:rPr>
    </w:lvl>
    <w:lvl w:ilvl="1">
      <w:start w:val="1"/>
      <w:numFmt w:val="decimal"/>
      <w:isLgl/>
      <w:lvlText w:val="%1.%2."/>
      <w:lvlJc w:val="left"/>
      <w:pPr>
        <w:ind w:left="1288"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0">
    <w:nsid w:val="6E60325F"/>
    <w:multiLevelType w:val="hybridMultilevel"/>
    <w:tmpl w:val="7AC2086A"/>
    <w:lvl w:ilvl="0" w:tplc="04260011">
      <w:start w:val="1"/>
      <w:numFmt w:val="decimal"/>
      <w:lvlText w:val="%1)"/>
      <w:lvlJc w:val="left"/>
      <w:pPr>
        <w:ind w:left="720" w:hanging="360"/>
      </w:pPr>
      <w:rPr>
        <w:rFonts w:hint="default"/>
      </w:rPr>
    </w:lvl>
    <w:lvl w:ilvl="1" w:tplc="0E0A1BB6">
      <w:numFmt w:val="bullet"/>
      <w:lvlText w:val="•"/>
      <w:lvlJc w:val="left"/>
      <w:pPr>
        <w:ind w:left="1800" w:hanging="720"/>
      </w:pPr>
      <w:rPr>
        <w:rFonts w:ascii="Times New Roman" w:eastAsiaTheme="minorHAns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0A24F54"/>
    <w:multiLevelType w:val="hybridMultilevel"/>
    <w:tmpl w:val="2F16D1F2"/>
    <w:lvl w:ilvl="0" w:tplc="8DB6FA5A">
      <w:start w:val="1"/>
      <w:numFmt w:val="decimal"/>
      <w:lvlText w:val="%1)"/>
      <w:lvlJc w:val="left"/>
      <w:pPr>
        <w:ind w:left="1080" w:hanging="720"/>
      </w:pPr>
      <w:rPr>
        <w:rFonts w:hint="default"/>
      </w:rPr>
    </w:lvl>
    <w:lvl w:ilvl="1" w:tplc="04260011">
      <w:start w:val="1"/>
      <w:numFmt w:val="decimal"/>
      <w:lvlText w:val="%2)"/>
      <w:lvlJc w:val="left"/>
      <w:pPr>
        <w:ind w:left="2062" w:hanging="360"/>
      </w:pPr>
    </w:lvl>
    <w:lvl w:ilvl="2" w:tplc="0426001B">
      <w:start w:val="1"/>
      <w:numFmt w:val="lowerRoman"/>
      <w:lvlText w:val="%3."/>
      <w:lvlJc w:val="right"/>
      <w:pPr>
        <w:ind w:left="2160" w:hanging="180"/>
      </w:pPr>
    </w:lvl>
    <w:lvl w:ilvl="3" w:tplc="ACB40774">
      <w:start w:val="1"/>
      <w:numFmt w:val="lowerLetter"/>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17D2097"/>
    <w:multiLevelType w:val="multilevel"/>
    <w:tmpl w:val="E746FA2E"/>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nsid w:val="7B4604C5"/>
    <w:multiLevelType w:val="hybridMultilevel"/>
    <w:tmpl w:val="92707EC0"/>
    <w:lvl w:ilvl="0" w:tplc="72DCF96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E83424B"/>
    <w:multiLevelType w:val="multilevel"/>
    <w:tmpl w:val="FFFAE7EE"/>
    <w:lvl w:ilvl="0">
      <w:start w:val="1"/>
      <w:numFmt w:val="decimal"/>
      <w:pStyle w:val="1lmenis"/>
      <w:lvlText w:val="%1."/>
      <w:lvlJc w:val="left"/>
      <w:pPr>
        <w:ind w:left="2204" w:hanging="360"/>
      </w:pPr>
      <w:rPr>
        <w:rFonts w:eastAsiaTheme="majorEastAsia" w:hint="default"/>
      </w:rPr>
    </w:lvl>
    <w:lvl w:ilvl="1">
      <w:start w:val="1"/>
      <w:numFmt w:val="decimal"/>
      <w:pStyle w:val="2lmenis"/>
      <w:isLgl/>
      <w:lvlText w:val="%1.%2."/>
      <w:lvlJc w:val="left"/>
      <w:pPr>
        <w:ind w:left="72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23"/>
  </w:num>
  <w:num w:numId="3">
    <w:abstractNumId w:val="3"/>
  </w:num>
  <w:num w:numId="4">
    <w:abstractNumId w:val="16"/>
  </w:num>
  <w:num w:numId="5">
    <w:abstractNumId w:val="6"/>
  </w:num>
  <w:num w:numId="6">
    <w:abstractNumId w:val="20"/>
  </w:num>
  <w:num w:numId="7">
    <w:abstractNumId w:val="10"/>
  </w:num>
  <w:num w:numId="8">
    <w:abstractNumId w:val="13"/>
  </w:num>
  <w:num w:numId="9">
    <w:abstractNumId w:val="17"/>
  </w:num>
  <w:num w:numId="10">
    <w:abstractNumId w:val="24"/>
  </w:num>
  <w:num w:numId="11">
    <w:abstractNumId w:val="0"/>
  </w:num>
  <w:num w:numId="12">
    <w:abstractNumId w:val="12"/>
  </w:num>
  <w:num w:numId="13">
    <w:abstractNumId w:val="18"/>
  </w:num>
  <w:num w:numId="14">
    <w:abstractNumId w:val="15"/>
  </w:num>
  <w:num w:numId="15">
    <w:abstractNumId w:val="2"/>
  </w:num>
  <w:num w:numId="16">
    <w:abstractNumId w:val="5"/>
  </w:num>
  <w:num w:numId="17">
    <w:abstractNumId w:val="9"/>
  </w:num>
  <w:num w:numId="18">
    <w:abstractNumId w:val="8"/>
  </w:num>
  <w:num w:numId="19">
    <w:abstractNumId w:val="14"/>
  </w:num>
  <w:num w:numId="20">
    <w:abstractNumId w:val="4"/>
  </w:num>
  <w:num w:numId="21">
    <w:abstractNumId w:val="11"/>
  </w:num>
  <w:num w:numId="22">
    <w:abstractNumId w:val="22"/>
  </w:num>
  <w:num w:numId="23">
    <w:abstractNumId w:val="21"/>
  </w:num>
  <w:num w:numId="24">
    <w:abstractNumId w:val="1"/>
  </w:num>
  <w:num w:numId="25">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862"/>
    <w:rsid w:val="00000052"/>
    <w:rsid w:val="0000025B"/>
    <w:rsid w:val="0000116D"/>
    <w:rsid w:val="00001327"/>
    <w:rsid w:val="00001444"/>
    <w:rsid w:val="000017CC"/>
    <w:rsid w:val="000022B9"/>
    <w:rsid w:val="0000244C"/>
    <w:rsid w:val="000039EE"/>
    <w:rsid w:val="0000470D"/>
    <w:rsid w:val="00006CA1"/>
    <w:rsid w:val="0001025F"/>
    <w:rsid w:val="00012974"/>
    <w:rsid w:val="00013C64"/>
    <w:rsid w:val="00014E1F"/>
    <w:rsid w:val="000151DB"/>
    <w:rsid w:val="00015D1F"/>
    <w:rsid w:val="00016F64"/>
    <w:rsid w:val="00017609"/>
    <w:rsid w:val="0001782F"/>
    <w:rsid w:val="00017E92"/>
    <w:rsid w:val="00020E6E"/>
    <w:rsid w:val="00020ECC"/>
    <w:rsid w:val="0002110F"/>
    <w:rsid w:val="00024684"/>
    <w:rsid w:val="000304ED"/>
    <w:rsid w:val="0003079B"/>
    <w:rsid w:val="00030D6F"/>
    <w:rsid w:val="00031001"/>
    <w:rsid w:val="0003117C"/>
    <w:rsid w:val="00031D79"/>
    <w:rsid w:val="00031FB5"/>
    <w:rsid w:val="00033009"/>
    <w:rsid w:val="00033C56"/>
    <w:rsid w:val="00033D4E"/>
    <w:rsid w:val="00033E4C"/>
    <w:rsid w:val="000346B2"/>
    <w:rsid w:val="0003569F"/>
    <w:rsid w:val="00035FAB"/>
    <w:rsid w:val="00042948"/>
    <w:rsid w:val="00042F51"/>
    <w:rsid w:val="00043533"/>
    <w:rsid w:val="00046913"/>
    <w:rsid w:val="00051E3B"/>
    <w:rsid w:val="000541CB"/>
    <w:rsid w:val="000543DC"/>
    <w:rsid w:val="0005470F"/>
    <w:rsid w:val="00054C21"/>
    <w:rsid w:val="00055097"/>
    <w:rsid w:val="00055A14"/>
    <w:rsid w:val="0005711D"/>
    <w:rsid w:val="00057D45"/>
    <w:rsid w:val="00060183"/>
    <w:rsid w:val="00060855"/>
    <w:rsid w:val="00061793"/>
    <w:rsid w:val="00062EEB"/>
    <w:rsid w:val="000648C7"/>
    <w:rsid w:val="00066537"/>
    <w:rsid w:val="00066CF3"/>
    <w:rsid w:val="00071043"/>
    <w:rsid w:val="00072D47"/>
    <w:rsid w:val="00077420"/>
    <w:rsid w:val="000801B7"/>
    <w:rsid w:val="0008354E"/>
    <w:rsid w:val="00086054"/>
    <w:rsid w:val="00091609"/>
    <w:rsid w:val="00091DE7"/>
    <w:rsid w:val="000922D1"/>
    <w:rsid w:val="000931FD"/>
    <w:rsid w:val="00095B25"/>
    <w:rsid w:val="000960C0"/>
    <w:rsid w:val="00097978"/>
    <w:rsid w:val="00097B4B"/>
    <w:rsid w:val="00097E5C"/>
    <w:rsid w:val="000A0895"/>
    <w:rsid w:val="000A0F2E"/>
    <w:rsid w:val="000A2E1C"/>
    <w:rsid w:val="000A325A"/>
    <w:rsid w:val="000A32CB"/>
    <w:rsid w:val="000A3DE9"/>
    <w:rsid w:val="000A3FCD"/>
    <w:rsid w:val="000A471D"/>
    <w:rsid w:val="000A50BC"/>
    <w:rsid w:val="000A5257"/>
    <w:rsid w:val="000B0D1C"/>
    <w:rsid w:val="000B13A1"/>
    <w:rsid w:val="000B2492"/>
    <w:rsid w:val="000B2914"/>
    <w:rsid w:val="000B620C"/>
    <w:rsid w:val="000C0697"/>
    <w:rsid w:val="000C22D6"/>
    <w:rsid w:val="000C4E54"/>
    <w:rsid w:val="000C686F"/>
    <w:rsid w:val="000C79DA"/>
    <w:rsid w:val="000C7ECA"/>
    <w:rsid w:val="000D15AD"/>
    <w:rsid w:val="000D1C84"/>
    <w:rsid w:val="000D49FA"/>
    <w:rsid w:val="000D4C68"/>
    <w:rsid w:val="000D5828"/>
    <w:rsid w:val="000D796E"/>
    <w:rsid w:val="000E1574"/>
    <w:rsid w:val="000E1878"/>
    <w:rsid w:val="000E449A"/>
    <w:rsid w:val="000E6614"/>
    <w:rsid w:val="000E6BCF"/>
    <w:rsid w:val="000E7C83"/>
    <w:rsid w:val="000F0CC2"/>
    <w:rsid w:val="000F107A"/>
    <w:rsid w:val="000F1CDD"/>
    <w:rsid w:val="000F1D58"/>
    <w:rsid w:val="000F3444"/>
    <w:rsid w:val="000F3F0B"/>
    <w:rsid w:val="000F578C"/>
    <w:rsid w:val="000F5C62"/>
    <w:rsid w:val="000F6DC6"/>
    <w:rsid w:val="000F6E03"/>
    <w:rsid w:val="000F701A"/>
    <w:rsid w:val="000F79DA"/>
    <w:rsid w:val="000F7E6B"/>
    <w:rsid w:val="00102885"/>
    <w:rsid w:val="0010417B"/>
    <w:rsid w:val="00105A2D"/>
    <w:rsid w:val="00106F3A"/>
    <w:rsid w:val="001071AE"/>
    <w:rsid w:val="001115EE"/>
    <w:rsid w:val="001119A3"/>
    <w:rsid w:val="00112578"/>
    <w:rsid w:val="00114078"/>
    <w:rsid w:val="00115E35"/>
    <w:rsid w:val="001160CE"/>
    <w:rsid w:val="00116672"/>
    <w:rsid w:val="00116CF8"/>
    <w:rsid w:val="00121369"/>
    <w:rsid w:val="00123472"/>
    <w:rsid w:val="001243EF"/>
    <w:rsid w:val="0012455A"/>
    <w:rsid w:val="0012680B"/>
    <w:rsid w:val="00127DD9"/>
    <w:rsid w:val="001336ED"/>
    <w:rsid w:val="001344DE"/>
    <w:rsid w:val="00135974"/>
    <w:rsid w:val="00135B21"/>
    <w:rsid w:val="001366F7"/>
    <w:rsid w:val="00136FBB"/>
    <w:rsid w:val="00141D21"/>
    <w:rsid w:val="001422AE"/>
    <w:rsid w:val="00142FF7"/>
    <w:rsid w:val="00144311"/>
    <w:rsid w:val="00144AB6"/>
    <w:rsid w:val="0014506D"/>
    <w:rsid w:val="001503A2"/>
    <w:rsid w:val="00152600"/>
    <w:rsid w:val="00154212"/>
    <w:rsid w:val="001546CB"/>
    <w:rsid w:val="001556FB"/>
    <w:rsid w:val="00157731"/>
    <w:rsid w:val="00157C3A"/>
    <w:rsid w:val="0016135D"/>
    <w:rsid w:val="00163901"/>
    <w:rsid w:val="0017160F"/>
    <w:rsid w:val="00171696"/>
    <w:rsid w:val="00173D1C"/>
    <w:rsid w:val="00174491"/>
    <w:rsid w:val="0017568B"/>
    <w:rsid w:val="00176291"/>
    <w:rsid w:val="0017734F"/>
    <w:rsid w:val="001808EC"/>
    <w:rsid w:val="00181071"/>
    <w:rsid w:val="00181B75"/>
    <w:rsid w:val="001847AA"/>
    <w:rsid w:val="001854D7"/>
    <w:rsid w:val="0018623F"/>
    <w:rsid w:val="001870F3"/>
    <w:rsid w:val="00187DA6"/>
    <w:rsid w:val="00190973"/>
    <w:rsid w:val="00192033"/>
    <w:rsid w:val="00192C6C"/>
    <w:rsid w:val="00193B1C"/>
    <w:rsid w:val="0019471C"/>
    <w:rsid w:val="00195517"/>
    <w:rsid w:val="00196160"/>
    <w:rsid w:val="00196595"/>
    <w:rsid w:val="00196AFC"/>
    <w:rsid w:val="00197CE8"/>
    <w:rsid w:val="001A0489"/>
    <w:rsid w:val="001A271A"/>
    <w:rsid w:val="001A2D84"/>
    <w:rsid w:val="001A4AFE"/>
    <w:rsid w:val="001A67AD"/>
    <w:rsid w:val="001A70DF"/>
    <w:rsid w:val="001A7326"/>
    <w:rsid w:val="001B198E"/>
    <w:rsid w:val="001B304A"/>
    <w:rsid w:val="001B4163"/>
    <w:rsid w:val="001B4B55"/>
    <w:rsid w:val="001C0E00"/>
    <w:rsid w:val="001C3026"/>
    <w:rsid w:val="001C4BD9"/>
    <w:rsid w:val="001C77C7"/>
    <w:rsid w:val="001D064A"/>
    <w:rsid w:val="001D1D31"/>
    <w:rsid w:val="001D25AE"/>
    <w:rsid w:val="001D44CD"/>
    <w:rsid w:val="001D548D"/>
    <w:rsid w:val="001D5E52"/>
    <w:rsid w:val="001D6540"/>
    <w:rsid w:val="001D7D3C"/>
    <w:rsid w:val="001E082F"/>
    <w:rsid w:val="001E182C"/>
    <w:rsid w:val="001E197A"/>
    <w:rsid w:val="001E20BF"/>
    <w:rsid w:val="001E2315"/>
    <w:rsid w:val="001E35DC"/>
    <w:rsid w:val="001E4C59"/>
    <w:rsid w:val="001E5389"/>
    <w:rsid w:val="001F1635"/>
    <w:rsid w:val="001F1ACC"/>
    <w:rsid w:val="001F2E07"/>
    <w:rsid w:val="001F4B2B"/>
    <w:rsid w:val="001F4BBA"/>
    <w:rsid w:val="001F7759"/>
    <w:rsid w:val="002016F2"/>
    <w:rsid w:val="0020618B"/>
    <w:rsid w:val="0020750A"/>
    <w:rsid w:val="0021014D"/>
    <w:rsid w:val="00211DF4"/>
    <w:rsid w:val="00212E67"/>
    <w:rsid w:val="00213849"/>
    <w:rsid w:val="0021431B"/>
    <w:rsid w:val="0021564B"/>
    <w:rsid w:val="0021576B"/>
    <w:rsid w:val="00216112"/>
    <w:rsid w:val="00216A5F"/>
    <w:rsid w:val="00216BAC"/>
    <w:rsid w:val="00216C61"/>
    <w:rsid w:val="002176A7"/>
    <w:rsid w:val="00217C6F"/>
    <w:rsid w:val="00217F5E"/>
    <w:rsid w:val="0022055E"/>
    <w:rsid w:val="00220A88"/>
    <w:rsid w:val="00222C67"/>
    <w:rsid w:val="00225BC6"/>
    <w:rsid w:val="00227A9D"/>
    <w:rsid w:val="00230E9B"/>
    <w:rsid w:val="00231561"/>
    <w:rsid w:val="00231732"/>
    <w:rsid w:val="00231B89"/>
    <w:rsid w:val="00231E12"/>
    <w:rsid w:val="00232D13"/>
    <w:rsid w:val="00233D29"/>
    <w:rsid w:val="00235819"/>
    <w:rsid w:val="0023714E"/>
    <w:rsid w:val="00242F73"/>
    <w:rsid w:val="0024778B"/>
    <w:rsid w:val="00247D95"/>
    <w:rsid w:val="00252B6F"/>
    <w:rsid w:val="00252D82"/>
    <w:rsid w:val="002531CD"/>
    <w:rsid w:val="00255B18"/>
    <w:rsid w:val="002571DE"/>
    <w:rsid w:val="002572A5"/>
    <w:rsid w:val="0026198E"/>
    <w:rsid w:val="00262CA5"/>
    <w:rsid w:val="0026308B"/>
    <w:rsid w:val="002635D1"/>
    <w:rsid w:val="00266ED2"/>
    <w:rsid w:val="00266F5C"/>
    <w:rsid w:val="00270616"/>
    <w:rsid w:val="00270646"/>
    <w:rsid w:val="00271414"/>
    <w:rsid w:val="002718EF"/>
    <w:rsid w:val="00272C25"/>
    <w:rsid w:val="002735F4"/>
    <w:rsid w:val="00273B89"/>
    <w:rsid w:val="00275521"/>
    <w:rsid w:val="0027574C"/>
    <w:rsid w:val="002820FB"/>
    <w:rsid w:val="00283328"/>
    <w:rsid w:val="002855E3"/>
    <w:rsid w:val="00286694"/>
    <w:rsid w:val="00287A3C"/>
    <w:rsid w:val="00287ABA"/>
    <w:rsid w:val="00291EAA"/>
    <w:rsid w:val="002945BC"/>
    <w:rsid w:val="002979BD"/>
    <w:rsid w:val="002A10B3"/>
    <w:rsid w:val="002A1EB4"/>
    <w:rsid w:val="002A3A41"/>
    <w:rsid w:val="002A3E62"/>
    <w:rsid w:val="002A4513"/>
    <w:rsid w:val="002A650D"/>
    <w:rsid w:val="002A71B1"/>
    <w:rsid w:val="002B0E3B"/>
    <w:rsid w:val="002B18DC"/>
    <w:rsid w:val="002B2A2E"/>
    <w:rsid w:val="002B4AEB"/>
    <w:rsid w:val="002B54CF"/>
    <w:rsid w:val="002B5DEB"/>
    <w:rsid w:val="002B78D9"/>
    <w:rsid w:val="002C0654"/>
    <w:rsid w:val="002C4537"/>
    <w:rsid w:val="002C4935"/>
    <w:rsid w:val="002C5163"/>
    <w:rsid w:val="002C558D"/>
    <w:rsid w:val="002C6E59"/>
    <w:rsid w:val="002D1011"/>
    <w:rsid w:val="002D379F"/>
    <w:rsid w:val="002D4515"/>
    <w:rsid w:val="002D4934"/>
    <w:rsid w:val="002D4FAD"/>
    <w:rsid w:val="002D692C"/>
    <w:rsid w:val="002D6F7B"/>
    <w:rsid w:val="002E063F"/>
    <w:rsid w:val="002E197B"/>
    <w:rsid w:val="002E244F"/>
    <w:rsid w:val="002E40E0"/>
    <w:rsid w:val="002E4503"/>
    <w:rsid w:val="002E5F9A"/>
    <w:rsid w:val="002E6F49"/>
    <w:rsid w:val="002F044C"/>
    <w:rsid w:val="002F2A69"/>
    <w:rsid w:val="002F2E0F"/>
    <w:rsid w:val="002F4509"/>
    <w:rsid w:val="002F58D7"/>
    <w:rsid w:val="002F6B78"/>
    <w:rsid w:val="002F7608"/>
    <w:rsid w:val="003006AD"/>
    <w:rsid w:val="00300976"/>
    <w:rsid w:val="00302DA2"/>
    <w:rsid w:val="00303595"/>
    <w:rsid w:val="003036C8"/>
    <w:rsid w:val="00311AD2"/>
    <w:rsid w:val="00312F89"/>
    <w:rsid w:val="003168C5"/>
    <w:rsid w:val="00317B1F"/>
    <w:rsid w:val="00320640"/>
    <w:rsid w:val="003210F5"/>
    <w:rsid w:val="0032304A"/>
    <w:rsid w:val="003231DF"/>
    <w:rsid w:val="00324865"/>
    <w:rsid w:val="00325E00"/>
    <w:rsid w:val="003307CE"/>
    <w:rsid w:val="00331055"/>
    <w:rsid w:val="00331EBB"/>
    <w:rsid w:val="00332777"/>
    <w:rsid w:val="0033296A"/>
    <w:rsid w:val="00333B15"/>
    <w:rsid w:val="00333F1B"/>
    <w:rsid w:val="00335B7A"/>
    <w:rsid w:val="00340A09"/>
    <w:rsid w:val="00342A4A"/>
    <w:rsid w:val="00346F73"/>
    <w:rsid w:val="00350726"/>
    <w:rsid w:val="003507F2"/>
    <w:rsid w:val="003510B5"/>
    <w:rsid w:val="00352BA4"/>
    <w:rsid w:val="003557BB"/>
    <w:rsid w:val="00361A10"/>
    <w:rsid w:val="00362B6E"/>
    <w:rsid w:val="00362CBE"/>
    <w:rsid w:val="00364338"/>
    <w:rsid w:val="00365DA8"/>
    <w:rsid w:val="003662DC"/>
    <w:rsid w:val="00367480"/>
    <w:rsid w:val="00370ED7"/>
    <w:rsid w:val="00371476"/>
    <w:rsid w:val="0037443E"/>
    <w:rsid w:val="003758EF"/>
    <w:rsid w:val="0037702B"/>
    <w:rsid w:val="0037756D"/>
    <w:rsid w:val="00377AC3"/>
    <w:rsid w:val="00377E39"/>
    <w:rsid w:val="003810B0"/>
    <w:rsid w:val="0038143D"/>
    <w:rsid w:val="00381841"/>
    <w:rsid w:val="00384D1B"/>
    <w:rsid w:val="00392E5B"/>
    <w:rsid w:val="00396B72"/>
    <w:rsid w:val="00397C77"/>
    <w:rsid w:val="003A2440"/>
    <w:rsid w:val="003A3B1D"/>
    <w:rsid w:val="003A3B4F"/>
    <w:rsid w:val="003A55A9"/>
    <w:rsid w:val="003A5FCA"/>
    <w:rsid w:val="003A685D"/>
    <w:rsid w:val="003A7071"/>
    <w:rsid w:val="003A73FE"/>
    <w:rsid w:val="003B063F"/>
    <w:rsid w:val="003B3BA0"/>
    <w:rsid w:val="003B43F8"/>
    <w:rsid w:val="003B47AC"/>
    <w:rsid w:val="003B4B8B"/>
    <w:rsid w:val="003B5E15"/>
    <w:rsid w:val="003B5F19"/>
    <w:rsid w:val="003B658D"/>
    <w:rsid w:val="003B6FD9"/>
    <w:rsid w:val="003C066F"/>
    <w:rsid w:val="003C3374"/>
    <w:rsid w:val="003C3903"/>
    <w:rsid w:val="003C4D3E"/>
    <w:rsid w:val="003D1A99"/>
    <w:rsid w:val="003D1AAF"/>
    <w:rsid w:val="003D438C"/>
    <w:rsid w:val="003D58E7"/>
    <w:rsid w:val="003D5A0A"/>
    <w:rsid w:val="003D5C3B"/>
    <w:rsid w:val="003D7467"/>
    <w:rsid w:val="003D7739"/>
    <w:rsid w:val="003D7B6A"/>
    <w:rsid w:val="003E2FDC"/>
    <w:rsid w:val="003E50BF"/>
    <w:rsid w:val="003E5CFA"/>
    <w:rsid w:val="003E65D5"/>
    <w:rsid w:val="003E7930"/>
    <w:rsid w:val="003F03D8"/>
    <w:rsid w:val="003F1828"/>
    <w:rsid w:val="003F3D21"/>
    <w:rsid w:val="003F4B75"/>
    <w:rsid w:val="003F4FEA"/>
    <w:rsid w:val="003F62BB"/>
    <w:rsid w:val="003F76BB"/>
    <w:rsid w:val="0040354E"/>
    <w:rsid w:val="00404636"/>
    <w:rsid w:val="00404856"/>
    <w:rsid w:val="00405866"/>
    <w:rsid w:val="00406229"/>
    <w:rsid w:val="004068CE"/>
    <w:rsid w:val="0040775C"/>
    <w:rsid w:val="0041186B"/>
    <w:rsid w:val="00412A3D"/>
    <w:rsid w:val="00413C83"/>
    <w:rsid w:val="004145C0"/>
    <w:rsid w:val="00415210"/>
    <w:rsid w:val="00415A3D"/>
    <w:rsid w:val="00415A87"/>
    <w:rsid w:val="00415C0E"/>
    <w:rsid w:val="00416300"/>
    <w:rsid w:val="004168ED"/>
    <w:rsid w:val="00416A5D"/>
    <w:rsid w:val="00417796"/>
    <w:rsid w:val="00417C46"/>
    <w:rsid w:val="00420C0B"/>
    <w:rsid w:val="00421544"/>
    <w:rsid w:val="00423D9F"/>
    <w:rsid w:val="00424DA6"/>
    <w:rsid w:val="00425B1D"/>
    <w:rsid w:val="00426258"/>
    <w:rsid w:val="0043054F"/>
    <w:rsid w:val="00433923"/>
    <w:rsid w:val="0043482E"/>
    <w:rsid w:val="00434D92"/>
    <w:rsid w:val="00435B37"/>
    <w:rsid w:val="004369E7"/>
    <w:rsid w:val="004410E3"/>
    <w:rsid w:val="00451254"/>
    <w:rsid w:val="004532DA"/>
    <w:rsid w:val="0045354A"/>
    <w:rsid w:val="004551DC"/>
    <w:rsid w:val="00456491"/>
    <w:rsid w:val="00457D7C"/>
    <w:rsid w:val="004600A8"/>
    <w:rsid w:val="004605E1"/>
    <w:rsid w:val="004643AB"/>
    <w:rsid w:val="00464DAB"/>
    <w:rsid w:val="00465BDF"/>
    <w:rsid w:val="0046663B"/>
    <w:rsid w:val="00470A62"/>
    <w:rsid w:val="0047145B"/>
    <w:rsid w:val="0047257B"/>
    <w:rsid w:val="004748C6"/>
    <w:rsid w:val="00476854"/>
    <w:rsid w:val="00476E90"/>
    <w:rsid w:val="00477A0D"/>
    <w:rsid w:val="004806E2"/>
    <w:rsid w:val="00486497"/>
    <w:rsid w:val="004903E2"/>
    <w:rsid w:val="004906B7"/>
    <w:rsid w:val="00491D44"/>
    <w:rsid w:val="0049246C"/>
    <w:rsid w:val="004941DD"/>
    <w:rsid w:val="004A0F76"/>
    <w:rsid w:val="004A4B76"/>
    <w:rsid w:val="004A5C59"/>
    <w:rsid w:val="004A6AB9"/>
    <w:rsid w:val="004A7193"/>
    <w:rsid w:val="004B523F"/>
    <w:rsid w:val="004B5990"/>
    <w:rsid w:val="004B68B4"/>
    <w:rsid w:val="004B6B1D"/>
    <w:rsid w:val="004B78FD"/>
    <w:rsid w:val="004C10F9"/>
    <w:rsid w:val="004C15EF"/>
    <w:rsid w:val="004C5227"/>
    <w:rsid w:val="004C55A6"/>
    <w:rsid w:val="004C6643"/>
    <w:rsid w:val="004C6CBD"/>
    <w:rsid w:val="004D147C"/>
    <w:rsid w:val="004D1514"/>
    <w:rsid w:val="004D226B"/>
    <w:rsid w:val="004D2909"/>
    <w:rsid w:val="004D37E3"/>
    <w:rsid w:val="004D4608"/>
    <w:rsid w:val="004D4A7A"/>
    <w:rsid w:val="004D5717"/>
    <w:rsid w:val="004D68C3"/>
    <w:rsid w:val="004E018C"/>
    <w:rsid w:val="004E059F"/>
    <w:rsid w:val="004E1BCF"/>
    <w:rsid w:val="004E45D7"/>
    <w:rsid w:val="004E52C4"/>
    <w:rsid w:val="004E5F95"/>
    <w:rsid w:val="004E6004"/>
    <w:rsid w:val="004E73C2"/>
    <w:rsid w:val="004E79F6"/>
    <w:rsid w:val="004F1BFE"/>
    <w:rsid w:val="004F5CF5"/>
    <w:rsid w:val="00501120"/>
    <w:rsid w:val="00502A3B"/>
    <w:rsid w:val="00502DF9"/>
    <w:rsid w:val="00504DF5"/>
    <w:rsid w:val="005056B5"/>
    <w:rsid w:val="00505708"/>
    <w:rsid w:val="00507029"/>
    <w:rsid w:val="00512B8C"/>
    <w:rsid w:val="005153C0"/>
    <w:rsid w:val="005160F6"/>
    <w:rsid w:val="00521355"/>
    <w:rsid w:val="00522C0D"/>
    <w:rsid w:val="00524673"/>
    <w:rsid w:val="00524737"/>
    <w:rsid w:val="00525AF6"/>
    <w:rsid w:val="00525F05"/>
    <w:rsid w:val="005307E4"/>
    <w:rsid w:val="0053381B"/>
    <w:rsid w:val="00534984"/>
    <w:rsid w:val="00535479"/>
    <w:rsid w:val="00536626"/>
    <w:rsid w:val="00536789"/>
    <w:rsid w:val="005370B0"/>
    <w:rsid w:val="00540E44"/>
    <w:rsid w:val="0054143D"/>
    <w:rsid w:val="005505D3"/>
    <w:rsid w:val="00550781"/>
    <w:rsid w:val="005507D3"/>
    <w:rsid w:val="00550B8A"/>
    <w:rsid w:val="00552351"/>
    <w:rsid w:val="00552C3E"/>
    <w:rsid w:val="00553557"/>
    <w:rsid w:val="005552C9"/>
    <w:rsid w:val="00555FDD"/>
    <w:rsid w:val="005614E0"/>
    <w:rsid w:val="00564047"/>
    <w:rsid w:val="00567FAA"/>
    <w:rsid w:val="0057046D"/>
    <w:rsid w:val="005705B3"/>
    <w:rsid w:val="0057066A"/>
    <w:rsid w:val="00571CF3"/>
    <w:rsid w:val="005725DC"/>
    <w:rsid w:val="00573BA2"/>
    <w:rsid w:val="00577025"/>
    <w:rsid w:val="00582D5B"/>
    <w:rsid w:val="00584D76"/>
    <w:rsid w:val="00591319"/>
    <w:rsid w:val="00591574"/>
    <w:rsid w:val="00597EF9"/>
    <w:rsid w:val="005A13D7"/>
    <w:rsid w:val="005A1B44"/>
    <w:rsid w:val="005A4794"/>
    <w:rsid w:val="005A6118"/>
    <w:rsid w:val="005A614D"/>
    <w:rsid w:val="005A6723"/>
    <w:rsid w:val="005A6C73"/>
    <w:rsid w:val="005A7060"/>
    <w:rsid w:val="005A7DF4"/>
    <w:rsid w:val="005B0BA9"/>
    <w:rsid w:val="005B1017"/>
    <w:rsid w:val="005B1059"/>
    <w:rsid w:val="005B33D9"/>
    <w:rsid w:val="005B3876"/>
    <w:rsid w:val="005B4445"/>
    <w:rsid w:val="005B68A4"/>
    <w:rsid w:val="005B6B68"/>
    <w:rsid w:val="005B6B9A"/>
    <w:rsid w:val="005B6DF1"/>
    <w:rsid w:val="005B6F1A"/>
    <w:rsid w:val="005B6F4D"/>
    <w:rsid w:val="005C1DAB"/>
    <w:rsid w:val="005C1E93"/>
    <w:rsid w:val="005C345E"/>
    <w:rsid w:val="005C4306"/>
    <w:rsid w:val="005C4AFE"/>
    <w:rsid w:val="005C6F23"/>
    <w:rsid w:val="005D0684"/>
    <w:rsid w:val="005D144A"/>
    <w:rsid w:val="005D6A69"/>
    <w:rsid w:val="005D6CDB"/>
    <w:rsid w:val="005E01D9"/>
    <w:rsid w:val="005E03D0"/>
    <w:rsid w:val="005E2466"/>
    <w:rsid w:val="005E2566"/>
    <w:rsid w:val="005E57A1"/>
    <w:rsid w:val="005E5961"/>
    <w:rsid w:val="005F2CEF"/>
    <w:rsid w:val="00600AE0"/>
    <w:rsid w:val="00600B4F"/>
    <w:rsid w:val="006024F5"/>
    <w:rsid w:val="00604AEA"/>
    <w:rsid w:val="006051B6"/>
    <w:rsid w:val="006060BB"/>
    <w:rsid w:val="00607325"/>
    <w:rsid w:val="00607AF0"/>
    <w:rsid w:val="00607D95"/>
    <w:rsid w:val="006105DA"/>
    <w:rsid w:val="00611D7F"/>
    <w:rsid w:val="006123B0"/>
    <w:rsid w:val="00613CD8"/>
    <w:rsid w:val="00613E8D"/>
    <w:rsid w:val="00617F82"/>
    <w:rsid w:val="006201DD"/>
    <w:rsid w:val="00620F59"/>
    <w:rsid w:val="00621F6C"/>
    <w:rsid w:val="00622981"/>
    <w:rsid w:val="00623FC5"/>
    <w:rsid w:val="00624261"/>
    <w:rsid w:val="00624862"/>
    <w:rsid w:val="006253D8"/>
    <w:rsid w:val="00626C65"/>
    <w:rsid w:val="00630506"/>
    <w:rsid w:val="00631109"/>
    <w:rsid w:val="00631F21"/>
    <w:rsid w:val="00632609"/>
    <w:rsid w:val="00635464"/>
    <w:rsid w:val="006362ED"/>
    <w:rsid w:val="006364C4"/>
    <w:rsid w:val="006400FA"/>
    <w:rsid w:val="00642D0C"/>
    <w:rsid w:val="006430C3"/>
    <w:rsid w:val="00643B56"/>
    <w:rsid w:val="00645CCF"/>
    <w:rsid w:val="00646419"/>
    <w:rsid w:val="00647F1C"/>
    <w:rsid w:val="00652ADC"/>
    <w:rsid w:val="00653AF8"/>
    <w:rsid w:val="00654C63"/>
    <w:rsid w:val="00656BC2"/>
    <w:rsid w:val="00657007"/>
    <w:rsid w:val="00660340"/>
    <w:rsid w:val="006604F8"/>
    <w:rsid w:val="006669E6"/>
    <w:rsid w:val="00667861"/>
    <w:rsid w:val="00672A23"/>
    <w:rsid w:val="00673414"/>
    <w:rsid w:val="00675024"/>
    <w:rsid w:val="006765B0"/>
    <w:rsid w:val="00677294"/>
    <w:rsid w:val="00681055"/>
    <w:rsid w:val="00681A9B"/>
    <w:rsid w:val="006831F3"/>
    <w:rsid w:val="006841EE"/>
    <w:rsid w:val="006844B5"/>
    <w:rsid w:val="00686A62"/>
    <w:rsid w:val="00686F0E"/>
    <w:rsid w:val="00690551"/>
    <w:rsid w:val="0069136A"/>
    <w:rsid w:val="006923CC"/>
    <w:rsid w:val="006924D6"/>
    <w:rsid w:val="0069333C"/>
    <w:rsid w:val="006939F5"/>
    <w:rsid w:val="006959F6"/>
    <w:rsid w:val="006A10E4"/>
    <w:rsid w:val="006A1605"/>
    <w:rsid w:val="006A1BF8"/>
    <w:rsid w:val="006A31C1"/>
    <w:rsid w:val="006A502F"/>
    <w:rsid w:val="006A7116"/>
    <w:rsid w:val="006A74D1"/>
    <w:rsid w:val="006B0F50"/>
    <w:rsid w:val="006B14F3"/>
    <w:rsid w:val="006B204C"/>
    <w:rsid w:val="006B36E8"/>
    <w:rsid w:val="006B4C6F"/>
    <w:rsid w:val="006B65F7"/>
    <w:rsid w:val="006C1E44"/>
    <w:rsid w:val="006C22BA"/>
    <w:rsid w:val="006C2563"/>
    <w:rsid w:val="006C2CA7"/>
    <w:rsid w:val="006C319B"/>
    <w:rsid w:val="006C3562"/>
    <w:rsid w:val="006C4372"/>
    <w:rsid w:val="006C54F0"/>
    <w:rsid w:val="006C70C6"/>
    <w:rsid w:val="006D26C9"/>
    <w:rsid w:val="006D2E3D"/>
    <w:rsid w:val="006D3C8C"/>
    <w:rsid w:val="006E0900"/>
    <w:rsid w:val="006E2CBA"/>
    <w:rsid w:val="006E2D50"/>
    <w:rsid w:val="006E4BF8"/>
    <w:rsid w:val="006E56F1"/>
    <w:rsid w:val="006E65A3"/>
    <w:rsid w:val="006E710F"/>
    <w:rsid w:val="006E76A0"/>
    <w:rsid w:val="006F0A73"/>
    <w:rsid w:val="006F0B4E"/>
    <w:rsid w:val="006F0B6D"/>
    <w:rsid w:val="006F169E"/>
    <w:rsid w:val="006F3128"/>
    <w:rsid w:val="006F3A64"/>
    <w:rsid w:val="006F43E6"/>
    <w:rsid w:val="006F4721"/>
    <w:rsid w:val="006F6625"/>
    <w:rsid w:val="006F6876"/>
    <w:rsid w:val="007063D0"/>
    <w:rsid w:val="00711A85"/>
    <w:rsid w:val="00715BBB"/>
    <w:rsid w:val="007218D9"/>
    <w:rsid w:val="0072260F"/>
    <w:rsid w:val="00722B24"/>
    <w:rsid w:val="00722BA2"/>
    <w:rsid w:val="00722D9C"/>
    <w:rsid w:val="0072312A"/>
    <w:rsid w:val="007267F0"/>
    <w:rsid w:val="00726824"/>
    <w:rsid w:val="0072685C"/>
    <w:rsid w:val="00727F91"/>
    <w:rsid w:val="00730E89"/>
    <w:rsid w:val="00731BA9"/>
    <w:rsid w:val="00731CAB"/>
    <w:rsid w:val="00733548"/>
    <w:rsid w:val="00735683"/>
    <w:rsid w:val="00736762"/>
    <w:rsid w:val="00737E0B"/>
    <w:rsid w:val="00740852"/>
    <w:rsid w:val="00741322"/>
    <w:rsid w:val="00742706"/>
    <w:rsid w:val="00744CB8"/>
    <w:rsid w:val="00747731"/>
    <w:rsid w:val="00750411"/>
    <w:rsid w:val="00750ECC"/>
    <w:rsid w:val="00757474"/>
    <w:rsid w:val="007608EA"/>
    <w:rsid w:val="00761D01"/>
    <w:rsid w:val="00762778"/>
    <w:rsid w:val="007627E7"/>
    <w:rsid w:val="00762D78"/>
    <w:rsid w:val="00763778"/>
    <w:rsid w:val="007641BF"/>
    <w:rsid w:val="00766572"/>
    <w:rsid w:val="00770C59"/>
    <w:rsid w:val="007713A8"/>
    <w:rsid w:val="00771660"/>
    <w:rsid w:val="00773EEB"/>
    <w:rsid w:val="00773F85"/>
    <w:rsid w:val="00774605"/>
    <w:rsid w:val="00774A4A"/>
    <w:rsid w:val="00776D04"/>
    <w:rsid w:val="00780238"/>
    <w:rsid w:val="00780933"/>
    <w:rsid w:val="00780DB4"/>
    <w:rsid w:val="00782262"/>
    <w:rsid w:val="00782396"/>
    <w:rsid w:val="00784A21"/>
    <w:rsid w:val="0078527C"/>
    <w:rsid w:val="00786F8D"/>
    <w:rsid w:val="00791041"/>
    <w:rsid w:val="00791E59"/>
    <w:rsid w:val="007966DD"/>
    <w:rsid w:val="0079724B"/>
    <w:rsid w:val="007A14FF"/>
    <w:rsid w:val="007A1568"/>
    <w:rsid w:val="007A2DBD"/>
    <w:rsid w:val="007A4E98"/>
    <w:rsid w:val="007A587B"/>
    <w:rsid w:val="007A675E"/>
    <w:rsid w:val="007B0239"/>
    <w:rsid w:val="007B0BE0"/>
    <w:rsid w:val="007B47F2"/>
    <w:rsid w:val="007B4979"/>
    <w:rsid w:val="007B4D0E"/>
    <w:rsid w:val="007B63A4"/>
    <w:rsid w:val="007B75DE"/>
    <w:rsid w:val="007B79E4"/>
    <w:rsid w:val="007B7DBF"/>
    <w:rsid w:val="007C0057"/>
    <w:rsid w:val="007C181F"/>
    <w:rsid w:val="007C57D5"/>
    <w:rsid w:val="007C5DFB"/>
    <w:rsid w:val="007D4671"/>
    <w:rsid w:val="007D62E0"/>
    <w:rsid w:val="007D6AAB"/>
    <w:rsid w:val="007D6FE9"/>
    <w:rsid w:val="007D70F3"/>
    <w:rsid w:val="007E1D1B"/>
    <w:rsid w:val="007E36D4"/>
    <w:rsid w:val="007E5352"/>
    <w:rsid w:val="007E5D7F"/>
    <w:rsid w:val="007F14D9"/>
    <w:rsid w:val="007F34A2"/>
    <w:rsid w:val="007F39F2"/>
    <w:rsid w:val="007F469A"/>
    <w:rsid w:val="007F4F76"/>
    <w:rsid w:val="007F656B"/>
    <w:rsid w:val="00800E10"/>
    <w:rsid w:val="008011C6"/>
    <w:rsid w:val="00801EB7"/>
    <w:rsid w:val="00802AB7"/>
    <w:rsid w:val="00803125"/>
    <w:rsid w:val="00803258"/>
    <w:rsid w:val="00804D33"/>
    <w:rsid w:val="00804FA5"/>
    <w:rsid w:val="00806DC8"/>
    <w:rsid w:val="00807010"/>
    <w:rsid w:val="008105F5"/>
    <w:rsid w:val="00810C16"/>
    <w:rsid w:val="00812A0A"/>
    <w:rsid w:val="00812D26"/>
    <w:rsid w:val="00813652"/>
    <w:rsid w:val="008140B2"/>
    <w:rsid w:val="00817370"/>
    <w:rsid w:val="00820DF5"/>
    <w:rsid w:val="00821236"/>
    <w:rsid w:val="008212E9"/>
    <w:rsid w:val="008214B4"/>
    <w:rsid w:val="00823D84"/>
    <w:rsid w:val="008250A6"/>
    <w:rsid w:val="00825608"/>
    <w:rsid w:val="008256C4"/>
    <w:rsid w:val="00825C97"/>
    <w:rsid w:val="008369CB"/>
    <w:rsid w:val="00837913"/>
    <w:rsid w:val="00837D28"/>
    <w:rsid w:val="00837EB1"/>
    <w:rsid w:val="008405B0"/>
    <w:rsid w:val="008410A7"/>
    <w:rsid w:val="00842332"/>
    <w:rsid w:val="0084546D"/>
    <w:rsid w:val="00845B38"/>
    <w:rsid w:val="008468BE"/>
    <w:rsid w:val="00846903"/>
    <w:rsid w:val="008509BC"/>
    <w:rsid w:val="008517B1"/>
    <w:rsid w:val="00855ACD"/>
    <w:rsid w:val="00860919"/>
    <w:rsid w:val="00860E9A"/>
    <w:rsid w:val="008613DF"/>
    <w:rsid w:val="008618DB"/>
    <w:rsid w:val="008646EF"/>
    <w:rsid w:val="00865C24"/>
    <w:rsid w:val="0087141B"/>
    <w:rsid w:val="00871FD5"/>
    <w:rsid w:val="00872E1C"/>
    <w:rsid w:val="0087324A"/>
    <w:rsid w:val="00874C4F"/>
    <w:rsid w:val="00875EBC"/>
    <w:rsid w:val="00876E86"/>
    <w:rsid w:val="00877987"/>
    <w:rsid w:val="0088054C"/>
    <w:rsid w:val="00880A00"/>
    <w:rsid w:val="00885805"/>
    <w:rsid w:val="00886856"/>
    <w:rsid w:val="00892E53"/>
    <w:rsid w:val="008A007D"/>
    <w:rsid w:val="008A1133"/>
    <w:rsid w:val="008A175E"/>
    <w:rsid w:val="008A6153"/>
    <w:rsid w:val="008A65D3"/>
    <w:rsid w:val="008A742F"/>
    <w:rsid w:val="008B07B4"/>
    <w:rsid w:val="008B1663"/>
    <w:rsid w:val="008B1958"/>
    <w:rsid w:val="008B1B5C"/>
    <w:rsid w:val="008B20C8"/>
    <w:rsid w:val="008B5CE9"/>
    <w:rsid w:val="008C1137"/>
    <w:rsid w:val="008C24CE"/>
    <w:rsid w:val="008C269A"/>
    <w:rsid w:val="008C673A"/>
    <w:rsid w:val="008C776A"/>
    <w:rsid w:val="008C792B"/>
    <w:rsid w:val="008D0F59"/>
    <w:rsid w:val="008D258C"/>
    <w:rsid w:val="008D35FD"/>
    <w:rsid w:val="008D362A"/>
    <w:rsid w:val="008D4570"/>
    <w:rsid w:val="008D470F"/>
    <w:rsid w:val="008E0AB5"/>
    <w:rsid w:val="008E1C27"/>
    <w:rsid w:val="008E250B"/>
    <w:rsid w:val="008E26D6"/>
    <w:rsid w:val="008E2854"/>
    <w:rsid w:val="008E3002"/>
    <w:rsid w:val="008E3944"/>
    <w:rsid w:val="008E4E4F"/>
    <w:rsid w:val="008E7EAB"/>
    <w:rsid w:val="008F05D7"/>
    <w:rsid w:val="008F0B7F"/>
    <w:rsid w:val="008F104C"/>
    <w:rsid w:val="008F11F1"/>
    <w:rsid w:val="008F1B95"/>
    <w:rsid w:val="008F1FB7"/>
    <w:rsid w:val="008F1FC8"/>
    <w:rsid w:val="008F31E8"/>
    <w:rsid w:val="008F35AF"/>
    <w:rsid w:val="008F60A3"/>
    <w:rsid w:val="008F72C7"/>
    <w:rsid w:val="009019A6"/>
    <w:rsid w:val="009038A2"/>
    <w:rsid w:val="00903BD9"/>
    <w:rsid w:val="00904547"/>
    <w:rsid w:val="009048A3"/>
    <w:rsid w:val="00905647"/>
    <w:rsid w:val="0090690F"/>
    <w:rsid w:val="0090699F"/>
    <w:rsid w:val="00906C01"/>
    <w:rsid w:val="0090733C"/>
    <w:rsid w:val="00907F13"/>
    <w:rsid w:val="00910289"/>
    <w:rsid w:val="00912BBF"/>
    <w:rsid w:val="00912EF4"/>
    <w:rsid w:val="009154DE"/>
    <w:rsid w:val="009154F9"/>
    <w:rsid w:val="00915C70"/>
    <w:rsid w:val="00921B93"/>
    <w:rsid w:val="0092285D"/>
    <w:rsid w:val="00922DA7"/>
    <w:rsid w:val="009247B2"/>
    <w:rsid w:val="00924918"/>
    <w:rsid w:val="00926F25"/>
    <w:rsid w:val="009274F2"/>
    <w:rsid w:val="00927A2E"/>
    <w:rsid w:val="0093473C"/>
    <w:rsid w:val="00934F54"/>
    <w:rsid w:val="00936DDB"/>
    <w:rsid w:val="00936E53"/>
    <w:rsid w:val="0093732A"/>
    <w:rsid w:val="009410D1"/>
    <w:rsid w:val="009422D6"/>
    <w:rsid w:val="00942AB5"/>
    <w:rsid w:val="00942C37"/>
    <w:rsid w:val="00942E5A"/>
    <w:rsid w:val="00943939"/>
    <w:rsid w:val="00943E78"/>
    <w:rsid w:val="00943FA2"/>
    <w:rsid w:val="00946CD0"/>
    <w:rsid w:val="00946E82"/>
    <w:rsid w:val="00947818"/>
    <w:rsid w:val="0095376D"/>
    <w:rsid w:val="00953C51"/>
    <w:rsid w:val="00953CF5"/>
    <w:rsid w:val="00953E69"/>
    <w:rsid w:val="00954757"/>
    <w:rsid w:val="00954DAF"/>
    <w:rsid w:val="009555BE"/>
    <w:rsid w:val="00957984"/>
    <w:rsid w:val="00963D8B"/>
    <w:rsid w:val="00964A6D"/>
    <w:rsid w:val="00965ADC"/>
    <w:rsid w:val="009678C2"/>
    <w:rsid w:val="00970F03"/>
    <w:rsid w:val="00971E7C"/>
    <w:rsid w:val="00973C98"/>
    <w:rsid w:val="00973D6F"/>
    <w:rsid w:val="0097494F"/>
    <w:rsid w:val="00975135"/>
    <w:rsid w:val="00975660"/>
    <w:rsid w:val="009768A1"/>
    <w:rsid w:val="009779F1"/>
    <w:rsid w:val="00977A8E"/>
    <w:rsid w:val="009802F1"/>
    <w:rsid w:val="009911EC"/>
    <w:rsid w:val="00993029"/>
    <w:rsid w:val="009951C9"/>
    <w:rsid w:val="00996DED"/>
    <w:rsid w:val="00997E06"/>
    <w:rsid w:val="009A06E1"/>
    <w:rsid w:val="009A163D"/>
    <w:rsid w:val="009A2823"/>
    <w:rsid w:val="009A3F97"/>
    <w:rsid w:val="009A4505"/>
    <w:rsid w:val="009A4C2D"/>
    <w:rsid w:val="009A5944"/>
    <w:rsid w:val="009A75AE"/>
    <w:rsid w:val="009B0740"/>
    <w:rsid w:val="009B110D"/>
    <w:rsid w:val="009B15E4"/>
    <w:rsid w:val="009B1C1D"/>
    <w:rsid w:val="009B2D32"/>
    <w:rsid w:val="009B3E2A"/>
    <w:rsid w:val="009B57A7"/>
    <w:rsid w:val="009B5ACA"/>
    <w:rsid w:val="009B72D7"/>
    <w:rsid w:val="009C026C"/>
    <w:rsid w:val="009C0862"/>
    <w:rsid w:val="009C345C"/>
    <w:rsid w:val="009C4E09"/>
    <w:rsid w:val="009C689E"/>
    <w:rsid w:val="009D0170"/>
    <w:rsid w:val="009D0509"/>
    <w:rsid w:val="009D13C3"/>
    <w:rsid w:val="009D184A"/>
    <w:rsid w:val="009D197C"/>
    <w:rsid w:val="009D1E83"/>
    <w:rsid w:val="009D2661"/>
    <w:rsid w:val="009D4009"/>
    <w:rsid w:val="009D4C0D"/>
    <w:rsid w:val="009D4E9A"/>
    <w:rsid w:val="009D7196"/>
    <w:rsid w:val="009E3225"/>
    <w:rsid w:val="009E32F0"/>
    <w:rsid w:val="009E361B"/>
    <w:rsid w:val="009E3EB4"/>
    <w:rsid w:val="009E55DC"/>
    <w:rsid w:val="009E5ED9"/>
    <w:rsid w:val="009E5EFA"/>
    <w:rsid w:val="009E6319"/>
    <w:rsid w:val="009E659F"/>
    <w:rsid w:val="009E70E4"/>
    <w:rsid w:val="009F1E06"/>
    <w:rsid w:val="009F372B"/>
    <w:rsid w:val="009F3CC4"/>
    <w:rsid w:val="009F4F2A"/>
    <w:rsid w:val="009F614B"/>
    <w:rsid w:val="009F63B2"/>
    <w:rsid w:val="00A002FC"/>
    <w:rsid w:val="00A01623"/>
    <w:rsid w:val="00A04C61"/>
    <w:rsid w:val="00A06346"/>
    <w:rsid w:val="00A06460"/>
    <w:rsid w:val="00A06B6B"/>
    <w:rsid w:val="00A11306"/>
    <w:rsid w:val="00A113D7"/>
    <w:rsid w:val="00A11473"/>
    <w:rsid w:val="00A12DC7"/>
    <w:rsid w:val="00A12FE6"/>
    <w:rsid w:val="00A161E6"/>
    <w:rsid w:val="00A16314"/>
    <w:rsid w:val="00A17F53"/>
    <w:rsid w:val="00A2270C"/>
    <w:rsid w:val="00A26CF0"/>
    <w:rsid w:val="00A300D4"/>
    <w:rsid w:val="00A323DE"/>
    <w:rsid w:val="00A33C5D"/>
    <w:rsid w:val="00A37AD6"/>
    <w:rsid w:val="00A40054"/>
    <w:rsid w:val="00A40060"/>
    <w:rsid w:val="00A4507B"/>
    <w:rsid w:val="00A454F2"/>
    <w:rsid w:val="00A45C41"/>
    <w:rsid w:val="00A47298"/>
    <w:rsid w:val="00A50EC3"/>
    <w:rsid w:val="00A51109"/>
    <w:rsid w:val="00A515C3"/>
    <w:rsid w:val="00A51B84"/>
    <w:rsid w:val="00A527F8"/>
    <w:rsid w:val="00A52F5D"/>
    <w:rsid w:val="00A53253"/>
    <w:rsid w:val="00A53373"/>
    <w:rsid w:val="00A557C7"/>
    <w:rsid w:val="00A56291"/>
    <w:rsid w:val="00A60F51"/>
    <w:rsid w:val="00A61A47"/>
    <w:rsid w:val="00A626FE"/>
    <w:rsid w:val="00A63297"/>
    <w:rsid w:val="00A63A9D"/>
    <w:rsid w:val="00A66292"/>
    <w:rsid w:val="00A672D1"/>
    <w:rsid w:val="00A705D8"/>
    <w:rsid w:val="00A70F1C"/>
    <w:rsid w:val="00A735E4"/>
    <w:rsid w:val="00A73617"/>
    <w:rsid w:val="00A7719C"/>
    <w:rsid w:val="00A81399"/>
    <w:rsid w:val="00A813EB"/>
    <w:rsid w:val="00A81669"/>
    <w:rsid w:val="00A81B18"/>
    <w:rsid w:val="00A827E1"/>
    <w:rsid w:val="00A83F2C"/>
    <w:rsid w:val="00A85D01"/>
    <w:rsid w:val="00A85ED7"/>
    <w:rsid w:val="00A90A10"/>
    <w:rsid w:val="00A90D67"/>
    <w:rsid w:val="00A918C6"/>
    <w:rsid w:val="00A9442E"/>
    <w:rsid w:val="00AA01BF"/>
    <w:rsid w:val="00AA1670"/>
    <w:rsid w:val="00AA1865"/>
    <w:rsid w:val="00AA2347"/>
    <w:rsid w:val="00AA2722"/>
    <w:rsid w:val="00AA479E"/>
    <w:rsid w:val="00AA6B06"/>
    <w:rsid w:val="00AA6BC5"/>
    <w:rsid w:val="00AB004A"/>
    <w:rsid w:val="00AB1865"/>
    <w:rsid w:val="00AB46DC"/>
    <w:rsid w:val="00AB5285"/>
    <w:rsid w:val="00AB545E"/>
    <w:rsid w:val="00AB6CB5"/>
    <w:rsid w:val="00AC18EA"/>
    <w:rsid w:val="00AC3B93"/>
    <w:rsid w:val="00AC4D95"/>
    <w:rsid w:val="00AC7151"/>
    <w:rsid w:val="00AD02F1"/>
    <w:rsid w:val="00AD1246"/>
    <w:rsid w:val="00AD3DB8"/>
    <w:rsid w:val="00AD40B2"/>
    <w:rsid w:val="00AD4A5E"/>
    <w:rsid w:val="00AD6274"/>
    <w:rsid w:val="00AE06B2"/>
    <w:rsid w:val="00AE168D"/>
    <w:rsid w:val="00AE3C35"/>
    <w:rsid w:val="00AF193C"/>
    <w:rsid w:val="00AF27E6"/>
    <w:rsid w:val="00AF2CEC"/>
    <w:rsid w:val="00AF4547"/>
    <w:rsid w:val="00AF4D88"/>
    <w:rsid w:val="00AF5960"/>
    <w:rsid w:val="00AF7B99"/>
    <w:rsid w:val="00AF7F49"/>
    <w:rsid w:val="00B00F47"/>
    <w:rsid w:val="00B01671"/>
    <w:rsid w:val="00B02C80"/>
    <w:rsid w:val="00B02D6F"/>
    <w:rsid w:val="00B0434E"/>
    <w:rsid w:val="00B05448"/>
    <w:rsid w:val="00B05A02"/>
    <w:rsid w:val="00B072C8"/>
    <w:rsid w:val="00B073B0"/>
    <w:rsid w:val="00B11083"/>
    <w:rsid w:val="00B11B06"/>
    <w:rsid w:val="00B11E21"/>
    <w:rsid w:val="00B1204C"/>
    <w:rsid w:val="00B13216"/>
    <w:rsid w:val="00B14255"/>
    <w:rsid w:val="00B144B5"/>
    <w:rsid w:val="00B163E4"/>
    <w:rsid w:val="00B174EE"/>
    <w:rsid w:val="00B2187D"/>
    <w:rsid w:val="00B21AE0"/>
    <w:rsid w:val="00B21DA0"/>
    <w:rsid w:val="00B21EE3"/>
    <w:rsid w:val="00B230E8"/>
    <w:rsid w:val="00B2380D"/>
    <w:rsid w:val="00B26633"/>
    <w:rsid w:val="00B27D47"/>
    <w:rsid w:val="00B303A0"/>
    <w:rsid w:val="00B35D21"/>
    <w:rsid w:val="00B4196F"/>
    <w:rsid w:val="00B41C24"/>
    <w:rsid w:val="00B434B1"/>
    <w:rsid w:val="00B448B3"/>
    <w:rsid w:val="00B466FD"/>
    <w:rsid w:val="00B46851"/>
    <w:rsid w:val="00B477E6"/>
    <w:rsid w:val="00B47C6A"/>
    <w:rsid w:val="00B53DC6"/>
    <w:rsid w:val="00B53F27"/>
    <w:rsid w:val="00B55C4E"/>
    <w:rsid w:val="00B60E45"/>
    <w:rsid w:val="00B615FE"/>
    <w:rsid w:val="00B62A71"/>
    <w:rsid w:val="00B62AEC"/>
    <w:rsid w:val="00B63AE8"/>
    <w:rsid w:val="00B64CF6"/>
    <w:rsid w:val="00B65D8C"/>
    <w:rsid w:val="00B666AB"/>
    <w:rsid w:val="00B67129"/>
    <w:rsid w:val="00B67D0C"/>
    <w:rsid w:val="00B70D84"/>
    <w:rsid w:val="00B72046"/>
    <w:rsid w:val="00B72689"/>
    <w:rsid w:val="00B73C42"/>
    <w:rsid w:val="00B75440"/>
    <w:rsid w:val="00B765B3"/>
    <w:rsid w:val="00B772F9"/>
    <w:rsid w:val="00B82D16"/>
    <w:rsid w:val="00B83CD1"/>
    <w:rsid w:val="00B85232"/>
    <w:rsid w:val="00B858B2"/>
    <w:rsid w:val="00B85AFF"/>
    <w:rsid w:val="00B902B5"/>
    <w:rsid w:val="00B92D0C"/>
    <w:rsid w:val="00B92FA3"/>
    <w:rsid w:val="00B931CF"/>
    <w:rsid w:val="00B938B1"/>
    <w:rsid w:val="00B9465B"/>
    <w:rsid w:val="00B94BD1"/>
    <w:rsid w:val="00B95F9B"/>
    <w:rsid w:val="00B96870"/>
    <w:rsid w:val="00B96F11"/>
    <w:rsid w:val="00BA0076"/>
    <w:rsid w:val="00BA3646"/>
    <w:rsid w:val="00BA42AA"/>
    <w:rsid w:val="00BA6362"/>
    <w:rsid w:val="00BA6D4E"/>
    <w:rsid w:val="00BB21DD"/>
    <w:rsid w:val="00BB26A8"/>
    <w:rsid w:val="00BB363D"/>
    <w:rsid w:val="00BB5CCD"/>
    <w:rsid w:val="00BB6148"/>
    <w:rsid w:val="00BB7228"/>
    <w:rsid w:val="00BB72F6"/>
    <w:rsid w:val="00BB7E9B"/>
    <w:rsid w:val="00BC227E"/>
    <w:rsid w:val="00BC7398"/>
    <w:rsid w:val="00BD1B63"/>
    <w:rsid w:val="00BD27B7"/>
    <w:rsid w:val="00BD3346"/>
    <w:rsid w:val="00BD341B"/>
    <w:rsid w:val="00BD5663"/>
    <w:rsid w:val="00BD6AD6"/>
    <w:rsid w:val="00BD7313"/>
    <w:rsid w:val="00BD7B9C"/>
    <w:rsid w:val="00BD7DB8"/>
    <w:rsid w:val="00BE09AB"/>
    <w:rsid w:val="00BE2115"/>
    <w:rsid w:val="00BE269B"/>
    <w:rsid w:val="00BE3432"/>
    <w:rsid w:val="00BE3647"/>
    <w:rsid w:val="00BE365D"/>
    <w:rsid w:val="00BE4867"/>
    <w:rsid w:val="00BE6E33"/>
    <w:rsid w:val="00BE7062"/>
    <w:rsid w:val="00BE790F"/>
    <w:rsid w:val="00BF0DC3"/>
    <w:rsid w:val="00BF1B76"/>
    <w:rsid w:val="00BF2512"/>
    <w:rsid w:val="00BF7453"/>
    <w:rsid w:val="00C007DE"/>
    <w:rsid w:val="00C00B6B"/>
    <w:rsid w:val="00C00CB7"/>
    <w:rsid w:val="00C0245E"/>
    <w:rsid w:val="00C031FE"/>
    <w:rsid w:val="00C047FE"/>
    <w:rsid w:val="00C0495F"/>
    <w:rsid w:val="00C058E7"/>
    <w:rsid w:val="00C05C1F"/>
    <w:rsid w:val="00C0713F"/>
    <w:rsid w:val="00C11B6A"/>
    <w:rsid w:val="00C1318A"/>
    <w:rsid w:val="00C13A0D"/>
    <w:rsid w:val="00C1629C"/>
    <w:rsid w:val="00C20090"/>
    <w:rsid w:val="00C2074F"/>
    <w:rsid w:val="00C20945"/>
    <w:rsid w:val="00C21007"/>
    <w:rsid w:val="00C21157"/>
    <w:rsid w:val="00C214C4"/>
    <w:rsid w:val="00C24A76"/>
    <w:rsid w:val="00C24BA0"/>
    <w:rsid w:val="00C25B88"/>
    <w:rsid w:val="00C26ED6"/>
    <w:rsid w:val="00C2755B"/>
    <w:rsid w:val="00C27675"/>
    <w:rsid w:val="00C27DA0"/>
    <w:rsid w:val="00C319C3"/>
    <w:rsid w:val="00C31B7F"/>
    <w:rsid w:val="00C33570"/>
    <w:rsid w:val="00C344BC"/>
    <w:rsid w:val="00C35FDE"/>
    <w:rsid w:val="00C37919"/>
    <w:rsid w:val="00C44CDE"/>
    <w:rsid w:val="00C455C1"/>
    <w:rsid w:val="00C459C3"/>
    <w:rsid w:val="00C45DBC"/>
    <w:rsid w:val="00C46323"/>
    <w:rsid w:val="00C51850"/>
    <w:rsid w:val="00C526B9"/>
    <w:rsid w:val="00C5296F"/>
    <w:rsid w:val="00C53784"/>
    <w:rsid w:val="00C54870"/>
    <w:rsid w:val="00C5755B"/>
    <w:rsid w:val="00C57681"/>
    <w:rsid w:val="00C60049"/>
    <w:rsid w:val="00C61042"/>
    <w:rsid w:val="00C615D0"/>
    <w:rsid w:val="00C61991"/>
    <w:rsid w:val="00C62E81"/>
    <w:rsid w:val="00C65782"/>
    <w:rsid w:val="00C65852"/>
    <w:rsid w:val="00C65BEE"/>
    <w:rsid w:val="00C6746C"/>
    <w:rsid w:val="00C7219C"/>
    <w:rsid w:val="00C7255D"/>
    <w:rsid w:val="00C729F6"/>
    <w:rsid w:val="00C730C2"/>
    <w:rsid w:val="00C731B6"/>
    <w:rsid w:val="00C731D5"/>
    <w:rsid w:val="00C737B3"/>
    <w:rsid w:val="00C73E9C"/>
    <w:rsid w:val="00C74F71"/>
    <w:rsid w:val="00C766F4"/>
    <w:rsid w:val="00C76DDB"/>
    <w:rsid w:val="00C77229"/>
    <w:rsid w:val="00C811B3"/>
    <w:rsid w:val="00C81B7F"/>
    <w:rsid w:val="00C81BD9"/>
    <w:rsid w:val="00C81DDF"/>
    <w:rsid w:val="00C83309"/>
    <w:rsid w:val="00C834E7"/>
    <w:rsid w:val="00C8406D"/>
    <w:rsid w:val="00C842A5"/>
    <w:rsid w:val="00C86D82"/>
    <w:rsid w:val="00C904CA"/>
    <w:rsid w:val="00C9113B"/>
    <w:rsid w:val="00C93E93"/>
    <w:rsid w:val="00C942E6"/>
    <w:rsid w:val="00C948A0"/>
    <w:rsid w:val="00C94C8E"/>
    <w:rsid w:val="00C954F1"/>
    <w:rsid w:val="00C95D4C"/>
    <w:rsid w:val="00C96500"/>
    <w:rsid w:val="00C9688A"/>
    <w:rsid w:val="00CA0455"/>
    <w:rsid w:val="00CA070A"/>
    <w:rsid w:val="00CA2CE6"/>
    <w:rsid w:val="00CA308A"/>
    <w:rsid w:val="00CA399F"/>
    <w:rsid w:val="00CA4512"/>
    <w:rsid w:val="00CA75DC"/>
    <w:rsid w:val="00CB5BF9"/>
    <w:rsid w:val="00CB6729"/>
    <w:rsid w:val="00CB7D2E"/>
    <w:rsid w:val="00CC1A11"/>
    <w:rsid w:val="00CC4E51"/>
    <w:rsid w:val="00CC5409"/>
    <w:rsid w:val="00CC638B"/>
    <w:rsid w:val="00CC6B6D"/>
    <w:rsid w:val="00CD0471"/>
    <w:rsid w:val="00CD05CB"/>
    <w:rsid w:val="00CD1299"/>
    <w:rsid w:val="00CD1526"/>
    <w:rsid w:val="00CD1E5E"/>
    <w:rsid w:val="00CD3090"/>
    <w:rsid w:val="00CD477B"/>
    <w:rsid w:val="00CD51DF"/>
    <w:rsid w:val="00CD5CEB"/>
    <w:rsid w:val="00CD63AD"/>
    <w:rsid w:val="00CD7F22"/>
    <w:rsid w:val="00CE1164"/>
    <w:rsid w:val="00CE14D5"/>
    <w:rsid w:val="00CE18DB"/>
    <w:rsid w:val="00CE1D85"/>
    <w:rsid w:val="00CE2F4A"/>
    <w:rsid w:val="00CE3C3C"/>
    <w:rsid w:val="00CE475E"/>
    <w:rsid w:val="00CE555E"/>
    <w:rsid w:val="00CF0505"/>
    <w:rsid w:val="00CF05B5"/>
    <w:rsid w:val="00CF474E"/>
    <w:rsid w:val="00CF4D07"/>
    <w:rsid w:val="00CF500D"/>
    <w:rsid w:val="00CF677F"/>
    <w:rsid w:val="00D002B2"/>
    <w:rsid w:val="00D009F0"/>
    <w:rsid w:val="00D01C64"/>
    <w:rsid w:val="00D03D13"/>
    <w:rsid w:val="00D04D5E"/>
    <w:rsid w:val="00D05205"/>
    <w:rsid w:val="00D071F5"/>
    <w:rsid w:val="00D110B2"/>
    <w:rsid w:val="00D112D7"/>
    <w:rsid w:val="00D11CBC"/>
    <w:rsid w:val="00D11E1E"/>
    <w:rsid w:val="00D13675"/>
    <w:rsid w:val="00D1554E"/>
    <w:rsid w:val="00D15A22"/>
    <w:rsid w:val="00D20D85"/>
    <w:rsid w:val="00D2167D"/>
    <w:rsid w:val="00D2299C"/>
    <w:rsid w:val="00D233A5"/>
    <w:rsid w:val="00D23F95"/>
    <w:rsid w:val="00D241EC"/>
    <w:rsid w:val="00D248C7"/>
    <w:rsid w:val="00D268F6"/>
    <w:rsid w:val="00D2790E"/>
    <w:rsid w:val="00D32287"/>
    <w:rsid w:val="00D32901"/>
    <w:rsid w:val="00D33F70"/>
    <w:rsid w:val="00D33F8B"/>
    <w:rsid w:val="00D353FC"/>
    <w:rsid w:val="00D421DA"/>
    <w:rsid w:val="00D4603D"/>
    <w:rsid w:val="00D47B6E"/>
    <w:rsid w:val="00D47CA2"/>
    <w:rsid w:val="00D53808"/>
    <w:rsid w:val="00D53C7B"/>
    <w:rsid w:val="00D541F4"/>
    <w:rsid w:val="00D55E09"/>
    <w:rsid w:val="00D60D69"/>
    <w:rsid w:val="00D61DB0"/>
    <w:rsid w:val="00D6262F"/>
    <w:rsid w:val="00D6348A"/>
    <w:rsid w:val="00D63887"/>
    <w:rsid w:val="00D6433B"/>
    <w:rsid w:val="00D64A4B"/>
    <w:rsid w:val="00D65094"/>
    <w:rsid w:val="00D6528A"/>
    <w:rsid w:val="00D676B6"/>
    <w:rsid w:val="00D70CB2"/>
    <w:rsid w:val="00D71CF7"/>
    <w:rsid w:val="00D73966"/>
    <w:rsid w:val="00D75513"/>
    <w:rsid w:val="00D77C4F"/>
    <w:rsid w:val="00D80657"/>
    <w:rsid w:val="00D8071F"/>
    <w:rsid w:val="00D81B49"/>
    <w:rsid w:val="00D81CA4"/>
    <w:rsid w:val="00D8269C"/>
    <w:rsid w:val="00D85407"/>
    <w:rsid w:val="00D86AEE"/>
    <w:rsid w:val="00D86F4D"/>
    <w:rsid w:val="00D87AFC"/>
    <w:rsid w:val="00D92D0B"/>
    <w:rsid w:val="00D932C8"/>
    <w:rsid w:val="00D96C43"/>
    <w:rsid w:val="00DA044A"/>
    <w:rsid w:val="00DA2944"/>
    <w:rsid w:val="00DA29F3"/>
    <w:rsid w:val="00DA4417"/>
    <w:rsid w:val="00DA56E0"/>
    <w:rsid w:val="00DA6182"/>
    <w:rsid w:val="00DA63EB"/>
    <w:rsid w:val="00DA69F6"/>
    <w:rsid w:val="00DA750E"/>
    <w:rsid w:val="00DB02BC"/>
    <w:rsid w:val="00DB03C3"/>
    <w:rsid w:val="00DB26B5"/>
    <w:rsid w:val="00DB29ED"/>
    <w:rsid w:val="00DB42E8"/>
    <w:rsid w:val="00DB530C"/>
    <w:rsid w:val="00DB5693"/>
    <w:rsid w:val="00DB634A"/>
    <w:rsid w:val="00DC0C65"/>
    <w:rsid w:val="00DC16A5"/>
    <w:rsid w:val="00DC27E4"/>
    <w:rsid w:val="00DC2F48"/>
    <w:rsid w:val="00DC2FB2"/>
    <w:rsid w:val="00DC37CD"/>
    <w:rsid w:val="00DC48D2"/>
    <w:rsid w:val="00DC6335"/>
    <w:rsid w:val="00DC6B12"/>
    <w:rsid w:val="00DC6B61"/>
    <w:rsid w:val="00DC6F14"/>
    <w:rsid w:val="00DC74DB"/>
    <w:rsid w:val="00DC755D"/>
    <w:rsid w:val="00DD2617"/>
    <w:rsid w:val="00DD27F2"/>
    <w:rsid w:val="00DD31F9"/>
    <w:rsid w:val="00DD52CB"/>
    <w:rsid w:val="00DD59BE"/>
    <w:rsid w:val="00DD613C"/>
    <w:rsid w:val="00DD67BC"/>
    <w:rsid w:val="00DE1A92"/>
    <w:rsid w:val="00DE1F64"/>
    <w:rsid w:val="00DF1BBF"/>
    <w:rsid w:val="00DF202A"/>
    <w:rsid w:val="00DF3D1A"/>
    <w:rsid w:val="00DF6A86"/>
    <w:rsid w:val="00DF6D51"/>
    <w:rsid w:val="00DF7843"/>
    <w:rsid w:val="00DF7851"/>
    <w:rsid w:val="00E01996"/>
    <w:rsid w:val="00E03189"/>
    <w:rsid w:val="00E043D5"/>
    <w:rsid w:val="00E06770"/>
    <w:rsid w:val="00E10163"/>
    <w:rsid w:val="00E11AA3"/>
    <w:rsid w:val="00E11E3C"/>
    <w:rsid w:val="00E13DE0"/>
    <w:rsid w:val="00E14246"/>
    <w:rsid w:val="00E15E8C"/>
    <w:rsid w:val="00E16711"/>
    <w:rsid w:val="00E207FF"/>
    <w:rsid w:val="00E214CA"/>
    <w:rsid w:val="00E21984"/>
    <w:rsid w:val="00E24CED"/>
    <w:rsid w:val="00E2537F"/>
    <w:rsid w:val="00E25B2D"/>
    <w:rsid w:val="00E26450"/>
    <w:rsid w:val="00E27E81"/>
    <w:rsid w:val="00E313F9"/>
    <w:rsid w:val="00E31F92"/>
    <w:rsid w:val="00E32555"/>
    <w:rsid w:val="00E33002"/>
    <w:rsid w:val="00E334E6"/>
    <w:rsid w:val="00E3384F"/>
    <w:rsid w:val="00E3415A"/>
    <w:rsid w:val="00E35A3D"/>
    <w:rsid w:val="00E36900"/>
    <w:rsid w:val="00E37C4B"/>
    <w:rsid w:val="00E37C4E"/>
    <w:rsid w:val="00E41D0C"/>
    <w:rsid w:val="00E4425F"/>
    <w:rsid w:val="00E444B0"/>
    <w:rsid w:val="00E4451D"/>
    <w:rsid w:val="00E45D0B"/>
    <w:rsid w:val="00E46CA1"/>
    <w:rsid w:val="00E50652"/>
    <w:rsid w:val="00E50CE7"/>
    <w:rsid w:val="00E514EE"/>
    <w:rsid w:val="00E53D9B"/>
    <w:rsid w:val="00E53E99"/>
    <w:rsid w:val="00E56406"/>
    <w:rsid w:val="00E57CE3"/>
    <w:rsid w:val="00E631D3"/>
    <w:rsid w:val="00E65EE5"/>
    <w:rsid w:val="00E67DAB"/>
    <w:rsid w:val="00E70DC7"/>
    <w:rsid w:val="00E7196E"/>
    <w:rsid w:val="00E71A72"/>
    <w:rsid w:val="00E728B4"/>
    <w:rsid w:val="00E73FCB"/>
    <w:rsid w:val="00E74102"/>
    <w:rsid w:val="00E75067"/>
    <w:rsid w:val="00E80989"/>
    <w:rsid w:val="00E82324"/>
    <w:rsid w:val="00E8243D"/>
    <w:rsid w:val="00E82C26"/>
    <w:rsid w:val="00E84D0D"/>
    <w:rsid w:val="00E87E24"/>
    <w:rsid w:val="00E904E0"/>
    <w:rsid w:val="00E91550"/>
    <w:rsid w:val="00E91AAE"/>
    <w:rsid w:val="00E94704"/>
    <w:rsid w:val="00E96551"/>
    <w:rsid w:val="00E96C92"/>
    <w:rsid w:val="00E97C09"/>
    <w:rsid w:val="00EA19D9"/>
    <w:rsid w:val="00EA2FF5"/>
    <w:rsid w:val="00EA5EED"/>
    <w:rsid w:val="00EA6660"/>
    <w:rsid w:val="00EA720A"/>
    <w:rsid w:val="00EA7667"/>
    <w:rsid w:val="00EA7957"/>
    <w:rsid w:val="00EA7AAD"/>
    <w:rsid w:val="00EB0A24"/>
    <w:rsid w:val="00EB0E82"/>
    <w:rsid w:val="00EB396F"/>
    <w:rsid w:val="00EB7670"/>
    <w:rsid w:val="00EC070A"/>
    <w:rsid w:val="00EC191B"/>
    <w:rsid w:val="00EC24D8"/>
    <w:rsid w:val="00EC2BD7"/>
    <w:rsid w:val="00EC308C"/>
    <w:rsid w:val="00EC3452"/>
    <w:rsid w:val="00EC5CE3"/>
    <w:rsid w:val="00EC748A"/>
    <w:rsid w:val="00EC7516"/>
    <w:rsid w:val="00ED078E"/>
    <w:rsid w:val="00ED080A"/>
    <w:rsid w:val="00ED3491"/>
    <w:rsid w:val="00ED56C0"/>
    <w:rsid w:val="00ED6BEA"/>
    <w:rsid w:val="00ED7675"/>
    <w:rsid w:val="00EE328F"/>
    <w:rsid w:val="00EE4632"/>
    <w:rsid w:val="00EE560D"/>
    <w:rsid w:val="00EF19CF"/>
    <w:rsid w:val="00EF34E2"/>
    <w:rsid w:val="00EF7DF8"/>
    <w:rsid w:val="00EF7FDC"/>
    <w:rsid w:val="00F0000C"/>
    <w:rsid w:val="00F01D7F"/>
    <w:rsid w:val="00F100CB"/>
    <w:rsid w:val="00F12F7A"/>
    <w:rsid w:val="00F14A52"/>
    <w:rsid w:val="00F14BD1"/>
    <w:rsid w:val="00F15015"/>
    <w:rsid w:val="00F15FB4"/>
    <w:rsid w:val="00F17143"/>
    <w:rsid w:val="00F2015A"/>
    <w:rsid w:val="00F207B1"/>
    <w:rsid w:val="00F20881"/>
    <w:rsid w:val="00F2408F"/>
    <w:rsid w:val="00F26818"/>
    <w:rsid w:val="00F276C7"/>
    <w:rsid w:val="00F33AD7"/>
    <w:rsid w:val="00F35534"/>
    <w:rsid w:val="00F360FF"/>
    <w:rsid w:val="00F377D7"/>
    <w:rsid w:val="00F4005B"/>
    <w:rsid w:val="00F42876"/>
    <w:rsid w:val="00F453D9"/>
    <w:rsid w:val="00F45DA0"/>
    <w:rsid w:val="00F46A07"/>
    <w:rsid w:val="00F539B8"/>
    <w:rsid w:val="00F55596"/>
    <w:rsid w:val="00F55BA4"/>
    <w:rsid w:val="00F56F56"/>
    <w:rsid w:val="00F57AE8"/>
    <w:rsid w:val="00F60993"/>
    <w:rsid w:val="00F6456D"/>
    <w:rsid w:val="00F66BF2"/>
    <w:rsid w:val="00F670A6"/>
    <w:rsid w:val="00F67C3E"/>
    <w:rsid w:val="00F74558"/>
    <w:rsid w:val="00F747F5"/>
    <w:rsid w:val="00F75C1A"/>
    <w:rsid w:val="00F76A65"/>
    <w:rsid w:val="00F81C02"/>
    <w:rsid w:val="00F832C1"/>
    <w:rsid w:val="00F83D28"/>
    <w:rsid w:val="00F86704"/>
    <w:rsid w:val="00F902B4"/>
    <w:rsid w:val="00F9061A"/>
    <w:rsid w:val="00F92817"/>
    <w:rsid w:val="00F92D6E"/>
    <w:rsid w:val="00F942E0"/>
    <w:rsid w:val="00F946F4"/>
    <w:rsid w:val="00F94D77"/>
    <w:rsid w:val="00F95D2C"/>
    <w:rsid w:val="00F96497"/>
    <w:rsid w:val="00F976CB"/>
    <w:rsid w:val="00FA0114"/>
    <w:rsid w:val="00FA096F"/>
    <w:rsid w:val="00FA2AFA"/>
    <w:rsid w:val="00FA2BDE"/>
    <w:rsid w:val="00FA542A"/>
    <w:rsid w:val="00FA56B4"/>
    <w:rsid w:val="00FA5F65"/>
    <w:rsid w:val="00FA65AB"/>
    <w:rsid w:val="00FB23C3"/>
    <w:rsid w:val="00FB2957"/>
    <w:rsid w:val="00FB560A"/>
    <w:rsid w:val="00FB601B"/>
    <w:rsid w:val="00FB777B"/>
    <w:rsid w:val="00FB7880"/>
    <w:rsid w:val="00FC093B"/>
    <w:rsid w:val="00FC0A51"/>
    <w:rsid w:val="00FC2C58"/>
    <w:rsid w:val="00FC35C6"/>
    <w:rsid w:val="00FC482F"/>
    <w:rsid w:val="00FC520C"/>
    <w:rsid w:val="00FC6043"/>
    <w:rsid w:val="00FC7777"/>
    <w:rsid w:val="00FD044C"/>
    <w:rsid w:val="00FD0755"/>
    <w:rsid w:val="00FD0D7A"/>
    <w:rsid w:val="00FD1782"/>
    <w:rsid w:val="00FD6161"/>
    <w:rsid w:val="00FD65FC"/>
    <w:rsid w:val="00FD7192"/>
    <w:rsid w:val="00FE0156"/>
    <w:rsid w:val="00FE1D27"/>
    <w:rsid w:val="00FE64EA"/>
    <w:rsid w:val="00FE6A61"/>
    <w:rsid w:val="00FE6F74"/>
    <w:rsid w:val="00FF3BE4"/>
    <w:rsid w:val="00FF6B60"/>
    <w:rsid w:val="00FF7963"/>
    <w:rsid w:val="00FF7B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50602"/>
  <w15:docId w15:val="{F8A6AD85-87C1-4254-9802-2307F34F7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862"/>
  </w:style>
  <w:style w:type="paragraph" w:styleId="Heading1">
    <w:name w:val="heading 1"/>
    <w:basedOn w:val="Normal"/>
    <w:next w:val="Normal"/>
    <w:link w:val="Heading1Char"/>
    <w:uiPriority w:val="9"/>
    <w:qFormat/>
    <w:rsid w:val="009C086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9C086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C0862"/>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86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9C086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C0862"/>
    <w:rPr>
      <w:rFonts w:asciiTheme="majorHAnsi" w:eastAsiaTheme="majorEastAsia" w:hAnsiTheme="majorHAnsi" w:cstheme="majorBidi"/>
      <w:color w:val="1F4D78" w:themeColor="accent1" w:themeShade="7F"/>
      <w:szCs w:val="24"/>
    </w:rPr>
  </w:style>
  <w:style w:type="character" w:styleId="Hyperlink">
    <w:name w:val="Hyperlink"/>
    <w:basedOn w:val="DefaultParagraphFont"/>
    <w:uiPriority w:val="99"/>
    <w:unhideWhenUsed/>
    <w:rsid w:val="009C0862"/>
    <w:rPr>
      <w:color w:val="0563C1" w:themeColor="hyperlink"/>
      <w:u w:val="single"/>
    </w:rPr>
  </w:style>
  <w:style w:type="paragraph" w:styleId="Title">
    <w:name w:val="Title"/>
    <w:basedOn w:val="Normal"/>
    <w:link w:val="TitleChar"/>
    <w:uiPriority w:val="10"/>
    <w:qFormat/>
    <w:rsid w:val="009C0862"/>
    <w:pPr>
      <w:spacing w:before="120" w:after="120" w:line="276" w:lineRule="auto"/>
      <w:jc w:val="center"/>
    </w:pPr>
    <w:rPr>
      <w:rFonts w:eastAsia="Times New Roman" w:cs="Times New Roman"/>
      <w:b/>
      <w:sz w:val="28"/>
      <w:szCs w:val="28"/>
    </w:rPr>
  </w:style>
  <w:style w:type="character" w:customStyle="1" w:styleId="TitleChar">
    <w:name w:val="Title Char"/>
    <w:basedOn w:val="DefaultParagraphFont"/>
    <w:link w:val="Title"/>
    <w:uiPriority w:val="10"/>
    <w:rsid w:val="009C0862"/>
    <w:rPr>
      <w:rFonts w:eastAsia="Times New Roman" w:cs="Times New Roman"/>
      <w:b/>
      <w:sz w:val="28"/>
      <w:szCs w:val="28"/>
    </w:rPr>
  </w:style>
  <w:style w:type="paragraph" w:styleId="BodyText">
    <w:name w:val="Body Text"/>
    <w:basedOn w:val="Normal"/>
    <w:link w:val="BodyTextChar"/>
    <w:rsid w:val="009C0862"/>
    <w:pPr>
      <w:spacing w:before="120" w:after="120" w:line="276" w:lineRule="auto"/>
    </w:pPr>
    <w:rPr>
      <w:rFonts w:eastAsia="Times New Roman" w:cs="Times New Roman"/>
      <w:b/>
      <w:bCs/>
      <w:szCs w:val="24"/>
      <w:lang w:val="en-GB"/>
    </w:rPr>
  </w:style>
  <w:style w:type="character" w:customStyle="1" w:styleId="BodyTextChar">
    <w:name w:val="Body Text Char"/>
    <w:basedOn w:val="DefaultParagraphFont"/>
    <w:link w:val="BodyText"/>
    <w:rsid w:val="009C0862"/>
    <w:rPr>
      <w:rFonts w:eastAsia="Times New Roman" w:cs="Times New Roman"/>
      <w:b/>
      <w:bCs/>
      <w:szCs w:val="24"/>
      <w:lang w:val="en-GB"/>
    </w:rPr>
  </w:style>
  <w:style w:type="paragraph" w:styleId="TOC1">
    <w:name w:val="toc 1"/>
    <w:basedOn w:val="Normal"/>
    <w:next w:val="Normal"/>
    <w:autoRedefine/>
    <w:uiPriority w:val="39"/>
    <w:unhideWhenUsed/>
    <w:qFormat/>
    <w:rsid w:val="009C0862"/>
    <w:pPr>
      <w:tabs>
        <w:tab w:val="left" w:pos="426"/>
        <w:tab w:val="right" w:leader="dot" w:pos="8902"/>
      </w:tabs>
      <w:spacing w:before="120" w:after="120"/>
      <w:ind w:right="-2"/>
    </w:pPr>
    <w:rPr>
      <w:rFonts w:eastAsia="Times New Roman" w:cs="Times New Roman"/>
      <w:b/>
      <w:bCs/>
      <w:noProof/>
      <w:szCs w:val="24"/>
    </w:rPr>
  </w:style>
  <w:style w:type="paragraph" w:styleId="TOC2">
    <w:name w:val="toc 2"/>
    <w:basedOn w:val="Normal"/>
    <w:next w:val="Normal"/>
    <w:autoRedefine/>
    <w:uiPriority w:val="39"/>
    <w:unhideWhenUsed/>
    <w:qFormat/>
    <w:rsid w:val="009C0862"/>
    <w:pPr>
      <w:tabs>
        <w:tab w:val="left" w:pos="720"/>
        <w:tab w:val="right" w:leader="dot" w:pos="8902"/>
      </w:tabs>
      <w:spacing w:before="240" w:after="120"/>
      <w:ind w:right="-2"/>
      <w:jc w:val="both"/>
    </w:pPr>
    <w:rPr>
      <w:rFonts w:eastAsia="Times New Roman" w:cs="Times New Roman"/>
      <w:bCs/>
      <w:noProof/>
      <w:szCs w:val="24"/>
    </w:rPr>
  </w:style>
  <w:style w:type="paragraph" w:styleId="ListParagraph">
    <w:name w:val="List Paragraph"/>
    <w:aliases w:val="2,Strip"/>
    <w:basedOn w:val="Normal"/>
    <w:link w:val="ListParagraphChar"/>
    <w:uiPriority w:val="34"/>
    <w:qFormat/>
    <w:rsid w:val="009C0862"/>
    <w:pPr>
      <w:ind w:left="720"/>
      <w:contextualSpacing/>
    </w:pPr>
  </w:style>
  <w:style w:type="paragraph" w:styleId="NoSpacing">
    <w:name w:val="No Spacing"/>
    <w:uiPriority w:val="1"/>
    <w:qFormat/>
    <w:rsid w:val="009C0862"/>
  </w:style>
  <w:style w:type="paragraph" w:styleId="Subtitle">
    <w:name w:val="Subtitle"/>
    <w:basedOn w:val="Normal"/>
    <w:next w:val="Normal"/>
    <w:link w:val="SubtitleChar"/>
    <w:uiPriority w:val="11"/>
    <w:qFormat/>
    <w:rsid w:val="009C0862"/>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9C0862"/>
    <w:rPr>
      <w:rFonts w:asciiTheme="minorHAnsi" w:eastAsiaTheme="minorEastAsia" w:hAnsiTheme="minorHAnsi"/>
      <w:color w:val="5A5A5A" w:themeColor="text1" w:themeTint="A5"/>
      <w:spacing w:val="15"/>
      <w:sz w:val="22"/>
    </w:rPr>
  </w:style>
  <w:style w:type="character" w:styleId="SubtleEmphasis">
    <w:name w:val="Subtle Emphasis"/>
    <w:basedOn w:val="DefaultParagraphFont"/>
    <w:uiPriority w:val="19"/>
    <w:qFormat/>
    <w:rsid w:val="009C0862"/>
    <w:rPr>
      <w:i/>
      <w:iCs/>
      <w:color w:val="404040" w:themeColor="text1" w:themeTint="BF"/>
    </w:rPr>
  </w:style>
  <w:style w:type="character" w:styleId="Emphasis">
    <w:name w:val="Emphasis"/>
    <w:basedOn w:val="DefaultParagraphFont"/>
    <w:uiPriority w:val="20"/>
    <w:qFormat/>
    <w:rsid w:val="009C0862"/>
    <w:rPr>
      <w:i/>
      <w:iCs/>
    </w:rPr>
  </w:style>
  <w:style w:type="character" w:styleId="IntenseEmphasis">
    <w:name w:val="Intense Emphasis"/>
    <w:basedOn w:val="DefaultParagraphFont"/>
    <w:uiPriority w:val="21"/>
    <w:qFormat/>
    <w:rsid w:val="009C0862"/>
    <w:rPr>
      <w:i/>
      <w:iCs/>
      <w:color w:val="5B9BD5" w:themeColor="accent1"/>
    </w:rPr>
  </w:style>
  <w:style w:type="character" w:styleId="Strong">
    <w:name w:val="Strong"/>
    <w:basedOn w:val="DefaultParagraphFont"/>
    <w:uiPriority w:val="22"/>
    <w:qFormat/>
    <w:rsid w:val="009C0862"/>
    <w:rPr>
      <w:b/>
      <w:bCs/>
    </w:rPr>
  </w:style>
  <w:style w:type="paragraph" w:customStyle="1" w:styleId="1lmenis">
    <w:name w:val="1.līmenis"/>
    <w:basedOn w:val="Heading1"/>
    <w:link w:val="1lmenisChar"/>
    <w:autoRedefine/>
    <w:uiPriority w:val="99"/>
    <w:qFormat/>
    <w:rsid w:val="004D147C"/>
    <w:pPr>
      <w:numPr>
        <w:numId w:val="10"/>
      </w:numPr>
      <w:tabs>
        <w:tab w:val="left" w:pos="851"/>
      </w:tabs>
      <w:spacing w:before="120" w:after="120"/>
      <w:ind w:left="0" w:firstLine="0"/>
      <w:jc w:val="center"/>
    </w:pPr>
    <w:rPr>
      <w:rFonts w:ascii="Times New Roman" w:hAnsi="Times New Roman" w:cs="Times New Roman"/>
      <w:b/>
      <w:color w:val="000000"/>
      <w:sz w:val="24"/>
      <w:szCs w:val="24"/>
    </w:rPr>
  </w:style>
  <w:style w:type="paragraph" w:customStyle="1" w:styleId="2lmenis">
    <w:name w:val="2.līmenis"/>
    <w:basedOn w:val="Heading2"/>
    <w:link w:val="2lmenisChar"/>
    <w:autoRedefine/>
    <w:qFormat/>
    <w:rsid w:val="008E7EAB"/>
    <w:pPr>
      <w:numPr>
        <w:ilvl w:val="1"/>
        <w:numId w:val="10"/>
      </w:numPr>
      <w:spacing w:before="120" w:after="120"/>
      <w:ind w:left="0" w:firstLine="0"/>
      <w:jc w:val="center"/>
    </w:pPr>
    <w:rPr>
      <w:rFonts w:ascii="Times New Roman" w:hAnsi="Times New Roman"/>
      <w:b/>
      <w:color w:val="auto"/>
      <w:sz w:val="24"/>
    </w:rPr>
  </w:style>
  <w:style w:type="character" w:customStyle="1" w:styleId="1lmenisChar">
    <w:name w:val="1.līmenis Char"/>
    <w:basedOn w:val="SubtitleChar"/>
    <w:link w:val="1lmenis"/>
    <w:uiPriority w:val="99"/>
    <w:rsid w:val="004D147C"/>
    <w:rPr>
      <w:rFonts w:asciiTheme="minorHAnsi" w:eastAsiaTheme="majorEastAsia" w:hAnsiTheme="minorHAnsi" w:cs="Times New Roman"/>
      <w:b/>
      <w:color w:val="000000"/>
      <w:spacing w:val="15"/>
      <w:sz w:val="22"/>
      <w:szCs w:val="24"/>
    </w:rPr>
  </w:style>
  <w:style w:type="paragraph" w:customStyle="1" w:styleId="3lmenis">
    <w:name w:val="3.līmenis"/>
    <w:basedOn w:val="Heading3"/>
    <w:link w:val="3lmenisChar"/>
    <w:autoRedefine/>
    <w:qFormat/>
    <w:rsid w:val="009C0862"/>
    <w:pPr>
      <w:numPr>
        <w:ilvl w:val="2"/>
        <w:numId w:val="5"/>
      </w:numPr>
      <w:spacing w:before="240" w:after="240"/>
      <w:ind w:left="0" w:firstLine="0"/>
      <w:jc w:val="center"/>
    </w:pPr>
    <w:rPr>
      <w:rFonts w:ascii="Times New Roman" w:hAnsi="Times New Roman"/>
      <w:b/>
      <w:color w:val="000000"/>
    </w:rPr>
  </w:style>
  <w:style w:type="character" w:customStyle="1" w:styleId="2lmenisChar">
    <w:name w:val="2.līmenis Char"/>
    <w:basedOn w:val="DefaultParagraphFont"/>
    <w:link w:val="2lmenis"/>
    <w:rsid w:val="008E7EAB"/>
    <w:rPr>
      <w:rFonts w:eastAsiaTheme="majorEastAsia" w:cstheme="majorBidi"/>
      <w:b/>
      <w:szCs w:val="26"/>
    </w:rPr>
  </w:style>
  <w:style w:type="paragraph" w:styleId="TOCHeading">
    <w:name w:val="TOC Heading"/>
    <w:basedOn w:val="Heading1"/>
    <w:next w:val="Normal"/>
    <w:uiPriority w:val="39"/>
    <w:unhideWhenUsed/>
    <w:qFormat/>
    <w:rsid w:val="009C0862"/>
    <w:pPr>
      <w:spacing w:line="259" w:lineRule="auto"/>
      <w:outlineLvl w:val="9"/>
    </w:pPr>
    <w:rPr>
      <w:lang w:val="en-US"/>
    </w:rPr>
  </w:style>
  <w:style w:type="character" w:customStyle="1" w:styleId="3lmenisChar">
    <w:name w:val="3.līmenis Char"/>
    <w:basedOn w:val="2lmenisChar"/>
    <w:link w:val="3lmenis"/>
    <w:rsid w:val="009C0862"/>
    <w:rPr>
      <w:rFonts w:eastAsiaTheme="majorEastAsia" w:cstheme="majorBidi"/>
      <w:b/>
      <w:color w:val="000000"/>
      <w:szCs w:val="24"/>
    </w:rPr>
  </w:style>
  <w:style w:type="paragraph" w:styleId="TOC3">
    <w:name w:val="toc 3"/>
    <w:basedOn w:val="Normal"/>
    <w:next w:val="Normal"/>
    <w:autoRedefine/>
    <w:uiPriority w:val="39"/>
    <w:unhideWhenUsed/>
    <w:rsid w:val="009C0862"/>
    <w:pPr>
      <w:tabs>
        <w:tab w:val="left" w:pos="1320"/>
        <w:tab w:val="right" w:leader="dot" w:pos="8902"/>
      </w:tabs>
      <w:spacing w:after="100"/>
      <w:ind w:left="480" w:right="-2"/>
    </w:pPr>
  </w:style>
  <w:style w:type="paragraph" w:styleId="BalloonText">
    <w:name w:val="Balloon Text"/>
    <w:basedOn w:val="Normal"/>
    <w:link w:val="BalloonTextChar"/>
    <w:uiPriority w:val="99"/>
    <w:semiHidden/>
    <w:unhideWhenUsed/>
    <w:rsid w:val="009C08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862"/>
    <w:rPr>
      <w:rFonts w:ascii="Segoe UI" w:hAnsi="Segoe UI" w:cs="Segoe UI"/>
      <w:sz w:val="18"/>
      <w:szCs w:val="18"/>
    </w:rPr>
  </w:style>
  <w:style w:type="paragraph" w:customStyle="1" w:styleId="Default">
    <w:name w:val="Default"/>
    <w:rsid w:val="009C0862"/>
    <w:pPr>
      <w:autoSpaceDE w:val="0"/>
      <w:autoSpaceDN w:val="0"/>
      <w:adjustRightInd w:val="0"/>
      <w:spacing w:before="120" w:after="120" w:line="360" w:lineRule="auto"/>
      <w:jc w:val="both"/>
    </w:pPr>
    <w:rPr>
      <w:rFonts w:eastAsia="Calibri" w:cs="Times New Roman"/>
      <w:color w:val="000000"/>
      <w:szCs w:val="24"/>
      <w:lang w:eastAsia="lv-LV"/>
    </w:rPr>
  </w:style>
  <w:style w:type="paragraph" w:styleId="Header">
    <w:name w:val="header"/>
    <w:basedOn w:val="Normal"/>
    <w:link w:val="HeaderChar"/>
    <w:uiPriority w:val="99"/>
    <w:unhideWhenUsed/>
    <w:rsid w:val="009C0862"/>
    <w:pPr>
      <w:tabs>
        <w:tab w:val="center" w:pos="4153"/>
        <w:tab w:val="right" w:pos="8306"/>
      </w:tabs>
    </w:pPr>
  </w:style>
  <w:style w:type="character" w:customStyle="1" w:styleId="HeaderChar">
    <w:name w:val="Header Char"/>
    <w:basedOn w:val="DefaultParagraphFont"/>
    <w:link w:val="Header"/>
    <w:uiPriority w:val="99"/>
    <w:rsid w:val="009C0862"/>
  </w:style>
  <w:style w:type="paragraph" w:styleId="Footer">
    <w:name w:val="footer"/>
    <w:basedOn w:val="Normal"/>
    <w:link w:val="FooterChar"/>
    <w:unhideWhenUsed/>
    <w:rsid w:val="009C0862"/>
    <w:pPr>
      <w:tabs>
        <w:tab w:val="center" w:pos="4153"/>
        <w:tab w:val="right" w:pos="8306"/>
      </w:tabs>
    </w:pPr>
  </w:style>
  <w:style w:type="character" w:customStyle="1" w:styleId="FooterChar">
    <w:name w:val="Footer Char"/>
    <w:basedOn w:val="DefaultParagraphFont"/>
    <w:link w:val="Footer"/>
    <w:rsid w:val="009C0862"/>
  </w:style>
  <w:style w:type="character" w:styleId="CommentReference">
    <w:name w:val="annotation reference"/>
    <w:basedOn w:val="DefaultParagraphFont"/>
    <w:unhideWhenUsed/>
    <w:rsid w:val="009C0862"/>
    <w:rPr>
      <w:sz w:val="16"/>
      <w:szCs w:val="16"/>
    </w:rPr>
  </w:style>
  <w:style w:type="paragraph" w:styleId="CommentText">
    <w:name w:val="annotation text"/>
    <w:basedOn w:val="Normal"/>
    <w:link w:val="CommentTextChar"/>
    <w:unhideWhenUsed/>
    <w:rsid w:val="009C0862"/>
    <w:rPr>
      <w:sz w:val="20"/>
      <w:szCs w:val="20"/>
    </w:rPr>
  </w:style>
  <w:style w:type="character" w:customStyle="1" w:styleId="CommentTextChar">
    <w:name w:val="Comment Text Char"/>
    <w:basedOn w:val="DefaultParagraphFont"/>
    <w:link w:val="CommentText"/>
    <w:rsid w:val="009C0862"/>
    <w:rPr>
      <w:sz w:val="20"/>
      <w:szCs w:val="20"/>
    </w:rPr>
  </w:style>
  <w:style w:type="paragraph" w:styleId="CommentSubject">
    <w:name w:val="annotation subject"/>
    <w:basedOn w:val="CommentText"/>
    <w:next w:val="CommentText"/>
    <w:link w:val="CommentSubjectChar"/>
    <w:uiPriority w:val="99"/>
    <w:semiHidden/>
    <w:unhideWhenUsed/>
    <w:rsid w:val="009C0862"/>
    <w:rPr>
      <w:b/>
      <w:bCs/>
    </w:rPr>
  </w:style>
  <w:style w:type="character" w:customStyle="1" w:styleId="CommentSubjectChar">
    <w:name w:val="Comment Subject Char"/>
    <w:basedOn w:val="CommentTextChar"/>
    <w:link w:val="CommentSubject"/>
    <w:uiPriority w:val="99"/>
    <w:semiHidden/>
    <w:rsid w:val="009C0862"/>
    <w:rPr>
      <w:b/>
      <w:bCs/>
      <w:sz w:val="20"/>
      <w:szCs w:val="20"/>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
    <w:basedOn w:val="Normal"/>
    <w:link w:val="FootnoteTextChar"/>
    <w:uiPriority w:val="99"/>
    <w:unhideWhenUsed/>
    <w:rsid w:val="009C0862"/>
    <w:rPr>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
    <w:basedOn w:val="DefaultParagraphFont"/>
    <w:link w:val="FootnoteText"/>
    <w:uiPriority w:val="99"/>
    <w:rsid w:val="009C0862"/>
    <w:rPr>
      <w:sz w:val="20"/>
      <w:szCs w:val="20"/>
    </w:rPr>
  </w:style>
  <w:style w:type="character" w:styleId="FootnoteReference">
    <w:name w:val="footnote reference"/>
    <w:aliases w:val="Footnote Reference Number,Footnote symbol"/>
    <w:basedOn w:val="DefaultParagraphFont"/>
    <w:uiPriority w:val="99"/>
    <w:unhideWhenUsed/>
    <w:rsid w:val="009C0862"/>
    <w:rPr>
      <w:vertAlign w:val="superscript"/>
    </w:rPr>
  </w:style>
  <w:style w:type="paragraph" w:styleId="NormalWeb">
    <w:name w:val="Normal (Web)"/>
    <w:basedOn w:val="Normal"/>
    <w:uiPriority w:val="99"/>
    <w:rsid w:val="009C0862"/>
    <w:pPr>
      <w:spacing w:before="100" w:beforeAutospacing="1" w:after="100" w:afterAutospacing="1" w:line="360" w:lineRule="auto"/>
    </w:pPr>
    <w:rPr>
      <w:rFonts w:eastAsia="Times New Roman" w:cs="Times New Roman"/>
      <w:szCs w:val="24"/>
      <w:lang w:val="en-GB"/>
    </w:rPr>
  </w:style>
  <w:style w:type="character" w:styleId="FollowedHyperlink">
    <w:name w:val="FollowedHyperlink"/>
    <w:basedOn w:val="DefaultParagraphFont"/>
    <w:uiPriority w:val="99"/>
    <w:semiHidden/>
    <w:unhideWhenUsed/>
    <w:rsid w:val="009C0862"/>
    <w:rPr>
      <w:color w:val="954F72" w:themeColor="followedHyperlink"/>
      <w:u w:val="single"/>
    </w:rPr>
  </w:style>
  <w:style w:type="paragraph" w:styleId="BodyTextIndent">
    <w:name w:val="Body Text Indent"/>
    <w:basedOn w:val="Normal"/>
    <w:link w:val="BodyTextIndentChar"/>
    <w:rsid w:val="009C0862"/>
    <w:pPr>
      <w:spacing w:before="120" w:after="120" w:line="276" w:lineRule="auto"/>
      <w:ind w:left="283"/>
      <w:jc w:val="both"/>
    </w:pPr>
    <w:rPr>
      <w:rFonts w:eastAsia="Times New Roman" w:cs="Times New Roman"/>
      <w:szCs w:val="20"/>
      <w:lang w:val="x-none" w:eastAsia="x-none"/>
    </w:rPr>
  </w:style>
  <w:style w:type="character" w:customStyle="1" w:styleId="BodyTextIndentChar">
    <w:name w:val="Body Text Indent Char"/>
    <w:basedOn w:val="DefaultParagraphFont"/>
    <w:link w:val="BodyTextIndent"/>
    <w:rsid w:val="009C0862"/>
    <w:rPr>
      <w:rFonts w:eastAsia="Times New Roman" w:cs="Times New Roman"/>
      <w:szCs w:val="20"/>
      <w:lang w:val="x-none" w:eastAsia="x-none"/>
    </w:rPr>
  </w:style>
  <w:style w:type="paragraph" w:styleId="HTMLPreformatted">
    <w:name w:val="HTML Preformatted"/>
    <w:basedOn w:val="Normal"/>
    <w:link w:val="HTMLPreformattedChar"/>
    <w:uiPriority w:val="99"/>
    <w:unhideWhenUsed/>
    <w:rsid w:val="009C0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9C0862"/>
    <w:rPr>
      <w:rFonts w:ascii="Courier New" w:hAnsi="Courier New" w:cs="Courier New"/>
      <w:sz w:val="20"/>
      <w:szCs w:val="20"/>
      <w:lang w:eastAsia="lv-LV"/>
    </w:rPr>
  </w:style>
  <w:style w:type="paragraph" w:customStyle="1" w:styleId="naiskr">
    <w:name w:val="naiskr"/>
    <w:basedOn w:val="Normal"/>
    <w:rsid w:val="009C0862"/>
    <w:pPr>
      <w:spacing w:before="75" w:after="75"/>
    </w:pPr>
    <w:rPr>
      <w:rFonts w:eastAsia="Times New Roman" w:cs="Times New Roman"/>
      <w:szCs w:val="24"/>
      <w:lang w:eastAsia="lv-LV"/>
    </w:rPr>
  </w:style>
  <w:style w:type="paragraph" w:customStyle="1" w:styleId="FDUKam">
    <w:name w:val="FDUKam"/>
    <w:basedOn w:val="ListParagraph"/>
    <w:link w:val="FDUKamChar"/>
    <w:qFormat/>
    <w:rsid w:val="009C0862"/>
    <w:pPr>
      <w:numPr>
        <w:ilvl w:val="1"/>
        <w:numId w:val="3"/>
      </w:numPr>
      <w:spacing w:after="200" w:line="276" w:lineRule="auto"/>
      <w:jc w:val="both"/>
    </w:pPr>
    <w:rPr>
      <w:rFonts w:eastAsia="Calibri" w:cs="Times New Roman"/>
      <w:sz w:val="22"/>
    </w:rPr>
  </w:style>
  <w:style w:type="character" w:customStyle="1" w:styleId="FDUKamChar">
    <w:name w:val="FDUKam Char"/>
    <w:basedOn w:val="DefaultParagraphFont"/>
    <w:link w:val="FDUKam"/>
    <w:rsid w:val="009C0862"/>
    <w:rPr>
      <w:rFonts w:eastAsia="Calibri" w:cs="Times New Roman"/>
      <w:sz w:val="22"/>
    </w:rPr>
  </w:style>
  <w:style w:type="paragraph" w:styleId="Revision">
    <w:name w:val="Revision"/>
    <w:hidden/>
    <w:uiPriority w:val="99"/>
    <w:semiHidden/>
    <w:rsid w:val="009C0862"/>
  </w:style>
  <w:style w:type="character" w:styleId="BookTitle">
    <w:name w:val="Book Title"/>
    <w:qFormat/>
    <w:rsid w:val="009C0862"/>
    <w:rPr>
      <w:b/>
      <w:bCs/>
      <w:smallCaps/>
      <w:spacing w:val="5"/>
    </w:rPr>
  </w:style>
  <w:style w:type="paragraph" w:customStyle="1" w:styleId="CM1">
    <w:name w:val="CM1"/>
    <w:basedOn w:val="Normal"/>
    <w:uiPriority w:val="99"/>
    <w:rsid w:val="009C0862"/>
    <w:pPr>
      <w:autoSpaceDE w:val="0"/>
      <w:autoSpaceDN w:val="0"/>
    </w:pPr>
    <w:rPr>
      <w:rFonts w:ascii="EUAlbertina" w:hAnsi="EUAlbertina" w:cs="Times New Roman"/>
      <w:szCs w:val="24"/>
    </w:rPr>
  </w:style>
  <w:style w:type="table" w:styleId="TableGrid">
    <w:name w:val="Table Grid"/>
    <w:basedOn w:val="TableNormal"/>
    <w:uiPriority w:val="39"/>
    <w:rsid w:val="009C0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9C0862"/>
  </w:style>
  <w:style w:type="paragraph" w:styleId="PlainText">
    <w:name w:val="Plain Text"/>
    <w:basedOn w:val="Normal"/>
    <w:link w:val="PlainTextChar"/>
    <w:uiPriority w:val="99"/>
    <w:unhideWhenUsed/>
    <w:rsid w:val="009C0862"/>
    <w:rPr>
      <w:rFonts w:ascii="Calibri" w:hAnsi="Calibri" w:cs="Consolas"/>
      <w:sz w:val="22"/>
      <w:szCs w:val="21"/>
    </w:rPr>
  </w:style>
  <w:style w:type="character" w:customStyle="1" w:styleId="PlainTextChar">
    <w:name w:val="Plain Text Char"/>
    <w:basedOn w:val="DefaultParagraphFont"/>
    <w:link w:val="PlainText"/>
    <w:uiPriority w:val="99"/>
    <w:rsid w:val="009C0862"/>
    <w:rPr>
      <w:rFonts w:ascii="Calibri" w:hAnsi="Calibri" w:cs="Consolas"/>
      <w:sz w:val="22"/>
      <w:szCs w:val="21"/>
    </w:rPr>
  </w:style>
  <w:style w:type="numbering" w:customStyle="1" w:styleId="WWNum1">
    <w:name w:val="WWNum1"/>
    <w:basedOn w:val="NoList"/>
    <w:rsid w:val="009C0862"/>
    <w:pPr>
      <w:numPr>
        <w:numId w:val="4"/>
      </w:numPr>
    </w:pPr>
  </w:style>
  <w:style w:type="character" w:customStyle="1" w:styleId="ListParagraphChar">
    <w:name w:val="List Paragraph Char"/>
    <w:aliases w:val="2 Char,Strip Char"/>
    <w:link w:val="ListParagraph"/>
    <w:uiPriority w:val="34"/>
    <w:qFormat/>
    <w:locked/>
    <w:rsid w:val="009C0862"/>
  </w:style>
  <w:style w:type="table" w:customStyle="1" w:styleId="TableGrid1">
    <w:name w:val="Table Grid1"/>
    <w:basedOn w:val="TableNormal"/>
    <w:next w:val="TableGrid"/>
    <w:uiPriority w:val="39"/>
    <w:rsid w:val="009C0862"/>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1">
    <w:name w:val="Saraksta rindkopa1"/>
    <w:basedOn w:val="Normal"/>
    <w:qFormat/>
    <w:rsid w:val="009C0862"/>
    <w:pPr>
      <w:ind w:left="720"/>
      <w:contextualSpacing/>
    </w:pPr>
    <w:rPr>
      <w:rFonts w:eastAsia="Calibri" w:cs="Times New Roman"/>
      <w:sz w:val="28"/>
      <w:lang w:eastAsia="lv-LV"/>
    </w:rPr>
  </w:style>
  <w:style w:type="character" w:customStyle="1" w:styleId="xdtextbox1">
    <w:name w:val="xdtextbox1"/>
    <w:basedOn w:val="DefaultParagraphFont"/>
    <w:rsid w:val="00AF193C"/>
    <w:rPr>
      <w:color w:val="auto"/>
      <w:bdr w:val="single" w:sz="8" w:space="1" w:color="DCDCDC" w:frame="1"/>
      <w:shd w:val="clear" w:color="auto" w:fill="FFFFFF"/>
    </w:rPr>
  </w:style>
  <w:style w:type="table" w:customStyle="1" w:styleId="TableGrid2">
    <w:name w:val="Table Grid2"/>
    <w:basedOn w:val="TableNormal"/>
    <w:next w:val="TableGrid"/>
    <w:uiPriority w:val="39"/>
    <w:rsid w:val="001F7759"/>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8287">
      <w:bodyDiv w:val="1"/>
      <w:marLeft w:val="0"/>
      <w:marRight w:val="0"/>
      <w:marTop w:val="0"/>
      <w:marBottom w:val="0"/>
      <w:divBdr>
        <w:top w:val="none" w:sz="0" w:space="0" w:color="auto"/>
        <w:left w:val="none" w:sz="0" w:space="0" w:color="auto"/>
        <w:bottom w:val="none" w:sz="0" w:space="0" w:color="auto"/>
        <w:right w:val="none" w:sz="0" w:space="0" w:color="auto"/>
      </w:divBdr>
      <w:divsChild>
        <w:div w:id="1615551724">
          <w:marLeft w:val="720"/>
          <w:marRight w:val="0"/>
          <w:marTop w:val="96"/>
          <w:marBottom w:val="0"/>
          <w:divBdr>
            <w:top w:val="none" w:sz="0" w:space="0" w:color="auto"/>
            <w:left w:val="none" w:sz="0" w:space="0" w:color="auto"/>
            <w:bottom w:val="none" w:sz="0" w:space="0" w:color="auto"/>
            <w:right w:val="none" w:sz="0" w:space="0" w:color="auto"/>
          </w:divBdr>
        </w:div>
      </w:divsChild>
    </w:div>
    <w:div w:id="85082665">
      <w:bodyDiv w:val="1"/>
      <w:marLeft w:val="0"/>
      <w:marRight w:val="0"/>
      <w:marTop w:val="0"/>
      <w:marBottom w:val="0"/>
      <w:divBdr>
        <w:top w:val="none" w:sz="0" w:space="0" w:color="auto"/>
        <w:left w:val="none" w:sz="0" w:space="0" w:color="auto"/>
        <w:bottom w:val="none" w:sz="0" w:space="0" w:color="auto"/>
        <w:right w:val="none" w:sz="0" w:space="0" w:color="auto"/>
      </w:divBdr>
    </w:div>
    <w:div w:id="88041036">
      <w:bodyDiv w:val="1"/>
      <w:marLeft w:val="0"/>
      <w:marRight w:val="0"/>
      <w:marTop w:val="0"/>
      <w:marBottom w:val="0"/>
      <w:divBdr>
        <w:top w:val="none" w:sz="0" w:space="0" w:color="auto"/>
        <w:left w:val="none" w:sz="0" w:space="0" w:color="auto"/>
        <w:bottom w:val="none" w:sz="0" w:space="0" w:color="auto"/>
        <w:right w:val="none" w:sz="0" w:space="0" w:color="auto"/>
      </w:divBdr>
    </w:div>
    <w:div w:id="156843094">
      <w:bodyDiv w:val="1"/>
      <w:marLeft w:val="0"/>
      <w:marRight w:val="0"/>
      <w:marTop w:val="0"/>
      <w:marBottom w:val="0"/>
      <w:divBdr>
        <w:top w:val="none" w:sz="0" w:space="0" w:color="auto"/>
        <w:left w:val="none" w:sz="0" w:space="0" w:color="auto"/>
        <w:bottom w:val="none" w:sz="0" w:space="0" w:color="auto"/>
        <w:right w:val="none" w:sz="0" w:space="0" w:color="auto"/>
      </w:divBdr>
    </w:div>
    <w:div w:id="174737561">
      <w:bodyDiv w:val="1"/>
      <w:marLeft w:val="0"/>
      <w:marRight w:val="0"/>
      <w:marTop w:val="0"/>
      <w:marBottom w:val="0"/>
      <w:divBdr>
        <w:top w:val="none" w:sz="0" w:space="0" w:color="auto"/>
        <w:left w:val="none" w:sz="0" w:space="0" w:color="auto"/>
        <w:bottom w:val="none" w:sz="0" w:space="0" w:color="auto"/>
        <w:right w:val="none" w:sz="0" w:space="0" w:color="auto"/>
      </w:divBdr>
      <w:divsChild>
        <w:div w:id="305473259">
          <w:marLeft w:val="547"/>
          <w:marRight w:val="0"/>
          <w:marTop w:val="86"/>
          <w:marBottom w:val="0"/>
          <w:divBdr>
            <w:top w:val="none" w:sz="0" w:space="0" w:color="auto"/>
            <w:left w:val="none" w:sz="0" w:space="0" w:color="auto"/>
            <w:bottom w:val="none" w:sz="0" w:space="0" w:color="auto"/>
            <w:right w:val="none" w:sz="0" w:space="0" w:color="auto"/>
          </w:divBdr>
        </w:div>
      </w:divsChild>
    </w:div>
    <w:div w:id="203836607">
      <w:bodyDiv w:val="1"/>
      <w:marLeft w:val="0"/>
      <w:marRight w:val="0"/>
      <w:marTop w:val="0"/>
      <w:marBottom w:val="0"/>
      <w:divBdr>
        <w:top w:val="none" w:sz="0" w:space="0" w:color="auto"/>
        <w:left w:val="none" w:sz="0" w:space="0" w:color="auto"/>
        <w:bottom w:val="none" w:sz="0" w:space="0" w:color="auto"/>
        <w:right w:val="none" w:sz="0" w:space="0" w:color="auto"/>
      </w:divBdr>
    </w:div>
    <w:div w:id="209539261">
      <w:bodyDiv w:val="1"/>
      <w:marLeft w:val="0"/>
      <w:marRight w:val="0"/>
      <w:marTop w:val="0"/>
      <w:marBottom w:val="0"/>
      <w:divBdr>
        <w:top w:val="none" w:sz="0" w:space="0" w:color="auto"/>
        <w:left w:val="none" w:sz="0" w:space="0" w:color="auto"/>
        <w:bottom w:val="none" w:sz="0" w:space="0" w:color="auto"/>
        <w:right w:val="none" w:sz="0" w:space="0" w:color="auto"/>
      </w:divBdr>
      <w:divsChild>
        <w:div w:id="77943634">
          <w:marLeft w:val="1166"/>
          <w:marRight w:val="0"/>
          <w:marTop w:val="86"/>
          <w:marBottom w:val="0"/>
          <w:divBdr>
            <w:top w:val="none" w:sz="0" w:space="0" w:color="auto"/>
            <w:left w:val="none" w:sz="0" w:space="0" w:color="auto"/>
            <w:bottom w:val="none" w:sz="0" w:space="0" w:color="auto"/>
            <w:right w:val="none" w:sz="0" w:space="0" w:color="auto"/>
          </w:divBdr>
        </w:div>
        <w:div w:id="251015881">
          <w:marLeft w:val="547"/>
          <w:marRight w:val="0"/>
          <w:marTop w:val="86"/>
          <w:marBottom w:val="0"/>
          <w:divBdr>
            <w:top w:val="none" w:sz="0" w:space="0" w:color="auto"/>
            <w:left w:val="none" w:sz="0" w:space="0" w:color="auto"/>
            <w:bottom w:val="none" w:sz="0" w:space="0" w:color="auto"/>
            <w:right w:val="none" w:sz="0" w:space="0" w:color="auto"/>
          </w:divBdr>
        </w:div>
        <w:div w:id="1320042293">
          <w:marLeft w:val="1166"/>
          <w:marRight w:val="0"/>
          <w:marTop w:val="86"/>
          <w:marBottom w:val="0"/>
          <w:divBdr>
            <w:top w:val="none" w:sz="0" w:space="0" w:color="auto"/>
            <w:left w:val="none" w:sz="0" w:space="0" w:color="auto"/>
            <w:bottom w:val="none" w:sz="0" w:space="0" w:color="auto"/>
            <w:right w:val="none" w:sz="0" w:space="0" w:color="auto"/>
          </w:divBdr>
        </w:div>
        <w:div w:id="1438671319">
          <w:marLeft w:val="1166"/>
          <w:marRight w:val="0"/>
          <w:marTop w:val="86"/>
          <w:marBottom w:val="0"/>
          <w:divBdr>
            <w:top w:val="none" w:sz="0" w:space="0" w:color="auto"/>
            <w:left w:val="none" w:sz="0" w:space="0" w:color="auto"/>
            <w:bottom w:val="none" w:sz="0" w:space="0" w:color="auto"/>
            <w:right w:val="none" w:sz="0" w:space="0" w:color="auto"/>
          </w:divBdr>
        </w:div>
        <w:div w:id="1568612869">
          <w:marLeft w:val="1166"/>
          <w:marRight w:val="0"/>
          <w:marTop w:val="86"/>
          <w:marBottom w:val="0"/>
          <w:divBdr>
            <w:top w:val="none" w:sz="0" w:space="0" w:color="auto"/>
            <w:left w:val="none" w:sz="0" w:space="0" w:color="auto"/>
            <w:bottom w:val="none" w:sz="0" w:space="0" w:color="auto"/>
            <w:right w:val="none" w:sz="0" w:space="0" w:color="auto"/>
          </w:divBdr>
        </w:div>
      </w:divsChild>
    </w:div>
    <w:div w:id="251667735">
      <w:bodyDiv w:val="1"/>
      <w:marLeft w:val="0"/>
      <w:marRight w:val="0"/>
      <w:marTop w:val="0"/>
      <w:marBottom w:val="0"/>
      <w:divBdr>
        <w:top w:val="none" w:sz="0" w:space="0" w:color="auto"/>
        <w:left w:val="none" w:sz="0" w:space="0" w:color="auto"/>
        <w:bottom w:val="none" w:sz="0" w:space="0" w:color="auto"/>
        <w:right w:val="none" w:sz="0" w:space="0" w:color="auto"/>
      </w:divBdr>
    </w:div>
    <w:div w:id="253324938">
      <w:bodyDiv w:val="1"/>
      <w:marLeft w:val="0"/>
      <w:marRight w:val="0"/>
      <w:marTop w:val="0"/>
      <w:marBottom w:val="0"/>
      <w:divBdr>
        <w:top w:val="none" w:sz="0" w:space="0" w:color="auto"/>
        <w:left w:val="none" w:sz="0" w:space="0" w:color="auto"/>
        <w:bottom w:val="none" w:sz="0" w:space="0" w:color="auto"/>
        <w:right w:val="none" w:sz="0" w:space="0" w:color="auto"/>
      </w:divBdr>
    </w:div>
    <w:div w:id="262955722">
      <w:bodyDiv w:val="1"/>
      <w:marLeft w:val="0"/>
      <w:marRight w:val="0"/>
      <w:marTop w:val="0"/>
      <w:marBottom w:val="0"/>
      <w:divBdr>
        <w:top w:val="none" w:sz="0" w:space="0" w:color="auto"/>
        <w:left w:val="none" w:sz="0" w:space="0" w:color="auto"/>
        <w:bottom w:val="none" w:sz="0" w:space="0" w:color="auto"/>
        <w:right w:val="none" w:sz="0" w:space="0" w:color="auto"/>
      </w:divBdr>
    </w:div>
    <w:div w:id="277303520">
      <w:bodyDiv w:val="1"/>
      <w:marLeft w:val="0"/>
      <w:marRight w:val="0"/>
      <w:marTop w:val="0"/>
      <w:marBottom w:val="0"/>
      <w:divBdr>
        <w:top w:val="none" w:sz="0" w:space="0" w:color="auto"/>
        <w:left w:val="none" w:sz="0" w:space="0" w:color="auto"/>
        <w:bottom w:val="none" w:sz="0" w:space="0" w:color="auto"/>
        <w:right w:val="none" w:sz="0" w:space="0" w:color="auto"/>
      </w:divBdr>
    </w:div>
    <w:div w:id="360060065">
      <w:bodyDiv w:val="1"/>
      <w:marLeft w:val="0"/>
      <w:marRight w:val="0"/>
      <w:marTop w:val="0"/>
      <w:marBottom w:val="0"/>
      <w:divBdr>
        <w:top w:val="none" w:sz="0" w:space="0" w:color="auto"/>
        <w:left w:val="none" w:sz="0" w:space="0" w:color="auto"/>
        <w:bottom w:val="none" w:sz="0" w:space="0" w:color="auto"/>
        <w:right w:val="none" w:sz="0" w:space="0" w:color="auto"/>
      </w:divBdr>
    </w:div>
    <w:div w:id="377364110">
      <w:bodyDiv w:val="1"/>
      <w:marLeft w:val="0"/>
      <w:marRight w:val="0"/>
      <w:marTop w:val="0"/>
      <w:marBottom w:val="0"/>
      <w:divBdr>
        <w:top w:val="none" w:sz="0" w:space="0" w:color="auto"/>
        <w:left w:val="none" w:sz="0" w:space="0" w:color="auto"/>
        <w:bottom w:val="none" w:sz="0" w:space="0" w:color="auto"/>
        <w:right w:val="none" w:sz="0" w:space="0" w:color="auto"/>
      </w:divBdr>
    </w:div>
    <w:div w:id="465969678">
      <w:bodyDiv w:val="1"/>
      <w:marLeft w:val="0"/>
      <w:marRight w:val="0"/>
      <w:marTop w:val="0"/>
      <w:marBottom w:val="0"/>
      <w:divBdr>
        <w:top w:val="none" w:sz="0" w:space="0" w:color="auto"/>
        <w:left w:val="none" w:sz="0" w:space="0" w:color="auto"/>
        <w:bottom w:val="none" w:sz="0" w:space="0" w:color="auto"/>
        <w:right w:val="none" w:sz="0" w:space="0" w:color="auto"/>
      </w:divBdr>
    </w:div>
    <w:div w:id="472984788">
      <w:bodyDiv w:val="1"/>
      <w:marLeft w:val="0"/>
      <w:marRight w:val="0"/>
      <w:marTop w:val="0"/>
      <w:marBottom w:val="0"/>
      <w:divBdr>
        <w:top w:val="none" w:sz="0" w:space="0" w:color="auto"/>
        <w:left w:val="none" w:sz="0" w:space="0" w:color="auto"/>
        <w:bottom w:val="none" w:sz="0" w:space="0" w:color="auto"/>
        <w:right w:val="none" w:sz="0" w:space="0" w:color="auto"/>
      </w:divBdr>
    </w:div>
    <w:div w:id="578292036">
      <w:bodyDiv w:val="1"/>
      <w:marLeft w:val="0"/>
      <w:marRight w:val="0"/>
      <w:marTop w:val="0"/>
      <w:marBottom w:val="0"/>
      <w:divBdr>
        <w:top w:val="none" w:sz="0" w:space="0" w:color="auto"/>
        <w:left w:val="none" w:sz="0" w:space="0" w:color="auto"/>
        <w:bottom w:val="none" w:sz="0" w:space="0" w:color="auto"/>
        <w:right w:val="none" w:sz="0" w:space="0" w:color="auto"/>
      </w:divBdr>
    </w:div>
    <w:div w:id="581456308">
      <w:bodyDiv w:val="1"/>
      <w:marLeft w:val="0"/>
      <w:marRight w:val="0"/>
      <w:marTop w:val="0"/>
      <w:marBottom w:val="0"/>
      <w:divBdr>
        <w:top w:val="none" w:sz="0" w:space="0" w:color="auto"/>
        <w:left w:val="none" w:sz="0" w:space="0" w:color="auto"/>
        <w:bottom w:val="none" w:sz="0" w:space="0" w:color="auto"/>
        <w:right w:val="none" w:sz="0" w:space="0" w:color="auto"/>
      </w:divBdr>
    </w:div>
    <w:div w:id="653950442">
      <w:bodyDiv w:val="1"/>
      <w:marLeft w:val="0"/>
      <w:marRight w:val="0"/>
      <w:marTop w:val="0"/>
      <w:marBottom w:val="0"/>
      <w:divBdr>
        <w:top w:val="none" w:sz="0" w:space="0" w:color="auto"/>
        <w:left w:val="none" w:sz="0" w:space="0" w:color="auto"/>
        <w:bottom w:val="none" w:sz="0" w:space="0" w:color="auto"/>
        <w:right w:val="none" w:sz="0" w:space="0" w:color="auto"/>
      </w:divBdr>
      <w:divsChild>
        <w:div w:id="348875598">
          <w:marLeft w:val="547"/>
          <w:marRight w:val="0"/>
          <w:marTop w:val="115"/>
          <w:marBottom w:val="0"/>
          <w:divBdr>
            <w:top w:val="none" w:sz="0" w:space="0" w:color="auto"/>
            <w:left w:val="none" w:sz="0" w:space="0" w:color="auto"/>
            <w:bottom w:val="none" w:sz="0" w:space="0" w:color="auto"/>
            <w:right w:val="none" w:sz="0" w:space="0" w:color="auto"/>
          </w:divBdr>
        </w:div>
      </w:divsChild>
    </w:div>
    <w:div w:id="676035091">
      <w:bodyDiv w:val="1"/>
      <w:marLeft w:val="0"/>
      <w:marRight w:val="0"/>
      <w:marTop w:val="0"/>
      <w:marBottom w:val="0"/>
      <w:divBdr>
        <w:top w:val="none" w:sz="0" w:space="0" w:color="auto"/>
        <w:left w:val="none" w:sz="0" w:space="0" w:color="auto"/>
        <w:bottom w:val="none" w:sz="0" w:space="0" w:color="auto"/>
        <w:right w:val="none" w:sz="0" w:space="0" w:color="auto"/>
      </w:divBdr>
    </w:div>
    <w:div w:id="703679536">
      <w:bodyDiv w:val="1"/>
      <w:marLeft w:val="0"/>
      <w:marRight w:val="0"/>
      <w:marTop w:val="0"/>
      <w:marBottom w:val="0"/>
      <w:divBdr>
        <w:top w:val="none" w:sz="0" w:space="0" w:color="auto"/>
        <w:left w:val="none" w:sz="0" w:space="0" w:color="auto"/>
        <w:bottom w:val="none" w:sz="0" w:space="0" w:color="auto"/>
        <w:right w:val="none" w:sz="0" w:space="0" w:color="auto"/>
      </w:divBdr>
    </w:div>
    <w:div w:id="741298126">
      <w:bodyDiv w:val="1"/>
      <w:marLeft w:val="0"/>
      <w:marRight w:val="0"/>
      <w:marTop w:val="0"/>
      <w:marBottom w:val="0"/>
      <w:divBdr>
        <w:top w:val="none" w:sz="0" w:space="0" w:color="auto"/>
        <w:left w:val="none" w:sz="0" w:space="0" w:color="auto"/>
        <w:bottom w:val="none" w:sz="0" w:space="0" w:color="auto"/>
        <w:right w:val="none" w:sz="0" w:space="0" w:color="auto"/>
      </w:divBdr>
    </w:div>
    <w:div w:id="763764766">
      <w:bodyDiv w:val="1"/>
      <w:marLeft w:val="0"/>
      <w:marRight w:val="0"/>
      <w:marTop w:val="0"/>
      <w:marBottom w:val="0"/>
      <w:divBdr>
        <w:top w:val="none" w:sz="0" w:space="0" w:color="auto"/>
        <w:left w:val="none" w:sz="0" w:space="0" w:color="auto"/>
        <w:bottom w:val="none" w:sz="0" w:space="0" w:color="auto"/>
        <w:right w:val="none" w:sz="0" w:space="0" w:color="auto"/>
      </w:divBdr>
    </w:div>
    <w:div w:id="875200219">
      <w:bodyDiv w:val="1"/>
      <w:marLeft w:val="0"/>
      <w:marRight w:val="0"/>
      <w:marTop w:val="0"/>
      <w:marBottom w:val="0"/>
      <w:divBdr>
        <w:top w:val="none" w:sz="0" w:space="0" w:color="auto"/>
        <w:left w:val="none" w:sz="0" w:space="0" w:color="auto"/>
        <w:bottom w:val="none" w:sz="0" w:space="0" w:color="auto"/>
        <w:right w:val="none" w:sz="0" w:space="0" w:color="auto"/>
      </w:divBdr>
    </w:div>
    <w:div w:id="882211453">
      <w:bodyDiv w:val="1"/>
      <w:marLeft w:val="0"/>
      <w:marRight w:val="0"/>
      <w:marTop w:val="0"/>
      <w:marBottom w:val="0"/>
      <w:divBdr>
        <w:top w:val="none" w:sz="0" w:space="0" w:color="auto"/>
        <w:left w:val="none" w:sz="0" w:space="0" w:color="auto"/>
        <w:bottom w:val="none" w:sz="0" w:space="0" w:color="auto"/>
        <w:right w:val="none" w:sz="0" w:space="0" w:color="auto"/>
      </w:divBdr>
      <w:divsChild>
        <w:div w:id="735670104">
          <w:marLeft w:val="547"/>
          <w:marRight w:val="0"/>
          <w:marTop w:val="240"/>
          <w:marBottom w:val="0"/>
          <w:divBdr>
            <w:top w:val="none" w:sz="0" w:space="0" w:color="auto"/>
            <w:left w:val="none" w:sz="0" w:space="0" w:color="auto"/>
            <w:bottom w:val="none" w:sz="0" w:space="0" w:color="auto"/>
            <w:right w:val="none" w:sz="0" w:space="0" w:color="auto"/>
          </w:divBdr>
        </w:div>
        <w:div w:id="1611667440">
          <w:marLeft w:val="547"/>
          <w:marRight w:val="0"/>
          <w:marTop w:val="240"/>
          <w:marBottom w:val="0"/>
          <w:divBdr>
            <w:top w:val="none" w:sz="0" w:space="0" w:color="auto"/>
            <w:left w:val="none" w:sz="0" w:space="0" w:color="auto"/>
            <w:bottom w:val="none" w:sz="0" w:space="0" w:color="auto"/>
            <w:right w:val="none" w:sz="0" w:space="0" w:color="auto"/>
          </w:divBdr>
        </w:div>
        <w:div w:id="1913544887">
          <w:marLeft w:val="547"/>
          <w:marRight w:val="0"/>
          <w:marTop w:val="240"/>
          <w:marBottom w:val="0"/>
          <w:divBdr>
            <w:top w:val="none" w:sz="0" w:space="0" w:color="auto"/>
            <w:left w:val="none" w:sz="0" w:space="0" w:color="auto"/>
            <w:bottom w:val="none" w:sz="0" w:space="0" w:color="auto"/>
            <w:right w:val="none" w:sz="0" w:space="0" w:color="auto"/>
          </w:divBdr>
        </w:div>
      </w:divsChild>
    </w:div>
    <w:div w:id="897084861">
      <w:bodyDiv w:val="1"/>
      <w:marLeft w:val="0"/>
      <w:marRight w:val="0"/>
      <w:marTop w:val="0"/>
      <w:marBottom w:val="0"/>
      <w:divBdr>
        <w:top w:val="none" w:sz="0" w:space="0" w:color="auto"/>
        <w:left w:val="none" w:sz="0" w:space="0" w:color="auto"/>
        <w:bottom w:val="none" w:sz="0" w:space="0" w:color="auto"/>
        <w:right w:val="none" w:sz="0" w:space="0" w:color="auto"/>
      </w:divBdr>
    </w:div>
    <w:div w:id="960569500">
      <w:bodyDiv w:val="1"/>
      <w:marLeft w:val="0"/>
      <w:marRight w:val="0"/>
      <w:marTop w:val="0"/>
      <w:marBottom w:val="0"/>
      <w:divBdr>
        <w:top w:val="none" w:sz="0" w:space="0" w:color="auto"/>
        <w:left w:val="none" w:sz="0" w:space="0" w:color="auto"/>
        <w:bottom w:val="none" w:sz="0" w:space="0" w:color="auto"/>
        <w:right w:val="none" w:sz="0" w:space="0" w:color="auto"/>
      </w:divBdr>
    </w:div>
    <w:div w:id="982469369">
      <w:bodyDiv w:val="1"/>
      <w:marLeft w:val="0"/>
      <w:marRight w:val="0"/>
      <w:marTop w:val="0"/>
      <w:marBottom w:val="0"/>
      <w:divBdr>
        <w:top w:val="none" w:sz="0" w:space="0" w:color="auto"/>
        <w:left w:val="none" w:sz="0" w:space="0" w:color="auto"/>
        <w:bottom w:val="none" w:sz="0" w:space="0" w:color="auto"/>
        <w:right w:val="none" w:sz="0" w:space="0" w:color="auto"/>
      </w:divBdr>
    </w:div>
    <w:div w:id="1000229341">
      <w:bodyDiv w:val="1"/>
      <w:marLeft w:val="0"/>
      <w:marRight w:val="0"/>
      <w:marTop w:val="0"/>
      <w:marBottom w:val="0"/>
      <w:divBdr>
        <w:top w:val="none" w:sz="0" w:space="0" w:color="auto"/>
        <w:left w:val="none" w:sz="0" w:space="0" w:color="auto"/>
        <w:bottom w:val="none" w:sz="0" w:space="0" w:color="auto"/>
        <w:right w:val="none" w:sz="0" w:space="0" w:color="auto"/>
      </w:divBdr>
      <w:divsChild>
        <w:div w:id="1091196465">
          <w:marLeft w:val="547"/>
          <w:marRight w:val="0"/>
          <w:marTop w:val="86"/>
          <w:marBottom w:val="0"/>
          <w:divBdr>
            <w:top w:val="none" w:sz="0" w:space="0" w:color="auto"/>
            <w:left w:val="none" w:sz="0" w:space="0" w:color="auto"/>
            <w:bottom w:val="none" w:sz="0" w:space="0" w:color="auto"/>
            <w:right w:val="none" w:sz="0" w:space="0" w:color="auto"/>
          </w:divBdr>
        </w:div>
      </w:divsChild>
    </w:div>
    <w:div w:id="1012875877">
      <w:bodyDiv w:val="1"/>
      <w:marLeft w:val="0"/>
      <w:marRight w:val="0"/>
      <w:marTop w:val="0"/>
      <w:marBottom w:val="0"/>
      <w:divBdr>
        <w:top w:val="none" w:sz="0" w:space="0" w:color="auto"/>
        <w:left w:val="none" w:sz="0" w:space="0" w:color="auto"/>
        <w:bottom w:val="none" w:sz="0" w:space="0" w:color="auto"/>
        <w:right w:val="none" w:sz="0" w:space="0" w:color="auto"/>
      </w:divBdr>
      <w:divsChild>
        <w:div w:id="639185818">
          <w:marLeft w:val="720"/>
          <w:marRight w:val="0"/>
          <w:marTop w:val="96"/>
          <w:marBottom w:val="0"/>
          <w:divBdr>
            <w:top w:val="none" w:sz="0" w:space="0" w:color="auto"/>
            <w:left w:val="none" w:sz="0" w:space="0" w:color="auto"/>
            <w:bottom w:val="none" w:sz="0" w:space="0" w:color="auto"/>
            <w:right w:val="none" w:sz="0" w:space="0" w:color="auto"/>
          </w:divBdr>
        </w:div>
      </w:divsChild>
    </w:div>
    <w:div w:id="1097675705">
      <w:bodyDiv w:val="1"/>
      <w:marLeft w:val="0"/>
      <w:marRight w:val="0"/>
      <w:marTop w:val="0"/>
      <w:marBottom w:val="0"/>
      <w:divBdr>
        <w:top w:val="none" w:sz="0" w:space="0" w:color="auto"/>
        <w:left w:val="none" w:sz="0" w:space="0" w:color="auto"/>
        <w:bottom w:val="none" w:sz="0" w:space="0" w:color="auto"/>
        <w:right w:val="none" w:sz="0" w:space="0" w:color="auto"/>
      </w:divBdr>
    </w:div>
    <w:div w:id="1239945888">
      <w:bodyDiv w:val="1"/>
      <w:marLeft w:val="0"/>
      <w:marRight w:val="0"/>
      <w:marTop w:val="0"/>
      <w:marBottom w:val="0"/>
      <w:divBdr>
        <w:top w:val="none" w:sz="0" w:space="0" w:color="auto"/>
        <w:left w:val="none" w:sz="0" w:space="0" w:color="auto"/>
        <w:bottom w:val="none" w:sz="0" w:space="0" w:color="auto"/>
        <w:right w:val="none" w:sz="0" w:space="0" w:color="auto"/>
      </w:divBdr>
    </w:div>
    <w:div w:id="1345010169">
      <w:bodyDiv w:val="1"/>
      <w:marLeft w:val="0"/>
      <w:marRight w:val="0"/>
      <w:marTop w:val="0"/>
      <w:marBottom w:val="0"/>
      <w:divBdr>
        <w:top w:val="none" w:sz="0" w:space="0" w:color="auto"/>
        <w:left w:val="none" w:sz="0" w:space="0" w:color="auto"/>
        <w:bottom w:val="none" w:sz="0" w:space="0" w:color="auto"/>
        <w:right w:val="none" w:sz="0" w:space="0" w:color="auto"/>
      </w:divBdr>
    </w:div>
    <w:div w:id="1346521198">
      <w:bodyDiv w:val="1"/>
      <w:marLeft w:val="0"/>
      <w:marRight w:val="0"/>
      <w:marTop w:val="0"/>
      <w:marBottom w:val="0"/>
      <w:divBdr>
        <w:top w:val="none" w:sz="0" w:space="0" w:color="auto"/>
        <w:left w:val="none" w:sz="0" w:space="0" w:color="auto"/>
        <w:bottom w:val="none" w:sz="0" w:space="0" w:color="auto"/>
        <w:right w:val="none" w:sz="0" w:space="0" w:color="auto"/>
      </w:divBdr>
    </w:div>
    <w:div w:id="1358969810">
      <w:bodyDiv w:val="1"/>
      <w:marLeft w:val="0"/>
      <w:marRight w:val="0"/>
      <w:marTop w:val="0"/>
      <w:marBottom w:val="0"/>
      <w:divBdr>
        <w:top w:val="none" w:sz="0" w:space="0" w:color="auto"/>
        <w:left w:val="none" w:sz="0" w:space="0" w:color="auto"/>
        <w:bottom w:val="none" w:sz="0" w:space="0" w:color="auto"/>
        <w:right w:val="none" w:sz="0" w:space="0" w:color="auto"/>
      </w:divBdr>
    </w:div>
    <w:div w:id="1478036351">
      <w:bodyDiv w:val="1"/>
      <w:marLeft w:val="0"/>
      <w:marRight w:val="0"/>
      <w:marTop w:val="0"/>
      <w:marBottom w:val="0"/>
      <w:divBdr>
        <w:top w:val="none" w:sz="0" w:space="0" w:color="auto"/>
        <w:left w:val="none" w:sz="0" w:space="0" w:color="auto"/>
        <w:bottom w:val="none" w:sz="0" w:space="0" w:color="auto"/>
        <w:right w:val="none" w:sz="0" w:space="0" w:color="auto"/>
      </w:divBdr>
    </w:div>
    <w:div w:id="1544444352">
      <w:bodyDiv w:val="1"/>
      <w:marLeft w:val="0"/>
      <w:marRight w:val="0"/>
      <w:marTop w:val="0"/>
      <w:marBottom w:val="0"/>
      <w:divBdr>
        <w:top w:val="none" w:sz="0" w:space="0" w:color="auto"/>
        <w:left w:val="none" w:sz="0" w:space="0" w:color="auto"/>
        <w:bottom w:val="none" w:sz="0" w:space="0" w:color="auto"/>
        <w:right w:val="none" w:sz="0" w:space="0" w:color="auto"/>
      </w:divBdr>
    </w:div>
    <w:div w:id="1578901316">
      <w:bodyDiv w:val="1"/>
      <w:marLeft w:val="0"/>
      <w:marRight w:val="0"/>
      <w:marTop w:val="0"/>
      <w:marBottom w:val="0"/>
      <w:divBdr>
        <w:top w:val="none" w:sz="0" w:space="0" w:color="auto"/>
        <w:left w:val="none" w:sz="0" w:space="0" w:color="auto"/>
        <w:bottom w:val="none" w:sz="0" w:space="0" w:color="auto"/>
        <w:right w:val="none" w:sz="0" w:space="0" w:color="auto"/>
      </w:divBdr>
    </w:div>
    <w:div w:id="1614745195">
      <w:bodyDiv w:val="1"/>
      <w:marLeft w:val="0"/>
      <w:marRight w:val="0"/>
      <w:marTop w:val="0"/>
      <w:marBottom w:val="0"/>
      <w:divBdr>
        <w:top w:val="none" w:sz="0" w:space="0" w:color="auto"/>
        <w:left w:val="none" w:sz="0" w:space="0" w:color="auto"/>
        <w:bottom w:val="none" w:sz="0" w:space="0" w:color="auto"/>
        <w:right w:val="none" w:sz="0" w:space="0" w:color="auto"/>
      </w:divBdr>
    </w:div>
    <w:div w:id="1633443328">
      <w:bodyDiv w:val="1"/>
      <w:marLeft w:val="0"/>
      <w:marRight w:val="0"/>
      <w:marTop w:val="0"/>
      <w:marBottom w:val="0"/>
      <w:divBdr>
        <w:top w:val="none" w:sz="0" w:space="0" w:color="auto"/>
        <w:left w:val="none" w:sz="0" w:space="0" w:color="auto"/>
        <w:bottom w:val="none" w:sz="0" w:space="0" w:color="auto"/>
        <w:right w:val="none" w:sz="0" w:space="0" w:color="auto"/>
      </w:divBdr>
    </w:div>
    <w:div w:id="1633904382">
      <w:bodyDiv w:val="1"/>
      <w:marLeft w:val="0"/>
      <w:marRight w:val="0"/>
      <w:marTop w:val="0"/>
      <w:marBottom w:val="0"/>
      <w:divBdr>
        <w:top w:val="none" w:sz="0" w:space="0" w:color="auto"/>
        <w:left w:val="none" w:sz="0" w:space="0" w:color="auto"/>
        <w:bottom w:val="none" w:sz="0" w:space="0" w:color="auto"/>
        <w:right w:val="none" w:sz="0" w:space="0" w:color="auto"/>
      </w:divBdr>
    </w:div>
    <w:div w:id="1738474591">
      <w:bodyDiv w:val="1"/>
      <w:marLeft w:val="0"/>
      <w:marRight w:val="0"/>
      <w:marTop w:val="0"/>
      <w:marBottom w:val="0"/>
      <w:divBdr>
        <w:top w:val="none" w:sz="0" w:space="0" w:color="auto"/>
        <w:left w:val="none" w:sz="0" w:space="0" w:color="auto"/>
        <w:bottom w:val="none" w:sz="0" w:space="0" w:color="auto"/>
        <w:right w:val="none" w:sz="0" w:space="0" w:color="auto"/>
      </w:divBdr>
      <w:divsChild>
        <w:div w:id="740055832">
          <w:marLeft w:val="547"/>
          <w:marRight w:val="0"/>
          <w:marTop w:val="86"/>
          <w:marBottom w:val="0"/>
          <w:divBdr>
            <w:top w:val="none" w:sz="0" w:space="0" w:color="auto"/>
            <w:left w:val="none" w:sz="0" w:space="0" w:color="auto"/>
            <w:bottom w:val="none" w:sz="0" w:space="0" w:color="auto"/>
            <w:right w:val="none" w:sz="0" w:space="0" w:color="auto"/>
          </w:divBdr>
        </w:div>
        <w:div w:id="782771013">
          <w:marLeft w:val="547"/>
          <w:marRight w:val="0"/>
          <w:marTop w:val="86"/>
          <w:marBottom w:val="0"/>
          <w:divBdr>
            <w:top w:val="none" w:sz="0" w:space="0" w:color="auto"/>
            <w:left w:val="none" w:sz="0" w:space="0" w:color="auto"/>
            <w:bottom w:val="none" w:sz="0" w:space="0" w:color="auto"/>
            <w:right w:val="none" w:sz="0" w:space="0" w:color="auto"/>
          </w:divBdr>
        </w:div>
        <w:div w:id="1020860440">
          <w:marLeft w:val="547"/>
          <w:marRight w:val="0"/>
          <w:marTop w:val="86"/>
          <w:marBottom w:val="0"/>
          <w:divBdr>
            <w:top w:val="none" w:sz="0" w:space="0" w:color="auto"/>
            <w:left w:val="none" w:sz="0" w:space="0" w:color="auto"/>
            <w:bottom w:val="none" w:sz="0" w:space="0" w:color="auto"/>
            <w:right w:val="none" w:sz="0" w:space="0" w:color="auto"/>
          </w:divBdr>
        </w:div>
        <w:div w:id="1537350100">
          <w:marLeft w:val="547"/>
          <w:marRight w:val="0"/>
          <w:marTop w:val="86"/>
          <w:marBottom w:val="0"/>
          <w:divBdr>
            <w:top w:val="none" w:sz="0" w:space="0" w:color="auto"/>
            <w:left w:val="none" w:sz="0" w:space="0" w:color="auto"/>
            <w:bottom w:val="none" w:sz="0" w:space="0" w:color="auto"/>
            <w:right w:val="none" w:sz="0" w:space="0" w:color="auto"/>
          </w:divBdr>
        </w:div>
        <w:div w:id="1623612218">
          <w:marLeft w:val="547"/>
          <w:marRight w:val="0"/>
          <w:marTop w:val="86"/>
          <w:marBottom w:val="0"/>
          <w:divBdr>
            <w:top w:val="none" w:sz="0" w:space="0" w:color="auto"/>
            <w:left w:val="none" w:sz="0" w:space="0" w:color="auto"/>
            <w:bottom w:val="none" w:sz="0" w:space="0" w:color="auto"/>
            <w:right w:val="none" w:sz="0" w:space="0" w:color="auto"/>
          </w:divBdr>
        </w:div>
        <w:div w:id="2074548560">
          <w:marLeft w:val="547"/>
          <w:marRight w:val="0"/>
          <w:marTop w:val="86"/>
          <w:marBottom w:val="0"/>
          <w:divBdr>
            <w:top w:val="none" w:sz="0" w:space="0" w:color="auto"/>
            <w:left w:val="none" w:sz="0" w:space="0" w:color="auto"/>
            <w:bottom w:val="none" w:sz="0" w:space="0" w:color="auto"/>
            <w:right w:val="none" w:sz="0" w:space="0" w:color="auto"/>
          </w:divBdr>
        </w:div>
      </w:divsChild>
    </w:div>
    <w:div w:id="1847672355">
      <w:bodyDiv w:val="1"/>
      <w:marLeft w:val="0"/>
      <w:marRight w:val="0"/>
      <w:marTop w:val="0"/>
      <w:marBottom w:val="0"/>
      <w:divBdr>
        <w:top w:val="none" w:sz="0" w:space="0" w:color="auto"/>
        <w:left w:val="none" w:sz="0" w:space="0" w:color="auto"/>
        <w:bottom w:val="none" w:sz="0" w:space="0" w:color="auto"/>
        <w:right w:val="none" w:sz="0" w:space="0" w:color="auto"/>
      </w:divBdr>
    </w:div>
    <w:div w:id="1950156555">
      <w:bodyDiv w:val="1"/>
      <w:marLeft w:val="0"/>
      <w:marRight w:val="0"/>
      <w:marTop w:val="0"/>
      <w:marBottom w:val="0"/>
      <w:divBdr>
        <w:top w:val="none" w:sz="0" w:space="0" w:color="auto"/>
        <w:left w:val="none" w:sz="0" w:space="0" w:color="auto"/>
        <w:bottom w:val="none" w:sz="0" w:space="0" w:color="auto"/>
        <w:right w:val="none" w:sz="0" w:space="0" w:color="auto"/>
      </w:divBdr>
      <w:divsChild>
        <w:div w:id="562562775">
          <w:marLeft w:val="0"/>
          <w:marRight w:val="0"/>
          <w:marTop w:val="0"/>
          <w:marBottom w:val="0"/>
          <w:divBdr>
            <w:top w:val="none" w:sz="0" w:space="0" w:color="auto"/>
            <w:left w:val="none" w:sz="0" w:space="0" w:color="auto"/>
            <w:bottom w:val="none" w:sz="0" w:space="0" w:color="auto"/>
            <w:right w:val="none" w:sz="0" w:space="0" w:color="auto"/>
          </w:divBdr>
          <w:divsChild>
            <w:div w:id="1023482376">
              <w:marLeft w:val="0"/>
              <w:marRight w:val="0"/>
              <w:marTop w:val="0"/>
              <w:marBottom w:val="0"/>
              <w:divBdr>
                <w:top w:val="none" w:sz="0" w:space="0" w:color="auto"/>
                <w:left w:val="none" w:sz="0" w:space="0" w:color="auto"/>
                <w:bottom w:val="none" w:sz="0" w:space="0" w:color="auto"/>
                <w:right w:val="none" w:sz="0" w:space="0" w:color="auto"/>
              </w:divBdr>
              <w:divsChild>
                <w:div w:id="278335998">
                  <w:marLeft w:val="0"/>
                  <w:marRight w:val="0"/>
                  <w:marTop w:val="0"/>
                  <w:marBottom w:val="0"/>
                  <w:divBdr>
                    <w:top w:val="none" w:sz="0" w:space="0" w:color="auto"/>
                    <w:left w:val="none" w:sz="0" w:space="0" w:color="auto"/>
                    <w:bottom w:val="none" w:sz="0" w:space="0" w:color="auto"/>
                    <w:right w:val="none" w:sz="0" w:space="0" w:color="auto"/>
                  </w:divBdr>
                  <w:divsChild>
                    <w:div w:id="1410075205">
                      <w:marLeft w:val="0"/>
                      <w:marRight w:val="0"/>
                      <w:marTop w:val="0"/>
                      <w:marBottom w:val="0"/>
                      <w:divBdr>
                        <w:top w:val="none" w:sz="0" w:space="0" w:color="auto"/>
                        <w:left w:val="none" w:sz="0" w:space="0" w:color="auto"/>
                        <w:bottom w:val="none" w:sz="0" w:space="0" w:color="auto"/>
                        <w:right w:val="none" w:sz="0" w:space="0" w:color="auto"/>
                      </w:divBdr>
                      <w:divsChild>
                        <w:div w:id="1244023091">
                          <w:marLeft w:val="0"/>
                          <w:marRight w:val="0"/>
                          <w:marTop w:val="0"/>
                          <w:marBottom w:val="0"/>
                          <w:divBdr>
                            <w:top w:val="none" w:sz="0" w:space="0" w:color="auto"/>
                            <w:left w:val="none" w:sz="0" w:space="0" w:color="auto"/>
                            <w:bottom w:val="none" w:sz="0" w:space="0" w:color="auto"/>
                            <w:right w:val="none" w:sz="0" w:space="0" w:color="auto"/>
                          </w:divBdr>
                          <w:divsChild>
                            <w:div w:id="345180589">
                              <w:marLeft w:val="0"/>
                              <w:marRight w:val="0"/>
                              <w:marTop w:val="0"/>
                              <w:marBottom w:val="0"/>
                              <w:divBdr>
                                <w:top w:val="none" w:sz="0" w:space="0" w:color="auto"/>
                                <w:left w:val="none" w:sz="0" w:space="0" w:color="auto"/>
                                <w:bottom w:val="none" w:sz="0" w:space="0" w:color="auto"/>
                                <w:right w:val="none" w:sz="0" w:space="0" w:color="auto"/>
                              </w:divBdr>
                              <w:divsChild>
                                <w:div w:id="837160478">
                                  <w:marLeft w:val="0"/>
                                  <w:marRight w:val="0"/>
                                  <w:marTop w:val="0"/>
                                  <w:marBottom w:val="0"/>
                                  <w:divBdr>
                                    <w:top w:val="none" w:sz="0" w:space="0" w:color="auto"/>
                                    <w:left w:val="none" w:sz="0" w:space="0" w:color="auto"/>
                                    <w:bottom w:val="none" w:sz="0" w:space="0" w:color="auto"/>
                                    <w:right w:val="none" w:sz="0" w:space="0" w:color="auto"/>
                                  </w:divBdr>
                                  <w:divsChild>
                                    <w:div w:id="1642929996">
                                      <w:marLeft w:val="0"/>
                                      <w:marRight w:val="0"/>
                                      <w:marTop w:val="0"/>
                                      <w:marBottom w:val="0"/>
                                      <w:divBdr>
                                        <w:top w:val="none" w:sz="0" w:space="0" w:color="auto"/>
                                        <w:left w:val="none" w:sz="0" w:space="0" w:color="auto"/>
                                        <w:bottom w:val="none" w:sz="0" w:space="0" w:color="auto"/>
                                        <w:right w:val="none" w:sz="0" w:space="0" w:color="auto"/>
                                      </w:divBdr>
                                      <w:divsChild>
                                        <w:div w:id="1736005250">
                                          <w:marLeft w:val="0"/>
                                          <w:marRight w:val="0"/>
                                          <w:marTop w:val="0"/>
                                          <w:marBottom w:val="0"/>
                                          <w:divBdr>
                                            <w:top w:val="none" w:sz="0" w:space="0" w:color="auto"/>
                                            <w:left w:val="none" w:sz="0" w:space="0" w:color="auto"/>
                                            <w:bottom w:val="none" w:sz="0" w:space="0" w:color="auto"/>
                                            <w:right w:val="none" w:sz="0" w:space="0" w:color="auto"/>
                                          </w:divBdr>
                                          <w:divsChild>
                                            <w:div w:id="1398818647">
                                              <w:marLeft w:val="0"/>
                                              <w:marRight w:val="0"/>
                                              <w:marTop w:val="0"/>
                                              <w:marBottom w:val="0"/>
                                              <w:divBdr>
                                                <w:top w:val="none" w:sz="0" w:space="0" w:color="auto"/>
                                                <w:left w:val="none" w:sz="0" w:space="0" w:color="auto"/>
                                                <w:bottom w:val="none" w:sz="0" w:space="0" w:color="auto"/>
                                                <w:right w:val="none" w:sz="0" w:space="0" w:color="auto"/>
                                              </w:divBdr>
                                              <w:divsChild>
                                                <w:div w:id="210771378">
                                                  <w:marLeft w:val="0"/>
                                                  <w:marRight w:val="0"/>
                                                  <w:marTop w:val="0"/>
                                                  <w:marBottom w:val="0"/>
                                                  <w:divBdr>
                                                    <w:top w:val="none" w:sz="0" w:space="0" w:color="auto"/>
                                                    <w:left w:val="none" w:sz="0" w:space="0" w:color="auto"/>
                                                    <w:bottom w:val="none" w:sz="0" w:space="0" w:color="auto"/>
                                                    <w:right w:val="none" w:sz="0" w:space="0" w:color="auto"/>
                                                  </w:divBdr>
                                                  <w:divsChild>
                                                    <w:div w:id="670985190">
                                                      <w:marLeft w:val="0"/>
                                                      <w:marRight w:val="0"/>
                                                      <w:marTop w:val="0"/>
                                                      <w:marBottom w:val="0"/>
                                                      <w:divBdr>
                                                        <w:top w:val="none" w:sz="0" w:space="0" w:color="auto"/>
                                                        <w:left w:val="none" w:sz="0" w:space="0" w:color="auto"/>
                                                        <w:bottom w:val="none" w:sz="0" w:space="0" w:color="auto"/>
                                                        <w:right w:val="none" w:sz="0" w:space="0" w:color="auto"/>
                                                      </w:divBdr>
                                                      <w:divsChild>
                                                        <w:div w:id="304822170">
                                                          <w:marLeft w:val="0"/>
                                                          <w:marRight w:val="0"/>
                                                          <w:marTop w:val="0"/>
                                                          <w:marBottom w:val="0"/>
                                                          <w:divBdr>
                                                            <w:top w:val="none" w:sz="0" w:space="0" w:color="auto"/>
                                                            <w:left w:val="none" w:sz="0" w:space="0" w:color="auto"/>
                                                            <w:bottom w:val="none" w:sz="0" w:space="0" w:color="auto"/>
                                                            <w:right w:val="none" w:sz="0" w:space="0" w:color="auto"/>
                                                          </w:divBdr>
                                                          <w:divsChild>
                                                            <w:div w:id="1985507516">
                                                              <w:marLeft w:val="0"/>
                                                              <w:marRight w:val="0"/>
                                                              <w:marTop w:val="0"/>
                                                              <w:marBottom w:val="0"/>
                                                              <w:divBdr>
                                                                <w:top w:val="none" w:sz="0" w:space="0" w:color="auto"/>
                                                                <w:left w:val="none" w:sz="0" w:space="0" w:color="auto"/>
                                                                <w:bottom w:val="none" w:sz="0" w:space="0" w:color="auto"/>
                                                                <w:right w:val="none" w:sz="0" w:space="0" w:color="auto"/>
                                                              </w:divBdr>
                                                              <w:divsChild>
                                                                <w:div w:id="518204305">
                                                                  <w:marLeft w:val="0"/>
                                                                  <w:marRight w:val="0"/>
                                                                  <w:marTop w:val="0"/>
                                                                  <w:marBottom w:val="0"/>
                                                                  <w:divBdr>
                                                                    <w:top w:val="none" w:sz="0" w:space="0" w:color="auto"/>
                                                                    <w:left w:val="none" w:sz="0" w:space="0" w:color="auto"/>
                                                                    <w:bottom w:val="none" w:sz="0" w:space="0" w:color="auto"/>
                                                                    <w:right w:val="none" w:sz="0" w:space="0" w:color="auto"/>
                                                                  </w:divBdr>
                                                                  <w:divsChild>
                                                                    <w:div w:id="107626643">
                                                                      <w:marLeft w:val="0"/>
                                                                      <w:marRight w:val="0"/>
                                                                      <w:marTop w:val="0"/>
                                                                      <w:marBottom w:val="120"/>
                                                                      <w:divBdr>
                                                                        <w:top w:val="none" w:sz="0" w:space="0" w:color="auto"/>
                                                                        <w:left w:val="none" w:sz="0" w:space="0" w:color="auto"/>
                                                                        <w:bottom w:val="none" w:sz="0" w:space="0" w:color="auto"/>
                                                                        <w:right w:val="none" w:sz="0" w:space="0" w:color="auto"/>
                                                                      </w:divBdr>
                                                                      <w:divsChild>
                                                                        <w:div w:id="1857377546">
                                                                          <w:marLeft w:val="0"/>
                                                                          <w:marRight w:val="0"/>
                                                                          <w:marTop w:val="0"/>
                                                                          <w:marBottom w:val="0"/>
                                                                          <w:divBdr>
                                                                            <w:top w:val="none" w:sz="0" w:space="0" w:color="auto"/>
                                                                            <w:left w:val="none" w:sz="0" w:space="0" w:color="auto"/>
                                                                            <w:bottom w:val="none" w:sz="0" w:space="0" w:color="auto"/>
                                                                            <w:right w:val="none" w:sz="0" w:space="0" w:color="auto"/>
                                                                          </w:divBdr>
                                                                        </w:div>
                                                                      </w:divsChild>
                                                                    </w:div>
                                                                    <w:div w:id="166210437">
                                                                      <w:marLeft w:val="0"/>
                                                                      <w:marRight w:val="0"/>
                                                                      <w:marTop w:val="0"/>
                                                                      <w:marBottom w:val="0"/>
                                                                      <w:divBdr>
                                                                        <w:top w:val="none" w:sz="0" w:space="0" w:color="auto"/>
                                                                        <w:left w:val="none" w:sz="0" w:space="0" w:color="auto"/>
                                                                        <w:bottom w:val="none" w:sz="0" w:space="0" w:color="auto"/>
                                                                        <w:right w:val="none" w:sz="0" w:space="0" w:color="auto"/>
                                                                      </w:divBdr>
                                                                      <w:divsChild>
                                                                        <w:div w:id="232353616">
                                                                          <w:marLeft w:val="0"/>
                                                                          <w:marRight w:val="0"/>
                                                                          <w:marTop w:val="0"/>
                                                                          <w:marBottom w:val="0"/>
                                                                          <w:divBdr>
                                                                            <w:top w:val="none" w:sz="0" w:space="0" w:color="auto"/>
                                                                            <w:left w:val="none" w:sz="0" w:space="0" w:color="auto"/>
                                                                            <w:bottom w:val="none" w:sz="0" w:space="0" w:color="auto"/>
                                                                            <w:right w:val="none" w:sz="0" w:space="0" w:color="auto"/>
                                                                          </w:divBdr>
                                                                        </w:div>
                                                                      </w:divsChild>
                                                                    </w:div>
                                                                    <w:div w:id="392700283">
                                                                      <w:marLeft w:val="720"/>
                                                                      <w:marRight w:val="0"/>
                                                                      <w:marTop w:val="0"/>
                                                                      <w:marBottom w:val="0"/>
                                                                      <w:divBdr>
                                                                        <w:top w:val="none" w:sz="0" w:space="0" w:color="auto"/>
                                                                        <w:left w:val="none" w:sz="0" w:space="0" w:color="auto"/>
                                                                        <w:bottom w:val="none" w:sz="0" w:space="0" w:color="auto"/>
                                                                        <w:right w:val="none" w:sz="0" w:space="0" w:color="auto"/>
                                                                      </w:divBdr>
                                                                      <w:divsChild>
                                                                        <w:div w:id="65154582">
                                                                          <w:marLeft w:val="0"/>
                                                                          <w:marRight w:val="0"/>
                                                                          <w:marTop w:val="0"/>
                                                                          <w:marBottom w:val="0"/>
                                                                          <w:divBdr>
                                                                            <w:top w:val="none" w:sz="0" w:space="0" w:color="auto"/>
                                                                            <w:left w:val="none" w:sz="0" w:space="0" w:color="auto"/>
                                                                            <w:bottom w:val="none" w:sz="0" w:space="0" w:color="auto"/>
                                                                            <w:right w:val="none" w:sz="0" w:space="0" w:color="auto"/>
                                                                          </w:divBdr>
                                                                        </w:div>
                                                                      </w:divsChild>
                                                                    </w:div>
                                                                    <w:div w:id="556861874">
                                                                      <w:marLeft w:val="720"/>
                                                                      <w:marRight w:val="0"/>
                                                                      <w:marTop w:val="120"/>
                                                                      <w:marBottom w:val="120"/>
                                                                      <w:divBdr>
                                                                        <w:top w:val="none" w:sz="0" w:space="0" w:color="auto"/>
                                                                        <w:left w:val="none" w:sz="0" w:space="0" w:color="auto"/>
                                                                        <w:bottom w:val="none" w:sz="0" w:space="0" w:color="auto"/>
                                                                        <w:right w:val="none" w:sz="0" w:space="0" w:color="auto"/>
                                                                      </w:divBdr>
                                                                      <w:divsChild>
                                                                        <w:div w:id="1086724859">
                                                                          <w:marLeft w:val="0"/>
                                                                          <w:marRight w:val="0"/>
                                                                          <w:marTop w:val="0"/>
                                                                          <w:marBottom w:val="0"/>
                                                                          <w:divBdr>
                                                                            <w:top w:val="none" w:sz="0" w:space="0" w:color="auto"/>
                                                                            <w:left w:val="none" w:sz="0" w:space="0" w:color="auto"/>
                                                                            <w:bottom w:val="none" w:sz="0" w:space="0" w:color="auto"/>
                                                                            <w:right w:val="none" w:sz="0" w:space="0" w:color="auto"/>
                                                                          </w:divBdr>
                                                                        </w:div>
                                                                      </w:divsChild>
                                                                    </w:div>
                                                                    <w:div w:id="646589835">
                                                                      <w:marLeft w:val="0"/>
                                                                      <w:marRight w:val="0"/>
                                                                      <w:marTop w:val="0"/>
                                                                      <w:marBottom w:val="0"/>
                                                                      <w:divBdr>
                                                                        <w:top w:val="none" w:sz="0" w:space="0" w:color="auto"/>
                                                                        <w:left w:val="none" w:sz="0" w:space="0" w:color="auto"/>
                                                                        <w:bottom w:val="none" w:sz="0" w:space="0" w:color="auto"/>
                                                                        <w:right w:val="none" w:sz="0" w:space="0" w:color="auto"/>
                                                                      </w:divBdr>
                                                                      <w:divsChild>
                                                                        <w:div w:id="689261571">
                                                                          <w:marLeft w:val="0"/>
                                                                          <w:marRight w:val="0"/>
                                                                          <w:marTop w:val="0"/>
                                                                          <w:marBottom w:val="0"/>
                                                                          <w:divBdr>
                                                                            <w:top w:val="none" w:sz="0" w:space="0" w:color="auto"/>
                                                                            <w:left w:val="none" w:sz="0" w:space="0" w:color="auto"/>
                                                                            <w:bottom w:val="none" w:sz="0" w:space="0" w:color="auto"/>
                                                                            <w:right w:val="none" w:sz="0" w:space="0" w:color="auto"/>
                                                                          </w:divBdr>
                                                                        </w:div>
                                                                      </w:divsChild>
                                                                    </w:div>
                                                                    <w:div w:id="772240736">
                                                                      <w:marLeft w:val="0"/>
                                                                      <w:marRight w:val="0"/>
                                                                      <w:marTop w:val="0"/>
                                                                      <w:marBottom w:val="0"/>
                                                                      <w:divBdr>
                                                                        <w:top w:val="none" w:sz="0" w:space="0" w:color="auto"/>
                                                                        <w:left w:val="none" w:sz="0" w:space="0" w:color="auto"/>
                                                                        <w:bottom w:val="none" w:sz="0" w:space="0" w:color="auto"/>
                                                                        <w:right w:val="none" w:sz="0" w:space="0" w:color="auto"/>
                                                                      </w:divBdr>
                                                                      <w:divsChild>
                                                                        <w:div w:id="1589997086">
                                                                          <w:marLeft w:val="0"/>
                                                                          <w:marRight w:val="0"/>
                                                                          <w:marTop w:val="0"/>
                                                                          <w:marBottom w:val="0"/>
                                                                          <w:divBdr>
                                                                            <w:top w:val="none" w:sz="0" w:space="0" w:color="auto"/>
                                                                            <w:left w:val="none" w:sz="0" w:space="0" w:color="auto"/>
                                                                            <w:bottom w:val="none" w:sz="0" w:space="0" w:color="auto"/>
                                                                            <w:right w:val="none" w:sz="0" w:space="0" w:color="auto"/>
                                                                          </w:divBdr>
                                                                        </w:div>
                                                                      </w:divsChild>
                                                                    </w:div>
                                                                    <w:div w:id="908613572">
                                                                      <w:marLeft w:val="0"/>
                                                                      <w:marRight w:val="0"/>
                                                                      <w:marTop w:val="0"/>
                                                                      <w:marBottom w:val="0"/>
                                                                      <w:divBdr>
                                                                        <w:top w:val="none" w:sz="0" w:space="0" w:color="auto"/>
                                                                        <w:left w:val="none" w:sz="0" w:space="0" w:color="auto"/>
                                                                        <w:bottom w:val="none" w:sz="0" w:space="0" w:color="auto"/>
                                                                        <w:right w:val="none" w:sz="0" w:space="0" w:color="auto"/>
                                                                      </w:divBdr>
                                                                      <w:divsChild>
                                                                        <w:div w:id="138965378">
                                                                          <w:marLeft w:val="0"/>
                                                                          <w:marRight w:val="0"/>
                                                                          <w:marTop w:val="0"/>
                                                                          <w:marBottom w:val="0"/>
                                                                          <w:divBdr>
                                                                            <w:top w:val="none" w:sz="0" w:space="0" w:color="auto"/>
                                                                            <w:left w:val="none" w:sz="0" w:space="0" w:color="auto"/>
                                                                            <w:bottom w:val="none" w:sz="0" w:space="0" w:color="auto"/>
                                                                            <w:right w:val="none" w:sz="0" w:space="0" w:color="auto"/>
                                                                          </w:divBdr>
                                                                        </w:div>
                                                                      </w:divsChild>
                                                                    </w:div>
                                                                    <w:div w:id="951475785">
                                                                      <w:marLeft w:val="0"/>
                                                                      <w:marRight w:val="0"/>
                                                                      <w:marTop w:val="0"/>
                                                                      <w:marBottom w:val="0"/>
                                                                      <w:divBdr>
                                                                        <w:top w:val="none" w:sz="0" w:space="0" w:color="auto"/>
                                                                        <w:left w:val="none" w:sz="0" w:space="0" w:color="auto"/>
                                                                        <w:bottom w:val="none" w:sz="0" w:space="0" w:color="auto"/>
                                                                        <w:right w:val="none" w:sz="0" w:space="0" w:color="auto"/>
                                                                      </w:divBdr>
                                                                      <w:divsChild>
                                                                        <w:div w:id="230778255">
                                                                          <w:marLeft w:val="0"/>
                                                                          <w:marRight w:val="0"/>
                                                                          <w:marTop w:val="0"/>
                                                                          <w:marBottom w:val="0"/>
                                                                          <w:divBdr>
                                                                            <w:top w:val="none" w:sz="0" w:space="0" w:color="auto"/>
                                                                            <w:left w:val="none" w:sz="0" w:space="0" w:color="auto"/>
                                                                            <w:bottom w:val="none" w:sz="0" w:space="0" w:color="auto"/>
                                                                            <w:right w:val="none" w:sz="0" w:space="0" w:color="auto"/>
                                                                          </w:divBdr>
                                                                        </w:div>
                                                                      </w:divsChild>
                                                                    </w:div>
                                                                    <w:div w:id="1001809427">
                                                                      <w:marLeft w:val="0"/>
                                                                      <w:marRight w:val="0"/>
                                                                      <w:marTop w:val="0"/>
                                                                      <w:marBottom w:val="0"/>
                                                                      <w:divBdr>
                                                                        <w:top w:val="none" w:sz="0" w:space="0" w:color="auto"/>
                                                                        <w:left w:val="none" w:sz="0" w:space="0" w:color="auto"/>
                                                                        <w:bottom w:val="none" w:sz="0" w:space="0" w:color="auto"/>
                                                                        <w:right w:val="none" w:sz="0" w:space="0" w:color="auto"/>
                                                                      </w:divBdr>
                                                                      <w:divsChild>
                                                                        <w:div w:id="1953854300">
                                                                          <w:marLeft w:val="0"/>
                                                                          <w:marRight w:val="0"/>
                                                                          <w:marTop w:val="0"/>
                                                                          <w:marBottom w:val="0"/>
                                                                          <w:divBdr>
                                                                            <w:top w:val="none" w:sz="0" w:space="0" w:color="auto"/>
                                                                            <w:left w:val="none" w:sz="0" w:space="0" w:color="auto"/>
                                                                            <w:bottom w:val="none" w:sz="0" w:space="0" w:color="auto"/>
                                                                            <w:right w:val="none" w:sz="0" w:space="0" w:color="auto"/>
                                                                          </w:divBdr>
                                                                        </w:div>
                                                                      </w:divsChild>
                                                                    </w:div>
                                                                    <w:div w:id="1201437277">
                                                                      <w:marLeft w:val="0"/>
                                                                      <w:marRight w:val="0"/>
                                                                      <w:marTop w:val="0"/>
                                                                      <w:marBottom w:val="0"/>
                                                                      <w:divBdr>
                                                                        <w:top w:val="none" w:sz="0" w:space="0" w:color="auto"/>
                                                                        <w:left w:val="none" w:sz="0" w:space="0" w:color="auto"/>
                                                                        <w:bottom w:val="none" w:sz="0" w:space="0" w:color="auto"/>
                                                                        <w:right w:val="none" w:sz="0" w:space="0" w:color="auto"/>
                                                                      </w:divBdr>
                                                                      <w:divsChild>
                                                                        <w:div w:id="959451906">
                                                                          <w:marLeft w:val="0"/>
                                                                          <w:marRight w:val="0"/>
                                                                          <w:marTop w:val="0"/>
                                                                          <w:marBottom w:val="0"/>
                                                                          <w:divBdr>
                                                                            <w:top w:val="none" w:sz="0" w:space="0" w:color="auto"/>
                                                                            <w:left w:val="none" w:sz="0" w:space="0" w:color="auto"/>
                                                                            <w:bottom w:val="none" w:sz="0" w:space="0" w:color="auto"/>
                                                                            <w:right w:val="none" w:sz="0" w:space="0" w:color="auto"/>
                                                                          </w:divBdr>
                                                                        </w:div>
                                                                      </w:divsChild>
                                                                    </w:div>
                                                                    <w:div w:id="1285695955">
                                                                      <w:marLeft w:val="0"/>
                                                                      <w:marRight w:val="0"/>
                                                                      <w:marTop w:val="0"/>
                                                                      <w:marBottom w:val="0"/>
                                                                      <w:divBdr>
                                                                        <w:top w:val="none" w:sz="0" w:space="0" w:color="auto"/>
                                                                        <w:left w:val="none" w:sz="0" w:space="0" w:color="auto"/>
                                                                        <w:bottom w:val="none" w:sz="0" w:space="0" w:color="auto"/>
                                                                        <w:right w:val="none" w:sz="0" w:space="0" w:color="auto"/>
                                                                      </w:divBdr>
                                                                      <w:divsChild>
                                                                        <w:div w:id="1399595906">
                                                                          <w:marLeft w:val="0"/>
                                                                          <w:marRight w:val="0"/>
                                                                          <w:marTop w:val="0"/>
                                                                          <w:marBottom w:val="0"/>
                                                                          <w:divBdr>
                                                                            <w:top w:val="none" w:sz="0" w:space="0" w:color="auto"/>
                                                                            <w:left w:val="none" w:sz="0" w:space="0" w:color="auto"/>
                                                                            <w:bottom w:val="none" w:sz="0" w:space="0" w:color="auto"/>
                                                                            <w:right w:val="none" w:sz="0" w:space="0" w:color="auto"/>
                                                                          </w:divBdr>
                                                                        </w:div>
                                                                      </w:divsChild>
                                                                    </w:div>
                                                                    <w:div w:id="1331635912">
                                                                      <w:marLeft w:val="0"/>
                                                                      <w:marRight w:val="0"/>
                                                                      <w:marTop w:val="0"/>
                                                                      <w:marBottom w:val="0"/>
                                                                      <w:divBdr>
                                                                        <w:top w:val="none" w:sz="0" w:space="0" w:color="auto"/>
                                                                        <w:left w:val="none" w:sz="0" w:space="0" w:color="auto"/>
                                                                        <w:bottom w:val="none" w:sz="0" w:space="0" w:color="auto"/>
                                                                        <w:right w:val="none" w:sz="0" w:space="0" w:color="auto"/>
                                                                      </w:divBdr>
                                                                      <w:divsChild>
                                                                        <w:div w:id="628360431">
                                                                          <w:marLeft w:val="0"/>
                                                                          <w:marRight w:val="0"/>
                                                                          <w:marTop w:val="0"/>
                                                                          <w:marBottom w:val="0"/>
                                                                          <w:divBdr>
                                                                            <w:top w:val="none" w:sz="0" w:space="0" w:color="auto"/>
                                                                            <w:left w:val="none" w:sz="0" w:space="0" w:color="auto"/>
                                                                            <w:bottom w:val="none" w:sz="0" w:space="0" w:color="auto"/>
                                                                            <w:right w:val="none" w:sz="0" w:space="0" w:color="auto"/>
                                                                          </w:divBdr>
                                                                        </w:div>
                                                                      </w:divsChild>
                                                                    </w:div>
                                                                    <w:div w:id="1397052802">
                                                                      <w:marLeft w:val="0"/>
                                                                      <w:marRight w:val="0"/>
                                                                      <w:marTop w:val="0"/>
                                                                      <w:marBottom w:val="0"/>
                                                                      <w:divBdr>
                                                                        <w:top w:val="none" w:sz="0" w:space="0" w:color="auto"/>
                                                                        <w:left w:val="none" w:sz="0" w:space="0" w:color="auto"/>
                                                                        <w:bottom w:val="none" w:sz="0" w:space="0" w:color="auto"/>
                                                                        <w:right w:val="none" w:sz="0" w:space="0" w:color="auto"/>
                                                                      </w:divBdr>
                                                                      <w:divsChild>
                                                                        <w:div w:id="32653382">
                                                                          <w:marLeft w:val="0"/>
                                                                          <w:marRight w:val="0"/>
                                                                          <w:marTop w:val="0"/>
                                                                          <w:marBottom w:val="0"/>
                                                                          <w:divBdr>
                                                                            <w:top w:val="none" w:sz="0" w:space="0" w:color="auto"/>
                                                                            <w:left w:val="none" w:sz="0" w:space="0" w:color="auto"/>
                                                                            <w:bottom w:val="none" w:sz="0" w:space="0" w:color="auto"/>
                                                                            <w:right w:val="none" w:sz="0" w:space="0" w:color="auto"/>
                                                                          </w:divBdr>
                                                                        </w:div>
                                                                      </w:divsChild>
                                                                    </w:div>
                                                                    <w:div w:id="1477188717">
                                                                      <w:marLeft w:val="720"/>
                                                                      <w:marRight w:val="0"/>
                                                                      <w:marTop w:val="120"/>
                                                                      <w:marBottom w:val="120"/>
                                                                      <w:divBdr>
                                                                        <w:top w:val="none" w:sz="0" w:space="0" w:color="auto"/>
                                                                        <w:left w:val="none" w:sz="0" w:space="0" w:color="auto"/>
                                                                        <w:bottom w:val="none" w:sz="0" w:space="0" w:color="auto"/>
                                                                        <w:right w:val="none" w:sz="0" w:space="0" w:color="auto"/>
                                                                      </w:divBdr>
                                                                      <w:divsChild>
                                                                        <w:div w:id="2041708833">
                                                                          <w:marLeft w:val="0"/>
                                                                          <w:marRight w:val="0"/>
                                                                          <w:marTop w:val="0"/>
                                                                          <w:marBottom w:val="0"/>
                                                                          <w:divBdr>
                                                                            <w:top w:val="none" w:sz="0" w:space="0" w:color="auto"/>
                                                                            <w:left w:val="none" w:sz="0" w:space="0" w:color="auto"/>
                                                                            <w:bottom w:val="none" w:sz="0" w:space="0" w:color="auto"/>
                                                                            <w:right w:val="none" w:sz="0" w:space="0" w:color="auto"/>
                                                                          </w:divBdr>
                                                                        </w:div>
                                                                      </w:divsChild>
                                                                    </w:div>
                                                                    <w:div w:id="2074963119">
                                                                      <w:marLeft w:val="720"/>
                                                                      <w:marRight w:val="0"/>
                                                                      <w:marTop w:val="120"/>
                                                                      <w:marBottom w:val="120"/>
                                                                      <w:divBdr>
                                                                        <w:top w:val="none" w:sz="0" w:space="0" w:color="auto"/>
                                                                        <w:left w:val="none" w:sz="0" w:space="0" w:color="auto"/>
                                                                        <w:bottom w:val="none" w:sz="0" w:space="0" w:color="auto"/>
                                                                        <w:right w:val="none" w:sz="0" w:space="0" w:color="auto"/>
                                                                      </w:divBdr>
                                                                      <w:divsChild>
                                                                        <w:div w:id="1924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914044">
      <w:bodyDiv w:val="1"/>
      <w:marLeft w:val="0"/>
      <w:marRight w:val="0"/>
      <w:marTop w:val="0"/>
      <w:marBottom w:val="0"/>
      <w:divBdr>
        <w:top w:val="none" w:sz="0" w:space="0" w:color="auto"/>
        <w:left w:val="none" w:sz="0" w:space="0" w:color="auto"/>
        <w:bottom w:val="none" w:sz="0" w:space="0" w:color="auto"/>
        <w:right w:val="none" w:sz="0" w:space="0" w:color="auto"/>
      </w:divBdr>
    </w:div>
    <w:div w:id="2030834162">
      <w:bodyDiv w:val="1"/>
      <w:marLeft w:val="0"/>
      <w:marRight w:val="0"/>
      <w:marTop w:val="0"/>
      <w:marBottom w:val="0"/>
      <w:divBdr>
        <w:top w:val="none" w:sz="0" w:space="0" w:color="auto"/>
        <w:left w:val="none" w:sz="0" w:space="0" w:color="auto"/>
        <w:bottom w:val="none" w:sz="0" w:space="0" w:color="auto"/>
        <w:right w:val="none" w:sz="0" w:space="0" w:color="auto"/>
      </w:divBdr>
      <w:divsChild>
        <w:div w:id="533536985">
          <w:marLeft w:val="1166"/>
          <w:marRight w:val="0"/>
          <w:marTop w:val="86"/>
          <w:marBottom w:val="0"/>
          <w:divBdr>
            <w:top w:val="none" w:sz="0" w:space="0" w:color="auto"/>
            <w:left w:val="none" w:sz="0" w:space="0" w:color="auto"/>
            <w:bottom w:val="none" w:sz="0" w:space="0" w:color="auto"/>
            <w:right w:val="none" w:sz="0" w:space="0" w:color="auto"/>
          </w:divBdr>
        </w:div>
        <w:div w:id="638799530">
          <w:marLeft w:val="1166"/>
          <w:marRight w:val="0"/>
          <w:marTop w:val="86"/>
          <w:marBottom w:val="0"/>
          <w:divBdr>
            <w:top w:val="none" w:sz="0" w:space="0" w:color="auto"/>
            <w:left w:val="none" w:sz="0" w:space="0" w:color="auto"/>
            <w:bottom w:val="none" w:sz="0" w:space="0" w:color="auto"/>
            <w:right w:val="none" w:sz="0" w:space="0" w:color="auto"/>
          </w:divBdr>
        </w:div>
        <w:div w:id="827867581">
          <w:marLeft w:val="547"/>
          <w:marRight w:val="0"/>
          <w:marTop w:val="86"/>
          <w:marBottom w:val="0"/>
          <w:divBdr>
            <w:top w:val="none" w:sz="0" w:space="0" w:color="auto"/>
            <w:left w:val="none" w:sz="0" w:space="0" w:color="auto"/>
            <w:bottom w:val="none" w:sz="0" w:space="0" w:color="auto"/>
            <w:right w:val="none" w:sz="0" w:space="0" w:color="auto"/>
          </w:divBdr>
        </w:div>
        <w:div w:id="1554459374">
          <w:marLeft w:val="1166"/>
          <w:marRight w:val="0"/>
          <w:marTop w:val="86"/>
          <w:marBottom w:val="0"/>
          <w:divBdr>
            <w:top w:val="none" w:sz="0" w:space="0" w:color="auto"/>
            <w:left w:val="none" w:sz="0" w:space="0" w:color="auto"/>
            <w:bottom w:val="none" w:sz="0" w:space="0" w:color="auto"/>
            <w:right w:val="none" w:sz="0" w:space="0" w:color="auto"/>
          </w:divBdr>
        </w:div>
        <w:div w:id="1834831712">
          <w:marLeft w:val="1166"/>
          <w:marRight w:val="0"/>
          <w:marTop w:val="86"/>
          <w:marBottom w:val="0"/>
          <w:divBdr>
            <w:top w:val="none" w:sz="0" w:space="0" w:color="auto"/>
            <w:left w:val="none" w:sz="0" w:space="0" w:color="auto"/>
            <w:bottom w:val="none" w:sz="0" w:space="0" w:color="auto"/>
            <w:right w:val="none" w:sz="0" w:space="0" w:color="auto"/>
          </w:divBdr>
        </w:div>
      </w:divsChild>
    </w:div>
    <w:div w:id="2038895899">
      <w:bodyDiv w:val="1"/>
      <w:marLeft w:val="0"/>
      <w:marRight w:val="0"/>
      <w:marTop w:val="0"/>
      <w:marBottom w:val="0"/>
      <w:divBdr>
        <w:top w:val="none" w:sz="0" w:space="0" w:color="auto"/>
        <w:left w:val="none" w:sz="0" w:space="0" w:color="auto"/>
        <w:bottom w:val="none" w:sz="0" w:space="0" w:color="auto"/>
        <w:right w:val="none" w:sz="0" w:space="0" w:color="auto"/>
      </w:divBdr>
      <w:divsChild>
        <w:div w:id="367990763">
          <w:marLeft w:val="1166"/>
          <w:marRight w:val="0"/>
          <w:marTop w:val="86"/>
          <w:marBottom w:val="0"/>
          <w:divBdr>
            <w:top w:val="none" w:sz="0" w:space="0" w:color="auto"/>
            <w:left w:val="none" w:sz="0" w:space="0" w:color="auto"/>
            <w:bottom w:val="none" w:sz="0" w:space="0" w:color="auto"/>
            <w:right w:val="none" w:sz="0" w:space="0" w:color="auto"/>
          </w:divBdr>
        </w:div>
        <w:div w:id="475222057">
          <w:marLeft w:val="547"/>
          <w:marRight w:val="0"/>
          <w:marTop w:val="86"/>
          <w:marBottom w:val="0"/>
          <w:divBdr>
            <w:top w:val="none" w:sz="0" w:space="0" w:color="auto"/>
            <w:left w:val="none" w:sz="0" w:space="0" w:color="auto"/>
            <w:bottom w:val="none" w:sz="0" w:space="0" w:color="auto"/>
            <w:right w:val="none" w:sz="0" w:space="0" w:color="auto"/>
          </w:divBdr>
        </w:div>
        <w:div w:id="934633065">
          <w:marLeft w:val="547"/>
          <w:marRight w:val="0"/>
          <w:marTop w:val="86"/>
          <w:marBottom w:val="0"/>
          <w:divBdr>
            <w:top w:val="none" w:sz="0" w:space="0" w:color="auto"/>
            <w:left w:val="none" w:sz="0" w:space="0" w:color="auto"/>
            <w:bottom w:val="none" w:sz="0" w:space="0" w:color="auto"/>
            <w:right w:val="none" w:sz="0" w:space="0" w:color="auto"/>
          </w:divBdr>
        </w:div>
        <w:div w:id="1065572310">
          <w:marLeft w:val="547"/>
          <w:marRight w:val="0"/>
          <w:marTop w:val="86"/>
          <w:marBottom w:val="0"/>
          <w:divBdr>
            <w:top w:val="none" w:sz="0" w:space="0" w:color="auto"/>
            <w:left w:val="none" w:sz="0" w:space="0" w:color="auto"/>
            <w:bottom w:val="none" w:sz="0" w:space="0" w:color="auto"/>
            <w:right w:val="none" w:sz="0" w:space="0" w:color="auto"/>
          </w:divBdr>
        </w:div>
        <w:div w:id="1149244546">
          <w:marLeft w:val="1166"/>
          <w:marRight w:val="0"/>
          <w:marTop w:val="86"/>
          <w:marBottom w:val="0"/>
          <w:divBdr>
            <w:top w:val="none" w:sz="0" w:space="0" w:color="auto"/>
            <w:left w:val="none" w:sz="0" w:space="0" w:color="auto"/>
            <w:bottom w:val="none" w:sz="0" w:space="0" w:color="auto"/>
            <w:right w:val="none" w:sz="0" w:space="0" w:color="auto"/>
          </w:divBdr>
        </w:div>
        <w:div w:id="1900284189">
          <w:marLeft w:val="547"/>
          <w:marRight w:val="0"/>
          <w:marTop w:val="86"/>
          <w:marBottom w:val="0"/>
          <w:divBdr>
            <w:top w:val="none" w:sz="0" w:space="0" w:color="auto"/>
            <w:left w:val="none" w:sz="0" w:space="0" w:color="auto"/>
            <w:bottom w:val="none" w:sz="0" w:space="0" w:color="auto"/>
            <w:right w:val="none" w:sz="0" w:space="0" w:color="auto"/>
          </w:divBdr>
        </w:div>
        <w:div w:id="193890828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sfondi.lv/zinojumi-par-es-fondu-istenosanu-1" TargetMode="External"/><Relationship Id="rId18" Type="http://schemas.openxmlformats.org/officeDocument/2006/relationships/image" Target="media/image5.png"/><Relationship Id="rId26" Type="http://schemas.openxmlformats.org/officeDocument/2006/relationships/image" Target="media/image9.png"/><Relationship Id="rId39" Type="http://schemas.openxmlformats.org/officeDocument/2006/relationships/hyperlink" Target="http://www.esfondi.lv/page.php?id=667"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12.png"/><Relationship Id="rId42" Type="http://schemas.openxmlformats.org/officeDocument/2006/relationships/hyperlink" Target="mailto:Ieva.Ziepniece@fm.gov.lv"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9.jpg@01CBC3A8.FD1A1C60" TargetMode="External"/><Relationship Id="rId17" Type="http://schemas.openxmlformats.org/officeDocument/2006/relationships/image" Target="media/image4.png"/><Relationship Id="rId25" Type="http://schemas.openxmlformats.org/officeDocument/2006/relationships/hyperlink" Target="http://www.esfondi.lv/page.php?id=1025" TargetMode="External"/><Relationship Id="rId33" Type="http://schemas.openxmlformats.org/officeDocument/2006/relationships/hyperlink" Target="http://www.esfondi.lv/page.php?id=1188" TargetMode="External"/><Relationship Id="rId38" Type="http://schemas.openxmlformats.org/officeDocument/2006/relationships/image" Target="media/image16.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fondi.lv/page.php?id=939" TargetMode="External"/><Relationship Id="rId20" Type="http://schemas.openxmlformats.org/officeDocument/2006/relationships/hyperlink" Target="http://www.esfondi.lv/2007.-2013.gada-planosanas-perioda-lielie-projekti" TargetMode="External"/><Relationship Id="rId29" Type="http://schemas.openxmlformats.org/officeDocument/2006/relationships/image" Target="media/image11.png"/><Relationship Id="rId41"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esfondi.lv/page.php?id=1065" TargetMode="External"/><Relationship Id="rId32" Type="http://schemas.openxmlformats.org/officeDocument/2006/relationships/hyperlink" Target="http://www.swiss-contribution.lv" TargetMode="External"/><Relationship Id="rId37" Type="http://schemas.openxmlformats.org/officeDocument/2006/relationships/image" Target="media/image15.png"/><Relationship Id="rId40" Type="http://schemas.openxmlformats.org/officeDocument/2006/relationships/hyperlink" Target="http://www.cfla.gov.lv/lv/es-fondi-2014-2020/izsludinatas-atlases"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esfondi.lv/page.php?id=470" TargetMode="External"/><Relationship Id="rId23" Type="http://schemas.openxmlformats.org/officeDocument/2006/relationships/image" Target="media/image8.png"/><Relationship Id="rId28" Type="http://schemas.openxmlformats.org/officeDocument/2006/relationships/image" Target="media/image10.png"/><Relationship Id="rId36" Type="http://schemas.openxmlformats.org/officeDocument/2006/relationships/image" Target="media/image14.png"/><Relationship Id="rId10" Type="http://schemas.openxmlformats.org/officeDocument/2006/relationships/image" Target="cid:image006.jpg@01CBC3A8.FD1A1C60" TargetMode="External"/><Relationship Id="rId19" Type="http://schemas.openxmlformats.org/officeDocument/2006/relationships/hyperlink" Target="http://www.esfondi.lv/page.php?id=1064" TargetMode="External"/><Relationship Id="rId31" Type="http://schemas.openxmlformats.org/officeDocument/2006/relationships/hyperlink" Target="http://www.norwaygrants.lv"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sfondi.lv/iesniegtie-parskati-saeimas-publisko-izdevumu-un-revizijas-komisijai" TargetMode="External"/><Relationship Id="rId22" Type="http://schemas.openxmlformats.org/officeDocument/2006/relationships/image" Target="media/image7.png"/><Relationship Id="rId27" Type="http://schemas.openxmlformats.org/officeDocument/2006/relationships/hyperlink" Target="http://www.esfondi.lv/es-fondu-slegsana" TargetMode="External"/><Relationship Id="rId30" Type="http://schemas.openxmlformats.org/officeDocument/2006/relationships/hyperlink" Target="http://www.eeagrants.lv" TargetMode="External"/><Relationship Id="rId35" Type="http://schemas.openxmlformats.org/officeDocument/2006/relationships/image" Target="media/image13.png"/><Relationship Id="rId43"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esfondi.lv/es-fondu-finansu-progress" TargetMode="External"/><Relationship Id="rId13" Type="http://schemas.openxmlformats.org/officeDocument/2006/relationships/hyperlink" Target="http://www.esfondi.lv/es-fondu-un-kohezijas-fonda-kopejie-ek-veiktie-maksajumi-dalibvalstim" TargetMode="External"/><Relationship Id="rId18" Type="http://schemas.openxmlformats.org/officeDocument/2006/relationships/hyperlink" Target="http://www.esfondi.lv/vadlinijas--skaidrojumi" TargetMode="External"/><Relationship Id="rId3" Type="http://schemas.openxmlformats.org/officeDocument/2006/relationships/hyperlink" Target="http://www.esfondi.lv/page.php?id=1064" TargetMode="External"/><Relationship Id="rId21" Type="http://schemas.openxmlformats.org/officeDocument/2006/relationships/hyperlink" Target="http://www.esfondi.lv/upload/14-20_gads/ES_fondu_Komunikacijas_strategija_2015-2023_LV.pdf" TargetMode="External"/><Relationship Id="rId7" Type="http://schemas.openxmlformats.org/officeDocument/2006/relationships/hyperlink" Target="http://kom.esfondi.lv/o/_layouts/15/start.aspx%23/7/Forms/AllItems.aspx?RootFolder=%2Fo%2F7%2F5%5FAEM%5FEK%5F%28AEM%5FEC%29%2F2015&amp;FolderCTID=0x0120008483F24FECAA7A469815949F7B4D34E6&amp;View=%7B72505FE4%2D40CA%2D4AE9%2D9265%2DDAC2A9EED787%7D" TargetMode="External"/><Relationship Id="rId12" Type="http://schemas.openxmlformats.org/officeDocument/2006/relationships/hyperlink" Target="http://www.esfondi.lv/page.php?id=1185" TargetMode="External"/><Relationship Id="rId17" Type="http://schemas.openxmlformats.org/officeDocument/2006/relationships/hyperlink" Target="http://www.norwaygrants.lv/?id=23" TargetMode="External"/><Relationship Id="rId25" Type="http://schemas.openxmlformats.org/officeDocument/2006/relationships/hyperlink" Target="http://www.esfondi.lv/page.php?id=1196" TargetMode="External"/><Relationship Id="rId2" Type="http://schemas.openxmlformats.org/officeDocument/2006/relationships/hyperlink" Target="http://www.esfondi.lv/es-fondu-aktivitasu-kalendars" TargetMode="External"/><Relationship Id="rId16" Type="http://schemas.openxmlformats.org/officeDocument/2006/relationships/hyperlink" Target="http://www.eeagrants.lv/?id=23" TargetMode="External"/><Relationship Id="rId20" Type="http://schemas.openxmlformats.org/officeDocument/2006/relationships/hyperlink" Target="http://www.esfondi.lv/prezentacijas" TargetMode="External"/><Relationship Id="rId1" Type="http://schemas.openxmlformats.org/officeDocument/2006/relationships/hyperlink" Target="http://www.esfondi.lv/2007-2013-planosana" TargetMode="External"/><Relationship Id="rId6" Type="http://schemas.openxmlformats.org/officeDocument/2006/relationships/hyperlink" Target="http://kom.esfondi.lv/o/7/1_UK_materi&#257;li_(MC_materials)/2015/01_03.07.2015_UK/02_Darb_mat_(work_mat)/1_VI_07-13_progress/1_VI_ESF_KF_investiciju_progress_gala_03072015.pdf" TargetMode="External"/><Relationship Id="rId11" Type="http://schemas.openxmlformats.org/officeDocument/2006/relationships/hyperlink" Target="http://www.esfondi.lv/zinojumi-Ministru-kabinetam" TargetMode="External"/><Relationship Id="rId24" Type="http://schemas.openxmlformats.org/officeDocument/2006/relationships/hyperlink" Target="http://www.esfondi.lv/risku-parvaldiba" TargetMode="External"/><Relationship Id="rId5" Type="http://schemas.openxmlformats.org/officeDocument/2006/relationships/hyperlink" Target="http://www.esfondi.lv/atbildigo-iestazu-zinojumi" TargetMode="External"/><Relationship Id="rId15" Type="http://schemas.openxmlformats.org/officeDocument/2006/relationships/hyperlink" Target="http://www.esfondi.lv/page.php?id=338" TargetMode="External"/><Relationship Id="rId23" Type="http://schemas.openxmlformats.org/officeDocument/2006/relationships/hyperlink" Target="http://www.esfondi.lv/upload/01-strukturfondi/petijumi/sabiedriska_doma_2015.pdf" TargetMode="External"/><Relationship Id="rId10" Type="http://schemas.openxmlformats.org/officeDocument/2006/relationships/hyperlink" Target="http://www.esfondi.lv/arhivs-8" TargetMode="External"/><Relationship Id="rId19" Type="http://schemas.openxmlformats.org/officeDocument/2006/relationships/hyperlink" Target="http://www.esfondi.lv/14-20_finansu-progress" TargetMode="External"/><Relationship Id="rId4" Type="http://schemas.openxmlformats.org/officeDocument/2006/relationships/hyperlink" Target="http://www.esfondi.lv/zinojumi-Ministru-kabinetam" TargetMode="External"/><Relationship Id="rId9" Type="http://schemas.openxmlformats.org/officeDocument/2006/relationships/hyperlink" Target="http://tap.mk.gov.lv/mk/mksedes/saraksts/protokols/?protokols=2015-03-10" TargetMode="External"/><Relationship Id="rId14" Type="http://schemas.openxmlformats.org/officeDocument/2006/relationships/hyperlink" Target="http://www.esfondi.lv/es-fondu-investiciju-progresa-salidzinajums-starp-baltijas-valstim-2007-2013.g" TargetMode="External"/><Relationship Id="rId22" Type="http://schemas.openxmlformats.org/officeDocument/2006/relationships/hyperlink" Target="http://www.esfondi.lv/vide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CC710-BA94-4855-889C-6814B154B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1531</TotalTime>
  <Pages>60</Pages>
  <Words>89871</Words>
  <Characters>51228</Characters>
  <Application>Microsoft Office Word</Application>
  <DocSecurity>0</DocSecurity>
  <Lines>426</Lines>
  <Paragraphs>281</Paragraphs>
  <ScaleCrop>false</ScaleCrop>
  <HeadingPairs>
    <vt:vector size="2" baseType="variant">
      <vt:variant>
        <vt:lpstr>Title</vt:lpstr>
      </vt:variant>
      <vt:variant>
        <vt:i4>1</vt:i4>
      </vt:variant>
    </vt:vector>
  </HeadingPairs>
  <TitlesOfParts>
    <vt:vector size="1" baseType="lpstr">
      <vt:lpstr>Ziņojuma projekts</vt:lpstr>
    </vt:vector>
  </TitlesOfParts>
  <Company>Finanšu ministrija</Company>
  <LinksUpToDate>false</LinksUpToDate>
  <CharactersWithSpaces>140818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Ziņojuma projekts</dc:title>
  <dc:subject/>
  <dc:creator>Ieva Puriņa</dc:creator>
  <cp:keywords/>
  <dc:description/>
  <cp:lastModifiedBy>Ieva Ziepniece</cp:lastModifiedBy>
  <cp:revision>302</cp:revision>
  <cp:lastPrinted>2016-02-23T11:09:00Z</cp:lastPrinted>
  <dcterms:created xsi:type="dcterms:W3CDTF">2016-01-27T05:26:00Z</dcterms:created>
  <dcterms:modified xsi:type="dcterms:W3CDTF">2016-03-03T06:57:00Z</dcterms:modified>
</cp:coreProperties>
</file>