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54" w:rsidRPr="00151811" w:rsidRDefault="00B9054B" w:rsidP="005D475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D4754" w:rsidRPr="00151811">
        <w:rPr>
          <w:rFonts w:ascii="Times New Roman" w:eastAsia="Times New Roman" w:hAnsi="Times New Roman" w:cs="Times New Roman"/>
          <w:b/>
          <w:sz w:val="28"/>
          <w:szCs w:val="28"/>
        </w:rPr>
        <w:t>Ministr</w:t>
      </w:r>
      <w:r w:rsidR="00663BA2" w:rsidRPr="00151811">
        <w:rPr>
          <w:rFonts w:ascii="Times New Roman" w:eastAsia="Times New Roman" w:hAnsi="Times New Roman" w:cs="Times New Roman"/>
          <w:b/>
          <w:sz w:val="28"/>
          <w:szCs w:val="28"/>
        </w:rPr>
        <w:t>u kabineta noteikumu projekta „</w:t>
      </w:r>
      <w:r w:rsidR="00E13B52">
        <w:rPr>
          <w:rFonts w:ascii="Times New Roman" w:eastAsia="Times New Roman" w:hAnsi="Times New Roman" w:cs="Times New Roman"/>
          <w:b/>
          <w:sz w:val="28"/>
          <w:szCs w:val="28"/>
        </w:rPr>
        <w:t>Kārtība, kādā valsts un pašvaldību iestādes iegādāj</w:t>
      </w:r>
      <w:r w:rsidR="00900D79">
        <w:rPr>
          <w:rFonts w:ascii="Times New Roman" w:eastAsia="Times New Roman" w:hAnsi="Times New Roman" w:cs="Times New Roman"/>
          <w:b/>
          <w:sz w:val="28"/>
          <w:szCs w:val="28"/>
        </w:rPr>
        <w:t>a</w:t>
      </w:r>
      <w:r w:rsidR="00E13B52">
        <w:rPr>
          <w:rFonts w:ascii="Times New Roman" w:eastAsia="Times New Roman" w:hAnsi="Times New Roman" w:cs="Times New Roman"/>
          <w:b/>
          <w:sz w:val="28"/>
          <w:szCs w:val="28"/>
        </w:rPr>
        <w:t>s un realizē ieročus, munīciju un speciālos līdzekļus</w:t>
      </w:r>
      <w:r w:rsidR="005D4754" w:rsidRPr="00151811">
        <w:rPr>
          <w:rFonts w:ascii="Times New Roman" w:eastAsia="Times New Roman" w:hAnsi="Times New Roman" w:cs="Times New Roman"/>
          <w:b/>
          <w:sz w:val="28"/>
          <w:szCs w:val="28"/>
        </w:rPr>
        <w:t>” sākotnējās ietekmes novērtējuma ziņojums (anotācija)</w:t>
      </w:r>
    </w:p>
    <w:p w:rsidR="005D4754" w:rsidRPr="00151811" w:rsidRDefault="005D4754" w:rsidP="005D4754">
      <w:pPr>
        <w:spacing w:after="0" w:line="240" w:lineRule="auto"/>
        <w:jc w:val="center"/>
        <w:rPr>
          <w:rFonts w:ascii="Times New Roman" w:eastAsia="Times New Roman" w:hAnsi="Times New Roman" w:cs="Times New Roman"/>
          <w:b/>
          <w:sz w:val="28"/>
          <w:szCs w:val="28"/>
        </w:rPr>
      </w:pPr>
    </w:p>
    <w:tbl>
      <w:tblPr>
        <w:tblpPr w:leftFromText="180" w:rightFromText="180" w:vertAnchor="text" w:horzAnchor="margin" w:tblpXSpec="center" w:tblpY="149"/>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740"/>
        <w:gridCol w:w="6195"/>
      </w:tblGrid>
      <w:tr w:rsidR="005D4754" w:rsidRPr="00151811" w:rsidTr="00502556">
        <w:trPr>
          <w:trHeight w:val="419"/>
        </w:trPr>
        <w:tc>
          <w:tcPr>
            <w:tcW w:w="5000" w:type="pct"/>
            <w:gridSpan w:val="3"/>
            <w:vAlign w:val="center"/>
          </w:tcPr>
          <w:p w:rsidR="005D4754" w:rsidRPr="00151811" w:rsidRDefault="005D4754" w:rsidP="005D4754">
            <w:pPr>
              <w:spacing w:after="0" w:line="240" w:lineRule="auto"/>
              <w:ind w:left="57" w:right="57"/>
              <w:jc w:val="center"/>
              <w:rPr>
                <w:rFonts w:ascii="Times New Roman" w:eastAsia="Times New Roman" w:hAnsi="Times New Roman" w:cs="Times New Roman"/>
                <w:b/>
                <w:sz w:val="24"/>
                <w:szCs w:val="24"/>
                <w:lang w:eastAsia="lv-LV"/>
              </w:rPr>
            </w:pPr>
            <w:r w:rsidRPr="00151811">
              <w:rPr>
                <w:rFonts w:ascii="Times New Roman" w:eastAsia="Times New Roman" w:hAnsi="Times New Roman" w:cs="Times New Roman"/>
                <w:b/>
                <w:sz w:val="24"/>
                <w:szCs w:val="24"/>
                <w:lang w:eastAsia="lv-LV"/>
              </w:rPr>
              <w:t>I. Tiesību akta projekta izstrādes nepieciešamība</w:t>
            </w:r>
          </w:p>
        </w:tc>
      </w:tr>
      <w:tr w:rsidR="005D4754" w:rsidRPr="00151811" w:rsidTr="00502556">
        <w:trPr>
          <w:trHeight w:val="415"/>
        </w:trPr>
        <w:tc>
          <w:tcPr>
            <w:tcW w:w="230" w:type="pct"/>
          </w:tcPr>
          <w:p w:rsidR="005D4754" w:rsidRPr="00151811" w:rsidRDefault="005D4754" w:rsidP="005D4754">
            <w:pPr>
              <w:spacing w:after="0" w:line="240" w:lineRule="auto"/>
              <w:ind w:left="57" w:right="57"/>
              <w:jc w:val="center"/>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1.</w:t>
            </w:r>
          </w:p>
        </w:tc>
        <w:tc>
          <w:tcPr>
            <w:tcW w:w="1463" w:type="pct"/>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Pamatojums</w:t>
            </w:r>
          </w:p>
        </w:tc>
        <w:tc>
          <w:tcPr>
            <w:tcW w:w="3307" w:type="pct"/>
          </w:tcPr>
          <w:p w:rsidR="005D4754" w:rsidRDefault="005D4754" w:rsidP="005D4754">
            <w:pPr>
              <w:spacing w:after="0" w:line="240" w:lineRule="auto"/>
              <w:jc w:val="both"/>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xml:space="preserve">Ieroču un speciālo līdzekļu aprites likuma </w:t>
            </w:r>
            <w:r w:rsidR="00E13B52">
              <w:rPr>
                <w:rFonts w:ascii="Times New Roman" w:eastAsia="Times New Roman" w:hAnsi="Times New Roman" w:cs="Times New Roman"/>
                <w:sz w:val="24"/>
                <w:szCs w:val="24"/>
              </w:rPr>
              <w:t>25.panta otrā daļa un 26.panta astotā daļa.</w:t>
            </w:r>
          </w:p>
          <w:p w:rsidR="005D4754" w:rsidRPr="00151811" w:rsidRDefault="005D4754" w:rsidP="00474133">
            <w:pPr>
              <w:spacing w:after="0" w:line="240" w:lineRule="auto"/>
              <w:jc w:val="both"/>
              <w:rPr>
                <w:rFonts w:ascii="Times New Roman" w:eastAsia="Times New Roman" w:hAnsi="Times New Roman" w:cs="Times New Roman"/>
                <w:sz w:val="24"/>
                <w:szCs w:val="24"/>
              </w:rPr>
            </w:pPr>
          </w:p>
        </w:tc>
      </w:tr>
      <w:tr w:rsidR="005D4754" w:rsidRPr="00151811" w:rsidTr="003C3C5C">
        <w:trPr>
          <w:trHeight w:val="2117"/>
        </w:trPr>
        <w:tc>
          <w:tcPr>
            <w:tcW w:w="230" w:type="pct"/>
          </w:tcPr>
          <w:p w:rsidR="005D4754" w:rsidRPr="00151811" w:rsidRDefault="005D4754" w:rsidP="005D4754">
            <w:pPr>
              <w:spacing w:after="0" w:line="240" w:lineRule="auto"/>
              <w:ind w:left="57" w:right="57"/>
              <w:jc w:val="center"/>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2.</w:t>
            </w:r>
          </w:p>
        </w:tc>
        <w:tc>
          <w:tcPr>
            <w:tcW w:w="1463" w:type="pct"/>
          </w:tcPr>
          <w:p w:rsidR="005D4754" w:rsidRPr="00151811" w:rsidRDefault="005D4754" w:rsidP="005D4754">
            <w:pPr>
              <w:spacing w:after="0" w:line="240" w:lineRule="auto"/>
              <w:rPr>
                <w:rFonts w:ascii="Times New Roman" w:eastAsia="Times New Roman" w:hAnsi="Times New Roman" w:cs="Times New Roman"/>
                <w:sz w:val="24"/>
                <w:szCs w:val="28"/>
              </w:rPr>
            </w:pPr>
            <w:r w:rsidRPr="00151811">
              <w:rPr>
                <w:rFonts w:ascii="Times New Roman" w:eastAsia="Times New Roman" w:hAnsi="Times New Roman" w:cs="Times New Roman"/>
                <w:sz w:val="24"/>
                <w:szCs w:val="28"/>
              </w:rPr>
              <w:t>Pašreizējā situācija un problēmas, kuru risināšanai tiesību akta projekts izstrādāts, tiesiskā regulējuma mērķis un būtība</w:t>
            </w:r>
          </w:p>
        </w:tc>
        <w:tc>
          <w:tcPr>
            <w:tcW w:w="3307" w:type="pct"/>
          </w:tcPr>
          <w:p w:rsidR="0055206E" w:rsidRDefault="005D4754" w:rsidP="00564559">
            <w:pPr>
              <w:spacing w:after="120" w:line="240" w:lineRule="auto"/>
              <w:jc w:val="both"/>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xml:space="preserve"> </w:t>
            </w:r>
            <w:r w:rsidR="00572BAF">
              <w:rPr>
                <w:rFonts w:ascii="Times New Roman" w:eastAsia="Times New Roman" w:hAnsi="Times New Roman" w:cs="Times New Roman"/>
                <w:sz w:val="24"/>
                <w:szCs w:val="24"/>
              </w:rPr>
              <w:t xml:space="preserve">       </w:t>
            </w:r>
            <w:r w:rsidR="00900D79">
              <w:rPr>
                <w:rFonts w:ascii="Times New Roman" w:eastAsia="Times New Roman" w:hAnsi="Times New Roman" w:cs="Times New Roman"/>
                <w:sz w:val="24"/>
                <w:szCs w:val="24"/>
              </w:rPr>
              <w:t xml:space="preserve">Ministru kabineta 2012.gada 24.aprīļa noteikumi Nr.294 “Kārtība, kādā valsts un pašvaldību iestādes iegādājas un realizē ieročus un speciālos līdzekļus” (turpmāk – Noteikumi Nr.294) nosaka kārtību, kādā Iekšlietu ministrijas sistēmas iestādes, valsts drošības iestādes, Nacionālie bruņotie spēki, </w:t>
            </w:r>
            <w:r w:rsidR="00315332">
              <w:rPr>
                <w:rFonts w:ascii="Times New Roman" w:eastAsia="Times New Roman" w:hAnsi="Times New Roman" w:cs="Times New Roman"/>
                <w:sz w:val="24"/>
                <w:szCs w:val="24"/>
              </w:rPr>
              <w:t>Jaunsardzes un informācijas centrs</w:t>
            </w:r>
            <w:r w:rsidR="00900D79">
              <w:rPr>
                <w:rFonts w:ascii="Times New Roman" w:eastAsia="Times New Roman" w:hAnsi="Times New Roman" w:cs="Times New Roman"/>
                <w:sz w:val="24"/>
                <w:szCs w:val="24"/>
              </w:rPr>
              <w:t xml:space="preserve">, Latvijas Bankas Aizsardzības pārvalde, Valsts ieņēmumu dienests, Ieslodzījuma vietu pārvalde, Korupcijas novēršanas un apkarošanas birojs un pašvaldības policija iegādājas un realizē ieročus un speciālos līdzekļus. 2013.gada 13.jūnijā Ieroču un speciālo līdzekļu aprites likumā </w:t>
            </w:r>
            <w:r w:rsidR="00F15E04">
              <w:rPr>
                <w:rFonts w:ascii="Times New Roman" w:eastAsia="Times New Roman" w:hAnsi="Times New Roman" w:cs="Times New Roman"/>
                <w:sz w:val="24"/>
                <w:szCs w:val="24"/>
              </w:rPr>
              <w:t xml:space="preserve">(turpmāk – Likums) </w:t>
            </w:r>
            <w:r w:rsidR="00900D79">
              <w:rPr>
                <w:rFonts w:ascii="Times New Roman" w:eastAsia="Times New Roman" w:hAnsi="Times New Roman" w:cs="Times New Roman"/>
                <w:sz w:val="24"/>
                <w:szCs w:val="24"/>
              </w:rPr>
              <w:t>tika izdarīti groz</w:t>
            </w:r>
            <w:r w:rsidR="0082641B">
              <w:rPr>
                <w:rFonts w:ascii="Times New Roman" w:eastAsia="Times New Roman" w:hAnsi="Times New Roman" w:cs="Times New Roman"/>
                <w:sz w:val="24"/>
                <w:szCs w:val="24"/>
              </w:rPr>
              <w:t>ījumi papildinot</w:t>
            </w:r>
            <w:r w:rsidR="00F15E04">
              <w:rPr>
                <w:rFonts w:ascii="Times New Roman" w:eastAsia="Times New Roman" w:hAnsi="Times New Roman" w:cs="Times New Roman"/>
                <w:sz w:val="24"/>
                <w:szCs w:val="24"/>
              </w:rPr>
              <w:t xml:space="preserve"> </w:t>
            </w:r>
            <w:r w:rsidR="0082641B">
              <w:rPr>
                <w:rFonts w:ascii="Times New Roman" w:eastAsia="Times New Roman" w:hAnsi="Times New Roman" w:cs="Times New Roman"/>
                <w:sz w:val="24"/>
                <w:szCs w:val="24"/>
              </w:rPr>
              <w:t xml:space="preserve">Likuma 25.panta otrās daļas institūciju uzskaitījumu ar jaunu institūciju – ostas </w:t>
            </w:r>
            <w:r w:rsidR="00ED3FAE">
              <w:rPr>
                <w:rFonts w:ascii="Times New Roman" w:eastAsia="Times New Roman" w:hAnsi="Times New Roman" w:cs="Times New Roman"/>
                <w:sz w:val="24"/>
                <w:szCs w:val="24"/>
              </w:rPr>
              <w:t>policiju</w:t>
            </w:r>
            <w:r w:rsidR="0082641B">
              <w:rPr>
                <w:rFonts w:ascii="Times New Roman" w:eastAsia="Times New Roman" w:hAnsi="Times New Roman" w:cs="Times New Roman"/>
                <w:sz w:val="24"/>
                <w:szCs w:val="24"/>
              </w:rPr>
              <w:t>, jo tās darbību attiecīgajā jomā reglamentē speciāls likums (likums “Par policiju”). Tāpat minētie grozījumi paredz, ka Ministru kabinets nosaka kārtību, kādā Likuma 25.panta otrajā daļā minētās institūcijas iegādājas un realizē ne tikai ieročus un speciālos līdzekļus, bet arī munīciju.</w:t>
            </w:r>
            <w:r w:rsidR="00ED3FAE">
              <w:rPr>
                <w:rFonts w:ascii="Times New Roman" w:eastAsia="Times New Roman" w:hAnsi="Times New Roman" w:cs="Times New Roman"/>
                <w:sz w:val="24"/>
                <w:szCs w:val="24"/>
              </w:rPr>
              <w:t xml:space="preserve"> </w:t>
            </w:r>
            <w:r w:rsidR="00564559">
              <w:rPr>
                <w:rFonts w:ascii="Times New Roman" w:eastAsia="Times New Roman" w:hAnsi="Times New Roman" w:cs="Times New Roman"/>
                <w:sz w:val="24"/>
                <w:szCs w:val="24"/>
              </w:rPr>
              <w:t xml:space="preserve"> Līdz ar to ir izstrādāti Ministru kabineta noteikumi “Kārtība, kādā valsts un pašvaldību iestādes iegādājas un realizē ieročus, munīciju un speciālos līdzekļus” (turpmāk – Noteikumu projekts).</w:t>
            </w:r>
          </w:p>
          <w:p w:rsidR="00257B7D" w:rsidRDefault="00572BAF" w:rsidP="00257B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72BAF">
              <w:rPr>
                <w:rFonts w:ascii="Times New Roman" w:hAnsi="Times New Roman" w:cs="Times New Roman"/>
                <w:sz w:val="24"/>
                <w:szCs w:val="24"/>
              </w:rPr>
              <w:t>2013.gada 1.oktobrī stājās spēkā likums „Grozījumi Ieroču un speciālo līdzekļu aprites likumā”, kas Saeimā tika pieņemts 2013.gada 13.jūnijā. Saskaņā ar minētajiem likuma grozījumiem Ieroču un speciālo līdzekļu aprites likums tika papildināts ar jaunu 18¹.pantu „</w:t>
            </w:r>
            <w:r w:rsidRPr="00572BAF">
              <w:rPr>
                <w:rFonts w:ascii="Times New Roman" w:hAnsi="Times New Roman" w:cs="Times New Roman"/>
                <w:bCs/>
                <w:sz w:val="24"/>
                <w:szCs w:val="24"/>
              </w:rPr>
              <w:t xml:space="preserve">Veselības pārbaudes personai, kas glabā (nēsā) ieročus un veic darbu ar ieročiem”. Likuma </w:t>
            </w:r>
            <w:r w:rsidRPr="00572BAF">
              <w:rPr>
                <w:rFonts w:ascii="Times New Roman" w:hAnsi="Times New Roman" w:cs="Times New Roman"/>
                <w:sz w:val="24"/>
                <w:szCs w:val="24"/>
              </w:rPr>
              <w:t>18¹.panta piektā daļa paredz, ka ārstniecības iestāde ziņas par personas veselības stāvokļa atbilstību ieroču glabāšanai (nēsāšanai) vai darbam ar ieročiem ievada Ieroču reģistrā un Licenču un sertifikātu reģistrā. Ieroču un speciālo līdzekļu aprites likuma</w:t>
            </w:r>
            <w:r w:rsidRPr="00572BAF">
              <w:rPr>
                <w:rFonts w:ascii="Times New Roman" w:hAnsi="Times New Roman" w:cs="Times New Roman"/>
                <w:bCs/>
                <w:kern w:val="24"/>
                <w:sz w:val="24"/>
                <w:szCs w:val="24"/>
              </w:rPr>
              <w:t xml:space="preserve"> pārejas noteikumu 6.punkts, paredz, ka attiecīga kārtība </w:t>
            </w:r>
            <w:r w:rsidRPr="00572BAF">
              <w:rPr>
                <w:rFonts w:ascii="Times New Roman" w:hAnsi="Times New Roman" w:cs="Times New Roman"/>
                <w:sz w:val="24"/>
                <w:szCs w:val="24"/>
              </w:rPr>
              <w:t>stājās spēkā 2014.gada 1.jūlijā. Līdz ar to no minētā datuma personām (ieroču atļauju pretendentiem un ieroču īpašniekiem) vairs nebūtu nepieciešams pieprasīt iesniegt Valsts policijai medicīnisko izziņu kopijas.</w:t>
            </w:r>
            <w:r w:rsidR="004B3619">
              <w:rPr>
                <w:rFonts w:ascii="Times New Roman" w:hAnsi="Times New Roman" w:cs="Times New Roman"/>
                <w:sz w:val="24"/>
                <w:szCs w:val="24"/>
              </w:rPr>
              <w:t xml:space="preserve"> </w:t>
            </w:r>
            <w:r w:rsidR="00CF7823">
              <w:rPr>
                <w:rFonts w:ascii="Times New Roman" w:hAnsi="Times New Roman" w:cs="Times New Roman"/>
                <w:sz w:val="24"/>
                <w:szCs w:val="24"/>
              </w:rPr>
              <w:t>Ņemot vērā minēto N</w:t>
            </w:r>
            <w:r w:rsidR="004B3619">
              <w:rPr>
                <w:rFonts w:ascii="Times New Roman" w:hAnsi="Times New Roman" w:cs="Times New Roman"/>
                <w:sz w:val="24"/>
                <w:szCs w:val="24"/>
              </w:rPr>
              <w:t xml:space="preserve">oteikumu projekts neparedz, ka </w:t>
            </w:r>
            <w:r w:rsidRPr="00572BAF">
              <w:rPr>
                <w:rFonts w:ascii="Times New Roman" w:hAnsi="Times New Roman" w:cs="Times New Roman"/>
                <w:sz w:val="24"/>
                <w:szCs w:val="24"/>
              </w:rPr>
              <w:t xml:space="preserve">Valsts prezidenta kancelejas vai Valsts kancelejas priekšlikumam </w:t>
            </w:r>
            <w:r w:rsidR="004B3619">
              <w:rPr>
                <w:rFonts w:ascii="Times New Roman" w:hAnsi="Times New Roman" w:cs="Times New Roman"/>
                <w:sz w:val="24"/>
                <w:szCs w:val="24"/>
              </w:rPr>
              <w:t>jāpievieno</w:t>
            </w:r>
            <w:r w:rsidR="00257B7D">
              <w:rPr>
                <w:rFonts w:ascii="Times New Roman" w:hAnsi="Times New Roman" w:cs="Times New Roman"/>
                <w:sz w:val="24"/>
                <w:szCs w:val="24"/>
              </w:rPr>
              <w:t xml:space="preserve"> atzinums (izziņa</w:t>
            </w:r>
            <w:r w:rsidRPr="00572BAF">
              <w:rPr>
                <w:rFonts w:ascii="Times New Roman" w:hAnsi="Times New Roman" w:cs="Times New Roman"/>
                <w:sz w:val="24"/>
                <w:szCs w:val="24"/>
              </w:rPr>
              <w:t xml:space="preserve">) par attiecīgās personas veselības stāvokļa atbilstību ieroča glabāšanai un nēsāšanai, jo </w:t>
            </w:r>
            <w:r w:rsidRPr="00572BAF">
              <w:rPr>
                <w:rFonts w:ascii="Times New Roman" w:hAnsi="Times New Roman" w:cs="Times New Roman"/>
                <w:bCs/>
                <w:kern w:val="24"/>
                <w:sz w:val="24"/>
                <w:szCs w:val="24"/>
              </w:rPr>
              <w:t xml:space="preserve">ārstniecības iestādes </w:t>
            </w:r>
            <w:r w:rsidRPr="00572BAF">
              <w:rPr>
                <w:rFonts w:ascii="Times New Roman" w:hAnsi="Times New Roman" w:cs="Times New Roman"/>
                <w:sz w:val="24"/>
                <w:szCs w:val="24"/>
              </w:rPr>
              <w:t xml:space="preserve">ziņas par personas veselības stāvokļa atbilstību ieroču glabāšanai </w:t>
            </w:r>
            <w:r w:rsidRPr="00572BAF">
              <w:rPr>
                <w:rFonts w:ascii="Times New Roman" w:hAnsi="Times New Roman" w:cs="Times New Roman"/>
                <w:sz w:val="24"/>
                <w:szCs w:val="24"/>
              </w:rPr>
              <w:lastRenderedPageBreak/>
              <w:t>(nēsāšanai) vai darbam ar ieročiem ievada Ieroču reģistrā un Licenču un sertifikātu reģistrā (18.¹panta piektā daļa, pārejas noteikumu 6.punkts).</w:t>
            </w:r>
          </w:p>
          <w:p w:rsidR="008D1758" w:rsidRPr="00A03B02" w:rsidRDefault="008D1758" w:rsidP="00070610">
            <w:pPr>
              <w:spacing w:after="0" w:line="240" w:lineRule="auto"/>
              <w:jc w:val="both"/>
              <w:rPr>
                <w:rFonts w:ascii="Times New Roman" w:hAnsi="Times New Roman" w:cs="Times New Roman"/>
                <w:sz w:val="24"/>
                <w:szCs w:val="20"/>
              </w:rPr>
            </w:pPr>
            <w:r w:rsidRPr="00A03B02">
              <w:rPr>
                <w:rFonts w:ascii="Times New Roman" w:hAnsi="Times New Roman" w:cs="Times New Roman"/>
                <w:color w:val="FF0000"/>
                <w:sz w:val="24"/>
                <w:szCs w:val="20"/>
              </w:rPr>
              <w:t xml:space="preserve">        </w:t>
            </w:r>
            <w:r w:rsidRPr="00A03B02">
              <w:rPr>
                <w:rFonts w:ascii="Times New Roman" w:hAnsi="Times New Roman" w:cs="Times New Roman"/>
                <w:sz w:val="24"/>
                <w:szCs w:val="20"/>
              </w:rPr>
              <w:t xml:space="preserve">  </w:t>
            </w:r>
            <w:r w:rsidR="00070610" w:rsidRPr="00A03B02">
              <w:rPr>
                <w:rFonts w:ascii="Times New Roman" w:hAnsi="Times New Roman" w:cs="Times New Roman"/>
                <w:sz w:val="24"/>
                <w:szCs w:val="20"/>
              </w:rPr>
              <w:t xml:space="preserve">Likuma </w:t>
            </w:r>
            <w:r w:rsidRPr="00A03B02">
              <w:rPr>
                <w:rFonts w:ascii="Times New Roman" w:hAnsi="Times New Roman" w:cs="Times New Roman"/>
                <w:sz w:val="24"/>
                <w:szCs w:val="20"/>
              </w:rPr>
              <w:t>47.pants uzliek pienākumu fiziskām un juridiskām personām reģistrēt ieročus</w:t>
            </w:r>
            <w:r w:rsidR="00070610" w:rsidRPr="00A03B02">
              <w:rPr>
                <w:rFonts w:ascii="Times New Roman" w:hAnsi="Times New Roman" w:cs="Times New Roman"/>
                <w:sz w:val="24"/>
                <w:szCs w:val="20"/>
              </w:rPr>
              <w:t xml:space="preserve"> Ieroču reģistrā. </w:t>
            </w:r>
            <w:r w:rsidRPr="00A03B02">
              <w:rPr>
                <w:rFonts w:ascii="Times New Roman" w:hAnsi="Times New Roman" w:cs="Times New Roman"/>
                <w:sz w:val="24"/>
                <w:szCs w:val="20"/>
              </w:rPr>
              <w:t>Ministru kabineta 2011.gada 27.decembra noteikumi Nr.1012 “Šaujamieroču, lielas enerģijas pneimatisko ieroču un gāzes pistoļu (revolveru) vienotās uzskaites kārtība”</w:t>
            </w:r>
            <w:r w:rsidR="00A03B02" w:rsidRPr="00A03B02">
              <w:rPr>
                <w:rFonts w:ascii="Times New Roman" w:hAnsi="Times New Roman" w:cs="Times New Roman"/>
                <w:sz w:val="24"/>
                <w:szCs w:val="20"/>
              </w:rPr>
              <w:t xml:space="preserve"> (turpmāk – Noteikumi Nr.1012)</w:t>
            </w:r>
            <w:r w:rsidRPr="00A03B02">
              <w:rPr>
                <w:rFonts w:ascii="Times New Roman" w:hAnsi="Times New Roman" w:cs="Times New Roman"/>
                <w:sz w:val="24"/>
                <w:szCs w:val="20"/>
              </w:rPr>
              <w:t xml:space="preserve"> </w:t>
            </w:r>
            <w:r w:rsidR="00A03B02" w:rsidRPr="00A03B02">
              <w:rPr>
                <w:rFonts w:ascii="Times New Roman" w:hAnsi="Times New Roman" w:cs="Times New Roman"/>
                <w:sz w:val="24"/>
                <w:szCs w:val="20"/>
              </w:rPr>
              <w:t>nosaka, kuras iestādes reģistrē šaujamieročus vai lielas enerģijas pneimatisko</w:t>
            </w:r>
            <w:r w:rsidR="009D03CF">
              <w:rPr>
                <w:rFonts w:ascii="Times New Roman" w:hAnsi="Times New Roman" w:cs="Times New Roman"/>
                <w:sz w:val="24"/>
                <w:szCs w:val="20"/>
              </w:rPr>
              <w:t>s</w:t>
            </w:r>
            <w:r w:rsidR="00A03B02" w:rsidRPr="00A03B02">
              <w:rPr>
                <w:rFonts w:ascii="Times New Roman" w:hAnsi="Times New Roman" w:cs="Times New Roman"/>
                <w:sz w:val="24"/>
                <w:szCs w:val="20"/>
              </w:rPr>
              <w:t xml:space="preserve"> ieročus. Ņemot vērā Noteikumu projekta saistību ar Likumu un Noteikumiem Nr.1012, </w:t>
            </w:r>
            <w:r w:rsidR="002267AD">
              <w:rPr>
                <w:rFonts w:ascii="Times New Roman" w:hAnsi="Times New Roman" w:cs="Times New Roman"/>
                <w:sz w:val="24"/>
                <w:szCs w:val="20"/>
              </w:rPr>
              <w:t>Noteikumu projekts neparedz</w:t>
            </w:r>
            <w:r w:rsidR="00A03B02" w:rsidRPr="00A03B02">
              <w:rPr>
                <w:rFonts w:ascii="Times New Roman" w:hAnsi="Times New Roman" w:cs="Times New Roman"/>
                <w:sz w:val="24"/>
                <w:szCs w:val="20"/>
              </w:rPr>
              <w:t xml:space="preserve"> normu par ziņu sniegšanu </w:t>
            </w:r>
            <w:r w:rsidR="009D03CF">
              <w:rPr>
                <w:rFonts w:ascii="Times New Roman" w:hAnsi="Times New Roman" w:cs="Times New Roman"/>
                <w:sz w:val="24"/>
                <w:szCs w:val="20"/>
              </w:rPr>
              <w:t xml:space="preserve">Informācijas centram </w:t>
            </w:r>
            <w:r w:rsidR="00A03B02" w:rsidRPr="00A03B02">
              <w:rPr>
                <w:rFonts w:ascii="Times New Roman" w:hAnsi="Times New Roman" w:cs="Times New Roman"/>
                <w:sz w:val="24"/>
                <w:szCs w:val="20"/>
              </w:rPr>
              <w:t>par iegādāto, saņemto vai ievesto šaujamieroci vai lielas enerģijas pneimatisko ieroci, lai Likuma un Noteikuma projekta normas nedublētos.</w:t>
            </w:r>
          </w:p>
          <w:p w:rsidR="00C70734" w:rsidRPr="00C70734" w:rsidRDefault="008D1758" w:rsidP="00C707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70734" w:rsidRPr="00C70734">
              <w:rPr>
                <w:rFonts w:ascii="Times New Roman" w:hAnsi="Times New Roman" w:cs="Times New Roman"/>
                <w:sz w:val="24"/>
                <w:szCs w:val="24"/>
              </w:rPr>
              <w:t xml:space="preserve">Valsts aizsardzības koncepcijas (apstiprināta ar Saeimas 2012.gada 10.maija lēmumu) (turpmāk – koncepcija) 28.punkts paredz, ka Nacionālo bruņoto spēku likumā paredzētajos valsts apdraudējuma gadījumos Latvijas Bankas Aizsardzības pārvalde un Valsts robežsardze piedalās valsts aizsardzības nodrošināšanā, pārejot Nacionālo bruņoto spēku sastāvā un pildot tiesību aktos un rīcības plānošanas dokumentos noteiktos uzdevumus. Miera laikā Nacionālie bruņotie spēki, Latvijas Bankas Aizsardzības pārvalde un Valsts robežsardze plāno savstarpējo savietojamību (bruņojuma, ekipējuma un sakaru nodrošināšanas jomā, kā arī apmācību jomā) un koordinē sadarbības mehānismus krīzes situācijām. </w:t>
            </w:r>
          </w:p>
          <w:p w:rsidR="00164635" w:rsidRPr="00BE1CD4" w:rsidRDefault="008D1758" w:rsidP="0016463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4635" w:rsidRPr="00BE1CD4">
              <w:rPr>
                <w:rFonts w:ascii="Times New Roman" w:hAnsi="Times New Roman" w:cs="Times New Roman"/>
                <w:sz w:val="24"/>
                <w:szCs w:val="24"/>
              </w:rPr>
              <w:t>Noteikumu Nr.294 2.punkts nosaka, ka Iekšlietu ministrijas sistēmas iestāžu vajadzībām ieročus un speciālos līdzekļus iegādājas un realizē Nodrošinājuma valsts aģentūra, savukārt Nacionālo bruņoto spēku vajadzībām – attiecīgi Valsts aizsardzības militāro objektu un iepirkumu centrs vai Nacionālo bruņoto spēku Nodrošinājuma pavēlniecība.</w:t>
            </w:r>
          </w:p>
          <w:p w:rsidR="00164635" w:rsidRPr="00BE1CD4" w:rsidRDefault="00685F94" w:rsidP="0016463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F1250" w:rsidRPr="00BE1CD4">
              <w:rPr>
                <w:rFonts w:ascii="Times New Roman" w:hAnsi="Times New Roman" w:cs="Times New Roman"/>
                <w:sz w:val="24"/>
                <w:szCs w:val="24"/>
              </w:rPr>
              <w:t>Lai Valsts robežsardzes pārapbruņošana nebūtu pretrunā ar normatīvo regulējumu, Noteikumu projekts paredz, ka Valsts robežsardzes pārapbruņošanai daļu jeb atsevišķas kategorijas no nepieciešamajiem ieročiem iegādājas Valsts aizsardzības militāro objektu un iepirkumu centrs vai Nacionālo bruņoto spēku Nodrošinājuma pavēlniecība.</w:t>
            </w:r>
          </w:p>
          <w:p w:rsidR="00164635" w:rsidRDefault="008D1758" w:rsidP="00C707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4635" w:rsidRPr="0051569E">
              <w:rPr>
                <w:rFonts w:ascii="Times New Roman" w:hAnsi="Times New Roman" w:cs="Times New Roman"/>
                <w:sz w:val="24"/>
                <w:szCs w:val="24"/>
              </w:rPr>
              <w:t>Saskaņā ar Nacionālo bruņoto spēku likuma 3.panta trešo daļu, kara laikā vai izņēmuma stāvoklī Nacionālo bruņoto spēku sastāvā tiek iekļauta Latvijas Bankas Aizsardzības pārvalde un Valsts robežsardze.</w:t>
            </w:r>
          </w:p>
          <w:p w:rsidR="003C3C5C" w:rsidRPr="00FF1250" w:rsidRDefault="008D1758" w:rsidP="003C3C5C">
            <w:pPr>
              <w:pStyle w:val="NoSpacing"/>
              <w:jc w:val="both"/>
              <w:rPr>
                <w:rFonts w:ascii="Times New Roman" w:hAnsi="Times New Roman" w:cs="Times New Roman"/>
                <w:strike/>
                <w:sz w:val="24"/>
                <w:szCs w:val="24"/>
              </w:rPr>
            </w:pPr>
            <w:r>
              <w:rPr>
                <w:rFonts w:ascii="Times New Roman" w:hAnsi="Times New Roman" w:cs="Times New Roman"/>
                <w:sz w:val="24"/>
                <w:szCs w:val="24"/>
              </w:rPr>
              <w:t xml:space="preserve">          </w:t>
            </w:r>
            <w:r w:rsidR="00003602" w:rsidRPr="0051569E">
              <w:rPr>
                <w:rFonts w:ascii="Times New Roman" w:hAnsi="Times New Roman" w:cs="Times New Roman"/>
                <w:sz w:val="24"/>
                <w:szCs w:val="24"/>
              </w:rPr>
              <w:t xml:space="preserve">Lai ieviestu vienotu </w:t>
            </w:r>
            <w:r w:rsidR="002A0905" w:rsidRPr="0051569E">
              <w:rPr>
                <w:rFonts w:ascii="Times New Roman" w:hAnsi="Times New Roman" w:cs="Times New Roman"/>
                <w:sz w:val="24"/>
                <w:szCs w:val="24"/>
              </w:rPr>
              <w:t>bruņojuma</w:t>
            </w:r>
            <w:r w:rsidR="00003602" w:rsidRPr="0051569E">
              <w:rPr>
                <w:rFonts w:ascii="Times New Roman" w:hAnsi="Times New Roman" w:cs="Times New Roman"/>
                <w:sz w:val="24"/>
                <w:szCs w:val="24"/>
              </w:rPr>
              <w:t xml:space="preserve"> sistēmu, Valsts robežsardzi nepieciešams apbruņot ar NATO standartiem atbilstošiem ieročiem. </w:t>
            </w:r>
          </w:p>
          <w:p w:rsidR="00782AE2" w:rsidRPr="002A0905" w:rsidRDefault="008D1758" w:rsidP="002A09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F76E5" w:rsidRPr="0051569E">
              <w:rPr>
                <w:rFonts w:ascii="Times New Roman" w:hAnsi="Times New Roman" w:cs="Times New Roman"/>
                <w:sz w:val="24"/>
                <w:szCs w:val="24"/>
              </w:rPr>
              <w:t xml:space="preserve">Valsts robežsardzes un Nacionālo bruņoto spēku sadarbības rezultātā Ministru kabinetā 2015.gada 5.maijā (protokols Nr.23, 33.§) atbalstīta Valsts robežsardzes ekipējuma </w:t>
            </w:r>
            <w:r w:rsidR="006F76E5" w:rsidRPr="0051569E">
              <w:rPr>
                <w:rFonts w:ascii="Times New Roman" w:hAnsi="Times New Roman" w:cs="Times New Roman"/>
                <w:sz w:val="24"/>
                <w:szCs w:val="24"/>
              </w:rPr>
              <w:lastRenderedPageBreak/>
              <w:t xml:space="preserve">un ieroču standartizācija, piemērojot Nacionālo bruņoto spēku ieroču un ekipējuma standartus. </w:t>
            </w:r>
          </w:p>
          <w:p w:rsidR="00782AE2" w:rsidRPr="00782AE2" w:rsidRDefault="00685F94" w:rsidP="00782AE2">
            <w:pPr>
              <w:pStyle w:val="No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2A0905" w:rsidRPr="00C70734">
              <w:rPr>
                <w:rFonts w:ascii="Times New Roman" w:hAnsi="Times New Roman" w:cs="Times New Roman"/>
                <w:sz w:val="24"/>
                <w:szCs w:val="24"/>
              </w:rPr>
              <w:t xml:space="preserve">Veicot Valsts robežsardzes pārapbruņošanu, tiks panākta Valsts robežsardzes un Nacionālo bruņoto spēku bruņojuma un ekipējuma savietojamība.  </w:t>
            </w:r>
          </w:p>
          <w:p w:rsidR="005440A3" w:rsidRPr="0051569E" w:rsidRDefault="008D1758" w:rsidP="00306E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440A3" w:rsidRPr="0051569E">
              <w:rPr>
                <w:rFonts w:ascii="Times New Roman" w:hAnsi="Times New Roman" w:cs="Times New Roman"/>
                <w:sz w:val="24"/>
                <w:szCs w:val="24"/>
              </w:rPr>
              <w:t>Valsts robežsardze</w:t>
            </w:r>
            <w:r w:rsidR="002B20A1">
              <w:rPr>
                <w:rFonts w:ascii="Times New Roman" w:hAnsi="Times New Roman" w:cs="Times New Roman"/>
                <w:sz w:val="24"/>
                <w:szCs w:val="24"/>
              </w:rPr>
              <w:t xml:space="preserve">s pārapbruņošana ir </w:t>
            </w:r>
            <w:r w:rsidR="005440A3" w:rsidRPr="0051569E">
              <w:rPr>
                <w:rFonts w:ascii="Times New Roman" w:hAnsi="Times New Roman" w:cs="Times New Roman"/>
                <w:sz w:val="24"/>
                <w:szCs w:val="24"/>
              </w:rPr>
              <w:t>pasākums, ko paredzēts īstenot trīs gadu laikā</w:t>
            </w:r>
            <w:r w:rsidR="00306E7D" w:rsidRPr="0051569E">
              <w:rPr>
                <w:rFonts w:ascii="Times New Roman" w:hAnsi="Times New Roman" w:cs="Times New Roman"/>
                <w:sz w:val="24"/>
                <w:szCs w:val="24"/>
              </w:rPr>
              <w:t xml:space="preserve"> (no 2016. līdz </w:t>
            </w:r>
            <w:r w:rsidR="006F76E5" w:rsidRPr="0051569E">
              <w:rPr>
                <w:rFonts w:ascii="Times New Roman" w:hAnsi="Times New Roman" w:cs="Times New Roman"/>
                <w:sz w:val="24"/>
                <w:szCs w:val="24"/>
              </w:rPr>
              <w:t>2018</w:t>
            </w:r>
            <w:r w:rsidR="00306E7D" w:rsidRPr="0051569E">
              <w:rPr>
                <w:rFonts w:ascii="Times New Roman" w:hAnsi="Times New Roman" w:cs="Times New Roman"/>
                <w:sz w:val="24"/>
                <w:szCs w:val="24"/>
              </w:rPr>
              <w:t>.gadam)</w:t>
            </w:r>
            <w:r w:rsidR="005440A3" w:rsidRPr="0051569E">
              <w:rPr>
                <w:rFonts w:ascii="Times New Roman" w:hAnsi="Times New Roman" w:cs="Times New Roman"/>
                <w:sz w:val="24"/>
                <w:szCs w:val="24"/>
              </w:rPr>
              <w:t>.</w:t>
            </w:r>
            <w:r w:rsidR="002B20A1">
              <w:rPr>
                <w:rFonts w:ascii="Times New Roman" w:hAnsi="Times New Roman" w:cs="Times New Roman"/>
                <w:sz w:val="24"/>
                <w:szCs w:val="24"/>
              </w:rPr>
              <w:t xml:space="preserve"> Ministru kabineta </w:t>
            </w:r>
            <w:r w:rsidR="00003602" w:rsidRPr="0051569E">
              <w:rPr>
                <w:rFonts w:ascii="Times New Roman" w:hAnsi="Times New Roman" w:cs="Times New Roman"/>
                <w:sz w:val="24"/>
                <w:szCs w:val="24"/>
              </w:rPr>
              <w:t xml:space="preserve">2015.gada 27.augusta </w:t>
            </w:r>
            <w:r w:rsidR="002B20A1">
              <w:rPr>
                <w:rFonts w:ascii="Times New Roman" w:hAnsi="Times New Roman" w:cs="Times New Roman"/>
                <w:sz w:val="24"/>
                <w:szCs w:val="24"/>
              </w:rPr>
              <w:t>ārkārtas sēdē</w:t>
            </w:r>
            <w:r w:rsidR="00003602" w:rsidRPr="0051569E">
              <w:rPr>
                <w:rFonts w:ascii="Times New Roman" w:hAnsi="Times New Roman" w:cs="Times New Roman"/>
                <w:sz w:val="24"/>
                <w:szCs w:val="24"/>
              </w:rPr>
              <w:t xml:space="preserve"> (protokols Nr.42, 3.§</w:t>
            </w:r>
            <w:r w:rsidR="002B20A1">
              <w:rPr>
                <w:rFonts w:ascii="Times New Roman" w:hAnsi="Times New Roman" w:cs="Times New Roman"/>
                <w:sz w:val="24"/>
                <w:szCs w:val="24"/>
              </w:rPr>
              <w:t xml:space="preserve"> 8.4.apakšpunkts</w:t>
            </w:r>
            <w:r w:rsidR="00003602" w:rsidRPr="0051569E">
              <w:rPr>
                <w:rFonts w:ascii="Times New Roman" w:hAnsi="Times New Roman" w:cs="Times New Roman"/>
                <w:sz w:val="24"/>
                <w:szCs w:val="24"/>
              </w:rPr>
              <w:t>)</w:t>
            </w:r>
            <w:r w:rsidR="002B20A1">
              <w:rPr>
                <w:rFonts w:ascii="Times New Roman" w:hAnsi="Times New Roman" w:cs="Times New Roman"/>
                <w:sz w:val="24"/>
                <w:szCs w:val="24"/>
              </w:rPr>
              <w:t xml:space="preserve"> nolemts, ka Aizsardzības ministrijai tai piešķirto valsts budžeta līdzekļu ietvaros jānodrošina</w:t>
            </w:r>
            <w:r w:rsidR="00003602" w:rsidRPr="0051569E">
              <w:rPr>
                <w:rFonts w:ascii="Times New Roman" w:hAnsi="Times New Roman" w:cs="Times New Roman"/>
                <w:sz w:val="24"/>
                <w:szCs w:val="24"/>
              </w:rPr>
              <w:t xml:space="preserve"> Val</w:t>
            </w:r>
            <w:r w:rsidR="002B20A1">
              <w:rPr>
                <w:rFonts w:ascii="Times New Roman" w:hAnsi="Times New Roman" w:cs="Times New Roman"/>
                <w:sz w:val="24"/>
                <w:szCs w:val="24"/>
              </w:rPr>
              <w:t>sts robežsardzes pārapbruņošanu</w:t>
            </w:r>
            <w:r w:rsidR="00003602" w:rsidRPr="0051569E">
              <w:rPr>
                <w:rFonts w:ascii="Times New Roman" w:hAnsi="Times New Roman" w:cs="Times New Roman"/>
                <w:sz w:val="24"/>
                <w:szCs w:val="24"/>
              </w:rPr>
              <w:t xml:space="preserve"> ar dienesta šaujamieročiem, paredzot šim </w:t>
            </w:r>
            <w:r w:rsidR="002B20A1">
              <w:rPr>
                <w:rFonts w:ascii="Times New Roman" w:hAnsi="Times New Roman" w:cs="Times New Roman"/>
                <w:sz w:val="24"/>
                <w:szCs w:val="24"/>
              </w:rPr>
              <w:t xml:space="preserve">mērķim 2016.gadā – 1 500 000 </w:t>
            </w:r>
            <w:r w:rsidR="002B20A1" w:rsidRPr="002B20A1">
              <w:rPr>
                <w:rFonts w:ascii="Times New Roman" w:hAnsi="Times New Roman" w:cs="Times New Roman"/>
                <w:i/>
                <w:sz w:val="24"/>
                <w:szCs w:val="24"/>
              </w:rPr>
              <w:t>euro</w:t>
            </w:r>
            <w:r>
              <w:rPr>
                <w:rFonts w:ascii="Times New Roman" w:hAnsi="Times New Roman" w:cs="Times New Roman"/>
                <w:sz w:val="24"/>
                <w:szCs w:val="24"/>
              </w:rPr>
              <w:t xml:space="preserve"> apmērā, </w:t>
            </w:r>
            <w:r w:rsidR="00003602" w:rsidRPr="0051569E">
              <w:rPr>
                <w:rFonts w:ascii="Times New Roman" w:hAnsi="Times New Roman" w:cs="Times New Roman"/>
                <w:sz w:val="24"/>
                <w:szCs w:val="24"/>
              </w:rPr>
              <w:t>201</w:t>
            </w:r>
            <w:r w:rsidR="002B20A1">
              <w:rPr>
                <w:rFonts w:ascii="Times New Roman" w:hAnsi="Times New Roman" w:cs="Times New Roman"/>
                <w:sz w:val="24"/>
                <w:szCs w:val="24"/>
              </w:rPr>
              <w:t xml:space="preserve">7. un 2018. gadā – 3 700 000 </w:t>
            </w:r>
            <w:r w:rsidR="002B20A1" w:rsidRPr="002B20A1">
              <w:rPr>
                <w:rFonts w:ascii="Times New Roman" w:hAnsi="Times New Roman" w:cs="Times New Roman"/>
                <w:i/>
                <w:sz w:val="24"/>
                <w:szCs w:val="24"/>
              </w:rPr>
              <w:t>euro</w:t>
            </w:r>
            <w:r w:rsidR="00003602" w:rsidRPr="0051569E">
              <w:rPr>
                <w:rFonts w:ascii="Times New Roman" w:hAnsi="Times New Roman" w:cs="Times New Roman"/>
                <w:sz w:val="24"/>
                <w:szCs w:val="24"/>
              </w:rPr>
              <w:t xml:space="preserve"> apmēr</w:t>
            </w:r>
            <w:r w:rsidR="00306E7D" w:rsidRPr="0051569E">
              <w:rPr>
                <w:rFonts w:ascii="Times New Roman" w:hAnsi="Times New Roman" w:cs="Times New Roman"/>
                <w:sz w:val="24"/>
                <w:szCs w:val="24"/>
              </w:rPr>
              <w:t xml:space="preserve">ā katru gadu. </w:t>
            </w:r>
          </w:p>
          <w:p w:rsidR="005440A3" w:rsidRPr="00BE1CD4" w:rsidRDefault="008D1758" w:rsidP="00C707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440A3" w:rsidRPr="00BE1CD4">
              <w:rPr>
                <w:rFonts w:ascii="Times New Roman" w:hAnsi="Times New Roman" w:cs="Times New Roman"/>
                <w:sz w:val="24"/>
                <w:szCs w:val="24"/>
              </w:rPr>
              <w:t>Saskaņā ar Ministru kabineta 2012.gada 11.decembra noteikumu Nr.839 “Nodrošinājuma valsts aģentūras nolikums” 3.8.apakšpunktu Nodrošinājuma valsts aģentūra organizē ieroču, munīcijas, to sastāvdaļu, speciālo līdzekļu un ekipējuma iegādi un realizāciju Iekšlietu ministrijas padotībā esošo iestāžu, tai skaitā Valsts robežsardzes vajadzībām, kā arī apbalvošanai paredzēto šaujamieroču un lielas enerģijas pneimatisko ieroču ieg</w:t>
            </w:r>
            <w:r w:rsidR="002B20A1" w:rsidRPr="00BE1CD4">
              <w:rPr>
                <w:rFonts w:ascii="Times New Roman" w:hAnsi="Times New Roman" w:cs="Times New Roman"/>
                <w:sz w:val="24"/>
                <w:szCs w:val="24"/>
              </w:rPr>
              <w:t xml:space="preserve">ādi. Paredzams, ka pēc </w:t>
            </w:r>
            <w:r w:rsidR="005440A3" w:rsidRPr="00BE1CD4">
              <w:rPr>
                <w:rFonts w:ascii="Times New Roman" w:hAnsi="Times New Roman" w:cs="Times New Roman"/>
                <w:sz w:val="24"/>
                <w:szCs w:val="24"/>
              </w:rPr>
              <w:t>pārapbruņošanas pabeigšanas</w:t>
            </w:r>
            <w:r w:rsidR="00B477A4" w:rsidRPr="00BE1CD4">
              <w:rPr>
                <w:rFonts w:ascii="Times New Roman" w:hAnsi="Times New Roman" w:cs="Times New Roman"/>
                <w:sz w:val="24"/>
                <w:szCs w:val="24"/>
              </w:rPr>
              <w:t>,</w:t>
            </w:r>
            <w:r w:rsidR="005440A3" w:rsidRPr="00BE1CD4">
              <w:rPr>
                <w:rFonts w:ascii="Times New Roman" w:hAnsi="Times New Roman" w:cs="Times New Roman"/>
                <w:sz w:val="24"/>
                <w:szCs w:val="24"/>
              </w:rPr>
              <w:t xml:space="preserve"> 2019.gadā un turpmākos gados Valsts robežsardzei nepieciešamos ieročus iegādāsies Nodrošinājuma valsts aģentūra.</w:t>
            </w:r>
          </w:p>
          <w:p w:rsidR="00C53732" w:rsidRPr="00070610" w:rsidRDefault="008D1758" w:rsidP="00905F90">
            <w:pPr>
              <w:pStyle w:val="NoSpacing"/>
              <w:jc w:val="both"/>
              <w:rPr>
                <w:rFonts w:ascii="Times New Roman" w:hAnsi="Times New Roman" w:cs="Times New Roman"/>
                <w:strike/>
                <w:sz w:val="24"/>
                <w:szCs w:val="24"/>
              </w:rPr>
            </w:pPr>
            <w:r>
              <w:rPr>
                <w:rFonts w:ascii="Times New Roman" w:hAnsi="Times New Roman" w:cs="Times New Roman"/>
                <w:sz w:val="24"/>
                <w:szCs w:val="24"/>
              </w:rPr>
              <w:t xml:space="preserve">           </w:t>
            </w:r>
            <w:r w:rsidR="008748CD" w:rsidRPr="00BE1CD4">
              <w:rPr>
                <w:rFonts w:ascii="Times New Roman" w:hAnsi="Times New Roman" w:cs="Times New Roman"/>
                <w:sz w:val="24"/>
                <w:szCs w:val="24"/>
              </w:rPr>
              <w:t>Valsts robežsardzes pārapbruņošanai iegādāto ieroču un to rezerves daļu izdevumi tiks segti no Aizsardzības ministrijai Valsts robežsardzes pārapbruņošanai paredzētā finansējuma (Ministru kabineta 2015.gada 27.augusta ārkārtas sēdes protokols Nr.42, 3.§ 8.4.apakšpunkts).</w:t>
            </w:r>
          </w:p>
        </w:tc>
      </w:tr>
      <w:tr w:rsidR="005D4754" w:rsidRPr="00151811" w:rsidTr="00502556">
        <w:trPr>
          <w:trHeight w:val="476"/>
        </w:trPr>
        <w:tc>
          <w:tcPr>
            <w:tcW w:w="230" w:type="pct"/>
          </w:tcPr>
          <w:p w:rsidR="005D4754" w:rsidRPr="00151811" w:rsidRDefault="005D4754" w:rsidP="005D4754">
            <w:pPr>
              <w:spacing w:after="0" w:line="240" w:lineRule="auto"/>
              <w:ind w:left="57" w:right="57"/>
              <w:jc w:val="center"/>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lastRenderedPageBreak/>
              <w:t>3.</w:t>
            </w:r>
          </w:p>
        </w:tc>
        <w:tc>
          <w:tcPr>
            <w:tcW w:w="1463" w:type="pct"/>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Projekta izstrādē iesaistītās institūcijas</w:t>
            </w:r>
          </w:p>
        </w:tc>
        <w:tc>
          <w:tcPr>
            <w:tcW w:w="3307" w:type="pct"/>
          </w:tcPr>
          <w:p w:rsidR="005D4754" w:rsidRPr="00151811" w:rsidRDefault="005D4754" w:rsidP="005D4754">
            <w:pPr>
              <w:spacing w:beforeAutospacing="1" w:after="120" w:afterAutospacing="1" w:line="240" w:lineRule="auto"/>
              <w:ind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 xml:space="preserve">Iekšlietu ministrija, </w:t>
            </w:r>
            <w:r w:rsidR="00905F90">
              <w:rPr>
                <w:rFonts w:ascii="Times New Roman" w:eastAsia="Times New Roman" w:hAnsi="Times New Roman" w:cs="Times New Roman"/>
                <w:sz w:val="24"/>
                <w:szCs w:val="24"/>
                <w:lang w:eastAsia="lv-LV"/>
              </w:rPr>
              <w:t>Ostas policija</w:t>
            </w:r>
            <w:r w:rsidR="0099575A">
              <w:rPr>
                <w:rFonts w:ascii="Times New Roman" w:eastAsia="Times New Roman" w:hAnsi="Times New Roman" w:cs="Times New Roman"/>
                <w:sz w:val="24"/>
                <w:szCs w:val="24"/>
                <w:lang w:eastAsia="lv-LV"/>
              </w:rPr>
              <w:t>.</w:t>
            </w:r>
          </w:p>
          <w:p w:rsidR="005D4754" w:rsidRPr="00151811" w:rsidRDefault="005D4754" w:rsidP="005D4754">
            <w:pPr>
              <w:spacing w:after="0" w:line="240" w:lineRule="auto"/>
              <w:ind w:left="57" w:right="57"/>
              <w:rPr>
                <w:rFonts w:ascii="Times New Roman" w:eastAsia="Times New Roman" w:hAnsi="Times New Roman" w:cs="Times New Roman"/>
                <w:b/>
                <w:sz w:val="24"/>
                <w:szCs w:val="24"/>
              </w:rPr>
            </w:pPr>
          </w:p>
        </w:tc>
      </w:tr>
      <w:tr w:rsidR="005D4754" w:rsidRPr="00151811" w:rsidTr="00502556">
        <w:tc>
          <w:tcPr>
            <w:tcW w:w="230" w:type="pct"/>
          </w:tcPr>
          <w:p w:rsidR="005D4754" w:rsidRPr="00151811" w:rsidRDefault="005D4754" w:rsidP="005D4754">
            <w:pPr>
              <w:spacing w:after="0" w:line="240" w:lineRule="auto"/>
              <w:ind w:left="57" w:right="57"/>
              <w:jc w:val="center"/>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4.</w:t>
            </w:r>
          </w:p>
        </w:tc>
        <w:tc>
          <w:tcPr>
            <w:tcW w:w="1463" w:type="pct"/>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Cita informācija</w:t>
            </w:r>
          </w:p>
        </w:tc>
        <w:tc>
          <w:tcPr>
            <w:tcW w:w="3307" w:type="pct"/>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Nav.</w:t>
            </w:r>
          </w:p>
        </w:tc>
      </w:tr>
    </w:tbl>
    <w:p w:rsidR="005D4754" w:rsidRPr="00151811" w:rsidRDefault="005D4754" w:rsidP="005D4754">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8"/>
        <w:gridCol w:w="2976"/>
        <w:gridCol w:w="5797"/>
      </w:tblGrid>
      <w:tr w:rsidR="0060495F" w:rsidRPr="007D7C78" w:rsidTr="00D12B0C">
        <w:trPr>
          <w:trHeight w:val="556"/>
        </w:trPr>
        <w:tc>
          <w:tcPr>
            <w:tcW w:w="9351" w:type="dxa"/>
            <w:gridSpan w:val="3"/>
            <w:vAlign w:val="center"/>
          </w:tcPr>
          <w:p w:rsidR="0060495F" w:rsidRPr="007D7C78" w:rsidRDefault="0060495F" w:rsidP="00D12B0C">
            <w:pPr>
              <w:pStyle w:val="naisnod"/>
              <w:spacing w:before="0" w:after="0"/>
              <w:ind w:left="57" w:right="57"/>
              <w:jc w:val="center"/>
              <w:rPr>
                <w:b/>
              </w:rPr>
            </w:pPr>
            <w:r w:rsidRPr="00523A22">
              <w:rPr>
                <w:b/>
              </w:rPr>
              <w:t>II. Tiesību akta projekta ietekme uz sabiedrību, tautsaimniecības attīstību</w:t>
            </w:r>
            <w:r>
              <w:rPr>
                <w:b/>
              </w:rPr>
              <w:t xml:space="preserve"> </w:t>
            </w:r>
            <w:r w:rsidRPr="00523A22">
              <w:rPr>
                <w:b/>
              </w:rPr>
              <w:t>un administratīvo slogu</w:t>
            </w:r>
          </w:p>
        </w:tc>
      </w:tr>
      <w:tr w:rsidR="0060495F" w:rsidRPr="0010178D" w:rsidTr="00D12B0C">
        <w:trPr>
          <w:trHeight w:val="467"/>
        </w:trPr>
        <w:tc>
          <w:tcPr>
            <w:tcW w:w="578" w:type="dxa"/>
          </w:tcPr>
          <w:p w:rsidR="0060495F" w:rsidRPr="007D7C78" w:rsidRDefault="0060495F" w:rsidP="00D12B0C">
            <w:pPr>
              <w:pStyle w:val="naiskr"/>
              <w:spacing w:before="0" w:after="0"/>
              <w:ind w:left="57" w:right="57"/>
              <w:jc w:val="both"/>
            </w:pPr>
            <w:r w:rsidRPr="007D7C78">
              <w:t>1.</w:t>
            </w:r>
          </w:p>
        </w:tc>
        <w:tc>
          <w:tcPr>
            <w:tcW w:w="2976" w:type="dxa"/>
          </w:tcPr>
          <w:p w:rsidR="0060495F" w:rsidRPr="007D7C78" w:rsidRDefault="0060495F" w:rsidP="00D12B0C">
            <w:pPr>
              <w:pStyle w:val="naiskr"/>
              <w:spacing w:before="0" w:after="0"/>
              <w:ind w:left="57" w:right="57"/>
            </w:pPr>
            <w:r w:rsidRPr="007D7C78">
              <w:t>Sabiedrības mērķgrupas, kuras tiesiskais regulējums ietekmē vai varētu ietekmēt</w:t>
            </w:r>
          </w:p>
        </w:tc>
        <w:tc>
          <w:tcPr>
            <w:tcW w:w="5797" w:type="dxa"/>
          </w:tcPr>
          <w:p w:rsidR="0060495F" w:rsidRPr="004765BE" w:rsidRDefault="00905F90" w:rsidP="00905F90">
            <w:pPr>
              <w:pStyle w:val="NoSpacing"/>
              <w:jc w:val="both"/>
              <w:rPr>
                <w:rFonts w:ascii="Times New Roman" w:hAnsi="Times New Roman" w:cs="Times New Roman"/>
                <w:sz w:val="24"/>
                <w:szCs w:val="24"/>
                <w:lang w:eastAsia="lv-LV"/>
              </w:rPr>
            </w:pPr>
            <w:r w:rsidRPr="00905F90">
              <w:rPr>
                <w:rFonts w:ascii="Times New Roman" w:hAnsi="Times New Roman" w:cs="Times New Roman"/>
                <w:sz w:val="24"/>
                <w:szCs w:val="24"/>
              </w:rPr>
              <w:t>Nodrošinājuma valsts aģentūra</w:t>
            </w:r>
            <w:r>
              <w:rPr>
                <w:rFonts w:ascii="Times New Roman" w:hAnsi="Times New Roman" w:cs="Times New Roman"/>
                <w:sz w:val="24"/>
                <w:szCs w:val="24"/>
              </w:rPr>
              <w:t xml:space="preserve">, </w:t>
            </w:r>
            <w:r w:rsidRPr="00905F90">
              <w:rPr>
                <w:rFonts w:ascii="Times New Roman" w:hAnsi="Times New Roman" w:cs="Times New Roman"/>
                <w:sz w:val="24"/>
                <w:szCs w:val="24"/>
              </w:rPr>
              <w:t>Valsts aizsardzības milit</w:t>
            </w:r>
            <w:r>
              <w:rPr>
                <w:rFonts w:ascii="Times New Roman" w:hAnsi="Times New Roman" w:cs="Times New Roman"/>
                <w:sz w:val="24"/>
                <w:szCs w:val="24"/>
              </w:rPr>
              <w:t>āro objektu un iepirkumu centrs,</w:t>
            </w:r>
            <w:r w:rsidRPr="00905F90">
              <w:rPr>
                <w:rFonts w:ascii="Times New Roman" w:hAnsi="Times New Roman" w:cs="Times New Roman"/>
                <w:sz w:val="24"/>
                <w:szCs w:val="24"/>
              </w:rPr>
              <w:t xml:space="preserve"> Nacionālo bruņoto spēku Nodrošinājuma pavēlniecība</w:t>
            </w:r>
            <w:r>
              <w:rPr>
                <w:rFonts w:ascii="Times New Roman" w:hAnsi="Times New Roman" w:cs="Times New Roman"/>
                <w:sz w:val="24"/>
                <w:szCs w:val="24"/>
              </w:rPr>
              <w:t xml:space="preserve">, </w:t>
            </w:r>
            <w:r w:rsidRPr="00905F90">
              <w:rPr>
                <w:rFonts w:ascii="Times New Roman" w:hAnsi="Times New Roman" w:cs="Times New Roman"/>
                <w:sz w:val="24"/>
                <w:szCs w:val="24"/>
              </w:rPr>
              <w:tab/>
              <w:t>Latvijas Banka</w:t>
            </w:r>
            <w:r>
              <w:rPr>
                <w:rFonts w:ascii="Times New Roman" w:hAnsi="Times New Roman" w:cs="Times New Roman"/>
                <w:sz w:val="24"/>
                <w:szCs w:val="24"/>
              </w:rPr>
              <w:t xml:space="preserve">, </w:t>
            </w:r>
            <w:r w:rsidRPr="00905F90">
              <w:rPr>
                <w:rFonts w:ascii="Times New Roman" w:hAnsi="Times New Roman" w:cs="Times New Roman"/>
                <w:sz w:val="24"/>
                <w:szCs w:val="24"/>
              </w:rPr>
              <w:t>Ostas pārvalde</w:t>
            </w:r>
            <w:r>
              <w:rPr>
                <w:rFonts w:ascii="Times New Roman" w:hAnsi="Times New Roman" w:cs="Times New Roman"/>
                <w:sz w:val="24"/>
                <w:szCs w:val="24"/>
              </w:rPr>
              <w:t>, at</w:t>
            </w:r>
            <w:r w:rsidRPr="00905F90">
              <w:rPr>
                <w:rFonts w:ascii="Times New Roman" w:hAnsi="Times New Roman" w:cs="Times New Roman"/>
                <w:sz w:val="24"/>
                <w:szCs w:val="24"/>
              </w:rPr>
              <w:t>tiecīgā</w:t>
            </w:r>
            <w:r>
              <w:rPr>
                <w:rFonts w:ascii="Times New Roman" w:hAnsi="Times New Roman" w:cs="Times New Roman"/>
                <w:sz w:val="24"/>
                <w:szCs w:val="24"/>
              </w:rPr>
              <w:t>s</w:t>
            </w:r>
            <w:r w:rsidRPr="00905F90">
              <w:rPr>
                <w:rFonts w:ascii="Times New Roman" w:hAnsi="Times New Roman" w:cs="Times New Roman"/>
                <w:sz w:val="24"/>
                <w:szCs w:val="24"/>
              </w:rPr>
              <w:t xml:space="preserve"> pašvaldība</w:t>
            </w:r>
            <w:r>
              <w:rPr>
                <w:rFonts w:ascii="Times New Roman" w:hAnsi="Times New Roman" w:cs="Times New Roman"/>
                <w:sz w:val="24"/>
                <w:szCs w:val="24"/>
              </w:rPr>
              <w:t>s,</w:t>
            </w:r>
            <w:bookmarkStart w:id="0" w:name="p3"/>
            <w:bookmarkStart w:id="1" w:name="p-429122"/>
            <w:bookmarkEnd w:id="0"/>
            <w:bookmarkEnd w:id="1"/>
            <w:r>
              <w:rPr>
                <w:rFonts w:ascii="Times New Roman" w:hAnsi="Times New Roman" w:cs="Times New Roman"/>
                <w:sz w:val="24"/>
                <w:szCs w:val="24"/>
              </w:rPr>
              <w:t xml:space="preserve"> valsts drošības iestādes</w:t>
            </w:r>
            <w:r w:rsidRPr="00905F90">
              <w:rPr>
                <w:rFonts w:ascii="Times New Roman" w:hAnsi="Times New Roman" w:cs="Times New Roman"/>
                <w:sz w:val="24"/>
                <w:szCs w:val="24"/>
              </w:rPr>
              <w:t>, Valsts ieņēmumu dienests, Ieslodzījuma vietu pārvalde un Korupcijas novēršanas un apkarošanas birojs</w:t>
            </w:r>
            <w:r>
              <w:rPr>
                <w:rFonts w:ascii="Times New Roman" w:hAnsi="Times New Roman" w:cs="Times New Roman"/>
                <w:sz w:val="24"/>
                <w:szCs w:val="24"/>
              </w:rPr>
              <w:t>.</w:t>
            </w:r>
            <w:r w:rsidR="0060495F" w:rsidRPr="00905F90">
              <w:rPr>
                <w:rFonts w:ascii="Times New Roman" w:hAnsi="Times New Roman" w:cs="Times New Roman"/>
                <w:sz w:val="24"/>
                <w:szCs w:val="24"/>
                <w:lang w:eastAsia="lv-LV"/>
              </w:rPr>
              <w:tab/>
            </w:r>
          </w:p>
        </w:tc>
      </w:tr>
      <w:tr w:rsidR="0060495F" w:rsidRPr="007D7C78" w:rsidTr="00D12B0C">
        <w:trPr>
          <w:trHeight w:val="523"/>
        </w:trPr>
        <w:tc>
          <w:tcPr>
            <w:tcW w:w="578" w:type="dxa"/>
          </w:tcPr>
          <w:p w:rsidR="0060495F" w:rsidRPr="007D7C78" w:rsidRDefault="0060495F" w:rsidP="00D12B0C">
            <w:pPr>
              <w:pStyle w:val="naiskr"/>
              <w:spacing w:before="0" w:after="0"/>
              <w:ind w:left="57" w:right="57"/>
              <w:jc w:val="both"/>
            </w:pPr>
            <w:r w:rsidRPr="007D7C78">
              <w:t>2.</w:t>
            </w:r>
          </w:p>
        </w:tc>
        <w:tc>
          <w:tcPr>
            <w:tcW w:w="2976" w:type="dxa"/>
          </w:tcPr>
          <w:p w:rsidR="0060495F" w:rsidRPr="007D7C78" w:rsidRDefault="0060495F" w:rsidP="00D12B0C">
            <w:pPr>
              <w:pStyle w:val="naiskr"/>
              <w:spacing w:before="0" w:after="0"/>
              <w:ind w:left="57" w:right="57"/>
            </w:pPr>
            <w:r w:rsidRPr="007D7C78">
              <w:t>Tiesiskā regulējuma ietekme uz tautsaimniecību un administratīvo slogu</w:t>
            </w:r>
          </w:p>
        </w:tc>
        <w:tc>
          <w:tcPr>
            <w:tcW w:w="5797" w:type="dxa"/>
          </w:tcPr>
          <w:p w:rsidR="0060495F" w:rsidRPr="004765BE" w:rsidRDefault="004765BE" w:rsidP="00D12B0C">
            <w:pPr>
              <w:spacing w:after="120"/>
              <w:jc w:val="both"/>
              <w:rPr>
                <w:rFonts w:ascii="Times New Roman" w:hAnsi="Times New Roman" w:cs="Times New Roman"/>
                <w:sz w:val="24"/>
                <w:szCs w:val="24"/>
              </w:rPr>
            </w:pPr>
            <w:r w:rsidRPr="004765BE">
              <w:rPr>
                <w:rFonts w:ascii="Times New Roman" w:hAnsi="Times New Roman" w:cs="Times New Roman"/>
                <w:sz w:val="24"/>
                <w:szCs w:val="24"/>
                <w:lang w:eastAsia="lv-LV"/>
              </w:rPr>
              <w:t>Projekts šo jomu neskar.</w:t>
            </w:r>
          </w:p>
        </w:tc>
      </w:tr>
      <w:tr w:rsidR="0060495F" w:rsidRPr="00191C0B" w:rsidTr="004765BE">
        <w:trPr>
          <w:trHeight w:val="1125"/>
        </w:trPr>
        <w:tc>
          <w:tcPr>
            <w:tcW w:w="578" w:type="dxa"/>
          </w:tcPr>
          <w:p w:rsidR="0060495F" w:rsidRPr="00C372D4" w:rsidRDefault="0060495F" w:rsidP="00D12B0C">
            <w:pPr>
              <w:pStyle w:val="naiskr"/>
              <w:spacing w:before="0" w:after="0"/>
              <w:ind w:left="57" w:right="57"/>
              <w:jc w:val="both"/>
            </w:pPr>
            <w:r w:rsidRPr="00C372D4">
              <w:lastRenderedPageBreak/>
              <w:t>3.</w:t>
            </w:r>
          </w:p>
        </w:tc>
        <w:tc>
          <w:tcPr>
            <w:tcW w:w="2976" w:type="dxa"/>
          </w:tcPr>
          <w:p w:rsidR="0060495F" w:rsidRPr="00C372D4" w:rsidRDefault="0060495F" w:rsidP="00D12B0C">
            <w:pPr>
              <w:pStyle w:val="naiskr"/>
              <w:spacing w:before="0" w:after="0"/>
              <w:ind w:left="57" w:right="57"/>
            </w:pPr>
            <w:r w:rsidRPr="003B40CB">
              <w:t>Administratīvo izmaksu monetārs novērtējums</w:t>
            </w:r>
          </w:p>
        </w:tc>
        <w:tc>
          <w:tcPr>
            <w:tcW w:w="5797" w:type="dxa"/>
          </w:tcPr>
          <w:p w:rsidR="0060495F" w:rsidRPr="004765BE" w:rsidRDefault="004765BE" w:rsidP="00D12B0C">
            <w:pPr>
              <w:rPr>
                <w:rFonts w:ascii="Times New Roman" w:hAnsi="Times New Roman" w:cs="Times New Roman"/>
                <w:sz w:val="24"/>
                <w:szCs w:val="24"/>
              </w:rPr>
            </w:pPr>
            <w:r w:rsidRPr="004765BE">
              <w:rPr>
                <w:rFonts w:ascii="Times New Roman" w:hAnsi="Times New Roman" w:cs="Times New Roman"/>
                <w:sz w:val="24"/>
                <w:szCs w:val="24"/>
                <w:lang w:eastAsia="lv-LV"/>
              </w:rPr>
              <w:t>Projekts šo jomu neskar.</w:t>
            </w:r>
          </w:p>
        </w:tc>
      </w:tr>
      <w:tr w:rsidR="0060495F" w:rsidRPr="00191C0B" w:rsidTr="00D12B0C">
        <w:trPr>
          <w:trHeight w:val="357"/>
        </w:trPr>
        <w:tc>
          <w:tcPr>
            <w:tcW w:w="578" w:type="dxa"/>
          </w:tcPr>
          <w:p w:rsidR="0060495F" w:rsidRPr="00C372D4" w:rsidRDefault="0060495F" w:rsidP="00D12B0C">
            <w:pPr>
              <w:pStyle w:val="naiskr"/>
              <w:spacing w:before="0" w:after="0"/>
              <w:ind w:left="57" w:right="57"/>
              <w:jc w:val="both"/>
            </w:pPr>
            <w:r w:rsidRPr="00C372D4">
              <w:t>4.</w:t>
            </w:r>
          </w:p>
        </w:tc>
        <w:tc>
          <w:tcPr>
            <w:tcW w:w="2976" w:type="dxa"/>
          </w:tcPr>
          <w:p w:rsidR="0060495F" w:rsidRPr="00027311" w:rsidRDefault="0060495F" w:rsidP="00D12B0C">
            <w:pPr>
              <w:pStyle w:val="naiskr"/>
              <w:spacing w:before="0" w:after="0"/>
              <w:ind w:left="57" w:right="57"/>
            </w:pPr>
            <w:r w:rsidRPr="00027311">
              <w:t>Cita informācija</w:t>
            </w:r>
          </w:p>
        </w:tc>
        <w:tc>
          <w:tcPr>
            <w:tcW w:w="5797" w:type="dxa"/>
          </w:tcPr>
          <w:p w:rsidR="0060495F" w:rsidRPr="00027311" w:rsidRDefault="0060495F" w:rsidP="00D12B0C">
            <w:pPr>
              <w:pStyle w:val="default"/>
              <w:shd w:val="clear" w:color="auto" w:fill="FFFFFF"/>
              <w:spacing w:before="0" w:beforeAutospacing="0" w:after="0"/>
              <w:jc w:val="both"/>
            </w:pPr>
            <w:r w:rsidRPr="00027311">
              <w:t>Nav.</w:t>
            </w:r>
            <w:r>
              <w:t xml:space="preserve"> </w:t>
            </w:r>
          </w:p>
        </w:tc>
      </w:tr>
    </w:tbl>
    <w:p w:rsidR="0099575A" w:rsidRDefault="0099575A" w:rsidP="005D4754">
      <w:pPr>
        <w:spacing w:after="0" w:line="240" w:lineRule="auto"/>
        <w:rPr>
          <w:rFonts w:ascii="Times New Roman" w:eastAsia="Times New Roman" w:hAnsi="Times New Roman" w:cs="Times New Roman"/>
          <w:sz w:val="24"/>
          <w:szCs w:val="24"/>
          <w:lang w:eastAsia="lv-LV"/>
        </w:rPr>
      </w:pPr>
    </w:p>
    <w:p w:rsidR="0099575A" w:rsidRPr="00151811" w:rsidRDefault="0099575A" w:rsidP="005D4754">
      <w:pPr>
        <w:spacing w:after="0" w:line="240" w:lineRule="auto"/>
        <w:rPr>
          <w:rFonts w:ascii="Times New Roman" w:eastAsia="Times New Roman" w:hAnsi="Times New Roman" w:cs="Times New Roman"/>
          <w:sz w:val="24"/>
          <w:szCs w:val="24"/>
          <w:lang w:eastAsia="lv-LV"/>
        </w:rPr>
      </w:pPr>
    </w:p>
    <w:tbl>
      <w:tblPr>
        <w:tblW w:w="9356" w:type="dxa"/>
        <w:tblInd w:w="-147" w:type="dxa"/>
        <w:tblLayout w:type="fixed"/>
        <w:tblLook w:val="0000" w:firstRow="0" w:lastRow="0" w:firstColumn="0" w:lastColumn="0" w:noHBand="0" w:noVBand="0"/>
      </w:tblPr>
      <w:tblGrid>
        <w:gridCol w:w="2455"/>
        <w:gridCol w:w="1199"/>
        <w:gridCol w:w="1410"/>
        <w:gridCol w:w="7"/>
        <w:gridCol w:w="1418"/>
        <w:gridCol w:w="1275"/>
        <w:gridCol w:w="1592"/>
      </w:tblGrid>
      <w:tr w:rsidR="005D4754" w:rsidRPr="00151811" w:rsidTr="004765BE">
        <w:tc>
          <w:tcPr>
            <w:tcW w:w="9356" w:type="dxa"/>
            <w:gridSpan w:val="7"/>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b/>
                <w:sz w:val="24"/>
                <w:szCs w:val="24"/>
              </w:rPr>
              <w:t>III. Tiesību akta projekta ietekme uz valsts budžetu un pašvaldību budžetiem</w:t>
            </w:r>
          </w:p>
        </w:tc>
      </w:tr>
      <w:tr w:rsidR="005D4754" w:rsidRPr="00151811" w:rsidTr="004765BE">
        <w:tc>
          <w:tcPr>
            <w:tcW w:w="2455" w:type="dxa"/>
            <w:vMerge w:val="restart"/>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both"/>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Rādītāji</w:t>
            </w:r>
          </w:p>
        </w:tc>
        <w:tc>
          <w:tcPr>
            <w:tcW w:w="2616" w:type="dxa"/>
            <w:gridSpan w:val="3"/>
            <w:vMerge w:val="restart"/>
            <w:tcBorders>
              <w:top w:val="single" w:sz="4" w:space="0" w:color="000000"/>
              <w:left w:val="single" w:sz="4" w:space="0" w:color="000000"/>
              <w:bottom w:val="single" w:sz="4" w:space="0" w:color="000000"/>
            </w:tcBorders>
            <w:vAlign w:val="center"/>
          </w:tcPr>
          <w:p w:rsidR="005D4754" w:rsidRPr="00151811" w:rsidRDefault="005A6BC4"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5D4754" w:rsidRPr="00151811">
              <w:rPr>
                <w:rFonts w:ascii="Times New Roman" w:eastAsia="Times New Roman" w:hAnsi="Times New Roman" w:cs="Times New Roman"/>
                <w:sz w:val="24"/>
                <w:szCs w:val="24"/>
              </w:rPr>
              <w:t>.gads</w:t>
            </w:r>
          </w:p>
        </w:tc>
        <w:tc>
          <w:tcPr>
            <w:tcW w:w="4285" w:type="dxa"/>
            <w:gridSpan w:val="3"/>
            <w:tcBorders>
              <w:top w:val="single" w:sz="4" w:space="0" w:color="000000"/>
              <w:left w:val="single" w:sz="4" w:space="0" w:color="000000"/>
              <w:bottom w:val="single" w:sz="4" w:space="0" w:color="000000"/>
              <w:right w:val="single" w:sz="4" w:space="0" w:color="000000"/>
            </w:tcBorders>
          </w:tcPr>
          <w:p w:rsidR="005D4754" w:rsidRPr="00151811" w:rsidRDefault="005D4754" w:rsidP="002B20A1">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Turpmākie trīs gadi (</w:t>
            </w:r>
            <w:r w:rsidRPr="00151811">
              <w:rPr>
                <w:rFonts w:ascii="Times New Roman" w:eastAsia="Times New Roman" w:hAnsi="Times New Roman" w:cs="Times New Roman"/>
                <w:i/>
                <w:sz w:val="24"/>
                <w:szCs w:val="24"/>
              </w:rPr>
              <w:t>euro</w:t>
            </w:r>
            <w:r w:rsidRPr="00151811">
              <w:rPr>
                <w:rFonts w:ascii="Times New Roman" w:eastAsia="Times New Roman" w:hAnsi="Times New Roman" w:cs="Times New Roman"/>
                <w:sz w:val="24"/>
                <w:szCs w:val="24"/>
              </w:rPr>
              <w:t>)</w:t>
            </w:r>
          </w:p>
        </w:tc>
      </w:tr>
      <w:tr w:rsidR="005D4754" w:rsidRPr="00151811" w:rsidTr="004765BE">
        <w:tc>
          <w:tcPr>
            <w:tcW w:w="2455" w:type="dxa"/>
            <w:vMerge/>
            <w:tcBorders>
              <w:top w:val="single" w:sz="4" w:space="0" w:color="000000"/>
              <w:left w:val="single" w:sz="4" w:space="0" w:color="000000"/>
              <w:bottom w:val="single" w:sz="4" w:space="0" w:color="000000"/>
            </w:tcBorders>
          </w:tcPr>
          <w:p w:rsidR="005D4754" w:rsidRPr="00151811" w:rsidRDefault="005D4754" w:rsidP="005D4754">
            <w:pPr>
              <w:snapToGrid w:val="0"/>
              <w:spacing w:after="0" w:line="240" w:lineRule="auto"/>
              <w:rPr>
                <w:rFonts w:ascii="Times New Roman" w:eastAsia="Times New Roman" w:hAnsi="Times New Roman" w:cs="Times New Roman"/>
                <w:sz w:val="24"/>
                <w:szCs w:val="24"/>
              </w:rPr>
            </w:pPr>
          </w:p>
        </w:tc>
        <w:tc>
          <w:tcPr>
            <w:tcW w:w="2616" w:type="dxa"/>
            <w:gridSpan w:val="3"/>
            <w:vMerge/>
            <w:tcBorders>
              <w:top w:val="single" w:sz="4" w:space="0" w:color="000000"/>
              <w:left w:val="single" w:sz="4" w:space="0" w:color="000000"/>
              <w:bottom w:val="single" w:sz="4" w:space="0" w:color="000000"/>
            </w:tcBorders>
          </w:tcPr>
          <w:p w:rsidR="005D4754" w:rsidRPr="00151811" w:rsidRDefault="005D4754" w:rsidP="005D4754">
            <w:pPr>
              <w:snapToGrid w:val="0"/>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5D4754" w:rsidRPr="00151811" w:rsidRDefault="005A6BC4" w:rsidP="005D4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5D4754" w:rsidRPr="00151811">
              <w:rPr>
                <w:rFonts w:ascii="Times New Roman" w:eastAsia="Times New Roman" w:hAnsi="Times New Roman" w:cs="Times New Roman"/>
                <w:sz w:val="24"/>
                <w:szCs w:val="24"/>
              </w:rPr>
              <w:t>.gads</w:t>
            </w:r>
          </w:p>
        </w:tc>
        <w:tc>
          <w:tcPr>
            <w:tcW w:w="1275" w:type="dxa"/>
            <w:tcBorders>
              <w:top w:val="single" w:sz="4" w:space="0" w:color="000000"/>
              <w:left w:val="single" w:sz="4" w:space="0" w:color="000000"/>
              <w:bottom w:val="single" w:sz="4" w:space="0" w:color="000000"/>
            </w:tcBorders>
            <w:vAlign w:val="center"/>
          </w:tcPr>
          <w:p w:rsidR="005D4754" w:rsidRPr="00151811" w:rsidRDefault="005A6BC4"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5D4754" w:rsidRPr="00151811">
              <w:rPr>
                <w:rFonts w:ascii="Times New Roman" w:eastAsia="Times New Roman" w:hAnsi="Times New Roman" w:cs="Times New Roman"/>
                <w:sz w:val="24"/>
                <w:szCs w:val="24"/>
              </w:rPr>
              <w:t>.gads</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5A6BC4"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5D4754" w:rsidRPr="00151811">
              <w:rPr>
                <w:rFonts w:ascii="Times New Roman" w:eastAsia="Times New Roman" w:hAnsi="Times New Roman" w:cs="Times New Roman"/>
                <w:sz w:val="24"/>
                <w:szCs w:val="24"/>
              </w:rPr>
              <w:t>.gads</w:t>
            </w:r>
          </w:p>
        </w:tc>
      </w:tr>
      <w:tr w:rsidR="005D4754" w:rsidRPr="00151811" w:rsidTr="004765BE">
        <w:tc>
          <w:tcPr>
            <w:tcW w:w="2455" w:type="dxa"/>
            <w:vMerge/>
            <w:tcBorders>
              <w:top w:val="single" w:sz="4" w:space="0" w:color="000000"/>
              <w:left w:val="single" w:sz="4" w:space="0" w:color="000000"/>
              <w:bottom w:val="single" w:sz="4" w:space="0" w:color="000000"/>
            </w:tcBorders>
          </w:tcPr>
          <w:p w:rsidR="005D4754" w:rsidRPr="00151811" w:rsidRDefault="005D4754" w:rsidP="005D4754">
            <w:pPr>
              <w:snapToGrid w:val="0"/>
              <w:spacing w:after="0" w:line="240" w:lineRule="auto"/>
              <w:rPr>
                <w:rFonts w:ascii="Times New Roman" w:eastAsia="Times New Roman" w:hAnsi="Times New Roman" w:cs="Times New Roman"/>
                <w:sz w:val="24"/>
                <w:szCs w:val="24"/>
              </w:rPr>
            </w:pPr>
          </w:p>
        </w:tc>
        <w:tc>
          <w:tcPr>
            <w:tcW w:w="1199"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Saskaņā ar valsts budžetu kārtējam gadam</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Izmaiņas kārtējā gadā, salīdzinot ar budžetu kārtējam gadam</w:t>
            </w:r>
          </w:p>
        </w:tc>
        <w:tc>
          <w:tcPr>
            <w:tcW w:w="1418"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Izmai</w:t>
            </w:r>
            <w:r w:rsidR="007B521A">
              <w:rPr>
                <w:rFonts w:ascii="Times New Roman" w:eastAsia="Times New Roman" w:hAnsi="Times New Roman" w:cs="Times New Roman"/>
                <w:sz w:val="24"/>
                <w:szCs w:val="24"/>
              </w:rPr>
              <w:t>ņas, salīdzinot ar kārtējo (2015</w:t>
            </w:r>
            <w:r w:rsidRPr="00151811">
              <w:rPr>
                <w:rFonts w:ascii="Times New Roman" w:eastAsia="Times New Roman" w:hAnsi="Times New Roman" w:cs="Times New Roman"/>
                <w:sz w:val="24"/>
                <w:szCs w:val="24"/>
              </w:rPr>
              <w:t>.) gadu</w:t>
            </w:r>
          </w:p>
        </w:tc>
        <w:tc>
          <w:tcPr>
            <w:tcW w:w="1275"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Izmai</w:t>
            </w:r>
            <w:r w:rsidR="007B521A">
              <w:rPr>
                <w:rFonts w:ascii="Times New Roman" w:eastAsia="Times New Roman" w:hAnsi="Times New Roman" w:cs="Times New Roman"/>
                <w:sz w:val="24"/>
                <w:szCs w:val="24"/>
              </w:rPr>
              <w:t>ņas, salīdzinot ar kārtējo (2015</w:t>
            </w:r>
            <w:r w:rsidRPr="00151811">
              <w:rPr>
                <w:rFonts w:ascii="Times New Roman" w:eastAsia="Times New Roman" w:hAnsi="Times New Roman" w:cs="Times New Roman"/>
                <w:sz w:val="24"/>
                <w:szCs w:val="24"/>
              </w:rPr>
              <w:t>.) gadu</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Izmai</w:t>
            </w:r>
            <w:r w:rsidR="007B521A">
              <w:rPr>
                <w:rFonts w:ascii="Times New Roman" w:eastAsia="Times New Roman" w:hAnsi="Times New Roman" w:cs="Times New Roman"/>
                <w:sz w:val="24"/>
                <w:szCs w:val="24"/>
              </w:rPr>
              <w:t>ņas, salīdzinot ar kārtējo (2015</w:t>
            </w:r>
            <w:r w:rsidRPr="00151811">
              <w:rPr>
                <w:rFonts w:ascii="Times New Roman" w:eastAsia="Times New Roman" w:hAnsi="Times New Roman" w:cs="Times New Roman"/>
                <w:sz w:val="24"/>
                <w:szCs w:val="24"/>
              </w:rPr>
              <w:t>.) gadu</w:t>
            </w:r>
          </w:p>
        </w:tc>
      </w:tr>
      <w:tr w:rsidR="005D4754" w:rsidRPr="00151811" w:rsidTr="004765BE">
        <w:trPr>
          <w:trHeight w:val="397"/>
        </w:trPr>
        <w:tc>
          <w:tcPr>
            <w:tcW w:w="2455"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1</w:t>
            </w:r>
          </w:p>
        </w:tc>
        <w:tc>
          <w:tcPr>
            <w:tcW w:w="1199"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3</w:t>
            </w:r>
          </w:p>
        </w:tc>
        <w:tc>
          <w:tcPr>
            <w:tcW w:w="1418"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6</w:t>
            </w:r>
          </w:p>
        </w:tc>
      </w:tr>
      <w:tr w:rsidR="005D4754" w:rsidRPr="00151811" w:rsidTr="004765BE">
        <w:trPr>
          <w:trHeight w:val="389"/>
        </w:trPr>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1. Budžeta ieņēmumi:</w:t>
            </w:r>
          </w:p>
        </w:tc>
        <w:tc>
          <w:tcPr>
            <w:tcW w:w="1199" w:type="dxa"/>
            <w:tcBorders>
              <w:top w:val="single" w:sz="4" w:space="0" w:color="000000"/>
              <w:left w:val="single" w:sz="4" w:space="0" w:color="000000"/>
              <w:bottom w:val="single" w:sz="4" w:space="0" w:color="000000"/>
            </w:tcBorders>
            <w:vAlign w:val="center"/>
          </w:tcPr>
          <w:p w:rsidR="005D4754" w:rsidRPr="00151811" w:rsidRDefault="00024C97"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vAlign w:val="center"/>
          </w:tcPr>
          <w:p w:rsidR="005D4754" w:rsidRPr="00151811" w:rsidRDefault="00B62426" w:rsidP="00EB23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1.1. valsts pamatbudžets, tai skaitā ieņēmumi no maksas pakalpojumiem un citi pašu ieņēmumi</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rsidR="005D4754" w:rsidRPr="00151811" w:rsidRDefault="00024C97"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vAlign w:val="center"/>
          </w:tcPr>
          <w:p w:rsidR="005D4754" w:rsidRPr="00151811" w:rsidRDefault="00B62426" w:rsidP="00EB23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1.2. valsts speciālais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1.3. pašvaldību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r>
      <w:tr w:rsidR="005D4754" w:rsidRPr="00151811" w:rsidTr="004765BE">
        <w:trPr>
          <w:trHeight w:val="345"/>
        </w:trPr>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both"/>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2. Budžeta izdevumi:</w:t>
            </w:r>
          </w:p>
        </w:tc>
        <w:tc>
          <w:tcPr>
            <w:tcW w:w="1199" w:type="dxa"/>
            <w:tcBorders>
              <w:top w:val="single" w:sz="4" w:space="0" w:color="000000"/>
              <w:left w:val="single" w:sz="4" w:space="0" w:color="000000"/>
              <w:bottom w:val="single" w:sz="4" w:space="0" w:color="000000"/>
            </w:tcBorders>
            <w:vAlign w:val="center"/>
          </w:tcPr>
          <w:p w:rsidR="005D4754" w:rsidRPr="00151811" w:rsidRDefault="00024C97"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B239B" w:rsidRPr="00151811" w:rsidTr="004765BE">
        <w:tc>
          <w:tcPr>
            <w:tcW w:w="2455" w:type="dxa"/>
            <w:tcBorders>
              <w:top w:val="single" w:sz="4" w:space="0" w:color="000000"/>
              <w:left w:val="single" w:sz="4" w:space="0" w:color="000000"/>
              <w:bottom w:val="single" w:sz="4" w:space="0" w:color="000000"/>
            </w:tcBorders>
          </w:tcPr>
          <w:p w:rsidR="00EB239B" w:rsidRPr="00151811" w:rsidRDefault="00EB239B" w:rsidP="00EB239B">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2.1. valsts pamatbudžets</w:t>
            </w:r>
          </w:p>
        </w:tc>
        <w:tc>
          <w:tcPr>
            <w:tcW w:w="1199" w:type="dxa"/>
            <w:tcBorders>
              <w:top w:val="single" w:sz="4" w:space="0" w:color="000000"/>
              <w:left w:val="single" w:sz="4" w:space="0" w:color="000000"/>
              <w:bottom w:val="single" w:sz="4" w:space="0" w:color="000000"/>
            </w:tcBorders>
            <w:vAlign w:val="center"/>
          </w:tcPr>
          <w:p w:rsidR="00EB239B" w:rsidRPr="00151811" w:rsidRDefault="00024C97"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vAlign w:val="center"/>
          </w:tcPr>
          <w:p w:rsidR="00EB239B" w:rsidRPr="00151811" w:rsidRDefault="00EB239B"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vAlign w:val="center"/>
          </w:tcPr>
          <w:p w:rsidR="00EB239B" w:rsidRPr="00151811" w:rsidRDefault="00B62426" w:rsidP="00EB23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vAlign w:val="center"/>
          </w:tcPr>
          <w:p w:rsidR="00EB239B" w:rsidRPr="00151811" w:rsidRDefault="00B62426" w:rsidP="00EB23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EB239B" w:rsidRPr="00151811" w:rsidRDefault="00B62426" w:rsidP="00EB23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2.2. valsts speciālais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r>
      <w:tr w:rsidR="005D4754" w:rsidRPr="00151811" w:rsidTr="004765BE">
        <w:trPr>
          <w:trHeight w:val="617"/>
        </w:trPr>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2.3. pašvaldību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51811">
              <w:rPr>
                <w:rFonts w:ascii="Times New Roman" w:eastAsia="Times New Roman" w:hAnsi="Times New Roman" w:cs="Times New Roman"/>
                <w:sz w:val="24"/>
                <w:szCs w:val="24"/>
                <w:lang w:eastAsia="ar-SA"/>
              </w:rPr>
              <w:t>0</w:t>
            </w:r>
          </w:p>
        </w:tc>
      </w:tr>
      <w:tr w:rsidR="005D4754" w:rsidRPr="00151811" w:rsidTr="004765BE">
        <w:trPr>
          <w:trHeight w:val="430"/>
        </w:trPr>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3. Finansiālā ietekme:</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5D4754" w:rsidRPr="00151811" w:rsidRDefault="00B62426"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5D4754" w:rsidRPr="00151811" w:rsidRDefault="00B62426"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B62426"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3.1. valsts pamatbudžets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5D4754" w:rsidRPr="00151811" w:rsidRDefault="00B62426"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5D4754" w:rsidRPr="00151811" w:rsidRDefault="00B62426"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B62426" w:rsidP="005D475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D4754" w:rsidRPr="00151811" w:rsidTr="004765BE">
        <w:trPr>
          <w:trHeight w:val="417"/>
        </w:trPr>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3.2. speciālais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3.3. pašvaldību budžets</w:t>
            </w:r>
          </w:p>
        </w:tc>
        <w:tc>
          <w:tcPr>
            <w:tcW w:w="1199" w:type="dxa"/>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4. Finanšu līdzekļi papildu izde</w:t>
            </w:r>
            <w:r w:rsidRPr="00151811">
              <w:rPr>
                <w:rFonts w:ascii="Times New Roman" w:eastAsia="Times New Roman" w:hAnsi="Times New Roman" w:cs="Times New Roman"/>
                <w:sz w:val="24"/>
                <w:szCs w:val="24"/>
              </w:rPr>
              <w:softHyphen/>
              <w:t xml:space="preserve">vumu finansēšanai </w:t>
            </w:r>
            <w:r w:rsidRPr="00151811">
              <w:rPr>
                <w:rFonts w:ascii="Times New Roman" w:eastAsia="Times New Roman" w:hAnsi="Times New Roman" w:cs="Times New Roman"/>
                <w:sz w:val="24"/>
                <w:szCs w:val="24"/>
              </w:rPr>
              <w:lastRenderedPageBreak/>
              <w:t>(kompensējošu izdevumu samazinājumu norāda ar "+" zīmi)</w:t>
            </w:r>
          </w:p>
        </w:tc>
        <w:tc>
          <w:tcPr>
            <w:tcW w:w="1199" w:type="dxa"/>
            <w:tcBorders>
              <w:top w:val="single" w:sz="4" w:space="0" w:color="000000"/>
              <w:left w:val="single" w:sz="4" w:space="0" w:color="000000"/>
              <w:bottom w:val="single" w:sz="4" w:space="0" w:color="000000"/>
            </w:tcBorders>
            <w:vAlign w:val="center"/>
          </w:tcPr>
          <w:p w:rsidR="005D4754" w:rsidRPr="00151811" w:rsidRDefault="00B62426" w:rsidP="005D4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1417" w:type="dxa"/>
            <w:gridSpan w:val="2"/>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p w:rsidR="005D4754" w:rsidRPr="00151811" w:rsidRDefault="005D4754" w:rsidP="005D4754">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p w:rsidR="005D4754" w:rsidRPr="00151811" w:rsidRDefault="005D4754" w:rsidP="005D4754">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p w:rsidR="005D4754" w:rsidRPr="00151811" w:rsidRDefault="005D4754" w:rsidP="005D4754">
            <w:pPr>
              <w:spacing w:after="0" w:line="240" w:lineRule="auto"/>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5D4754" w:rsidRPr="00151811" w:rsidRDefault="005D4754" w:rsidP="005D4754">
            <w:pPr>
              <w:snapToGrid w:val="0"/>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p w:rsidR="005D4754" w:rsidRPr="00151811" w:rsidRDefault="005D4754" w:rsidP="005D4754">
            <w:pPr>
              <w:spacing w:after="0" w:line="240" w:lineRule="auto"/>
              <w:jc w:val="center"/>
              <w:rPr>
                <w:rFonts w:ascii="Times New Roman" w:eastAsia="Times New Roman" w:hAnsi="Times New Roman" w:cs="Times New Roman"/>
                <w:sz w:val="24"/>
                <w:szCs w:val="24"/>
              </w:rPr>
            </w:pPr>
          </w:p>
        </w:tc>
      </w:tr>
      <w:tr w:rsidR="00EB239B" w:rsidRPr="00151811" w:rsidTr="004765BE">
        <w:tc>
          <w:tcPr>
            <w:tcW w:w="2455" w:type="dxa"/>
            <w:tcBorders>
              <w:top w:val="single" w:sz="4" w:space="0" w:color="000000"/>
              <w:left w:val="single" w:sz="4" w:space="0" w:color="000000"/>
              <w:bottom w:val="single" w:sz="4" w:space="0" w:color="000000"/>
            </w:tcBorders>
          </w:tcPr>
          <w:p w:rsidR="00EB239B" w:rsidRPr="00151811" w:rsidRDefault="00EB239B" w:rsidP="00EB239B">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lastRenderedPageBreak/>
              <w:t> 5. Precizēta finansiālā ietekme:</w:t>
            </w:r>
          </w:p>
        </w:tc>
        <w:tc>
          <w:tcPr>
            <w:tcW w:w="1199" w:type="dxa"/>
            <w:tcBorders>
              <w:top w:val="single" w:sz="4" w:space="0" w:color="000000"/>
              <w:left w:val="single" w:sz="4" w:space="0" w:color="000000"/>
              <w:bottom w:val="single" w:sz="4" w:space="0" w:color="000000"/>
            </w:tcBorders>
          </w:tcPr>
          <w:p w:rsidR="00EB239B" w:rsidRPr="00151811" w:rsidRDefault="00B62426" w:rsidP="00EB23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EB239B" w:rsidRPr="00151811" w:rsidRDefault="00EB239B" w:rsidP="00EB239B">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EB239B" w:rsidRPr="00151811" w:rsidRDefault="00B62426"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EB239B" w:rsidRPr="00151811" w:rsidRDefault="00B62426"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EB239B" w:rsidRPr="00151811" w:rsidRDefault="00B62426"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EB239B" w:rsidRPr="00151811" w:rsidTr="004765BE">
        <w:tc>
          <w:tcPr>
            <w:tcW w:w="2455" w:type="dxa"/>
            <w:tcBorders>
              <w:top w:val="single" w:sz="4" w:space="0" w:color="000000"/>
              <w:left w:val="single" w:sz="4" w:space="0" w:color="000000"/>
              <w:bottom w:val="single" w:sz="4" w:space="0" w:color="000000"/>
            </w:tcBorders>
          </w:tcPr>
          <w:p w:rsidR="00EB239B" w:rsidRPr="00151811" w:rsidRDefault="00EB239B" w:rsidP="00EB239B">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5.1. valsts pamatbudžets</w:t>
            </w:r>
          </w:p>
        </w:tc>
        <w:tc>
          <w:tcPr>
            <w:tcW w:w="1199" w:type="dxa"/>
            <w:tcBorders>
              <w:top w:val="single" w:sz="4" w:space="0" w:color="000000"/>
              <w:left w:val="single" w:sz="4" w:space="0" w:color="000000"/>
              <w:bottom w:val="single" w:sz="4" w:space="0" w:color="000000"/>
            </w:tcBorders>
          </w:tcPr>
          <w:p w:rsidR="00EB239B" w:rsidRPr="00151811" w:rsidRDefault="00EB239B" w:rsidP="00EB239B">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EB239B" w:rsidRPr="00151811" w:rsidRDefault="00EB239B" w:rsidP="00EB239B">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EB239B" w:rsidRPr="00151811" w:rsidRDefault="00B62426"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tcBorders>
          </w:tcPr>
          <w:p w:rsidR="00EB239B" w:rsidRPr="00151811" w:rsidRDefault="00B62426"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592" w:type="dxa"/>
            <w:tcBorders>
              <w:top w:val="single" w:sz="4" w:space="0" w:color="000000"/>
              <w:left w:val="single" w:sz="4" w:space="0" w:color="000000"/>
              <w:bottom w:val="single" w:sz="4" w:space="0" w:color="000000"/>
              <w:right w:val="single" w:sz="4" w:space="0" w:color="000000"/>
            </w:tcBorders>
          </w:tcPr>
          <w:p w:rsidR="00EB239B" w:rsidRPr="00151811" w:rsidRDefault="00B62426" w:rsidP="00EB239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5.2. speciālais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5.3. pašvaldību budžets</w:t>
            </w:r>
          </w:p>
        </w:tc>
        <w:tc>
          <w:tcPr>
            <w:tcW w:w="1199"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7" w:type="dxa"/>
            <w:gridSpan w:val="2"/>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c>
          <w:tcPr>
            <w:tcW w:w="1592" w:type="dxa"/>
            <w:tcBorders>
              <w:top w:val="single" w:sz="4" w:space="0" w:color="000000"/>
              <w:left w:val="single" w:sz="4" w:space="0" w:color="000000"/>
              <w:bottom w:val="single" w:sz="4" w:space="0" w:color="000000"/>
              <w:right w:val="single" w:sz="4" w:space="0" w:color="000000"/>
            </w:tcBorders>
          </w:tcPr>
          <w:p w:rsidR="005D4754" w:rsidRPr="00151811" w:rsidRDefault="005D4754" w:rsidP="005D4754">
            <w:pPr>
              <w:spacing w:after="0" w:line="240" w:lineRule="auto"/>
              <w:jc w:val="center"/>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0</w:t>
            </w:r>
          </w:p>
        </w:tc>
      </w:tr>
      <w:tr w:rsidR="00A929BD" w:rsidRPr="00151811" w:rsidTr="004765BE">
        <w:trPr>
          <w:trHeight w:val="1973"/>
        </w:trPr>
        <w:tc>
          <w:tcPr>
            <w:tcW w:w="2455" w:type="dxa"/>
            <w:tcBorders>
              <w:top w:val="single" w:sz="4" w:space="0" w:color="000000"/>
              <w:left w:val="single" w:sz="4" w:space="0" w:color="000000"/>
              <w:bottom w:val="single" w:sz="4" w:space="0" w:color="000000"/>
            </w:tcBorders>
          </w:tcPr>
          <w:p w:rsidR="00A929BD" w:rsidRPr="00151811" w:rsidRDefault="00A929BD"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6. Detalizēts ieņēmumu un izdevu</w:t>
            </w:r>
            <w:r w:rsidRPr="00151811">
              <w:rPr>
                <w:rFonts w:ascii="Times New Roman" w:eastAsia="Times New Roman" w:hAnsi="Times New Roman" w:cs="Times New Roman"/>
                <w:sz w:val="24"/>
                <w:szCs w:val="24"/>
              </w:rPr>
              <w:softHyphen/>
              <w:t>mu aprēķins (ja nepieciešams, detalizētu ieņēmumu un izdevumu aprēķinu var pievienot anotācijas pielikumā):</w:t>
            </w:r>
          </w:p>
        </w:tc>
        <w:tc>
          <w:tcPr>
            <w:tcW w:w="1199" w:type="dxa"/>
            <w:tcBorders>
              <w:top w:val="single" w:sz="4" w:space="0" w:color="000000"/>
              <w:left w:val="single" w:sz="4" w:space="0" w:color="000000"/>
              <w:bottom w:val="single" w:sz="4" w:space="0" w:color="auto"/>
              <w:right w:val="single" w:sz="4" w:space="0" w:color="auto"/>
            </w:tcBorders>
          </w:tcPr>
          <w:p w:rsidR="00A929BD" w:rsidRPr="00151811" w:rsidRDefault="00A929BD" w:rsidP="00A929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tcBorders>
              <w:top w:val="single" w:sz="4" w:space="0" w:color="000000"/>
              <w:left w:val="single" w:sz="4" w:space="0" w:color="auto"/>
              <w:bottom w:val="single" w:sz="4" w:space="0" w:color="auto"/>
              <w:right w:val="single" w:sz="4" w:space="0" w:color="auto"/>
            </w:tcBorders>
          </w:tcPr>
          <w:p w:rsidR="00A929BD" w:rsidRPr="00151811" w:rsidRDefault="00A929BD" w:rsidP="00A929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gridSpan w:val="2"/>
            <w:tcBorders>
              <w:top w:val="single" w:sz="4" w:space="0" w:color="000000"/>
              <w:left w:val="single" w:sz="4" w:space="0" w:color="auto"/>
              <w:bottom w:val="single" w:sz="4" w:space="0" w:color="auto"/>
              <w:right w:val="single" w:sz="4" w:space="0" w:color="auto"/>
            </w:tcBorders>
          </w:tcPr>
          <w:p w:rsidR="00A929BD" w:rsidRPr="00151811" w:rsidRDefault="00A929BD" w:rsidP="00A929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000000"/>
              <w:left w:val="single" w:sz="4" w:space="0" w:color="auto"/>
              <w:bottom w:val="single" w:sz="4" w:space="0" w:color="auto"/>
              <w:right w:val="single" w:sz="4" w:space="0" w:color="auto"/>
            </w:tcBorders>
          </w:tcPr>
          <w:p w:rsidR="00A929BD" w:rsidRPr="00151811" w:rsidRDefault="00A929BD" w:rsidP="00A929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000000"/>
              <w:left w:val="single" w:sz="4" w:space="0" w:color="auto"/>
              <w:bottom w:val="single" w:sz="4" w:space="0" w:color="auto"/>
              <w:right w:val="single" w:sz="4" w:space="0" w:color="000000"/>
            </w:tcBorders>
          </w:tcPr>
          <w:p w:rsidR="00A929BD" w:rsidRPr="00151811" w:rsidRDefault="00A929BD" w:rsidP="00A929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929BD" w:rsidRPr="00151811" w:rsidTr="004765BE">
        <w:trPr>
          <w:trHeight w:val="519"/>
        </w:trPr>
        <w:tc>
          <w:tcPr>
            <w:tcW w:w="2455" w:type="dxa"/>
            <w:tcBorders>
              <w:top w:val="single" w:sz="4" w:space="0" w:color="000000"/>
              <w:left w:val="single" w:sz="4" w:space="0" w:color="000000"/>
              <w:bottom w:val="single" w:sz="4" w:space="0" w:color="000000"/>
            </w:tcBorders>
          </w:tcPr>
          <w:p w:rsidR="00A929BD" w:rsidRPr="00151811" w:rsidRDefault="00A929BD"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6.1. detalizēts ieņēmumu aprēķins</w:t>
            </w:r>
          </w:p>
        </w:tc>
        <w:tc>
          <w:tcPr>
            <w:tcW w:w="1199" w:type="dxa"/>
            <w:tcBorders>
              <w:top w:val="single" w:sz="4" w:space="0" w:color="auto"/>
              <w:left w:val="single" w:sz="4" w:space="0" w:color="000000"/>
              <w:bottom w:val="single" w:sz="4" w:space="0" w:color="auto"/>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tcBorders>
              <w:top w:val="single" w:sz="4" w:space="0" w:color="auto"/>
              <w:left w:val="single" w:sz="4" w:space="0" w:color="auto"/>
              <w:bottom w:val="single" w:sz="4" w:space="0" w:color="auto"/>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gridSpan w:val="2"/>
            <w:tcBorders>
              <w:top w:val="single" w:sz="4" w:space="0" w:color="auto"/>
              <w:left w:val="single" w:sz="4" w:space="0" w:color="auto"/>
              <w:bottom w:val="single" w:sz="4" w:space="0" w:color="auto"/>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auto"/>
              <w:left w:val="single" w:sz="4" w:space="0" w:color="auto"/>
              <w:bottom w:val="single" w:sz="4" w:space="0" w:color="auto"/>
              <w:right w:val="single" w:sz="4" w:space="0" w:color="000000"/>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929BD" w:rsidRPr="00151811" w:rsidTr="004765BE">
        <w:trPr>
          <w:trHeight w:val="604"/>
        </w:trPr>
        <w:tc>
          <w:tcPr>
            <w:tcW w:w="2455" w:type="dxa"/>
            <w:tcBorders>
              <w:top w:val="single" w:sz="4" w:space="0" w:color="000000"/>
              <w:left w:val="single" w:sz="4" w:space="0" w:color="000000"/>
              <w:bottom w:val="single" w:sz="4" w:space="0" w:color="000000"/>
            </w:tcBorders>
          </w:tcPr>
          <w:p w:rsidR="00A929BD" w:rsidRPr="00151811" w:rsidRDefault="00A929BD"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6.2. detalizēts izdevumu aprēķins</w:t>
            </w:r>
          </w:p>
        </w:tc>
        <w:tc>
          <w:tcPr>
            <w:tcW w:w="1199" w:type="dxa"/>
            <w:tcBorders>
              <w:top w:val="single" w:sz="4" w:space="0" w:color="auto"/>
              <w:left w:val="single" w:sz="4" w:space="0" w:color="000000"/>
              <w:bottom w:val="single" w:sz="4" w:space="0" w:color="000000"/>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0" w:type="dxa"/>
            <w:tcBorders>
              <w:top w:val="single" w:sz="4" w:space="0" w:color="auto"/>
              <w:left w:val="single" w:sz="4" w:space="0" w:color="auto"/>
              <w:bottom w:val="single" w:sz="4" w:space="0" w:color="000000"/>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5" w:type="dxa"/>
            <w:gridSpan w:val="2"/>
            <w:tcBorders>
              <w:top w:val="single" w:sz="4" w:space="0" w:color="auto"/>
              <w:left w:val="single" w:sz="4" w:space="0" w:color="auto"/>
              <w:bottom w:val="single" w:sz="4" w:space="0" w:color="000000"/>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000000"/>
              <w:right w:val="single" w:sz="4" w:space="0" w:color="auto"/>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4" w:space="0" w:color="auto"/>
              <w:left w:val="single" w:sz="4" w:space="0" w:color="auto"/>
              <w:bottom w:val="single" w:sz="4" w:space="0" w:color="000000"/>
              <w:right w:val="single" w:sz="4" w:space="0" w:color="000000"/>
            </w:tcBorders>
          </w:tcPr>
          <w:p w:rsidR="00A929BD" w:rsidRPr="00151811" w:rsidRDefault="00A929BD" w:rsidP="005D475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D4754" w:rsidRPr="00151811" w:rsidTr="004765BE">
        <w:tc>
          <w:tcPr>
            <w:tcW w:w="2455" w:type="dxa"/>
            <w:tcBorders>
              <w:top w:val="single" w:sz="4" w:space="0" w:color="000000"/>
              <w:left w:val="single" w:sz="4" w:space="0" w:color="000000"/>
              <w:bottom w:val="single" w:sz="4" w:space="0" w:color="000000"/>
            </w:tcBorders>
          </w:tcPr>
          <w:p w:rsidR="005D4754" w:rsidRPr="00151811" w:rsidRDefault="005D4754" w:rsidP="005D4754">
            <w:pPr>
              <w:spacing w:after="0" w:line="240" w:lineRule="auto"/>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 7. Cita informācija.</w:t>
            </w:r>
          </w:p>
        </w:tc>
        <w:tc>
          <w:tcPr>
            <w:tcW w:w="6901" w:type="dxa"/>
            <w:gridSpan w:val="6"/>
            <w:tcBorders>
              <w:top w:val="single" w:sz="4" w:space="0" w:color="000000"/>
              <w:left w:val="single" w:sz="4" w:space="0" w:color="000000"/>
              <w:bottom w:val="single" w:sz="4" w:space="0" w:color="000000"/>
              <w:right w:val="single" w:sz="4" w:space="0" w:color="000000"/>
            </w:tcBorders>
            <w:vAlign w:val="center"/>
          </w:tcPr>
          <w:p w:rsidR="002B20A1" w:rsidRDefault="00A929BD" w:rsidP="002B20A1">
            <w:pPr>
              <w:pStyle w:val="NoSpacing"/>
              <w:jc w:val="both"/>
              <w:rPr>
                <w:rFonts w:ascii="Times New Roman" w:hAnsi="Times New Roman" w:cs="Times New Roman"/>
                <w:sz w:val="24"/>
                <w:szCs w:val="24"/>
              </w:rPr>
            </w:pPr>
            <w:r w:rsidRPr="004F5684">
              <w:rPr>
                <w:rFonts w:ascii="Times New Roman" w:hAnsi="Times New Roman" w:cs="Times New Roman"/>
                <w:sz w:val="24"/>
                <w:szCs w:val="24"/>
              </w:rPr>
              <w:t>Jautājums par Valsts robežsardzes pārapbruņošanu skatīts kā Ministru kabineta lieta Ministru kabineta 2015.gada 5.maija sēdes slēgtajā daļā</w:t>
            </w:r>
            <w:r w:rsidR="002B20A1">
              <w:rPr>
                <w:rFonts w:ascii="Times New Roman" w:hAnsi="Times New Roman" w:cs="Times New Roman"/>
                <w:sz w:val="24"/>
                <w:szCs w:val="24"/>
              </w:rPr>
              <w:t xml:space="preserve"> (Ministru kabineta 2015.gada 5.maijā prot. Nr.23 33.§)</w:t>
            </w:r>
            <w:r w:rsidRPr="004F5684">
              <w:rPr>
                <w:rFonts w:ascii="Times New Roman" w:hAnsi="Times New Roman" w:cs="Times New Roman"/>
                <w:sz w:val="24"/>
                <w:szCs w:val="24"/>
              </w:rPr>
              <w:t xml:space="preserve">. </w:t>
            </w:r>
          </w:p>
          <w:p w:rsidR="00095697" w:rsidRDefault="005A6DD2" w:rsidP="002B20A1">
            <w:pPr>
              <w:pStyle w:val="NoSpacing"/>
              <w:jc w:val="both"/>
              <w:rPr>
                <w:rFonts w:ascii="Times New Roman" w:hAnsi="Times New Roman" w:cs="Times New Roman"/>
                <w:sz w:val="24"/>
                <w:szCs w:val="24"/>
              </w:rPr>
            </w:pPr>
            <w:r w:rsidRPr="004F5684">
              <w:rPr>
                <w:rFonts w:ascii="Times New Roman" w:hAnsi="Times New Roman" w:cs="Times New Roman"/>
                <w:sz w:val="24"/>
                <w:szCs w:val="24"/>
              </w:rPr>
              <w:t>Saskaņā ar Ministru kabineta 2015.gada 27.augusta sē</w:t>
            </w:r>
            <w:r w:rsidR="002B20A1">
              <w:rPr>
                <w:rFonts w:ascii="Times New Roman" w:hAnsi="Times New Roman" w:cs="Times New Roman"/>
                <w:sz w:val="24"/>
                <w:szCs w:val="24"/>
              </w:rPr>
              <w:t>dē nolemto (prot. Nr.42 3.§</w:t>
            </w:r>
            <w:r w:rsidR="00095697">
              <w:rPr>
                <w:rFonts w:ascii="Times New Roman" w:hAnsi="Times New Roman" w:cs="Times New Roman"/>
                <w:sz w:val="24"/>
                <w:szCs w:val="24"/>
              </w:rPr>
              <w:t xml:space="preserve"> 6.3.2. un 8.4.apakšpunkts): </w:t>
            </w:r>
          </w:p>
          <w:p w:rsidR="00095697" w:rsidRPr="00BE1CD4" w:rsidRDefault="00095697" w:rsidP="00095697">
            <w:pPr>
              <w:pStyle w:val="NoSpacing"/>
              <w:numPr>
                <w:ilvl w:val="0"/>
                <w:numId w:val="5"/>
              </w:numPr>
              <w:jc w:val="both"/>
              <w:rPr>
                <w:rFonts w:ascii="Times New Roman" w:eastAsia="Times New Roman" w:hAnsi="Times New Roman" w:cs="Times New Roman"/>
                <w:vanish/>
                <w:sz w:val="24"/>
                <w:szCs w:val="24"/>
              </w:rPr>
            </w:pPr>
            <w:r>
              <w:rPr>
                <w:rFonts w:ascii="Times New Roman" w:hAnsi="Times New Roman" w:cs="Times New Roman"/>
                <w:sz w:val="24"/>
                <w:szCs w:val="24"/>
              </w:rPr>
              <w:t xml:space="preserve">atbalstīta papildu finansējuma piešķiršana Iekšlietu ministrijai 2016., 2017. un 2018.gadam (katru gadu) 3 013 277 </w:t>
            </w:r>
            <w:r w:rsidRPr="00095697">
              <w:rPr>
                <w:rFonts w:ascii="Times New Roman" w:hAnsi="Times New Roman" w:cs="Times New Roman"/>
                <w:i/>
                <w:sz w:val="24"/>
                <w:szCs w:val="24"/>
              </w:rPr>
              <w:t>euro</w:t>
            </w:r>
            <w:r>
              <w:rPr>
                <w:rFonts w:ascii="Times New Roman" w:hAnsi="Times New Roman" w:cs="Times New Roman"/>
                <w:sz w:val="24"/>
                <w:szCs w:val="24"/>
              </w:rPr>
              <w:t xml:space="preserve"> apmērā Iekšlietu ministrijas padotībā esošo iestāžu nodrošināšanai ar funkciju izpildei nepieciešamajiem šaujamieročiem</w:t>
            </w:r>
            <w:r w:rsidR="008748CD">
              <w:rPr>
                <w:rFonts w:ascii="Times New Roman" w:hAnsi="Times New Roman" w:cs="Times New Roman"/>
                <w:sz w:val="24"/>
                <w:szCs w:val="24"/>
              </w:rPr>
              <w:t xml:space="preserve"> </w:t>
            </w:r>
            <w:r w:rsidR="008748CD" w:rsidRPr="00BE1CD4">
              <w:rPr>
                <w:rFonts w:ascii="Times New Roman" w:hAnsi="Times New Roman" w:cs="Times New Roman"/>
                <w:sz w:val="24"/>
                <w:szCs w:val="24"/>
              </w:rPr>
              <w:t>un munīciju</w:t>
            </w:r>
            <w:r w:rsidRPr="00BE1CD4">
              <w:rPr>
                <w:rFonts w:ascii="Times New Roman" w:hAnsi="Times New Roman" w:cs="Times New Roman"/>
                <w:sz w:val="24"/>
                <w:szCs w:val="24"/>
              </w:rPr>
              <w:t>;</w:t>
            </w:r>
          </w:p>
          <w:p w:rsidR="00095697" w:rsidRPr="00BE1CD4" w:rsidRDefault="00095697" w:rsidP="00095697">
            <w:pPr>
              <w:pStyle w:val="NoSpacing"/>
              <w:jc w:val="both"/>
              <w:rPr>
                <w:rFonts w:ascii="Times New Roman" w:hAnsi="Times New Roman" w:cs="Times New Roman"/>
                <w:sz w:val="24"/>
                <w:szCs w:val="24"/>
              </w:rPr>
            </w:pPr>
            <w:r w:rsidRPr="00BE1CD4">
              <w:rPr>
                <w:rFonts w:ascii="Times New Roman" w:hAnsi="Times New Roman" w:cs="Times New Roman"/>
                <w:sz w:val="24"/>
                <w:szCs w:val="24"/>
              </w:rPr>
              <w:t xml:space="preserve"> </w:t>
            </w:r>
          </w:p>
          <w:p w:rsidR="005A6DD2" w:rsidRPr="00A929BD" w:rsidRDefault="00095697" w:rsidP="00095697">
            <w:pPr>
              <w:pStyle w:val="NoSpacing"/>
              <w:numPr>
                <w:ilvl w:val="0"/>
                <w:numId w:val="5"/>
              </w:numPr>
              <w:jc w:val="both"/>
              <w:rPr>
                <w:rFonts w:ascii="Times New Roman" w:eastAsia="Times New Roman" w:hAnsi="Times New Roman" w:cs="Times New Roman"/>
                <w:vanish/>
                <w:sz w:val="24"/>
                <w:szCs w:val="24"/>
              </w:rPr>
            </w:pPr>
            <w:r>
              <w:rPr>
                <w:rFonts w:ascii="Times New Roman" w:hAnsi="Times New Roman" w:cs="Times New Roman"/>
                <w:sz w:val="24"/>
                <w:szCs w:val="24"/>
              </w:rPr>
              <w:t>Aizsardzības ministrijai tai piešķirto valsts budžeta līdzekļu ietvaros jānodrošina Va</w:t>
            </w:r>
            <w:r w:rsidR="00F24498">
              <w:rPr>
                <w:rFonts w:ascii="Times New Roman" w:hAnsi="Times New Roman" w:cs="Times New Roman"/>
                <w:sz w:val="24"/>
                <w:szCs w:val="24"/>
              </w:rPr>
              <w:t>lsts robežsardzes pārapbruņošanu</w:t>
            </w:r>
            <w:r>
              <w:rPr>
                <w:rFonts w:ascii="Times New Roman" w:hAnsi="Times New Roman" w:cs="Times New Roman"/>
                <w:sz w:val="24"/>
                <w:szCs w:val="24"/>
              </w:rPr>
              <w:t xml:space="preserve"> ar dienesta šaujamieročiem, paredzot šim mērķim 2016.gada 1 500 000 </w:t>
            </w:r>
            <w:r w:rsidRPr="00095697">
              <w:rPr>
                <w:rFonts w:ascii="Times New Roman" w:hAnsi="Times New Roman" w:cs="Times New Roman"/>
                <w:i/>
                <w:sz w:val="24"/>
                <w:szCs w:val="24"/>
              </w:rPr>
              <w:t>euro</w:t>
            </w:r>
            <w:r>
              <w:rPr>
                <w:rFonts w:ascii="Times New Roman" w:hAnsi="Times New Roman" w:cs="Times New Roman"/>
                <w:sz w:val="24"/>
                <w:szCs w:val="24"/>
              </w:rPr>
              <w:t xml:space="preserve">, 2017. un 2018.gadā 3 700 000 </w:t>
            </w:r>
            <w:r w:rsidRPr="00095697">
              <w:rPr>
                <w:rFonts w:ascii="Times New Roman" w:hAnsi="Times New Roman" w:cs="Times New Roman"/>
                <w:i/>
                <w:sz w:val="24"/>
                <w:szCs w:val="24"/>
              </w:rPr>
              <w:t>euro</w:t>
            </w:r>
            <w:r>
              <w:rPr>
                <w:rFonts w:ascii="Times New Roman" w:hAnsi="Times New Roman" w:cs="Times New Roman"/>
                <w:sz w:val="24"/>
                <w:szCs w:val="24"/>
              </w:rPr>
              <w:t xml:space="preserve"> katru gadu.  </w:t>
            </w:r>
          </w:p>
        </w:tc>
      </w:tr>
    </w:tbl>
    <w:p w:rsidR="004C394D" w:rsidRPr="00151811" w:rsidRDefault="004C394D" w:rsidP="005D4754">
      <w:pPr>
        <w:spacing w:after="0" w:line="240" w:lineRule="auto"/>
        <w:jc w:val="both"/>
        <w:rPr>
          <w:rFonts w:ascii="Times New Roman" w:eastAsia="Times New Roman" w:hAnsi="Times New Roman" w:cs="Times New Roman"/>
          <w:color w:val="000000"/>
          <w:sz w:val="24"/>
          <w:szCs w:val="24"/>
          <w:lang w:eastAsia="lv-LV"/>
        </w:rPr>
      </w:pPr>
    </w:p>
    <w:p w:rsidR="005D4754" w:rsidRPr="00151811" w:rsidDel="009D1634" w:rsidRDefault="005D4754" w:rsidP="005D4754">
      <w:pPr>
        <w:spacing w:after="0" w:line="240" w:lineRule="auto"/>
        <w:rPr>
          <w:rFonts w:ascii="Times New Roman" w:eastAsia="Times New Roman" w:hAnsi="Times New Roman" w:cs="Times New Roman"/>
          <w:sz w:val="24"/>
          <w:szCs w:val="24"/>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42"/>
        <w:gridCol w:w="5886"/>
      </w:tblGrid>
      <w:tr w:rsidR="005D4754" w:rsidRPr="00151811" w:rsidTr="00502556">
        <w:trPr>
          <w:trHeight w:val="421"/>
          <w:jc w:val="center"/>
        </w:trPr>
        <w:tc>
          <w:tcPr>
            <w:tcW w:w="9144" w:type="dxa"/>
            <w:gridSpan w:val="3"/>
            <w:vAlign w:val="center"/>
          </w:tcPr>
          <w:p w:rsidR="005D4754" w:rsidRPr="00151811" w:rsidRDefault="005D4754" w:rsidP="005D4754">
            <w:pPr>
              <w:spacing w:after="0" w:line="240" w:lineRule="auto"/>
              <w:ind w:left="57" w:right="57"/>
              <w:jc w:val="center"/>
              <w:rPr>
                <w:rFonts w:ascii="Times New Roman" w:eastAsia="Times New Roman" w:hAnsi="Times New Roman" w:cs="Times New Roman"/>
                <w:sz w:val="24"/>
                <w:szCs w:val="24"/>
                <w:lang w:eastAsia="lv-LV"/>
              </w:rPr>
            </w:pPr>
            <w:r w:rsidRPr="00151811">
              <w:rPr>
                <w:rFonts w:ascii="Times New Roman" w:eastAsia="Times New Roman" w:hAnsi="Times New Roman" w:cs="Times New Roman"/>
                <w:b/>
                <w:sz w:val="24"/>
                <w:szCs w:val="24"/>
                <w:lang w:eastAsia="lv-LV"/>
              </w:rPr>
              <w:t>VI. Sabiedrības līdzdalība un komunikācijas aktivitātes</w:t>
            </w:r>
          </w:p>
        </w:tc>
      </w:tr>
      <w:tr w:rsidR="005D4754" w:rsidRPr="00151811" w:rsidTr="00502556">
        <w:trPr>
          <w:trHeight w:val="553"/>
          <w:jc w:val="center"/>
        </w:trPr>
        <w:tc>
          <w:tcPr>
            <w:tcW w:w="416" w:type="dxa"/>
          </w:tcPr>
          <w:p w:rsidR="005D4754" w:rsidRPr="00151811" w:rsidRDefault="005D4754" w:rsidP="005D4754">
            <w:pPr>
              <w:spacing w:after="0" w:line="240" w:lineRule="auto"/>
              <w:ind w:left="57" w:right="57"/>
              <w:jc w:val="both"/>
              <w:rPr>
                <w:rFonts w:ascii="Times New Roman" w:eastAsia="Times New Roman" w:hAnsi="Times New Roman" w:cs="Times New Roman"/>
                <w:bCs/>
                <w:sz w:val="24"/>
                <w:szCs w:val="24"/>
              </w:rPr>
            </w:pPr>
            <w:r w:rsidRPr="00151811">
              <w:rPr>
                <w:rFonts w:ascii="Times New Roman" w:eastAsia="Times New Roman" w:hAnsi="Times New Roman" w:cs="Times New Roman"/>
                <w:bCs/>
                <w:sz w:val="24"/>
                <w:szCs w:val="24"/>
              </w:rPr>
              <w:t>1.</w:t>
            </w:r>
          </w:p>
        </w:tc>
        <w:tc>
          <w:tcPr>
            <w:tcW w:w="2842" w:type="dxa"/>
          </w:tcPr>
          <w:p w:rsidR="005D4754" w:rsidRPr="00151811" w:rsidRDefault="005D4754" w:rsidP="005D4754">
            <w:pPr>
              <w:tabs>
                <w:tab w:val="left" w:pos="170"/>
              </w:tabs>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Plānotās sabiedrības līdzdalības un komunikācijas aktivitātes saistībā ar projektu</w:t>
            </w:r>
          </w:p>
        </w:tc>
        <w:tc>
          <w:tcPr>
            <w:tcW w:w="5886" w:type="dxa"/>
          </w:tcPr>
          <w:p w:rsidR="005D4754" w:rsidRPr="00E345CD" w:rsidRDefault="00E345CD" w:rsidP="009D2CC8">
            <w:pPr>
              <w:pStyle w:val="NoSpacing"/>
              <w:jc w:val="both"/>
              <w:rPr>
                <w:rFonts w:ascii="Times New Roman" w:eastAsia="Times New Roman" w:hAnsi="Times New Roman" w:cs="Times New Roman"/>
                <w:sz w:val="24"/>
                <w:szCs w:val="24"/>
                <w:lang w:eastAsia="lv-LV"/>
              </w:rPr>
            </w:pPr>
            <w:bookmarkStart w:id="2" w:name="p61"/>
            <w:bookmarkEnd w:id="2"/>
            <w:r w:rsidRPr="00E345CD">
              <w:rPr>
                <w:rFonts w:ascii="Times New Roman" w:hAnsi="Times New Roman" w:cs="Times New Roman"/>
                <w:sz w:val="24"/>
                <w:szCs w:val="24"/>
              </w:rPr>
              <w:t xml:space="preserve">Sabiedrības līdzdalība </w:t>
            </w:r>
            <w:r w:rsidR="009D2CC8">
              <w:rPr>
                <w:rFonts w:ascii="Times New Roman" w:hAnsi="Times New Roman" w:cs="Times New Roman"/>
                <w:sz w:val="24"/>
                <w:szCs w:val="24"/>
              </w:rPr>
              <w:t>noteikumu projekta izstrādē nebija nepieciešama, jo projektā ietvertais regulējums tieši neskar sabiedrību.</w:t>
            </w:r>
          </w:p>
        </w:tc>
      </w:tr>
      <w:tr w:rsidR="005D4754" w:rsidRPr="00151811" w:rsidTr="00502556">
        <w:trPr>
          <w:trHeight w:val="339"/>
          <w:jc w:val="center"/>
        </w:trPr>
        <w:tc>
          <w:tcPr>
            <w:tcW w:w="416" w:type="dxa"/>
          </w:tcPr>
          <w:p w:rsidR="005D4754" w:rsidRPr="00151811" w:rsidRDefault="005D4754" w:rsidP="005D4754">
            <w:pPr>
              <w:spacing w:after="0" w:line="240" w:lineRule="auto"/>
              <w:ind w:left="57" w:right="57"/>
              <w:jc w:val="both"/>
              <w:rPr>
                <w:rFonts w:ascii="Times New Roman" w:eastAsia="Times New Roman" w:hAnsi="Times New Roman" w:cs="Times New Roman"/>
                <w:bCs/>
                <w:sz w:val="24"/>
                <w:szCs w:val="24"/>
              </w:rPr>
            </w:pPr>
            <w:r w:rsidRPr="00151811">
              <w:rPr>
                <w:rFonts w:ascii="Times New Roman" w:eastAsia="Times New Roman" w:hAnsi="Times New Roman" w:cs="Times New Roman"/>
                <w:bCs/>
                <w:sz w:val="24"/>
                <w:szCs w:val="24"/>
              </w:rPr>
              <w:t>2.</w:t>
            </w:r>
          </w:p>
        </w:tc>
        <w:tc>
          <w:tcPr>
            <w:tcW w:w="2842" w:type="dxa"/>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Sabiedrības līdzdalība projekta izstrādē</w:t>
            </w:r>
          </w:p>
        </w:tc>
        <w:tc>
          <w:tcPr>
            <w:tcW w:w="5886" w:type="dxa"/>
          </w:tcPr>
          <w:p w:rsidR="00E345CD" w:rsidRPr="00151811" w:rsidRDefault="00E345CD" w:rsidP="00E345CD">
            <w:pPr>
              <w:shd w:val="clear" w:color="auto" w:fill="FFFFFF"/>
              <w:spacing w:after="0" w:line="240" w:lineRule="auto"/>
              <w:ind w:left="25"/>
              <w:rPr>
                <w:rFonts w:ascii="Times New Roman" w:eastAsia="Times New Roman" w:hAnsi="Times New Roman" w:cs="Times New Roman"/>
                <w:sz w:val="24"/>
                <w:szCs w:val="24"/>
              </w:rPr>
            </w:pPr>
            <w:bookmarkStart w:id="3" w:name="p62"/>
            <w:bookmarkEnd w:id="3"/>
            <w:r w:rsidRPr="00151811">
              <w:rPr>
                <w:rFonts w:ascii="Times New Roman" w:eastAsia="Times New Roman" w:hAnsi="Times New Roman" w:cs="Times New Roman"/>
                <w:sz w:val="24"/>
                <w:szCs w:val="24"/>
              </w:rPr>
              <w:t>Projekts šo jomu neskar.</w:t>
            </w:r>
          </w:p>
          <w:p w:rsidR="005D4754" w:rsidRPr="00151811" w:rsidRDefault="005D4754" w:rsidP="005D4754">
            <w:pPr>
              <w:shd w:val="clear" w:color="auto" w:fill="FFFFFF"/>
              <w:spacing w:after="0" w:line="240" w:lineRule="auto"/>
              <w:ind w:left="25"/>
              <w:jc w:val="both"/>
              <w:rPr>
                <w:rFonts w:ascii="Times New Roman" w:eastAsia="Times New Roman" w:hAnsi="Times New Roman" w:cs="Times New Roman"/>
                <w:sz w:val="24"/>
                <w:szCs w:val="24"/>
                <w:lang w:eastAsia="lv-LV"/>
              </w:rPr>
            </w:pPr>
          </w:p>
        </w:tc>
      </w:tr>
      <w:tr w:rsidR="005D4754" w:rsidRPr="00151811" w:rsidTr="00502556">
        <w:trPr>
          <w:trHeight w:val="476"/>
          <w:jc w:val="center"/>
        </w:trPr>
        <w:tc>
          <w:tcPr>
            <w:tcW w:w="416" w:type="dxa"/>
          </w:tcPr>
          <w:p w:rsidR="005D4754" w:rsidRPr="00151811" w:rsidRDefault="005D4754" w:rsidP="005D4754">
            <w:pPr>
              <w:spacing w:after="0" w:line="240" w:lineRule="auto"/>
              <w:ind w:left="57" w:right="57"/>
              <w:jc w:val="both"/>
              <w:rPr>
                <w:rFonts w:ascii="Times New Roman" w:eastAsia="Times New Roman" w:hAnsi="Times New Roman" w:cs="Times New Roman"/>
                <w:bCs/>
                <w:sz w:val="24"/>
                <w:szCs w:val="24"/>
              </w:rPr>
            </w:pPr>
            <w:r w:rsidRPr="00151811">
              <w:rPr>
                <w:rFonts w:ascii="Times New Roman" w:eastAsia="Times New Roman" w:hAnsi="Times New Roman" w:cs="Times New Roman"/>
                <w:bCs/>
                <w:sz w:val="24"/>
                <w:szCs w:val="24"/>
              </w:rPr>
              <w:lastRenderedPageBreak/>
              <w:t>3.</w:t>
            </w:r>
          </w:p>
        </w:tc>
        <w:tc>
          <w:tcPr>
            <w:tcW w:w="2842" w:type="dxa"/>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Sabiedrības līdzdalības rezultāti</w:t>
            </w:r>
          </w:p>
        </w:tc>
        <w:tc>
          <w:tcPr>
            <w:tcW w:w="5886" w:type="dxa"/>
          </w:tcPr>
          <w:p w:rsidR="005D4754" w:rsidRPr="00151811" w:rsidRDefault="005D4754" w:rsidP="005D4754">
            <w:pPr>
              <w:shd w:val="clear" w:color="auto" w:fill="FFFFFF"/>
              <w:spacing w:after="0" w:line="240" w:lineRule="auto"/>
              <w:ind w:left="25"/>
              <w:rPr>
                <w:rFonts w:ascii="Times New Roman" w:eastAsia="Times New Roman" w:hAnsi="Times New Roman" w:cs="Times New Roman"/>
                <w:sz w:val="24"/>
                <w:szCs w:val="24"/>
              </w:rPr>
            </w:pPr>
            <w:r w:rsidRPr="00151811">
              <w:rPr>
                <w:rFonts w:ascii="Times New Roman" w:eastAsia="Times New Roman" w:hAnsi="Times New Roman" w:cs="Times New Roman"/>
                <w:sz w:val="24"/>
                <w:szCs w:val="24"/>
              </w:rPr>
              <w:t>Projekts šo jomu neskar.</w:t>
            </w:r>
          </w:p>
          <w:p w:rsidR="005D4754" w:rsidRPr="00151811" w:rsidRDefault="005D4754" w:rsidP="005D4754">
            <w:pPr>
              <w:shd w:val="clear" w:color="auto" w:fill="FFFFFF"/>
              <w:spacing w:after="0" w:line="240" w:lineRule="auto"/>
              <w:ind w:left="25"/>
              <w:jc w:val="both"/>
              <w:rPr>
                <w:rFonts w:ascii="Times New Roman" w:eastAsia="Times New Roman" w:hAnsi="Times New Roman" w:cs="Times New Roman"/>
                <w:sz w:val="24"/>
                <w:szCs w:val="24"/>
                <w:lang w:eastAsia="lv-LV"/>
              </w:rPr>
            </w:pPr>
          </w:p>
        </w:tc>
      </w:tr>
      <w:tr w:rsidR="005D4754" w:rsidRPr="00151811" w:rsidTr="00502556">
        <w:trPr>
          <w:trHeight w:val="476"/>
          <w:jc w:val="center"/>
        </w:trPr>
        <w:tc>
          <w:tcPr>
            <w:tcW w:w="416" w:type="dxa"/>
          </w:tcPr>
          <w:p w:rsidR="005D4754" w:rsidRPr="00151811" w:rsidRDefault="005D4754" w:rsidP="005D4754">
            <w:pPr>
              <w:spacing w:after="0" w:line="240" w:lineRule="auto"/>
              <w:ind w:left="57" w:right="57"/>
              <w:jc w:val="both"/>
              <w:rPr>
                <w:rFonts w:ascii="Times New Roman" w:eastAsia="Times New Roman" w:hAnsi="Times New Roman" w:cs="Times New Roman"/>
                <w:bCs/>
                <w:sz w:val="24"/>
                <w:szCs w:val="24"/>
              </w:rPr>
            </w:pPr>
            <w:r w:rsidRPr="00151811">
              <w:rPr>
                <w:rFonts w:ascii="Times New Roman" w:eastAsia="Times New Roman" w:hAnsi="Times New Roman" w:cs="Times New Roman"/>
                <w:bCs/>
                <w:sz w:val="24"/>
                <w:szCs w:val="24"/>
              </w:rPr>
              <w:t>4.</w:t>
            </w:r>
          </w:p>
        </w:tc>
        <w:tc>
          <w:tcPr>
            <w:tcW w:w="2842" w:type="dxa"/>
          </w:tcPr>
          <w:p w:rsidR="005D4754" w:rsidRPr="00151811" w:rsidRDefault="005D4754" w:rsidP="005D4754">
            <w:pPr>
              <w:spacing w:after="0" w:line="240" w:lineRule="auto"/>
              <w:ind w:left="57" w:right="57"/>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Cita informācija</w:t>
            </w:r>
          </w:p>
        </w:tc>
        <w:tc>
          <w:tcPr>
            <w:tcW w:w="5886" w:type="dxa"/>
          </w:tcPr>
          <w:p w:rsidR="005D4754" w:rsidRPr="00E345CD" w:rsidRDefault="00E345CD" w:rsidP="00E345CD">
            <w:pPr>
              <w:pStyle w:val="NoSpacing"/>
              <w:jc w:val="both"/>
              <w:rPr>
                <w:rFonts w:ascii="Times New Roman" w:eastAsia="Times New Roman" w:hAnsi="Times New Roman" w:cs="Times New Roman"/>
                <w:sz w:val="24"/>
                <w:szCs w:val="24"/>
                <w:lang w:eastAsia="lv-LV"/>
              </w:rPr>
            </w:pPr>
            <w:r w:rsidRPr="00E345CD">
              <w:rPr>
                <w:rFonts w:ascii="Times New Roman" w:hAnsi="Times New Roman" w:cs="Times New Roman"/>
                <w:sz w:val="24"/>
                <w:szCs w:val="24"/>
              </w:rPr>
              <w:t>Sabiedrība pēc projekta pieņemšanas tiks informēta vispārējā kartībā, noteikumus publicējot oficiālajā izdevumā „Latvijas Vēstnesis”.</w:t>
            </w:r>
          </w:p>
        </w:tc>
      </w:tr>
    </w:tbl>
    <w:p w:rsidR="005D4754" w:rsidRPr="00151811" w:rsidRDefault="005D4754" w:rsidP="005D4754">
      <w:pPr>
        <w:spacing w:after="0" w:line="240" w:lineRule="auto"/>
        <w:rPr>
          <w:rFonts w:ascii="Times New Roman" w:eastAsia="Times New Roman" w:hAnsi="Times New Roman" w:cs="Times New Roman"/>
          <w:sz w:val="24"/>
          <w:szCs w:val="24"/>
        </w:rPr>
      </w:pPr>
    </w:p>
    <w:p w:rsidR="005D4754" w:rsidRPr="00151811" w:rsidRDefault="005D4754" w:rsidP="005D4754">
      <w:pPr>
        <w:spacing w:after="0" w:line="240" w:lineRule="auto"/>
        <w:rPr>
          <w:rFonts w:ascii="Times New Roman" w:eastAsia="Times New Roman" w:hAnsi="Times New Roman" w:cs="Times New Roman"/>
          <w:sz w:val="24"/>
          <w:szCs w:val="24"/>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3623"/>
        <w:gridCol w:w="5212"/>
      </w:tblGrid>
      <w:tr w:rsidR="005D4754" w:rsidRPr="00151811" w:rsidTr="00502556">
        <w:trPr>
          <w:trHeight w:val="381"/>
          <w:jc w:val="center"/>
        </w:trPr>
        <w:tc>
          <w:tcPr>
            <w:tcW w:w="9215" w:type="dxa"/>
            <w:gridSpan w:val="3"/>
            <w:vAlign w:val="center"/>
          </w:tcPr>
          <w:p w:rsidR="005D4754" w:rsidRPr="00151811" w:rsidRDefault="005D4754" w:rsidP="005D4754">
            <w:pPr>
              <w:spacing w:after="0" w:line="240" w:lineRule="auto"/>
              <w:ind w:left="57" w:right="57"/>
              <w:jc w:val="center"/>
              <w:rPr>
                <w:rFonts w:ascii="Times New Roman" w:eastAsia="Times New Roman" w:hAnsi="Times New Roman" w:cs="Times New Roman"/>
                <w:sz w:val="24"/>
                <w:szCs w:val="24"/>
                <w:lang w:eastAsia="lv-LV"/>
              </w:rPr>
            </w:pPr>
            <w:r w:rsidRPr="00151811">
              <w:rPr>
                <w:rFonts w:ascii="Times New Roman" w:eastAsia="Times New Roman" w:hAnsi="Times New Roman" w:cs="Times New Roman"/>
                <w:b/>
                <w:sz w:val="24"/>
                <w:szCs w:val="24"/>
                <w:lang w:eastAsia="lv-LV"/>
              </w:rPr>
              <w:t>VII. Tiesību akta projekta izpildes nodrošināšana un tās ietekme uz institūcijām</w:t>
            </w:r>
          </w:p>
        </w:tc>
      </w:tr>
      <w:tr w:rsidR="005D4754" w:rsidRPr="00151811" w:rsidTr="00502556">
        <w:trPr>
          <w:trHeight w:val="427"/>
          <w:jc w:val="center"/>
        </w:trPr>
        <w:tc>
          <w:tcPr>
            <w:tcW w:w="380" w:type="dxa"/>
          </w:tcPr>
          <w:p w:rsidR="005D4754" w:rsidRPr="00151811" w:rsidRDefault="005D4754" w:rsidP="005D4754">
            <w:pPr>
              <w:spacing w:after="0" w:line="240" w:lineRule="auto"/>
              <w:ind w:left="57"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1.</w:t>
            </w:r>
          </w:p>
        </w:tc>
        <w:tc>
          <w:tcPr>
            <w:tcW w:w="3623" w:type="dxa"/>
          </w:tcPr>
          <w:p w:rsidR="005D4754" w:rsidRPr="00151811" w:rsidRDefault="005D4754" w:rsidP="005D4754">
            <w:pPr>
              <w:spacing w:after="0" w:line="240" w:lineRule="auto"/>
              <w:ind w:left="57"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Projekta izpildē iesaistītās institūcijas</w:t>
            </w:r>
          </w:p>
        </w:tc>
        <w:tc>
          <w:tcPr>
            <w:tcW w:w="5212" w:type="dxa"/>
          </w:tcPr>
          <w:p w:rsidR="005D4754" w:rsidRPr="00151811" w:rsidRDefault="009D2CC8" w:rsidP="00BD109F">
            <w:pPr>
              <w:shd w:val="clear" w:color="auto" w:fill="FFFFFF"/>
              <w:spacing w:after="0" w:line="240" w:lineRule="auto"/>
              <w:jc w:val="both"/>
              <w:rPr>
                <w:rFonts w:ascii="Times New Roman" w:eastAsia="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eastAsia="Times New Roman" w:hAnsi="Times New Roman" w:cs="Times New Roman"/>
                <w:sz w:val="24"/>
                <w:szCs w:val="24"/>
              </w:rPr>
              <w:t xml:space="preserve">Iekšlietu ministrijas iestādes, valsts drošības iestādes, Nacionālie bruņotie spēki, </w:t>
            </w:r>
            <w:r w:rsidR="00BD109F">
              <w:rPr>
                <w:rFonts w:ascii="Times New Roman" w:eastAsia="Times New Roman" w:hAnsi="Times New Roman" w:cs="Times New Roman"/>
                <w:sz w:val="24"/>
                <w:szCs w:val="24"/>
              </w:rPr>
              <w:t>Jaunsardzes un</w:t>
            </w:r>
            <w:r w:rsidR="00136382">
              <w:rPr>
                <w:rFonts w:ascii="Times New Roman" w:eastAsia="Times New Roman" w:hAnsi="Times New Roman" w:cs="Times New Roman"/>
                <w:sz w:val="24"/>
                <w:szCs w:val="24"/>
              </w:rPr>
              <w:t xml:space="preserve"> </w:t>
            </w:r>
            <w:r w:rsidR="00BD109F">
              <w:rPr>
                <w:rFonts w:ascii="Times New Roman" w:eastAsia="Times New Roman" w:hAnsi="Times New Roman" w:cs="Times New Roman"/>
                <w:sz w:val="24"/>
                <w:szCs w:val="24"/>
              </w:rPr>
              <w:t>informācijas</w:t>
            </w:r>
            <w:r>
              <w:rPr>
                <w:rFonts w:ascii="Times New Roman" w:eastAsia="Times New Roman" w:hAnsi="Times New Roman" w:cs="Times New Roman"/>
                <w:sz w:val="24"/>
                <w:szCs w:val="24"/>
              </w:rPr>
              <w:t xml:space="preserve"> centrs, Latvijas Bankas Aizsardzības pārvalde, Valsts ieņēmumu dienests, Ieslodzījuma vietu pārvalde, Korupcijas novēršanas un apkarošanas birojs, ostas policija un pašvaldības policija.</w:t>
            </w:r>
          </w:p>
        </w:tc>
      </w:tr>
      <w:tr w:rsidR="005D4754" w:rsidRPr="00151811" w:rsidTr="00502556">
        <w:trPr>
          <w:trHeight w:val="463"/>
          <w:jc w:val="center"/>
        </w:trPr>
        <w:tc>
          <w:tcPr>
            <w:tcW w:w="380" w:type="dxa"/>
          </w:tcPr>
          <w:p w:rsidR="005D4754" w:rsidRPr="00151811" w:rsidRDefault="005D4754" w:rsidP="005D4754">
            <w:pPr>
              <w:spacing w:after="0" w:line="240" w:lineRule="auto"/>
              <w:ind w:left="57"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2.</w:t>
            </w:r>
          </w:p>
        </w:tc>
        <w:tc>
          <w:tcPr>
            <w:tcW w:w="3623" w:type="dxa"/>
          </w:tcPr>
          <w:p w:rsidR="005D4754" w:rsidRPr="00151811" w:rsidRDefault="005D4754" w:rsidP="005D4754">
            <w:pPr>
              <w:spacing w:after="0" w:line="240" w:lineRule="auto"/>
              <w:ind w:left="57"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Projekta izpildes ietekme uz pārvaldes funkcijām un institucionālo struktūru.</w:t>
            </w:r>
          </w:p>
          <w:p w:rsidR="005D4754" w:rsidRPr="00151811" w:rsidRDefault="005D4754" w:rsidP="005D4754">
            <w:pPr>
              <w:spacing w:after="0" w:line="240" w:lineRule="auto"/>
              <w:ind w:left="57" w:right="57" w:firstLine="375"/>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Jaunu institūciju izveide, esošu institūciju likvidācija vai reorga</w:t>
            </w:r>
            <w:r w:rsidRPr="00151811">
              <w:rPr>
                <w:rFonts w:ascii="Times New Roman" w:eastAsia="Times New Roman" w:hAnsi="Times New Roman" w:cs="Times New Roman"/>
                <w:sz w:val="24"/>
                <w:szCs w:val="24"/>
                <w:lang w:eastAsia="lv-LV"/>
              </w:rPr>
              <w:softHyphen/>
              <w:t>nizācija, to ietekme uz institūcijas cilvēkresursiem.</w:t>
            </w:r>
          </w:p>
        </w:tc>
        <w:tc>
          <w:tcPr>
            <w:tcW w:w="5212" w:type="dxa"/>
          </w:tcPr>
          <w:p w:rsidR="00E345CD" w:rsidRPr="00E345CD" w:rsidRDefault="00E345CD" w:rsidP="00E345CD">
            <w:pPr>
              <w:pStyle w:val="NoSpacing"/>
              <w:jc w:val="both"/>
              <w:rPr>
                <w:rFonts w:ascii="Times New Roman" w:hAnsi="Times New Roman" w:cs="Times New Roman"/>
                <w:sz w:val="24"/>
                <w:szCs w:val="24"/>
              </w:rPr>
            </w:pPr>
            <w:r w:rsidRPr="00E345CD">
              <w:rPr>
                <w:rFonts w:ascii="Times New Roman" w:hAnsi="Times New Roman" w:cs="Times New Roman"/>
                <w:sz w:val="24"/>
                <w:szCs w:val="24"/>
              </w:rPr>
              <w:t>Saistībā ar projekta izpildi nav plānots mainīt esošo pārvaldes institucionālo struktūru un tā neietekmēs pārvaldes funkcijas.</w:t>
            </w:r>
          </w:p>
          <w:p w:rsidR="00E345CD" w:rsidRPr="00E345CD" w:rsidRDefault="00E345CD" w:rsidP="00E345CD">
            <w:pPr>
              <w:pStyle w:val="NoSpacing"/>
              <w:jc w:val="both"/>
              <w:rPr>
                <w:rFonts w:ascii="Times New Roman" w:hAnsi="Times New Roman" w:cs="Times New Roman"/>
                <w:bCs/>
                <w:sz w:val="24"/>
                <w:szCs w:val="24"/>
              </w:rPr>
            </w:pPr>
          </w:p>
          <w:p w:rsidR="00E345CD" w:rsidRPr="00E345CD" w:rsidRDefault="00E345CD" w:rsidP="00E345CD">
            <w:pPr>
              <w:pStyle w:val="NoSpacing"/>
              <w:jc w:val="both"/>
              <w:rPr>
                <w:rFonts w:ascii="Times New Roman" w:hAnsi="Times New Roman" w:cs="Times New Roman"/>
                <w:bCs/>
                <w:sz w:val="24"/>
                <w:szCs w:val="24"/>
              </w:rPr>
            </w:pPr>
            <w:r w:rsidRPr="00E345CD">
              <w:rPr>
                <w:rFonts w:ascii="Times New Roman" w:hAnsi="Times New Roman" w:cs="Times New Roman"/>
                <w:bCs/>
                <w:sz w:val="24"/>
                <w:szCs w:val="24"/>
              </w:rPr>
              <w:t>Saistībā ar projekta izpildi nav nepieciešams veidot jaunas institūcijas.</w:t>
            </w:r>
          </w:p>
          <w:p w:rsidR="005D4754" w:rsidRPr="00151811" w:rsidRDefault="005D4754" w:rsidP="005D4754">
            <w:pPr>
              <w:spacing w:after="120" w:line="240" w:lineRule="auto"/>
              <w:jc w:val="both"/>
              <w:rPr>
                <w:rFonts w:ascii="Times New Roman" w:eastAsia="Times New Roman" w:hAnsi="Times New Roman" w:cs="Times New Roman"/>
                <w:sz w:val="24"/>
                <w:szCs w:val="24"/>
              </w:rPr>
            </w:pPr>
          </w:p>
        </w:tc>
      </w:tr>
      <w:tr w:rsidR="005D4754" w:rsidRPr="00151811" w:rsidTr="00502556">
        <w:trPr>
          <w:trHeight w:val="402"/>
          <w:jc w:val="center"/>
        </w:trPr>
        <w:tc>
          <w:tcPr>
            <w:tcW w:w="380" w:type="dxa"/>
          </w:tcPr>
          <w:p w:rsidR="005D4754" w:rsidRPr="00151811" w:rsidRDefault="005D4754" w:rsidP="005D4754">
            <w:pPr>
              <w:spacing w:after="0" w:line="240" w:lineRule="auto"/>
              <w:ind w:left="57"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3.</w:t>
            </w:r>
          </w:p>
        </w:tc>
        <w:tc>
          <w:tcPr>
            <w:tcW w:w="3623" w:type="dxa"/>
          </w:tcPr>
          <w:p w:rsidR="005D4754" w:rsidRPr="00151811" w:rsidRDefault="005D4754" w:rsidP="005D4754">
            <w:pPr>
              <w:spacing w:after="0" w:line="240" w:lineRule="auto"/>
              <w:ind w:left="57" w:right="57" w:firstLine="375"/>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lang w:eastAsia="lv-LV"/>
              </w:rPr>
              <w:t>Cita informācija</w:t>
            </w:r>
          </w:p>
        </w:tc>
        <w:tc>
          <w:tcPr>
            <w:tcW w:w="5212" w:type="dxa"/>
          </w:tcPr>
          <w:p w:rsidR="005D4754" w:rsidRPr="00151811" w:rsidRDefault="005D4754" w:rsidP="005D4754">
            <w:pPr>
              <w:spacing w:after="0" w:line="240" w:lineRule="auto"/>
              <w:ind w:left="57" w:right="57"/>
              <w:jc w:val="both"/>
              <w:rPr>
                <w:rFonts w:ascii="Times New Roman" w:eastAsia="Times New Roman" w:hAnsi="Times New Roman" w:cs="Times New Roman"/>
                <w:sz w:val="24"/>
                <w:szCs w:val="24"/>
                <w:lang w:eastAsia="lv-LV"/>
              </w:rPr>
            </w:pPr>
            <w:r w:rsidRPr="00151811">
              <w:rPr>
                <w:rFonts w:ascii="Times New Roman" w:eastAsia="Times New Roman" w:hAnsi="Times New Roman" w:cs="Times New Roman"/>
                <w:sz w:val="24"/>
                <w:szCs w:val="24"/>
              </w:rPr>
              <w:t>Nav.</w:t>
            </w:r>
          </w:p>
        </w:tc>
      </w:tr>
    </w:tbl>
    <w:p w:rsidR="005D4754" w:rsidRPr="00151811" w:rsidRDefault="005D4754" w:rsidP="005D4754">
      <w:pPr>
        <w:spacing w:after="0" w:line="240" w:lineRule="auto"/>
        <w:ind w:left="357"/>
        <w:contextualSpacing/>
        <w:jc w:val="both"/>
        <w:rPr>
          <w:rFonts w:ascii="Times New Roman" w:eastAsia="Calibri" w:hAnsi="Times New Roman" w:cs="Times New Roman"/>
          <w:sz w:val="28"/>
          <w:szCs w:val="28"/>
        </w:rPr>
      </w:pPr>
    </w:p>
    <w:p w:rsidR="005D4754" w:rsidRPr="00151811" w:rsidRDefault="005D4754" w:rsidP="005D4754">
      <w:pPr>
        <w:spacing w:after="0" w:line="240" w:lineRule="auto"/>
        <w:rPr>
          <w:rFonts w:ascii="Times New Roman" w:eastAsia="Times New Roman" w:hAnsi="Times New Roman" w:cs="Times New Roman"/>
          <w:sz w:val="24"/>
          <w:szCs w:val="28"/>
        </w:rPr>
      </w:pPr>
      <w:r w:rsidRPr="00151811">
        <w:rPr>
          <w:rFonts w:ascii="Times New Roman" w:eastAsia="Times New Roman" w:hAnsi="Times New Roman" w:cs="Times New Roman"/>
          <w:sz w:val="24"/>
          <w:szCs w:val="28"/>
        </w:rPr>
        <w:t xml:space="preserve">Anotācijas </w:t>
      </w:r>
      <w:r w:rsidR="00E345CD">
        <w:rPr>
          <w:rFonts w:ascii="Times New Roman" w:eastAsia="Times New Roman" w:hAnsi="Times New Roman" w:cs="Times New Roman"/>
          <w:sz w:val="24"/>
          <w:szCs w:val="28"/>
        </w:rPr>
        <w:t xml:space="preserve">II, </w:t>
      </w:r>
      <w:r w:rsidR="00E345CD">
        <w:rPr>
          <w:rFonts w:ascii="Times New Roman" w:eastAsia="Times New Roman" w:hAnsi="Times New Roman" w:cs="Times New Roman"/>
          <w:bCs/>
          <w:sz w:val="24"/>
          <w:szCs w:val="28"/>
        </w:rPr>
        <w:t xml:space="preserve">IV un V </w:t>
      </w:r>
      <w:r w:rsidRPr="00151811">
        <w:rPr>
          <w:rFonts w:ascii="Times New Roman" w:eastAsia="Times New Roman" w:hAnsi="Times New Roman" w:cs="Times New Roman"/>
          <w:bCs/>
          <w:sz w:val="24"/>
          <w:szCs w:val="28"/>
        </w:rPr>
        <w:t xml:space="preserve">sadaļa </w:t>
      </w:r>
      <w:r w:rsidRPr="00151811">
        <w:rPr>
          <w:rFonts w:ascii="Times New Roman" w:eastAsia="Times New Roman" w:hAnsi="Times New Roman" w:cs="Times New Roman"/>
          <w:sz w:val="24"/>
          <w:szCs w:val="28"/>
        </w:rPr>
        <w:t>–</w:t>
      </w:r>
      <w:r w:rsidRPr="00151811">
        <w:rPr>
          <w:rFonts w:ascii="Times New Roman" w:eastAsia="Times New Roman" w:hAnsi="Times New Roman" w:cs="Times New Roman"/>
          <w:bCs/>
          <w:color w:val="000000"/>
          <w:sz w:val="24"/>
          <w:szCs w:val="28"/>
        </w:rPr>
        <w:t xml:space="preserve"> p</w:t>
      </w:r>
      <w:r w:rsidRPr="00151811">
        <w:rPr>
          <w:rFonts w:ascii="Times New Roman" w:eastAsia="Times New Roman" w:hAnsi="Times New Roman" w:cs="Times New Roman"/>
          <w:sz w:val="24"/>
          <w:szCs w:val="28"/>
        </w:rPr>
        <w:t>rojekts šo jomu neskar.</w:t>
      </w:r>
    </w:p>
    <w:p w:rsidR="005D4754" w:rsidRPr="00151811" w:rsidRDefault="005D4754" w:rsidP="005D4754">
      <w:pPr>
        <w:spacing w:after="0" w:line="240" w:lineRule="auto"/>
        <w:jc w:val="both"/>
        <w:rPr>
          <w:rFonts w:ascii="Times New Roman" w:eastAsia="Calibri" w:hAnsi="Times New Roman" w:cs="Times New Roman"/>
          <w:b/>
          <w:bCs/>
          <w:sz w:val="24"/>
          <w:szCs w:val="28"/>
          <w:lang w:eastAsia="lv-LV"/>
        </w:rPr>
      </w:pPr>
    </w:p>
    <w:p w:rsidR="005D4754" w:rsidRPr="00151811" w:rsidRDefault="005D4754" w:rsidP="005D4754">
      <w:pPr>
        <w:spacing w:after="0" w:line="240" w:lineRule="auto"/>
        <w:jc w:val="both"/>
        <w:rPr>
          <w:rFonts w:ascii="Times New Roman" w:eastAsia="Calibri" w:hAnsi="Times New Roman" w:cs="Times New Roman"/>
          <w:b/>
          <w:bCs/>
          <w:sz w:val="24"/>
          <w:szCs w:val="28"/>
          <w:lang w:eastAsia="lv-LV"/>
        </w:rPr>
      </w:pPr>
    </w:p>
    <w:p w:rsidR="005D4754" w:rsidRPr="00151811" w:rsidRDefault="005D4754" w:rsidP="005D4754">
      <w:pPr>
        <w:spacing w:after="0" w:line="240" w:lineRule="auto"/>
        <w:jc w:val="both"/>
        <w:rPr>
          <w:rFonts w:ascii="Times New Roman" w:eastAsia="Calibri" w:hAnsi="Times New Roman" w:cs="Times New Roman"/>
          <w:b/>
          <w:bCs/>
          <w:sz w:val="24"/>
          <w:szCs w:val="28"/>
          <w:lang w:eastAsia="lv-LV"/>
        </w:rPr>
      </w:pPr>
    </w:p>
    <w:p w:rsidR="005D4754" w:rsidRPr="00151811" w:rsidRDefault="005D4754" w:rsidP="005D4754">
      <w:pPr>
        <w:spacing w:after="0" w:line="240" w:lineRule="auto"/>
        <w:jc w:val="both"/>
        <w:rPr>
          <w:rFonts w:ascii="Times New Roman" w:eastAsia="Calibri" w:hAnsi="Times New Roman" w:cs="Times New Roman"/>
          <w:b/>
          <w:bCs/>
          <w:sz w:val="24"/>
          <w:szCs w:val="28"/>
          <w:lang w:eastAsia="lv-LV"/>
        </w:rPr>
      </w:pPr>
    </w:p>
    <w:p w:rsidR="005D4754" w:rsidRPr="00151811" w:rsidRDefault="005D4754" w:rsidP="005D4754">
      <w:pPr>
        <w:spacing w:after="0" w:line="240" w:lineRule="auto"/>
        <w:ind w:firstLine="720"/>
        <w:jc w:val="both"/>
        <w:rPr>
          <w:rFonts w:ascii="Times New Roman" w:eastAsia="Times New Roman" w:hAnsi="Times New Roman" w:cs="Times New Roman"/>
          <w:sz w:val="28"/>
          <w:szCs w:val="28"/>
          <w:lang w:val="de-DE"/>
        </w:rPr>
      </w:pPr>
      <w:r w:rsidRPr="00151811">
        <w:rPr>
          <w:rFonts w:ascii="Times New Roman" w:eastAsia="Times New Roman" w:hAnsi="Times New Roman" w:cs="Times New Roman"/>
          <w:sz w:val="28"/>
          <w:szCs w:val="28"/>
          <w:lang w:val="de-DE"/>
        </w:rPr>
        <w:t>Iekšlietu ministrs</w:t>
      </w:r>
      <w:r w:rsidRPr="00151811">
        <w:rPr>
          <w:rFonts w:ascii="Times New Roman" w:eastAsia="Times New Roman" w:hAnsi="Times New Roman" w:cs="Times New Roman"/>
          <w:sz w:val="28"/>
          <w:szCs w:val="28"/>
          <w:lang w:val="de-DE"/>
        </w:rPr>
        <w:tab/>
      </w:r>
      <w:r w:rsidRPr="00151811">
        <w:rPr>
          <w:rFonts w:ascii="Times New Roman" w:eastAsia="Times New Roman" w:hAnsi="Times New Roman" w:cs="Times New Roman"/>
          <w:sz w:val="28"/>
          <w:szCs w:val="28"/>
          <w:lang w:val="de-DE"/>
        </w:rPr>
        <w:tab/>
      </w:r>
      <w:r w:rsidRPr="00151811">
        <w:rPr>
          <w:rFonts w:ascii="Times New Roman" w:eastAsia="Times New Roman" w:hAnsi="Times New Roman" w:cs="Times New Roman"/>
          <w:sz w:val="28"/>
          <w:szCs w:val="28"/>
          <w:lang w:val="de-DE"/>
        </w:rPr>
        <w:tab/>
      </w:r>
      <w:r w:rsidRPr="00151811">
        <w:rPr>
          <w:rFonts w:ascii="Times New Roman" w:eastAsia="Times New Roman" w:hAnsi="Times New Roman" w:cs="Times New Roman"/>
          <w:sz w:val="28"/>
          <w:szCs w:val="28"/>
          <w:lang w:val="de-DE"/>
        </w:rPr>
        <w:tab/>
      </w:r>
      <w:r w:rsidRPr="00151811">
        <w:rPr>
          <w:rFonts w:ascii="Times New Roman" w:eastAsia="Times New Roman" w:hAnsi="Times New Roman" w:cs="Times New Roman"/>
          <w:sz w:val="28"/>
          <w:szCs w:val="28"/>
          <w:lang w:val="de-DE"/>
        </w:rPr>
        <w:tab/>
        <w:t>R. Kozlovskis</w:t>
      </w:r>
    </w:p>
    <w:p w:rsidR="005D4754" w:rsidRPr="00151811" w:rsidRDefault="005D4754" w:rsidP="005D4754">
      <w:pPr>
        <w:spacing w:before="75" w:after="75" w:line="240" w:lineRule="auto"/>
        <w:ind w:firstLine="375"/>
        <w:jc w:val="both"/>
        <w:rPr>
          <w:rFonts w:ascii="Times New Roman" w:eastAsia="Times New Roman" w:hAnsi="Times New Roman" w:cs="Times New Roman"/>
          <w:sz w:val="28"/>
          <w:szCs w:val="28"/>
          <w:lang w:eastAsia="lv-LV"/>
        </w:rPr>
      </w:pPr>
      <w:r w:rsidRPr="00151811">
        <w:rPr>
          <w:rFonts w:ascii="Times New Roman" w:eastAsia="Times New Roman" w:hAnsi="Times New Roman" w:cs="Times New Roman"/>
          <w:sz w:val="28"/>
          <w:szCs w:val="28"/>
          <w:lang w:eastAsia="lv-LV"/>
        </w:rPr>
        <w:tab/>
      </w:r>
    </w:p>
    <w:p w:rsidR="00024D57" w:rsidRPr="003E7CFB" w:rsidRDefault="005D4754" w:rsidP="003E7CFB">
      <w:pPr>
        <w:spacing w:before="75" w:after="75" w:line="240" w:lineRule="auto"/>
        <w:ind w:left="720"/>
        <w:jc w:val="both"/>
        <w:rPr>
          <w:rFonts w:ascii="Times New Roman" w:eastAsia="Times New Roman" w:hAnsi="Times New Roman" w:cs="Times New Roman"/>
          <w:sz w:val="28"/>
          <w:szCs w:val="28"/>
          <w:lang w:eastAsia="lv-LV"/>
        </w:rPr>
      </w:pPr>
      <w:r w:rsidRPr="00151811">
        <w:rPr>
          <w:rFonts w:ascii="Times New Roman" w:eastAsia="Times New Roman" w:hAnsi="Times New Roman" w:cs="Times New Roman"/>
          <w:sz w:val="28"/>
          <w:szCs w:val="28"/>
          <w:lang w:eastAsia="lv-LV"/>
        </w:rPr>
        <w:t>Vīza: valsts sekretāre</w:t>
      </w:r>
      <w:r w:rsidRPr="00151811">
        <w:rPr>
          <w:rFonts w:ascii="Times New Roman" w:eastAsia="Times New Roman" w:hAnsi="Times New Roman" w:cs="Times New Roman"/>
          <w:sz w:val="28"/>
          <w:szCs w:val="28"/>
          <w:lang w:eastAsia="lv-LV"/>
        </w:rPr>
        <w:tab/>
      </w:r>
      <w:r w:rsidRPr="00151811">
        <w:rPr>
          <w:rFonts w:ascii="Times New Roman" w:eastAsia="Times New Roman" w:hAnsi="Times New Roman" w:cs="Times New Roman"/>
          <w:sz w:val="28"/>
          <w:szCs w:val="28"/>
          <w:lang w:eastAsia="lv-LV"/>
        </w:rPr>
        <w:tab/>
      </w:r>
      <w:r w:rsidRPr="00151811">
        <w:rPr>
          <w:rFonts w:ascii="Times New Roman" w:eastAsia="Times New Roman" w:hAnsi="Times New Roman" w:cs="Times New Roman"/>
          <w:sz w:val="28"/>
          <w:szCs w:val="28"/>
          <w:lang w:eastAsia="lv-LV"/>
        </w:rPr>
        <w:tab/>
      </w:r>
      <w:r w:rsidRPr="00151811">
        <w:rPr>
          <w:rFonts w:ascii="Times New Roman" w:eastAsia="Times New Roman" w:hAnsi="Times New Roman" w:cs="Times New Roman"/>
          <w:sz w:val="28"/>
          <w:szCs w:val="28"/>
          <w:lang w:eastAsia="lv-LV"/>
        </w:rPr>
        <w:tab/>
        <w:t>I.Pētersone</w:t>
      </w:r>
      <w:r w:rsidR="00D93E34">
        <w:rPr>
          <w:rFonts w:ascii="Times New Roman" w:eastAsia="Times New Roman" w:hAnsi="Times New Roman" w:cs="Times New Roman"/>
          <w:sz w:val="28"/>
          <w:szCs w:val="28"/>
          <w:lang w:eastAsia="lv-LV"/>
        </w:rPr>
        <w:t>–</w:t>
      </w:r>
      <w:r w:rsidRPr="00151811">
        <w:rPr>
          <w:rFonts w:ascii="Times New Roman" w:eastAsia="Times New Roman" w:hAnsi="Times New Roman" w:cs="Times New Roman"/>
          <w:sz w:val="28"/>
          <w:szCs w:val="28"/>
          <w:lang w:eastAsia="lv-LV"/>
        </w:rPr>
        <w:t>Godmane</w:t>
      </w:r>
    </w:p>
    <w:p w:rsidR="00024D57" w:rsidRDefault="00024D57" w:rsidP="005D4754">
      <w:pPr>
        <w:spacing w:after="0" w:line="240" w:lineRule="auto"/>
        <w:jc w:val="both"/>
        <w:rPr>
          <w:rFonts w:ascii="Times New Roman" w:eastAsia="Times New Roman" w:hAnsi="Times New Roman" w:cs="Times New Roman"/>
          <w:color w:val="000000"/>
          <w:sz w:val="28"/>
          <w:szCs w:val="28"/>
        </w:rPr>
      </w:pPr>
    </w:p>
    <w:p w:rsidR="005D4754" w:rsidRPr="00151811" w:rsidRDefault="005D4754" w:rsidP="00D93E34">
      <w:pPr>
        <w:spacing w:after="0" w:line="240" w:lineRule="auto"/>
        <w:jc w:val="both"/>
        <w:rPr>
          <w:rFonts w:ascii="Times New Roman" w:eastAsia="Times New Roman" w:hAnsi="Times New Roman" w:cs="Times New Roman"/>
          <w:color w:val="000000"/>
          <w:sz w:val="28"/>
          <w:szCs w:val="28"/>
        </w:rPr>
      </w:pPr>
    </w:p>
    <w:p w:rsidR="005D4754" w:rsidRDefault="005D4754" w:rsidP="00D93E34">
      <w:pPr>
        <w:spacing w:after="0" w:line="240" w:lineRule="auto"/>
        <w:jc w:val="both"/>
        <w:rPr>
          <w:rFonts w:ascii="Times New Roman" w:eastAsia="Times New Roman" w:hAnsi="Times New Roman" w:cs="Times New Roman"/>
          <w:color w:val="000000"/>
          <w:sz w:val="28"/>
          <w:szCs w:val="28"/>
        </w:rPr>
      </w:pPr>
    </w:p>
    <w:p w:rsidR="00D8450E" w:rsidRDefault="00D8450E" w:rsidP="00D93E34">
      <w:pPr>
        <w:spacing w:after="0" w:line="240" w:lineRule="auto"/>
        <w:jc w:val="both"/>
        <w:rPr>
          <w:rFonts w:ascii="Times New Roman" w:eastAsia="Times New Roman" w:hAnsi="Times New Roman" w:cs="Times New Roman"/>
          <w:color w:val="000000"/>
          <w:sz w:val="28"/>
          <w:szCs w:val="28"/>
        </w:rPr>
      </w:pPr>
    </w:p>
    <w:p w:rsidR="00D8450E" w:rsidRDefault="00D8450E" w:rsidP="00D93E34">
      <w:pPr>
        <w:spacing w:after="0" w:line="240" w:lineRule="auto"/>
        <w:jc w:val="both"/>
        <w:rPr>
          <w:rFonts w:ascii="Times New Roman" w:eastAsia="Times New Roman" w:hAnsi="Times New Roman" w:cs="Times New Roman"/>
          <w:color w:val="000000"/>
          <w:sz w:val="28"/>
          <w:szCs w:val="28"/>
        </w:rPr>
      </w:pPr>
      <w:bookmarkStart w:id="8" w:name="_GoBack"/>
      <w:bookmarkEnd w:id="8"/>
    </w:p>
    <w:p w:rsidR="00D8450E" w:rsidRDefault="00D8450E" w:rsidP="00D93E34">
      <w:pPr>
        <w:spacing w:after="0" w:line="240" w:lineRule="auto"/>
        <w:jc w:val="both"/>
        <w:rPr>
          <w:rFonts w:ascii="Times New Roman" w:eastAsia="Times New Roman" w:hAnsi="Times New Roman" w:cs="Times New Roman"/>
          <w:color w:val="000000"/>
          <w:sz w:val="28"/>
          <w:szCs w:val="28"/>
        </w:rPr>
      </w:pPr>
    </w:p>
    <w:p w:rsidR="00D8450E" w:rsidRPr="00D93E34" w:rsidRDefault="00D8450E" w:rsidP="00D93E34">
      <w:pPr>
        <w:spacing w:after="0" w:line="240" w:lineRule="auto"/>
        <w:jc w:val="both"/>
        <w:rPr>
          <w:rFonts w:ascii="Times New Roman" w:eastAsia="Times New Roman" w:hAnsi="Times New Roman" w:cs="Times New Roman"/>
          <w:color w:val="000000"/>
          <w:sz w:val="28"/>
          <w:szCs w:val="28"/>
        </w:rPr>
      </w:pPr>
    </w:p>
    <w:p w:rsidR="00D93E34" w:rsidRPr="00E345CD" w:rsidRDefault="00D93E34" w:rsidP="00E345CD">
      <w:pPr>
        <w:pStyle w:val="naisf"/>
        <w:spacing w:before="0" w:after="0"/>
        <w:ind w:firstLine="0"/>
        <w:rPr>
          <w:sz w:val="20"/>
          <w:szCs w:val="20"/>
          <w:lang w:val="en-US"/>
        </w:rPr>
      </w:pPr>
      <w:r w:rsidRPr="00D93E34">
        <w:rPr>
          <w:sz w:val="20"/>
          <w:szCs w:val="20"/>
          <w:lang w:val="ru-RU"/>
        </w:rPr>
        <w:fldChar w:fldCharType="begin"/>
      </w:r>
      <w:r w:rsidRPr="00D93E34">
        <w:rPr>
          <w:sz w:val="20"/>
          <w:szCs w:val="20"/>
          <w:lang w:val="ru-RU"/>
        </w:rPr>
        <w:instrText xml:space="preserve"> TIME \@ "dd.MM.yyyy H:mm" </w:instrText>
      </w:r>
      <w:r w:rsidRPr="00D93E34">
        <w:rPr>
          <w:sz w:val="20"/>
          <w:szCs w:val="20"/>
          <w:lang w:val="ru-RU"/>
        </w:rPr>
        <w:fldChar w:fldCharType="separate"/>
      </w:r>
      <w:r w:rsidR="00461AF9">
        <w:rPr>
          <w:noProof/>
          <w:sz w:val="20"/>
          <w:szCs w:val="20"/>
          <w:lang w:val="ru-RU"/>
        </w:rPr>
        <w:t>19.01.2016 8:21</w:t>
      </w:r>
      <w:r w:rsidRPr="00D93E34">
        <w:rPr>
          <w:sz w:val="20"/>
          <w:szCs w:val="20"/>
          <w:lang w:val="ru-RU"/>
        </w:rPr>
        <w:fldChar w:fldCharType="end"/>
      </w:r>
    </w:p>
    <w:p w:rsidR="002F6B3B" w:rsidRDefault="009D03CF" w:rsidP="002F6B3B">
      <w:pPr>
        <w:pStyle w:val="naisf"/>
        <w:spacing w:before="0" w:after="0"/>
        <w:ind w:firstLine="0"/>
        <w:rPr>
          <w:sz w:val="20"/>
          <w:szCs w:val="20"/>
          <w:lang w:val="en-US"/>
        </w:rPr>
      </w:pPr>
      <w:r>
        <w:rPr>
          <w:sz w:val="20"/>
          <w:szCs w:val="20"/>
          <w:lang w:val="en-US"/>
        </w:rPr>
        <w:t>1514</w:t>
      </w:r>
    </w:p>
    <w:p w:rsidR="005D4754" w:rsidRPr="002F6B3B" w:rsidRDefault="002F6B3B" w:rsidP="002F6B3B">
      <w:pPr>
        <w:pStyle w:val="naisf"/>
        <w:spacing w:before="0" w:after="0"/>
        <w:ind w:firstLine="0"/>
        <w:rPr>
          <w:sz w:val="20"/>
          <w:szCs w:val="20"/>
          <w:lang w:val="en-US"/>
        </w:rPr>
      </w:pPr>
      <w:r>
        <w:rPr>
          <w:sz w:val="20"/>
          <w:szCs w:val="20"/>
          <w:lang w:val="en-US"/>
        </w:rPr>
        <w:t>Kurca</w:t>
      </w:r>
      <w:r>
        <w:rPr>
          <w:sz w:val="20"/>
          <w:szCs w:val="20"/>
        </w:rPr>
        <w:t>, 67075273</w:t>
      </w:r>
      <w:r w:rsidR="005D4754" w:rsidRPr="00151811">
        <w:rPr>
          <w:sz w:val="20"/>
          <w:szCs w:val="20"/>
        </w:rPr>
        <w:t xml:space="preserve">, </w:t>
      </w:r>
    </w:p>
    <w:p w:rsidR="00502556" w:rsidRPr="00151811" w:rsidRDefault="005F4D8C" w:rsidP="005D4754">
      <w:pPr>
        <w:spacing w:after="0" w:line="240" w:lineRule="auto"/>
        <w:jc w:val="both"/>
        <w:rPr>
          <w:rFonts w:ascii="Times New Roman" w:eastAsia="Times New Roman" w:hAnsi="Times New Roman" w:cs="Times New Roman"/>
          <w:sz w:val="20"/>
          <w:szCs w:val="20"/>
        </w:rPr>
      </w:pPr>
      <w:hyperlink r:id="rId8" w:history="1">
        <w:r w:rsidR="002F6B3B">
          <w:rPr>
            <w:rStyle w:val="Hyperlink"/>
            <w:rFonts w:ascii="Times New Roman" w:eastAsia="Times New Roman" w:hAnsi="Times New Roman" w:cs="Times New Roman"/>
            <w:sz w:val="20"/>
            <w:szCs w:val="20"/>
          </w:rPr>
          <w:t>ilona.kurca</w:t>
        </w:r>
        <w:r w:rsidR="00B477A4" w:rsidRPr="0089444A">
          <w:rPr>
            <w:rStyle w:val="Hyperlink"/>
            <w:rFonts w:ascii="Times New Roman" w:eastAsia="Times New Roman" w:hAnsi="Times New Roman" w:cs="Times New Roman"/>
            <w:sz w:val="20"/>
            <w:szCs w:val="20"/>
          </w:rPr>
          <w:t>@vp.gov.lv</w:t>
        </w:r>
      </w:hyperlink>
    </w:p>
    <w:sectPr w:rsidR="00502556" w:rsidRPr="00151811" w:rsidSect="00502556">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8C" w:rsidRDefault="005F4D8C">
      <w:pPr>
        <w:spacing w:after="0" w:line="240" w:lineRule="auto"/>
      </w:pPr>
      <w:r>
        <w:separator/>
      </w:r>
    </w:p>
  </w:endnote>
  <w:endnote w:type="continuationSeparator" w:id="0">
    <w:p w:rsidR="005F4D8C" w:rsidRDefault="005F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57" w:rsidRPr="00696FFD" w:rsidRDefault="00A51257" w:rsidP="00A51257">
    <w:pPr>
      <w:spacing w:after="0" w:line="240" w:lineRule="auto"/>
      <w:jc w:val="both"/>
      <w:rPr>
        <w:rFonts w:ascii="Times New Roman" w:hAnsi="Times New Roman" w:cs="Times New Roman"/>
        <w:sz w:val="20"/>
        <w:szCs w:val="20"/>
      </w:rPr>
    </w:pPr>
    <w:r w:rsidRPr="00D13A3C">
      <w:rPr>
        <w:rFonts w:ascii="Times New Roman" w:hAnsi="Times New Roman" w:cs="Times New Roman"/>
        <w:sz w:val="20"/>
        <w:szCs w:val="20"/>
      </w:rPr>
      <w:fldChar w:fldCharType="begin"/>
    </w:r>
    <w:r w:rsidRPr="00D13A3C">
      <w:rPr>
        <w:rFonts w:ascii="Times New Roman" w:hAnsi="Times New Roman" w:cs="Times New Roman"/>
        <w:sz w:val="20"/>
        <w:szCs w:val="20"/>
      </w:rPr>
      <w:instrText xml:space="preserve"> FILENAME </w:instrText>
    </w:r>
    <w:r w:rsidRPr="00D13A3C">
      <w:rPr>
        <w:rFonts w:ascii="Times New Roman" w:hAnsi="Times New Roman" w:cs="Times New Roman"/>
        <w:sz w:val="20"/>
        <w:szCs w:val="20"/>
      </w:rPr>
      <w:fldChar w:fldCharType="separate"/>
    </w:r>
    <w:r w:rsidR="00461AF9">
      <w:rPr>
        <w:rFonts w:ascii="Times New Roman" w:hAnsi="Times New Roman" w:cs="Times New Roman"/>
        <w:noProof/>
        <w:sz w:val="20"/>
        <w:szCs w:val="20"/>
      </w:rPr>
      <w:t>IEMAnot_19</w:t>
    </w:r>
    <w:r w:rsidR="00673457">
      <w:rPr>
        <w:rFonts w:ascii="Times New Roman" w:hAnsi="Times New Roman" w:cs="Times New Roman"/>
        <w:noProof/>
        <w:sz w:val="20"/>
        <w:szCs w:val="20"/>
      </w:rPr>
      <w:t>012016_ieroci</w:t>
    </w:r>
    <w:r w:rsidRPr="00D13A3C">
      <w:rPr>
        <w:rFonts w:ascii="Times New Roman" w:hAnsi="Times New Roman" w:cs="Times New Roman"/>
        <w:sz w:val="20"/>
        <w:szCs w:val="20"/>
      </w:rPr>
      <w:fldChar w:fldCharType="end"/>
    </w:r>
    <w:r w:rsidRPr="00D93E34">
      <w:rPr>
        <w:rFonts w:ascii="Times New Roman" w:hAnsi="Times New Roman" w:cs="Times New Roman"/>
        <w:sz w:val="20"/>
        <w:szCs w:val="20"/>
      </w:rPr>
      <w:t>;</w:t>
    </w:r>
    <w:r w:rsidRPr="00696FFD">
      <w:rPr>
        <w:rFonts w:ascii="Times New Roman" w:hAnsi="Times New Roman" w:cs="Times New Roman"/>
        <w:sz w:val="20"/>
        <w:szCs w:val="20"/>
      </w:rPr>
      <w:t xml:space="preserve"> Ministru kabineta noteikumu projekta „</w:t>
    </w:r>
    <w:r>
      <w:rPr>
        <w:rFonts w:ascii="Times New Roman" w:hAnsi="Times New Roman" w:cs="Times New Roman"/>
        <w:sz w:val="20"/>
        <w:szCs w:val="20"/>
      </w:rPr>
      <w:t>Kārtība, kādā valsts un pašvaldību iestādes iegādājas un realizē ieročus, munīciju un speciālos līdzekļus”</w:t>
    </w:r>
    <w:r w:rsidRPr="00696FFD">
      <w:rPr>
        <w:rFonts w:ascii="Times New Roman" w:hAnsi="Times New Roman" w:cs="Times New Roman"/>
        <w:sz w:val="20"/>
        <w:szCs w:val="20"/>
      </w:rPr>
      <w:t xml:space="preserve"> sākotnējās ietekmes novērtējuma ziņojums (anotācija)</w:t>
    </w:r>
  </w:p>
  <w:p w:rsidR="00ED3FAE" w:rsidRPr="006811D5" w:rsidRDefault="00ED3FAE" w:rsidP="00502556">
    <w:pPr>
      <w:pStyle w:val="Footer"/>
      <w:jc w:val="both"/>
    </w:pPr>
  </w:p>
  <w:p w:rsidR="00ED3FAE" w:rsidRPr="00B563A2" w:rsidRDefault="00ED3FAE" w:rsidP="00502556">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E" w:rsidRPr="00696FFD" w:rsidRDefault="00ED3FAE" w:rsidP="00D13A3C">
    <w:pPr>
      <w:spacing w:after="0" w:line="240" w:lineRule="auto"/>
      <w:jc w:val="both"/>
      <w:rPr>
        <w:rFonts w:ascii="Times New Roman" w:hAnsi="Times New Roman" w:cs="Times New Roman"/>
        <w:sz w:val="20"/>
        <w:szCs w:val="20"/>
      </w:rPr>
    </w:pPr>
    <w:r w:rsidRPr="00D13A3C">
      <w:rPr>
        <w:rFonts w:ascii="Times New Roman" w:hAnsi="Times New Roman" w:cs="Times New Roman"/>
        <w:sz w:val="20"/>
        <w:szCs w:val="20"/>
      </w:rPr>
      <w:fldChar w:fldCharType="begin"/>
    </w:r>
    <w:r w:rsidRPr="00D13A3C">
      <w:rPr>
        <w:rFonts w:ascii="Times New Roman" w:hAnsi="Times New Roman" w:cs="Times New Roman"/>
        <w:sz w:val="20"/>
        <w:szCs w:val="20"/>
      </w:rPr>
      <w:instrText xml:space="preserve"> FILENAME </w:instrText>
    </w:r>
    <w:r w:rsidRPr="00D13A3C">
      <w:rPr>
        <w:rFonts w:ascii="Times New Roman" w:hAnsi="Times New Roman" w:cs="Times New Roman"/>
        <w:sz w:val="20"/>
        <w:szCs w:val="20"/>
      </w:rPr>
      <w:fldChar w:fldCharType="separate"/>
    </w:r>
    <w:r w:rsidR="00461AF9">
      <w:rPr>
        <w:rFonts w:ascii="Times New Roman" w:hAnsi="Times New Roman" w:cs="Times New Roman"/>
        <w:noProof/>
        <w:sz w:val="20"/>
        <w:szCs w:val="20"/>
      </w:rPr>
      <w:t>IEMAnot_19</w:t>
    </w:r>
    <w:r w:rsidR="00673457">
      <w:rPr>
        <w:rFonts w:ascii="Times New Roman" w:hAnsi="Times New Roman" w:cs="Times New Roman"/>
        <w:noProof/>
        <w:sz w:val="20"/>
        <w:szCs w:val="20"/>
      </w:rPr>
      <w:t>012016_ieroci</w:t>
    </w:r>
    <w:r w:rsidRPr="00D13A3C">
      <w:rPr>
        <w:rFonts w:ascii="Times New Roman" w:hAnsi="Times New Roman" w:cs="Times New Roman"/>
        <w:sz w:val="20"/>
        <w:szCs w:val="20"/>
      </w:rPr>
      <w:fldChar w:fldCharType="end"/>
    </w:r>
    <w:r w:rsidRPr="00D93E34">
      <w:rPr>
        <w:rFonts w:ascii="Times New Roman" w:hAnsi="Times New Roman" w:cs="Times New Roman"/>
        <w:sz w:val="20"/>
        <w:szCs w:val="20"/>
      </w:rPr>
      <w:t>;</w:t>
    </w:r>
    <w:r w:rsidRPr="00696FFD">
      <w:rPr>
        <w:rFonts w:ascii="Times New Roman" w:hAnsi="Times New Roman" w:cs="Times New Roman"/>
        <w:sz w:val="20"/>
        <w:szCs w:val="20"/>
      </w:rPr>
      <w:t xml:space="preserve"> Ministru kabineta noteikumu projekta „</w:t>
    </w:r>
    <w:r w:rsidR="00A51257">
      <w:rPr>
        <w:rFonts w:ascii="Times New Roman" w:hAnsi="Times New Roman" w:cs="Times New Roman"/>
        <w:sz w:val="20"/>
        <w:szCs w:val="20"/>
      </w:rPr>
      <w:t>Kārtība, kādā valsts un pašvaldību iestādes iegādājas un realizē ieročus, munīciju un speciālos līdzekļus”</w:t>
    </w:r>
    <w:r w:rsidRPr="00696FFD">
      <w:rPr>
        <w:rFonts w:ascii="Times New Roman" w:hAnsi="Times New Roman" w:cs="Times New Roman"/>
        <w:sz w:val="20"/>
        <w:szCs w:val="20"/>
      </w:rPr>
      <w:t xml:space="preserve"> sākotnējās ietekmes novērtējuma ziņojums (anotācija)</w:t>
    </w:r>
  </w:p>
  <w:p w:rsidR="00ED3FAE" w:rsidRPr="006811D5" w:rsidRDefault="00ED3FAE" w:rsidP="0050255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8C" w:rsidRDefault="005F4D8C">
      <w:pPr>
        <w:spacing w:after="0" w:line="240" w:lineRule="auto"/>
      </w:pPr>
      <w:r>
        <w:separator/>
      </w:r>
    </w:p>
  </w:footnote>
  <w:footnote w:type="continuationSeparator" w:id="0">
    <w:p w:rsidR="005F4D8C" w:rsidRDefault="005F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E" w:rsidRDefault="00ED3FAE" w:rsidP="005025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FAE" w:rsidRDefault="00ED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E" w:rsidRDefault="00ED3FAE" w:rsidP="005025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AF9">
      <w:rPr>
        <w:rStyle w:val="PageNumber"/>
        <w:noProof/>
      </w:rPr>
      <w:t>6</w:t>
    </w:r>
    <w:r>
      <w:rPr>
        <w:rStyle w:val="PageNumber"/>
      </w:rPr>
      <w:fldChar w:fldCharType="end"/>
    </w:r>
  </w:p>
  <w:p w:rsidR="00ED3FAE" w:rsidRDefault="00ED3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77EA"/>
    <w:multiLevelType w:val="hybridMultilevel"/>
    <w:tmpl w:val="5FD4B1F6"/>
    <w:lvl w:ilvl="0" w:tplc="92E6EAA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552186"/>
    <w:multiLevelType w:val="hybridMultilevel"/>
    <w:tmpl w:val="AB5C6D4A"/>
    <w:lvl w:ilvl="0" w:tplc="1D769FB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866025"/>
    <w:multiLevelType w:val="hybridMultilevel"/>
    <w:tmpl w:val="2F8462DE"/>
    <w:lvl w:ilvl="0" w:tplc="9B44EC8A">
      <w:start w:val="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D851BA"/>
    <w:multiLevelType w:val="hybridMultilevel"/>
    <w:tmpl w:val="22D8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305DF3"/>
    <w:multiLevelType w:val="hybridMultilevel"/>
    <w:tmpl w:val="BED0C91C"/>
    <w:lvl w:ilvl="0" w:tplc="606C951C">
      <w:start w:val="8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54"/>
    <w:rsid w:val="00003602"/>
    <w:rsid w:val="000125C6"/>
    <w:rsid w:val="00024C97"/>
    <w:rsid w:val="00024D57"/>
    <w:rsid w:val="00044C48"/>
    <w:rsid w:val="00046A59"/>
    <w:rsid w:val="000550EE"/>
    <w:rsid w:val="00070610"/>
    <w:rsid w:val="0007372F"/>
    <w:rsid w:val="00083C73"/>
    <w:rsid w:val="00095697"/>
    <w:rsid w:val="000E3784"/>
    <w:rsid w:val="000E6D3B"/>
    <w:rsid w:val="00105B5A"/>
    <w:rsid w:val="00120F8F"/>
    <w:rsid w:val="00136382"/>
    <w:rsid w:val="00147506"/>
    <w:rsid w:val="00151811"/>
    <w:rsid w:val="00164635"/>
    <w:rsid w:val="0016664F"/>
    <w:rsid w:val="001676E9"/>
    <w:rsid w:val="001A55EC"/>
    <w:rsid w:val="001B121A"/>
    <w:rsid w:val="001F279F"/>
    <w:rsid w:val="001F4177"/>
    <w:rsid w:val="00217F43"/>
    <w:rsid w:val="002267AD"/>
    <w:rsid w:val="00251957"/>
    <w:rsid w:val="00257B7D"/>
    <w:rsid w:val="00262DDE"/>
    <w:rsid w:val="002720EB"/>
    <w:rsid w:val="00276B3D"/>
    <w:rsid w:val="00277CA5"/>
    <w:rsid w:val="002860B7"/>
    <w:rsid w:val="002A0905"/>
    <w:rsid w:val="002B084E"/>
    <w:rsid w:val="002B20A1"/>
    <w:rsid w:val="002B3C53"/>
    <w:rsid w:val="002B6F46"/>
    <w:rsid w:val="002C4F79"/>
    <w:rsid w:val="002D64FC"/>
    <w:rsid w:val="002F6B3B"/>
    <w:rsid w:val="003016DB"/>
    <w:rsid w:val="00306E7D"/>
    <w:rsid w:val="00306F4D"/>
    <w:rsid w:val="00311FEE"/>
    <w:rsid w:val="00315332"/>
    <w:rsid w:val="003470D4"/>
    <w:rsid w:val="003529DC"/>
    <w:rsid w:val="003621DE"/>
    <w:rsid w:val="003B0488"/>
    <w:rsid w:val="003C3C5C"/>
    <w:rsid w:val="003E7CFB"/>
    <w:rsid w:val="003F0D57"/>
    <w:rsid w:val="0040205A"/>
    <w:rsid w:val="00404DF6"/>
    <w:rsid w:val="00413ABF"/>
    <w:rsid w:val="00461AF9"/>
    <w:rsid w:val="0046254A"/>
    <w:rsid w:val="0046430B"/>
    <w:rsid w:val="00474133"/>
    <w:rsid w:val="004765BE"/>
    <w:rsid w:val="00493746"/>
    <w:rsid w:val="004A20E4"/>
    <w:rsid w:val="004A76F1"/>
    <w:rsid w:val="004B3619"/>
    <w:rsid w:val="004C394D"/>
    <w:rsid w:val="004D1879"/>
    <w:rsid w:val="004F5684"/>
    <w:rsid w:val="00502556"/>
    <w:rsid w:val="0051569E"/>
    <w:rsid w:val="005440A3"/>
    <w:rsid w:val="0055206E"/>
    <w:rsid w:val="00552C19"/>
    <w:rsid w:val="00553BFD"/>
    <w:rsid w:val="0055739E"/>
    <w:rsid w:val="00563025"/>
    <w:rsid w:val="00564408"/>
    <w:rsid w:val="00564559"/>
    <w:rsid w:val="00572BAF"/>
    <w:rsid w:val="0057590D"/>
    <w:rsid w:val="00577BA1"/>
    <w:rsid w:val="005829B3"/>
    <w:rsid w:val="005A6BC4"/>
    <w:rsid w:val="005A6DD2"/>
    <w:rsid w:val="005C1135"/>
    <w:rsid w:val="005D4754"/>
    <w:rsid w:val="005E6A40"/>
    <w:rsid w:val="005F4D8C"/>
    <w:rsid w:val="0060495F"/>
    <w:rsid w:val="006317CE"/>
    <w:rsid w:val="00663BA2"/>
    <w:rsid w:val="00664F8C"/>
    <w:rsid w:val="00673457"/>
    <w:rsid w:val="00685F94"/>
    <w:rsid w:val="00696FFD"/>
    <w:rsid w:val="006976D3"/>
    <w:rsid w:val="006A34ED"/>
    <w:rsid w:val="006B189E"/>
    <w:rsid w:val="006D49BA"/>
    <w:rsid w:val="006D7EB3"/>
    <w:rsid w:val="006F76E5"/>
    <w:rsid w:val="0072657D"/>
    <w:rsid w:val="007275FF"/>
    <w:rsid w:val="00745884"/>
    <w:rsid w:val="00782AE2"/>
    <w:rsid w:val="007A339B"/>
    <w:rsid w:val="007B3368"/>
    <w:rsid w:val="007B521A"/>
    <w:rsid w:val="007B5650"/>
    <w:rsid w:val="007C01C0"/>
    <w:rsid w:val="00802878"/>
    <w:rsid w:val="008171DE"/>
    <w:rsid w:val="00820FD7"/>
    <w:rsid w:val="0082641B"/>
    <w:rsid w:val="008277FA"/>
    <w:rsid w:val="0083126E"/>
    <w:rsid w:val="00846052"/>
    <w:rsid w:val="008748CD"/>
    <w:rsid w:val="008B5219"/>
    <w:rsid w:val="008D1758"/>
    <w:rsid w:val="00900D79"/>
    <w:rsid w:val="00905CCF"/>
    <w:rsid w:val="00905F90"/>
    <w:rsid w:val="00930F16"/>
    <w:rsid w:val="00936D74"/>
    <w:rsid w:val="00944864"/>
    <w:rsid w:val="00956DA1"/>
    <w:rsid w:val="00980AA6"/>
    <w:rsid w:val="00983B69"/>
    <w:rsid w:val="00986A37"/>
    <w:rsid w:val="009910D1"/>
    <w:rsid w:val="0099575A"/>
    <w:rsid w:val="009D03CF"/>
    <w:rsid w:val="009D2CC8"/>
    <w:rsid w:val="009D4D14"/>
    <w:rsid w:val="009F5CD1"/>
    <w:rsid w:val="009F5F72"/>
    <w:rsid w:val="00A022AA"/>
    <w:rsid w:val="00A03B02"/>
    <w:rsid w:val="00A16035"/>
    <w:rsid w:val="00A24713"/>
    <w:rsid w:val="00A51257"/>
    <w:rsid w:val="00A63848"/>
    <w:rsid w:val="00A6509F"/>
    <w:rsid w:val="00A71343"/>
    <w:rsid w:val="00A9131B"/>
    <w:rsid w:val="00A925FE"/>
    <w:rsid w:val="00A929BD"/>
    <w:rsid w:val="00AC1180"/>
    <w:rsid w:val="00AC4112"/>
    <w:rsid w:val="00AC7B43"/>
    <w:rsid w:val="00B10DA5"/>
    <w:rsid w:val="00B12CF8"/>
    <w:rsid w:val="00B4149F"/>
    <w:rsid w:val="00B45E96"/>
    <w:rsid w:val="00B477A4"/>
    <w:rsid w:val="00B62426"/>
    <w:rsid w:val="00B77F85"/>
    <w:rsid w:val="00B9054B"/>
    <w:rsid w:val="00B92B6E"/>
    <w:rsid w:val="00BD109F"/>
    <w:rsid w:val="00BD2858"/>
    <w:rsid w:val="00BE1CD4"/>
    <w:rsid w:val="00BE1EC5"/>
    <w:rsid w:val="00BE6249"/>
    <w:rsid w:val="00BF6B1C"/>
    <w:rsid w:val="00C053E0"/>
    <w:rsid w:val="00C05853"/>
    <w:rsid w:val="00C35B38"/>
    <w:rsid w:val="00C41709"/>
    <w:rsid w:val="00C53732"/>
    <w:rsid w:val="00C6246B"/>
    <w:rsid w:val="00C70734"/>
    <w:rsid w:val="00C7474D"/>
    <w:rsid w:val="00C7601B"/>
    <w:rsid w:val="00C851BC"/>
    <w:rsid w:val="00CC3C04"/>
    <w:rsid w:val="00CD1D48"/>
    <w:rsid w:val="00CD3F7F"/>
    <w:rsid w:val="00CE6FD0"/>
    <w:rsid w:val="00CF7823"/>
    <w:rsid w:val="00D13A3C"/>
    <w:rsid w:val="00D46A7F"/>
    <w:rsid w:val="00D52CC6"/>
    <w:rsid w:val="00D62833"/>
    <w:rsid w:val="00D650FD"/>
    <w:rsid w:val="00D6538D"/>
    <w:rsid w:val="00D8450E"/>
    <w:rsid w:val="00D93E34"/>
    <w:rsid w:val="00DA02AC"/>
    <w:rsid w:val="00DA2B2A"/>
    <w:rsid w:val="00DA71B2"/>
    <w:rsid w:val="00DB6085"/>
    <w:rsid w:val="00DC0198"/>
    <w:rsid w:val="00DC3141"/>
    <w:rsid w:val="00DE613A"/>
    <w:rsid w:val="00E10BCE"/>
    <w:rsid w:val="00E13B52"/>
    <w:rsid w:val="00E15224"/>
    <w:rsid w:val="00E345CD"/>
    <w:rsid w:val="00E40454"/>
    <w:rsid w:val="00E406F2"/>
    <w:rsid w:val="00E463EC"/>
    <w:rsid w:val="00E639FE"/>
    <w:rsid w:val="00E672F9"/>
    <w:rsid w:val="00E71B4C"/>
    <w:rsid w:val="00E76E4D"/>
    <w:rsid w:val="00E776A9"/>
    <w:rsid w:val="00E80D11"/>
    <w:rsid w:val="00EB239B"/>
    <w:rsid w:val="00EB44AC"/>
    <w:rsid w:val="00ED3FAE"/>
    <w:rsid w:val="00EF11BE"/>
    <w:rsid w:val="00F10F4D"/>
    <w:rsid w:val="00F11186"/>
    <w:rsid w:val="00F11D89"/>
    <w:rsid w:val="00F14F1E"/>
    <w:rsid w:val="00F15E04"/>
    <w:rsid w:val="00F24498"/>
    <w:rsid w:val="00F24692"/>
    <w:rsid w:val="00F30733"/>
    <w:rsid w:val="00FA1A30"/>
    <w:rsid w:val="00FA72E0"/>
    <w:rsid w:val="00FD3F7D"/>
    <w:rsid w:val="00FE0282"/>
    <w:rsid w:val="00FE54A9"/>
    <w:rsid w:val="00FF1250"/>
    <w:rsid w:val="00FF6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5E48F-E6E0-4D89-9266-2AAC191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754"/>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HeaderChar">
    <w:name w:val="Header Char"/>
    <w:basedOn w:val="DefaultParagraphFont"/>
    <w:link w:val="Header"/>
    <w:uiPriority w:val="99"/>
    <w:rsid w:val="005D4754"/>
    <w:rPr>
      <w:rFonts w:ascii="Times New Roman" w:eastAsia="Calibri" w:hAnsi="Times New Roman" w:cs="Times New Roman"/>
      <w:sz w:val="24"/>
      <w:szCs w:val="24"/>
      <w:lang w:eastAsia="lv-LV"/>
    </w:rPr>
  </w:style>
  <w:style w:type="paragraph" w:styleId="Footer">
    <w:name w:val="footer"/>
    <w:basedOn w:val="Normal"/>
    <w:link w:val="FooterChar"/>
    <w:uiPriority w:val="99"/>
    <w:rsid w:val="005D4754"/>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uiPriority w:val="99"/>
    <w:rsid w:val="005D4754"/>
    <w:rPr>
      <w:rFonts w:ascii="Times New Roman" w:eastAsia="Calibri" w:hAnsi="Times New Roman" w:cs="Times New Roman"/>
      <w:sz w:val="24"/>
      <w:szCs w:val="24"/>
      <w:lang w:eastAsia="lv-LV"/>
    </w:rPr>
  </w:style>
  <w:style w:type="character" w:styleId="PageNumber">
    <w:name w:val="page number"/>
    <w:uiPriority w:val="99"/>
    <w:rsid w:val="005D4754"/>
    <w:rPr>
      <w:rFonts w:cs="Times New Roman"/>
    </w:rPr>
  </w:style>
  <w:style w:type="character" w:styleId="Hyperlink">
    <w:name w:val="Hyperlink"/>
    <w:basedOn w:val="DefaultParagraphFont"/>
    <w:uiPriority w:val="99"/>
    <w:unhideWhenUsed/>
    <w:rsid w:val="00502556"/>
    <w:rPr>
      <w:color w:val="0000FF" w:themeColor="hyperlink"/>
      <w:u w:val="single"/>
    </w:rPr>
  </w:style>
  <w:style w:type="paragraph" w:styleId="BalloonText">
    <w:name w:val="Balloon Text"/>
    <w:basedOn w:val="Normal"/>
    <w:link w:val="BalloonTextChar"/>
    <w:uiPriority w:val="99"/>
    <w:semiHidden/>
    <w:unhideWhenUsed/>
    <w:rsid w:val="00FE0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82"/>
    <w:rPr>
      <w:rFonts w:ascii="Segoe UI" w:hAnsi="Segoe UI" w:cs="Segoe UI"/>
      <w:sz w:val="18"/>
      <w:szCs w:val="18"/>
    </w:rPr>
  </w:style>
  <w:style w:type="paragraph" w:customStyle="1" w:styleId="naisnod">
    <w:name w:val="naisnod"/>
    <w:basedOn w:val="Normal"/>
    <w:uiPriority w:val="99"/>
    <w:rsid w:val="004C39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4C394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4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90D"/>
    <w:pPr>
      <w:ind w:left="720"/>
      <w:contextualSpacing/>
    </w:pPr>
  </w:style>
  <w:style w:type="paragraph" w:customStyle="1" w:styleId="naisf">
    <w:name w:val="naisf"/>
    <w:basedOn w:val="Normal"/>
    <w:rsid w:val="00D93E3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C70734"/>
    <w:pPr>
      <w:spacing w:after="0" w:line="240" w:lineRule="auto"/>
    </w:pPr>
  </w:style>
  <w:style w:type="paragraph" w:customStyle="1" w:styleId="default">
    <w:name w:val="default"/>
    <w:basedOn w:val="Normal"/>
    <w:uiPriority w:val="99"/>
    <w:rsid w:val="0060495F"/>
    <w:pPr>
      <w:spacing w:before="100" w:beforeAutospacing="1" w:after="250" w:line="240" w:lineRule="auto"/>
    </w:pPr>
    <w:rPr>
      <w:rFonts w:ascii="Times New Roman" w:eastAsia="Times New Roman" w:hAnsi="Times New Roman" w:cs="Times New Roman"/>
      <w:sz w:val="24"/>
      <w:szCs w:val="24"/>
      <w:lang w:eastAsia="lv-LV"/>
    </w:rPr>
  </w:style>
  <w:style w:type="paragraph" w:customStyle="1" w:styleId="thr">
    <w:name w:val="thr"/>
    <w:basedOn w:val="Normal"/>
    <w:uiPriority w:val="99"/>
    <w:rsid w:val="008D175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0DBF-3FD7-49CB-AA07-AFDD42D2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7710</Words>
  <Characters>4395</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Natālija Dorožko</dc:creator>
  <cp:lastModifiedBy>Ilona Kurca</cp:lastModifiedBy>
  <cp:revision>26</cp:revision>
  <cp:lastPrinted>2016-01-18T12:57:00Z</cp:lastPrinted>
  <dcterms:created xsi:type="dcterms:W3CDTF">2015-10-14T09:37:00Z</dcterms:created>
  <dcterms:modified xsi:type="dcterms:W3CDTF">2016-01-19T06:22:00Z</dcterms:modified>
</cp:coreProperties>
</file>