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3" w:rsidRPr="00B60F55" w:rsidRDefault="001D412C" w:rsidP="00EB2D9A">
      <w:pPr>
        <w:pStyle w:val="BodyText"/>
        <w:jc w:val="center"/>
        <w:rPr>
          <w:b/>
          <w:bCs/>
          <w:sz w:val="26"/>
          <w:szCs w:val="26"/>
          <w:lang w:val="lv-LV"/>
        </w:rPr>
      </w:pPr>
      <w:r w:rsidRPr="00B60F55">
        <w:rPr>
          <w:b/>
          <w:sz w:val="26"/>
          <w:szCs w:val="26"/>
          <w:lang w:val="lv-LV"/>
        </w:rPr>
        <w:t>Ministru kabineta noteikumu</w:t>
      </w:r>
      <w:r w:rsidR="00970D03" w:rsidRPr="00B60F55">
        <w:rPr>
          <w:b/>
          <w:sz w:val="26"/>
          <w:szCs w:val="26"/>
          <w:lang w:val="lv-LV"/>
        </w:rPr>
        <w:t xml:space="preserve"> </w:t>
      </w:r>
      <w:r w:rsidR="00EB2D9A" w:rsidRPr="00B60F55">
        <w:rPr>
          <w:b/>
          <w:sz w:val="26"/>
          <w:szCs w:val="26"/>
          <w:lang w:val="lv-LV"/>
        </w:rPr>
        <w:t xml:space="preserve">projekts </w:t>
      </w:r>
      <w:r w:rsidR="00970D03" w:rsidRPr="00B60F55">
        <w:rPr>
          <w:b/>
          <w:sz w:val="26"/>
          <w:szCs w:val="26"/>
          <w:lang w:val="lv-LV"/>
        </w:rPr>
        <w:t>„</w:t>
      </w:r>
      <w:r w:rsidR="00EB2D9A" w:rsidRPr="00B60F55">
        <w:rPr>
          <w:b/>
          <w:bCs/>
          <w:sz w:val="26"/>
          <w:szCs w:val="26"/>
          <w:lang w:val="lv-LV"/>
        </w:rPr>
        <w:t xml:space="preserve">Par Ministru kabineta 2013.gada 10.septembra noteikumu Nr.797 „Valsts sociālās apdrošināšanas aģentūras maksas pakalpojumu cenrādis” atzīšanu par spēku zaudējušiem” </w:t>
      </w:r>
      <w:r w:rsidR="00970D03" w:rsidRPr="00B60F55">
        <w:rPr>
          <w:b/>
          <w:sz w:val="26"/>
          <w:szCs w:val="26"/>
          <w:lang w:val="lv-LV"/>
        </w:rPr>
        <w:t>sākotnējās ietekmes novērtējuma ziņojums (anotācija)</w:t>
      </w:r>
    </w:p>
    <w:p w:rsidR="00970D03" w:rsidRPr="00B60F55" w:rsidRDefault="00970D03" w:rsidP="00970D0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95"/>
        <w:gridCol w:w="47"/>
        <w:gridCol w:w="1134"/>
        <w:gridCol w:w="6237"/>
      </w:tblGrid>
      <w:tr w:rsidR="00970D03" w:rsidRPr="007F1AF8" w:rsidTr="003466EF">
        <w:tc>
          <w:tcPr>
            <w:tcW w:w="9747" w:type="dxa"/>
            <w:gridSpan w:val="5"/>
          </w:tcPr>
          <w:p w:rsidR="00970D03" w:rsidRPr="007F1AF8" w:rsidRDefault="00970D03" w:rsidP="00C520F4">
            <w:pPr>
              <w:jc w:val="center"/>
              <w:rPr>
                <w:b/>
              </w:rPr>
            </w:pPr>
            <w:r w:rsidRPr="007F1AF8">
              <w:rPr>
                <w:b/>
              </w:rPr>
              <w:t>I Tiesību akta projekta izstrādes nepieciešamība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970D03" w:rsidP="00C520F4">
            <w:r w:rsidRPr="007F1AF8">
              <w:t>1.</w:t>
            </w:r>
          </w:p>
        </w:tc>
        <w:tc>
          <w:tcPr>
            <w:tcW w:w="1795" w:type="dxa"/>
          </w:tcPr>
          <w:p w:rsidR="00970D03" w:rsidRPr="007F1AF8" w:rsidRDefault="00970D03" w:rsidP="00C520F4">
            <w:r w:rsidRPr="007F1AF8">
              <w:t>Pamatojums</w:t>
            </w:r>
          </w:p>
        </w:tc>
        <w:tc>
          <w:tcPr>
            <w:tcW w:w="7418" w:type="dxa"/>
            <w:gridSpan w:val="3"/>
          </w:tcPr>
          <w:p w:rsidR="00115282" w:rsidRPr="00EB2D9A" w:rsidRDefault="001D412C" w:rsidP="0081422B">
            <w:pPr>
              <w:jc w:val="both"/>
            </w:pPr>
            <w:r w:rsidRPr="00EB2D9A">
              <w:t>Ministru kabineta noteikum</w:t>
            </w:r>
            <w:r w:rsidR="00AF2DF8" w:rsidRPr="00EB2D9A">
              <w:t xml:space="preserve">u projekts </w:t>
            </w:r>
            <w:r w:rsidRPr="00EB2D9A">
              <w:t>izstrādāt</w:t>
            </w:r>
            <w:r w:rsidR="00AF2DF8" w:rsidRPr="00EB2D9A">
              <w:t>s</w:t>
            </w:r>
            <w:r w:rsidR="00EB2D9A">
              <w:t xml:space="preserve"> pēc L</w:t>
            </w:r>
            <w:r w:rsidR="00EB2D9A" w:rsidRPr="00EB2D9A">
              <w:t xml:space="preserve">abklājības ministrijas iniciatīvas, </w:t>
            </w:r>
            <w:r w:rsidRPr="00EB2D9A">
              <w:t>pamatojoties uz</w:t>
            </w:r>
            <w:r w:rsidR="00FB693B" w:rsidRPr="00EB2D9A">
              <w:rPr>
                <w:rFonts w:eastAsiaTheme="minorHAnsi"/>
              </w:rPr>
              <w:t xml:space="preserve"> </w:t>
            </w:r>
            <w:r w:rsidR="00EB2D9A" w:rsidRPr="00EB2D9A">
              <w:rPr>
                <w:rFonts w:eastAsiaTheme="minorHAnsi"/>
              </w:rPr>
              <w:t>L</w:t>
            </w:r>
            <w:r w:rsidR="00EB2D9A" w:rsidRPr="00EB2D9A">
              <w:t>ikuma par budžetu un finanšu vadību 5.panta devīto daļu.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970D03" w:rsidP="00C520F4">
            <w:r w:rsidRPr="007F1AF8">
              <w:t xml:space="preserve">2. </w:t>
            </w:r>
          </w:p>
        </w:tc>
        <w:tc>
          <w:tcPr>
            <w:tcW w:w="1795" w:type="dxa"/>
          </w:tcPr>
          <w:p w:rsidR="00970D03" w:rsidRPr="007F1AF8" w:rsidRDefault="00970D03" w:rsidP="00EA1BA5">
            <w:r w:rsidRPr="007F1AF8">
              <w:t>Pašreizējā situācija un problēmas</w:t>
            </w:r>
            <w:r w:rsidR="00530F7E">
              <w:t>, kuru risināšanai tiesību akta projekts izstrādāts</w:t>
            </w:r>
            <w:r w:rsidR="00EA1BA5">
              <w:t>,</w:t>
            </w:r>
            <w:r w:rsidR="00EA1BA5" w:rsidRPr="007F1AF8">
              <w:t xml:space="preserve"> </w:t>
            </w:r>
            <w:r w:rsidR="00EA1BA5">
              <w:t>t</w:t>
            </w:r>
            <w:r w:rsidR="00EA1BA5" w:rsidRPr="007F1AF8">
              <w:t>iesiskā regulējuma mērķis un būtība</w:t>
            </w:r>
          </w:p>
        </w:tc>
        <w:tc>
          <w:tcPr>
            <w:tcW w:w="7418" w:type="dxa"/>
            <w:gridSpan w:val="3"/>
          </w:tcPr>
          <w:p w:rsidR="00110D26" w:rsidRDefault="00130CD1" w:rsidP="00FB693B">
            <w:pPr>
              <w:jc w:val="both"/>
            </w:pPr>
            <w:r>
              <w:t xml:space="preserve">     </w:t>
            </w:r>
            <w:r w:rsidR="00EB2D9A">
              <w:t>2013.gada 10.septembrī Ministru kabinets pieņēma noteikumus Nr.797 „Valsts sociālās apdrošināšanas aģentūras maksas pakalpojumu cenrādis”</w:t>
            </w:r>
            <w:r w:rsidR="00110D26">
              <w:t xml:space="preserve"> (turpmāk – noteikumi Nr.797). </w:t>
            </w:r>
          </w:p>
          <w:p w:rsidR="00EB2D9A" w:rsidRDefault="00110D26" w:rsidP="00110D26">
            <w:pPr>
              <w:ind w:firstLine="365"/>
              <w:jc w:val="both"/>
            </w:pPr>
            <w:r>
              <w:t xml:space="preserve">Noteikumi Nr.797 </w:t>
            </w:r>
            <w:r w:rsidR="00EB2D9A">
              <w:t xml:space="preserve">nosaka </w:t>
            </w:r>
            <w:r w:rsidR="0081422B">
              <w:t>maksu</w:t>
            </w:r>
            <w:r w:rsidR="00EB2D9A">
              <w:t xml:space="preserve"> par izziņas sagatavošanu par sociāli apdrošināto personu </w:t>
            </w:r>
            <w:r>
              <w:t xml:space="preserve">un </w:t>
            </w:r>
            <w:r w:rsidR="00733CFC">
              <w:t xml:space="preserve">izziņas </w:t>
            </w:r>
            <w:r>
              <w:t>nosūtīšanu pa pastu vai elektroniski pēc zvērināta advokāta vai zvērināta tiesu izpildītāja pieprasījuma.</w:t>
            </w:r>
          </w:p>
          <w:p w:rsidR="00110D26" w:rsidRDefault="00110D26" w:rsidP="00110D26">
            <w:pPr>
              <w:ind w:firstLine="365"/>
              <w:jc w:val="both"/>
            </w:pPr>
            <w:r>
              <w:t>2014.gada 1.janvārī stājās spēkā grozījumi Civilprocesa likum</w:t>
            </w:r>
            <w:r w:rsidR="009B6227">
              <w:t xml:space="preserve">a 551.panta pirmajā daļā, un tie paredz, ka spriedumu un citu nolēmumu izpildes nodrošināšanai nepieciešamo informāciju valsts iestādes zvērinātam tiesu izpildītājam sniedz bez maksas. Tā kā Valsts sociālās apdrošināšanas aģentūra </w:t>
            </w:r>
            <w:r w:rsidR="00A94C67">
              <w:t xml:space="preserve">(turpmāk – VSAA) </w:t>
            </w:r>
            <w:r w:rsidR="0021448B">
              <w:t xml:space="preserve">pamatā maksas izziņas izsniedza zvērinātiem tiesu izpildītājiem, tad pēc minēto normu spēkā stāšanās ievērojami samazinājās izziņu izsniegšana un nosūtīšana par maksu. </w:t>
            </w:r>
          </w:p>
          <w:p w:rsidR="0091566D" w:rsidRDefault="009B6227" w:rsidP="0091566D">
            <w:pPr>
              <w:ind w:firstLine="365"/>
              <w:jc w:val="both"/>
            </w:pPr>
            <w:r w:rsidRPr="009B6227">
              <w:t>Pēc V</w:t>
            </w:r>
            <w:r w:rsidR="00A94C67">
              <w:t>SAA</w:t>
            </w:r>
            <w:r w:rsidRPr="009B6227">
              <w:t xml:space="preserve"> sniegtās informācijas </w:t>
            </w:r>
            <w:r w:rsidR="00110D26" w:rsidRPr="00110D26">
              <w:rPr>
                <w:lang w:eastAsia="en-US"/>
              </w:rPr>
              <w:t>2014.gad</w:t>
            </w:r>
            <w:r w:rsidRPr="009B6227">
              <w:rPr>
                <w:lang w:eastAsia="en-US"/>
              </w:rPr>
              <w:t xml:space="preserve">ā </w:t>
            </w:r>
            <w:r w:rsidR="00110D26" w:rsidRPr="00110D26">
              <w:rPr>
                <w:lang w:eastAsia="en-US"/>
              </w:rPr>
              <w:t>pieprasīt</w:t>
            </w:r>
            <w:r w:rsidRPr="009B6227">
              <w:rPr>
                <w:lang w:eastAsia="en-US"/>
              </w:rPr>
              <w:t>as</w:t>
            </w:r>
            <w:r w:rsidR="00110D26" w:rsidRPr="00110D26">
              <w:rPr>
                <w:lang w:eastAsia="en-US"/>
              </w:rPr>
              <w:t xml:space="preserve"> </w:t>
            </w:r>
            <w:r w:rsidRPr="009B6227">
              <w:rPr>
                <w:lang w:eastAsia="en-US"/>
              </w:rPr>
              <w:t xml:space="preserve">izziņas </w:t>
            </w:r>
            <w:r w:rsidR="00110D26" w:rsidRPr="00110D26">
              <w:rPr>
                <w:lang w:eastAsia="en-US"/>
              </w:rPr>
              <w:t>par 20 personām</w:t>
            </w:r>
            <w:r w:rsidR="00A94C67">
              <w:rPr>
                <w:lang w:eastAsia="en-US"/>
              </w:rPr>
              <w:t xml:space="preserve"> un ieņēmumi no maksas pakalpojuma bija </w:t>
            </w:r>
            <w:r w:rsidR="00110D26" w:rsidRPr="00110D26">
              <w:rPr>
                <w:lang w:eastAsia="en-US"/>
              </w:rPr>
              <w:t xml:space="preserve">24,43 </w:t>
            </w:r>
            <w:proofErr w:type="spellStart"/>
            <w:r w:rsidR="00110D26" w:rsidRPr="00110D26">
              <w:rPr>
                <w:lang w:eastAsia="en-US"/>
              </w:rPr>
              <w:t>euro</w:t>
            </w:r>
            <w:proofErr w:type="spellEnd"/>
            <w:r w:rsidR="00A56D9F">
              <w:rPr>
                <w:lang w:eastAsia="en-US"/>
              </w:rPr>
              <w:t>.</w:t>
            </w:r>
            <w:r w:rsidR="00EE2A17">
              <w:rPr>
                <w:lang w:eastAsia="en-US"/>
              </w:rPr>
              <w:t xml:space="preserve"> </w:t>
            </w:r>
            <w:r w:rsidR="0091566D">
              <w:t xml:space="preserve">2015.gadā no janvāra līdz septembrim ir izsniegtas 13 e-izziņas un 10 izziņas papīra veidā. Kopā ieņēmumi no maksas pakalpojumiem </w:t>
            </w:r>
            <w:r w:rsidR="00A56D9F">
              <w:t xml:space="preserve">2015.gada deviņos </w:t>
            </w:r>
            <w:r w:rsidR="0091566D">
              <w:t xml:space="preserve">mēnešos bija 23,59 </w:t>
            </w:r>
            <w:proofErr w:type="spellStart"/>
            <w:r w:rsidR="0091566D" w:rsidRPr="0091566D">
              <w:rPr>
                <w:iCs/>
              </w:rPr>
              <w:t>euro</w:t>
            </w:r>
            <w:proofErr w:type="spellEnd"/>
            <w:r w:rsidR="0091566D">
              <w:t xml:space="preserve">. </w:t>
            </w:r>
          </w:p>
          <w:p w:rsidR="008C6EBA" w:rsidRDefault="008C6EBA" w:rsidP="0091566D">
            <w:pPr>
              <w:ind w:firstLine="365"/>
              <w:jc w:val="both"/>
            </w:pPr>
            <w:r>
              <w:t xml:space="preserve">Saskaņā ar Fizisko personu datu aizsardzības likuma 15.panta pirmo un ceturto daļu personai </w:t>
            </w:r>
            <w:r w:rsidR="00EE2A17" w:rsidRPr="00EE2A17">
              <w:t xml:space="preserve">ir tiesības </w:t>
            </w:r>
            <w:r>
              <w:t xml:space="preserve">ne biežāk kā divas reizes gadā bez maksas saņemt </w:t>
            </w:r>
            <w:r w:rsidR="00EE2A17" w:rsidRPr="00EE2A17">
              <w:t>visu informāciju, kas par viņu savākta jebkurā personas datu apstrādes sistēmā.</w:t>
            </w:r>
            <w:r>
              <w:t xml:space="preserve"> </w:t>
            </w:r>
          </w:p>
          <w:p w:rsidR="008C6EBA" w:rsidRDefault="008C6EBA" w:rsidP="008C6EBA">
            <w:pPr>
              <w:ind w:firstLine="365"/>
              <w:jc w:val="both"/>
            </w:pPr>
            <w:r>
              <w:t>Latvijas Republikas Advokatūras likuma 48.panta pirmās daļas 1.punkts nosaka, ka, s</w:t>
            </w:r>
            <w:r w:rsidR="00EE2A17" w:rsidRPr="00EE2A17">
              <w:t>niedzot juridisko palīdzību, zvērināts advokāts ir tiesīgs</w:t>
            </w:r>
            <w:r>
              <w:t xml:space="preserve"> </w:t>
            </w:r>
            <w:r w:rsidR="00EE2A17" w:rsidRPr="00EE2A17">
              <w:t>pārstāvēt juridisko palīdzību lūgušo personu un tās tiesības un likumiskās intereses visās valsts un pašvaldību institūcijās</w:t>
            </w:r>
            <w:r>
              <w:t>. Tādējādi zvērinātam advokātam ir tiesības pārstāvēt juridisko palīdzību lūgušo personu un iegūt informāciju par savu pārstāvamo personu.</w:t>
            </w:r>
            <w:r w:rsidR="00F53717">
              <w:t xml:space="preserve"> Tomēr saskaņā ar noteikumiem Nr.797 </w:t>
            </w:r>
            <w:r>
              <w:t xml:space="preserve">zvērinātiem advokātiem informāciju par </w:t>
            </w:r>
            <w:r w:rsidR="00F53717">
              <w:t xml:space="preserve">juridisko palīdzību lūgušo personu sniedz par maksu. </w:t>
            </w:r>
          </w:p>
          <w:p w:rsidR="00F53717" w:rsidRDefault="00F53717" w:rsidP="00F53717">
            <w:pPr>
              <w:ind w:firstLine="365"/>
              <w:jc w:val="both"/>
            </w:pPr>
            <w:r>
              <w:t>Savukārt gadījumos, kad persona būs normatīvajos aktos noteiktā kārtībā pilnvarojusi citu personu (ne zvērinātu advokātu) saņemt informāciju par sevi, pilnvarniekam šī informācija par personu tiks izsniegta bez maksas.</w:t>
            </w:r>
          </w:p>
          <w:p w:rsidR="00115282" w:rsidRPr="007F1AF8" w:rsidRDefault="0091566D" w:rsidP="009D5547">
            <w:pPr>
              <w:ind w:firstLine="365"/>
              <w:jc w:val="both"/>
            </w:pPr>
            <w:r>
              <w:t>Ņemot vērā</w:t>
            </w:r>
            <w:r w:rsidR="00F53717">
              <w:t>, ka</w:t>
            </w:r>
            <w:r>
              <w:t xml:space="preserve"> </w:t>
            </w:r>
            <w:r w:rsidR="00F53717">
              <w:t>zvērināts advokāts</w:t>
            </w:r>
            <w:r w:rsidR="009D5547">
              <w:t>,</w:t>
            </w:r>
            <w:r w:rsidR="00F53717">
              <w:t xml:space="preserve"> kā personas pārstāvis</w:t>
            </w:r>
            <w:r w:rsidR="009D5547">
              <w:t>,</w:t>
            </w:r>
            <w:r w:rsidR="00F53717">
              <w:t xml:space="preserve"> ir tiesīgs pieprasīt informāciju par savu pārstāvamo, nav pamata </w:t>
            </w:r>
            <w:r w:rsidR="00733CFC">
              <w:t>no</w:t>
            </w:r>
            <w:r w:rsidR="009D5547">
              <w:t xml:space="preserve">teikt </w:t>
            </w:r>
            <w:r w:rsidR="00733CFC">
              <w:t>maksu par informācijas saņemšanu</w:t>
            </w:r>
            <w:r w:rsidR="0081422B">
              <w:t>.</w:t>
            </w:r>
            <w:r w:rsidR="00733CFC">
              <w:t xml:space="preserve"> </w:t>
            </w:r>
            <w:r w:rsidR="0081422B">
              <w:t>Vienlaikus jāatzīmē, ka</w:t>
            </w:r>
            <w:r w:rsidR="00733CFC">
              <w:t xml:space="preserve"> </w:t>
            </w:r>
            <w:r w:rsidR="0081422B">
              <w:t xml:space="preserve">VSAA </w:t>
            </w:r>
            <w:r>
              <w:t xml:space="preserve">administratīvie izdevumi maksas izziņu uzskaitei un atskaitēm nav samērīgi ar saņemto ieņēmumu apjomu un </w:t>
            </w:r>
            <w:r w:rsidR="0081422B">
              <w:t xml:space="preserve">ka </w:t>
            </w:r>
            <w:r>
              <w:t xml:space="preserve">būtiska ietekme uz VSAA budžetu pēc </w:t>
            </w:r>
            <w:r w:rsidR="0081422B">
              <w:t>MK noteikumu Nr.797 atzīšanas par spēku zaudējušiem</w:t>
            </w:r>
            <w:r>
              <w:t xml:space="preserve"> nav sagaidāma.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EA1BA5" w:rsidP="00EA1BA5">
            <w:r>
              <w:t>3</w:t>
            </w:r>
            <w:r w:rsidR="00970D03" w:rsidRPr="007F1AF8">
              <w:t>.</w:t>
            </w:r>
          </w:p>
        </w:tc>
        <w:tc>
          <w:tcPr>
            <w:tcW w:w="1795" w:type="dxa"/>
          </w:tcPr>
          <w:p w:rsidR="00970D03" w:rsidRPr="007F1AF8" w:rsidRDefault="00970D03" w:rsidP="00C520F4">
            <w:r w:rsidRPr="007F1AF8">
              <w:t xml:space="preserve">Projekta </w:t>
            </w:r>
            <w:r w:rsidRPr="007F1AF8">
              <w:lastRenderedPageBreak/>
              <w:t>izstrādē iesaistītās institūcijas</w:t>
            </w:r>
          </w:p>
        </w:tc>
        <w:tc>
          <w:tcPr>
            <w:tcW w:w="7418" w:type="dxa"/>
            <w:gridSpan w:val="3"/>
          </w:tcPr>
          <w:p w:rsidR="00970D03" w:rsidRPr="007F1AF8" w:rsidRDefault="00A94C67" w:rsidP="00A94C67">
            <w:pPr>
              <w:jc w:val="both"/>
            </w:pPr>
            <w:r>
              <w:lastRenderedPageBreak/>
              <w:t>VSAA</w:t>
            </w:r>
            <w:r w:rsidR="002D7DFD" w:rsidRPr="007F1AF8">
              <w:t>.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EA1BA5" w:rsidP="00EA1BA5">
            <w:r>
              <w:lastRenderedPageBreak/>
              <w:t>4</w:t>
            </w:r>
            <w:r w:rsidR="00970D03" w:rsidRPr="007F1AF8">
              <w:t xml:space="preserve">. </w:t>
            </w:r>
          </w:p>
        </w:tc>
        <w:tc>
          <w:tcPr>
            <w:tcW w:w="1795" w:type="dxa"/>
          </w:tcPr>
          <w:p w:rsidR="00970D03" w:rsidRPr="007F1AF8" w:rsidRDefault="00970D03" w:rsidP="00C520F4">
            <w:r w:rsidRPr="007F1AF8">
              <w:t>Cita informācija</w:t>
            </w:r>
          </w:p>
        </w:tc>
        <w:tc>
          <w:tcPr>
            <w:tcW w:w="7418" w:type="dxa"/>
            <w:gridSpan w:val="3"/>
          </w:tcPr>
          <w:p w:rsidR="00970D03" w:rsidRPr="007F1AF8" w:rsidRDefault="00530F7E" w:rsidP="00C520F4">
            <w:pPr>
              <w:jc w:val="both"/>
            </w:pPr>
            <w:r>
              <w:t>Nav.</w:t>
            </w:r>
          </w:p>
        </w:tc>
      </w:tr>
      <w:tr w:rsidR="00970D03" w:rsidRPr="007F1AF8" w:rsidTr="003466EF">
        <w:tc>
          <w:tcPr>
            <w:tcW w:w="9747" w:type="dxa"/>
            <w:gridSpan w:val="5"/>
          </w:tcPr>
          <w:p w:rsidR="00130CD1" w:rsidRDefault="00130CD1" w:rsidP="00C520F4">
            <w:pPr>
              <w:jc w:val="center"/>
              <w:rPr>
                <w:b/>
              </w:rPr>
            </w:pPr>
          </w:p>
          <w:p w:rsidR="00970D03" w:rsidRPr="007F1AF8" w:rsidRDefault="00970D03" w:rsidP="00C520F4">
            <w:pPr>
              <w:jc w:val="center"/>
              <w:rPr>
                <w:b/>
              </w:rPr>
            </w:pPr>
            <w:r w:rsidRPr="007F1AF8">
              <w:rPr>
                <w:b/>
              </w:rPr>
              <w:t>II Tiesību akta projekta ietekme uz sabiedrību</w:t>
            </w:r>
            <w:r w:rsidR="00530F7E">
              <w:rPr>
                <w:b/>
              </w:rPr>
              <w:t>, tautsaimniecības attīstību un administratīvo slogu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970D03" w:rsidP="00C520F4">
            <w:r w:rsidRPr="007F1AF8">
              <w:t>1.</w:t>
            </w:r>
          </w:p>
        </w:tc>
        <w:tc>
          <w:tcPr>
            <w:tcW w:w="1842" w:type="dxa"/>
            <w:gridSpan w:val="2"/>
          </w:tcPr>
          <w:p w:rsidR="00970D03" w:rsidRPr="007F1AF8" w:rsidRDefault="00970D03" w:rsidP="00C520F4">
            <w:r w:rsidRPr="007F1AF8">
              <w:t>Sabiedrības mērķgrupa</w:t>
            </w:r>
            <w:r w:rsidR="00530F7E">
              <w:t>s, kuras tiesiskais regulējums ietekmē vai varētu ietekmēt</w:t>
            </w:r>
          </w:p>
        </w:tc>
        <w:tc>
          <w:tcPr>
            <w:tcW w:w="7371" w:type="dxa"/>
            <w:gridSpan w:val="2"/>
          </w:tcPr>
          <w:p w:rsidR="00673A11" w:rsidRPr="007F1AF8" w:rsidRDefault="0072686A" w:rsidP="0072686A">
            <w:pPr>
              <w:jc w:val="both"/>
            </w:pPr>
            <w:r>
              <w:rPr>
                <w:bCs/>
              </w:rPr>
              <w:t>Z</w:t>
            </w:r>
            <w:r w:rsidR="00673A11">
              <w:rPr>
                <w:bCs/>
              </w:rPr>
              <w:t>vērināti advokāti</w:t>
            </w:r>
            <w:r>
              <w:rPr>
                <w:bCs/>
              </w:rPr>
              <w:t xml:space="preserve"> un viņu </w:t>
            </w:r>
            <w:r w:rsidR="00673A11">
              <w:rPr>
                <w:bCs/>
              </w:rPr>
              <w:t>pārstāvētās personas</w:t>
            </w:r>
            <w:r>
              <w:rPr>
                <w:bCs/>
              </w:rPr>
              <w:t xml:space="preserve">, </w:t>
            </w:r>
            <w:r w:rsidR="00673A11">
              <w:rPr>
                <w:bCs/>
              </w:rPr>
              <w:t>VSAA nodarbinātie</w:t>
            </w:r>
            <w:r w:rsidR="00E01FF1">
              <w:rPr>
                <w:bCs/>
              </w:rPr>
              <w:t>.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970D03" w:rsidP="00C520F4">
            <w:r w:rsidRPr="007F1AF8">
              <w:t xml:space="preserve">2. </w:t>
            </w:r>
          </w:p>
        </w:tc>
        <w:tc>
          <w:tcPr>
            <w:tcW w:w="1842" w:type="dxa"/>
            <w:gridSpan w:val="2"/>
          </w:tcPr>
          <w:p w:rsidR="00970D03" w:rsidRPr="007F1AF8" w:rsidRDefault="00530F7E" w:rsidP="00286CBC">
            <w:pPr>
              <w:jc w:val="both"/>
            </w:pPr>
            <w:r>
              <w:t>Tiesiskā regulējuma ietekme uz tautsaimniecību un administratīvo slogu</w:t>
            </w:r>
          </w:p>
        </w:tc>
        <w:tc>
          <w:tcPr>
            <w:tcW w:w="7371" w:type="dxa"/>
            <w:gridSpan w:val="2"/>
          </w:tcPr>
          <w:p w:rsidR="00970D03" w:rsidRPr="007F1AF8" w:rsidRDefault="008171FF" w:rsidP="0081422B">
            <w:pPr>
              <w:jc w:val="both"/>
              <w:rPr>
                <w:highlight w:val="yellow"/>
              </w:rPr>
            </w:pPr>
            <w:r>
              <w:t xml:space="preserve">Nedaudz samazināsies VSAA administratīvais </w:t>
            </w:r>
            <w:r w:rsidR="00733CFC">
              <w:t>slogs</w:t>
            </w:r>
            <w:r w:rsidR="0089668E">
              <w:t xml:space="preserve">, t.i., </w:t>
            </w:r>
            <w:r w:rsidR="0081422B">
              <w:t xml:space="preserve">nebūs jāveic </w:t>
            </w:r>
            <w:r w:rsidR="00733CFC">
              <w:t xml:space="preserve">maksas izziņu uzskaite un </w:t>
            </w:r>
            <w:r w:rsidR="0081422B">
              <w:t xml:space="preserve">jāsniedz </w:t>
            </w:r>
            <w:r w:rsidR="00733CFC">
              <w:t>atskait</w:t>
            </w:r>
            <w:r w:rsidR="0089668E">
              <w:t xml:space="preserve">es </w:t>
            </w:r>
            <w:r w:rsidR="00733CFC">
              <w:t>VSAA ietvaros un Labklājības ministrij</w:t>
            </w:r>
            <w:r w:rsidR="0081422B">
              <w:t>ai</w:t>
            </w:r>
            <w:r w:rsidR="0089668E">
              <w:t>.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286CBC" w:rsidP="00C520F4">
            <w:r>
              <w:t>3</w:t>
            </w:r>
            <w:r w:rsidR="00970D03" w:rsidRPr="007F1AF8">
              <w:t>.</w:t>
            </w:r>
          </w:p>
        </w:tc>
        <w:tc>
          <w:tcPr>
            <w:tcW w:w="1842" w:type="dxa"/>
            <w:gridSpan w:val="2"/>
          </w:tcPr>
          <w:p w:rsidR="00970D03" w:rsidRPr="007F1AF8" w:rsidRDefault="00970D03" w:rsidP="00C520F4">
            <w:r w:rsidRPr="007F1AF8">
              <w:t>Administratīvo izmaksu monetārs novērtējums</w:t>
            </w:r>
          </w:p>
        </w:tc>
        <w:tc>
          <w:tcPr>
            <w:tcW w:w="7371" w:type="dxa"/>
            <w:gridSpan w:val="2"/>
          </w:tcPr>
          <w:p w:rsidR="00970D03" w:rsidRPr="00B47119" w:rsidRDefault="000C3B34" w:rsidP="00C520F4">
            <w:pPr>
              <w:pStyle w:val="BodyText"/>
              <w:spacing w:after="0"/>
              <w:jc w:val="both"/>
              <w:rPr>
                <w:lang w:val="lv-LV"/>
              </w:rPr>
            </w:pPr>
            <w:proofErr w:type="spellStart"/>
            <w:r w:rsidRPr="007F1AF8">
              <w:t>Projekts</w:t>
            </w:r>
            <w:proofErr w:type="spellEnd"/>
            <w:r w:rsidRPr="007F1AF8">
              <w:t xml:space="preserve"> </w:t>
            </w:r>
            <w:proofErr w:type="spellStart"/>
            <w:r w:rsidRPr="007F1AF8">
              <w:t>šo</w:t>
            </w:r>
            <w:proofErr w:type="spellEnd"/>
            <w:r w:rsidRPr="007F1AF8">
              <w:t xml:space="preserve"> </w:t>
            </w:r>
            <w:proofErr w:type="spellStart"/>
            <w:r w:rsidRPr="007F1AF8">
              <w:t>jomu</w:t>
            </w:r>
            <w:proofErr w:type="spellEnd"/>
            <w:r w:rsidRPr="007F1AF8">
              <w:t xml:space="preserve"> </w:t>
            </w:r>
            <w:proofErr w:type="spellStart"/>
            <w:r w:rsidRPr="007F1AF8">
              <w:t>neskar</w:t>
            </w:r>
            <w:proofErr w:type="spellEnd"/>
            <w:r w:rsidRPr="00673A11">
              <w:rPr>
                <w:lang w:val="lv-LV"/>
              </w:rPr>
              <w:t>.</w:t>
            </w:r>
          </w:p>
        </w:tc>
      </w:tr>
      <w:tr w:rsidR="00970D03" w:rsidRPr="007F1AF8" w:rsidTr="003466EF">
        <w:tc>
          <w:tcPr>
            <w:tcW w:w="534" w:type="dxa"/>
          </w:tcPr>
          <w:p w:rsidR="00970D03" w:rsidRPr="007F1AF8" w:rsidRDefault="00286CBC" w:rsidP="00C520F4">
            <w:r>
              <w:t>4</w:t>
            </w:r>
            <w:r w:rsidR="00970D03" w:rsidRPr="007F1AF8">
              <w:t xml:space="preserve">. </w:t>
            </w:r>
          </w:p>
        </w:tc>
        <w:tc>
          <w:tcPr>
            <w:tcW w:w="1842" w:type="dxa"/>
            <w:gridSpan w:val="2"/>
          </w:tcPr>
          <w:p w:rsidR="00970D03" w:rsidRPr="007F1AF8" w:rsidRDefault="00970D03" w:rsidP="00C520F4">
            <w:r w:rsidRPr="007F1AF8">
              <w:t>Cita informācija</w:t>
            </w:r>
          </w:p>
        </w:tc>
        <w:tc>
          <w:tcPr>
            <w:tcW w:w="7371" w:type="dxa"/>
            <w:gridSpan w:val="2"/>
          </w:tcPr>
          <w:p w:rsidR="00970D03" w:rsidRPr="007F1AF8" w:rsidRDefault="00970D03" w:rsidP="00C520F4">
            <w:pPr>
              <w:jc w:val="both"/>
            </w:pPr>
            <w:r w:rsidRPr="007F1AF8">
              <w:t>Nav</w:t>
            </w:r>
          </w:p>
        </w:tc>
      </w:tr>
      <w:tr w:rsidR="003B30F4" w:rsidRPr="007F1AF8" w:rsidTr="003466EF">
        <w:tc>
          <w:tcPr>
            <w:tcW w:w="9747" w:type="dxa"/>
            <w:gridSpan w:val="5"/>
          </w:tcPr>
          <w:p w:rsidR="00B46DC0" w:rsidRPr="00D95A84" w:rsidRDefault="00B46DC0" w:rsidP="00B46DC0"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49"/>
              <w:gridCol w:w="1583"/>
              <w:gridCol w:w="1490"/>
              <w:gridCol w:w="1471"/>
              <w:gridCol w:w="1515"/>
              <w:gridCol w:w="1426"/>
            </w:tblGrid>
            <w:tr w:rsidR="00B46DC0" w:rsidRPr="006D41D2" w:rsidTr="00733CFC">
              <w:tc>
                <w:tcPr>
                  <w:tcW w:w="9634" w:type="dxa"/>
                  <w:gridSpan w:val="6"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  <w:r w:rsidRPr="00D95A84">
                    <w:br w:type="page"/>
                  </w:r>
                  <w:r w:rsidRPr="006D41D2">
                    <w:rPr>
                      <w:b/>
                    </w:rPr>
                    <w:t>III</w:t>
                  </w:r>
                  <w:r w:rsidRPr="006D41D2">
                    <w:t xml:space="preserve"> </w:t>
                  </w:r>
                  <w:r w:rsidRPr="006D41D2">
                    <w:rPr>
                      <w:b/>
                      <w:bCs/>
                    </w:rPr>
                    <w:t>Tiesību akta projekta ietekme uz valsts budžetu un pašvaldību budžetiem</w:t>
                  </w:r>
                </w:p>
              </w:tc>
            </w:tr>
            <w:tr w:rsidR="00B46DC0" w:rsidRPr="006D41D2" w:rsidTr="00733CFC">
              <w:tc>
                <w:tcPr>
                  <w:tcW w:w="5222" w:type="dxa"/>
                  <w:gridSpan w:val="3"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</w:p>
              </w:tc>
              <w:tc>
                <w:tcPr>
                  <w:tcW w:w="4412" w:type="dxa"/>
                  <w:gridSpan w:val="3"/>
                  <w:shd w:val="clear" w:color="auto" w:fill="auto"/>
                  <w:vAlign w:val="center"/>
                </w:tcPr>
                <w:p w:rsidR="00B46DC0" w:rsidRPr="006D41D2" w:rsidRDefault="00B46DC0" w:rsidP="00733CFC">
                  <w:pPr>
                    <w:jc w:val="center"/>
                  </w:pPr>
                  <w:r w:rsidRPr="006D41D2">
                    <w:t>(</w:t>
                  </w:r>
                  <w:proofErr w:type="spellStart"/>
                  <w:r w:rsidR="00733CFC">
                    <w:t>euro</w:t>
                  </w:r>
                  <w:proofErr w:type="spellEnd"/>
                  <w:r w:rsidRPr="006D41D2">
                    <w:t>)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vMerge w:val="restart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rPr>
                      <w:b/>
                    </w:rPr>
                    <w:t>Rādītāji</w:t>
                  </w:r>
                </w:p>
              </w:tc>
              <w:tc>
                <w:tcPr>
                  <w:tcW w:w="3073" w:type="dxa"/>
                  <w:gridSpan w:val="2"/>
                  <w:vMerge w:val="restart"/>
                  <w:shd w:val="clear" w:color="auto" w:fill="auto"/>
                  <w:vAlign w:val="center"/>
                </w:tcPr>
                <w:p w:rsidR="00B46DC0" w:rsidRPr="006D41D2" w:rsidRDefault="00B46DC0" w:rsidP="0000367E">
                  <w:pPr>
                    <w:jc w:val="center"/>
                  </w:pPr>
                  <w:r w:rsidRPr="006D41D2">
                    <w:rPr>
                      <w:b/>
                    </w:rPr>
                    <w:t>201</w:t>
                  </w:r>
                  <w:r w:rsidR="00967DCE">
                    <w:rPr>
                      <w:b/>
                    </w:rPr>
                    <w:t>6</w:t>
                  </w:r>
                </w:p>
              </w:tc>
              <w:tc>
                <w:tcPr>
                  <w:tcW w:w="4412" w:type="dxa"/>
                  <w:gridSpan w:val="3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Turpmākie trīs gadi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vMerge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</w:p>
              </w:tc>
              <w:tc>
                <w:tcPr>
                  <w:tcW w:w="3073" w:type="dxa"/>
                  <w:gridSpan w:val="2"/>
                  <w:vMerge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  <w:vAlign w:val="bottom"/>
                </w:tcPr>
                <w:p w:rsidR="00B46DC0" w:rsidRPr="006D41D2" w:rsidRDefault="00B46DC0" w:rsidP="0000367E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rPr>
                      <w:b/>
                      <w:bCs/>
                    </w:rPr>
                    <w:t>201</w:t>
                  </w:r>
                  <w:r w:rsidR="00967DCE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515" w:type="dxa"/>
                  <w:shd w:val="clear" w:color="auto" w:fill="auto"/>
                  <w:vAlign w:val="bottom"/>
                </w:tcPr>
                <w:p w:rsidR="00B46DC0" w:rsidRPr="006D41D2" w:rsidRDefault="00B46DC0" w:rsidP="0000367E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rPr>
                      <w:b/>
                      <w:bCs/>
                    </w:rPr>
                    <w:t>201</w:t>
                  </w:r>
                  <w:r w:rsidR="00967DCE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426" w:type="dxa"/>
                  <w:shd w:val="clear" w:color="auto" w:fill="auto"/>
                  <w:vAlign w:val="bottom"/>
                </w:tcPr>
                <w:p w:rsidR="00B46DC0" w:rsidRPr="006D41D2" w:rsidRDefault="00B46DC0" w:rsidP="0000367E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rPr>
                      <w:b/>
                      <w:bCs/>
                    </w:rPr>
                    <w:t>201</w:t>
                  </w:r>
                  <w:r w:rsidR="00967DCE">
                    <w:rPr>
                      <w:b/>
                      <w:bCs/>
                    </w:rPr>
                    <w:t>9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vMerge/>
                  <w:shd w:val="clear" w:color="auto" w:fill="auto"/>
                  <w:vAlign w:val="bottom"/>
                </w:tcPr>
                <w:p w:rsidR="00B46DC0" w:rsidRPr="006D41D2" w:rsidRDefault="00B46DC0" w:rsidP="00C520F4">
                  <w:pPr>
                    <w:jc w:val="center"/>
                  </w:pP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6D41D2" w:rsidRDefault="00B46DC0" w:rsidP="00733CFC">
                  <w:pPr>
                    <w:jc w:val="center"/>
                  </w:pPr>
                  <w:r w:rsidRPr="006D41D2">
                    <w:t>Saskaņā ar valsts budžetu kārtējam gadam</w:t>
                  </w:r>
                  <w:r w:rsidR="00404501">
                    <w:t>*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6D41D2" w:rsidRDefault="00B46DC0" w:rsidP="00733CFC">
                  <w:pPr>
                    <w:jc w:val="center"/>
                  </w:pPr>
                  <w:r w:rsidRPr="006D41D2">
                    <w:t>Izmaiņas kārtējā gadā salīdzinot ar budžetu kārtējam gadam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EF6305">
                  <w:pPr>
                    <w:jc w:val="center"/>
                  </w:pPr>
                  <w:r w:rsidRPr="006D41D2">
                    <w:t xml:space="preserve">Izmaiņas salīdzinot ar </w:t>
                  </w:r>
                  <w:r w:rsidR="00733CFC">
                    <w:t>201</w:t>
                  </w:r>
                  <w:r w:rsidR="00EF6305">
                    <w:t>6</w:t>
                  </w:r>
                  <w:r w:rsidR="00733CFC">
                    <w:t>.</w:t>
                  </w:r>
                  <w:r w:rsidRPr="006D41D2">
                    <w:t>gadu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EF6305">
                  <w:pPr>
                    <w:jc w:val="center"/>
                  </w:pPr>
                  <w:r w:rsidRPr="006D41D2">
                    <w:t xml:space="preserve">Izmaiņas salīdzinot ar </w:t>
                  </w:r>
                  <w:r w:rsidR="00733CFC">
                    <w:t>201</w:t>
                  </w:r>
                  <w:r w:rsidR="00EF6305">
                    <w:t>6</w:t>
                  </w:r>
                  <w:r w:rsidR="00733CFC">
                    <w:t>.</w:t>
                  </w:r>
                  <w:r w:rsidRPr="006D41D2">
                    <w:t>gadu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EF6305">
                  <w:pPr>
                    <w:jc w:val="center"/>
                  </w:pPr>
                  <w:r w:rsidRPr="006D41D2">
                    <w:t xml:space="preserve">Izmaiņas salīdzinot ar </w:t>
                  </w:r>
                  <w:r w:rsidR="00733CFC">
                    <w:t>201</w:t>
                  </w:r>
                  <w:r w:rsidR="00EF6305">
                    <w:t>6</w:t>
                  </w:r>
                  <w:r w:rsidR="00733CFC">
                    <w:t>.</w:t>
                  </w:r>
                  <w:r w:rsidRPr="006D41D2">
                    <w:t>gadu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</w:rPr>
                  </w:pPr>
                  <w:r w:rsidRPr="006D41D2">
                    <w:rPr>
                      <w:b/>
                    </w:rPr>
                    <w:t>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</w:rPr>
                  </w:pPr>
                  <w:r w:rsidRPr="006D41D2">
                    <w:rPr>
                      <w:b/>
                    </w:rPr>
                    <w:t>2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</w:rPr>
                  </w:pPr>
                  <w:r w:rsidRPr="006D41D2">
                    <w:rPr>
                      <w:b/>
                    </w:rPr>
                    <w:t>3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</w:rPr>
                  </w:pPr>
                  <w:r w:rsidRPr="006D41D2">
                    <w:rPr>
                      <w:b/>
                    </w:rPr>
                    <w:t>4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</w:rPr>
                  </w:pPr>
                  <w:r w:rsidRPr="006D41D2">
                    <w:rPr>
                      <w:b/>
                    </w:rPr>
                    <w:t>5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</w:rPr>
                  </w:pPr>
                  <w:r w:rsidRPr="006D41D2">
                    <w:rPr>
                      <w:b/>
                    </w:rPr>
                    <w:t>6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CD5111" w:rsidRDefault="00B46DC0" w:rsidP="00C520F4">
                  <w:r w:rsidRPr="00EF66D1">
                    <w:t>1. Budžeta ieņēmumi: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D5467E" w:rsidRPr="00EF66D1" w:rsidRDefault="00D5467E" w:rsidP="00D5467E">
                  <w:pPr>
                    <w:pStyle w:val="naisf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EF66D1">
                    <w:rPr>
                      <w:sz w:val="22"/>
                      <w:szCs w:val="22"/>
                    </w:rPr>
                    <w:t>valsts speciālajā budžetā plānotie ieņēmumi:</w:t>
                  </w:r>
                  <w:proofErr w:type="gramStart"/>
                  <w:r w:rsidRPr="00EF66D1">
                    <w:rPr>
                      <w:sz w:val="22"/>
                      <w:szCs w:val="22"/>
                    </w:rPr>
                    <w:t xml:space="preserve">    </w:t>
                  </w:r>
                  <w:proofErr w:type="gramEnd"/>
                </w:p>
                <w:p w:rsidR="00B46DC0" w:rsidRPr="00CD5111" w:rsidRDefault="00D5467E" w:rsidP="00404501">
                  <w:proofErr w:type="spellStart"/>
                  <w:r w:rsidRPr="00EF66D1">
                    <w:rPr>
                      <w:sz w:val="22"/>
                      <w:szCs w:val="22"/>
                    </w:rPr>
                    <w:t>euro</w:t>
                  </w:r>
                  <w:proofErr w:type="spellEnd"/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D5467E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D5467E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CD5111" w:rsidRDefault="00B46DC0" w:rsidP="00C520F4">
                  <w:r w:rsidRPr="00EF66D1">
                    <w:t>1.1. valsts pamatbudžets, tai skaitā ieņēmumi no maksas pakalpojumiem un citi pašu ieņēmumi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jc w:val="center"/>
                  </w:pPr>
                  <w:r w:rsidRPr="00D5467E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jc w:val="center"/>
                  </w:pPr>
                  <w:r w:rsidRPr="00D5467E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EF66D1" w:rsidRDefault="00B46DC0" w:rsidP="00C520F4">
                  <w:pPr>
                    <w:pStyle w:val="naisf"/>
                    <w:spacing w:before="0" w:after="0"/>
                    <w:ind w:firstLine="0"/>
                    <w:jc w:val="left"/>
                    <w:rPr>
                      <w:i/>
                    </w:rPr>
                  </w:pPr>
                  <w:r w:rsidRPr="00EF66D1">
                    <w:t xml:space="preserve">1.2. valsts speciālais budžets 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D5467E" w:rsidRPr="00EF66D1" w:rsidRDefault="00B46DC0" w:rsidP="006D41D2">
                  <w:pPr>
                    <w:pStyle w:val="naisf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EF66D1">
                    <w:rPr>
                      <w:sz w:val="22"/>
                      <w:szCs w:val="22"/>
                    </w:rPr>
                    <w:t>val</w:t>
                  </w:r>
                  <w:r w:rsidR="00D5467E" w:rsidRPr="00EF66D1">
                    <w:rPr>
                      <w:sz w:val="22"/>
                      <w:szCs w:val="22"/>
                    </w:rPr>
                    <w:t xml:space="preserve">sts speciālajā budžetā </w:t>
                  </w:r>
                  <w:r w:rsidR="00D5467E" w:rsidRPr="00EF66D1">
                    <w:rPr>
                      <w:sz w:val="22"/>
                      <w:szCs w:val="22"/>
                    </w:rPr>
                    <w:lastRenderedPageBreak/>
                    <w:t>plānotie ieņēmumi</w:t>
                  </w:r>
                  <w:r w:rsidRPr="00EF66D1">
                    <w:rPr>
                      <w:sz w:val="22"/>
                      <w:szCs w:val="22"/>
                    </w:rPr>
                    <w:t>:</w:t>
                  </w:r>
                  <w:proofErr w:type="gramStart"/>
                  <w:r w:rsidRPr="00EF66D1">
                    <w:rPr>
                      <w:sz w:val="22"/>
                      <w:szCs w:val="22"/>
                    </w:rPr>
                    <w:t xml:space="preserve">    </w:t>
                  </w:r>
                  <w:proofErr w:type="gramEnd"/>
                </w:p>
                <w:p w:rsidR="00B46DC0" w:rsidRPr="00EF66D1" w:rsidRDefault="006D41D2" w:rsidP="00404501">
                  <w:pPr>
                    <w:pStyle w:val="naisf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EF66D1">
                    <w:rPr>
                      <w:sz w:val="22"/>
                      <w:szCs w:val="22"/>
                    </w:rPr>
                    <w:t>euro</w:t>
                  </w:r>
                  <w:proofErr w:type="spellEnd"/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EF66D1">
                    <w:lastRenderedPageBreak/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jc w:val="center"/>
                  </w:pPr>
                  <w:r w:rsidRPr="00D5467E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D5467E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CD5111" w:rsidRDefault="00B46DC0" w:rsidP="00C520F4">
                  <w:r w:rsidRPr="00EF66D1">
                    <w:lastRenderedPageBreak/>
                    <w:t>1.3. pašvaldību budžets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CD5111" w:rsidRDefault="00B46DC0" w:rsidP="00C520F4">
                  <w:r w:rsidRPr="00EF66D1">
                    <w:t>2. Budžeta izdevumi: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D5467E" w:rsidRPr="00EF66D1" w:rsidRDefault="00D5467E" w:rsidP="00D5467E">
                  <w:pPr>
                    <w:pStyle w:val="naisf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EF66D1">
                    <w:rPr>
                      <w:sz w:val="22"/>
                      <w:szCs w:val="22"/>
                    </w:rPr>
                    <w:t>valsts speciālajā budžetā plānotie izdevumi:</w:t>
                  </w:r>
                  <w:proofErr w:type="gramStart"/>
                  <w:r w:rsidRPr="00EF66D1">
                    <w:rPr>
                      <w:sz w:val="22"/>
                      <w:szCs w:val="22"/>
                    </w:rPr>
                    <w:t xml:space="preserve">    </w:t>
                  </w:r>
                  <w:proofErr w:type="gramEnd"/>
                </w:p>
                <w:p w:rsidR="00B46DC0" w:rsidRPr="00EF66D1" w:rsidRDefault="00D5467E" w:rsidP="00404501">
                  <w:proofErr w:type="spellStart"/>
                  <w:r w:rsidRPr="00EF66D1">
                    <w:rPr>
                      <w:sz w:val="22"/>
                      <w:szCs w:val="22"/>
                    </w:rPr>
                    <w:t>euro</w:t>
                  </w:r>
                  <w:proofErr w:type="spellEnd"/>
                </w:p>
              </w:tc>
              <w:tc>
                <w:tcPr>
                  <w:tcW w:w="1490" w:type="dxa"/>
                  <w:shd w:val="clear" w:color="auto" w:fill="auto"/>
                </w:tcPr>
                <w:p w:rsidR="00B46DC0" w:rsidRPr="00CD5111" w:rsidRDefault="00B46DC0" w:rsidP="00C520F4">
                  <w:pPr>
                    <w:jc w:val="center"/>
                  </w:pPr>
                  <w:r w:rsidRPr="00CD511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rPr>
                <w:cantSplit/>
              </w:trPr>
              <w:tc>
                <w:tcPr>
                  <w:tcW w:w="2149" w:type="dxa"/>
                  <w:shd w:val="clear" w:color="auto" w:fill="auto"/>
                </w:tcPr>
                <w:p w:rsidR="00B46DC0" w:rsidRPr="00CD5111" w:rsidRDefault="00B46DC0" w:rsidP="00C520F4">
                  <w:r w:rsidRPr="00EF66D1">
                    <w:t>2.1. valsts pamatbudžets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EF66D1" w:rsidRDefault="00B46DC0" w:rsidP="00C520F4">
                  <w:r w:rsidRPr="00EF66D1">
                    <w:t>2.2. valsts speciālais budžets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D5467E" w:rsidRPr="00EF66D1" w:rsidRDefault="00D5467E" w:rsidP="00D5467E">
                  <w:pPr>
                    <w:pStyle w:val="naisf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EF66D1">
                    <w:rPr>
                      <w:sz w:val="22"/>
                      <w:szCs w:val="22"/>
                    </w:rPr>
                    <w:t>valsts speciālajā budžetā plānotie izdevumi:</w:t>
                  </w:r>
                  <w:proofErr w:type="gramStart"/>
                  <w:r w:rsidRPr="00EF66D1">
                    <w:rPr>
                      <w:sz w:val="22"/>
                      <w:szCs w:val="22"/>
                    </w:rPr>
                    <w:t xml:space="preserve">    </w:t>
                  </w:r>
                  <w:proofErr w:type="gramEnd"/>
                </w:p>
                <w:p w:rsidR="00B46DC0" w:rsidRPr="00EF66D1" w:rsidRDefault="00D5467E" w:rsidP="00404501">
                  <w:pPr>
                    <w:pStyle w:val="naisf"/>
                    <w:spacing w:before="0" w:after="0"/>
                    <w:ind w:firstLine="0"/>
                    <w:jc w:val="left"/>
                  </w:pPr>
                  <w:proofErr w:type="spellStart"/>
                  <w:r w:rsidRPr="00EF66D1">
                    <w:rPr>
                      <w:sz w:val="22"/>
                      <w:szCs w:val="22"/>
                    </w:rPr>
                    <w:t>euro</w:t>
                  </w:r>
                  <w:proofErr w:type="spellEnd"/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CD5111" w:rsidRDefault="00B46DC0" w:rsidP="00C520F4">
                  <w:r w:rsidRPr="00EF66D1">
                    <w:t xml:space="preserve">2.3. pašvaldību budžets 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B46DC0" w:rsidRPr="00EF66D1" w:rsidRDefault="00B46DC0" w:rsidP="00C520F4">
                  <w:pPr>
                    <w:jc w:val="center"/>
                  </w:pPr>
                  <w:r w:rsidRPr="00EF66D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CD5111" w:rsidRDefault="00B46DC0" w:rsidP="00C520F4">
                  <w:r w:rsidRPr="00EF66D1">
                    <w:t>3. Finansiālā ietekme: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EF66D1" w:rsidRDefault="00D5467E" w:rsidP="009D5925">
                  <w:pPr>
                    <w:rPr>
                      <w:sz w:val="22"/>
                      <w:szCs w:val="22"/>
                    </w:rPr>
                  </w:pPr>
                  <w:r w:rsidRPr="00EF66D1">
                    <w:rPr>
                      <w:sz w:val="22"/>
                      <w:szCs w:val="22"/>
                    </w:rPr>
                    <w:t xml:space="preserve">valsts speciālajā budžetā plānotā finansiālā bilance: </w:t>
                  </w:r>
                  <w:r w:rsidR="009D5925" w:rsidRPr="00EF66D1">
                    <w:rPr>
                      <w:sz w:val="22"/>
                      <w:szCs w:val="22"/>
                    </w:rPr>
                    <w:t xml:space="preserve">  </w:t>
                  </w:r>
                </w:p>
                <w:p w:rsidR="00B46DC0" w:rsidRPr="00EF66D1" w:rsidRDefault="00D5467E" w:rsidP="00A6073E">
                  <w:proofErr w:type="spellStart"/>
                  <w:r w:rsidRPr="00EF66D1">
                    <w:rPr>
                      <w:sz w:val="22"/>
                      <w:szCs w:val="22"/>
                    </w:rPr>
                    <w:t>euro</w:t>
                  </w:r>
                  <w:proofErr w:type="spellEnd"/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CD5111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CD5111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D5467E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D5467E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pPr>
                    <w:jc w:val="both"/>
                  </w:pPr>
                  <w:r w:rsidRPr="006D41D2">
                    <w:t>3.1. valsts pamatbudžets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BF11BE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BF11BE">
                    <w:t>0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jc w:val="center"/>
                  </w:pPr>
                  <w:r w:rsidRPr="00D5467E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jc w:val="center"/>
                  </w:pPr>
                  <w:r w:rsidRPr="00D5467E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pPr>
                    <w:jc w:val="both"/>
                  </w:pPr>
                  <w:r w:rsidRPr="006D41D2">
                    <w:t>3.2. speciālais budžets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EF66D1" w:rsidRDefault="00B46DC0" w:rsidP="009D5925">
                  <w:pPr>
                    <w:pStyle w:val="naisf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6D41D2">
                    <w:rPr>
                      <w:sz w:val="22"/>
                      <w:szCs w:val="22"/>
                    </w:rPr>
                    <w:t>valsts speciālajā budže</w:t>
                  </w:r>
                  <w:r w:rsidR="006D41D2">
                    <w:rPr>
                      <w:sz w:val="22"/>
                      <w:szCs w:val="22"/>
                    </w:rPr>
                    <w:t xml:space="preserve">tā plānotā finansiālā </w:t>
                  </w:r>
                  <w:r w:rsidR="006D41D2" w:rsidRPr="00EF66D1">
                    <w:rPr>
                      <w:sz w:val="22"/>
                      <w:szCs w:val="22"/>
                    </w:rPr>
                    <w:t xml:space="preserve">bilance: </w:t>
                  </w:r>
                  <w:r w:rsidR="009D5925" w:rsidRPr="00EF66D1">
                    <w:rPr>
                      <w:sz w:val="22"/>
                      <w:szCs w:val="22"/>
                    </w:rPr>
                    <w:t> </w:t>
                  </w:r>
                </w:p>
                <w:p w:rsidR="00B46DC0" w:rsidRPr="006D41D2" w:rsidRDefault="006D41D2" w:rsidP="00404501">
                  <w:pPr>
                    <w:pStyle w:val="naisf"/>
                    <w:spacing w:before="0" w:after="0"/>
                    <w:ind w:firstLine="0"/>
                    <w:jc w:val="left"/>
                  </w:pPr>
                  <w:proofErr w:type="spellStart"/>
                  <w:r w:rsidRPr="00EF66D1">
                    <w:rPr>
                      <w:sz w:val="22"/>
                      <w:szCs w:val="22"/>
                    </w:rPr>
                    <w:t>euro</w:t>
                  </w:r>
                  <w:proofErr w:type="spellEnd"/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jc w:val="center"/>
                  </w:pPr>
                  <w:r w:rsidRPr="00D5467E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D5467E" w:rsidRDefault="00D5467E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D5467E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pPr>
                    <w:jc w:val="both"/>
                  </w:pPr>
                  <w:r w:rsidRPr="006D41D2">
                    <w:t xml:space="preserve">3.3. pašvaldību budžets 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BF11BE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</w:pPr>
                  <w:r w:rsidRPr="00BF11BE">
                    <w:t>0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:rsidR="00B46DC0" w:rsidRPr="006D41D2" w:rsidRDefault="00B46DC0" w:rsidP="00C520F4">
                  <w:pPr>
                    <w:pStyle w:val="naisf"/>
                    <w:spacing w:before="0" w:after="0"/>
                    <w:ind w:firstLine="0"/>
                    <w:jc w:val="center"/>
                    <w:rPr>
                      <w:b/>
                      <w:i/>
                    </w:rPr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r w:rsidRPr="006D41D2"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  <w:rPr>
                      <w:b/>
                    </w:rPr>
                  </w:pPr>
                  <w:r w:rsidRPr="006D41D2">
                    <w:rPr>
                      <w:b/>
                    </w:rPr>
                    <w:t>x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r w:rsidRPr="006D41D2">
                    <w:t>5. Precizēta finansiālā ietekme:</w:t>
                  </w:r>
                </w:p>
              </w:tc>
              <w:tc>
                <w:tcPr>
                  <w:tcW w:w="1583" w:type="dxa"/>
                  <w:vMerge w:val="restart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rPr>
                      <w:b/>
                    </w:rPr>
                    <w:t>x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pPr>
                    <w:jc w:val="both"/>
                  </w:pPr>
                  <w:r w:rsidRPr="006D41D2">
                    <w:t>5.1. valsts pamatbudžets</w:t>
                  </w:r>
                </w:p>
              </w:tc>
              <w:tc>
                <w:tcPr>
                  <w:tcW w:w="1583" w:type="dxa"/>
                  <w:vMerge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pPr>
                    <w:jc w:val="both"/>
                  </w:pPr>
                  <w:r w:rsidRPr="006D41D2">
                    <w:t>5.2. speciālais budžets</w:t>
                  </w:r>
                </w:p>
              </w:tc>
              <w:tc>
                <w:tcPr>
                  <w:tcW w:w="1583" w:type="dxa"/>
                  <w:vMerge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pPr>
                    <w:jc w:val="both"/>
                  </w:pPr>
                  <w:r w:rsidRPr="006D41D2">
                    <w:t xml:space="preserve">5.3. pašvaldību budžets </w:t>
                  </w:r>
                </w:p>
              </w:tc>
              <w:tc>
                <w:tcPr>
                  <w:tcW w:w="1583" w:type="dxa"/>
                  <w:vMerge/>
                  <w:shd w:val="clear" w:color="auto" w:fill="auto"/>
                </w:tcPr>
                <w:p w:rsidR="00B46DC0" w:rsidRPr="006D41D2" w:rsidRDefault="00B46DC0" w:rsidP="00C520F4">
                  <w:pPr>
                    <w:jc w:val="center"/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B46DC0" w:rsidRPr="006D41D2" w:rsidRDefault="00B46DC0" w:rsidP="00C520F4">
                  <w:pPr>
                    <w:jc w:val="center"/>
                  </w:pPr>
                  <w:r w:rsidRPr="006D41D2">
                    <w:t>0</w:t>
                  </w:r>
                </w:p>
              </w:tc>
            </w:tr>
            <w:tr w:rsidR="00404501" w:rsidRPr="006D41D2" w:rsidTr="00733CFC">
              <w:tc>
                <w:tcPr>
                  <w:tcW w:w="9634" w:type="dxa"/>
                  <w:gridSpan w:val="6"/>
                  <w:shd w:val="clear" w:color="auto" w:fill="auto"/>
                </w:tcPr>
                <w:p w:rsidR="00404501" w:rsidRPr="00A6073E" w:rsidRDefault="00404501" w:rsidP="00A6073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6DC0" w:rsidRPr="006D41D2" w:rsidTr="00733CFC">
              <w:tc>
                <w:tcPr>
                  <w:tcW w:w="9634" w:type="dxa"/>
                  <w:gridSpan w:val="6"/>
                  <w:shd w:val="clear" w:color="auto" w:fill="auto"/>
                </w:tcPr>
                <w:p w:rsidR="00B46DC0" w:rsidRPr="006D41D2" w:rsidRDefault="00B46DC0" w:rsidP="00C520F4">
                  <w:r w:rsidRPr="006D41D2">
                    <w:t>6. Detalizēts ieņēmumu un izdevumu aprēķins (ja nepieciešams, detalizētu ieņēmumu un izdevumu aprēķinu var pievienot anotācijas pielikumā):</w:t>
                  </w: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r w:rsidRPr="006D41D2">
                    <w:t>6.1. Detalizēts ieņēmumu aprēķins</w:t>
                  </w:r>
                </w:p>
              </w:tc>
              <w:tc>
                <w:tcPr>
                  <w:tcW w:w="7485" w:type="dxa"/>
                  <w:gridSpan w:val="5"/>
                  <w:shd w:val="clear" w:color="auto" w:fill="auto"/>
                  <w:vAlign w:val="center"/>
                </w:tcPr>
                <w:p w:rsidR="00115282" w:rsidRPr="006D41D2" w:rsidRDefault="00115282" w:rsidP="00EF66D1">
                  <w:pPr>
                    <w:ind w:right="-250"/>
                  </w:pPr>
                </w:p>
              </w:tc>
            </w:tr>
            <w:tr w:rsidR="00B46DC0" w:rsidRPr="006D41D2" w:rsidTr="00733CFC">
              <w:tc>
                <w:tcPr>
                  <w:tcW w:w="2149" w:type="dxa"/>
                  <w:shd w:val="clear" w:color="auto" w:fill="auto"/>
                </w:tcPr>
                <w:p w:rsidR="00B46DC0" w:rsidRPr="006D41D2" w:rsidRDefault="00B46DC0" w:rsidP="00C520F4">
                  <w:r w:rsidRPr="006D41D2">
                    <w:t>6.2. Detalizēts izdevumu aprēķins</w:t>
                  </w:r>
                </w:p>
              </w:tc>
              <w:tc>
                <w:tcPr>
                  <w:tcW w:w="7485" w:type="dxa"/>
                  <w:gridSpan w:val="5"/>
                  <w:shd w:val="clear" w:color="auto" w:fill="auto"/>
                </w:tcPr>
                <w:p w:rsidR="00B46DC0" w:rsidRPr="006D41D2" w:rsidRDefault="00B46DC0" w:rsidP="009B6CB5">
                  <w:pPr>
                    <w:spacing w:after="120"/>
                  </w:pPr>
                </w:p>
              </w:tc>
            </w:tr>
            <w:tr w:rsidR="00B46DC0" w:rsidRPr="00D95A84" w:rsidTr="00733CFC">
              <w:tc>
                <w:tcPr>
                  <w:tcW w:w="2149" w:type="dxa"/>
                  <w:shd w:val="clear" w:color="auto" w:fill="auto"/>
                </w:tcPr>
                <w:p w:rsidR="00B46DC0" w:rsidRPr="00D95A84" w:rsidRDefault="00B46DC0" w:rsidP="00C520F4">
                  <w:pPr>
                    <w:jc w:val="both"/>
                  </w:pPr>
                  <w:r w:rsidRPr="006D41D2">
                    <w:t>7. Cita informācija</w:t>
                  </w:r>
                </w:p>
              </w:tc>
              <w:tc>
                <w:tcPr>
                  <w:tcW w:w="7485" w:type="dxa"/>
                  <w:gridSpan w:val="5"/>
                  <w:shd w:val="clear" w:color="auto" w:fill="auto"/>
                </w:tcPr>
                <w:p w:rsidR="00B46DC0" w:rsidRDefault="00A56D9F" w:rsidP="00A56D9F">
                  <w:pPr>
                    <w:ind w:firstLine="365"/>
                    <w:jc w:val="both"/>
                  </w:pPr>
                  <w:r w:rsidRPr="009B6227">
                    <w:t>Pēc V</w:t>
                  </w:r>
                  <w:r>
                    <w:t>SAA</w:t>
                  </w:r>
                  <w:r w:rsidRPr="009B6227">
                    <w:t xml:space="preserve"> sniegtās informācijas </w:t>
                  </w:r>
                  <w:r w:rsidRPr="00110D26">
                    <w:rPr>
                      <w:lang w:eastAsia="en-US"/>
                    </w:rPr>
                    <w:t>2014.gad</w:t>
                  </w:r>
                  <w:r w:rsidRPr="009B6227">
                    <w:rPr>
                      <w:lang w:eastAsia="en-US"/>
                    </w:rPr>
                    <w:t xml:space="preserve">ā </w:t>
                  </w:r>
                  <w:r w:rsidRPr="00110D26">
                    <w:rPr>
                      <w:lang w:eastAsia="en-US"/>
                    </w:rPr>
                    <w:t>pieprasīt</w:t>
                  </w:r>
                  <w:r w:rsidRPr="009B6227">
                    <w:rPr>
                      <w:lang w:eastAsia="en-US"/>
                    </w:rPr>
                    <w:t>as</w:t>
                  </w:r>
                  <w:r w:rsidRPr="00110D26">
                    <w:rPr>
                      <w:lang w:eastAsia="en-US"/>
                    </w:rPr>
                    <w:t xml:space="preserve"> </w:t>
                  </w:r>
                  <w:r w:rsidRPr="009B6227">
                    <w:rPr>
                      <w:lang w:eastAsia="en-US"/>
                    </w:rPr>
                    <w:t xml:space="preserve">izziņas </w:t>
                  </w:r>
                  <w:r w:rsidRPr="00110D26">
                    <w:rPr>
                      <w:lang w:eastAsia="en-US"/>
                    </w:rPr>
                    <w:t>par 20 personām</w:t>
                  </w:r>
                  <w:r>
                    <w:rPr>
                      <w:lang w:eastAsia="en-US"/>
                    </w:rPr>
                    <w:t xml:space="preserve"> un ieņēmumi no maksas pakalpojuma bija </w:t>
                  </w:r>
                  <w:r w:rsidRPr="00110D26">
                    <w:rPr>
                      <w:lang w:eastAsia="en-US"/>
                    </w:rPr>
                    <w:t xml:space="preserve">24,43 </w:t>
                  </w:r>
                  <w:proofErr w:type="spellStart"/>
                  <w:r w:rsidRPr="00110D26">
                    <w:rPr>
                      <w:lang w:eastAsia="en-US"/>
                    </w:rPr>
                    <w:t>euro</w:t>
                  </w:r>
                  <w:proofErr w:type="spellEnd"/>
                  <w:r w:rsidRPr="009B6227">
                    <w:rPr>
                      <w:lang w:eastAsia="en-US"/>
                    </w:rPr>
                    <w:t xml:space="preserve">, </w:t>
                  </w:r>
                  <w:r>
                    <w:t xml:space="preserve">2015.gadā no janvāra līdz septembrim ir izsniegtas 13 e-izziņas un 10 izziņas papīra veidā. Kopā ieņēmumi no maksas pakalpojumiem 2015.gada deviņos mēnešos bija 23,59 </w:t>
                  </w:r>
                  <w:proofErr w:type="spellStart"/>
                  <w:r w:rsidRPr="0091566D">
                    <w:rPr>
                      <w:iCs/>
                    </w:rPr>
                    <w:t>euro</w:t>
                  </w:r>
                  <w:proofErr w:type="spellEnd"/>
                  <w:r>
                    <w:t>. Tādējādi budžeta ieņēmumi ir nelieli un ietekmi uz budžetu tas neatstāj.</w:t>
                  </w:r>
                </w:p>
                <w:p w:rsidR="000063EC" w:rsidRPr="00EF66D1" w:rsidRDefault="000063EC" w:rsidP="000063EC">
                  <w:pPr>
                    <w:ind w:firstLine="449"/>
                    <w:jc w:val="both"/>
                  </w:pPr>
                  <w:r>
                    <w:t xml:space="preserve">Likumā “Par vidēja termiņa budžeta ietvaru 2016., 2017. un 2018.gadam” Valsts sociālās apdrošināšanas aģentūrai nav plānoti ieņēmumi no maksas pakalpojumiem un tiem atbilstošie izdevumi. </w:t>
                  </w:r>
                </w:p>
              </w:tc>
            </w:tr>
          </w:tbl>
          <w:p w:rsidR="00B46DC0" w:rsidRPr="007F1AF8" w:rsidRDefault="00B46DC0" w:rsidP="00C520F4">
            <w:pPr>
              <w:jc w:val="center"/>
              <w:rPr>
                <w:b/>
              </w:rPr>
            </w:pPr>
          </w:p>
        </w:tc>
      </w:tr>
      <w:tr w:rsidR="00970D03" w:rsidRPr="007F1AF8" w:rsidTr="003466EF">
        <w:tc>
          <w:tcPr>
            <w:tcW w:w="9747" w:type="dxa"/>
            <w:gridSpan w:val="5"/>
          </w:tcPr>
          <w:p w:rsidR="007F269E" w:rsidRDefault="007F269E" w:rsidP="00286CBC">
            <w:pPr>
              <w:jc w:val="center"/>
              <w:rPr>
                <w:b/>
              </w:rPr>
            </w:pPr>
          </w:p>
          <w:p w:rsidR="00970D03" w:rsidRPr="007F1AF8" w:rsidRDefault="00970D03" w:rsidP="00286CBC">
            <w:pPr>
              <w:jc w:val="center"/>
              <w:rPr>
                <w:b/>
              </w:rPr>
            </w:pPr>
            <w:r w:rsidRPr="007F1AF8">
              <w:rPr>
                <w:b/>
              </w:rPr>
              <w:t xml:space="preserve">VI Sabiedrības līdzdalība un </w:t>
            </w:r>
            <w:r w:rsidR="00286CBC">
              <w:rPr>
                <w:b/>
              </w:rPr>
              <w:t>komunikācijas aktivitātes</w:t>
            </w:r>
          </w:p>
        </w:tc>
      </w:tr>
      <w:tr w:rsidR="00970D03" w:rsidRPr="007F1AF8" w:rsidTr="003466EF">
        <w:trPr>
          <w:trHeight w:val="351"/>
        </w:trPr>
        <w:tc>
          <w:tcPr>
            <w:tcW w:w="534" w:type="dxa"/>
          </w:tcPr>
          <w:p w:rsidR="00970D03" w:rsidRPr="007F1AF8" w:rsidRDefault="00970D03" w:rsidP="00C520F4">
            <w:pPr>
              <w:jc w:val="center"/>
            </w:pPr>
            <w:r w:rsidRPr="007F1AF8">
              <w:t>1.</w:t>
            </w:r>
          </w:p>
        </w:tc>
        <w:tc>
          <w:tcPr>
            <w:tcW w:w="2976" w:type="dxa"/>
            <w:gridSpan w:val="3"/>
          </w:tcPr>
          <w:p w:rsidR="00970D03" w:rsidRPr="007F1AF8" w:rsidRDefault="00286CBC" w:rsidP="00C520F4">
            <w:r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:rsidR="00970D03" w:rsidRPr="007F1AF8" w:rsidRDefault="009C222C" w:rsidP="00733CFC">
            <w:pPr>
              <w:autoSpaceDE w:val="0"/>
              <w:autoSpaceDN w:val="0"/>
              <w:adjustRightInd w:val="0"/>
              <w:jc w:val="both"/>
            </w:pPr>
            <w:r>
              <w:t xml:space="preserve">VSAA informēs </w:t>
            </w:r>
            <w:r w:rsidR="00733CFC">
              <w:t>Latvijas Z</w:t>
            </w:r>
            <w:r>
              <w:t>vērinātu advokātu padomi.</w:t>
            </w:r>
          </w:p>
        </w:tc>
      </w:tr>
      <w:tr w:rsidR="006F752C" w:rsidRPr="007F1AF8" w:rsidTr="003466EF">
        <w:trPr>
          <w:trHeight w:val="348"/>
        </w:trPr>
        <w:tc>
          <w:tcPr>
            <w:tcW w:w="534" w:type="dxa"/>
          </w:tcPr>
          <w:p w:rsidR="006F752C" w:rsidRPr="007F1AF8" w:rsidRDefault="006F752C" w:rsidP="001C243A">
            <w:pPr>
              <w:jc w:val="center"/>
            </w:pPr>
            <w:r w:rsidRPr="007F1AF8">
              <w:t>2.</w:t>
            </w:r>
          </w:p>
        </w:tc>
        <w:tc>
          <w:tcPr>
            <w:tcW w:w="2976" w:type="dxa"/>
            <w:gridSpan w:val="3"/>
          </w:tcPr>
          <w:p w:rsidR="006F752C" w:rsidRPr="007F1AF8" w:rsidRDefault="006F752C" w:rsidP="00C520F4">
            <w:r w:rsidRPr="007F1AF8">
              <w:t>Sabiedrības līdzdalība projekta izstrādē</w:t>
            </w:r>
          </w:p>
        </w:tc>
        <w:tc>
          <w:tcPr>
            <w:tcW w:w="6237" w:type="dxa"/>
          </w:tcPr>
          <w:p w:rsidR="006F752C" w:rsidRPr="007F1AF8" w:rsidRDefault="006F752C" w:rsidP="00C520F4">
            <w:pPr>
              <w:pStyle w:val="NoSpacing"/>
              <w:ind w:right="-567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7F1AF8">
              <w:rPr>
                <w:rFonts w:ascii="Times New Roman" w:hAnsi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6F752C" w:rsidRPr="007F1AF8" w:rsidTr="003466EF">
        <w:trPr>
          <w:trHeight w:val="348"/>
        </w:trPr>
        <w:tc>
          <w:tcPr>
            <w:tcW w:w="534" w:type="dxa"/>
          </w:tcPr>
          <w:p w:rsidR="006F752C" w:rsidRPr="007F1AF8" w:rsidRDefault="006F752C" w:rsidP="00C520F4">
            <w:pPr>
              <w:jc w:val="center"/>
            </w:pPr>
            <w:r w:rsidRPr="007F1AF8">
              <w:t>3.</w:t>
            </w:r>
          </w:p>
        </w:tc>
        <w:tc>
          <w:tcPr>
            <w:tcW w:w="2976" w:type="dxa"/>
            <w:gridSpan w:val="3"/>
          </w:tcPr>
          <w:p w:rsidR="006F752C" w:rsidRPr="007F1AF8" w:rsidRDefault="006F752C" w:rsidP="00C520F4">
            <w:r w:rsidRPr="007F1AF8">
              <w:t>Sabiedrības līdzdalības rezultāti</w:t>
            </w:r>
          </w:p>
        </w:tc>
        <w:tc>
          <w:tcPr>
            <w:tcW w:w="6237" w:type="dxa"/>
          </w:tcPr>
          <w:p w:rsidR="006F752C" w:rsidRPr="007F1AF8" w:rsidRDefault="006F752C" w:rsidP="00C520F4">
            <w:pPr>
              <w:pStyle w:val="NoSpacing"/>
              <w:ind w:right="-567"/>
              <w:jc w:val="both"/>
              <w:rPr>
                <w:rFonts w:ascii="Times New Roman" w:hAnsi="Times New Roman"/>
                <w:lang w:val="lv-LV"/>
              </w:rPr>
            </w:pPr>
            <w:r w:rsidRPr="007F1AF8">
              <w:rPr>
                <w:rFonts w:ascii="Times New Roman" w:hAnsi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6F752C" w:rsidRPr="007F1AF8" w:rsidTr="003466EF">
        <w:trPr>
          <w:trHeight w:val="348"/>
        </w:trPr>
        <w:tc>
          <w:tcPr>
            <w:tcW w:w="534" w:type="dxa"/>
          </w:tcPr>
          <w:p w:rsidR="006F752C" w:rsidRPr="007F1AF8" w:rsidRDefault="006F752C" w:rsidP="00C520F4">
            <w:pPr>
              <w:jc w:val="center"/>
            </w:pPr>
            <w:r>
              <w:t>4</w:t>
            </w:r>
            <w:r w:rsidRPr="007F1AF8">
              <w:t>.</w:t>
            </w:r>
          </w:p>
        </w:tc>
        <w:tc>
          <w:tcPr>
            <w:tcW w:w="2976" w:type="dxa"/>
            <w:gridSpan w:val="3"/>
          </w:tcPr>
          <w:p w:rsidR="006F752C" w:rsidRPr="007F1AF8" w:rsidRDefault="006F752C" w:rsidP="00C520F4">
            <w:r w:rsidRPr="007F1AF8">
              <w:t>Cita informācija</w:t>
            </w:r>
          </w:p>
        </w:tc>
        <w:tc>
          <w:tcPr>
            <w:tcW w:w="6237" w:type="dxa"/>
          </w:tcPr>
          <w:p w:rsidR="006F752C" w:rsidRPr="007F1AF8" w:rsidRDefault="006F752C" w:rsidP="00C520F4">
            <w:r w:rsidRPr="007F1AF8">
              <w:t>Nav</w:t>
            </w:r>
          </w:p>
        </w:tc>
      </w:tr>
    </w:tbl>
    <w:p w:rsidR="00970D03" w:rsidRDefault="00970D03" w:rsidP="00970D03">
      <w:pPr>
        <w:jc w:val="center"/>
      </w:pPr>
    </w:p>
    <w:p w:rsidR="00970D03" w:rsidRPr="00115282" w:rsidRDefault="00115282" w:rsidP="00970D03">
      <w:pPr>
        <w:jc w:val="center"/>
        <w:rPr>
          <w:b/>
        </w:rPr>
      </w:pPr>
      <w:r w:rsidRPr="00115282">
        <w:rPr>
          <w:b/>
        </w:rPr>
        <w:t>Anotācijas IV</w:t>
      </w:r>
      <w:r w:rsidR="009C222C">
        <w:rPr>
          <w:b/>
        </w:rPr>
        <w:t>, V</w:t>
      </w:r>
      <w:r w:rsidRPr="00115282">
        <w:rPr>
          <w:b/>
        </w:rPr>
        <w:t xml:space="preserve"> un V</w:t>
      </w:r>
      <w:r w:rsidR="009C222C">
        <w:rPr>
          <w:b/>
        </w:rPr>
        <w:t>II</w:t>
      </w:r>
      <w:r w:rsidRPr="00115282">
        <w:rPr>
          <w:b/>
        </w:rPr>
        <w:t xml:space="preserve"> sadaļa - </w:t>
      </w:r>
      <w:r w:rsidRPr="006F752C">
        <w:t>projekts šīs jomas neskar</w:t>
      </w:r>
      <w:r w:rsidR="006F752C" w:rsidRPr="006F752C">
        <w:t>.</w:t>
      </w:r>
    </w:p>
    <w:p w:rsidR="00970D03" w:rsidRDefault="00970D03" w:rsidP="00970D03">
      <w:pPr>
        <w:jc w:val="center"/>
      </w:pPr>
    </w:p>
    <w:p w:rsidR="006F752C" w:rsidRDefault="006F752C" w:rsidP="00970D03">
      <w:pPr>
        <w:jc w:val="center"/>
      </w:pPr>
    </w:p>
    <w:p w:rsidR="006F752C" w:rsidRDefault="006F752C" w:rsidP="00970D03">
      <w:pPr>
        <w:jc w:val="center"/>
      </w:pPr>
    </w:p>
    <w:p w:rsidR="008D2AFD" w:rsidRPr="008D2AFD" w:rsidRDefault="008D2AFD" w:rsidP="008D2AFD">
      <w:pPr>
        <w:widowControl w:val="0"/>
        <w:jc w:val="both"/>
        <w:rPr>
          <w:rFonts w:eastAsia="Calibri"/>
          <w:color w:val="414142"/>
          <w:sz w:val="26"/>
          <w:szCs w:val="26"/>
        </w:rPr>
      </w:pPr>
      <w:r w:rsidRPr="008D2AFD">
        <w:rPr>
          <w:rFonts w:eastAsia="Calibri"/>
          <w:color w:val="414142"/>
          <w:sz w:val="26"/>
          <w:szCs w:val="26"/>
        </w:rPr>
        <w:t xml:space="preserve">Labklājības ministra </w:t>
      </w:r>
      <w:proofErr w:type="spellStart"/>
      <w:r w:rsidRPr="008D2AFD">
        <w:rPr>
          <w:rFonts w:eastAsia="Calibri"/>
          <w:color w:val="414142"/>
          <w:sz w:val="26"/>
          <w:szCs w:val="26"/>
        </w:rPr>
        <w:t>p.i.-</w:t>
      </w:r>
      <w:proofErr w:type="spellEnd"/>
    </w:p>
    <w:p w:rsidR="008D2AFD" w:rsidRPr="008D2AFD" w:rsidRDefault="008D2AFD" w:rsidP="008D2AFD">
      <w:pPr>
        <w:widowControl w:val="0"/>
        <w:jc w:val="both"/>
        <w:rPr>
          <w:rFonts w:eastAsia="Calibri"/>
          <w:color w:val="414142"/>
          <w:sz w:val="26"/>
          <w:szCs w:val="26"/>
        </w:rPr>
      </w:pPr>
      <w:r w:rsidRPr="008D2AFD">
        <w:rPr>
          <w:rFonts w:eastAsia="Calibri"/>
          <w:color w:val="414142"/>
          <w:sz w:val="26"/>
          <w:szCs w:val="26"/>
        </w:rPr>
        <w:t xml:space="preserve">Ministru prezidenta biedrs, </w:t>
      </w:r>
    </w:p>
    <w:p w:rsidR="008D2AFD" w:rsidRPr="008D2AFD" w:rsidRDefault="008D2AFD" w:rsidP="008D2AFD">
      <w:pPr>
        <w:widowControl w:val="0"/>
        <w:jc w:val="both"/>
        <w:rPr>
          <w:rFonts w:eastAsia="Calibri"/>
          <w:color w:val="414142"/>
          <w:sz w:val="26"/>
          <w:szCs w:val="26"/>
        </w:rPr>
      </w:pPr>
      <w:r w:rsidRPr="008D2AFD">
        <w:rPr>
          <w:rFonts w:eastAsia="Calibri"/>
          <w:color w:val="414142"/>
          <w:sz w:val="26"/>
          <w:szCs w:val="26"/>
        </w:rPr>
        <w:t>ekonomikas ministrs</w:t>
      </w:r>
      <w:r w:rsidRPr="008D2AFD">
        <w:rPr>
          <w:rFonts w:eastAsia="Calibri"/>
          <w:color w:val="414142"/>
          <w:sz w:val="26"/>
          <w:szCs w:val="26"/>
        </w:rPr>
        <w:tab/>
      </w:r>
      <w:r w:rsidRPr="008D2AFD">
        <w:rPr>
          <w:rFonts w:eastAsia="Calibri"/>
          <w:color w:val="414142"/>
          <w:sz w:val="26"/>
          <w:szCs w:val="26"/>
        </w:rPr>
        <w:tab/>
      </w:r>
      <w:proofErr w:type="gramStart"/>
      <w:r w:rsidRPr="008D2AFD">
        <w:rPr>
          <w:rFonts w:eastAsia="Calibri"/>
          <w:color w:val="414142"/>
          <w:sz w:val="26"/>
          <w:szCs w:val="26"/>
        </w:rPr>
        <w:t xml:space="preserve">      </w:t>
      </w:r>
      <w:proofErr w:type="gramEnd"/>
      <w:r w:rsidRPr="008D2AFD">
        <w:rPr>
          <w:rFonts w:eastAsia="Calibri"/>
          <w:color w:val="414142"/>
          <w:sz w:val="26"/>
          <w:szCs w:val="26"/>
        </w:rPr>
        <w:tab/>
      </w:r>
      <w:r w:rsidRPr="008D2AFD">
        <w:rPr>
          <w:rFonts w:eastAsia="Calibri"/>
          <w:color w:val="414142"/>
          <w:sz w:val="26"/>
          <w:szCs w:val="26"/>
        </w:rPr>
        <w:tab/>
      </w:r>
      <w:r w:rsidRPr="008D2AFD">
        <w:rPr>
          <w:rFonts w:eastAsia="Calibri"/>
          <w:color w:val="414142"/>
          <w:sz w:val="26"/>
          <w:szCs w:val="26"/>
        </w:rPr>
        <w:tab/>
      </w:r>
      <w:r>
        <w:rPr>
          <w:rFonts w:eastAsia="Calibri"/>
          <w:color w:val="414142"/>
          <w:sz w:val="26"/>
          <w:szCs w:val="26"/>
        </w:rPr>
        <w:t xml:space="preserve">             </w:t>
      </w:r>
      <w:r w:rsidRPr="008D2AFD">
        <w:rPr>
          <w:rFonts w:eastAsia="Calibri"/>
          <w:color w:val="414142"/>
          <w:sz w:val="26"/>
          <w:szCs w:val="26"/>
        </w:rPr>
        <w:tab/>
        <w:t xml:space="preserve">      </w:t>
      </w:r>
      <w:proofErr w:type="spellStart"/>
      <w:r w:rsidRPr="008D2AFD">
        <w:rPr>
          <w:rFonts w:eastAsia="Calibri"/>
          <w:color w:val="414142"/>
          <w:sz w:val="26"/>
          <w:szCs w:val="26"/>
        </w:rPr>
        <w:t>A.Ašeradens</w:t>
      </w:r>
      <w:proofErr w:type="spellEnd"/>
    </w:p>
    <w:p w:rsidR="00970D03" w:rsidRPr="008D2AFD" w:rsidRDefault="00970D03" w:rsidP="00970D03">
      <w:pPr>
        <w:rPr>
          <w:sz w:val="26"/>
          <w:szCs w:val="26"/>
        </w:rPr>
      </w:pPr>
    </w:p>
    <w:p w:rsidR="006F752C" w:rsidRDefault="006F752C" w:rsidP="00970D03">
      <w:pPr>
        <w:rPr>
          <w:sz w:val="28"/>
          <w:szCs w:val="28"/>
        </w:rPr>
      </w:pPr>
    </w:p>
    <w:p w:rsidR="006F752C" w:rsidRDefault="006F752C" w:rsidP="00970D03">
      <w:pPr>
        <w:rPr>
          <w:sz w:val="28"/>
          <w:szCs w:val="28"/>
        </w:rPr>
      </w:pPr>
    </w:p>
    <w:p w:rsidR="008D2AFD" w:rsidRDefault="008D2AFD" w:rsidP="00226FAB">
      <w:pPr>
        <w:rPr>
          <w:sz w:val="22"/>
          <w:szCs w:val="22"/>
        </w:rPr>
      </w:pPr>
      <w:r>
        <w:rPr>
          <w:sz w:val="22"/>
          <w:szCs w:val="22"/>
        </w:rPr>
        <w:t>24.02.2016 10:35</w:t>
      </w:r>
      <w:bookmarkStart w:id="0" w:name="_GoBack"/>
      <w:bookmarkEnd w:id="0"/>
    </w:p>
    <w:p w:rsidR="00226FAB" w:rsidRPr="00D52AC9" w:rsidRDefault="002E7F24" w:rsidP="00226FAB">
      <w:pPr>
        <w:rPr>
          <w:sz w:val="22"/>
          <w:szCs w:val="22"/>
        </w:rPr>
      </w:pPr>
      <w:r>
        <w:rPr>
          <w:sz w:val="22"/>
          <w:szCs w:val="22"/>
        </w:rPr>
        <w:t>89</w:t>
      </w:r>
      <w:r w:rsidR="008D2AFD">
        <w:rPr>
          <w:sz w:val="22"/>
          <w:szCs w:val="22"/>
        </w:rPr>
        <w:t>7</w:t>
      </w:r>
    </w:p>
    <w:p w:rsidR="00226FAB" w:rsidRPr="00D52AC9" w:rsidRDefault="00226FAB" w:rsidP="00226FAB">
      <w:pPr>
        <w:rPr>
          <w:sz w:val="22"/>
          <w:szCs w:val="22"/>
        </w:rPr>
      </w:pPr>
      <w:proofErr w:type="spellStart"/>
      <w:r w:rsidRPr="00D52AC9">
        <w:rPr>
          <w:sz w:val="22"/>
          <w:szCs w:val="22"/>
        </w:rPr>
        <w:t>S.Rucka</w:t>
      </w:r>
      <w:proofErr w:type="spellEnd"/>
    </w:p>
    <w:p w:rsidR="00226FAB" w:rsidRPr="00D52AC9" w:rsidRDefault="00226FAB" w:rsidP="00226FAB">
      <w:pPr>
        <w:rPr>
          <w:sz w:val="22"/>
          <w:szCs w:val="22"/>
        </w:rPr>
      </w:pPr>
      <w:r w:rsidRPr="00D52AC9">
        <w:rPr>
          <w:sz w:val="22"/>
          <w:szCs w:val="22"/>
        </w:rPr>
        <w:t>67021</w:t>
      </w:r>
      <w:r w:rsidR="00082631">
        <w:rPr>
          <w:sz w:val="22"/>
          <w:szCs w:val="22"/>
        </w:rPr>
        <w:t>607</w:t>
      </w:r>
      <w:r w:rsidRPr="00D52AC9">
        <w:rPr>
          <w:sz w:val="22"/>
          <w:szCs w:val="22"/>
        </w:rPr>
        <w:t xml:space="preserve">, </w:t>
      </w:r>
      <w:hyperlink r:id="rId9" w:history="1">
        <w:r w:rsidRPr="00D52AC9">
          <w:rPr>
            <w:rStyle w:val="Hyperlink"/>
            <w:sz w:val="22"/>
            <w:szCs w:val="22"/>
          </w:rPr>
          <w:t>Sandra.Rucka@lm.gov.lv</w:t>
        </w:r>
      </w:hyperlink>
    </w:p>
    <w:p w:rsidR="003F296C" w:rsidRPr="00970D03" w:rsidRDefault="003F296C" w:rsidP="00970D03"/>
    <w:sectPr w:rsidR="003F296C" w:rsidRPr="00970D03" w:rsidSect="003466E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4A" w:rsidRDefault="00F9644A" w:rsidP="00970D03">
      <w:r>
        <w:separator/>
      </w:r>
    </w:p>
  </w:endnote>
  <w:endnote w:type="continuationSeparator" w:id="0">
    <w:p w:rsidR="00F9644A" w:rsidRDefault="00F9644A" w:rsidP="0097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F4" w:rsidRPr="00EB2D9A" w:rsidRDefault="00EB2D9A" w:rsidP="00EB2D9A">
    <w:pPr>
      <w:jc w:val="both"/>
      <w:rPr>
        <w:szCs w:val="22"/>
      </w:rPr>
    </w:pPr>
    <w:r w:rsidRPr="00EB2D9A">
      <w:rPr>
        <w:sz w:val="20"/>
        <w:szCs w:val="20"/>
      </w:rPr>
      <w:t>LManot_</w:t>
    </w:r>
    <w:r w:rsidR="008D2AFD">
      <w:rPr>
        <w:sz w:val="20"/>
        <w:szCs w:val="20"/>
      </w:rPr>
      <w:t>24</w:t>
    </w:r>
    <w:r w:rsidR="00DD4E08">
      <w:rPr>
        <w:sz w:val="20"/>
        <w:szCs w:val="20"/>
      </w:rPr>
      <w:t>02</w:t>
    </w:r>
    <w:r w:rsidRPr="00EB2D9A">
      <w:rPr>
        <w:sz w:val="20"/>
        <w:szCs w:val="20"/>
      </w:rPr>
      <w:t>201</w:t>
    </w:r>
    <w:r w:rsidR="00DD4E08">
      <w:rPr>
        <w:sz w:val="20"/>
        <w:szCs w:val="20"/>
      </w:rPr>
      <w:t>6</w:t>
    </w:r>
    <w:r w:rsidRPr="00EB2D9A">
      <w:rPr>
        <w:sz w:val="20"/>
        <w:szCs w:val="20"/>
      </w:rPr>
      <w:t xml:space="preserve">; </w:t>
    </w:r>
    <w:r w:rsidRPr="00EB2D9A">
      <w:rPr>
        <w:bCs/>
        <w:sz w:val="20"/>
        <w:szCs w:val="20"/>
      </w:rPr>
      <w:t>Par Ministru kabineta 2013.gada 10.septembra noteikumu Nr.797 „Valsts sociālās apdrošināšanas aģentūras maksas pakalpojumu cenrādis” atzīšanu par spēku zaudējušiem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F4" w:rsidRPr="00EB2D9A" w:rsidRDefault="00C520F4" w:rsidP="00EB2D9A">
    <w:pPr>
      <w:jc w:val="both"/>
      <w:rPr>
        <w:szCs w:val="22"/>
      </w:rPr>
    </w:pPr>
    <w:r w:rsidRPr="00EB2D9A">
      <w:rPr>
        <w:sz w:val="20"/>
        <w:szCs w:val="20"/>
      </w:rPr>
      <w:t>LManot_</w:t>
    </w:r>
    <w:r w:rsidR="008D2AFD">
      <w:rPr>
        <w:sz w:val="20"/>
        <w:szCs w:val="20"/>
      </w:rPr>
      <w:t>24</w:t>
    </w:r>
    <w:r w:rsidR="00DD4E08">
      <w:rPr>
        <w:sz w:val="20"/>
        <w:szCs w:val="20"/>
      </w:rPr>
      <w:t>02</w:t>
    </w:r>
    <w:r w:rsidR="00EB2D9A" w:rsidRPr="00EB2D9A">
      <w:rPr>
        <w:sz w:val="20"/>
        <w:szCs w:val="20"/>
      </w:rPr>
      <w:t>201</w:t>
    </w:r>
    <w:r w:rsidR="00DD4E08">
      <w:rPr>
        <w:sz w:val="20"/>
        <w:szCs w:val="20"/>
      </w:rPr>
      <w:t>6</w:t>
    </w:r>
    <w:r w:rsidRPr="00EB2D9A">
      <w:rPr>
        <w:sz w:val="20"/>
        <w:szCs w:val="20"/>
      </w:rPr>
      <w:t xml:space="preserve">; </w:t>
    </w:r>
    <w:r w:rsidR="00EB2D9A" w:rsidRPr="00EB2D9A">
      <w:rPr>
        <w:bCs/>
        <w:sz w:val="20"/>
        <w:szCs w:val="20"/>
      </w:rPr>
      <w:t>Par Ministru kabineta 2013.gada 10.septembra noteikumu Nr.797 „Valsts sociālās apdrošināšanas aģentūras maksas pakalpojumu cenrādis” atzīšanu par spēku zaudējušiem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4A" w:rsidRDefault="00F9644A" w:rsidP="00970D03">
      <w:r>
        <w:separator/>
      </w:r>
    </w:p>
  </w:footnote>
  <w:footnote w:type="continuationSeparator" w:id="0">
    <w:p w:rsidR="00F9644A" w:rsidRDefault="00F9644A" w:rsidP="0097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F4" w:rsidRDefault="00C520F4" w:rsidP="00C520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0F4" w:rsidRDefault="00C52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F4" w:rsidRDefault="00C520F4" w:rsidP="00C520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AFD">
      <w:rPr>
        <w:rStyle w:val="PageNumber"/>
        <w:noProof/>
      </w:rPr>
      <w:t>4</w:t>
    </w:r>
    <w:r>
      <w:rPr>
        <w:rStyle w:val="PageNumber"/>
      </w:rPr>
      <w:fldChar w:fldCharType="end"/>
    </w:r>
  </w:p>
  <w:p w:rsidR="00C520F4" w:rsidRDefault="00C52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D3"/>
    <w:multiLevelType w:val="hybridMultilevel"/>
    <w:tmpl w:val="6B669CD8"/>
    <w:lvl w:ilvl="0" w:tplc="042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D955620"/>
    <w:multiLevelType w:val="hybridMultilevel"/>
    <w:tmpl w:val="B98001EC"/>
    <w:lvl w:ilvl="0" w:tplc="505087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03"/>
    <w:rsid w:val="000027A5"/>
    <w:rsid w:val="0000367E"/>
    <w:rsid w:val="000063EC"/>
    <w:rsid w:val="000075C7"/>
    <w:rsid w:val="00010BEA"/>
    <w:rsid w:val="00047C53"/>
    <w:rsid w:val="00054EF5"/>
    <w:rsid w:val="00057BDA"/>
    <w:rsid w:val="0006449C"/>
    <w:rsid w:val="00072627"/>
    <w:rsid w:val="00082631"/>
    <w:rsid w:val="000B0569"/>
    <w:rsid w:val="000C3B34"/>
    <w:rsid w:val="000F7D76"/>
    <w:rsid w:val="00110D26"/>
    <w:rsid w:val="00115282"/>
    <w:rsid w:val="00123B92"/>
    <w:rsid w:val="00130CD1"/>
    <w:rsid w:val="00140E17"/>
    <w:rsid w:val="001657AD"/>
    <w:rsid w:val="00174CF5"/>
    <w:rsid w:val="001B7435"/>
    <w:rsid w:val="001C5AB1"/>
    <w:rsid w:val="001D1349"/>
    <w:rsid w:val="001D412C"/>
    <w:rsid w:val="001F2573"/>
    <w:rsid w:val="00206188"/>
    <w:rsid w:val="00210748"/>
    <w:rsid w:val="0021448B"/>
    <w:rsid w:val="00226FAB"/>
    <w:rsid w:val="00252313"/>
    <w:rsid w:val="00262672"/>
    <w:rsid w:val="00266A93"/>
    <w:rsid w:val="002821CF"/>
    <w:rsid w:val="00282C80"/>
    <w:rsid w:val="00285DF8"/>
    <w:rsid w:val="00286CBC"/>
    <w:rsid w:val="00297C39"/>
    <w:rsid w:val="002C3114"/>
    <w:rsid w:val="002C4580"/>
    <w:rsid w:val="002D7DFD"/>
    <w:rsid w:val="002E24A2"/>
    <w:rsid w:val="002E7F24"/>
    <w:rsid w:val="002F1A94"/>
    <w:rsid w:val="00307AA2"/>
    <w:rsid w:val="0031593C"/>
    <w:rsid w:val="003318E9"/>
    <w:rsid w:val="00333517"/>
    <w:rsid w:val="0033667A"/>
    <w:rsid w:val="003466EF"/>
    <w:rsid w:val="00355EE7"/>
    <w:rsid w:val="003660E3"/>
    <w:rsid w:val="003B174C"/>
    <w:rsid w:val="003B30F4"/>
    <w:rsid w:val="003F296C"/>
    <w:rsid w:val="00404501"/>
    <w:rsid w:val="00411BB8"/>
    <w:rsid w:val="00423195"/>
    <w:rsid w:val="00424403"/>
    <w:rsid w:val="00424A7C"/>
    <w:rsid w:val="00426408"/>
    <w:rsid w:val="004442FD"/>
    <w:rsid w:val="00453518"/>
    <w:rsid w:val="004772D3"/>
    <w:rsid w:val="004A07FB"/>
    <w:rsid w:val="004A7CA1"/>
    <w:rsid w:val="004F2D4C"/>
    <w:rsid w:val="0050270F"/>
    <w:rsid w:val="00530F7E"/>
    <w:rsid w:val="005B5BB2"/>
    <w:rsid w:val="005C7B02"/>
    <w:rsid w:val="00603536"/>
    <w:rsid w:val="00640562"/>
    <w:rsid w:val="00640FD2"/>
    <w:rsid w:val="00673A11"/>
    <w:rsid w:val="006877D9"/>
    <w:rsid w:val="006A1941"/>
    <w:rsid w:val="006A1D12"/>
    <w:rsid w:val="006D41D2"/>
    <w:rsid w:val="006F752C"/>
    <w:rsid w:val="00714CEB"/>
    <w:rsid w:val="007213EE"/>
    <w:rsid w:val="0072686A"/>
    <w:rsid w:val="00733CFC"/>
    <w:rsid w:val="00752C0A"/>
    <w:rsid w:val="00772FE1"/>
    <w:rsid w:val="00793E65"/>
    <w:rsid w:val="007A355D"/>
    <w:rsid w:val="007B4F03"/>
    <w:rsid w:val="007C3B70"/>
    <w:rsid w:val="007D1A59"/>
    <w:rsid w:val="007D3535"/>
    <w:rsid w:val="007E1C12"/>
    <w:rsid w:val="007F269E"/>
    <w:rsid w:val="0081422B"/>
    <w:rsid w:val="008164EC"/>
    <w:rsid w:val="008171FF"/>
    <w:rsid w:val="00832926"/>
    <w:rsid w:val="00837705"/>
    <w:rsid w:val="00866EFE"/>
    <w:rsid w:val="00885C7E"/>
    <w:rsid w:val="0088672A"/>
    <w:rsid w:val="0089668E"/>
    <w:rsid w:val="008A5117"/>
    <w:rsid w:val="008C1F59"/>
    <w:rsid w:val="008C2947"/>
    <w:rsid w:val="008C5DEC"/>
    <w:rsid w:val="008C6EBA"/>
    <w:rsid w:val="008D2AFD"/>
    <w:rsid w:val="00901384"/>
    <w:rsid w:val="00902301"/>
    <w:rsid w:val="00903130"/>
    <w:rsid w:val="0091445B"/>
    <w:rsid w:val="0091566D"/>
    <w:rsid w:val="00967DCE"/>
    <w:rsid w:val="00970D03"/>
    <w:rsid w:val="00995096"/>
    <w:rsid w:val="009B6227"/>
    <w:rsid w:val="009B6CB5"/>
    <w:rsid w:val="009C222C"/>
    <w:rsid w:val="009C2BFE"/>
    <w:rsid w:val="009D5547"/>
    <w:rsid w:val="009D5925"/>
    <w:rsid w:val="009E2BD6"/>
    <w:rsid w:val="009E6D09"/>
    <w:rsid w:val="009F2327"/>
    <w:rsid w:val="00A21C64"/>
    <w:rsid w:val="00A520F0"/>
    <w:rsid w:val="00A56D9F"/>
    <w:rsid w:val="00A6073E"/>
    <w:rsid w:val="00A73546"/>
    <w:rsid w:val="00A94C67"/>
    <w:rsid w:val="00AF2DF8"/>
    <w:rsid w:val="00B010E5"/>
    <w:rsid w:val="00B378F4"/>
    <w:rsid w:val="00B46DC0"/>
    <w:rsid w:val="00B558C2"/>
    <w:rsid w:val="00B56BEC"/>
    <w:rsid w:val="00B60F55"/>
    <w:rsid w:val="00B64F7E"/>
    <w:rsid w:val="00B72F9D"/>
    <w:rsid w:val="00B85096"/>
    <w:rsid w:val="00B86112"/>
    <w:rsid w:val="00BA5EBE"/>
    <w:rsid w:val="00BB70E9"/>
    <w:rsid w:val="00BD4322"/>
    <w:rsid w:val="00BF11BE"/>
    <w:rsid w:val="00C004A2"/>
    <w:rsid w:val="00C03350"/>
    <w:rsid w:val="00C16017"/>
    <w:rsid w:val="00C266FE"/>
    <w:rsid w:val="00C42C20"/>
    <w:rsid w:val="00C520F4"/>
    <w:rsid w:val="00C56B65"/>
    <w:rsid w:val="00C94AD7"/>
    <w:rsid w:val="00CD1A9F"/>
    <w:rsid w:val="00CD5111"/>
    <w:rsid w:val="00CE1133"/>
    <w:rsid w:val="00D31A2C"/>
    <w:rsid w:val="00D5467E"/>
    <w:rsid w:val="00D9070A"/>
    <w:rsid w:val="00D9234B"/>
    <w:rsid w:val="00D96496"/>
    <w:rsid w:val="00DA25E7"/>
    <w:rsid w:val="00DA54A8"/>
    <w:rsid w:val="00DB123C"/>
    <w:rsid w:val="00DD4E08"/>
    <w:rsid w:val="00DF01B0"/>
    <w:rsid w:val="00E01FF1"/>
    <w:rsid w:val="00E11B99"/>
    <w:rsid w:val="00E37A0C"/>
    <w:rsid w:val="00E526A9"/>
    <w:rsid w:val="00E52AC6"/>
    <w:rsid w:val="00E61CEA"/>
    <w:rsid w:val="00E72CBA"/>
    <w:rsid w:val="00E80041"/>
    <w:rsid w:val="00E914B1"/>
    <w:rsid w:val="00EA1BA5"/>
    <w:rsid w:val="00EA44A5"/>
    <w:rsid w:val="00EB2D9A"/>
    <w:rsid w:val="00EE10D8"/>
    <w:rsid w:val="00EE2A17"/>
    <w:rsid w:val="00EF35C6"/>
    <w:rsid w:val="00EF6305"/>
    <w:rsid w:val="00EF66D1"/>
    <w:rsid w:val="00F25EB5"/>
    <w:rsid w:val="00F26A0B"/>
    <w:rsid w:val="00F412BE"/>
    <w:rsid w:val="00F52B8C"/>
    <w:rsid w:val="00F53717"/>
    <w:rsid w:val="00F6111B"/>
    <w:rsid w:val="00F83CF6"/>
    <w:rsid w:val="00F86C0B"/>
    <w:rsid w:val="00F953C0"/>
    <w:rsid w:val="00F9644A"/>
    <w:rsid w:val="00FB693B"/>
    <w:rsid w:val="00FC589A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970D0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naiskr">
    <w:name w:val="naiskr"/>
    <w:basedOn w:val="Normal"/>
    <w:rsid w:val="00970D03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970D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0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70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0D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970D03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70D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D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970D0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70D03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0D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970D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pelle">
    <w:name w:val="spelle"/>
    <w:basedOn w:val="DefaultParagraphFont"/>
    <w:uiPriority w:val="99"/>
    <w:rsid w:val="00970D03"/>
    <w:rPr>
      <w:rFonts w:cs="Times New Roman"/>
    </w:rPr>
  </w:style>
  <w:style w:type="character" w:styleId="Hyperlink">
    <w:name w:val="Hyperlink"/>
    <w:basedOn w:val="DefaultParagraphFont"/>
    <w:uiPriority w:val="99"/>
    <w:rsid w:val="00970D03"/>
    <w:rPr>
      <w:rFonts w:cs="Times New Roman"/>
      <w:color w:val="0000FF"/>
      <w:u w:val="single"/>
    </w:rPr>
  </w:style>
  <w:style w:type="paragraph" w:customStyle="1" w:styleId="tv2131">
    <w:name w:val="tv2131"/>
    <w:basedOn w:val="Normal"/>
    <w:rsid w:val="001D412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Normal"/>
    <w:link w:val="naisfChar"/>
    <w:rsid w:val="003B30F4"/>
    <w:pPr>
      <w:spacing w:before="75" w:after="75"/>
      <w:ind w:firstLine="375"/>
      <w:jc w:val="both"/>
    </w:pPr>
  </w:style>
  <w:style w:type="character" w:customStyle="1" w:styleId="naisfChar">
    <w:name w:val="naisf Char"/>
    <w:link w:val="naisf"/>
    <w:locked/>
    <w:rsid w:val="003B30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B30F4"/>
    <w:pPr>
      <w:ind w:left="720"/>
      <w:contextualSpacing/>
      <w:jc w:val="both"/>
    </w:pPr>
    <w:rPr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2C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2C2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5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110D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970D0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naiskr">
    <w:name w:val="naiskr"/>
    <w:basedOn w:val="Normal"/>
    <w:rsid w:val="00970D03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970D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0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70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0D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970D03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70D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D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970D0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70D03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0D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970D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pelle">
    <w:name w:val="spelle"/>
    <w:basedOn w:val="DefaultParagraphFont"/>
    <w:uiPriority w:val="99"/>
    <w:rsid w:val="00970D03"/>
    <w:rPr>
      <w:rFonts w:cs="Times New Roman"/>
    </w:rPr>
  </w:style>
  <w:style w:type="character" w:styleId="Hyperlink">
    <w:name w:val="Hyperlink"/>
    <w:basedOn w:val="DefaultParagraphFont"/>
    <w:uiPriority w:val="99"/>
    <w:rsid w:val="00970D03"/>
    <w:rPr>
      <w:rFonts w:cs="Times New Roman"/>
      <w:color w:val="0000FF"/>
      <w:u w:val="single"/>
    </w:rPr>
  </w:style>
  <w:style w:type="paragraph" w:customStyle="1" w:styleId="tv2131">
    <w:name w:val="tv2131"/>
    <w:basedOn w:val="Normal"/>
    <w:rsid w:val="001D412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Normal"/>
    <w:link w:val="naisfChar"/>
    <w:rsid w:val="003B30F4"/>
    <w:pPr>
      <w:spacing w:before="75" w:after="75"/>
      <w:ind w:firstLine="375"/>
      <w:jc w:val="both"/>
    </w:pPr>
  </w:style>
  <w:style w:type="character" w:customStyle="1" w:styleId="naisfChar">
    <w:name w:val="naisf Char"/>
    <w:link w:val="naisf"/>
    <w:locked/>
    <w:rsid w:val="003B30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B30F4"/>
    <w:pPr>
      <w:ind w:left="720"/>
      <w:contextualSpacing/>
      <w:jc w:val="both"/>
    </w:pPr>
    <w:rPr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2C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2C2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5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110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99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2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7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Ruck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8116-E5CE-402B-B0A5-1F14770B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17.decembra noteikumos Nr.1478 "Noteikumi par valsts sociālās apdrošināšanas obligāto un brīvprātīgo iemaksu objekta minimālo un maksimālo apmēru"</vt:lpstr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Nr.1478 "Noteikumi par valsts sociālās apdrošināšanas obligāto un brīvprātīgo iemaksu objekta minimālo un maksimālo apmēru"</dc:title>
  <dc:creator>Sandra Rucka</dc:creator>
  <dc:description>S.Rucka tālr.67021562; Sandra.Rucka@lm.gov.lv</dc:description>
  <cp:lastModifiedBy>Sandra Rucka</cp:lastModifiedBy>
  <cp:revision>3</cp:revision>
  <cp:lastPrinted>2015-12-04T13:18:00Z</cp:lastPrinted>
  <dcterms:created xsi:type="dcterms:W3CDTF">2016-02-11T07:45:00Z</dcterms:created>
  <dcterms:modified xsi:type="dcterms:W3CDTF">2016-02-24T08:35:00Z</dcterms:modified>
</cp:coreProperties>
</file>