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EF32E" w14:textId="77777777" w:rsidR="003D5C72" w:rsidRPr="0074221C" w:rsidRDefault="003D5C72" w:rsidP="00D76F9C">
      <w:pPr>
        <w:jc w:val="center"/>
        <w:rPr>
          <w:sz w:val="24"/>
          <w:szCs w:val="24"/>
        </w:rPr>
      </w:pPr>
      <w:r w:rsidRPr="0074221C">
        <w:rPr>
          <w:b/>
          <w:sz w:val="24"/>
          <w:szCs w:val="24"/>
        </w:rPr>
        <w:t>Ministru kabineta noteikumu projekta</w:t>
      </w:r>
      <w:bookmarkStart w:id="0" w:name="OLE_LINK3"/>
      <w:bookmarkStart w:id="1" w:name="OLE_LINK4"/>
      <w:r w:rsidR="00B1476A" w:rsidRPr="0074221C">
        <w:rPr>
          <w:b/>
          <w:sz w:val="24"/>
          <w:szCs w:val="24"/>
        </w:rPr>
        <w:t xml:space="preserve"> “</w:t>
      </w:r>
      <w:r w:rsidRPr="0074221C">
        <w:rPr>
          <w:b/>
          <w:sz w:val="24"/>
          <w:szCs w:val="24"/>
        </w:rPr>
        <w:t>Grozījumi Ministru kabineta 2013.g</w:t>
      </w:r>
      <w:r w:rsidR="00B1476A" w:rsidRPr="0074221C">
        <w:rPr>
          <w:b/>
          <w:sz w:val="24"/>
          <w:szCs w:val="24"/>
        </w:rPr>
        <w:t>ada 2.aprīļa noteikumos Nr.181 “</w:t>
      </w:r>
      <w:r w:rsidRPr="0074221C">
        <w:rPr>
          <w:b/>
          <w:sz w:val="24"/>
          <w:szCs w:val="24"/>
        </w:rPr>
        <w:t>Norvēģijas finanšu instrumenta 2009</w:t>
      </w:r>
      <w:r w:rsidR="00B1476A" w:rsidRPr="0074221C">
        <w:rPr>
          <w:b/>
          <w:sz w:val="24"/>
          <w:szCs w:val="24"/>
        </w:rPr>
        <w:t>.–2014.gada perioda programmas “Inovācijas “zaļās” ražošanas jomā”</w:t>
      </w:r>
      <w:r w:rsidRPr="0074221C">
        <w:rPr>
          <w:b/>
          <w:sz w:val="24"/>
          <w:szCs w:val="24"/>
        </w:rPr>
        <w:t xml:space="preserve"> īstenošanas kārtība”</w:t>
      </w:r>
      <w:bookmarkStart w:id="2" w:name="OLE_LINK5"/>
      <w:bookmarkStart w:id="3" w:name="OLE_LINK6"/>
      <w:bookmarkEnd w:id="0"/>
      <w:bookmarkEnd w:id="1"/>
      <w:r w:rsidRPr="0074221C">
        <w:rPr>
          <w:sz w:val="24"/>
          <w:szCs w:val="24"/>
        </w:rPr>
        <w:t xml:space="preserve"> </w:t>
      </w:r>
      <w:r w:rsidRPr="0074221C">
        <w:rPr>
          <w:b/>
          <w:sz w:val="24"/>
          <w:szCs w:val="24"/>
        </w:rPr>
        <w:t>sākotnējās ietekmes novērtējuma ziņojums (anotācija)</w:t>
      </w:r>
      <w:bookmarkEnd w:id="2"/>
      <w:bookmarkEnd w:id="3"/>
    </w:p>
    <w:p w14:paraId="16F3F91D" w14:textId="77777777" w:rsidR="003D5C72" w:rsidRPr="0074221C" w:rsidRDefault="003D5C72" w:rsidP="00D76F9C">
      <w:pPr>
        <w:shd w:val="clear" w:color="auto" w:fill="FFFFFF"/>
        <w:ind w:firstLine="300"/>
        <w:jc w:val="center"/>
        <w:rPr>
          <w:rFonts w:ascii="Arial" w:eastAsia="Times New Roman" w:hAnsi="Arial" w:cs="Arial"/>
          <w:i/>
          <w:iCs/>
          <w:color w:val="414142"/>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3217"/>
        <w:gridCol w:w="5521"/>
      </w:tblGrid>
      <w:tr w:rsidR="003D5C72" w:rsidRPr="0074221C" w14:paraId="671057BB" w14:textId="77777777" w:rsidTr="002D6D8A">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8A8995D" w14:textId="77777777" w:rsidR="003D5C72" w:rsidRPr="0074221C" w:rsidRDefault="003D5C72" w:rsidP="00D76F9C">
            <w:pPr>
              <w:jc w:val="center"/>
              <w:rPr>
                <w:rFonts w:eastAsia="Times New Roman" w:cs="Times New Roman"/>
                <w:b/>
                <w:bCs/>
                <w:sz w:val="24"/>
                <w:szCs w:val="24"/>
              </w:rPr>
            </w:pPr>
            <w:r w:rsidRPr="0074221C">
              <w:rPr>
                <w:rFonts w:eastAsia="Times New Roman" w:cs="Times New Roman"/>
                <w:b/>
                <w:bCs/>
                <w:sz w:val="24"/>
                <w:szCs w:val="24"/>
              </w:rPr>
              <w:t>I. Tiesību akta projekta izstrādes nepieciešamība</w:t>
            </w:r>
          </w:p>
        </w:tc>
      </w:tr>
      <w:tr w:rsidR="003D5C72" w:rsidRPr="0074221C" w14:paraId="274A4D93" w14:textId="77777777" w:rsidTr="00DA2E91">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9027DB1"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1.</w:t>
            </w:r>
          </w:p>
        </w:tc>
        <w:tc>
          <w:tcPr>
            <w:tcW w:w="1749" w:type="pct"/>
            <w:tcBorders>
              <w:top w:val="outset" w:sz="6" w:space="0" w:color="414142"/>
              <w:left w:val="outset" w:sz="6" w:space="0" w:color="414142"/>
              <w:bottom w:val="outset" w:sz="6" w:space="0" w:color="414142"/>
              <w:right w:val="outset" w:sz="6" w:space="0" w:color="414142"/>
            </w:tcBorders>
            <w:hideMark/>
          </w:tcPr>
          <w:p w14:paraId="6F9CEA8E"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Pamatojums</w:t>
            </w:r>
          </w:p>
        </w:tc>
        <w:tc>
          <w:tcPr>
            <w:tcW w:w="3001" w:type="pct"/>
            <w:tcBorders>
              <w:top w:val="outset" w:sz="6" w:space="0" w:color="414142"/>
              <w:left w:val="outset" w:sz="6" w:space="0" w:color="414142"/>
              <w:bottom w:val="outset" w:sz="6" w:space="0" w:color="414142"/>
              <w:right w:val="outset" w:sz="6" w:space="0" w:color="414142"/>
            </w:tcBorders>
          </w:tcPr>
          <w:p w14:paraId="71DF4225" w14:textId="77777777" w:rsidR="00CD210F" w:rsidRPr="0074221C" w:rsidRDefault="00000184" w:rsidP="00D76F9C">
            <w:pPr>
              <w:pStyle w:val="BodyText"/>
              <w:tabs>
                <w:tab w:val="left" w:pos="814"/>
                <w:tab w:val="left" w:pos="1129"/>
              </w:tabs>
              <w:rPr>
                <w:sz w:val="24"/>
                <w:szCs w:val="24"/>
              </w:rPr>
            </w:pPr>
            <w:r w:rsidRPr="0074221C">
              <w:rPr>
                <w:bCs/>
                <w:sz w:val="24"/>
                <w:szCs w:val="24"/>
              </w:rPr>
              <w:t>Ministru kabineta noteikumu projekts</w:t>
            </w:r>
            <w:r w:rsidR="00B1476A" w:rsidRPr="0074221C">
              <w:rPr>
                <w:sz w:val="24"/>
                <w:szCs w:val="24"/>
              </w:rPr>
              <w:t xml:space="preserve"> “</w:t>
            </w:r>
            <w:r w:rsidRPr="0074221C">
              <w:rPr>
                <w:sz w:val="24"/>
                <w:szCs w:val="24"/>
              </w:rPr>
              <w:t xml:space="preserve">Grozījumi Ministru kabineta 2013.gada 2.aprīļa noteikumos Nr.181 “Norvēģijas finanšu instrumenta 2009.-2014.gada perioda programmas “Inovācijas “zaļās” ražošanas jomā” īstenošanas kārtība” (turpmāk – </w:t>
            </w:r>
            <w:r w:rsidR="00A24E1E" w:rsidRPr="0074221C">
              <w:rPr>
                <w:sz w:val="24"/>
                <w:szCs w:val="24"/>
              </w:rPr>
              <w:t>noteikumu</w:t>
            </w:r>
            <w:r w:rsidRPr="0074221C">
              <w:rPr>
                <w:sz w:val="24"/>
                <w:szCs w:val="24"/>
              </w:rPr>
              <w:t xml:space="preserve"> projekts) izstrādāts, ievērojot </w:t>
            </w:r>
            <w:r w:rsidR="00370B10" w:rsidRPr="0074221C">
              <w:rPr>
                <w:sz w:val="24"/>
                <w:szCs w:val="24"/>
              </w:rPr>
              <w:t>2013.gada 21.februārī noslēgto Norvēģijas finanšu instrumenta 20</w:t>
            </w:r>
            <w:r w:rsidR="00600D43" w:rsidRPr="0074221C">
              <w:rPr>
                <w:sz w:val="24"/>
                <w:szCs w:val="24"/>
              </w:rPr>
              <w:t>09.-2014.gadam programmas līgumu</w:t>
            </w:r>
            <w:r w:rsidR="00370B10" w:rsidRPr="0074221C">
              <w:rPr>
                <w:sz w:val="24"/>
                <w:szCs w:val="24"/>
              </w:rPr>
              <w:t xml:space="preserve"> starp Norvēģijas Ārlietu ministriju un Latvija</w:t>
            </w:r>
            <w:r w:rsidR="00600D43" w:rsidRPr="0074221C">
              <w:rPr>
                <w:sz w:val="24"/>
                <w:szCs w:val="24"/>
              </w:rPr>
              <w:t>s Republikas Finanšu ministriju</w:t>
            </w:r>
            <w:r w:rsidR="00370B10" w:rsidRPr="0074221C">
              <w:rPr>
                <w:sz w:val="24"/>
                <w:szCs w:val="24"/>
              </w:rPr>
              <w:t xml:space="preserve"> </w:t>
            </w:r>
            <w:r w:rsidR="00A24E1E" w:rsidRPr="0074221C">
              <w:rPr>
                <w:sz w:val="24"/>
                <w:szCs w:val="24"/>
              </w:rPr>
              <w:t xml:space="preserve">(turpmāk – Programmas līgums) </w:t>
            </w:r>
            <w:r w:rsidR="00370B10" w:rsidRPr="0074221C">
              <w:rPr>
                <w:sz w:val="24"/>
                <w:szCs w:val="24"/>
              </w:rPr>
              <w:t>2.9.punktu</w:t>
            </w:r>
            <w:r w:rsidR="00600D43" w:rsidRPr="0074221C">
              <w:rPr>
                <w:sz w:val="24"/>
                <w:szCs w:val="24"/>
              </w:rPr>
              <w:t>.</w:t>
            </w:r>
          </w:p>
          <w:p w14:paraId="1CF96953" w14:textId="77777777" w:rsidR="006C7524" w:rsidRPr="0074221C" w:rsidRDefault="00000184" w:rsidP="00D76F9C">
            <w:pPr>
              <w:pStyle w:val="BodyText"/>
              <w:tabs>
                <w:tab w:val="left" w:pos="814"/>
                <w:tab w:val="left" w:pos="1129"/>
              </w:tabs>
              <w:rPr>
                <w:sz w:val="24"/>
                <w:szCs w:val="24"/>
              </w:rPr>
            </w:pPr>
            <w:r w:rsidRPr="0074221C">
              <w:rPr>
                <w:sz w:val="24"/>
                <w:szCs w:val="24"/>
              </w:rPr>
              <w:t xml:space="preserve">Tiesību akta izdošanas tiesiskais pamats ir Eiropas Ekonomikas zonas finanšu instrumenta un Norvēģijas finanšu instrumenta 2009.-2014.gadam perioda vadības likuma (2012.gada 26.janvāra redakcijā) </w:t>
            </w:r>
            <w:r w:rsidR="001D18DC" w:rsidRPr="0074221C">
              <w:rPr>
                <w:sz w:val="24"/>
                <w:szCs w:val="24"/>
              </w:rPr>
              <w:t>8</w:t>
            </w:r>
            <w:r w:rsidR="002B565D" w:rsidRPr="0074221C">
              <w:rPr>
                <w:sz w:val="24"/>
                <w:szCs w:val="24"/>
              </w:rPr>
              <w:t>.panta pirmā daļas 10.punkts.</w:t>
            </w:r>
          </w:p>
        </w:tc>
      </w:tr>
      <w:tr w:rsidR="003D5C72" w:rsidRPr="0074221C" w14:paraId="123E7BBE" w14:textId="77777777" w:rsidTr="00DA2E9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88ED19F"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2.</w:t>
            </w:r>
          </w:p>
        </w:tc>
        <w:tc>
          <w:tcPr>
            <w:tcW w:w="1749" w:type="pct"/>
            <w:tcBorders>
              <w:top w:val="outset" w:sz="6" w:space="0" w:color="414142"/>
              <w:left w:val="outset" w:sz="6" w:space="0" w:color="414142"/>
              <w:bottom w:val="outset" w:sz="6" w:space="0" w:color="414142"/>
              <w:right w:val="outset" w:sz="6" w:space="0" w:color="414142"/>
            </w:tcBorders>
            <w:hideMark/>
          </w:tcPr>
          <w:p w14:paraId="4A0CBD11"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Pašreizējā situācija un problēmas, kuru risināšanai tiesību akta projekts izstrādāts, tiesiskā regulējuma mērķis un būtība</w:t>
            </w:r>
          </w:p>
        </w:tc>
        <w:tc>
          <w:tcPr>
            <w:tcW w:w="3001" w:type="pct"/>
            <w:tcBorders>
              <w:top w:val="outset" w:sz="6" w:space="0" w:color="414142"/>
              <w:left w:val="outset" w:sz="6" w:space="0" w:color="414142"/>
              <w:bottom w:val="outset" w:sz="6" w:space="0" w:color="414142"/>
              <w:right w:val="outset" w:sz="6" w:space="0" w:color="414142"/>
            </w:tcBorders>
            <w:hideMark/>
          </w:tcPr>
          <w:p w14:paraId="65BE1C20" w14:textId="1CCDEF19" w:rsidR="00685D74" w:rsidRPr="00C81ECA" w:rsidRDefault="004941A8" w:rsidP="009F3BDD">
            <w:pPr>
              <w:pStyle w:val="naisc"/>
              <w:spacing w:before="0" w:after="0"/>
              <w:jc w:val="both"/>
            </w:pPr>
            <w:r w:rsidRPr="0074221C">
              <w:t>Pamatojoties uz Norvēģijas finanšu instrumenta 2009.-2014.gada perioda programmas “Inovācijas “zaļās” ražošanas jomā” (turpmāk – Programma) vei</w:t>
            </w:r>
            <w:r w:rsidR="00452F2B" w:rsidRPr="0074221C">
              <w:t xml:space="preserve">ktajām finansējuma pārdalēm, </w:t>
            </w:r>
            <w:r w:rsidR="00AF4FB1" w:rsidRPr="0074221C">
              <w:t xml:space="preserve">2015.gada </w:t>
            </w:r>
            <w:r w:rsidR="00E765EA" w:rsidRPr="0074221C">
              <w:t>9</w:t>
            </w:r>
            <w:r w:rsidR="00AF4FB1" w:rsidRPr="0074221C">
              <w:t>.</w:t>
            </w:r>
            <w:r w:rsidR="000610AB" w:rsidRPr="0074221C">
              <w:t>decembrī</w:t>
            </w:r>
            <w:r w:rsidR="00AF4FB1" w:rsidRPr="0074221C">
              <w:t xml:space="preserve"> ir </w:t>
            </w:r>
            <w:r w:rsidRPr="0074221C">
              <w:t xml:space="preserve">veikti grozījumi Programmas līgumā un tā pielikumos. </w:t>
            </w:r>
            <w:r w:rsidR="00173104" w:rsidRPr="0074221C">
              <w:t xml:space="preserve">Programmas līguma grozījumi ietver finansējuma pārdali starp aktivitātēm (daļa no projektu konkursu ietaupījumiem tiek pārcelti uz </w:t>
            </w:r>
            <w:proofErr w:type="spellStart"/>
            <w:r w:rsidR="00173104" w:rsidRPr="0074221C">
              <w:t>pirmsinkubācijas</w:t>
            </w:r>
            <w:proofErr w:type="spellEnd"/>
            <w:r w:rsidR="00173104" w:rsidRPr="0074221C">
              <w:t xml:space="preserve"> un inkubācijas pakalpojumiem) </w:t>
            </w:r>
            <w:r w:rsidR="00C252AA" w:rsidRPr="0074221C">
              <w:t xml:space="preserve">un </w:t>
            </w:r>
            <w:r w:rsidRPr="0074221C">
              <w:t xml:space="preserve">tiek izveidota jauna </w:t>
            </w:r>
            <w:r w:rsidR="00C81ECA">
              <w:t xml:space="preserve">programmas </w:t>
            </w:r>
            <w:r w:rsidRPr="0074221C">
              <w:t>aktivitāte</w:t>
            </w:r>
            <w:r w:rsidR="00C81ECA">
              <w:t xml:space="preserve"> “papildu pasākumi”</w:t>
            </w:r>
            <w:r w:rsidRPr="0074221C">
              <w:t>, lai nodrošinātu Programmas īsteno</w:t>
            </w:r>
            <w:r w:rsidR="00FA4477" w:rsidRPr="0074221C">
              <w:t>šanu,</w:t>
            </w:r>
            <w:r w:rsidRPr="0074221C">
              <w:t xml:space="preserve"> labās prakses pārņemšan</w:t>
            </w:r>
            <w:r w:rsidR="00FA4477" w:rsidRPr="0074221C">
              <w:t>u esošā perioda īstenošanai un</w:t>
            </w:r>
            <w:r w:rsidR="00600D43" w:rsidRPr="0074221C">
              <w:t>,</w:t>
            </w:r>
            <w:r w:rsidR="00FA4477" w:rsidRPr="0074221C">
              <w:t xml:space="preserve"> plānojot jauno periodu, </w:t>
            </w:r>
            <w:r w:rsidRPr="0074221C">
              <w:t>stiprināt</w:t>
            </w:r>
            <w:r w:rsidR="00FA4477" w:rsidRPr="0074221C">
              <w:t>u</w:t>
            </w:r>
            <w:r w:rsidRPr="0074221C">
              <w:t xml:space="preserve"> sadarbību</w:t>
            </w:r>
            <w:r w:rsidR="00FA4477" w:rsidRPr="0074221C">
              <w:t xml:space="preserve"> </w:t>
            </w:r>
            <w:r w:rsidR="00600D43" w:rsidRPr="0074221C">
              <w:t xml:space="preserve">starp </w:t>
            </w:r>
            <w:r w:rsidR="00173104" w:rsidRPr="0074221C">
              <w:t xml:space="preserve">citiem Norvēģijas finanšu instrumenta saņēmējvalstu Programmas </w:t>
            </w:r>
            <w:proofErr w:type="spellStart"/>
            <w:r w:rsidR="00173104" w:rsidRPr="0074221C">
              <w:t>apsaimniekotājiem</w:t>
            </w:r>
            <w:proofErr w:type="spellEnd"/>
            <w:r w:rsidR="00173104" w:rsidRPr="0074221C">
              <w:t xml:space="preserve"> </w:t>
            </w:r>
            <w:r w:rsidRPr="0074221C">
              <w:t>vai līdzīgām iestādēm saņēmējvalstīs un Norvēģijā, kā ar</w:t>
            </w:r>
            <w:r w:rsidR="00FA4477" w:rsidRPr="0074221C">
              <w:t>ī starptautiskām organizācijām</w:t>
            </w:r>
            <w:r w:rsidRPr="0074221C">
              <w:t>.</w:t>
            </w:r>
            <w:r w:rsidR="00C81ECA">
              <w:t xml:space="preserve"> Papildu pasākumu aktivitātes ir attiecināmas, ja tās organizē Programmas </w:t>
            </w:r>
            <w:proofErr w:type="spellStart"/>
            <w:r w:rsidR="00C81ECA">
              <w:t>apsaimniekotājs</w:t>
            </w:r>
            <w:proofErr w:type="spellEnd"/>
            <w:r w:rsidR="00C81ECA">
              <w:t xml:space="preserve"> un/vai cita institūcija, tai skaitā, Latvijas Investīciju un attīstības aģentūra, kurai ir nodota daļa no programmas īstenošanas funkcijām. Jēdziens</w:t>
            </w:r>
            <w:r w:rsidR="00746CCA" w:rsidRPr="00CB4825">
              <w:t xml:space="preserve"> “cita institūcija” ir Noteikumos par Norvēģijas finanšu instrumenta ieviešanu 2009.-2014. gadā lietotais jēdziens. Cita institūcija var būt citas Norvēģijas finanšu instrumenta saņēmējvalsts institūcija, kas veicina un īsteno programmas mērķu sasniegšanu konkrētajā saņēmējvalstī, savukārt Latvijā “cita institūcija” – valsts iestāde vai tās pakļautībā esoša tiešās </w:t>
            </w:r>
            <w:r w:rsidR="00746CCA" w:rsidRPr="00CB4825">
              <w:lastRenderedPageBreak/>
              <w:t>pārvaldes iestāde, kas īsteno kādu Norvēģijas finanšu instrumenta finansētu programmu Latvijā.</w:t>
            </w:r>
          </w:p>
          <w:p w14:paraId="1E2A42BE" w14:textId="77777777" w:rsidR="00A439B5" w:rsidRPr="0074221C" w:rsidRDefault="00A439B5" w:rsidP="00A439B5">
            <w:pPr>
              <w:jc w:val="both"/>
              <w:rPr>
                <w:sz w:val="24"/>
                <w:szCs w:val="24"/>
              </w:rPr>
            </w:pPr>
            <w:r w:rsidRPr="0074221C">
              <w:rPr>
                <w:sz w:val="24"/>
                <w:szCs w:val="24"/>
              </w:rPr>
              <w:t xml:space="preserve">Ņemot vērā iepriekš noteiktā projekta </w:t>
            </w:r>
            <w:proofErr w:type="spellStart"/>
            <w:r w:rsidRPr="0074221C">
              <w:rPr>
                <w:sz w:val="24"/>
                <w:szCs w:val="24"/>
              </w:rPr>
              <w:t>līdzfinasējuma</w:t>
            </w:r>
            <w:proofErr w:type="spellEnd"/>
            <w:r w:rsidRPr="0074221C">
              <w:rPr>
                <w:sz w:val="24"/>
                <w:szCs w:val="24"/>
              </w:rPr>
              <w:t xml:space="preserve"> saņēmēja valdes lēmumu, 2015.gada 20.jūlijā Programmas Finanšu instrumenta birojs apstiprināja Programmas līguma grozījumus, paredzot, ka iepriekš noteiktā projekta ietvaros paredzētais finansējuma atbalsts 315 000 EUR aktivitātei “rekonstrukcija un iekārtu iegāde” tiek atcelts. Ievērojot iepriekš noteiktā projekta līdzfinansējuma kap</w:t>
            </w:r>
            <w:r>
              <w:rPr>
                <w:sz w:val="24"/>
                <w:szCs w:val="24"/>
              </w:rPr>
              <w:t>a</w:t>
            </w:r>
            <w:r w:rsidRPr="0074221C">
              <w:rPr>
                <w:sz w:val="24"/>
                <w:szCs w:val="24"/>
              </w:rPr>
              <w:t>citāti un ierosinātos iepriekš noteiktā projekta līguma grozījumus, ir nolemts rekonstrukcijai paredzēto summu pārdalīt starp iepriekš noteiktā projekta aktivitātēm “</w:t>
            </w:r>
            <w:proofErr w:type="spellStart"/>
            <w:r w:rsidRPr="0074221C">
              <w:rPr>
                <w:sz w:val="24"/>
                <w:szCs w:val="24"/>
              </w:rPr>
              <w:t>Pirmsinkubācijas</w:t>
            </w:r>
            <w:proofErr w:type="spellEnd"/>
            <w:r w:rsidRPr="0074221C">
              <w:rPr>
                <w:sz w:val="24"/>
                <w:szCs w:val="24"/>
              </w:rPr>
              <w:t xml:space="preserve"> pakalpojumu sniegšana” un “Inkubācijas pakalpojumu sniegšana”. </w:t>
            </w:r>
          </w:p>
          <w:p w14:paraId="4949E77E" w14:textId="62520FDE" w:rsidR="00D421EF" w:rsidRPr="0074221C" w:rsidRDefault="00E9007C" w:rsidP="00D76F9C">
            <w:pPr>
              <w:jc w:val="both"/>
              <w:rPr>
                <w:sz w:val="24"/>
                <w:szCs w:val="24"/>
              </w:rPr>
            </w:pPr>
            <w:r w:rsidRPr="0074221C">
              <w:rPr>
                <w:sz w:val="24"/>
                <w:szCs w:val="24"/>
              </w:rPr>
              <w:t xml:space="preserve">Pamatojoties uz </w:t>
            </w:r>
            <w:proofErr w:type="spellStart"/>
            <w:r w:rsidR="00FA4477" w:rsidRPr="0074221C">
              <w:rPr>
                <w:sz w:val="24"/>
                <w:szCs w:val="24"/>
              </w:rPr>
              <w:t>donorvalsts</w:t>
            </w:r>
            <w:proofErr w:type="spellEnd"/>
            <w:r w:rsidRPr="0074221C">
              <w:rPr>
                <w:sz w:val="24"/>
                <w:szCs w:val="24"/>
              </w:rPr>
              <w:t xml:space="preserve"> 2015.gada 26.maija</w:t>
            </w:r>
            <w:r w:rsidR="00FA4477" w:rsidRPr="0074221C">
              <w:rPr>
                <w:sz w:val="24"/>
                <w:szCs w:val="24"/>
              </w:rPr>
              <w:t xml:space="preserve"> lēmumu par</w:t>
            </w:r>
            <w:r w:rsidRPr="0074221C">
              <w:rPr>
                <w:sz w:val="24"/>
                <w:szCs w:val="24"/>
              </w:rPr>
              <w:t xml:space="preserve"> iespēju pagarināt Programmas projektu īstenošanas termiņus līdz 2017.gada 30.aprīlim, ir</w:t>
            </w:r>
            <w:r w:rsidR="00FA4477" w:rsidRPr="0074221C">
              <w:rPr>
                <w:sz w:val="24"/>
                <w:szCs w:val="24"/>
              </w:rPr>
              <w:t xml:space="preserve"> </w:t>
            </w:r>
            <w:r w:rsidRPr="0074221C">
              <w:rPr>
                <w:sz w:val="24"/>
                <w:szCs w:val="24"/>
              </w:rPr>
              <w:t xml:space="preserve">apstiprināti </w:t>
            </w:r>
            <w:r w:rsidR="00D6646C" w:rsidRPr="0074221C">
              <w:rPr>
                <w:sz w:val="24"/>
                <w:szCs w:val="24"/>
              </w:rPr>
              <w:t>24 programmas projektu īstenošanas t</w:t>
            </w:r>
            <w:r w:rsidR="00452F2B" w:rsidRPr="0074221C">
              <w:rPr>
                <w:sz w:val="24"/>
                <w:szCs w:val="24"/>
              </w:rPr>
              <w:t>ermiņu pagarinājumi, t.sk.</w:t>
            </w:r>
            <w:r w:rsidR="00D6646C" w:rsidRPr="0074221C">
              <w:rPr>
                <w:sz w:val="24"/>
                <w:szCs w:val="24"/>
              </w:rPr>
              <w:t xml:space="preserve"> iepriekš noteiktā projekta un </w:t>
            </w:r>
            <w:r w:rsidRPr="0074221C">
              <w:rPr>
                <w:sz w:val="24"/>
                <w:szCs w:val="24"/>
              </w:rPr>
              <w:t>19</w:t>
            </w:r>
            <w:r w:rsidR="00AF4FB1" w:rsidRPr="0074221C">
              <w:rPr>
                <w:sz w:val="24"/>
                <w:szCs w:val="24"/>
              </w:rPr>
              <w:t xml:space="preserve"> </w:t>
            </w:r>
            <w:r w:rsidR="00FA4477" w:rsidRPr="0074221C">
              <w:rPr>
                <w:sz w:val="24"/>
                <w:szCs w:val="24"/>
              </w:rPr>
              <w:t xml:space="preserve">neliela apjoma </w:t>
            </w:r>
            <w:proofErr w:type="spellStart"/>
            <w:r w:rsidR="00FA4477" w:rsidRPr="0074221C">
              <w:rPr>
                <w:sz w:val="24"/>
                <w:szCs w:val="24"/>
              </w:rPr>
              <w:t>grantu</w:t>
            </w:r>
            <w:proofErr w:type="spellEnd"/>
            <w:r w:rsidR="00FA4477" w:rsidRPr="0074221C">
              <w:rPr>
                <w:sz w:val="24"/>
                <w:szCs w:val="24"/>
              </w:rPr>
              <w:t xml:space="preserve"> shēmas projekt</w:t>
            </w:r>
            <w:r w:rsidRPr="0074221C">
              <w:rPr>
                <w:sz w:val="24"/>
                <w:szCs w:val="24"/>
              </w:rPr>
              <w:t>u pieprasījumi par īstenošanas termiņu pagarinājumiem.</w:t>
            </w:r>
            <w:r w:rsidR="007B69FF" w:rsidRPr="0074221C">
              <w:rPr>
                <w:sz w:val="24"/>
                <w:szCs w:val="24"/>
              </w:rPr>
              <w:t xml:space="preserve"> </w:t>
            </w:r>
            <w:r w:rsidR="00AF4FB1" w:rsidRPr="0074221C">
              <w:rPr>
                <w:sz w:val="24"/>
                <w:szCs w:val="24"/>
              </w:rPr>
              <w:t>Saskaņā ar</w:t>
            </w:r>
            <w:r w:rsidR="00D6646C" w:rsidRPr="0074221C">
              <w:rPr>
                <w:sz w:val="24"/>
                <w:szCs w:val="24"/>
              </w:rPr>
              <w:t xml:space="preserve"> </w:t>
            </w:r>
            <w:r w:rsidR="00074DE9" w:rsidRPr="0074221C">
              <w:rPr>
                <w:sz w:val="24"/>
                <w:szCs w:val="24"/>
              </w:rPr>
              <w:t>2015.gada 20.jūlija Programmas līguma groz</w:t>
            </w:r>
            <w:r w:rsidR="00AF4FB1" w:rsidRPr="0074221C">
              <w:rPr>
                <w:sz w:val="24"/>
                <w:szCs w:val="24"/>
              </w:rPr>
              <w:t>ījumiem</w:t>
            </w:r>
            <w:r w:rsidR="00074DE9" w:rsidRPr="0074221C">
              <w:rPr>
                <w:sz w:val="24"/>
                <w:szCs w:val="24"/>
              </w:rPr>
              <w:t xml:space="preserve">, kas paredzēja neliela apjoma </w:t>
            </w:r>
            <w:proofErr w:type="spellStart"/>
            <w:r w:rsidR="00074DE9" w:rsidRPr="0074221C">
              <w:rPr>
                <w:sz w:val="24"/>
                <w:szCs w:val="24"/>
              </w:rPr>
              <w:t>grantu</w:t>
            </w:r>
            <w:proofErr w:type="spellEnd"/>
            <w:r w:rsidR="00074DE9" w:rsidRPr="0074221C">
              <w:rPr>
                <w:sz w:val="24"/>
                <w:szCs w:val="24"/>
              </w:rPr>
              <w:t xml:space="preserve"> shēmas pieejamā finansējuma palielināšanu līdz </w:t>
            </w:r>
            <w:proofErr w:type="spellStart"/>
            <w:r w:rsidR="00074DE9" w:rsidRPr="0074221C">
              <w:rPr>
                <w:sz w:val="24"/>
                <w:szCs w:val="24"/>
              </w:rPr>
              <w:t>donorvalsts</w:t>
            </w:r>
            <w:proofErr w:type="spellEnd"/>
            <w:r w:rsidR="00074DE9" w:rsidRPr="0074221C">
              <w:rPr>
                <w:sz w:val="24"/>
                <w:szCs w:val="24"/>
              </w:rPr>
              <w:t xml:space="preserve"> atļautajai robežai – 20% no </w:t>
            </w:r>
            <w:r w:rsidR="00F31498">
              <w:rPr>
                <w:sz w:val="24"/>
                <w:szCs w:val="24"/>
              </w:rPr>
              <w:t>P</w:t>
            </w:r>
            <w:r w:rsidR="00074DE9" w:rsidRPr="0074221C">
              <w:rPr>
                <w:sz w:val="24"/>
                <w:szCs w:val="24"/>
              </w:rPr>
              <w:t>rogrammas attiecināmajiem izdevumiem</w:t>
            </w:r>
            <w:r w:rsidR="00AF4FB1" w:rsidRPr="0074221C">
              <w:rPr>
                <w:sz w:val="24"/>
                <w:szCs w:val="24"/>
              </w:rPr>
              <w:t>,</w:t>
            </w:r>
            <w:r w:rsidRPr="0074221C">
              <w:rPr>
                <w:sz w:val="24"/>
                <w:szCs w:val="24"/>
              </w:rPr>
              <w:t xml:space="preserve"> </w:t>
            </w:r>
            <w:r w:rsidR="00AF4FB1" w:rsidRPr="0074221C">
              <w:rPr>
                <w:sz w:val="24"/>
                <w:szCs w:val="24"/>
              </w:rPr>
              <w:t>ir nepieciešams palielināt pieejamo finansējumu inkubācijas pakalpojumu nodrošināšanai, kas ir viena</w:t>
            </w:r>
            <w:r w:rsidR="00D6646C" w:rsidRPr="0074221C">
              <w:rPr>
                <w:sz w:val="24"/>
                <w:szCs w:val="24"/>
              </w:rPr>
              <w:t xml:space="preserve"> no aktivitātēm neliela apjoma </w:t>
            </w:r>
            <w:proofErr w:type="spellStart"/>
            <w:r w:rsidR="00D6646C" w:rsidRPr="0074221C">
              <w:rPr>
                <w:sz w:val="24"/>
                <w:szCs w:val="24"/>
              </w:rPr>
              <w:t>grantu</w:t>
            </w:r>
            <w:proofErr w:type="spellEnd"/>
            <w:r w:rsidR="00D6646C" w:rsidRPr="0074221C">
              <w:rPr>
                <w:sz w:val="24"/>
                <w:szCs w:val="24"/>
              </w:rPr>
              <w:t xml:space="preserve"> shēmas ietvaros</w:t>
            </w:r>
            <w:r w:rsidR="00C81ECA">
              <w:rPr>
                <w:sz w:val="24"/>
                <w:szCs w:val="24"/>
              </w:rPr>
              <w:t>,</w:t>
            </w:r>
            <w:r w:rsidR="00D6646C" w:rsidRPr="0074221C">
              <w:rPr>
                <w:sz w:val="24"/>
                <w:szCs w:val="24"/>
              </w:rPr>
              <w:t xml:space="preserve"> ko saņem visi neliela apjoma </w:t>
            </w:r>
            <w:proofErr w:type="spellStart"/>
            <w:r w:rsidR="00D6646C" w:rsidRPr="0074221C">
              <w:rPr>
                <w:sz w:val="24"/>
                <w:szCs w:val="24"/>
              </w:rPr>
              <w:t>grantu</w:t>
            </w:r>
            <w:proofErr w:type="spellEnd"/>
            <w:r w:rsidR="00D6646C" w:rsidRPr="0074221C">
              <w:rPr>
                <w:sz w:val="24"/>
                <w:szCs w:val="24"/>
              </w:rPr>
              <w:t xml:space="preserve"> shēmas projektu īstenotāji</w:t>
            </w:r>
            <w:r w:rsidR="00AF4FB1" w:rsidRPr="0074221C">
              <w:rPr>
                <w:sz w:val="24"/>
                <w:szCs w:val="24"/>
              </w:rPr>
              <w:t xml:space="preserve">. Inkubācijas pakalpojumus nodrošina iepriekš noteiktā projekta </w:t>
            </w:r>
            <w:r w:rsidR="00600D43" w:rsidRPr="0074221C">
              <w:rPr>
                <w:sz w:val="24"/>
                <w:szCs w:val="24"/>
              </w:rPr>
              <w:t>līdzfinansējuma saņēmējs</w:t>
            </w:r>
            <w:r w:rsidR="00452F2B" w:rsidRPr="0074221C">
              <w:rPr>
                <w:sz w:val="24"/>
                <w:szCs w:val="24"/>
              </w:rPr>
              <w:t xml:space="preserve"> SIA “Green </w:t>
            </w:r>
            <w:proofErr w:type="spellStart"/>
            <w:r w:rsidR="00452F2B" w:rsidRPr="0074221C">
              <w:rPr>
                <w:sz w:val="24"/>
                <w:szCs w:val="24"/>
              </w:rPr>
              <w:t>Industry</w:t>
            </w:r>
            <w:proofErr w:type="spellEnd"/>
            <w:r w:rsidR="00452F2B" w:rsidRPr="0074221C">
              <w:rPr>
                <w:sz w:val="24"/>
                <w:szCs w:val="24"/>
              </w:rPr>
              <w:t xml:space="preserve"> </w:t>
            </w:r>
            <w:proofErr w:type="spellStart"/>
            <w:r w:rsidR="00452F2B" w:rsidRPr="0074221C">
              <w:rPr>
                <w:sz w:val="24"/>
                <w:szCs w:val="24"/>
              </w:rPr>
              <w:t>Innovation</w:t>
            </w:r>
            <w:proofErr w:type="spellEnd"/>
            <w:r w:rsidR="00452F2B" w:rsidRPr="0074221C">
              <w:rPr>
                <w:sz w:val="24"/>
                <w:szCs w:val="24"/>
              </w:rPr>
              <w:t xml:space="preserve"> </w:t>
            </w:r>
            <w:proofErr w:type="spellStart"/>
            <w:r w:rsidR="00452F2B" w:rsidRPr="0074221C">
              <w:rPr>
                <w:sz w:val="24"/>
                <w:szCs w:val="24"/>
              </w:rPr>
              <w:t>Center</w:t>
            </w:r>
            <w:proofErr w:type="spellEnd"/>
            <w:r w:rsidR="00452F2B" w:rsidRPr="0074221C">
              <w:rPr>
                <w:sz w:val="24"/>
                <w:szCs w:val="24"/>
              </w:rPr>
              <w:t>”</w:t>
            </w:r>
            <w:r w:rsidR="00AF4FB1" w:rsidRPr="0074221C">
              <w:rPr>
                <w:sz w:val="24"/>
                <w:szCs w:val="24"/>
              </w:rPr>
              <w:t xml:space="preserve">. </w:t>
            </w:r>
          </w:p>
          <w:p w14:paraId="20157A2A" w14:textId="77777777" w:rsidR="00DB6B39" w:rsidRPr="0074221C" w:rsidRDefault="00AF4FB1" w:rsidP="00D76F9C">
            <w:pPr>
              <w:jc w:val="both"/>
              <w:rPr>
                <w:sz w:val="24"/>
                <w:szCs w:val="24"/>
              </w:rPr>
            </w:pPr>
            <w:r w:rsidRPr="0074221C">
              <w:rPr>
                <w:sz w:val="24"/>
                <w:szCs w:val="24"/>
              </w:rPr>
              <w:t>K</w:t>
            </w:r>
            <w:r w:rsidR="00EC645A" w:rsidRPr="0074221C">
              <w:rPr>
                <w:sz w:val="24"/>
                <w:szCs w:val="24"/>
              </w:rPr>
              <w:t xml:space="preserve">opš iepriekš noteiktā projekta īstenošanas uzsākšanas, interese par </w:t>
            </w:r>
            <w:proofErr w:type="spellStart"/>
            <w:r w:rsidR="00EC645A" w:rsidRPr="0074221C">
              <w:rPr>
                <w:sz w:val="24"/>
                <w:szCs w:val="24"/>
              </w:rPr>
              <w:t>pirmsinkubācijas</w:t>
            </w:r>
            <w:proofErr w:type="spellEnd"/>
            <w:r w:rsidR="00EC645A" w:rsidRPr="0074221C">
              <w:rPr>
                <w:sz w:val="24"/>
                <w:szCs w:val="24"/>
              </w:rPr>
              <w:t xml:space="preserve"> pakalp</w:t>
            </w:r>
            <w:r w:rsidR="00D421EF" w:rsidRPr="0074221C">
              <w:rPr>
                <w:sz w:val="24"/>
                <w:szCs w:val="24"/>
              </w:rPr>
              <w:t>o</w:t>
            </w:r>
            <w:r w:rsidR="00EC645A" w:rsidRPr="0074221C">
              <w:rPr>
                <w:sz w:val="24"/>
                <w:szCs w:val="24"/>
              </w:rPr>
              <w:t xml:space="preserve">jumiem ir </w:t>
            </w:r>
            <w:r w:rsidR="00D7150F" w:rsidRPr="0074221C">
              <w:rPr>
                <w:sz w:val="24"/>
                <w:szCs w:val="24"/>
              </w:rPr>
              <w:t>liela</w:t>
            </w:r>
            <w:r w:rsidR="00D6646C" w:rsidRPr="0074221C">
              <w:rPr>
                <w:sz w:val="24"/>
                <w:szCs w:val="24"/>
              </w:rPr>
              <w:t>.</w:t>
            </w:r>
            <w:r w:rsidRPr="0074221C">
              <w:rPr>
                <w:sz w:val="24"/>
                <w:szCs w:val="24"/>
              </w:rPr>
              <w:t xml:space="preserve"> </w:t>
            </w:r>
            <w:r w:rsidR="00D6646C" w:rsidRPr="0074221C">
              <w:rPr>
                <w:sz w:val="24"/>
                <w:szCs w:val="24"/>
              </w:rPr>
              <w:t>L</w:t>
            </w:r>
            <w:r w:rsidR="00EC645A" w:rsidRPr="0074221C">
              <w:rPr>
                <w:sz w:val="24"/>
                <w:szCs w:val="24"/>
              </w:rPr>
              <w:t>aika posmā no 2014.gada 7.jūlija līdz 2015.gada oktobrim, ir biju</w:t>
            </w:r>
            <w:r w:rsidR="00DB6B39" w:rsidRPr="0074221C">
              <w:rPr>
                <w:sz w:val="24"/>
                <w:szCs w:val="24"/>
              </w:rPr>
              <w:t xml:space="preserve">ši 5 </w:t>
            </w:r>
            <w:proofErr w:type="spellStart"/>
            <w:r w:rsidR="00D7150F" w:rsidRPr="0074221C">
              <w:rPr>
                <w:sz w:val="24"/>
                <w:szCs w:val="24"/>
              </w:rPr>
              <w:t>pirmsinkubācijas</w:t>
            </w:r>
            <w:proofErr w:type="spellEnd"/>
            <w:r w:rsidR="00D7150F" w:rsidRPr="0074221C">
              <w:rPr>
                <w:sz w:val="24"/>
                <w:szCs w:val="24"/>
              </w:rPr>
              <w:t xml:space="preserve"> biznesa ideju </w:t>
            </w:r>
            <w:r w:rsidR="00DB6B39" w:rsidRPr="0074221C">
              <w:rPr>
                <w:sz w:val="24"/>
                <w:szCs w:val="24"/>
              </w:rPr>
              <w:t xml:space="preserve">uzsaukumi </w:t>
            </w:r>
            <w:r w:rsidR="00D7150F" w:rsidRPr="0074221C">
              <w:rPr>
                <w:sz w:val="24"/>
                <w:szCs w:val="24"/>
              </w:rPr>
              <w:t xml:space="preserve">un ir iesniegtas 379 </w:t>
            </w:r>
            <w:r w:rsidR="00DB6B39" w:rsidRPr="0074221C">
              <w:rPr>
                <w:sz w:val="24"/>
                <w:szCs w:val="24"/>
              </w:rPr>
              <w:t>biznesa i</w:t>
            </w:r>
            <w:r w:rsidR="00EC645A" w:rsidRPr="0074221C">
              <w:rPr>
                <w:sz w:val="24"/>
                <w:szCs w:val="24"/>
              </w:rPr>
              <w:t>dej</w:t>
            </w:r>
            <w:r w:rsidR="00D7150F" w:rsidRPr="0074221C">
              <w:rPr>
                <w:sz w:val="24"/>
                <w:szCs w:val="24"/>
              </w:rPr>
              <w:t>as, no kurām 81 ir atbalstīta</w:t>
            </w:r>
            <w:r w:rsidRPr="0074221C">
              <w:rPr>
                <w:sz w:val="24"/>
                <w:szCs w:val="24"/>
              </w:rPr>
              <w:t>s</w:t>
            </w:r>
            <w:r w:rsidR="00D7150F" w:rsidRPr="0074221C">
              <w:rPr>
                <w:sz w:val="24"/>
                <w:szCs w:val="24"/>
              </w:rPr>
              <w:t>.</w:t>
            </w:r>
            <w:r w:rsidR="00EC645A" w:rsidRPr="0074221C">
              <w:rPr>
                <w:sz w:val="24"/>
                <w:szCs w:val="24"/>
              </w:rPr>
              <w:t xml:space="preserve"> </w:t>
            </w:r>
            <w:r w:rsidR="00D7150F" w:rsidRPr="0074221C">
              <w:rPr>
                <w:sz w:val="24"/>
                <w:szCs w:val="24"/>
              </w:rPr>
              <w:t xml:space="preserve">Turklāt, kā liecina neliela apjoma </w:t>
            </w:r>
            <w:proofErr w:type="spellStart"/>
            <w:r w:rsidR="00D7150F" w:rsidRPr="0074221C">
              <w:rPr>
                <w:sz w:val="24"/>
                <w:szCs w:val="24"/>
              </w:rPr>
              <w:t>grantu</w:t>
            </w:r>
            <w:proofErr w:type="spellEnd"/>
            <w:r w:rsidR="00D7150F" w:rsidRPr="0074221C">
              <w:rPr>
                <w:sz w:val="24"/>
                <w:szCs w:val="24"/>
              </w:rPr>
              <w:t xml:space="preserve"> shēmas iesniegtie projektu iesniegumi, tad vidēji 50% no apstipr</w:t>
            </w:r>
            <w:r w:rsidRPr="0074221C">
              <w:rPr>
                <w:sz w:val="24"/>
                <w:szCs w:val="24"/>
              </w:rPr>
              <w:t>inātajiem projektu iesniegumiem</w:t>
            </w:r>
            <w:r w:rsidR="00D7150F" w:rsidRPr="0074221C">
              <w:rPr>
                <w:sz w:val="24"/>
                <w:szCs w:val="24"/>
              </w:rPr>
              <w:t xml:space="preserve"> ir saņēmuši</w:t>
            </w:r>
            <w:r w:rsidR="00D6646C" w:rsidRPr="0074221C">
              <w:rPr>
                <w:sz w:val="24"/>
                <w:szCs w:val="24"/>
              </w:rPr>
              <w:t xml:space="preserve"> </w:t>
            </w:r>
            <w:proofErr w:type="spellStart"/>
            <w:r w:rsidR="00D6646C" w:rsidRPr="0074221C">
              <w:rPr>
                <w:sz w:val="24"/>
                <w:szCs w:val="24"/>
              </w:rPr>
              <w:t>pirmsinkubācijas</w:t>
            </w:r>
            <w:proofErr w:type="spellEnd"/>
            <w:r w:rsidR="00D6646C" w:rsidRPr="0074221C">
              <w:rPr>
                <w:sz w:val="24"/>
                <w:szCs w:val="24"/>
              </w:rPr>
              <w:t xml:space="preserve"> pakalpojumus, </w:t>
            </w:r>
            <w:r w:rsidR="00890DAD" w:rsidRPr="0074221C">
              <w:rPr>
                <w:sz w:val="24"/>
                <w:szCs w:val="24"/>
              </w:rPr>
              <w:t>kas liecina par pozitīvu</w:t>
            </w:r>
            <w:r w:rsidR="00D7150F" w:rsidRPr="0074221C">
              <w:rPr>
                <w:sz w:val="24"/>
                <w:szCs w:val="24"/>
              </w:rPr>
              <w:t xml:space="preserve"> </w:t>
            </w:r>
            <w:proofErr w:type="spellStart"/>
            <w:r w:rsidR="00D7150F" w:rsidRPr="0074221C">
              <w:rPr>
                <w:sz w:val="24"/>
                <w:szCs w:val="24"/>
              </w:rPr>
              <w:t>pirmsinkubācijas</w:t>
            </w:r>
            <w:proofErr w:type="spellEnd"/>
            <w:r w:rsidR="00D7150F" w:rsidRPr="0074221C">
              <w:rPr>
                <w:sz w:val="24"/>
                <w:szCs w:val="24"/>
              </w:rPr>
              <w:t xml:space="preserve"> pakalpojumu ietekmi</w:t>
            </w:r>
            <w:r w:rsidR="00D6646C" w:rsidRPr="0074221C">
              <w:rPr>
                <w:sz w:val="24"/>
                <w:szCs w:val="24"/>
              </w:rPr>
              <w:t xml:space="preserve"> uz tālāko biznesa ideju attīstīšanos</w:t>
            </w:r>
            <w:r w:rsidR="00D7150F" w:rsidRPr="0074221C">
              <w:rPr>
                <w:sz w:val="24"/>
                <w:szCs w:val="24"/>
              </w:rPr>
              <w:t xml:space="preserve">. </w:t>
            </w:r>
            <w:r w:rsidR="00DB6B39" w:rsidRPr="0074221C">
              <w:rPr>
                <w:sz w:val="24"/>
                <w:szCs w:val="24"/>
              </w:rPr>
              <w:t xml:space="preserve">Līdz ar to </w:t>
            </w:r>
            <w:proofErr w:type="spellStart"/>
            <w:r w:rsidR="00DB6B39" w:rsidRPr="0074221C">
              <w:rPr>
                <w:sz w:val="24"/>
                <w:szCs w:val="24"/>
              </w:rPr>
              <w:t>v</w:t>
            </w:r>
            <w:r w:rsidR="00600D43" w:rsidRPr="0074221C">
              <w:rPr>
                <w:sz w:val="24"/>
                <w:szCs w:val="24"/>
              </w:rPr>
              <w:t>eikmīgai</w:t>
            </w:r>
            <w:proofErr w:type="spellEnd"/>
            <w:r w:rsidR="00600D43" w:rsidRPr="0074221C">
              <w:rPr>
                <w:sz w:val="24"/>
                <w:szCs w:val="24"/>
              </w:rPr>
              <w:t xml:space="preserve"> Programmas īstenošanai</w:t>
            </w:r>
            <w:r w:rsidR="00DB6B39" w:rsidRPr="0074221C">
              <w:rPr>
                <w:sz w:val="24"/>
                <w:szCs w:val="24"/>
              </w:rPr>
              <w:t xml:space="preserve"> tiek veikta </w:t>
            </w:r>
            <w:r w:rsidR="00452F2B" w:rsidRPr="0074221C">
              <w:rPr>
                <w:sz w:val="24"/>
                <w:szCs w:val="24"/>
              </w:rPr>
              <w:t xml:space="preserve">papildu </w:t>
            </w:r>
            <w:r w:rsidR="00DB6B39" w:rsidRPr="0074221C">
              <w:rPr>
                <w:sz w:val="24"/>
                <w:szCs w:val="24"/>
              </w:rPr>
              <w:t xml:space="preserve">finansējuma pārdale </w:t>
            </w:r>
            <w:proofErr w:type="spellStart"/>
            <w:r w:rsidR="00DB6B39" w:rsidRPr="0074221C">
              <w:rPr>
                <w:sz w:val="24"/>
                <w:szCs w:val="24"/>
              </w:rPr>
              <w:t>pirmsinkubācijas</w:t>
            </w:r>
            <w:proofErr w:type="spellEnd"/>
            <w:r w:rsidR="00DB6B39" w:rsidRPr="0074221C">
              <w:rPr>
                <w:sz w:val="24"/>
                <w:szCs w:val="24"/>
              </w:rPr>
              <w:t xml:space="preserve"> fonda palielināšanai.</w:t>
            </w:r>
          </w:p>
          <w:p w14:paraId="7CE675CE" w14:textId="6F187A96" w:rsidR="00C81ECA" w:rsidRDefault="00B219FD" w:rsidP="00CB4825">
            <w:pPr>
              <w:pStyle w:val="naisc"/>
              <w:spacing w:before="0" w:after="0"/>
              <w:jc w:val="both"/>
            </w:pPr>
            <w:r w:rsidRPr="0074221C">
              <w:t xml:space="preserve">Pēc finansējuma pārdales un iepriekš noteiktā projekta kopējā budžeta palielināšanas, piešķirot finansējumu </w:t>
            </w:r>
            <w:proofErr w:type="spellStart"/>
            <w:r w:rsidRPr="0074221C">
              <w:t>pirmsinkubācijas</w:t>
            </w:r>
            <w:proofErr w:type="spellEnd"/>
            <w:r w:rsidRPr="0074221C">
              <w:t xml:space="preserve"> un inkubācijas pakalpojumu nodrošināšanai</w:t>
            </w:r>
            <w:r w:rsidRPr="00927EE4">
              <w:t xml:space="preserve">, tiks sniegti papildu atbalsti </w:t>
            </w:r>
            <w:proofErr w:type="spellStart"/>
            <w:r w:rsidRPr="00927EE4">
              <w:lastRenderedPageBreak/>
              <w:t>pirmsinkubācijas</w:t>
            </w:r>
            <w:proofErr w:type="spellEnd"/>
            <w:r w:rsidRPr="00927EE4">
              <w:t xml:space="preserve"> pakalpojumu nodrošināšanai. </w:t>
            </w:r>
            <w:proofErr w:type="spellStart"/>
            <w:r w:rsidRPr="00927EE4">
              <w:t>Pirmsi</w:t>
            </w:r>
            <w:r w:rsidR="00F31498">
              <w:t>nkubācijas</w:t>
            </w:r>
            <w:proofErr w:type="spellEnd"/>
            <w:r w:rsidR="00F31498">
              <w:t xml:space="preserve"> pakalpojumu saņēmējus </w:t>
            </w:r>
            <w:r w:rsidRPr="00927EE4">
              <w:t>atlasī</w:t>
            </w:r>
            <w:r w:rsidR="00F31498">
              <w:t>s</w:t>
            </w:r>
            <w:r w:rsidRPr="00927EE4">
              <w:t xml:space="preserve"> iepriekš noteiktā projekta īstenotāja rīkotajos </w:t>
            </w:r>
            <w:r w:rsidRPr="00732D9D">
              <w:t xml:space="preserve">publiskajos uzsaukumos par biznesa ideju iesniegšanu </w:t>
            </w:r>
            <w:proofErr w:type="spellStart"/>
            <w:r w:rsidRPr="00732D9D">
              <w:t>pirmsinkubācijas</w:t>
            </w:r>
            <w:proofErr w:type="spellEnd"/>
            <w:r w:rsidRPr="00732D9D">
              <w:t xml:space="preserve"> pakalpojumu saņemšanai</w:t>
            </w:r>
            <w:r w:rsidR="0013465F" w:rsidRPr="00732D9D">
              <w:t xml:space="preserve">, tādējādi veicinot </w:t>
            </w:r>
            <w:r w:rsidR="0013465F" w:rsidRPr="00CB4825">
              <w:t>jaunu komercdarbības aktivitāšu uzsākšanu un biznesa ideju īstenošanai tās agrīnās attīstības fāzē</w:t>
            </w:r>
            <w:r w:rsidR="00F31498">
              <w:t>,</w:t>
            </w:r>
            <w:r w:rsidR="0013465F" w:rsidRPr="00CB4825">
              <w:t xml:space="preserve"> un sekmētu investīciju piesaisti biznesa idejas attīstīšanai un komercdarbības paplašināšanai. </w:t>
            </w:r>
            <w:r w:rsidR="0013465F" w:rsidRPr="0074221C">
              <w:t xml:space="preserve"> Iepriek</w:t>
            </w:r>
            <w:r w:rsidR="0013465F" w:rsidRPr="00DA1014">
              <w:t>š noteiktā projekta līdzfinansējuma</w:t>
            </w:r>
            <w:r w:rsidR="0013465F" w:rsidRPr="00927EE4">
              <w:t xml:space="preserve"> saņēmēja vadības un administratīvo funkciju nodrošināšanai papildu finansējums netiks piešķirts. </w:t>
            </w:r>
            <w:r w:rsidR="00710875" w:rsidRPr="00732D9D">
              <w:t xml:space="preserve"> </w:t>
            </w:r>
          </w:p>
          <w:p w14:paraId="4DD9F0FE" w14:textId="77777777" w:rsidR="00C81ECA" w:rsidRDefault="00B219FD" w:rsidP="00CB4825">
            <w:pPr>
              <w:pStyle w:val="naisc"/>
              <w:spacing w:before="0" w:after="0"/>
              <w:jc w:val="both"/>
            </w:pPr>
            <w:r w:rsidRPr="00C46766">
              <w:t>Citi atbalsti Programmas ietvaros netiks sniegti.</w:t>
            </w:r>
          </w:p>
          <w:p w14:paraId="24D576F7" w14:textId="77777777" w:rsidR="00C81ECA" w:rsidRPr="0074221C" w:rsidRDefault="00C81ECA" w:rsidP="00C81ECA">
            <w:pPr>
              <w:jc w:val="both"/>
              <w:rPr>
                <w:sz w:val="24"/>
                <w:szCs w:val="24"/>
              </w:rPr>
            </w:pPr>
            <w:r w:rsidRPr="0074221C">
              <w:rPr>
                <w:sz w:val="24"/>
                <w:szCs w:val="24"/>
              </w:rPr>
              <w:t xml:space="preserve">Vienlaicīgi ar </w:t>
            </w:r>
            <w:proofErr w:type="spellStart"/>
            <w:r w:rsidRPr="0074221C">
              <w:rPr>
                <w:sz w:val="24"/>
                <w:szCs w:val="24"/>
              </w:rPr>
              <w:t>donorvalsts</w:t>
            </w:r>
            <w:proofErr w:type="spellEnd"/>
            <w:r w:rsidRPr="0074221C">
              <w:rPr>
                <w:sz w:val="24"/>
                <w:szCs w:val="24"/>
              </w:rPr>
              <w:t xml:space="preserve"> lēmumu pagarināt Programmas projektu īstenošanas termiņus, tiek pagarināts Programmas ieviešanas termiņš līdz 2017.gada 31.decembrim.  </w:t>
            </w:r>
          </w:p>
          <w:p w14:paraId="57F68855" w14:textId="3CFF2FB1" w:rsidR="00C9466F" w:rsidRPr="00C81ECA" w:rsidRDefault="00DB6B39" w:rsidP="00CB4825">
            <w:pPr>
              <w:pStyle w:val="naisc"/>
              <w:spacing w:before="0" w:after="0"/>
              <w:jc w:val="both"/>
            </w:pPr>
            <w:r w:rsidRPr="00C46766">
              <w:t>Lai efektīvāk izmantoto Programmas</w:t>
            </w:r>
            <w:r w:rsidRPr="00376D06">
              <w:t xml:space="preserve"> finansējumu un palielinātu rezultatīvos rādītājus,</w:t>
            </w:r>
            <w:r w:rsidR="00AF4FB1" w:rsidRPr="00746CCA">
              <w:t xml:space="preserve"> </w:t>
            </w:r>
            <w:r w:rsidR="00150797" w:rsidRPr="00746CCA">
              <w:t xml:space="preserve">steidzami nepieciešams veikt </w:t>
            </w:r>
            <w:r w:rsidR="00B1476A" w:rsidRPr="00C81ECA">
              <w:t>sekojošus</w:t>
            </w:r>
            <w:r w:rsidR="00150797" w:rsidRPr="00C81ECA">
              <w:t xml:space="preserve"> grozījumus:</w:t>
            </w:r>
          </w:p>
          <w:p w14:paraId="4510491F" w14:textId="0E476DF7" w:rsidR="00222EC0" w:rsidRPr="004F7796" w:rsidRDefault="00222EC0" w:rsidP="00CB4825">
            <w:pPr>
              <w:pStyle w:val="naisc"/>
              <w:spacing w:before="0" w:after="0"/>
              <w:jc w:val="both"/>
            </w:pPr>
            <w:r w:rsidRPr="006C7ED9">
              <w:t>1) Lai nodrošinātu noteikumos ietverto normu atbilstību Komisijas regulas Nr. 1407/2013 nosacījumiem:</w:t>
            </w:r>
          </w:p>
          <w:p w14:paraId="65525201" w14:textId="44EAB8C1" w:rsidR="00222EC0" w:rsidRPr="00580A61" w:rsidRDefault="00222EC0" w:rsidP="00CB4825">
            <w:pPr>
              <w:pStyle w:val="naisc"/>
              <w:numPr>
                <w:ilvl w:val="0"/>
                <w:numId w:val="13"/>
              </w:numPr>
              <w:spacing w:before="0" w:after="0"/>
              <w:jc w:val="both"/>
            </w:pPr>
            <w:r w:rsidRPr="004F7796">
              <w:t>Papildināti noteikumi ar nosacījumiem, kas izriet no Komisijas regulas Nr.1407/2013 1.panta 2.punkta, par darbību vai izmaksu nošķiršanu gadījumā, ja atbalsta pretendents darbojas gan izslēgtajās nozarēs, gan citās nozar</w:t>
            </w:r>
            <w:r w:rsidRPr="00327CA7">
              <w:t>ēs vai darbības jomās, uz ko attiecas Komisijas regulas Nr. 1407/2013 darbības joma;</w:t>
            </w:r>
          </w:p>
          <w:p w14:paraId="48E20886" w14:textId="77777777" w:rsidR="00376D06" w:rsidRDefault="00376D06" w:rsidP="00376D06">
            <w:pPr>
              <w:pStyle w:val="naisc"/>
              <w:numPr>
                <w:ilvl w:val="0"/>
                <w:numId w:val="13"/>
              </w:numPr>
              <w:spacing w:before="0" w:after="0"/>
              <w:jc w:val="both"/>
            </w:pPr>
            <w:r w:rsidRPr="001C1198">
              <w:t>Precizēta atbalsta kumulācijas norma, ievērojot Komisijas regulas Nr. 1407/2013 5.panta 1.un 2.punkta nosacījumus;</w:t>
            </w:r>
          </w:p>
          <w:p w14:paraId="7BBE9BDA" w14:textId="0BCE9787" w:rsidR="00222EC0" w:rsidRPr="00746CCA" w:rsidRDefault="00222EC0" w:rsidP="00CB4825">
            <w:pPr>
              <w:pStyle w:val="naisc"/>
              <w:numPr>
                <w:ilvl w:val="0"/>
                <w:numId w:val="13"/>
              </w:numPr>
              <w:spacing w:before="0" w:after="0"/>
              <w:jc w:val="both"/>
            </w:pPr>
            <w:r w:rsidRPr="00376D06">
              <w:t>Precizēta grūtībās nonākuša uzņēmuma definīcija, ievērojot Komisijas regulas Nr. 1407/2013 4.panta 3.punkta a apakšpunktu;</w:t>
            </w:r>
          </w:p>
          <w:p w14:paraId="70DBB8D6" w14:textId="12362757" w:rsidR="00746CCA" w:rsidRPr="00E05B98" w:rsidRDefault="00376D06" w:rsidP="00CB4825">
            <w:pPr>
              <w:pStyle w:val="naisc"/>
              <w:numPr>
                <w:ilvl w:val="0"/>
                <w:numId w:val="13"/>
              </w:numPr>
              <w:spacing w:before="0" w:after="0"/>
              <w:jc w:val="both"/>
            </w:pPr>
            <w:r>
              <w:t xml:space="preserve">Papildināta Komisijas regulas Nr. 1407/2013 8.panta un 7.panta 4.punkta nosacījumi par </w:t>
            </w:r>
            <w:proofErr w:type="spellStart"/>
            <w:r>
              <w:t>de</w:t>
            </w:r>
            <w:proofErr w:type="spellEnd"/>
            <w:r>
              <w:t xml:space="preserve"> </w:t>
            </w:r>
            <w:proofErr w:type="spellStart"/>
            <w:r>
              <w:t>minimis</w:t>
            </w:r>
            <w:proofErr w:type="spellEnd"/>
            <w:r>
              <w:t xml:space="preserve"> atbalsta piešķiršanas termiņa noteikšanu, nepārsniedzot programmas noteikto projektu īstenošanas termiņu.</w:t>
            </w:r>
            <w:r w:rsidR="00746CCA">
              <w:t xml:space="preserve"> Noteikumu</w:t>
            </w:r>
            <w:r w:rsidR="00F91671">
              <w:t xml:space="preserve"> projekta 6.,7.,8. un 9.punkts).</w:t>
            </w:r>
          </w:p>
          <w:p w14:paraId="27D91ABE" w14:textId="7058AFC7" w:rsidR="00E55578" w:rsidRPr="00376D06" w:rsidRDefault="00746CCA" w:rsidP="00D76F9C">
            <w:pPr>
              <w:jc w:val="both"/>
              <w:rPr>
                <w:sz w:val="24"/>
                <w:szCs w:val="24"/>
              </w:rPr>
            </w:pPr>
            <w:r>
              <w:rPr>
                <w:sz w:val="24"/>
                <w:szCs w:val="24"/>
              </w:rPr>
              <w:t>2</w:t>
            </w:r>
            <w:r w:rsidR="00600D43" w:rsidRPr="00732D9D">
              <w:rPr>
                <w:sz w:val="24"/>
                <w:szCs w:val="24"/>
              </w:rPr>
              <w:t xml:space="preserve">) </w:t>
            </w:r>
            <w:r w:rsidR="00B1476A" w:rsidRPr="00732D9D">
              <w:rPr>
                <w:sz w:val="24"/>
                <w:szCs w:val="24"/>
              </w:rPr>
              <w:t xml:space="preserve">Lai </w:t>
            </w:r>
            <w:r w:rsidR="001C6AE8" w:rsidRPr="00732D9D">
              <w:rPr>
                <w:sz w:val="24"/>
                <w:szCs w:val="24"/>
              </w:rPr>
              <w:t>veicinātu Programmas īstenošanu un nodrošinātu labās pieredzes apmaiņu starp citiem</w:t>
            </w:r>
            <w:r w:rsidR="00173104" w:rsidRPr="00C46766">
              <w:rPr>
                <w:sz w:val="24"/>
                <w:szCs w:val="24"/>
              </w:rPr>
              <w:t xml:space="preserve"> Norvēģijas finanšu instrumenta saņēmējvalstu</w:t>
            </w:r>
            <w:r w:rsidR="001C6AE8" w:rsidRPr="00C46766">
              <w:rPr>
                <w:sz w:val="24"/>
                <w:szCs w:val="24"/>
              </w:rPr>
              <w:t xml:space="preserve"> Programmas </w:t>
            </w:r>
            <w:proofErr w:type="spellStart"/>
            <w:r w:rsidR="001C6AE8" w:rsidRPr="00C46766">
              <w:rPr>
                <w:sz w:val="24"/>
                <w:szCs w:val="24"/>
              </w:rPr>
              <w:t>apsaimniekotājiem</w:t>
            </w:r>
            <w:proofErr w:type="spellEnd"/>
            <w:r w:rsidR="001C6AE8" w:rsidRPr="00C46766">
              <w:rPr>
                <w:sz w:val="24"/>
                <w:szCs w:val="24"/>
              </w:rPr>
              <w:t xml:space="preserve"> un līdzīgām iestādēm, </w:t>
            </w:r>
            <w:r w:rsidR="00600D43" w:rsidRPr="00C46766">
              <w:rPr>
                <w:sz w:val="24"/>
                <w:szCs w:val="24"/>
              </w:rPr>
              <w:t>un</w:t>
            </w:r>
            <w:r w:rsidR="001C6AE8" w:rsidRPr="00376D06">
              <w:rPr>
                <w:sz w:val="24"/>
                <w:szCs w:val="24"/>
              </w:rPr>
              <w:t xml:space="preserve"> starptautiskām organizācijām, kā arī </w:t>
            </w:r>
            <w:r w:rsidR="00E55578" w:rsidRPr="00376D06">
              <w:rPr>
                <w:sz w:val="24"/>
                <w:szCs w:val="24"/>
              </w:rPr>
              <w:t xml:space="preserve">veicinātu kvalitatīvu projektu īstenošanu, </w:t>
            </w:r>
            <w:r w:rsidR="00B1476A" w:rsidRPr="00376D06">
              <w:rPr>
                <w:sz w:val="24"/>
                <w:szCs w:val="24"/>
              </w:rPr>
              <w:t>t.sk.</w:t>
            </w:r>
            <w:r w:rsidR="00E55578" w:rsidRPr="00376D06">
              <w:rPr>
                <w:sz w:val="24"/>
                <w:szCs w:val="24"/>
              </w:rPr>
              <w:t xml:space="preserve"> nodrošinātu Programmas līdzekļu apguvi, </w:t>
            </w:r>
            <w:r w:rsidR="00011994" w:rsidRPr="00376D06">
              <w:rPr>
                <w:sz w:val="24"/>
                <w:szCs w:val="24"/>
              </w:rPr>
              <w:t xml:space="preserve">ir </w:t>
            </w:r>
            <w:r w:rsidR="00E55578" w:rsidRPr="00376D06">
              <w:rPr>
                <w:sz w:val="24"/>
                <w:szCs w:val="24"/>
              </w:rPr>
              <w:t>nepieciešams veikt grozījumus šajos noteikumos</w:t>
            </w:r>
            <w:r w:rsidR="00E55578" w:rsidRPr="00956A2C">
              <w:rPr>
                <w:sz w:val="24"/>
                <w:szCs w:val="24"/>
              </w:rPr>
              <w:t xml:space="preserve">, palielinot pieejamo </w:t>
            </w:r>
            <w:r w:rsidR="00E55578" w:rsidRPr="00746CCA">
              <w:rPr>
                <w:sz w:val="24"/>
                <w:szCs w:val="24"/>
              </w:rPr>
              <w:t>budžetu</w:t>
            </w:r>
            <w:r w:rsidR="00AF4FB1" w:rsidRPr="00746CCA">
              <w:rPr>
                <w:sz w:val="24"/>
                <w:szCs w:val="24"/>
              </w:rPr>
              <w:t xml:space="preserve"> divpusējo sadarbības pasākumu organizēšanai, </w:t>
            </w:r>
            <w:r w:rsidR="0005202B" w:rsidRPr="00746CCA">
              <w:rPr>
                <w:sz w:val="24"/>
                <w:szCs w:val="24"/>
              </w:rPr>
              <w:t xml:space="preserve">paredzot jaunu </w:t>
            </w:r>
            <w:r w:rsidR="0005202B" w:rsidRPr="00746CCA">
              <w:rPr>
                <w:sz w:val="24"/>
                <w:szCs w:val="24"/>
              </w:rPr>
              <w:lastRenderedPageBreak/>
              <w:t xml:space="preserve">aktivitāti “Programmas </w:t>
            </w:r>
            <w:proofErr w:type="spellStart"/>
            <w:r w:rsidR="0005202B" w:rsidRPr="00746CCA">
              <w:rPr>
                <w:sz w:val="24"/>
                <w:szCs w:val="24"/>
              </w:rPr>
              <w:t>apsaimniekotāja</w:t>
            </w:r>
            <w:proofErr w:type="spellEnd"/>
            <w:r w:rsidR="0005202B" w:rsidRPr="00746CCA">
              <w:rPr>
                <w:sz w:val="24"/>
                <w:szCs w:val="24"/>
              </w:rPr>
              <w:t xml:space="preserve"> papildu pasākumi</w:t>
            </w:r>
            <w:r w:rsidR="00AF4FB1" w:rsidRPr="0074221C">
              <w:rPr>
                <w:sz w:val="24"/>
                <w:szCs w:val="24"/>
              </w:rPr>
              <w:t>, kā arī lai palielin</w:t>
            </w:r>
            <w:r w:rsidR="00890DAD" w:rsidRPr="0074221C">
              <w:rPr>
                <w:sz w:val="24"/>
                <w:szCs w:val="24"/>
              </w:rPr>
              <w:t>ā</w:t>
            </w:r>
            <w:r w:rsidR="00AF4FB1" w:rsidRPr="0074221C">
              <w:rPr>
                <w:sz w:val="24"/>
                <w:szCs w:val="24"/>
              </w:rPr>
              <w:t>t</w:t>
            </w:r>
            <w:r w:rsidR="00890DAD" w:rsidRPr="0074221C">
              <w:rPr>
                <w:sz w:val="24"/>
                <w:szCs w:val="24"/>
              </w:rPr>
              <w:t xml:space="preserve">u </w:t>
            </w:r>
            <w:proofErr w:type="spellStart"/>
            <w:r w:rsidR="00AF4FB1" w:rsidRPr="0074221C">
              <w:rPr>
                <w:sz w:val="24"/>
                <w:szCs w:val="24"/>
              </w:rPr>
              <w:t>pirmsinkubācijas</w:t>
            </w:r>
            <w:proofErr w:type="spellEnd"/>
            <w:r w:rsidR="00AF4FB1" w:rsidRPr="0074221C">
              <w:rPr>
                <w:sz w:val="24"/>
                <w:szCs w:val="24"/>
              </w:rPr>
              <w:t xml:space="preserve"> un inkubācijas fondu</w:t>
            </w:r>
            <w:r w:rsidR="001C6AE8" w:rsidRPr="0074221C">
              <w:rPr>
                <w:sz w:val="24"/>
                <w:szCs w:val="24"/>
              </w:rPr>
              <w:t>. (Noteikumu projekta 1.,</w:t>
            </w:r>
            <w:r w:rsidR="00C87E3C" w:rsidRPr="0074221C">
              <w:rPr>
                <w:sz w:val="24"/>
                <w:szCs w:val="24"/>
              </w:rPr>
              <w:t xml:space="preserve"> 2.</w:t>
            </w:r>
            <w:r w:rsidR="002642FE" w:rsidRPr="0074221C">
              <w:rPr>
                <w:sz w:val="24"/>
                <w:szCs w:val="24"/>
              </w:rPr>
              <w:t>,</w:t>
            </w:r>
            <w:r w:rsidR="00CB4825">
              <w:rPr>
                <w:sz w:val="24"/>
                <w:szCs w:val="24"/>
              </w:rPr>
              <w:t xml:space="preserve"> </w:t>
            </w:r>
            <w:r w:rsidR="001C6AE8" w:rsidRPr="00376D06">
              <w:rPr>
                <w:sz w:val="24"/>
                <w:szCs w:val="24"/>
              </w:rPr>
              <w:t>3.</w:t>
            </w:r>
            <w:r w:rsidR="00CB4825">
              <w:rPr>
                <w:sz w:val="24"/>
                <w:szCs w:val="24"/>
              </w:rPr>
              <w:t xml:space="preserve">, </w:t>
            </w:r>
            <w:r>
              <w:rPr>
                <w:sz w:val="24"/>
                <w:szCs w:val="24"/>
              </w:rPr>
              <w:t>1</w:t>
            </w:r>
            <w:r w:rsidR="00580A61">
              <w:rPr>
                <w:sz w:val="24"/>
                <w:szCs w:val="24"/>
              </w:rPr>
              <w:t>4. un 16</w:t>
            </w:r>
            <w:r>
              <w:rPr>
                <w:sz w:val="24"/>
                <w:szCs w:val="24"/>
              </w:rPr>
              <w:t>.</w:t>
            </w:r>
            <w:r w:rsidR="00F91671">
              <w:rPr>
                <w:sz w:val="24"/>
                <w:szCs w:val="24"/>
              </w:rPr>
              <w:t>punkts).</w:t>
            </w:r>
          </w:p>
          <w:p w14:paraId="4EE3BA26" w14:textId="0AEB74A3" w:rsidR="001C6AE8" w:rsidRPr="0074221C" w:rsidRDefault="00746CCA" w:rsidP="00D76F9C">
            <w:pPr>
              <w:jc w:val="both"/>
              <w:rPr>
                <w:sz w:val="24"/>
                <w:szCs w:val="24"/>
              </w:rPr>
            </w:pPr>
            <w:r>
              <w:rPr>
                <w:sz w:val="24"/>
                <w:szCs w:val="24"/>
              </w:rPr>
              <w:t>3</w:t>
            </w:r>
            <w:r w:rsidR="00600D43" w:rsidRPr="00956A2C">
              <w:rPr>
                <w:sz w:val="24"/>
                <w:szCs w:val="24"/>
              </w:rPr>
              <w:t xml:space="preserve">) </w:t>
            </w:r>
            <w:r w:rsidR="001C6AE8" w:rsidRPr="00956A2C">
              <w:rPr>
                <w:sz w:val="24"/>
                <w:szCs w:val="24"/>
              </w:rPr>
              <w:t xml:space="preserve">Atbilstoši </w:t>
            </w:r>
            <w:proofErr w:type="spellStart"/>
            <w:r w:rsidR="001C6AE8" w:rsidRPr="00956A2C">
              <w:rPr>
                <w:sz w:val="24"/>
                <w:szCs w:val="24"/>
              </w:rPr>
              <w:t>Donorvalsts</w:t>
            </w:r>
            <w:proofErr w:type="spellEnd"/>
            <w:r w:rsidR="001C6AE8" w:rsidRPr="00956A2C">
              <w:rPr>
                <w:sz w:val="24"/>
                <w:szCs w:val="24"/>
              </w:rPr>
              <w:t xml:space="preserve"> 2015.gada 26.maija lēmumam dot iespēju īstenot Programmas atbalstītos projektus līdz 2017.gada 30.aprīlim, </w:t>
            </w:r>
            <w:r w:rsidR="003714DB" w:rsidRPr="00746CCA">
              <w:rPr>
                <w:sz w:val="24"/>
                <w:szCs w:val="24"/>
              </w:rPr>
              <w:t>ir nepieciešams</w:t>
            </w:r>
            <w:r w:rsidR="003714DB" w:rsidRPr="00C81ECA">
              <w:rPr>
                <w:sz w:val="24"/>
                <w:szCs w:val="24"/>
              </w:rPr>
              <w:t xml:space="preserve"> veikt grozījumus š</w:t>
            </w:r>
            <w:r w:rsidR="00600D43" w:rsidRPr="00C81ECA">
              <w:rPr>
                <w:sz w:val="24"/>
                <w:szCs w:val="24"/>
              </w:rPr>
              <w:t>a</w:t>
            </w:r>
            <w:r w:rsidR="003714DB" w:rsidRPr="00C81ECA">
              <w:rPr>
                <w:sz w:val="24"/>
                <w:szCs w:val="24"/>
              </w:rPr>
              <w:t>jos noteikumos un pagarināt Programmas īstenošanas termiņu</w:t>
            </w:r>
            <w:r w:rsidR="001C6AE8" w:rsidRPr="0074221C">
              <w:rPr>
                <w:sz w:val="24"/>
                <w:szCs w:val="24"/>
              </w:rPr>
              <w:t xml:space="preserve">, vienlaicīgi pagarinot Programmas izmaksu </w:t>
            </w:r>
            <w:proofErr w:type="spellStart"/>
            <w:r w:rsidR="001C6AE8" w:rsidRPr="0074221C">
              <w:rPr>
                <w:sz w:val="24"/>
                <w:szCs w:val="24"/>
              </w:rPr>
              <w:t>attiecināmības</w:t>
            </w:r>
            <w:proofErr w:type="spellEnd"/>
            <w:r w:rsidR="001C6AE8" w:rsidRPr="0074221C">
              <w:rPr>
                <w:sz w:val="24"/>
                <w:szCs w:val="24"/>
              </w:rPr>
              <w:t xml:space="preserve"> periodu līdz 2017.gada 31.</w:t>
            </w:r>
            <w:r w:rsidR="00F91671">
              <w:rPr>
                <w:sz w:val="24"/>
                <w:szCs w:val="24"/>
              </w:rPr>
              <w:t>decembrim. (Noteikumu 4.punkts).</w:t>
            </w:r>
          </w:p>
          <w:p w14:paraId="11691674" w14:textId="163B7FF9" w:rsidR="00D421EF" w:rsidRPr="00376D06" w:rsidRDefault="00746CCA" w:rsidP="00D76F9C">
            <w:pPr>
              <w:jc w:val="both"/>
              <w:rPr>
                <w:sz w:val="24"/>
                <w:szCs w:val="24"/>
              </w:rPr>
            </w:pPr>
            <w:r>
              <w:rPr>
                <w:sz w:val="24"/>
                <w:szCs w:val="24"/>
              </w:rPr>
              <w:t>4</w:t>
            </w:r>
            <w:r w:rsidR="00600D43" w:rsidRPr="00746CCA">
              <w:rPr>
                <w:sz w:val="24"/>
                <w:szCs w:val="24"/>
              </w:rPr>
              <w:t xml:space="preserve">) </w:t>
            </w:r>
            <w:r w:rsidR="002642FE" w:rsidRPr="00746CCA">
              <w:rPr>
                <w:sz w:val="24"/>
                <w:szCs w:val="24"/>
              </w:rPr>
              <w:t xml:space="preserve">Ņemot vērā, ka </w:t>
            </w:r>
            <w:proofErr w:type="spellStart"/>
            <w:r w:rsidR="00C82DF5" w:rsidRPr="00746CCA">
              <w:rPr>
                <w:sz w:val="24"/>
                <w:szCs w:val="24"/>
              </w:rPr>
              <w:t>d</w:t>
            </w:r>
            <w:r w:rsidR="002642FE" w:rsidRPr="00746CCA">
              <w:rPr>
                <w:sz w:val="24"/>
                <w:szCs w:val="24"/>
              </w:rPr>
              <w:t>onorvalsts</w:t>
            </w:r>
            <w:proofErr w:type="spellEnd"/>
            <w:r w:rsidR="002642FE" w:rsidRPr="00746CCA">
              <w:rPr>
                <w:sz w:val="24"/>
                <w:szCs w:val="24"/>
              </w:rPr>
              <w:t xml:space="preserve"> kā </w:t>
            </w:r>
            <w:proofErr w:type="spellStart"/>
            <w:r w:rsidR="0005202B" w:rsidRPr="00746CCA">
              <w:rPr>
                <w:sz w:val="24"/>
                <w:szCs w:val="24"/>
              </w:rPr>
              <w:t>donorvalsts</w:t>
            </w:r>
            <w:proofErr w:type="spellEnd"/>
            <w:r w:rsidR="0005202B" w:rsidRPr="00746CCA">
              <w:rPr>
                <w:sz w:val="24"/>
                <w:szCs w:val="24"/>
              </w:rPr>
              <w:t xml:space="preserve"> kā vienu no Norvēģijas finanšu instrumenta mērķiem</w:t>
            </w:r>
            <w:r w:rsidR="0005202B" w:rsidRPr="00746CCA" w:rsidDel="0005202B">
              <w:rPr>
                <w:sz w:val="24"/>
                <w:szCs w:val="24"/>
              </w:rPr>
              <w:t xml:space="preserve"> </w:t>
            </w:r>
            <w:r w:rsidR="002642FE" w:rsidRPr="00746CCA">
              <w:rPr>
                <w:sz w:val="24"/>
                <w:szCs w:val="24"/>
              </w:rPr>
              <w:t>ir izvirzījusi attiecību stiprināšanu starp Norvēģiju un  saņēmējvalstīm</w:t>
            </w:r>
            <w:r w:rsidR="00C252AA" w:rsidRPr="0074221C">
              <w:rPr>
                <w:sz w:val="24"/>
                <w:szCs w:val="24"/>
              </w:rPr>
              <w:t xml:space="preserve">, </w:t>
            </w:r>
            <w:r w:rsidR="003714DB" w:rsidRPr="0074221C">
              <w:rPr>
                <w:sz w:val="24"/>
                <w:szCs w:val="24"/>
              </w:rPr>
              <w:t>rīkojot un</w:t>
            </w:r>
            <w:r w:rsidR="00023947" w:rsidRPr="0074221C">
              <w:rPr>
                <w:sz w:val="24"/>
                <w:szCs w:val="24"/>
              </w:rPr>
              <w:t xml:space="preserve"> piedaloties konferencēs, semināro</w:t>
            </w:r>
            <w:r w:rsidR="002642FE" w:rsidRPr="0074221C">
              <w:rPr>
                <w:sz w:val="24"/>
                <w:szCs w:val="24"/>
              </w:rPr>
              <w:t>s</w:t>
            </w:r>
            <w:r w:rsidR="00023947" w:rsidRPr="0074221C">
              <w:rPr>
                <w:sz w:val="24"/>
                <w:szCs w:val="24"/>
              </w:rPr>
              <w:t>, forumos un citos Programmas atbalstītos divpusējās sadarbības aktivitātēs</w:t>
            </w:r>
            <w:r w:rsidR="00B07DBA" w:rsidRPr="0074221C">
              <w:rPr>
                <w:sz w:val="24"/>
                <w:szCs w:val="24"/>
              </w:rPr>
              <w:t xml:space="preserve">, </w:t>
            </w:r>
            <w:r w:rsidR="003714DB" w:rsidRPr="0074221C">
              <w:rPr>
                <w:sz w:val="24"/>
                <w:szCs w:val="24"/>
              </w:rPr>
              <w:t>tad</w:t>
            </w:r>
            <w:r w:rsidR="00D421EF" w:rsidRPr="0074221C">
              <w:rPr>
                <w:sz w:val="24"/>
                <w:szCs w:val="24"/>
              </w:rPr>
              <w:t xml:space="preserve"> ar</w:t>
            </w:r>
            <w:r w:rsidR="00DA7F96" w:rsidRPr="0074221C">
              <w:rPr>
                <w:sz w:val="24"/>
                <w:szCs w:val="24"/>
              </w:rPr>
              <w:t xml:space="preserve"> Programmas atklāta konkursa ietvar</w:t>
            </w:r>
            <w:r w:rsidR="00D421EF" w:rsidRPr="0074221C">
              <w:rPr>
                <w:sz w:val="24"/>
                <w:szCs w:val="24"/>
              </w:rPr>
              <w:t>os radušos finansējuma atlikumu</w:t>
            </w:r>
            <w:r w:rsidR="003714DB" w:rsidRPr="0074221C">
              <w:rPr>
                <w:sz w:val="24"/>
                <w:szCs w:val="24"/>
              </w:rPr>
              <w:t xml:space="preserve"> tiek </w:t>
            </w:r>
            <w:r w:rsidR="00D421EF" w:rsidRPr="0074221C">
              <w:rPr>
                <w:sz w:val="24"/>
                <w:szCs w:val="24"/>
              </w:rPr>
              <w:t>palielināts</w:t>
            </w:r>
            <w:r w:rsidR="00DA7F96" w:rsidRPr="0074221C">
              <w:rPr>
                <w:sz w:val="24"/>
                <w:szCs w:val="24"/>
              </w:rPr>
              <w:t xml:space="preserve"> arī </w:t>
            </w:r>
            <w:r w:rsidR="00B07DBA" w:rsidRPr="0074221C">
              <w:rPr>
                <w:sz w:val="24"/>
                <w:szCs w:val="24"/>
              </w:rPr>
              <w:t>divpusējās sadarbības fond</w:t>
            </w:r>
            <w:r w:rsidR="00D421EF" w:rsidRPr="0074221C">
              <w:rPr>
                <w:sz w:val="24"/>
                <w:szCs w:val="24"/>
              </w:rPr>
              <w:t>s</w:t>
            </w:r>
            <w:r w:rsidR="00DA7F96" w:rsidRPr="0074221C">
              <w:rPr>
                <w:sz w:val="24"/>
                <w:szCs w:val="24"/>
              </w:rPr>
              <w:t xml:space="preserve">. </w:t>
            </w:r>
            <w:r w:rsidR="00E765EA" w:rsidRPr="0074221C">
              <w:rPr>
                <w:sz w:val="24"/>
                <w:szCs w:val="24"/>
              </w:rPr>
              <w:t>Un atbilstoši 2015.gada 9</w:t>
            </w:r>
            <w:r w:rsidR="00D421EF" w:rsidRPr="0074221C">
              <w:rPr>
                <w:sz w:val="24"/>
                <w:szCs w:val="24"/>
              </w:rPr>
              <w:t>.</w:t>
            </w:r>
            <w:r w:rsidR="000610AB" w:rsidRPr="0074221C">
              <w:rPr>
                <w:sz w:val="24"/>
                <w:szCs w:val="24"/>
              </w:rPr>
              <w:t>decembra</w:t>
            </w:r>
            <w:r w:rsidR="00D421EF" w:rsidRPr="0074221C">
              <w:rPr>
                <w:sz w:val="24"/>
                <w:szCs w:val="24"/>
              </w:rPr>
              <w:t xml:space="preserve"> </w:t>
            </w:r>
            <w:proofErr w:type="spellStart"/>
            <w:r w:rsidR="00D421EF" w:rsidRPr="0074221C">
              <w:rPr>
                <w:sz w:val="24"/>
                <w:szCs w:val="24"/>
              </w:rPr>
              <w:t>Programas</w:t>
            </w:r>
            <w:proofErr w:type="spellEnd"/>
            <w:r w:rsidR="00D421EF" w:rsidRPr="0074221C">
              <w:rPr>
                <w:sz w:val="24"/>
                <w:szCs w:val="24"/>
              </w:rPr>
              <w:t xml:space="preserve"> līguma grozījumiem, </w:t>
            </w:r>
            <w:r w:rsidR="0005202B" w:rsidRPr="0074221C">
              <w:rPr>
                <w:sz w:val="24"/>
                <w:szCs w:val="24"/>
              </w:rPr>
              <w:t>tiek palielināts komandējuma izdevumu apmērs vienai personai, kā arī pasākuma organizēšanas maksimālās izmaksas</w:t>
            </w:r>
            <w:r w:rsidR="00D421EF" w:rsidRPr="0074221C">
              <w:rPr>
                <w:sz w:val="24"/>
                <w:szCs w:val="24"/>
              </w:rPr>
              <w:t>. (Noteikumu</w:t>
            </w:r>
            <w:r w:rsidR="00D421EF" w:rsidRPr="00376D06">
              <w:rPr>
                <w:sz w:val="24"/>
                <w:szCs w:val="24"/>
              </w:rPr>
              <w:t xml:space="preserve"> </w:t>
            </w:r>
            <w:r w:rsidR="00376D06">
              <w:rPr>
                <w:sz w:val="24"/>
                <w:szCs w:val="24"/>
              </w:rPr>
              <w:t>11</w:t>
            </w:r>
            <w:r w:rsidR="00D421EF" w:rsidRPr="00376D06">
              <w:rPr>
                <w:sz w:val="24"/>
                <w:szCs w:val="24"/>
              </w:rPr>
              <w:t xml:space="preserve">. un </w:t>
            </w:r>
            <w:r w:rsidR="00376D06">
              <w:rPr>
                <w:sz w:val="24"/>
                <w:szCs w:val="24"/>
              </w:rPr>
              <w:t>12</w:t>
            </w:r>
            <w:r w:rsidR="00F91671">
              <w:rPr>
                <w:sz w:val="24"/>
                <w:szCs w:val="24"/>
              </w:rPr>
              <w:t>.punkts).</w:t>
            </w:r>
          </w:p>
          <w:p w14:paraId="078F2108" w14:textId="6907FE26" w:rsidR="00D421EF" w:rsidRPr="00956A2C" w:rsidRDefault="00746CCA" w:rsidP="00D76F9C">
            <w:pPr>
              <w:jc w:val="both"/>
              <w:rPr>
                <w:sz w:val="24"/>
                <w:szCs w:val="24"/>
              </w:rPr>
            </w:pPr>
            <w:r>
              <w:rPr>
                <w:sz w:val="24"/>
                <w:szCs w:val="24"/>
              </w:rPr>
              <w:t>5</w:t>
            </w:r>
            <w:r w:rsidR="00600D43" w:rsidRPr="00956A2C">
              <w:rPr>
                <w:sz w:val="24"/>
                <w:szCs w:val="24"/>
              </w:rPr>
              <w:t xml:space="preserve">) </w:t>
            </w:r>
            <w:r w:rsidR="00D421EF" w:rsidRPr="00956A2C">
              <w:rPr>
                <w:sz w:val="24"/>
                <w:szCs w:val="24"/>
              </w:rPr>
              <w:t xml:space="preserve">Atbilstoši 2015.gada 20.jūlija grozījumiem Programmas līgumā, Finanšu instrumenta birojs ir akceptējis aktivitātes “rekonstrukcija un iekārtu iegāde” </w:t>
            </w:r>
            <w:r w:rsidR="00C252AA" w:rsidRPr="00956A2C">
              <w:rPr>
                <w:sz w:val="24"/>
                <w:szCs w:val="24"/>
              </w:rPr>
              <w:t>atcelšanu</w:t>
            </w:r>
            <w:r w:rsidR="00D421EF" w:rsidRPr="00956A2C">
              <w:rPr>
                <w:sz w:val="24"/>
                <w:szCs w:val="24"/>
              </w:rPr>
              <w:t>, jo</w:t>
            </w:r>
            <w:r w:rsidR="00C252AA" w:rsidRPr="00956A2C">
              <w:rPr>
                <w:sz w:val="24"/>
                <w:szCs w:val="24"/>
              </w:rPr>
              <w:t xml:space="preserve"> pēc Programmas līgumu grozījumu spēkā stāšanās iepriekš noteiktais projekta atbalsta intensitāte ir 100%</w:t>
            </w:r>
            <w:r w:rsidR="00D421EF" w:rsidRPr="00746CCA">
              <w:rPr>
                <w:sz w:val="24"/>
                <w:szCs w:val="24"/>
              </w:rPr>
              <w:t xml:space="preserve">. Līdz tam tika paredzēts, ka </w:t>
            </w:r>
            <w:proofErr w:type="spellStart"/>
            <w:r w:rsidR="00D421EF" w:rsidRPr="00746CCA">
              <w:rPr>
                <w:sz w:val="24"/>
                <w:szCs w:val="24"/>
              </w:rPr>
              <w:t>donorvalsts</w:t>
            </w:r>
            <w:proofErr w:type="spellEnd"/>
            <w:r w:rsidR="00D421EF" w:rsidRPr="00746CCA">
              <w:rPr>
                <w:sz w:val="24"/>
                <w:szCs w:val="24"/>
              </w:rPr>
              <w:t xml:space="preserve"> aktivitāti "rekonstrukcija un iekārtu iegāde” atbalstīs 50%, savukārt iepriekš noteiktā projekta īstenotājs n</w:t>
            </w:r>
            <w:r w:rsidR="00D421EF" w:rsidRPr="0074221C">
              <w:rPr>
                <w:sz w:val="24"/>
                <w:szCs w:val="24"/>
              </w:rPr>
              <w:t>odrošinās atlikušos 50% no līdzekļiem, kas nebūtu saistīts ar jebkādu atbalstu. Līdz ar to iepriekš noteiktais projekts tika atbalstīts ar atbalsta intensitāt</w:t>
            </w:r>
            <w:r w:rsidR="00C252AA" w:rsidRPr="0074221C">
              <w:rPr>
                <w:sz w:val="24"/>
                <w:szCs w:val="24"/>
              </w:rPr>
              <w:t>i</w:t>
            </w:r>
            <w:r w:rsidR="00D421EF" w:rsidRPr="0074221C">
              <w:rPr>
                <w:sz w:val="24"/>
                <w:szCs w:val="24"/>
              </w:rPr>
              <w:t xml:space="preserve"> 86,29%. Līdz ar to ir nepieciešams veikt normatīvā </w:t>
            </w:r>
            <w:proofErr w:type="spellStart"/>
            <w:r w:rsidR="00D421EF" w:rsidRPr="0074221C">
              <w:rPr>
                <w:sz w:val="24"/>
                <w:szCs w:val="24"/>
              </w:rPr>
              <w:t>regulej</w:t>
            </w:r>
            <w:r w:rsidR="00D421EF" w:rsidRPr="00732D9D">
              <w:rPr>
                <w:sz w:val="24"/>
                <w:szCs w:val="24"/>
              </w:rPr>
              <w:t>uma</w:t>
            </w:r>
            <w:proofErr w:type="spellEnd"/>
            <w:r w:rsidR="00D421EF" w:rsidRPr="00732D9D">
              <w:rPr>
                <w:sz w:val="24"/>
                <w:szCs w:val="24"/>
              </w:rPr>
              <w:t xml:space="preserve"> aktualizāciju un svītrot ar rekons</w:t>
            </w:r>
            <w:r w:rsidR="00D421EF" w:rsidRPr="00C46766">
              <w:rPr>
                <w:sz w:val="24"/>
                <w:szCs w:val="24"/>
              </w:rPr>
              <w:t>trukciju, jauna aprīkojuma un jaunu iekārtu iegādi saistīto regulējumu. (Noteikumu</w:t>
            </w:r>
            <w:r w:rsidR="00580A61">
              <w:rPr>
                <w:sz w:val="24"/>
                <w:szCs w:val="24"/>
              </w:rPr>
              <w:t xml:space="preserve"> 5., 15</w:t>
            </w:r>
            <w:r w:rsidR="00956A2C">
              <w:rPr>
                <w:sz w:val="24"/>
                <w:szCs w:val="24"/>
              </w:rPr>
              <w:t>., 1</w:t>
            </w:r>
            <w:r w:rsidR="00580A61">
              <w:rPr>
                <w:sz w:val="24"/>
                <w:szCs w:val="24"/>
              </w:rPr>
              <w:t>7</w:t>
            </w:r>
            <w:r w:rsidR="00956A2C">
              <w:rPr>
                <w:sz w:val="24"/>
                <w:szCs w:val="24"/>
              </w:rPr>
              <w:t xml:space="preserve">., </w:t>
            </w:r>
            <w:r w:rsidR="00580A61">
              <w:rPr>
                <w:sz w:val="24"/>
                <w:szCs w:val="24"/>
              </w:rPr>
              <w:t>18</w:t>
            </w:r>
            <w:r w:rsidR="00956A2C">
              <w:rPr>
                <w:sz w:val="24"/>
                <w:szCs w:val="24"/>
              </w:rPr>
              <w:t xml:space="preserve">., </w:t>
            </w:r>
            <w:r w:rsidR="00580A61">
              <w:rPr>
                <w:sz w:val="24"/>
                <w:szCs w:val="24"/>
              </w:rPr>
              <w:t>19</w:t>
            </w:r>
            <w:r w:rsidR="00956A2C">
              <w:rPr>
                <w:sz w:val="24"/>
                <w:szCs w:val="24"/>
              </w:rPr>
              <w:t>., 2</w:t>
            </w:r>
            <w:r w:rsidR="00580A61">
              <w:rPr>
                <w:sz w:val="24"/>
                <w:szCs w:val="24"/>
              </w:rPr>
              <w:t>0</w:t>
            </w:r>
            <w:r w:rsidR="00956A2C">
              <w:rPr>
                <w:sz w:val="24"/>
                <w:szCs w:val="24"/>
              </w:rPr>
              <w:t>., 2</w:t>
            </w:r>
            <w:r w:rsidR="00580A61">
              <w:rPr>
                <w:sz w:val="24"/>
                <w:szCs w:val="24"/>
              </w:rPr>
              <w:t>1</w:t>
            </w:r>
            <w:r w:rsidR="00956A2C">
              <w:rPr>
                <w:sz w:val="24"/>
                <w:szCs w:val="24"/>
              </w:rPr>
              <w:t>., 2</w:t>
            </w:r>
            <w:r w:rsidR="00580A61">
              <w:rPr>
                <w:sz w:val="24"/>
                <w:szCs w:val="24"/>
              </w:rPr>
              <w:t>2</w:t>
            </w:r>
            <w:r w:rsidR="00956A2C">
              <w:rPr>
                <w:sz w:val="24"/>
                <w:szCs w:val="24"/>
              </w:rPr>
              <w:t>.,</w:t>
            </w:r>
            <w:r>
              <w:rPr>
                <w:sz w:val="24"/>
                <w:szCs w:val="24"/>
              </w:rPr>
              <w:t xml:space="preserve"> </w:t>
            </w:r>
            <w:r w:rsidR="004F7CF6">
              <w:rPr>
                <w:sz w:val="24"/>
                <w:szCs w:val="24"/>
              </w:rPr>
              <w:t xml:space="preserve">23., </w:t>
            </w:r>
            <w:r>
              <w:rPr>
                <w:sz w:val="24"/>
                <w:szCs w:val="24"/>
              </w:rPr>
              <w:t>2</w:t>
            </w:r>
            <w:r w:rsidR="00580A61">
              <w:rPr>
                <w:sz w:val="24"/>
                <w:szCs w:val="24"/>
              </w:rPr>
              <w:t>4</w:t>
            </w:r>
            <w:r>
              <w:rPr>
                <w:sz w:val="24"/>
                <w:szCs w:val="24"/>
              </w:rPr>
              <w:t>.,</w:t>
            </w:r>
            <w:r w:rsidR="00956A2C">
              <w:rPr>
                <w:sz w:val="24"/>
                <w:szCs w:val="24"/>
              </w:rPr>
              <w:t xml:space="preserve"> 2</w:t>
            </w:r>
            <w:r w:rsidR="004F7CF6">
              <w:rPr>
                <w:sz w:val="24"/>
                <w:szCs w:val="24"/>
              </w:rPr>
              <w:t>5., 26. un 29</w:t>
            </w:r>
            <w:r w:rsidR="00956A2C">
              <w:rPr>
                <w:sz w:val="24"/>
                <w:szCs w:val="24"/>
              </w:rPr>
              <w:t>.punkts</w:t>
            </w:r>
            <w:r w:rsidR="00F91671">
              <w:rPr>
                <w:sz w:val="24"/>
                <w:szCs w:val="24"/>
              </w:rPr>
              <w:t>).</w:t>
            </w:r>
          </w:p>
          <w:p w14:paraId="3AC4A45C" w14:textId="6973C0F7" w:rsidR="00AE5FEB" w:rsidRPr="00746CCA" w:rsidRDefault="00903F9B" w:rsidP="00F91E32">
            <w:pPr>
              <w:tabs>
                <w:tab w:val="left" w:pos="348"/>
              </w:tabs>
              <w:jc w:val="both"/>
              <w:rPr>
                <w:sz w:val="24"/>
                <w:szCs w:val="24"/>
              </w:rPr>
            </w:pPr>
            <w:r w:rsidRPr="00746CCA">
              <w:rPr>
                <w:sz w:val="24"/>
                <w:szCs w:val="24"/>
              </w:rPr>
              <w:t>6</w:t>
            </w:r>
            <w:r w:rsidR="00600D43" w:rsidRPr="00746CCA">
              <w:rPr>
                <w:sz w:val="24"/>
                <w:szCs w:val="24"/>
              </w:rPr>
              <w:t xml:space="preserve">) </w:t>
            </w:r>
            <w:r w:rsidR="00D421EF" w:rsidRPr="00746CCA">
              <w:rPr>
                <w:sz w:val="24"/>
                <w:szCs w:val="24"/>
              </w:rPr>
              <w:t>Atbilstoši iepriekš noteiktā projekta īstenošanas termiņa</w:t>
            </w:r>
            <w:r w:rsidR="00843C39" w:rsidRPr="00746CCA">
              <w:rPr>
                <w:sz w:val="24"/>
                <w:szCs w:val="24"/>
              </w:rPr>
              <w:t xml:space="preserve"> p</w:t>
            </w:r>
            <w:r w:rsidR="00AE5FEB" w:rsidRPr="00746CCA">
              <w:rPr>
                <w:sz w:val="24"/>
                <w:szCs w:val="24"/>
              </w:rPr>
              <w:t xml:space="preserve">agarinājumam līdz 2017.gada 30.aprīlim, tiek pagarināts iepriekš noteiktā projekta noslēguma iesniegšanas pārskata termiņš ne vēlāk </w:t>
            </w:r>
            <w:r w:rsidR="00AA45BA" w:rsidRPr="00746CCA">
              <w:rPr>
                <w:sz w:val="24"/>
                <w:szCs w:val="24"/>
              </w:rPr>
              <w:t>kā līdz</w:t>
            </w:r>
            <w:r w:rsidR="00AE5FEB" w:rsidRPr="00746CCA">
              <w:rPr>
                <w:sz w:val="24"/>
                <w:szCs w:val="24"/>
              </w:rPr>
              <w:t xml:space="preserve"> 2017.gada 15.jūnij</w:t>
            </w:r>
            <w:r w:rsidR="00AA45BA" w:rsidRPr="00C81ECA">
              <w:rPr>
                <w:sz w:val="24"/>
                <w:szCs w:val="24"/>
              </w:rPr>
              <w:t>am</w:t>
            </w:r>
            <w:r w:rsidR="003B42BD" w:rsidRPr="00C81ECA">
              <w:rPr>
                <w:sz w:val="24"/>
                <w:szCs w:val="24"/>
              </w:rPr>
              <w:t xml:space="preserve"> Noteikumu </w:t>
            </w:r>
            <w:r w:rsidR="004F7CF6">
              <w:rPr>
                <w:sz w:val="24"/>
                <w:szCs w:val="24"/>
              </w:rPr>
              <w:t>28</w:t>
            </w:r>
            <w:r w:rsidR="00F91671">
              <w:rPr>
                <w:sz w:val="24"/>
                <w:szCs w:val="24"/>
              </w:rPr>
              <w:t>.punkts).</w:t>
            </w:r>
          </w:p>
          <w:p w14:paraId="18285B28" w14:textId="22356662" w:rsidR="00222EC0" w:rsidRDefault="00903F9B" w:rsidP="00F91E32">
            <w:pPr>
              <w:tabs>
                <w:tab w:val="left" w:pos="348"/>
              </w:tabs>
              <w:jc w:val="both"/>
              <w:rPr>
                <w:sz w:val="24"/>
                <w:szCs w:val="24"/>
              </w:rPr>
            </w:pPr>
            <w:r w:rsidRPr="004F7CF6">
              <w:rPr>
                <w:sz w:val="24"/>
                <w:szCs w:val="24"/>
              </w:rPr>
              <w:t>7) Lai nodrošinātu normatīvajos aktos atbilstošu terminu izmantošanu, tiek veikti tehniski pre</w:t>
            </w:r>
            <w:r w:rsidR="00F91671">
              <w:rPr>
                <w:sz w:val="24"/>
                <w:szCs w:val="24"/>
              </w:rPr>
              <w:t>cizējumi. (Noteikumu 10.punkts).</w:t>
            </w:r>
          </w:p>
          <w:p w14:paraId="24E221FC" w14:textId="3F8CBF10" w:rsidR="004F7796" w:rsidRPr="0074221C" w:rsidRDefault="00580A61" w:rsidP="00580A61">
            <w:pPr>
              <w:tabs>
                <w:tab w:val="left" w:pos="348"/>
              </w:tabs>
              <w:jc w:val="both"/>
              <w:rPr>
                <w:sz w:val="24"/>
                <w:szCs w:val="24"/>
              </w:rPr>
            </w:pPr>
            <w:r>
              <w:rPr>
                <w:sz w:val="24"/>
                <w:szCs w:val="24"/>
              </w:rPr>
              <w:t>8</w:t>
            </w:r>
            <w:r w:rsidR="004F7796">
              <w:rPr>
                <w:sz w:val="24"/>
                <w:szCs w:val="24"/>
              </w:rPr>
              <w:t xml:space="preserve">) Lai nodrošinātu iespēju Norvēģijas industriālās attīstības korporācijas “SIVA” </w:t>
            </w:r>
            <w:proofErr w:type="spellStart"/>
            <w:r w:rsidR="004F7796">
              <w:rPr>
                <w:sz w:val="24"/>
                <w:szCs w:val="24"/>
              </w:rPr>
              <w:t>donrvalsts</w:t>
            </w:r>
            <w:proofErr w:type="spellEnd"/>
            <w:r w:rsidR="004F7796">
              <w:rPr>
                <w:sz w:val="24"/>
                <w:szCs w:val="24"/>
              </w:rPr>
              <w:t xml:space="preserve"> partnerim saņemt avansa maksājumu līdz 35% apmēram, Noteikumi tiek papildināti ar regulējumu, kas piešķir </w:t>
            </w:r>
            <w:r w:rsidR="004F7796">
              <w:rPr>
                <w:sz w:val="24"/>
                <w:szCs w:val="24"/>
              </w:rPr>
              <w:lastRenderedPageBreak/>
              <w:t>tiesības saņemt avansu līdzīgi kā tas ir atļauts citām Pro</w:t>
            </w:r>
            <w:r>
              <w:rPr>
                <w:sz w:val="24"/>
                <w:szCs w:val="24"/>
              </w:rPr>
              <w:t>grammas aktivitātēm</w:t>
            </w:r>
            <w:r w:rsidR="004F7CF6">
              <w:rPr>
                <w:sz w:val="24"/>
                <w:szCs w:val="24"/>
              </w:rPr>
              <w:t xml:space="preserve">, kā arī dodot tiesības zaļo tehnoloģiju inkubatoram saņemt avansu </w:t>
            </w:r>
            <w:proofErr w:type="spellStart"/>
            <w:r w:rsidR="004F7CF6">
              <w:rPr>
                <w:sz w:val="24"/>
                <w:szCs w:val="24"/>
              </w:rPr>
              <w:t>pirmsinkubācijas</w:t>
            </w:r>
            <w:proofErr w:type="spellEnd"/>
            <w:r w:rsidR="004F7CF6">
              <w:rPr>
                <w:sz w:val="24"/>
                <w:szCs w:val="24"/>
              </w:rPr>
              <w:t xml:space="preserve"> pakalpojumu nodrošināšanai (Noteikumu 27</w:t>
            </w:r>
            <w:r w:rsidR="004F7796">
              <w:rPr>
                <w:sz w:val="24"/>
                <w:szCs w:val="24"/>
              </w:rPr>
              <w:t>.punkts).</w:t>
            </w:r>
          </w:p>
        </w:tc>
      </w:tr>
      <w:tr w:rsidR="003D5C72" w:rsidRPr="0074221C" w14:paraId="64762F9B" w14:textId="77777777" w:rsidTr="00DA2E9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1DEE89" w14:textId="384ED591"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lastRenderedPageBreak/>
              <w:t>3.</w:t>
            </w:r>
          </w:p>
        </w:tc>
        <w:tc>
          <w:tcPr>
            <w:tcW w:w="1749" w:type="pct"/>
            <w:tcBorders>
              <w:top w:val="outset" w:sz="6" w:space="0" w:color="414142"/>
              <w:left w:val="outset" w:sz="6" w:space="0" w:color="414142"/>
              <w:bottom w:val="outset" w:sz="6" w:space="0" w:color="414142"/>
              <w:right w:val="outset" w:sz="6" w:space="0" w:color="414142"/>
            </w:tcBorders>
            <w:hideMark/>
          </w:tcPr>
          <w:p w14:paraId="5154AE53"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Projekta izstrādē iesaistītās institūcijas</w:t>
            </w:r>
          </w:p>
        </w:tc>
        <w:tc>
          <w:tcPr>
            <w:tcW w:w="3001" w:type="pct"/>
            <w:tcBorders>
              <w:top w:val="outset" w:sz="6" w:space="0" w:color="414142"/>
              <w:left w:val="outset" w:sz="6" w:space="0" w:color="414142"/>
              <w:bottom w:val="outset" w:sz="6" w:space="0" w:color="414142"/>
              <w:right w:val="outset" w:sz="6" w:space="0" w:color="414142"/>
            </w:tcBorders>
            <w:hideMark/>
          </w:tcPr>
          <w:p w14:paraId="38B0749B" w14:textId="77777777" w:rsidR="003D5C72" w:rsidRPr="0074221C" w:rsidRDefault="003D5C72" w:rsidP="00D76F9C">
            <w:pPr>
              <w:jc w:val="both"/>
              <w:rPr>
                <w:rFonts w:eastAsia="Times New Roman" w:cs="Times New Roman"/>
                <w:sz w:val="24"/>
                <w:szCs w:val="24"/>
              </w:rPr>
            </w:pPr>
            <w:r w:rsidRPr="0074221C">
              <w:rPr>
                <w:rFonts w:eastAsia="Times New Roman" w:cs="Times New Roman"/>
                <w:sz w:val="24"/>
                <w:szCs w:val="24"/>
              </w:rPr>
              <w:t xml:space="preserve">Noteikumu projekts ir izstrādāts sadarbojoties ar Programmas </w:t>
            </w:r>
            <w:proofErr w:type="spellStart"/>
            <w:r w:rsidRPr="0074221C">
              <w:rPr>
                <w:rFonts w:eastAsia="Times New Roman" w:cs="Times New Roman"/>
                <w:sz w:val="24"/>
                <w:szCs w:val="24"/>
              </w:rPr>
              <w:t>donorvalsts</w:t>
            </w:r>
            <w:proofErr w:type="spellEnd"/>
            <w:r w:rsidRPr="0074221C">
              <w:rPr>
                <w:rFonts w:eastAsia="Times New Roman" w:cs="Times New Roman"/>
                <w:sz w:val="24"/>
                <w:szCs w:val="24"/>
              </w:rPr>
              <w:t xml:space="preserve"> partneri Norvēģijas Karalistes val</w:t>
            </w:r>
            <w:r w:rsidR="00B1476A" w:rsidRPr="0074221C">
              <w:rPr>
                <w:rFonts w:eastAsia="Times New Roman" w:cs="Times New Roman"/>
                <w:sz w:val="24"/>
                <w:szCs w:val="24"/>
              </w:rPr>
              <w:t>sts uzņēmumu „</w:t>
            </w:r>
            <w:proofErr w:type="spellStart"/>
            <w:r w:rsidR="00B1476A" w:rsidRPr="0074221C">
              <w:rPr>
                <w:rFonts w:eastAsia="Times New Roman" w:cs="Times New Roman"/>
                <w:sz w:val="24"/>
                <w:szCs w:val="24"/>
              </w:rPr>
              <w:t>Innovation</w:t>
            </w:r>
            <w:proofErr w:type="spellEnd"/>
            <w:r w:rsidR="00B1476A" w:rsidRPr="0074221C">
              <w:rPr>
                <w:rFonts w:eastAsia="Times New Roman" w:cs="Times New Roman"/>
                <w:sz w:val="24"/>
                <w:szCs w:val="24"/>
              </w:rPr>
              <w:t xml:space="preserve"> </w:t>
            </w:r>
            <w:proofErr w:type="spellStart"/>
            <w:r w:rsidR="00B1476A" w:rsidRPr="0074221C">
              <w:rPr>
                <w:rFonts w:eastAsia="Times New Roman" w:cs="Times New Roman"/>
                <w:sz w:val="24"/>
                <w:szCs w:val="24"/>
              </w:rPr>
              <w:t>Norway</w:t>
            </w:r>
            <w:proofErr w:type="spellEnd"/>
            <w:r w:rsidRPr="0074221C">
              <w:rPr>
                <w:rFonts w:eastAsia="Times New Roman" w:cs="Times New Roman"/>
                <w:sz w:val="24"/>
                <w:szCs w:val="24"/>
              </w:rPr>
              <w:t xml:space="preserve">”, kā arī </w:t>
            </w:r>
            <w:r w:rsidR="00B1476A" w:rsidRPr="0074221C">
              <w:rPr>
                <w:rFonts w:eastAsia="Times New Roman" w:cs="Times New Roman"/>
                <w:sz w:val="24"/>
                <w:szCs w:val="24"/>
              </w:rPr>
              <w:t>LIAA.</w:t>
            </w:r>
          </w:p>
        </w:tc>
      </w:tr>
      <w:tr w:rsidR="003D5C72" w:rsidRPr="0074221C" w14:paraId="698F87A7" w14:textId="77777777" w:rsidTr="00DA2E91">
        <w:tc>
          <w:tcPr>
            <w:tcW w:w="250" w:type="pct"/>
            <w:tcBorders>
              <w:top w:val="outset" w:sz="6" w:space="0" w:color="414142"/>
              <w:left w:val="outset" w:sz="6" w:space="0" w:color="414142"/>
              <w:bottom w:val="outset" w:sz="6" w:space="0" w:color="414142"/>
              <w:right w:val="outset" w:sz="6" w:space="0" w:color="414142"/>
            </w:tcBorders>
            <w:hideMark/>
          </w:tcPr>
          <w:p w14:paraId="250D2A39"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4.</w:t>
            </w:r>
          </w:p>
        </w:tc>
        <w:tc>
          <w:tcPr>
            <w:tcW w:w="1749" w:type="pct"/>
            <w:tcBorders>
              <w:top w:val="outset" w:sz="6" w:space="0" w:color="414142"/>
              <w:left w:val="outset" w:sz="6" w:space="0" w:color="414142"/>
              <w:bottom w:val="outset" w:sz="6" w:space="0" w:color="414142"/>
              <w:right w:val="outset" w:sz="6" w:space="0" w:color="414142"/>
            </w:tcBorders>
            <w:hideMark/>
          </w:tcPr>
          <w:p w14:paraId="0519892E"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Cita informācija</w:t>
            </w:r>
          </w:p>
        </w:tc>
        <w:tc>
          <w:tcPr>
            <w:tcW w:w="3001" w:type="pct"/>
            <w:tcBorders>
              <w:top w:val="outset" w:sz="6" w:space="0" w:color="414142"/>
              <w:left w:val="outset" w:sz="6" w:space="0" w:color="414142"/>
              <w:bottom w:val="outset" w:sz="6" w:space="0" w:color="414142"/>
              <w:right w:val="outset" w:sz="6" w:space="0" w:color="414142"/>
            </w:tcBorders>
            <w:hideMark/>
          </w:tcPr>
          <w:p w14:paraId="3FB04D3A"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Nav</w:t>
            </w:r>
          </w:p>
        </w:tc>
      </w:tr>
    </w:tbl>
    <w:p w14:paraId="42540CDA" w14:textId="77777777" w:rsidR="00CB38D8" w:rsidRDefault="003D5C72" w:rsidP="00D76F9C">
      <w:pPr>
        <w:shd w:val="clear" w:color="auto" w:fill="FFFFFF"/>
        <w:ind w:firstLine="300"/>
        <w:rPr>
          <w:rFonts w:ascii="Arial" w:eastAsia="Times New Roman" w:hAnsi="Arial" w:cs="Arial"/>
          <w:color w:val="414142"/>
          <w:sz w:val="24"/>
          <w:szCs w:val="24"/>
        </w:rPr>
      </w:pPr>
      <w:r w:rsidRPr="0074221C">
        <w:rPr>
          <w:rFonts w:ascii="Arial" w:eastAsia="Times New Roman" w:hAnsi="Arial" w:cs="Arial"/>
          <w:color w:val="414142"/>
          <w:sz w:val="24"/>
          <w:szCs w:val="24"/>
        </w:rPr>
        <w:t> </w:t>
      </w:r>
    </w:p>
    <w:p w14:paraId="59A29A17" w14:textId="77777777" w:rsidR="00DA2E91" w:rsidRDefault="00DA2E91" w:rsidP="00D76F9C">
      <w:pPr>
        <w:shd w:val="clear" w:color="auto" w:fill="FFFFFF"/>
        <w:ind w:firstLine="300"/>
        <w:rPr>
          <w:rFonts w:ascii="Arial" w:eastAsia="Times New Roman" w:hAnsi="Arial" w:cs="Arial"/>
          <w:color w:val="414142"/>
          <w:sz w:val="24"/>
          <w:szCs w:val="24"/>
        </w:rPr>
      </w:pPr>
    </w:p>
    <w:p w14:paraId="4DFE3774" w14:textId="77777777" w:rsidR="00DA2E91" w:rsidRPr="0074221C" w:rsidRDefault="00DA2E91" w:rsidP="00D76F9C">
      <w:pPr>
        <w:shd w:val="clear" w:color="auto" w:fill="FFFFFF"/>
        <w:ind w:firstLine="300"/>
        <w:rPr>
          <w:rFonts w:ascii="Arial" w:eastAsia="Times New Roman" w:hAnsi="Arial" w:cs="Arial"/>
          <w:color w:val="414142"/>
          <w:sz w:val="24"/>
          <w:szCs w:val="24"/>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2666"/>
        <w:gridCol w:w="184"/>
        <w:gridCol w:w="1013"/>
        <w:gridCol w:w="1565"/>
        <w:gridCol w:w="1105"/>
        <w:gridCol w:w="1197"/>
        <w:gridCol w:w="1016"/>
      </w:tblGrid>
      <w:tr w:rsidR="003D5C72" w:rsidRPr="0074221C" w14:paraId="4EFB814A" w14:textId="77777777" w:rsidTr="00843C39">
        <w:trPr>
          <w:trHeight w:val="55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2D7DD25A" w14:textId="77777777" w:rsidR="003D5C72" w:rsidRPr="0074221C" w:rsidRDefault="003D5C72" w:rsidP="00D76F9C">
            <w:pPr>
              <w:jc w:val="center"/>
              <w:rPr>
                <w:rFonts w:eastAsia="Times New Roman" w:cs="Times New Roman"/>
                <w:b/>
                <w:bCs/>
                <w:sz w:val="24"/>
                <w:szCs w:val="24"/>
              </w:rPr>
            </w:pPr>
            <w:r w:rsidRPr="0074221C">
              <w:rPr>
                <w:rFonts w:eastAsia="Times New Roman" w:cs="Times New Roman"/>
                <w:b/>
                <w:bCs/>
                <w:sz w:val="24"/>
                <w:szCs w:val="24"/>
              </w:rPr>
              <w:t>II. Tiesību akta projekta ietekme uz sabiedrību, tautsaimniecības attīstību un administratīvo slogu</w:t>
            </w:r>
          </w:p>
        </w:tc>
      </w:tr>
      <w:tr w:rsidR="003D5C72" w:rsidRPr="0074221C" w14:paraId="3AFAACC0" w14:textId="77777777" w:rsidTr="00843C39">
        <w:trPr>
          <w:trHeight w:val="3840"/>
        </w:trPr>
        <w:tc>
          <w:tcPr>
            <w:tcW w:w="250" w:type="pct"/>
            <w:tcBorders>
              <w:top w:val="outset" w:sz="6" w:space="0" w:color="414142"/>
              <w:left w:val="outset" w:sz="6" w:space="0" w:color="414142"/>
              <w:bottom w:val="outset" w:sz="6" w:space="0" w:color="414142"/>
              <w:right w:val="outset" w:sz="6" w:space="0" w:color="414142"/>
            </w:tcBorders>
            <w:hideMark/>
          </w:tcPr>
          <w:p w14:paraId="219BCF5F"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1.</w:t>
            </w:r>
          </w:p>
        </w:tc>
        <w:tc>
          <w:tcPr>
            <w:tcW w:w="1548" w:type="pct"/>
            <w:gridSpan w:val="2"/>
            <w:tcBorders>
              <w:top w:val="outset" w:sz="6" w:space="0" w:color="414142"/>
              <w:left w:val="outset" w:sz="6" w:space="0" w:color="414142"/>
              <w:bottom w:val="outset" w:sz="6" w:space="0" w:color="414142"/>
              <w:right w:val="outset" w:sz="6" w:space="0" w:color="414142"/>
            </w:tcBorders>
            <w:hideMark/>
          </w:tcPr>
          <w:p w14:paraId="716F4108"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 xml:space="preserve">Sabiedrības </w:t>
            </w:r>
            <w:proofErr w:type="spellStart"/>
            <w:r w:rsidRPr="0074221C">
              <w:rPr>
                <w:rFonts w:eastAsia="Times New Roman" w:cs="Times New Roman"/>
                <w:sz w:val="24"/>
                <w:szCs w:val="24"/>
              </w:rPr>
              <w:t>mērķgrupas</w:t>
            </w:r>
            <w:proofErr w:type="spellEnd"/>
            <w:r w:rsidRPr="0074221C">
              <w:rPr>
                <w:rFonts w:eastAsia="Times New Roman" w:cs="Times New Roman"/>
                <w:sz w:val="24"/>
                <w:szCs w:val="24"/>
              </w:rPr>
              <w:t>, kuras tiesiskais regulējums ietekmē vai varētu ietekmēt</w:t>
            </w:r>
          </w:p>
        </w:tc>
        <w:tc>
          <w:tcPr>
            <w:tcW w:w="3202" w:type="pct"/>
            <w:gridSpan w:val="5"/>
            <w:tcBorders>
              <w:top w:val="outset" w:sz="6" w:space="0" w:color="414142"/>
              <w:left w:val="outset" w:sz="6" w:space="0" w:color="414142"/>
              <w:bottom w:val="outset" w:sz="6" w:space="0" w:color="414142"/>
              <w:right w:val="outset" w:sz="6" w:space="0" w:color="414142"/>
            </w:tcBorders>
            <w:hideMark/>
          </w:tcPr>
          <w:p w14:paraId="541EC1B9" w14:textId="77777777" w:rsidR="008F7CDA" w:rsidRPr="0074221C" w:rsidRDefault="003D5C72" w:rsidP="00D76F9C">
            <w:pPr>
              <w:jc w:val="both"/>
              <w:rPr>
                <w:rFonts w:eastAsia="Times New Roman" w:cs="Times New Roman"/>
                <w:color w:val="000000"/>
                <w:sz w:val="24"/>
                <w:szCs w:val="24"/>
                <w:lang w:eastAsia="lv-LV"/>
              </w:rPr>
            </w:pPr>
            <w:r w:rsidRPr="0074221C">
              <w:rPr>
                <w:rFonts w:eastAsia="Times New Roman" w:cs="Times New Roman"/>
                <w:sz w:val="24"/>
                <w:szCs w:val="24"/>
              </w:rPr>
              <w:t>Komersanti</w:t>
            </w:r>
            <w:r w:rsidR="00A44E66" w:rsidRPr="0074221C">
              <w:rPr>
                <w:rFonts w:eastAsia="Times New Roman" w:cs="Times New Roman"/>
                <w:sz w:val="24"/>
                <w:szCs w:val="24"/>
              </w:rPr>
              <w:t xml:space="preserve"> – projektu īstenotāji</w:t>
            </w:r>
            <w:r w:rsidR="005F501E" w:rsidRPr="0074221C">
              <w:rPr>
                <w:rFonts w:eastAsia="Times New Roman" w:cs="Times New Roman"/>
                <w:sz w:val="24"/>
                <w:szCs w:val="24"/>
              </w:rPr>
              <w:t>, ar kuriem noslēgti līgumi par programmas atbalstīto projekt</w:t>
            </w:r>
            <w:r w:rsidR="00A44E66" w:rsidRPr="0074221C">
              <w:rPr>
                <w:rFonts w:eastAsia="Times New Roman" w:cs="Times New Roman"/>
                <w:sz w:val="24"/>
                <w:szCs w:val="24"/>
              </w:rPr>
              <w:t>u</w:t>
            </w:r>
            <w:r w:rsidR="005F501E" w:rsidRPr="0074221C">
              <w:rPr>
                <w:rFonts w:eastAsia="Times New Roman" w:cs="Times New Roman"/>
                <w:sz w:val="24"/>
                <w:szCs w:val="24"/>
              </w:rPr>
              <w:t xml:space="preserve"> īstenošanu</w:t>
            </w:r>
            <w:r w:rsidR="00106802" w:rsidRPr="0074221C">
              <w:rPr>
                <w:rFonts w:eastAsia="Times New Roman" w:cs="Times New Roman"/>
                <w:sz w:val="24"/>
                <w:szCs w:val="24"/>
              </w:rPr>
              <w:t xml:space="preserve">, jo īpaši iepriekš noteiktā projekta klienti – </w:t>
            </w:r>
            <w:proofErr w:type="spellStart"/>
            <w:r w:rsidR="00106802" w:rsidRPr="0074221C">
              <w:rPr>
                <w:rFonts w:eastAsia="Times New Roman" w:cs="Times New Roman"/>
                <w:sz w:val="24"/>
                <w:szCs w:val="24"/>
              </w:rPr>
              <w:t>pirmsinkubācijas</w:t>
            </w:r>
            <w:proofErr w:type="spellEnd"/>
            <w:r w:rsidR="00106802" w:rsidRPr="0074221C">
              <w:rPr>
                <w:rFonts w:eastAsia="Times New Roman" w:cs="Times New Roman"/>
                <w:sz w:val="24"/>
                <w:szCs w:val="24"/>
              </w:rPr>
              <w:t xml:space="preserve"> un inkubācijas pakalpojumu saņēmēji. Ņemot vērā, ka veiktie grozījumi ir labvēlīgāki projektu īstenotājiem, tai skaitā, iepriekš noteiktā projekta klientiem, tad izmaiņas Noteikumos negatīvi neietekmēs nevienu no sabiedrības mērķa grupām. Tieši pretēji, tiks radīta labvēlīgāka vide tām jaunajām biznesa idejām, kas atrodas vēl sākuma stadijā un kuras </w:t>
            </w:r>
            <w:r w:rsidR="00AA45BA" w:rsidRPr="0074221C">
              <w:rPr>
                <w:rFonts w:eastAsia="Times New Roman" w:cs="Times New Roman"/>
                <w:sz w:val="24"/>
                <w:szCs w:val="24"/>
              </w:rPr>
              <w:t xml:space="preserve">ir jāattīsta, tādējādi īstenojot arī </w:t>
            </w:r>
            <w:r w:rsidR="00106802" w:rsidRPr="0074221C">
              <w:rPr>
                <w:rFonts w:eastAsia="Times New Roman" w:cs="Times New Roman"/>
                <w:sz w:val="24"/>
                <w:szCs w:val="24"/>
              </w:rPr>
              <w:t>Eiropas mazo uzņēmumu hartā noteiktos principus,</w:t>
            </w:r>
            <w:r w:rsidR="00AA45BA" w:rsidRPr="0074221C">
              <w:rPr>
                <w:rFonts w:eastAsia="Times New Roman" w:cs="Times New Roman"/>
                <w:sz w:val="24"/>
                <w:szCs w:val="24"/>
              </w:rPr>
              <w:t xml:space="preserve"> par kuru ieviešanu ir atbildīga</w:t>
            </w:r>
            <w:r w:rsidR="00106802" w:rsidRPr="0074221C">
              <w:rPr>
                <w:rFonts w:eastAsia="Times New Roman" w:cs="Times New Roman"/>
                <w:sz w:val="24"/>
                <w:szCs w:val="24"/>
              </w:rPr>
              <w:t xml:space="preserve"> </w:t>
            </w:r>
            <w:r w:rsidR="00AA45BA" w:rsidRPr="0074221C">
              <w:rPr>
                <w:rFonts w:eastAsia="Times New Roman" w:cs="Times New Roman"/>
                <w:sz w:val="24"/>
                <w:szCs w:val="24"/>
              </w:rPr>
              <w:t>E</w:t>
            </w:r>
            <w:r w:rsidR="00106802" w:rsidRPr="0074221C">
              <w:rPr>
                <w:rFonts w:eastAsia="Times New Roman" w:cs="Times New Roman"/>
                <w:sz w:val="24"/>
                <w:szCs w:val="24"/>
              </w:rPr>
              <w:t>konomikas ministri</w:t>
            </w:r>
            <w:r w:rsidR="00AA45BA" w:rsidRPr="0074221C">
              <w:rPr>
                <w:rFonts w:eastAsia="Times New Roman" w:cs="Times New Roman"/>
                <w:sz w:val="24"/>
                <w:szCs w:val="24"/>
              </w:rPr>
              <w:t>j</w:t>
            </w:r>
            <w:r w:rsidR="00106802" w:rsidRPr="0074221C">
              <w:rPr>
                <w:rFonts w:eastAsia="Times New Roman" w:cs="Times New Roman"/>
                <w:sz w:val="24"/>
                <w:szCs w:val="24"/>
              </w:rPr>
              <w:t>a</w:t>
            </w:r>
            <w:r w:rsidR="00AA45BA" w:rsidRPr="0074221C">
              <w:rPr>
                <w:rFonts w:eastAsia="Times New Roman" w:cs="Times New Roman"/>
                <w:sz w:val="24"/>
                <w:szCs w:val="24"/>
              </w:rPr>
              <w:t>.</w:t>
            </w:r>
            <w:r w:rsidR="00106802" w:rsidRPr="0074221C">
              <w:rPr>
                <w:rFonts w:eastAsia="Times New Roman" w:cs="Times New Roman"/>
                <w:sz w:val="24"/>
                <w:szCs w:val="24"/>
              </w:rPr>
              <w:t xml:space="preserve"> Ar papildu finansējumu </w:t>
            </w:r>
            <w:proofErr w:type="spellStart"/>
            <w:r w:rsidR="00106802" w:rsidRPr="0074221C">
              <w:rPr>
                <w:rFonts w:eastAsia="Times New Roman" w:cs="Times New Roman"/>
                <w:sz w:val="24"/>
                <w:szCs w:val="24"/>
              </w:rPr>
              <w:t>pirmsinkubācijas</w:t>
            </w:r>
            <w:proofErr w:type="spellEnd"/>
            <w:r w:rsidR="00106802" w:rsidRPr="0074221C">
              <w:rPr>
                <w:rFonts w:eastAsia="Times New Roman" w:cs="Times New Roman"/>
                <w:sz w:val="24"/>
                <w:szCs w:val="24"/>
              </w:rPr>
              <w:t xml:space="preserve"> pakalpojumu nodrošināšanai, tiek veicināta pozitīva vide biznesa ideju attīstīšanai.</w:t>
            </w:r>
          </w:p>
        </w:tc>
      </w:tr>
      <w:tr w:rsidR="003D5C72" w:rsidRPr="0074221C" w14:paraId="066903AB" w14:textId="77777777" w:rsidTr="00843C3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DC213B9"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2.</w:t>
            </w:r>
          </w:p>
        </w:tc>
        <w:tc>
          <w:tcPr>
            <w:tcW w:w="1548" w:type="pct"/>
            <w:gridSpan w:val="2"/>
            <w:tcBorders>
              <w:top w:val="outset" w:sz="6" w:space="0" w:color="414142"/>
              <w:left w:val="outset" w:sz="6" w:space="0" w:color="414142"/>
              <w:bottom w:val="outset" w:sz="6" w:space="0" w:color="414142"/>
              <w:right w:val="outset" w:sz="6" w:space="0" w:color="414142"/>
            </w:tcBorders>
            <w:hideMark/>
          </w:tcPr>
          <w:p w14:paraId="597B6F1B" w14:textId="77777777" w:rsidR="003D5C72" w:rsidRPr="0074221C" w:rsidRDefault="00AA45BA" w:rsidP="00D76F9C">
            <w:pPr>
              <w:jc w:val="both"/>
              <w:rPr>
                <w:rFonts w:eastAsia="Times New Roman" w:cs="Times New Roman"/>
                <w:sz w:val="24"/>
                <w:szCs w:val="24"/>
              </w:rPr>
            </w:pPr>
            <w:r w:rsidRPr="0074221C">
              <w:rPr>
                <w:rFonts w:eastAsia="Times New Roman" w:cs="Times New Roman"/>
                <w:sz w:val="24"/>
                <w:szCs w:val="24"/>
              </w:rPr>
              <w:t xml:space="preserve">Tiesiskā regulējuma ietekme uz </w:t>
            </w:r>
            <w:r w:rsidR="003D5C72" w:rsidRPr="0074221C">
              <w:rPr>
                <w:rFonts w:eastAsia="Times New Roman" w:cs="Times New Roman"/>
                <w:sz w:val="24"/>
                <w:szCs w:val="24"/>
              </w:rPr>
              <w:t>tautsaimniecību un administratīvo slogu</w:t>
            </w:r>
          </w:p>
        </w:tc>
        <w:tc>
          <w:tcPr>
            <w:tcW w:w="3202" w:type="pct"/>
            <w:gridSpan w:val="5"/>
            <w:tcBorders>
              <w:top w:val="outset" w:sz="6" w:space="0" w:color="414142"/>
              <w:left w:val="outset" w:sz="6" w:space="0" w:color="414142"/>
              <w:bottom w:val="outset" w:sz="6" w:space="0" w:color="414142"/>
              <w:right w:val="outset" w:sz="6" w:space="0" w:color="414142"/>
            </w:tcBorders>
            <w:hideMark/>
          </w:tcPr>
          <w:p w14:paraId="6F6242E9" w14:textId="00A51EFE" w:rsidR="00231FE6" w:rsidRPr="0074221C" w:rsidRDefault="00E82CAE" w:rsidP="00D76F9C">
            <w:pPr>
              <w:jc w:val="both"/>
              <w:rPr>
                <w:sz w:val="24"/>
                <w:szCs w:val="24"/>
              </w:rPr>
            </w:pPr>
            <w:r w:rsidRPr="0074221C">
              <w:rPr>
                <w:sz w:val="24"/>
                <w:szCs w:val="24"/>
              </w:rPr>
              <w:t xml:space="preserve">Noteikumu projekts </w:t>
            </w:r>
            <w:r w:rsidR="003D5C72" w:rsidRPr="0074221C">
              <w:rPr>
                <w:sz w:val="24"/>
                <w:szCs w:val="24"/>
              </w:rPr>
              <w:t xml:space="preserve">paredz </w:t>
            </w:r>
            <w:r w:rsidR="00E21FFD" w:rsidRPr="0074221C">
              <w:rPr>
                <w:sz w:val="24"/>
                <w:szCs w:val="24"/>
              </w:rPr>
              <w:t>palielināt</w:t>
            </w:r>
            <w:r w:rsidR="003D5C72" w:rsidRPr="0074221C">
              <w:rPr>
                <w:sz w:val="24"/>
                <w:szCs w:val="24"/>
              </w:rPr>
              <w:t xml:space="preserve"> Ministru kabineta 2013.gada </w:t>
            </w:r>
            <w:r w:rsidR="002517CB" w:rsidRPr="0074221C">
              <w:rPr>
                <w:sz w:val="24"/>
                <w:szCs w:val="24"/>
              </w:rPr>
              <w:t>2</w:t>
            </w:r>
            <w:r w:rsidR="003D5C72" w:rsidRPr="0074221C">
              <w:rPr>
                <w:sz w:val="24"/>
                <w:szCs w:val="24"/>
              </w:rPr>
              <w:t>.</w:t>
            </w:r>
            <w:r w:rsidR="002517CB" w:rsidRPr="0074221C">
              <w:rPr>
                <w:sz w:val="24"/>
                <w:szCs w:val="24"/>
              </w:rPr>
              <w:t>aprīļa</w:t>
            </w:r>
            <w:r w:rsidR="003D5C72" w:rsidRPr="0074221C">
              <w:rPr>
                <w:sz w:val="24"/>
                <w:szCs w:val="24"/>
              </w:rPr>
              <w:t xml:space="preserve"> noteikumu Nr.</w:t>
            </w:r>
            <w:r w:rsidR="002517CB" w:rsidRPr="0074221C">
              <w:rPr>
                <w:sz w:val="24"/>
                <w:szCs w:val="24"/>
              </w:rPr>
              <w:t>181</w:t>
            </w:r>
            <w:r w:rsidR="003D5C72" w:rsidRPr="0074221C">
              <w:rPr>
                <w:sz w:val="24"/>
                <w:szCs w:val="24"/>
              </w:rPr>
              <w:t xml:space="preserve"> „Norvēģijas finanšu instrumenta 2009.-2014.gada perioda programmas „Inovācijas „zaļās” ražošanas jomā” īstenošanas kārtība”</w:t>
            </w:r>
            <w:r w:rsidR="00B1476A" w:rsidRPr="0074221C">
              <w:rPr>
                <w:sz w:val="24"/>
                <w:szCs w:val="24"/>
              </w:rPr>
              <w:t xml:space="preserve"> (turpmāk – P</w:t>
            </w:r>
            <w:r w:rsidR="00E629A2" w:rsidRPr="0074221C">
              <w:rPr>
                <w:sz w:val="24"/>
                <w:szCs w:val="24"/>
              </w:rPr>
              <w:t>rogramma)</w:t>
            </w:r>
            <w:r w:rsidR="00591542" w:rsidRPr="0074221C">
              <w:rPr>
                <w:sz w:val="24"/>
                <w:szCs w:val="24"/>
              </w:rPr>
              <w:t xml:space="preserve">, </w:t>
            </w:r>
            <w:proofErr w:type="spellStart"/>
            <w:r w:rsidR="00AA45BA" w:rsidRPr="0074221C">
              <w:rPr>
                <w:sz w:val="24"/>
                <w:szCs w:val="24"/>
              </w:rPr>
              <w:t>pirmsinkubācijas</w:t>
            </w:r>
            <w:proofErr w:type="spellEnd"/>
            <w:r w:rsidR="00AA45BA" w:rsidRPr="0074221C">
              <w:rPr>
                <w:sz w:val="24"/>
                <w:szCs w:val="24"/>
              </w:rPr>
              <w:t xml:space="preserve"> </w:t>
            </w:r>
            <w:proofErr w:type="spellStart"/>
            <w:r w:rsidR="00AA45BA" w:rsidRPr="0074221C">
              <w:rPr>
                <w:sz w:val="24"/>
                <w:szCs w:val="24"/>
              </w:rPr>
              <w:t>apakalpojumiem</w:t>
            </w:r>
            <w:proofErr w:type="spellEnd"/>
            <w:r w:rsidR="00AA45BA" w:rsidRPr="0074221C">
              <w:rPr>
                <w:sz w:val="24"/>
                <w:szCs w:val="24"/>
              </w:rPr>
              <w:t xml:space="preserve"> pieejamo atbalstu, lai atbalstītu vēl aptuveni 70 biznesa idejas.</w:t>
            </w:r>
            <w:r w:rsidR="00591542" w:rsidRPr="0074221C">
              <w:rPr>
                <w:sz w:val="24"/>
                <w:szCs w:val="24"/>
              </w:rPr>
              <w:t xml:space="preserve"> </w:t>
            </w:r>
            <w:r w:rsidR="00AA45BA" w:rsidRPr="0074221C">
              <w:rPr>
                <w:sz w:val="24"/>
                <w:szCs w:val="24"/>
              </w:rPr>
              <w:t>A</w:t>
            </w:r>
            <w:r w:rsidR="00591542" w:rsidRPr="0074221C">
              <w:rPr>
                <w:sz w:val="24"/>
                <w:szCs w:val="24"/>
              </w:rPr>
              <w:t xml:space="preserve">tbilstoši ar Programmas projektu </w:t>
            </w:r>
            <w:r w:rsidR="00AA45BA" w:rsidRPr="0074221C">
              <w:rPr>
                <w:sz w:val="24"/>
                <w:szCs w:val="24"/>
              </w:rPr>
              <w:t xml:space="preserve">īstenošanas </w:t>
            </w:r>
            <w:r w:rsidR="00591542" w:rsidRPr="0074221C">
              <w:rPr>
                <w:sz w:val="24"/>
                <w:szCs w:val="24"/>
              </w:rPr>
              <w:t xml:space="preserve">termiņu pagarinājumiem, tiek pagarināti neliela apjoma </w:t>
            </w:r>
            <w:proofErr w:type="spellStart"/>
            <w:r w:rsidR="00591542" w:rsidRPr="0074221C">
              <w:rPr>
                <w:sz w:val="24"/>
                <w:szCs w:val="24"/>
              </w:rPr>
              <w:t>grantu</w:t>
            </w:r>
            <w:proofErr w:type="spellEnd"/>
            <w:r w:rsidR="00591542" w:rsidRPr="0074221C">
              <w:rPr>
                <w:sz w:val="24"/>
                <w:szCs w:val="24"/>
              </w:rPr>
              <w:t xml:space="preserve"> shēmas projektu īstenošanas termiņi</w:t>
            </w:r>
            <w:r w:rsidR="006956A2" w:rsidRPr="0074221C">
              <w:rPr>
                <w:sz w:val="24"/>
                <w:szCs w:val="24"/>
              </w:rPr>
              <w:t xml:space="preserve">. </w:t>
            </w:r>
            <w:r w:rsidR="00F31498">
              <w:rPr>
                <w:sz w:val="24"/>
                <w:szCs w:val="24"/>
              </w:rPr>
              <w:t>A</w:t>
            </w:r>
            <w:r w:rsidR="006956A2" w:rsidRPr="0074221C">
              <w:rPr>
                <w:sz w:val="24"/>
                <w:szCs w:val="24"/>
              </w:rPr>
              <w:t>r 2015.ga</w:t>
            </w:r>
            <w:r w:rsidR="00654076">
              <w:rPr>
                <w:sz w:val="24"/>
                <w:szCs w:val="24"/>
              </w:rPr>
              <w:t xml:space="preserve">da 20.jūlija </w:t>
            </w:r>
            <w:proofErr w:type="spellStart"/>
            <w:r w:rsidR="00654076">
              <w:rPr>
                <w:sz w:val="24"/>
                <w:szCs w:val="24"/>
              </w:rPr>
              <w:t>donorvalsts</w:t>
            </w:r>
            <w:proofErr w:type="spellEnd"/>
            <w:r w:rsidR="00654076">
              <w:rPr>
                <w:sz w:val="24"/>
                <w:szCs w:val="24"/>
              </w:rPr>
              <w:t xml:space="preserve"> lēmumu</w:t>
            </w:r>
            <w:r w:rsidR="004C7F00">
              <w:rPr>
                <w:sz w:val="24"/>
                <w:szCs w:val="24"/>
              </w:rPr>
              <w:t xml:space="preserve"> </w:t>
            </w:r>
            <w:r w:rsidR="00654076">
              <w:rPr>
                <w:sz w:val="24"/>
                <w:szCs w:val="24"/>
              </w:rPr>
              <w:t>tika</w:t>
            </w:r>
            <w:r w:rsidR="006956A2" w:rsidRPr="0074221C">
              <w:rPr>
                <w:sz w:val="24"/>
                <w:szCs w:val="24"/>
              </w:rPr>
              <w:t xml:space="preserve"> palielināts neliela apjoma </w:t>
            </w:r>
            <w:proofErr w:type="spellStart"/>
            <w:r w:rsidR="006956A2" w:rsidRPr="0074221C">
              <w:rPr>
                <w:sz w:val="24"/>
                <w:szCs w:val="24"/>
              </w:rPr>
              <w:t>grantu</w:t>
            </w:r>
            <w:proofErr w:type="spellEnd"/>
            <w:r w:rsidR="006956A2" w:rsidRPr="0074221C">
              <w:rPr>
                <w:sz w:val="24"/>
                <w:szCs w:val="24"/>
              </w:rPr>
              <w:t xml:space="preserve"> shēmas pieejamais fonds līdz atļautajam maksimumam</w:t>
            </w:r>
            <w:r w:rsidR="001F0944">
              <w:rPr>
                <w:sz w:val="24"/>
                <w:szCs w:val="24"/>
              </w:rPr>
              <w:t xml:space="preserve">, tādējādi atbalstot vairākus projektu iesniedzējus, līdz ar to ir nepieciešams papildu finansējums inkubācijas pakalpojumu nodrošināšanai. Nepieciešamais papildu finansējums tiek pārdalīts no </w:t>
            </w:r>
            <w:r w:rsidR="006956A2" w:rsidRPr="0074221C">
              <w:rPr>
                <w:sz w:val="24"/>
                <w:szCs w:val="24"/>
              </w:rPr>
              <w:t>iepriekš note</w:t>
            </w:r>
            <w:r w:rsidR="001F0944">
              <w:rPr>
                <w:sz w:val="24"/>
                <w:szCs w:val="24"/>
              </w:rPr>
              <w:t>iktā projekta ietvaros paredzētās</w:t>
            </w:r>
            <w:r w:rsidR="006956A2" w:rsidRPr="0074221C">
              <w:rPr>
                <w:sz w:val="24"/>
                <w:szCs w:val="24"/>
              </w:rPr>
              <w:t xml:space="preserve"> aktivitāt</w:t>
            </w:r>
            <w:r w:rsidR="001F0944">
              <w:rPr>
                <w:sz w:val="24"/>
                <w:szCs w:val="24"/>
              </w:rPr>
              <w:t>es</w:t>
            </w:r>
            <w:r w:rsidR="006956A2" w:rsidRPr="0074221C">
              <w:rPr>
                <w:sz w:val="24"/>
                <w:szCs w:val="24"/>
              </w:rPr>
              <w:t xml:space="preserve"> “rekonstrukcija un iekārtu iegāde” </w:t>
            </w:r>
            <w:r w:rsidR="00DA2E91">
              <w:rPr>
                <w:sz w:val="24"/>
                <w:szCs w:val="24"/>
              </w:rPr>
              <w:t xml:space="preserve">un no atklāta projektu konkursa radušās </w:t>
            </w:r>
            <w:r w:rsidR="00F31498">
              <w:rPr>
                <w:sz w:val="24"/>
                <w:szCs w:val="24"/>
              </w:rPr>
              <w:t>finans</w:t>
            </w:r>
            <w:r w:rsidR="00DA2E91">
              <w:rPr>
                <w:sz w:val="24"/>
                <w:szCs w:val="24"/>
              </w:rPr>
              <w:t>ējuma atlikuma, tādējādi palielinot inkubācijas pakalpojumu nodrošināšanai nepieciešamo finansējumu.</w:t>
            </w:r>
          </w:p>
          <w:p w14:paraId="27ADD843" w14:textId="77777777" w:rsidR="008F2B19" w:rsidRPr="0074221C" w:rsidRDefault="008F2B19" w:rsidP="00D76F9C">
            <w:pPr>
              <w:jc w:val="both"/>
              <w:rPr>
                <w:sz w:val="24"/>
                <w:szCs w:val="24"/>
              </w:rPr>
            </w:pPr>
            <w:r w:rsidRPr="0074221C">
              <w:rPr>
                <w:sz w:val="24"/>
                <w:szCs w:val="24"/>
              </w:rPr>
              <w:t xml:space="preserve">Tāpat tiek palielinātas programmas vadības izmaksas, iekļaujot finansējumu papildu </w:t>
            </w:r>
            <w:r w:rsidR="00AA45BA" w:rsidRPr="0074221C">
              <w:rPr>
                <w:sz w:val="24"/>
                <w:szCs w:val="24"/>
              </w:rPr>
              <w:t>pasākumiem</w:t>
            </w:r>
            <w:r w:rsidRPr="0074221C">
              <w:rPr>
                <w:sz w:val="24"/>
                <w:szCs w:val="24"/>
              </w:rPr>
              <w:t>, kā arī papil</w:t>
            </w:r>
            <w:r w:rsidR="00AA45BA" w:rsidRPr="0074221C">
              <w:rPr>
                <w:sz w:val="24"/>
                <w:szCs w:val="24"/>
              </w:rPr>
              <w:t>d</w:t>
            </w:r>
            <w:r w:rsidRPr="0074221C">
              <w:rPr>
                <w:sz w:val="24"/>
                <w:szCs w:val="24"/>
              </w:rPr>
              <w:t xml:space="preserve">inot </w:t>
            </w:r>
            <w:r w:rsidRPr="0074221C">
              <w:rPr>
                <w:sz w:val="24"/>
                <w:szCs w:val="24"/>
              </w:rPr>
              <w:lastRenderedPageBreak/>
              <w:t xml:space="preserve">pieejamo finansējumu divpusējās sadarbības aktivitāšu īstenošanai, lai Norvēģijas finanšu instrumenta 2009.-2014.gada perioda ietvaros nodrošinātu pieredzes apmaiņu starp citiem </w:t>
            </w:r>
            <w:r w:rsidR="00173104" w:rsidRPr="0074221C">
              <w:rPr>
                <w:sz w:val="24"/>
                <w:szCs w:val="24"/>
              </w:rPr>
              <w:t xml:space="preserve">Norvēģijas finanšu instrumenta </w:t>
            </w:r>
            <w:r w:rsidRPr="0074221C">
              <w:rPr>
                <w:sz w:val="24"/>
                <w:szCs w:val="24"/>
              </w:rPr>
              <w:t xml:space="preserve">saņēmējvalstu </w:t>
            </w:r>
            <w:r w:rsidR="00173104" w:rsidRPr="0074221C">
              <w:rPr>
                <w:sz w:val="24"/>
                <w:szCs w:val="24"/>
              </w:rPr>
              <w:t>P</w:t>
            </w:r>
            <w:r w:rsidRPr="0074221C">
              <w:rPr>
                <w:sz w:val="24"/>
                <w:szCs w:val="24"/>
              </w:rPr>
              <w:t xml:space="preserve">rogrammu </w:t>
            </w:r>
            <w:proofErr w:type="spellStart"/>
            <w:r w:rsidRPr="0074221C">
              <w:rPr>
                <w:sz w:val="24"/>
                <w:szCs w:val="24"/>
              </w:rPr>
              <w:t>apsaimniekotājiem</w:t>
            </w:r>
            <w:proofErr w:type="spellEnd"/>
            <w:r w:rsidRPr="0074221C">
              <w:rPr>
                <w:sz w:val="24"/>
                <w:szCs w:val="24"/>
              </w:rPr>
              <w:t xml:space="preserve">, saistītajām organizācijām un aģentūrām, kā arī </w:t>
            </w:r>
            <w:r w:rsidR="00854B12" w:rsidRPr="0074221C">
              <w:rPr>
                <w:sz w:val="24"/>
                <w:szCs w:val="24"/>
              </w:rPr>
              <w:t>veicinātu sadarbības tīkla veidošanos, zināšanu, tehnoloģiju un labākas prakses piemēru apmaiņas veicināšanu.</w:t>
            </w:r>
          </w:p>
          <w:p w14:paraId="534E404E" w14:textId="77777777" w:rsidR="00E82CAE" w:rsidRPr="0074221C" w:rsidRDefault="00854B12" w:rsidP="00D76F9C">
            <w:pPr>
              <w:jc w:val="both"/>
              <w:rPr>
                <w:sz w:val="24"/>
                <w:szCs w:val="24"/>
              </w:rPr>
            </w:pPr>
            <w:r w:rsidRPr="0074221C">
              <w:rPr>
                <w:sz w:val="24"/>
                <w:szCs w:val="24"/>
              </w:rPr>
              <w:t xml:space="preserve">Pārdalot finansējumu </w:t>
            </w:r>
            <w:proofErr w:type="spellStart"/>
            <w:r w:rsidRPr="0074221C">
              <w:rPr>
                <w:sz w:val="24"/>
                <w:szCs w:val="24"/>
              </w:rPr>
              <w:t>strap</w:t>
            </w:r>
            <w:proofErr w:type="spellEnd"/>
            <w:r w:rsidRPr="0074221C">
              <w:rPr>
                <w:sz w:val="24"/>
                <w:szCs w:val="24"/>
              </w:rPr>
              <w:t xml:space="preserve"> Programmas aktivitātēm, </w:t>
            </w:r>
            <w:r w:rsidR="00AC4D42" w:rsidRPr="0074221C">
              <w:rPr>
                <w:sz w:val="24"/>
                <w:szCs w:val="24"/>
              </w:rPr>
              <w:t>Programmas īstenošanai piešķirtais Latvijas valsts budžeta līdzfinansējums 10% apmērā no kopē</w:t>
            </w:r>
            <w:r w:rsidR="00B1476A" w:rsidRPr="0074221C">
              <w:rPr>
                <w:sz w:val="24"/>
                <w:szCs w:val="24"/>
              </w:rPr>
              <w:t>jā Programmas budžeta nemainās.</w:t>
            </w:r>
          </w:p>
          <w:p w14:paraId="7C05D27D" w14:textId="77777777" w:rsidR="003D5C72" w:rsidRPr="0074221C" w:rsidRDefault="00F735B7" w:rsidP="00D76F9C">
            <w:pPr>
              <w:jc w:val="both"/>
              <w:rPr>
                <w:sz w:val="24"/>
                <w:szCs w:val="24"/>
              </w:rPr>
            </w:pPr>
            <w:r w:rsidRPr="0074221C">
              <w:rPr>
                <w:sz w:val="24"/>
                <w:szCs w:val="24"/>
              </w:rPr>
              <w:t>Noteikumu projekts nep</w:t>
            </w:r>
            <w:r w:rsidR="00B1476A" w:rsidRPr="0074221C">
              <w:rPr>
                <w:sz w:val="24"/>
                <w:szCs w:val="24"/>
              </w:rPr>
              <w:t>aredz tādas izmaiņas spēkā esošajā</w:t>
            </w:r>
            <w:r w:rsidRPr="0074221C">
              <w:rPr>
                <w:sz w:val="24"/>
                <w:szCs w:val="24"/>
              </w:rPr>
              <w:t xml:space="preserve"> re</w:t>
            </w:r>
            <w:r w:rsidR="00A072E4" w:rsidRPr="0074221C">
              <w:rPr>
                <w:sz w:val="24"/>
                <w:szCs w:val="24"/>
              </w:rPr>
              <w:t>gulējumā, kur</w:t>
            </w:r>
            <w:r w:rsidR="00B1476A" w:rsidRPr="0074221C">
              <w:rPr>
                <w:sz w:val="24"/>
                <w:szCs w:val="24"/>
              </w:rPr>
              <w:t>a</w:t>
            </w:r>
            <w:r w:rsidR="00A072E4" w:rsidRPr="0074221C">
              <w:rPr>
                <w:sz w:val="24"/>
                <w:szCs w:val="24"/>
              </w:rPr>
              <w:t xml:space="preserve"> </w:t>
            </w:r>
            <w:r w:rsidRPr="0074221C">
              <w:rPr>
                <w:sz w:val="24"/>
                <w:szCs w:val="24"/>
              </w:rPr>
              <w:t xml:space="preserve">rezultātā paaugstinātos vai samazinātos </w:t>
            </w:r>
            <w:r w:rsidR="00A633A8" w:rsidRPr="0074221C">
              <w:rPr>
                <w:sz w:val="24"/>
                <w:szCs w:val="24"/>
              </w:rPr>
              <w:t xml:space="preserve">administratīvais </w:t>
            </w:r>
            <w:r w:rsidRPr="0074221C">
              <w:rPr>
                <w:sz w:val="24"/>
                <w:szCs w:val="24"/>
              </w:rPr>
              <w:t>slogs potenciālajiem projekta iesniedzējiem.</w:t>
            </w:r>
          </w:p>
        </w:tc>
      </w:tr>
      <w:tr w:rsidR="003D5C72" w:rsidRPr="0074221C" w14:paraId="2E6A7F8F" w14:textId="77777777" w:rsidTr="00843C3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5BE6D26"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lastRenderedPageBreak/>
              <w:t>3.</w:t>
            </w:r>
          </w:p>
        </w:tc>
        <w:tc>
          <w:tcPr>
            <w:tcW w:w="1548" w:type="pct"/>
            <w:gridSpan w:val="2"/>
            <w:tcBorders>
              <w:top w:val="outset" w:sz="6" w:space="0" w:color="414142"/>
              <w:left w:val="outset" w:sz="6" w:space="0" w:color="414142"/>
              <w:bottom w:val="outset" w:sz="6" w:space="0" w:color="414142"/>
              <w:right w:val="outset" w:sz="6" w:space="0" w:color="414142"/>
            </w:tcBorders>
            <w:hideMark/>
          </w:tcPr>
          <w:p w14:paraId="756DFCDB"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Administratīvo izmaksu monetārs novērtējums</w:t>
            </w:r>
          </w:p>
        </w:tc>
        <w:tc>
          <w:tcPr>
            <w:tcW w:w="3202" w:type="pct"/>
            <w:gridSpan w:val="5"/>
            <w:tcBorders>
              <w:top w:val="outset" w:sz="6" w:space="0" w:color="414142"/>
              <w:left w:val="outset" w:sz="6" w:space="0" w:color="414142"/>
              <w:bottom w:val="outset" w:sz="6" w:space="0" w:color="414142"/>
              <w:right w:val="outset" w:sz="6" w:space="0" w:color="414142"/>
            </w:tcBorders>
            <w:hideMark/>
          </w:tcPr>
          <w:p w14:paraId="178A444A"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Projekts šo jomu neskar.</w:t>
            </w:r>
          </w:p>
        </w:tc>
      </w:tr>
      <w:tr w:rsidR="003D5C72" w:rsidRPr="0074221C" w14:paraId="61A9F1B6" w14:textId="77777777" w:rsidTr="00843C3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6AC5F06"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4.</w:t>
            </w:r>
          </w:p>
        </w:tc>
        <w:tc>
          <w:tcPr>
            <w:tcW w:w="1548" w:type="pct"/>
            <w:gridSpan w:val="2"/>
            <w:tcBorders>
              <w:top w:val="outset" w:sz="6" w:space="0" w:color="414142"/>
              <w:left w:val="outset" w:sz="6" w:space="0" w:color="414142"/>
              <w:bottom w:val="outset" w:sz="6" w:space="0" w:color="414142"/>
              <w:right w:val="outset" w:sz="6" w:space="0" w:color="414142"/>
            </w:tcBorders>
            <w:hideMark/>
          </w:tcPr>
          <w:p w14:paraId="5DC64D5B"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Cita informācija</w:t>
            </w:r>
          </w:p>
        </w:tc>
        <w:tc>
          <w:tcPr>
            <w:tcW w:w="3202" w:type="pct"/>
            <w:gridSpan w:val="5"/>
            <w:tcBorders>
              <w:top w:val="outset" w:sz="6" w:space="0" w:color="414142"/>
              <w:left w:val="outset" w:sz="6" w:space="0" w:color="414142"/>
              <w:bottom w:val="outset" w:sz="6" w:space="0" w:color="414142"/>
              <w:right w:val="outset" w:sz="6" w:space="0" w:color="414142"/>
            </w:tcBorders>
            <w:hideMark/>
          </w:tcPr>
          <w:p w14:paraId="1B9296A5" w14:textId="77777777" w:rsidR="003D5C72" w:rsidRPr="0074221C" w:rsidRDefault="003D5C72" w:rsidP="00D76F9C">
            <w:pPr>
              <w:jc w:val="both"/>
              <w:rPr>
                <w:rFonts w:eastAsia="Times New Roman" w:cs="Times New Roman"/>
                <w:sz w:val="24"/>
                <w:szCs w:val="24"/>
              </w:rPr>
            </w:pPr>
            <w:r w:rsidRPr="0074221C">
              <w:rPr>
                <w:rFonts w:eastAsia="Times New Roman" w:cs="Times New Roman"/>
                <w:sz w:val="24"/>
                <w:szCs w:val="24"/>
              </w:rPr>
              <w:t>Nav.</w:t>
            </w:r>
          </w:p>
        </w:tc>
      </w:tr>
      <w:tr w:rsidR="003D5C72" w:rsidRPr="0074221C" w14:paraId="61FC21B3" w14:textId="77777777" w:rsidTr="002D6D8A">
        <w:tblPrEx>
          <w:jc w:val="center"/>
        </w:tblPrEx>
        <w:trPr>
          <w:trHeight w:val="360"/>
          <w:jc w:val="center"/>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4FAAAEAE" w14:textId="77777777" w:rsidR="003D5C72" w:rsidRPr="0074221C" w:rsidRDefault="003D5C72" w:rsidP="00D76F9C">
            <w:pPr>
              <w:jc w:val="center"/>
              <w:rPr>
                <w:rFonts w:eastAsia="Times New Roman" w:cs="Times New Roman"/>
                <w:b/>
                <w:bCs/>
                <w:sz w:val="24"/>
                <w:szCs w:val="24"/>
              </w:rPr>
            </w:pPr>
            <w:r w:rsidRPr="0074221C">
              <w:rPr>
                <w:rFonts w:eastAsia="Times New Roman" w:cs="Times New Roman"/>
                <w:b/>
                <w:bCs/>
                <w:sz w:val="24"/>
                <w:szCs w:val="24"/>
              </w:rPr>
              <w:t>III. Tiesību akta projekta ietekme uz valsts budžetu un pašvaldību budžetiem</w:t>
            </w:r>
          </w:p>
        </w:tc>
      </w:tr>
      <w:tr w:rsidR="003D5C72" w:rsidRPr="0074221C" w14:paraId="3A1802AB" w14:textId="77777777" w:rsidTr="00D76F9C">
        <w:tblPrEx>
          <w:jc w:val="center"/>
        </w:tblPrEx>
        <w:trPr>
          <w:jc w:val="center"/>
        </w:trPr>
        <w:tc>
          <w:tcPr>
            <w:tcW w:w="169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0A5BDB9" w14:textId="77777777" w:rsidR="003D5C72" w:rsidRPr="0074221C" w:rsidRDefault="003D5C72" w:rsidP="00D76F9C">
            <w:pPr>
              <w:jc w:val="center"/>
              <w:rPr>
                <w:rFonts w:eastAsia="Times New Roman" w:cs="Times New Roman"/>
                <w:b/>
                <w:bCs/>
                <w:sz w:val="24"/>
                <w:szCs w:val="24"/>
              </w:rPr>
            </w:pPr>
            <w:r w:rsidRPr="0074221C">
              <w:rPr>
                <w:rFonts w:eastAsia="Times New Roman" w:cs="Times New Roman"/>
                <w:b/>
                <w:bCs/>
                <w:sz w:val="24"/>
                <w:szCs w:val="24"/>
              </w:rPr>
              <w:t>Rādītāji</w:t>
            </w:r>
          </w:p>
        </w:tc>
        <w:tc>
          <w:tcPr>
            <w:tcW w:w="15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116C390D" w14:textId="77777777" w:rsidR="003D5C72" w:rsidRPr="0074221C" w:rsidRDefault="00D76F9C" w:rsidP="00D76F9C">
            <w:pPr>
              <w:jc w:val="center"/>
              <w:rPr>
                <w:rFonts w:eastAsia="Times New Roman" w:cs="Times New Roman"/>
                <w:b/>
                <w:bCs/>
                <w:sz w:val="24"/>
                <w:szCs w:val="24"/>
              </w:rPr>
            </w:pPr>
            <w:r w:rsidRPr="0074221C">
              <w:rPr>
                <w:rFonts w:eastAsia="Times New Roman" w:cs="Times New Roman"/>
                <w:b/>
                <w:bCs/>
                <w:sz w:val="24"/>
                <w:szCs w:val="24"/>
              </w:rPr>
              <w:t>2016</w:t>
            </w:r>
          </w:p>
        </w:tc>
        <w:tc>
          <w:tcPr>
            <w:tcW w:w="1801" w:type="pct"/>
            <w:gridSpan w:val="3"/>
            <w:tcBorders>
              <w:top w:val="outset" w:sz="6" w:space="0" w:color="414142"/>
              <w:left w:val="outset" w:sz="6" w:space="0" w:color="414142"/>
              <w:bottom w:val="outset" w:sz="6" w:space="0" w:color="414142"/>
              <w:right w:val="outset" w:sz="6" w:space="0" w:color="414142"/>
            </w:tcBorders>
            <w:vAlign w:val="center"/>
            <w:hideMark/>
          </w:tcPr>
          <w:p w14:paraId="7FD56F33"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Turpmākie trīs gadi (</w:t>
            </w:r>
            <w:proofErr w:type="spellStart"/>
            <w:r w:rsidRPr="0074221C">
              <w:rPr>
                <w:rFonts w:eastAsia="Times New Roman" w:cs="Times New Roman"/>
                <w:i/>
                <w:iCs/>
                <w:sz w:val="24"/>
                <w:szCs w:val="24"/>
              </w:rPr>
              <w:t>euro</w:t>
            </w:r>
            <w:proofErr w:type="spellEnd"/>
            <w:r w:rsidRPr="0074221C">
              <w:rPr>
                <w:rFonts w:eastAsia="Times New Roman" w:cs="Times New Roman"/>
                <w:sz w:val="24"/>
                <w:szCs w:val="24"/>
              </w:rPr>
              <w:t>)</w:t>
            </w:r>
          </w:p>
        </w:tc>
      </w:tr>
      <w:tr w:rsidR="003D5C72" w:rsidRPr="0074221C" w14:paraId="03DAC2B6" w14:textId="77777777" w:rsidTr="00D76F9C">
        <w:tblPrEx>
          <w:jc w:val="center"/>
        </w:tblPrEx>
        <w:trPr>
          <w:jc w:val="center"/>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62B3FCC" w14:textId="77777777" w:rsidR="003D5C72" w:rsidRPr="0074221C" w:rsidRDefault="003D5C72" w:rsidP="00D76F9C">
            <w:pPr>
              <w:rPr>
                <w:rFonts w:eastAsia="Times New Roman" w:cs="Times New Roman"/>
                <w:b/>
                <w:bCs/>
                <w:sz w:val="24"/>
                <w:szCs w:val="24"/>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043B619C" w14:textId="77777777" w:rsidR="003D5C72" w:rsidRPr="0074221C" w:rsidRDefault="003D5C72" w:rsidP="00D76F9C">
            <w:pPr>
              <w:rPr>
                <w:rFonts w:eastAsia="Times New Roman" w:cs="Times New Roman"/>
                <w:b/>
                <w:bCs/>
                <w:sz w:val="24"/>
                <w:szCs w:val="24"/>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1C51BE" w14:textId="77777777" w:rsidR="003D5C72" w:rsidRPr="0074221C" w:rsidRDefault="00D76F9C" w:rsidP="00D76F9C">
            <w:pPr>
              <w:jc w:val="center"/>
              <w:rPr>
                <w:rFonts w:eastAsia="Times New Roman" w:cs="Times New Roman"/>
                <w:b/>
                <w:bCs/>
                <w:sz w:val="24"/>
                <w:szCs w:val="24"/>
              </w:rPr>
            </w:pPr>
            <w:r w:rsidRPr="0074221C">
              <w:rPr>
                <w:rFonts w:eastAsia="Times New Roman" w:cs="Times New Roman"/>
                <w:b/>
                <w:bCs/>
                <w:sz w:val="24"/>
                <w:szCs w:val="24"/>
              </w:rPr>
              <w:t>2017</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A78EF71" w14:textId="77777777" w:rsidR="003D5C72" w:rsidRPr="0074221C" w:rsidRDefault="00D76F9C" w:rsidP="00D76F9C">
            <w:pPr>
              <w:jc w:val="center"/>
              <w:rPr>
                <w:rFonts w:eastAsia="Times New Roman" w:cs="Times New Roman"/>
                <w:b/>
                <w:bCs/>
                <w:sz w:val="24"/>
                <w:szCs w:val="24"/>
              </w:rPr>
            </w:pPr>
            <w:r w:rsidRPr="0074221C">
              <w:rPr>
                <w:rFonts w:eastAsia="Times New Roman" w:cs="Times New Roman"/>
                <w:b/>
                <w:bCs/>
                <w:sz w:val="24"/>
                <w:szCs w:val="24"/>
              </w:rPr>
              <w:t>2018</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6C86A0FC" w14:textId="77777777" w:rsidR="003D5C72" w:rsidRPr="0074221C" w:rsidRDefault="007539FB" w:rsidP="00D76F9C">
            <w:pPr>
              <w:jc w:val="center"/>
              <w:rPr>
                <w:rFonts w:eastAsia="Times New Roman" w:cs="Times New Roman"/>
                <w:b/>
                <w:bCs/>
                <w:sz w:val="24"/>
                <w:szCs w:val="24"/>
              </w:rPr>
            </w:pPr>
            <w:r w:rsidRPr="0074221C">
              <w:rPr>
                <w:rFonts w:eastAsia="Times New Roman" w:cs="Times New Roman"/>
                <w:b/>
                <w:bCs/>
                <w:sz w:val="24"/>
                <w:szCs w:val="24"/>
              </w:rPr>
              <w:t>2019</w:t>
            </w:r>
          </w:p>
        </w:tc>
      </w:tr>
      <w:tr w:rsidR="003D5C72" w:rsidRPr="0074221C" w14:paraId="0C97681E" w14:textId="77777777" w:rsidTr="00D76F9C">
        <w:tblPrEx>
          <w:jc w:val="center"/>
        </w:tblPrEx>
        <w:trPr>
          <w:jc w:val="center"/>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A6C679A" w14:textId="77777777" w:rsidR="003D5C72" w:rsidRPr="0074221C" w:rsidRDefault="003D5C72" w:rsidP="00D76F9C">
            <w:pPr>
              <w:rPr>
                <w:rFonts w:eastAsia="Times New Roman" w:cs="Times New Roman"/>
                <w:b/>
                <w:bCs/>
                <w:sz w:val="24"/>
                <w:szCs w:val="24"/>
              </w:rPr>
            </w:pP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2BCF7496"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0B858DC"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B35DCDE"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iz</w:t>
            </w:r>
            <w:r w:rsidR="00D21F3D" w:rsidRPr="0074221C">
              <w:rPr>
                <w:rFonts w:eastAsia="Times New Roman" w:cs="Times New Roman"/>
                <w:sz w:val="24"/>
                <w:szCs w:val="24"/>
              </w:rPr>
              <w:t>maiņas, salīdzinot ar kārtējo (2016</w:t>
            </w:r>
            <w:r w:rsidRPr="0074221C">
              <w:rPr>
                <w:rFonts w:eastAsia="Times New Roman" w:cs="Times New Roman"/>
                <w:sz w:val="24"/>
                <w:szCs w:val="24"/>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C670E88"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iz</w:t>
            </w:r>
            <w:r w:rsidR="00D21F3D" w:rsidRPr="0074221C">
              <w:rPr>
                <w:rFonts w:eastAsia="Times New Roman" w:cs="Times New Roman"/>
                <w:sz w:val="24"/>
                <w:szCs w:val="24"/>
              </w:rPr>
              <w:t>maiņas, salīdzinot ar kārtējo (2016</w:t>
            </w:r>
            <w:r w:rsidRPr="0074221C">
              <w:rPr>
                <w:rFonts w:eastAsia="Times New Roman" w:cs="Times New Roman"/>
                <w:sz w:val="24"/>
                <w:szCs w:val="24"/>
              </w:rPr>
              <w:t>) gadu</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48A56819"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iz</w:t>
            </w:r>
            <w:r w:rsidR="00D21F3D" w:rsidRPr="0074221C">
              <w:rPr>
                <w:rFonts w:eastAsia="Times New Roman" w:cs="Times New Roman"/>
                <w:sz w:val="24"/>
                <w:szCs w:val="24"/>
              </w:rPr>
              <w:t>maiņas, salīdzinot ar kārtējo (2016</w:t>
            </w:r>
            <w:r w:rsidRPr="0074221C">
              <w:rPr>
                <w:rFonts w:eastAsia="Times New Roman" w:cs="Times New Roman"/>
                <w:sz w:val="24"/>
                <w:szCs w:val="24"/>
              </w:rPr>
              <w:t>) gadu</w:t>
            </w:r>
          </w:p>
        </w:tc>
      </w:tr>
      <w:tr w:rsidR="003D5C72" w:rsidRPr="0074221C" w14:paraId="012A8D21"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vAlign w:val="center"/>
            <w:hideMark/>
          </w:tcPr>
          <w:p w14:paraId="278202FE" w14:textId="77777777" w:rsidR="003D5C72" w:rsidRPr="0074221C" w:rsidRDefault="003D5C72" w:rsidP="00D76F9C">
            <w:pPr>
              <w:jc w:val="center"/>
              <w:rPr>
                <w:rFonts w:eastAsia="Times New Roman" w:cs="Times New Roman"/>
                <w:b/>
                <w:sz w:val="24"/>
                <w:szCs w:val="24"/>
              </w:rPr>
            </w:pPr>
            <w:r w:rsidRPr="0074221C">
              <w:rPr>
                <w:rFonts w:eastAsia="Times New Roman" w:cs="Times New Roman"/>
                <w:b/>
                <w:sz w:val="24"/>
                <w:szCs w:val="24"/>
              </w:rPr>
              <w:t>1</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41B997AD" w14:textId="77777777" w:rsidR="003D5C72" w:rsidRPr="0074221C" w:rsidRDefault="003D5C72" w:rsidP="00D76F9C">
            <w:pPr>
              <w:jc w:val="center"/>
              <w:rPr>
                <w:rFonts w:eastAsia="Times New Roman" w:cs="Times New Roman"/>
                <w:b/>
                <w:sz w:val="24"/>
                <w:szCs w:val="24"/>
              </w:rPr>
            </w:pPr>
            <w:r w:rsidRPr="0074221C">
              <w:rPr>
                <w:rFonts w:eastAsia="Times New Roman" w:cs="Times New Roman"/>
                <w:b/>
                <w:sz w:val="24"/>
                <w:szCs w:val="24"/>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7FC93AE" w14:textId="77777777" w:rsidR="003D5C72" w:rsidRPr="0074221C" w:rsidRDefault="003D5C72" w:rsidP="00D76F9C">
            <w:pPr>
              <w:jc w:val="center"/>
              <w:rPr>
                <w:rFonts w:eastAsia="Times New Roman" w:cs="Times New Roman"/>
                <w:b/>
                <w:sz w:val="24"/>
                <w:szCs w:val="24"/>
              </w:rPr>
            </w:pPr>
            <w:r w:rsidRPr="0074221C">
              <w:rPr>
                <w:rFonts w:eastAsia="Times New Roman" w:cs="Times New Roman"/>
                <w:b/>
                <w:sz w:val="24"/>
                <w:szCs w:val="24"/>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FBA26CA" w14:textId="77777777" w:rsidR="003D5C72" w:rsidRPr="0074221C" w:rsidRDefault="003D5C72" w:rsidP="00D76F9C">
            <w:pPr>
              <w:jc w:val="center"/>
              <w:rPr>
                <w:rFonts w:eastAsia="Times New Roman" w:cs="Times New Roman"/>
                <w:b/>
                <w:sz w:val="24"/>
                <w:szCs w:val="24"/>
              </w:rPr>
            </w:pPr>
            <w:r w:rsidRPr="0074221C">
              <w:rPr>
                <w:rFonts w:eastAsia="Times New Roman" w:cs="Times New Roman"/>
                <w:b/>
                <w:sz w:val="24"/>
                <w:szCs w:val="24"/>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36F1682" w14:textId="77777777" w:rsidR="003D5C72" w:rsidRPr="0074221C" w:rsidRDefault="003D5C72" w:rsidP="00D76F9C">
            <w:pPr>
              <w:jc w:val="center"/>
              <w:rPr>
                <w:rFonts w:eastAsia="Times New Roman" w:cs="Times New Roman"/>
                <w:b/>
                <w:sz w:val="24"/>
                <w:szCs w:val="24"/>
              </w:rPr>
            </w:pPr>
            <w:r w:rsidRPr="0074221C">
              <w:rPr>
                <w:rFonts w:eastAsia="Times New Roman" w:cs="Times New Roman"/>
                <w:b/>
                <w:sz w:val="24"/>
                <w:szCs w:val="24"/>
              </w:rPr>
              <w:t>5</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77BF4E44" w14:textId="77777777" w:rsidR="003D5C72" w:rsidRPr="0074221C" w:rsidRDefault="003D5C72" w:rsidP="00D76F9C">
            <w:pPr>
              <w:jc w:val="center"/>
              <w:rPr>
                <w:rFonts w:eastAsia="Times New Roman" w:cs="Times New Roman"/>
                <w:b/>
                <w:sz w:val="24"/>
                <w:szCs w:val="24"/>
              </w:rPr>
            </w:pPr>
            <w:r w:rsidRPr="0074221C">
              <w:rPr>
                <w:rFonts w:eastAsia="Times New Roman" w:cs="Times New Roman"/>
                <w:b/>
                <w:sz w:val="24"/>
                <w:szCs w:val="24"/>
              </w:rPr>
              <w:t>6</w:t>
            </w:r>
          </w:p>
        </w:tc>
      </w:tr>
      <w:tr w:rsidR="00D76F9C" w:rsidRPr="0074221C" w14:paraId="706E1ED1"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5874D95E"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1. Budžeta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15C3D5B3"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850" w:type="pct"/>
            <w:tcBorders>
              <w:top w:val="outset" w:sz="6" w:space="0" w:color="414142"/>
              <w:left w:val="outset" w:sz="6" w:space="0" w:color="414142"/>
              <w:bottom w:val="outset" w:sz="6" w:space="0" w:color="414142"/>
              <w:right w:val="outset" w:sz="6" w:space="0" w:color="414142"/>
            </w:tcBorders>
            <w:hideMark/>
          </w:tcPr>
          <w:p w14:paraId="14E9FE36"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6FCA0A59"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34FBE308"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3E41768F" w14:textId="77777777" w:rsidR="00D76F9C" w:rsidRPr="0074221C" w:rsidRDefault="00710875"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092B4DAA"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4BA13415"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1.1. valsts pamatbudžets, tai skaitā ieņēmumi no maksas pakalpojumiem un citi pašu ieņēmumi</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0257E2B9"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0A18590"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F8D9B30"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68761EB"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12C420CF" w14:textId="77777777" w:rsidR="00D76F9C" w:rsidRPr="0074221C" w:rsidRDefault="00710875"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6C5B8AE6"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5D4F2987"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1.2.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40F917C7"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850" w:type="pct"/>
            <w:tcBorders>
              <w:top w:val="outset" w:sz="6" w:space="0" w:color="414142"/>
              <w:left w:val="outset" w:sz="6" w:space="0" w:color="414142"/>
              <w:bottom w:val="outset" w:sz="6" w:space="0" w:color="414142"/>
              <w:right w:val="outset" w:sz="6" w:space="0" w:color="414142"/>
            </w:tcBorders>
            <w:hideMark/>
          </w:tcPr>
          <w:p w14:paraId="2F12112C"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6329A3B1"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4F79ADEB"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0A11EA70" w14:textId="77777777" w:rsidR="00D76F9C" w:rsidRPr="0074221C" w:rsidRDefault="00710875"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20C951C8"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0EEC8CF3"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1.3.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23E7EF44"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850" w:type="pct"/>
            <w:tcBorders>
              <w:top w:val="outset" w:sz="6" w:space="0" w:color="414142"/>
              <w:left w:val="outset" w:sz="6" w:space="0" w:color="414142"/>
              <w:bottom w:val="outset" w:sz="6" w:space="0" w:color="414142"/>
              <w:right w:val="outset" w:sz="6" w:space="0" w:color="414142"/>
            </w:tcBorders>
            <w:hideMark/>
          </w:tcPr>
          <w:p w14:paraId="13D2C4E5"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17D839B8"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5D2B07FB"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56DE149B" w14:textId="77777777" w:rsidR="00D76F9C" w:rsidRPr="0074221C" w:rsidRDefault="00710875"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6973B80F"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66532678"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2. Budžeta izdevumi: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1EF7A801" w14:textId="77777777" w:rsidR="00D76F9C" w:rsidRPr="0074221C" w:rsidRDefault="00D76F9C" w:rsidP="00D76F9C">
            <w:pPr>
              <w:jc w:val="center"/>
              <w:rPr>
                <w:rFonts w:eastAsia="Times New Roman" w:cs="Times New Roman"/>
                <w:sz w:val="24"/>
                <w:szCs w:val="24"/>
              </w:rPr>
            </w:pPr>
          </w:p>
        </w:tc>
        <w:tc>
          <w:tcPr>
            <w:tcW w:w="850" w:type="pct"/>
            <w:tcBorders>
              <w:top w:val="outset" w:sz="6" w:space="0" w:color="414142"/>
              <w:left w:val="outset" w:sz="6" w:space="0" w:color="414142"/>
              <w:bottom w:val="outset" w:sz="6" w:space="0" w:color="414142"/>
              <w:right w:val="outset" w:sz="6" w:space="0" w:color="414142"/>
            </w:tcBorders>
            <w:hideMark/>
          </w:tcPr>
          <w:p w14:paraId="1DF5031C"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5B850D5B" w14:textId="77777777" w:rsidR="00D76F9C" w:rsidRPr="0074221C" w:rsidRDefault="00D76F9C" w:rsidP="00D76F9C">
            <w:pPr>
              <w:jc w:val="center"/>
              <w:rPr>
                <w:rFonts w:eastAsia="Times New Roman" w:cs="Times New Roman"/>
                <w:sz w:val="24"/>
                <w:szCs w:val="24"/>
              </w:rPr>
            </w:pPr>
          </w:p>
        </w:tc>
        <w:tc>
          <w:tcPr>
            <w:tcW w:w="650" w:type="pct"/>
            <w:tcBorders>
              <w:top w:val="outset" w:sz="6" w:space="0" w:color="414142"/>
              <w:left w:val="outset" w:sz="6" w:space="0" w:color="414142"/>
              <w:bottom w:val="outset" w:sz="6" w:space="0" w:color="414142"/>
              <w:right w:val="outset" w:sz="6" w:space="0" w:color="414142"/>
            </w:tcBorders>
            <w:hideMark/>
          </w:tcPr>
          <w:p w14:paraId="1A5E4124" w14:textId="77777777" w:rsidR="00D76F9C" w:rsidRPr="0074221C" w:rsidRDefault="00D76F9C" w:rsidP="00D76F9C">
            <w:pPr>
              <w:jc w:val="center"/>
              <w:rPr>
                <w:rFonts w:eastAsia="Times New Roman" w:cs="Times New Roman"/>
                <w:sz w:val="24"/>
                <w:szCs w:val="24"/>
              </w:rPr>
            </w:pPr>
          </w:p>
        </w:tc>
        <w:tc>
          <w:tcPr>
            <w:tcW w:w="551" w:type="pct"/>
            <w:tcBorders>
              <w:top w:val="outset" w:sz="6" w:space="0" w:color="414142"/>
              <w:left w:val="outset" w:sz="6" w:space="0" w:color="414142"/>
              <w:bottom w:val="outset" w:sz="6" w:space="0" w:color="414142"/>
              <w:right w:val="outset" w:sz="6" w:space="0" w:color="414142"/>
            </w:tcBorders>
            <w:hideMark/>
          </w:tcPr>
          <w:p w14:paraId="2CF5B6D4" w14:textId="77777777" w:rsidR="00D76F9C" w:rsidRPr="0074221C" w:rsidRDefault="00D76F9C" w:rsidP="00D76F9C">
            <w:pPr>
              <w:jc w:val="center"/>
              <w:rPr>
                <w:rFonts w:eastAsia="Times New Roman" w:cs="Times New Roman"/>
                <w:sz w:val="24"/>
                <w:szCs w:val="24"/>
              </w:rPr>
            </w:pPr>
          </w:p>
        </w:tc>
      </w:tr>
      <w:tr w:rsidR="00D76F9C" w:rsidRPr="0074221C" w14:paraId="744B054A"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1768F783"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2.1.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30EC0AD2" w14:textId="77777777" w:rsidR="00D76F9C" w:rsidRPr="0074221C" w:rsidRDefault="00D76F9C" w:rsidP="00D76F9C">
            <w:pPr>
              <w:jc w:val="center"/>
              <w:rPr>
                <w:rFonts w:eastAsia="Times New Roman" w:cs="Times New Roman"/>
                <w:sz w:val="24"/>
                <w:szCs w:val="24"/>
              </w:rPr>
            </w:pPr>
          </w:p>
        </w:tc>
        <w:tc>
          <w:tcPr>
            <w:tcW w:w="850" w:type="pct"/>
            <w:tcBorders>
              <w:top w:val="outset" w:sz="6" w:space="0" w:color="414142"/>
              <w:left w:val="outset" w:sz="6" w:space="0" w:color="414142"/>
              <w:bottom w:val="outset" w:sz="6" w:space="0" w:color="414142"/>
              <w:right w:val="outset" w:sz="6" w:space="0" w:color="414142"/>
            </w:tcBorders>
            <w:hideMark/>
          </w:tcPr>
          <w:p w14:paraId="6A67F6E6" w14:textId="77777777" w:rsidR="00D76F9C" w:rsidRPr="0074221C" w:rsidRDefault="00D76F9C" w:rsidP="00D76F9C">
            <w:pPr>
              <w:jc w:val="center"/>
              <w:rPr>
                <w:rFonts w:eastAsia="Times New Roman" w:cs="Times New Roman"/>
                <w:sz w:val="24"/>
                <w:szCs w:val="24"/>
              </w:rPr>
            </w:pPr>
          </w:p>
        </w:tc>
        <w:tc>
          <w:tcPr>
            <w:tcW w:w="600" w:type="pct"/>
            <w:tcBorders>
              <w:top w:val="outset" w:sz="6" w:space="0" w:color="414142"/>
              <w:left w:val="outset" w:sz="6" w:space="0" w:color="414142"/>
              <w:bottom w:val="outset" w:sz="6" w:space="0" w:color="414142"/>
              <w:right w:val="outset" w:sz="6" w:space="0" w:color="414142"/>
            </w:tcBorders>
            <w:hideMark/>
          </w:tcPr>
          <w:p w14:paraId="3177C2E0" w14:textId="77777777" w:rsidR="00D76F9C" w:rsidRPr="0074221C" w:rsidRDefault="00D76F9C" w:rsidP="00D76F9C">
            <w:pPr>
              <w:jc w:val="center"/>
              <w:rPr>
                <w:rFonts w:eastAsia="Times New Roman" w:cs="Times New Roman"/>
                <w:sz w:val="24"/>
                <w:szCs w:val="24"/>
              </w:rPr>
            </w:pPr>
          </w:p>
        </w:tc>
        <w:tc>
          <w:tcPr>
            <w:tcW w:w="650" w:type="pct"/>
            <w:tcBorders>
              <w:top w:val="outset" w:sz="6" w:space="0" w:color="414142"/>
              <w:left w:val="outset" w:sz="6" w:space="0" w:color="414142"/>
              <w:bottom w:val="outset" w:sz="6" w:space="0" w:color="414142"/>
              <w:right w:val="outset" w:sz="6" w:space="0" w:color="414142"/>
            </w:tcBorders>
            <w:hideMark/>
          </w:tcPr>
          <w:p w14:paraId="5A7BE5BD" w14:textId="77777777" w:rsidR="00D76F9C" w:rsidRPr="0074221C" w:rsidRDefault="00D76F9C" w:rsidP="00D76F9C">
            <w:pPr>
              <w:jc w:val="center"/>
              <w:rPr>
                <w:rFonts w:eastAsia="Times New Roman" w:cs="Times New Roman"/>
                <w:sz w:val="24"/>
                <w:szCs w:val="24"/>
              </w:rPr>
            </w:pPr>
          </w:p>
        </w:tc>
        <w:tc>
          <w:tcPr>
            <w:tcW w:w="551" w:type="pct"/>
            <w:tcBorders>
              <w:top w:val="outset" w:sz="6" w:space="0" w:color="414142"/>
              <w:left w:val="outset" w:sz="6" w:space="0" w:color="414142"/>
              <w:bottom w:val="outset" w:sz="6" w:space="0" w:color="414142"/>
              <w:right w:val="outset" w:sz="6" w:space="0" w:color="414142"/>
            </w:tcBorders>
            <w:hideMark/>
          </w:tcPr>
          <w:p w14:paraId="5E295FBF"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3BA8EA6A"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7D16DF17"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2.2.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71797541"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850" w:type="pct"/>
            <w:tcBorders>
              <w:top w:val="outset" w:sz="6" w:space="0" w:color="414142"/>
              <w:left w:val="outset" w:sz="6" w:space="0" w:color="414142"/>
              <w:bottom w:val="outset" w:sz="6" w:space="0" w:color="414142"/>
              <w:right w:val="outset" w:sz="6" w:space="0" w:color="414142"/>
            </w:tcBorders>
            <w:hideMark/>
          </w:tcPr>
          <w:p w14:paraId="5B944136"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6196A588"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6B594857"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5B392E0F"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79EB8AA3"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5A35ACBD"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2.3.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5830AC65"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850" w:type="pct"/>
            <w:tcBorders>
              <w:top w:val="outset" w:sz="6" w:space="0" w:color="414142"/>
              <w:left w:val="outset" w:sz="6" w:space="0" w:color="414142"/>
              <w:bottom w:val="outset" w:sz="6" w:space="0" w:color="414142"/>
              <w:right w:val="outset" w:sz="6" w:space="0" w:color="414142"/>
            </w:tcBorders>
            <w:hideMark/>
          </w:tcPr>
          <w:p w14:paraId="5E528172"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1E3CDBB1"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1FC4D0A5"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5C851E62"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790DF06D"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5C3284C7"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3. Finansiālā ietekme:</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191C9FFC"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850" w:type="pct"/>
            <w:tcBorders>
              <w:top w:val="outset" w:sz="6" w:space="0" w:color="414142"/>
              <w:left w:val="outset" w:sz="6" w:space="0" w:color="414142"/>
              <w:bottom w:val="outset" w:sz="6" w:space="0" w:color="414142"/>
              <w:right w:val="outset" w:sz="6" w:space="0" w:color="414142"/>
            </w:tcBorders>
            <w:hideMark/>
          </w:tcPr>
          <w:p w14:paraId="7A324A47"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76588DC9"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3E444BEF"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5D21E9A9"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38066B3F"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26CD855A"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3.1.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35819BFF"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850" w:type="pct"/>
            <w:tcBorders>
              <w:top w:val="outset" w:sz="6" w:space="0" w:color="414142"/>
              <w:left w:val="outset" w:sz="6" w:space="0" w:color="414142"/>
              <w:bottom w:val="outset" w:sz="6" w:space="0" w:color="414142"/>
              <w:right w:val="outset" w:sz="6" w:space="0" w:color="414142"/>
            </w:tcBorders>
            <w:hideMark/>
          </w:tcPr>
          <w:p w14:paraId="484A585B"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672C8947"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329B4A0D"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0A74A5B9"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59F420D7"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694D1CD6"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3.2.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4E582C7C"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850" w:type="pct"/>
            <w:tcBorders>
              <w:top w:val="outset" w:sz="6" w:space="0" w:color="414142"/>
              <w:left w:val="outset" w:sz="6" w:space="0" w:color="414142"/>
              <w:bottom w:val="outset" w:sz="6" w:space="0" w:color="414142"/>
              <w:right w:val="outset" w:sz="6" w:space="0" w:color="414142"/>
            </w:tcBorders>
            <w:hideMark/>
          </w:tcPr>
          <w:p w14:paraId="27AF7CB8"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1250795C"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344C8215"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76273A4A"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624A1906"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059CD0F8"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3.3.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6C096D0B"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850" w:type="pct"/>
            <w:tcBorders>
              <w:top w:val="outset" w:sz="6" w:space="0" w:color="414142"/>
              <w:left w:val="outset" w:sz="6" w:space="0" w:color="414142"/>
              <w:bottom w:val="outset" w:sz="6" w:space="0" w:color="414142"/>
              <w:right w:val="outset" w:sz="6" w:space="0" w:color="414142"/>
            </w:tcBorders>
            <w:hideMark/>
          </w:tcPr>
          <w:p w14:paraId="40A92C9E"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35217959"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60391DE7"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0A3D0734"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47B3210C" w14:textId="77777777" w:rsidTr="00D76F9C">
        <w:tblPrEx>
          <w:jc w:val="center"/>
        </w:tblPrEx>
        <w:trPr>
          <w:jc w:val="center"/>
        </w:trPr>
        <w:tc>
          <w:tcPr>
            <w:tcW w:w="1698" w:type="pct"/>
            <w:gridSpan w:val="2"/>
            <w:vMerge w:val="restart"/>
            <w:tcBorders>
              <w:top w:val="outset" w:sz="6" w:space="0" w:color="414142"/>
              <w:left w:val="outset" w:sz="6" w:space="0" w:color="414142"/>
              <w:bottom w:val="outset" w:sz="6" w:space="0" w:color="414142"/>
              <w:right w:val="outset" w:sz="6" w:space="0" w:color="414142"/>
            </w:tcBorders>
            <w:hideMark/>
          </w:tcPr>
          <w:p w14:paraId="4FAEF1CA"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4. Finanšu līdzekļi papildu izdevumu finansēšanai (kompensējošu izdevumu samazinājumu norāda ar "+" zīmi)</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14:paraId="057EC0D5"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X</w:t>
            </w:r>
          </w:p>
        </w:tc>
        <w:tc>
          <w:tcPr>
            <w:tcW w:w="850" w:type="pct"/>
            <w:tcBorders>
              <w:top w:val="outset" w:sz="6" w:space="0" w:color="414142"/>
              <w:left w:val="outset" w:sz="6" w:space="0" w:color="414142"/>
              <w:bottom w:val="outset" w:sz="6" w:space="0" w:color="414142"/>
              <w:right w:val="outset" w:sz="6" w:space="0" w:color="414142"/>
            </w:tcBorders>
            <w:hideMark/>
          </w:tcPr>
          <w:p w14:paraId="6AB854D0"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3C9A9A90"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1228487A"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2E7132B5"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2F890991" w14:textId="77777777" w:rsidTr="00D76F9C">
        <w:tblPrEx>
          <w:jc w:val="center"/>
        </w:tblPrEx>
        <w:trPr>
          <w:jc w:val="center"/>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E07944A" w14:textId="77777777" w:rsidR="00D76F9C" w:rsidRPr="0074221C" w:rsidRDefault="00D76F9C" w:rsidP="00D76F9C">
            <w:pPr>
              <w:rPr>
                <w:rFonts w:eastAsia="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3D0A6EF" w14:textId="77777777" w:rsidR="00D76F9C" w:rsidRPr="0074221C" w:rsidRDefault="00D76F9C" w:rsidP="00D76F9C">
            <w:pPr>
              <w:jc w:val="center"/>
              <w:rPr>
                <w:rFonts w:eastAsia="Times New Roman" w:cs="Times New Roman"/>
                <w:sz w:val="24"/>
                <w:szCs w:val="24"/>
              </w:rPr>
            </w:pPr>
          </w:p>
        </w:tc>
        <w:tc>
          <w:tcPr>
            <w:tcW w:w="850" w:type="pct"/>
            <w:tcBorders>
              <w:top w:val="outset" w:sz="6" w:space="0" w:color="414142"/>
              <w:left w:val="outset" w:sz="6" w:space="0" w:color="414142"/>
              <w:bottom w:val="outset" w:sz="6" w:space="0" w:color="414142"/>
              <w:right w:val="outset" w:sz="6" w:space="0" w:color="414142"/>
            </w:tcBorders>
            <w:hideMark/>
          </w:tcPr>
          <w:p w14:paraId="36A106AD"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5A89EB3F"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7812A5E7"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7E737CD6"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05DD3547" w14:textId="77777777" w:rsidTr="00D76F9C">
        <w:tblPrEx>
          <w:jc w:val="center"/>
        </w:tblPrEx>
        <w:trPr>
          <w:jc w:val="center"/>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740C1D7" w14:textId="77777777" w:rsidR="00D76F9C" w:rsidRPr="0074221C" w:rsidRDefault="00D76F9C" w:rsidP="00D76F9C">
            <w:pPr>
              <w:rPr>
                <w:rFonts w:eastAsia="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A59177E" w14:textId="77777777" w:rsidR="00D76F9C" w:rsidRPr="0074221C" w:rsidRDefault="00D76F9C" w:rsidP="00D76F9C">
            <w:pPr>
              <w:jc w:val="center"/>
              <w:rPr>
                <w:rFonts w:eastAsia="Times New Roman" w:cs="Times New Roman"/>
                <w:sz w:val="24"/>
                <w:szCs w:val="24"/>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6E71410"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9F99B1A"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7C026DC"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219FADD9"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194E4BFB"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1251974C"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5. Precizēta finansiālā ietekme:</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14:paraId="5F26026B"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X</w:t>
            </w:r>
          </w:p>
        </w:tc>
        <w:tc>
          <w:tcPr>
            <w:tcW w:w="850" w:type="pct"/>
            <w:tcBorders>
              <w:top w:val="outset" w:sz="6" w:space="0" w:color="414142"/>
              <w:left w:val="outset" w:sz="6" w:space="0" w:color="414142"/>
              <w:bottom w:val="outset" w:sz="6" w:space="0" w:color="414142"/>
              <w:right w:val="outset" w:sz="6" w:space="0" w:color="414142"/>
            </w:tcBorders>
            <w:hideMark/>
          </w:tcPr>
          <w:p w14:paraId="5037AB78"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02BA0A51"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362A723C"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156D331B"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39D4A5EC"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6BC5A65C"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88C10E2" w14:textId="77777777" w:rsidR="00D76F9C" w:rsidRPr="0074221C" w:rsidRDefault="00D76F9C" w:rsidP="00D76F9C">
            <w:pPr>
              <w:jc w:val="center"/>
              <w:rPr>
                <w:rFonts w:eastAsia="Times New Roman" w:cs="Times New Roman"/>
                <w:sz w:val="24"/>
                <w:szCs w:val="24"/>
              </w:rPr>
            </w:pPr>
          </w:p>
        </w:tc>
        <w:tc>
          <w:tcPr>
            <w:tcW w:w="850" w:type="pct"/>
            <w:tcBorders>
              <w:top w:val="outset" w:sz="6" w:space="0" w:color="414142"/>
              <w:left w:val="outset" w:sz="6" w:space="0" w:color="414142"/>
              <w:bottom w:val="outset" w:sz="6" w:space="0" w:color="414142"/>
              <w:right w:val="outset" w:sz="6" w:space="0" w:color="414142"/>
            </w:tcBorders>
            <w:hideMark/>
          </w:tcPr>
          <w:p w14:paraId="50707283"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04E5DF37"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01B0E95F"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7AF59150"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574262DC"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2DEE22E1"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3BCEAE8" w14:textId="77777777" w:rsidR="00D76F9C" w:rsidRPr="0074221C" w:rsidRDefault="00D76F9C" w:rsidP="00D76F9C">
            <w:pPr>
              <w:jc w:val="center"/>
              <w:rPr>
                <w:rFonts w:eastAsia="Times New Roman" w:cs="Times New Roman"/>
                <w:sz w:val="24"/>
                <w:szCs w:val="24"/>
              </w:rPr>
            </w:pPr>
          </w:p>
        </w:tc>
        <w:tc>
          <w:tcPr>
            <w:tcW w:w="850" w:type="pct"/>
            <w:tcBorders>
              <w:top w:val="outset" w:sz="6" w:space="0" w:color="414142"/>
              <w:left w:val="outset" w:sz="6" w:space="0" w:color="414142"/>
              <w:bottom w:val="outset" w:sz="6" w:space="0" w:color="414142"/>
              <w:right w:val="outset" w:sz="6" w:space="0" w:color="414142"/>
            </w:tcBorders>
            <w:hideMark/>
          </w:tcPr>
          <w:p w14:paraId="218C7F9B"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26080F10"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1E36A3AB"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31319C35"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4534998B"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28D7884F"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F95183C" w14:textId="77777777" w:rsidR="00D76F9C" w:rsidRPr="0074221C" w:rsidRDefault="00D76F9C" w:rsidP="00D76F9C">
            <w:pPr>
              <w:jc w:val="center"/>
              <w:rPr>
                <w:rFonts w:eastAsia="Times New Roman" w:cs="Times New Roman"/>
                <w:sz w:val="24"/>
                <w:szCs w:val="24"/>
              </w:rPr>
            </w:pPr>
          </w:p>
        </w:tc>
        <w:tc>
          <w:tcPr>
            <w:tcW w:w="850" w:type="pct"/>
            <w:tcBorders>
              <w:top w:val="outset" w:sz="6" w:space="0" w:color="414142"/>
              <w:left w:val="outset" w:sz="6" w:space="0" w:color="414142"/>
              <w:bottom w:val="outset" w:sz="6" w:space="0" w:color="414142"/>
              <w:right w:val="outset" w:sz="6" w:space="0" w:color="414142"/>
            </w:tcBorders>
            <w:hideMark/>
          </w:tcPr>
          <w:p w14:paraId="45CFB852"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14:paraId="4CDF0BD0"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14:paraId="23D5053A" w14:textId="77777777" w:rsidR="00D76F9C" w:rsidRPr="0074221C" w:rsidRDefault="00D76F9C" w:rsidP="00D76F9C">
            <w:pPr>
              <w:jc w:val="center"/>
              <w:rPr>
                <w:rFonts w:eastAsia="Times New Roman" w:cs="Times New Roman"/>
                <w:sz w:val="24"/>
                <w:szCs w:val="24"/>
              </w:rPr>
            </w:pPr>
            <w:r w:rsidRPr="0074221C">
              <w:rPr>
                <w:rFonts w:eastAsia="Times New Roman" w:cs="Times New Roman"/>
                <w:sz w:val="24"/>
                <w:szCs w:val="24"/>
              </w:rPr>
              <w:t>0</w:t>
            </w:r>
          </w:p>
        </w:tc>
        <w:tc>
          <w:tcPr>
            <w:tcW w:w="551" w:type="pct"/>
            <w:tcBorders>
              <w:top w:val="outset" w:sz="6" w:space="0" w:color="414142"/>
              <w:left w:val="outset" w:sz="6" w:space="0" w:color="414142"/>
              <w:bottom w:val="outset" w:sz="6" w:space="0" w:color="414142"/>
              <w:right w:val="outset" w:sz="6" w:space="0" w:color="414142"/>
            </w:tcBorders>
            <w:hideMark/>
          </w:tcPr>
          <w:p w14:paraId="3E3653AB" w14:textId="77777777" w:rsidR="00D76F9C" w:rsidRPr="0074221C" w:rsidRDefault="00E258C2" w:rsidP="00D76F9C">
            <w:pPr>
              <w:jc w:val="center"/>
              <w:rPr>
                <w:rFonts w:eastAsia="Times New Roman" w:cs="Times New Roman"/>
                <w:sz w:val="24"/>
                <w:szCs w:val="24"/>
              </w:rPr>
            </w:pPr>
            <w:r w:rsidRPr="0074221C">
              <w:rPr>
                <w:rFonts w:eastAsia="Times New Roman" w:cs="Times New Roman"/>
                <w:sz w:val="24"/>
                <w:szCs w:val="24"/>
              </w:rPr>
              <w:t>NA</w:t>
            </w:r>
          </w:p>
        </w:tc>
      </w:tr>
      <w:tr w:rsidR="00D76F9C" w:rsidRPr="0074221C" w14:paraId="3A338C55"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0DF33BD8"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6. Detalizēts ieņēmumu un izdevumu aprēķins (ja nepieciešams, detalizētu ieņēmumu un izdevumu aprēķinu var pievienot anotācijas pielikumā):</w:t>
            </w:r>
          </w:p>
        </w:tc>
        <w:tc>
          <w:tcPr>
            <w:tcW w:w="3302"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474B98D9"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 </w:t>
            </w:r>
          </w:p>
        </w:tc>
      </w:tr>
      <w:tr w:rsidR="00D76F9C" w:rsidRPr="0074221C" w14:paraId="3F8650FA"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669B6800"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6.1. detalizēts ieņēmumu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14:paraId="72F1C102" w14:textId="77777777" w:rsidR="00D76F9C" w:rsidRPr="0074221C" w:rsidRDefault="00D76F9C" w:rsidP="00D76F9C">
            <w:pPr>
              <w:rPr>
                <w:rFonts w:eastAsia="Times New Roman" w:cs="Times New Roman"/>
                <w:sz w:val="24"/>
                <w:szCs w:val="24"/>
              </w:rPr>
            </w:pPr>
          </w:p>
        </w:tc>
      </w:tr>
      <w:tr w:rsidR="00D76F9C" w:rsidRPr="0074221C" w14:paraId="2001BD83" w14:textId="77777777" w:rsidTr="00D76F9C">
        <w:tblPrEx>
          <w:jc w:val="center"/>
        </w:tblPrEx>
        <w:trPr>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1EDD6C5A"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6.2. detalizēts izdevumu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14:paraId="2F9270E5" w14:textId="77777777" w:rsidR="00D76F9C" w:rsidRPr="0074221C" w:rsidRDefault="00D76F9C" w:rsidP="00D76F9C">
            <w:pPr>
              <w:rPr>
                <w:rFonts w:eastAsia="Times New Roman" w:cs="Times New Roman"/>
                <w:sz w:val="24"/>
                <w:szCs w:val="24"/>
              </w:rPr>
            </w:pPr>
          </w:p>
        </w:tc>
      </w:tr>
      <w:tr w:rsidR="00D76F9C" w:rsidRPr="0074221C" w14:paraId="3D7952F1" w14:textId="77777777" w:rsidTr="00D76F9C">
        <w:tblPrEx>
          <w:jc w:val="center"/>
        </w:tblPrEx>
        <w:trPr>
          <w:trHeight w:val="555"/>
          <w:jc w:val="center"/>
        </w:trPr>
        <w:tc>
          <w:tcPr>
            <w:tcW w:w="1698" w:type="pct"/>
            <w:gridSpan w:val="2"/>
            <w:tcBorders>
              <w:top w:val="outset" w:sz="6" w:space="0" w:color="414142"/>
              <w:left w:val="outset" w:sz="6" w:space="0" w:color="414142"/>
              <w:bottom w:val="outset" w:sz="6" w:space="0" w:color="414142"/>
              <w:right w:val="outset" w:sz="6" w:space="0" w:color="414142"/>
            </w:tcBorders>
            <w:hideMark/>
          </w:tcPr>
          <w:p w14:paraId="7DD00687" w14:textId="77777777" w:rsidR="00D76F9C" w:rsidRPr="0074221C" w:rsidRDefault="00D76F9C" w:rsidP="00D76F9C">
            <w:pPr>
              <w:rPr>
                <w:rFonts w:eastAsia="Times New Roman" w:cs="Times New Roman"/>
                <w:sz w:val="24"/>
                <w:szCs w:val="24"/>
              </w:rPr>
            </w:pPr>
            <w:r w:rsidRPr="0074221C">
              <w:rPr>
                <w:rFonts w:eastAsia="Times New Roman" w:cs="Times New Roman"/>
                <w:sz w:val="24"/>
                <w:szCs w:val="24"/>
              </w:rPr>
              <w:t>7. Cita informācija</w:t>
            </w:r>
          </w:p>
        </w:tc>
        <w:tc>
          <w:tcPr>
            <w:tcW w:w="3302" w:type="pct"/>
            <w:gridSpan w:val="6"/>
            <w:tcBorders>
              <w:top w:val="outset" w:sz="6" w:space="0" w:color="414142"/>
              <w:left w:val="outset" w:sz="6" w:space="0" w:color="414142"/>
              <w:bottom w:val="outset" w:sz="6" w:space="0" w:color="414142"/>
              <w:right w:val="outset" w:sz="6" w:space="0" w:color="414142"/>
            </w:tcBorders>
            <w:hideMark/>
          </w:tcPr>
          <w:p w14:paraId="3097753C" w14:textId="77777777" w:rsidR="00D76F9C" w:rsidRPr="0074221C" w:rsidRDefault="00D76F9C" w:rsidP="00D76F9C">
            <w:pPr>
              <w:jc w:val="both"/>
              <w:rPr>
                <w:rFonts w:cs="Times New Roman"/>
                <w:sz w:val="24"/>
                <w:szCs w:val="24"/>
              </w:rPr>
            </w:pPr>
            <w:r w:rsidRPr="0074221C">
              <w:rPr>
                <w:rFonts w:cs="Times New Roman"/>
                <w:sz w:val="24"/>
                <w:szCs w:val="24"/>
              </w:rPr>
              <w:t xml:space="preserve">Programmas kopējais finansējums no publiskajiem līdzekļiem veido 12 586 667 EUR, no kuriem 11 328 000 EUR ir Norvēģijas finanšu instrumenta līdzfinansējums un 1 258 667 EUR ir Latvijas valsts budžeta līdzekļi. </w:t>
            </w:r>
          </w:p>
        </w:tc>
      </w:tr>
    </w:tbl>
    <w:p w14:paraId="726FC0B6" w14:textId="77777777" w:rsidR="003D5C72" w:rsidRPr="0074221C" w:rsidRDefault="003D5C72" w:rsidP="00D76F9C">
      <w:pPr>
        <w:rPr>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667"/>
        <w:gridCol w:w="6071"/>
      </w:tblGrid>
      <w:tr w:rsidR="003D5C72" w:rsidRPr="0074221C" w14:paraId="0E7C7F74" w14:textId="77777777" w:rsidTr="002D6D8A">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410C2A" w14:textId="77777777" w:rsidR="003D5C72" w:rsidRPr="0074221C" w:rsidRDefault="003D5C72" w:rsidP="00D76F9C">
            <w:pPr>
              <w:jc w:val="center"/>
              <w:rPr>
                <w:rFonts w:eastAsia="Times New Roman" w:cs="Times New Roman"/>
                <w:b/>
                <w:bCs/>
                <w:sz w:val="24"/>
                <w:szCs w:val="24"/>
              </w:rPr>
            </w:pPr>
            <w:r w:rsidRPr="0074221C">
              <w:rPr>
                <w:rFonts w:eastAsia="Times New Roman" w:cs="Times New Roman"/>
                <w:b/>
                <w:bCs/>
                <w:sz w:val="24"/>
                <w:szCs w:val="24"/>
              </w:rPr>
              <w:t>V. Tiesību akta projekta atbilstība Latvijas Republikas starptautiskajām saistībām</w:t>
            </w:r>
          </w:p>
        </w:tc>
      </w:tr>
      <w:tr w:rsidR="003D5C72" w:rsidRPr="0074221C" w14:paraId="01B84125" w14:textId="77777777" w:rsidTr="002D6D8A">
        <w:tc>
          <w:tcPr>
            <w:tcW w:w="250" w:type="pct"/>
            <w:tcBorders>
              <w:top w:val="outset" w:sz="6" w:space="0" w:color="414142"/>
              <w:left w:val="outset" w:sz="6" w:space="0" w:color="414142"/>
              <w:bottom w:val="outset" w:sz="6" w:space="0" w:color="414142"/>
              <w:right w:val="outset" w:sz="6" w:space="0" w:color="414142"/>
            </w:tcBorders>
            <w:hideMark/>
          </w:tcPr>
          <w:p w14:paraId="59323099" w14:textId="77777777" w:rsidR="003D5C72" w:rsidRPr="0074221C" w:rsidRDefault="003D5C72" w:rsidP="00D76F9C">
            <w:pPr>
              <w:rPr>
                <w:rFonts w:eastAsia="Times New Roman" w:cs="Times New Roman"/>
                <w:color w:val="414142"/>
                <w:sz w:val="24"/>
                <w:szCs w:val="24"/>
              </w:rPr>
            </w:pPr>
            <w:r w:rsidRPr="0074221C">
              <w:rPr>
                <w:rFonts w:eastAsia="Times New Roman" w:cs="Times New Roman"/>
                <w:color w:val="414142"/>
                <w:sz w:val="24"/>
                <w:szCs w:val="24"/>
              </w:rPr>
              <w:t>1.</w:t>
            </w:r>
          </w:p>
        </w:tc>
        <w:tc>
          <w:tcPr>
            <w:tcW w:w="4890" w:type="dxa"/>
            <w:tcBorders>
              <w:top w:val="outset" w:sz="6" w:space="0" w:color="414142"/>
              <w:left w:val="outset" w:sz="6" w:space="0" w:color="414142"/>
              <w:bottom w:val="outset" w:sz="6" w:space="0" w:color="414142"/>
              <w:right w:val="outset" w:sz="6" w:space="0" w:color="414142"/>
            </w:tcBorders>
            <w:hideMark/>
          </w:tcPr>
          <w:p w14:paraId="757F44E8"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2E8364A1" w14:textId="41E77696" w:rsidR="00E629A2" w:rsidRPr="00927EE4" w:rsidRDefault="00927EE4" w:rsidP="00927EE4">
            <w:pPr>
              <w:jc w:val="both"/>
              <w:rPr>
                <w:sz w:val="24"/>
                <w:szCs w:val="24"/>
              </w:rPr>
            </w:pPr>
            <w:r w:rsidRPr="008B3325">
              <w:rPr>
                <w:sz w:val="24"/>
                <w:szCs w:val="24"/>
              </w:rPr>
              <w:t>Tiesību akta projekts nodrošina Eiropas Savienības tiesību akta</w:t>
            </w:r>
            <w:r w:rsidRPr="00995B28">
              <w:rPr>
                <w:sz w:val="24"/>
                <w:szCs w:val="24"/>
              </w:rPr>
              <w:t xml:space="preserve"> Eiropas Komisijas 2013.gada </w:t>
            </w:r>
            <w:r>
              <w:rPr>
                <w:sz w:val="24"/>
                <w:szCs w:val="24"/>
              </w:rPr>
              <w:t>18.decembra Regula Nr.1407/2013</w:t>
            </w:r>
            <w:r w:rsidRPr="008B3325">
              <w:rPr>
                <w:sz w:val="24"/>
                <w:szCs w:val="24"/>
              </w:rPr>
              <w:t xml:space="preserve"> prasību ievērošanu</w:t>
            </w:r>
            <w:r>
              <w:rPr>
                <w:sz w:val="24"/>
                <w:szCs w:val="24"/>
              </w:rPr>
              <w:t>.</w:t>
            </w:r>
          </w:p>
        </w:tc>
      </w:tr>
      <w:tr w:rsidR="003D5C72" w:rsidRPr="0074221C" w14:paraId="78AE74A0" w14:textId="77777777" w:rsidTr="002D6D8A">
        <w:tc>
          <w:tcPr>
            <w:tcW w:w="250" w:type="pct"/>
            <w:tcBorders>
              <w:top w:val="outset" w:sz="6" w:space="0" w:color="414142"/>
              <w:left w:val="outset" w:sz="6" w:space="0" w:color="414142"/>
              <w:bottom w:val="outset" w:sz="6" w:space="0" w:color="414142"/>
              <w:right w:val="outset" w:sz="6" w:space="0" w:color="414142"/>
            </w:tcBorders>
            <w:hideMark/>
          </w:tcPr>
          <w:p w14:paraId="14A7D4F4" w14:textId="77777777" w:rsidR="003D5C72" w:rsidRPr="0074221C" w:rsidRDefault="003D5C72" w:rsidP="00D76F9C">
            <w:pPr>
              <w:rPr>
                <w:rFonts w:eastAsia="Times New Roman" w:cs="Times New Roman"/>
                <w:color w:val="414142"/>
                <w:sz w:val="24"/>
                <w:szCs w:val="24"/>
              </w:rPr>
            </w:pPr>
            <w:r w:rsidRPr="0074221C">
              <w:rPr>
                <w:rFonts w:eastAsia="Times New Roman" w:cs="Times New Roman"/>
                <w:color w:val="414142"/>
                <w:sz w:val="24"/>
                <w:szCs w:val="24"/>
              </w:rPr>
              <w:t>2.</w:t>
            </w:r>
          </w:p>
        </w:tc>
        <w:tc>
          <w:tcPr>
            <w:tcW w:w="4890" w:type="dxa"/>
            <w:tcBorders>
              <w:top w:val="outset" w:sz="6" w:space="0" w:color="414142"/>
              <w:left w:val="outset" w:sz="6" w:space="0" w:color="414142"/>
              <w:bottom w:val="outset" w:sz="6" w:space="0" w:color="414142"/>
              <w:right w:val="outset" w:sz="6" w:space="0" w:color="414142"/>
            </w:tcBorders>
            <w:hideMark/>
          </w:tcPr>
          <w:p w14:paraId="05A14414"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16BD568F" w14:textId="77777777" w:rsidR="003D5C72" w:rsidRPr="0074221C" w:rsidRDefault="003D5C72" w:rsidP="00D76F9C">
            <w:pPr>
              <w:jc w:val="both"/>
              <w:rPr>
                <w:rFonts w:eastAsia="Times New Roman" w:cs="Times New Roman"/>
                <w:sz w:val="24"/>
                <w:szCs w:val="24"/>
              </w:rPr>
            </w:pPr>
            <w:r w:rsidRPr="0074221C">
              <w:rPr>
                <w:iCs/>
                <w:sz w:val="24"/>
                <w:szCs w:val="24"/>
              </w:rPr>
              <w:t>Tiesību akta projekts nodrošina Latvijas Republikas un Norvēģijas Karalistes saprašanās memoranda par Norvēģijas finanšu instrumenta ieviešanu 2009.–2014.gadā (apstiprināts ar Ministru kabineta 2011.gada 29.marta noteikumiem Nr.252) īstenošanu.</w:t>
            </w:r>
          </w:p>
        </w:tc>
      </w:tr>
      <w:tr w:rsidR="003D5C72" w:rsidRPr="0074221C" w14:paraId="6D499100" w14:textId="77777777" w:rsidTr="002D6D8A">
        <w:tc>
          <w:tcPr>
            <w:tcW w:w="250" w:type="pct"/>
            <w:tcBorders>
              <w:top w:val="outset" w:sz="6" w:space="0" w:color="414142"/>
              <w:left w:val="outset" w:sz="6" w:space="0" w:color="414142"/>
              <w:bottom w:val="outset" w:sz="6" w:space="0" w:color="414142"/>
              <w:right w:val="outset" w:sz="6" w:space="0" w:color="414142"/>
            </w:tcBorders>
            <w:hideMark/>
          </w:tcPr>
          <w:p w14:paraId="57BD25AB" w14:textId="77777777" w:rsidR="003D5C72" w:rsidRPr="0074221C" w:rsidRDefault="003D5C72" w:rsidP="00D76F9C">
            <w:pPr>
              <w:rPr>
                <w:rFonts w:eastAsia="Times New Roman" w:cs="Times New Roman"/>
                <w:color w:val="414142"/>
                <w:sz w:val="24"/>
                <w:szCs w:val="24"/>
              </w:rPr>
            </w:pPr>
            <w:r w:rsidRPr="0074221C">
              <w:rPr>
                <w:rFonts w:eastAsia="Times New Roman" w:cs="Times New Roman"/>
                <w:color w:val="414142"/>
                <w:sz w:val="24"/>
                <w:szCs w:val="24"/>
              </w:rPr>
              <w:t>3.</w:t>
            </w:r>
          </w:p>
        </w:tc>
        <w:tc>
          <w:tcPr>
            <w:tcW w:w="4890" w:type="dxa"/>
            <w:tcBorders>
              <w:top w:val="outset" w:sz="6" w:space="0" w:color="414142"/>
              <w:left w:val="outset" w:sz="6" w:space="0" w:color="414142"/>
              <w:bottom w:val="outset" w:sz="6" w:space="0" w:color="414142"/>
              <w:right w:val="outset" w:sz="6" w:space="0" w:color="414142"/>
            </w:tcBorders>
            <w:hideMark/>
          </w:tcPr>
          <w:p w14:paraId="0E5B0198"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458C9FB" w14:textId="77777777" w:rsidR="003D5C72" w:rsidRPr="0074221C" w:rsidRDefault="003D5C72" w:rsidP="00D76F9C">
            <w:pPr>
              <w:jc w:val="both"/>
              <w:rPr>
                <w:rFonts w:eastAsia="Times New Roman" w:cs="Times New Roman"/>
                <w:sz w:val="24"/>
                <w:szCs w:val="24"/>
              </w:rPr>
            </w:pPr>
            <w:r w:rsidRPr="0074221C">
              <w:rPr>
                <w:iCs/>
                <w:sz w:val="24"/>
                <w:szCs w:val="24"/>
              </w:rPr>
              <w:t xml:space="preserve">Nav. </w:t>
            </w:r>
          </w:p>
        </w:tc>
      </w:tr>
    </w:tbl>
    <w:p w14:paraId="3A4C9FA4" w14:textId="77777777" w:rsidR="003D5C72" w:rsidRPr="0074221C" w:rsidRDefault="003D5C72" w:rsidP="00D76F9C">
      <w:pPr>
        <w:shd w:val="clear" w:color="auto" w:fill="FFFFFF"/>
        <w:ind w:firstLine="300"/>
        <w:rPr>
          <w:rFonts w:ascii="Arial" w:eastAsia="Times New Roman" w:hAnsi="Arial" w:cs="Arial"/>
          <w:color w:val="414142"/>
          <w:sz w:val="24"/>
          <w:szCs w:val="24"/>
        </w:rPr>
      </w:pPr>
      <w:r w:rsidRPr="0074221C">
        <w:rPr>
          <w:rFonts w:ascii="Arial" w:eastAsia="Times New Roman" w:hAnsi="Arial" w:cs="Arial"/>
          <w:color w:val="414142"/>
          <w:sz w:val="24"/>
          <w:szCs w:val="24"/>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55"/>
        <w:gridCol w:w="263"/>
        <w:gridCol w:w="1619"/>
        <w:gridCol w:w="1170"/>
        <w:gridCol w:w="1194"/>
        <w:gridCol w:w="2397"/>
      </w:tblGrid>
      <w:tr w:rsidR="003D5C72" w:rsidRPr="0074221C" w14:paraId="7DF0D03B" w14:textId="77777777" w:rsidTr="002D6D8A">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8952D1F" w14:textId="77777777" w:rsidR="003D5C72" w:rsidRPr="0074221C" w:rsidRDefault="003D5C72" w:rsidP="00D76F9C">
            <w:pPr>
              <w:jc w:val="center"/>
              <w:rPr>
                <w:rFonts w:eastAsia="Times New Roman" w:cs="Times New Roman"/>
                <w:b/>
                <w:bCs/>
                <w:sz w:val="24"/>
                <w:szCs w:val="24"/>
              </w:rPr>
            </w:pPr>
            <w:r w:rsidRPr="0074221C">
              <w:rPr>
                <w:rFonts w:eastAsia="Times New Roman" w:cs="Times New Roman"/>
                <w:b/>
                <w:bCs/>
                <w:sz w:val="24"/>
                <w:szCs w:val="24"/>
              </w:rPr>
              <w:t>1.tabula</w:t>
            </w:r>
            <w:r w:rsidRPr="0074221C">
              <w:rPr>
                <w:rFonts w:eastAsia="Times New Roman" w:cs="Times New Roman"/>
                <w:b/>
                <w:bCs/>
                <w:sz w:val="24"/>
                <w:szCs w:val="24"/>
              </w:rPr>
              <w:br/>
              <w:t>Tiesību akta projekta atbilstība ES tiesību aktiem</w:t>
            </w:r>
          </w:p>
        </w:tc>
      </w:tr>
      <w:tr w:rsidR="003D5C72" w:rsidRPr="0074221C" w14:paraId="6FD9BEB0" w14:textId="77777777" w:rsidTr="00927EE4">
        <w:trPr>
          <w:jc w:val="center"/>
        </w:trPr>
        <w:tc>
          <w:tcPr>
            <w:tcW w:w="1389" w:type="pct"/>
            <w:tcBorders>
              <w:top w:val="outset" w:sz="6" w:space="0" w:color="414142"/>
              <w:left w:val="outset" w:sz="6" w:space="0" w:color="414142"/>
              <w:bottom w:val="outset" w:sz="6" w:space="0" w:color="414142"/>
              <w:right w:val="outset" w:sz="6" w:space="0" w:color="414142"/>
            </w:tcBorders>
            <w:hideMark/>
          </w:tcPr>
          <w:p w14:paraId="1A715CB3"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Attiecīgā ES tiesību akta datums, numurs un nosaukums</w:t>
            </w:r>
          </w:p>
        </w:tc>
        <w:tc>
          <w:tcPr>
            <w:tcW w:w="3611" w:type="pct"/>
            <w:gridSpan w:val="5"/>
            <w:tcBorders>
              <w:top w:val="outset" w:sz="6" w:space="0" w:color="414142"/>
              <w:left w:val="outset" w:sz="6" w:space="0" w:color="414142"/>
              <w:bottom w:val="outset" w:sz="6" w:space="0" w:color="414142"/>
              <w:right w:val="outset" w:sz="6" w:space="0" w:color="414142"/>
            </w:tcBorders>
            <w:hideMark/>
          </w:tcPr>
          <w:p w14:paraId="09FDFCD9" w14:textId="10AFA66F" w:rsidR="003D5C72" w:rsidRPr="0074221C" w:rsidRDefault="00F8734D" w:rsidP="00D76F9C">
            <w:pPr>
              <w:tabs>
                <w:tab w:val="left" w:pos="835"/>
              </w:tabs>
              <w:jc w:val="both"/>
              <w:rPr>
                <w:rFonts w:cs="Times New Roman"/>
                <w:sz w:val="24"/>
                <w:szCs w:val="24"/>
              </w:rPr>
            </w:pPr>
            <w:r>
              <w:rPr>
                <w:sz w:val="24"/>
                <w:szCs w:val="24"/>
              </w:rPr>
              <w:t>Tiesību akta projekts nodrošina Komisijas regula Nr.1407/2013 noteikto prasību ievērošanu.</w:t>
            </w:r>
          </w:p>
        </w:tc>
      </w:tr>
      <w:tr w:rsidR="0039588D" w:rsidRPr="0074221C" w14:paraId="20296C5D" w14:textId="77777777" w:rsidTr="00927EE4">
        <w:trPr>
          <w:jc w:val="center"/>
        </w:trPr>
        <w:tc>
          <w:tcPr>
            <w:tcW w:w="1389" w:type="pct"/>
            <w:tcBorders>
              <w:top w:val="outset" w:sz="6" w:space="0" w:color="414142"/>
              <w:left w:val="outset" w:sz="6" w:space="0" w:color="414142"/>
              <w:bottom w:val="outset" w:sz="6" w:space="0" w:color="414142"/>
              <w:right w:val="outset" w:sz="6" w:space="0" w:color="414142"/>
            </w:tcBorders>
            <w:vAlign w:val="center"/>
            <w:hideMark/>
          </w:tcPr>
          <w:p w14:paraId="0F754613"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A</w:t>
            </w:r>
          </w:p>
        </w:tc>
        <w:tc>
          <w:tcPr>
            <w:tcW w:w="1023" w:type="pct"/>
            <w:gridSpan w:val="2"/>
            <w:tcBorders>
              <w:top w:val="outset" w:sz="6" w:space="0" w:color="414142"/>
              <w:left w:val="outset" w:sz="6" w:space="0" w:color="414142"/>
              <w:bottom w:val="outset" w:sz="6" w:space="0" w:color="414142"/>
              <w:right w:val="outset" w:sz="6" w:space="0" w:color="414142"/>
            </w:tcBorders>
            <w:vAlign w:val="center"/>
            <w:hideMark/>
          </w:tcPr>
          <w:p w14:paraId="210DFC2E"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B</w:t>
            </w:r>
          </w:p>
        </w:tc>
        <w:tc>
          <w:tcPr>
            <w:tcW w:w="1285" w:type="pct"/>
            <w:gridSpan w:val="2"/>
            <w:tcBorders>
              <w:top w:val="outset" w:sz="6" w:space="0" w:color="414142"/>
              <w:left w:val="outset" w:sz="6" w:space="0" w:color="414142"/>
              <w:bottom w:val="outset" w:sz="6" w:space="0" w:color="414142"/>
              <w:right w:val="outset" w:sz="6" w:space="0" w:color="414142"/>
            </w:tcBorders>
            <w:vAlign w:val="center"/>
            <w:hideMark/>
          </w:tcPr>
          <w:p w14:paraId="309029CF"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25A0AD69" w14:textId="77777777" w:rsidR="003D5C72" w:rsidRPr="0074221C" w:rsidRDefault="003D5C72" w:rsidP="00D76F9C">
            <w:pPr>
              <w:jc w:val="center"/>
              <w:rPr>
                <w:rFonts w:eastAsia="Times New Roman" w:cs="Times New Roman"/>
                <w:sz w:val="24"/>
                <w:szCs w:val="24"/>
              </w:rPr>
            </w:pPr>
            <w:r w:rsidRPr="0074221C">
              <w:rPr>
                <w:rFonts w:eastAsia="Times New Roman" w:cs="Times New Roman"/>
                <w:sz w:val="24"/>
                <w:szCs w:val="24"/>
              </w:rPr>
              <w:t>D</w:t>
            </w:r>
          </w:p>
        </w:tc>
      </w:tr>
      <w:tr w:rsidR="0039588D" w:rsidRPr="0074221C" w14:paraId="292FB165" w14:textId="77777777" w:rsidTr="00927EE4">
        <w:trPr>
          <w:jc w:val="center"/>
        </w:trPr>
        <w:tc>
          <w:tcPr>
            <w:tcW w:w="1389" w:type="pct"/>
            <w:tcBorders>
              <w:top w:val="outset" w:sz="6" w:space="0" w:color="414142"/>
              <w:left w:val="outset" w:sz="6" w:space="0" w:color="414142"/>
              <w:bottom w:val="outset" w:sz="6" w:space="0" w:color="414142"/>
              <w:right w:val="outset" w:sz="6" w:space="0" w:color="414142"/>
            </w:tcBorders>
            <w:hideMark/>
          </w:tcPr>
          <w:p w14:paraId="702EEFBE" w14:textId="6CB85A8A" w:rsidR="00927EE4" w:rsidRDefault="003D5C72" w:rsidP="00D76F9C">
            <w:pPr>
              <w:rPr>
                <w:rFonts w:eastAsia="Times New Roman" w:cs="Times New Roman"/>
                <w:sz w:val="24"/>
                <w:szCs w:val="24"/>
              </w:rPr>
            </w:pPr>
            <w:r w:rsidRPr="0074221C">
              <w:rPr>
                <w:rFonts w:eastAsia="Times New Roman" w:cs="Times New Roman"/>
                <w:sz w:val="24"/>
                <w:szCs w:val="24"/>
              </w:rPr>
              <w:t>Attiecīgā ES tiesību akta panta numurs (uzskaitot katru tiesību akta vienību – pantu, daļu, punktu, apakšpunktu)</w:t>
            </w:r>
          </w:p>
          <w:p w14:paraId="466EA8AC" w14:textId="77777777" w:rsidR="00927EE4" w:rsidRPr="00927EE4" w:rsidRDefault="00927EE4" w:rsidP="00927EE4">
            <w:pPr>
              <w:rPr>
                <w:rFonts w:eastAsia="Times New Roman" w:cs="Times New Roman"/>
                <w:sz w:val="24"/>
                <w:szCs w:val="24"/>
              </w:rPr>
            </w:pPr>
          </w:p>
          <w:p w14:paraId="0BA2E021" w14:textId="77777777" w:rsidR="00927EE4" w:rsidRPr="00927EE4" w:rsidRDefault="00927EE4" w:rsidP="00927EE4">
            <w:pPr>
              <w:rPr>
                <w:rFonts w:eastAsia="Times New Roman" w:cs="Times New Roman"/>
                <w:sz w:val="24"/>
                <w:szCs w:val="24"/>
              </w:rPr>
            </w:pPr>
          </w:p>
          <w:p w14:paraId="10E2DC6F" w14:textId="77777777" w:rsidR="00927EE4" w:rsidRPr="00927EE4" w:rsidRDefault="00927EE4" w:rsidP="00927EE4">
            <w:pPr>
              <w:rPr>
                <w:rFonts w:eastAsia="Times New Roman" w:cs="Times New Roman"/>
                <w:sz w:val="24"/>
                <w:szCs w:val="24"/>
              </w:rPr>
            </w:pPr>
          </w:p>
          <w:p w14:paraId="30896ED5" w14:textId="77777777" w:rsidR="00927EE4" w:rsidRPr="00927EE4" w:rsidRDefault="00927EE4" w:rsidP="00927EE4">
            <w:pPr>
              <w:rPr>
                <w:rFonts w:eastAsia="Times New Roman" w:cs="Times New Roman"/>
                <w:sz w:val="24"/>
                <w:szCs w:val="24"/>
              </w:rPr>
            </w:pPr>
          </w:p>
          <w:p w14:paraId="41753EE2" w14:textId="77777777" w:rsidR="00927EE4" w:rsidRPr="00927EE4" w:rsidRDefault="00927EE4" w:rsidP="00927EE4">
            <w:pPr>
              <w:rPr>
                <w:rFonts w:eastAsia="Times New Roman" w:cs="Times New Roman"/>
                <w:sz w:val="24"/>
                <w:szCs w:val="24"/>
              </w:rPr>
            </w:pPr>
          </w:p>
          <w:p w14:paraId="1D1EFB25" w14:textId="77777777" w:rsidR="00927EE4" w:rsidRPr="00927EE4" w:rsidRDefault="00927EE4" w:rsidP="00927EE4">
            <w:pPr>
              <w:rPr>
                <w:rFonts w:eastAsia="Times New Roman" w:cs="Times New Roman"/>
                <w:sz w:val="24"/>
                <w:szCs w:val="24"/>
              </w:rPr>
            </w:pPr>
          </w:p>
          <w:p w14:paraId="279B2290" w14:textId="77777777" w:rsidR="00927EE4" w:rsidRPr="00927EE4" w:rsidRDefault="00927EE4" w:rsidP="00927EE4">
            <w:pPr>
              <w:rPr>
                <w:rFonts w:eastAsia="Times New Roman" w:cs="Times New Roman"/>
                <w:sz w:val="24"/>
                <w:szCs w:val="24"/>
              </w:rPr>
            </w:pPr>
          </w:p>
          <w:p w14:paraId="0E77B862" w14:textId="77777777" w:rsidR="00927EE4" w:rsidRPr="00927EE4" w:rsidRDefault="00927EE4" w:rsidP="00927EE4">
            <w:pPr>
              <w:rPr>
                <w:rFonts w:eastAsia="Times New Roman" w:cs="Times New Roman"/>
                <w:sz w:val="24"/>
                <w:szCs w:val="24"/>
              </w:rPr>
            </w:pPr>
          </w:p>
          <w:p w14:paraId="0B8C3FF1" w14:textId="77777777" w:rsidR="00927EE4" w:rsidRPr="00927EE4" w:rsidRDefault="00927EE4" w:rsidP="00927EE4">
            <w:pPr>
              <w:rPr>
                <w:rFonts w:eastAsia="Times New Roman" w:cs="Times New Roman"/>
                <w:sz w:val="24"/>
                <w:szCs w:val="24"/>
              </w:rPr>
            </w:pPr>
          </w:p>
          <w:p w14:paraId="575F02FD" w14:textId="77777777" w:rsidR="00927EE4" w:rsidRPr="00927EE4" w:rsidRDefault="00927EE4" w:rsidP="00927EE4">
            <w:pPr>
              <w:rPr>
                <w:rFonts w:eastAsia="Times New Roman" w:cs="Times New Roman"/>
                <w:sz w:val="24"/>
                <w:szCs w:val="24"/>
              </w:rPr>
            </w:pPr>
          </w:p>
          <w:p w14:paraId="45425685" w14:textId="77777777" w:rsidR="00927EE4" w:rsidRPr="00927EE4" w:rsidRDefault="00927EE4" w:rsidP="00927EE4">
            <w:pPr>
              <w:rPr>
                <w:rFonts w:eastAsia="Times New Roman" w:cs="Times New Roman"/>
                <w:sz w:val="24"/>
                <w:szCs w:val="24"/>
              </w:rPr>
            </w:pPr>
          </w:p>
          <w:p w14:paraId="5952F1C9" w14:textId="77777777" w:rsidR="00927EE4" w:rsidRPr="00927EE4" w:rsidRDefault="00927EE4" w:rsidP="00927EE4">
            <w:pPr>
              <w:rPr>
                <w:rFonts w:eastAsia="Times New Roman" w:cs="Times New Roman"/>
                <w:sz w:val="24"/>
                <w:szCs w:val="24"/>
              </w:rPr>
            </w:pPr>
          </w:p>
          <w:p w14:paraId="0B88ADDA" w14:textId="77777777" w:rsidR="00927EE4" w:rsidRPr="00927EE4" w:rsidRDefault="00927EE4" w:rsidP="00927EE4">
            <w:pPr>
              <w:rPr>
                <w:rFonts w:eastAsia="Times New Roman" w:cs="Times New Roman"/>
                <w:sz w:val="24"/>
                <w:szCs w:val="24"/>
              </w:rPr>
            </w:pPr>
          </w:p>
          <w:p w14:paraId="3E961F0E" w14:textId="77777777" w:rsidR="00927EE4" w:rsidRPr="00927EE4" w:rsidRDefault="00927EE4" w:rsidP="00927EE4">
            <w:pPr>
              <w:rPr>
                <w:rFonts w:eastAsia="Times New Roman" w:cs="Times New Roman"/>
                <w:sz w:val="24"/>
                <w:szCs w:val="24"/>
              </w:rPr>
            </w:pPr>
          </w:p>
          <w:p w14:paraId="408DDF4E" w14:textId="77777777" w:rsidR="00927EE4" w:rsidRPr="00927EE4" w:rsidRDefault="00927EE4" w:rsidP="00927EE4">
            <w:pPr>
              <w:rPr>
                <w:rFonts w:eastAsia="Times New Roman" w:cs="Times New Roman"/>
                <w:sz w:val="24"/>
                <w:szCs w:val="24"/>
              </w:rPr>
            </w:pPr>
          </w:p>
          <w:p w14:paraId="65F3C3D8" w14:textId="77777777" w:rsidR="00927EE4" w:rsidRPr="00927EE4" w:rsidRDefault="00927EE4" w:rsidP="00927EE4">
            <w:pPr>
              <w:rPr>
                <w:rFonts w:eastAsia="Times New Roman" w:cs="Times New Roman"/>
                <w:sz w:val="24"/>
                <w:szCs w:val="24"/>
              </w:rPr>
            </w:pPr>
          </w:p>
          <w:p w14:paraId="352AAD97" w14:textId="77777777" w:rsidR="00927EE4" w:rsidRPr="00927EE4" w:rsidRDefault="00927EE4" w:rsidP="00927EE4">
            <w:pPr>
              <w:rPr>
                <w:rFonts w:eastAsia="Times New Roman" w:cs="Times New Roman"/>
                <w:sz w:val="24"/>
                <w:szCs w:val="24"/>
              </w:rPr>
            </w:pPr>
          </w:p>
          <w:p w14:paraId="77765AB6" w14:textId="41525232" w:rsidR="00927EE4" w:rsidRDefault="00927EE4" w:rsidP="00927EE4">
            <w:pPr>
              <w:rPr>
                <w:rFonts w:eastAsia="Times New Roman" w:cs="Times New Roman"/>
                <w:sz w:val="24"/>
                <w:szCs w:val="24"/>
              </w:rPr>
            </w:pPr>
          </w:p>
          <w:p w14:paraId="0E2827ED" w14:textId="359067D2" w:rsidR="00927EE4" w:rsidRDefault="00927EE4" w:rsidP="00927EE4">
            <w:pPr>
              <w:rPr>
                <w:rFonts w:eastAsia="Times New Roman" w:cs="Times New Roman"/>
                <w:sz w:val="24"/>
                <w:szCs w:val="24"/>
              </w:rPr>
            </w:pPr>
          </w:p>
          <w:p w14:paraId="7FEBAA05" w14:textId="77777777" w:rsidR="003D5C72" w:rsidRPr="00927EE4" w:rsidRDefault="003D5C72" w:rsidP="00927EE4">
            <w:pPr>
              <w:jc w:val="right"/>
              <w:rPr>
                <w:rFonts w:eastAsia="Times New Roman" w:cs="Times New Roman"/>
                <w:sz w:val="24"/>
                <w:szCs w:val="24"/>
              </w:rPr>
            </w:pPr>
          </w:p>
        </w:tc>
        <w:tc>
          <w:tcPr>
            <w:tcW w:w="1023" w:type="pct"/>
            <w:gridSpan w:val="2"/>
            <w:tcBorders>
              <w:top w:val="outset" w:sz="6" w:space="0" w:color="414142"/>
              <w:left w:val="outset" w:sz="6" w:space="0" w:color="414142"/>
              <w:bottom w:val="outset" w:sz="6" w:space="0" w:color="414142"/>
              <w:right w:val="outset" w:sz="6" w:space="0" w:color="414142"/>
            </w:tcBorders>
            <w:hideMark/>
          </w:tcPr>
          <w:p w14:paraId="53B0428F" w14:textId="77777777" w:rsidR="003D5C72" w:rsidRPr="00927EE4" w:rsidRDefault="003D5C72" w:rsidP="00D76F9C">
            <w:pPr>
              <w:rPr>
                <w:rFonts w:eastAsia="Times New Roman" w:cs="Times New Roman"/>
                <w:sz w:val="24"/>
                <w:szCs w:val="24"/>
              </w:rPr>
            </w:pPr>
            <w:r w:rsidRPr="00927EE4">
              <w:rPr>
                <w:rFonts w:eastAsia="Times New Roman" w:cs="Times New Roman"/>
                <w:sz w:val="24"/>
                <w:szCs w:val="24"/>
              </w:rPr>
              <w:lastRenderedPageBreak/>
              <w:t xml:space="preserve">Projekta vienība, kas pārņem vai ievieš katru šīs tabulas A ailē minēto ES tiesību </w:t>
            </w:r>
            <w:r w:rsidRPr="00927EE4">
              <w:rPr>
                <w:rFonts w:eastAsia="Times New Roman" w:cs="Times New Roman"/>
                <w:sz w:val="24"/>
                <w:szCs w:val="24"/>
              </w:rPr>
              <w:lastRenderedPageBreak/>
              <w:t>akta vienību, vai tiesību akts, kur attiecīgā ES tiesību akta vienība pārņemta vai ieviesta</w:t>
            </w:r>
          </w:p>
        </w:tc>
        <w:tc>
          <w:tcPr>
            <w:tcW w:w="1285" w:type="pct"/>
            <w:gridSpan w:val="2"/>
            <w:tcBorders>
              <w:top w:val="outset" w:sz="6" w:space="0" w:color="414142"/>
              <w:left w:val="outset" w:sz="6" w:space="0" w:color="414142"/>
              <w:bottom w:val="outset" w:sz="6" w:space="0" w:color="414142"/>
              <w:right w:val="outset" w:sz="6" w:space="0" w:color="414142"/>
            </w:tcBorders>
            <w:hideMark/>
          </w:tcPr>
          <w:p w14:paraId="2BF64F94" w14:textId="77777777" w:rsidR="003D5C72" w:rsidRPr="00927EE4" w:rsidRDefault="003D5C72" w:rsidP="00D76F9C">
            <w:pPr>
              <w:rPr>
                <w:rFonts w:eastAsia="Times New Roman" w:cs="Times New Roman"/>
                <w:sz w:val="24"/>
                <w:szCs w:val="24"/>
              </w:rPr>
            </w:pPr>
            <w:r w:rsidRPr="00927EE4">
              <w:rPr>
                <w:rFonts w:eastAsia="Times New Roman" w:cs="Times New Roman"/>
                <w:sz w:val="24"/>
                <w:szCs w:val="24"/>
              </w:rPr>
              <w:lastRenderedPageBreak/>
              <w:t xml:space="preserve">Informācija par to, vai šīs tabulas A ailē minētās ES tiesību akta vienības tiek pārņemtas </w:t>
            </w:r>
            <w:r w:rsidRPr="00927EE4">
              <w:rPr>
                <w:rFonts w:eastAsia="Times New Roman" w:cs="Times New Roman"/>
                <w:sz w:val="24"/>
                <w:szCs w:val="24"/>
              </w:rPr>
              <w:lastRenderedPageBreak/>
              <w:t>vai ieviestas pilnībā vai daļēji.</w:t>
            </w:r>
          </w:p>
          <w:p w14:paraId="23579C43" w14:textId="77777777" w:rsidR="003D5C72" w:rsidRPr="00732D9D" w:rsidRDefault="003D5C72" w:rsidP="00D76F9C">
            <w:pPr>
              <w:rPr>
                <w:rFonts w:eastAsia="Times New Roman" w:cs="Times New Roman"/>
                <w:sz w:val="24"/>
                <w:szCs w:val="24"/>
              </w:rPr>
            </w:pPr>
            <w:r w:rsidRPr="00732D9D">
              <w:rPr>
                <w:rFonts w:eastAsia="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312725B" w14:textId="77777777" w:rsidR="003D5C72" w:rsidRPr="00732D9D" w:rsidRDefault="003D5C72" w:rsidP="00D76F9C">
            <w:pPr>
              <w:rPr>
                <w:rFonts w:eastAsia="Times New Roman" w:cs="Times New Roman"/>
                <w:sz w:val="24"/>
                <w:szCs w:val="24"/>
              </w:rPr>
            </w:pPr>
            <w:r w:rsidRPr="00732D9D">
              <w:rPr>
                <w:rFonts w:eastAsia="Times New Roman" w:cs="Times New Roman"/>
                <w:sz w:val="24"/>
                <w:szCs w:val="24"/>
              </w:rPr>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25B9F9DB" w14:textId="77777777" w:rsidR="003D5C72" w:rsidRPr="00C46766" w:rsidRDefault="003D5C72" w:rsidP="00D76F9C">
            <w:pPr>
              <w:rPr>
                <w:rFonts w:eastAsia="Times New Roman" w:cs="Times New Roman"/>
                <w:sz w:val="24"/>
                <w:szCs w:val="24"/>
              </w:rPr>
            </w:pPr>
            <w:r w:rsidRPr="00C46766">
              <w:rPr>
                <w:rFonts w:eastAsia="Times New Roman" w:cs="Times New Roman"/>
                <w:sz w:val="24"/>
                <w:szCs w:val="24"/>
              </w:rPr>
              <w:lastRenderedPageBreak/>
              <w:t xml:space="preserve">Informācija par to, vai šīs tabulas B ailē minētās projekta vienības paredz stingrākas prasības nekā </w:t>
            </w:r>
            <w:r w:rsidRPr="00C46766">
              <w:rPr>
                <w:rFonts w:eastAsia="Times New Roman" w:cs="Times New Roman"/>
                <w:sz w:val="24"/>
                <w:szCs w:val="24"/>
              </w:rPr>
              <w:lastRenderedPageBreak/>
              <w:t>šīs tabulas A ailē minētās ES tiesību akta vienības.</w:t>
            </w:r>
          </w:p>
          <w:p w14:paraId="6AB31681" w14:textId="77777777" w:rsidR="003D5C72" w:rsidRPr="00376D06" w:rsidRDefault="003D5C72" w:rsidP="00D76F9C">
            <w:pPr>
              <w:rPr>
                <w:rFonts w:eastAsia="Times New Roman" w:cs="Times New Roman"/>
                <w:sz w:val="24"/>
                <w:szCs w:val="24"/>
              </w:rPr>
            </w:pPr>
            <w:r w:rsidRPr="00C46766">
              <w:rPr>
                <w:rFonts w:eastAsia="Times New Roman" w:cs="Times New Roman"/>
                <w:sz w:val="24"/>
                <w:szCs w:val="24"/>
              </w:rPr>
              <w:t>Ja projekts satur stingrākas prasības nekā attiecīgais ES tiesību akts, norāda pamatojumu un samērīgumu.</w:t>
            </w:r>
          </w:p>
          <w:p w14:paraId="73734BCB" w14:textId="77777777" w:rsidR="003D5C72" w:rsidRPr="00927EE4" w:rsidRDefault="003D5C72" w:rsidP="00D76F9C">
            <w:pPr>
              <w:rPr>
                <w:rFonts w:eastAsia="Times New Roman" w:cs="Times New Roman"/>
                <w:sz w:val="24"/>
                <w:szCs w:val="24"/>
              </w:rPr>
            </w:pPr>
            <w:r w:rsidRPr="00746CCA">
              <w:rPr>
                <w:rFonts w:eastAsia="Times New Roman" w:cs="Times New Roman"/>
                <w:sz w:val="24"/>
                <w:szCs w:val="24"/>
              </w:rPr>
              <w:t>Norāda iespējamās alternatīvas (t.</w:t>
            </w:r>
            <w:r w:rsidRPr="0074221C">
              <w:rPr>
                <w:rFonts w:eastAsia="Times New Roman" w:cs="Times New Roman"/>
                <w:sz w:val="24"/>
                <w:szCs w:val="24"/>
              </w:rPr>
              <w:t>sk. alternatīvas, kas neparedz tiesiskā regulējuma izstrādi) – kādos gadījumos būtu iespējams izvairīties no stingrāku prasību noteikšanas, nekā paredzēts attiecīgajos ES tiesīb</w:t>
            </w:r>
            <w:r w:rsidRPr="00927EE4">
              <w:rPr>
                <w:rFonts w:eastAsia="Times New Roman" w:cs="Times New Roman"/>
                <w:sz w:val="24"/>
                <w:szCs w:val="24"/>
              </w:rPr>
              <w:t>u aktos</w:t>
            </w:r>
          </w:p>
        </w:tc>
      </w:tr>
      <w:tr w:rsidR="00376D06" w:rsidRPr="0074221C" w14:paraId="5D5287A3" w14:textId="77777777" w:rsidTr="00927EE4">
        <w:trPr>
          <w:jc w:val="center"/>
        </w:trPr>
        <w:tc>
          <w:tcPr>
            <w:tcW w:w="1389" w:type="pct"/>
            <w:tcBorders>
              <w:top w:val="outset" w:sz="6" w:space="0" w:color="414142"/>
              <w:left w:val="outset" w:sz="6" w:space="0" w:color="414142"/>
              <w:bottom w:val="outset" w:sz="6" w:space="0" w:color="414142"/>
              <w:right w:val="outset" w:sz="6" w:space="0" w:color="414142"/>
            </w:tcBorders>
          </w:tcPr>
          <w:p w14:paraId="30B8E0E4" w14:textId="3DAEF8E8" w:rsidR="00376D06" w:rsidRPr="00376D06" w:rsidRDefault="00376D06" w:rsidP="00376D06">
            <w:pPr>
              <w:pStyle w:val="naisc"/>
              <w:spacing w:before="0" w:after="0"/>
              <w:jc w:val="both"/>
            </w:pPr>
            <w:r>
              <w:lastRenderedPageBreak/>
              <w:t>Komisijas regulas Nr.1407/2013 un 7.panta 4.punkts un 8.pants</w:t>
            </w:r>
          </w:p>
        </w:tc>
        <w:tc>
          <w:tcPr>
            <w:tcW w:w="1023" w:type="pct"/>
            <w:gridSpan w:val="2"/>
            <w:tcBorders>
              <w:top w:val="outset" w:sz="6" w:space="0" w:color="414142"/>
              <w:left w:val="outset" w:sz="6" w:space="0" w:color="414142"/>
              <w:bottom w:val="outset" w:sz="6" w:space="0" w:color="414142"/>
              <w:right w:val="outset" w:sz="6" w:space="0" w:color="414142"/>
            </w:tcBorders>
          </w:tcPr>
          <w:p w14:paraId="3F9851B6" w14:textId="19F97429" w:rsidR="00376D06" w:rsidRDefault="00376D06" w:rsidP="00927EE4">
            <w:pPr>
              <w:rPr>
                <w:rFonts w:eastAsia="Times New Roman" w:cs="Times New Roman"/>
                <w:sz w:val="24"/>
                <w:szCs w:val="24"/>
              </w:rPr>
            </w:pPr>
            <w:r>
              <w:rPr>
                <w:rFonts w:eastAsia="Times New Roman" w:cs="Times New Roman"/>
                <w:sz w:val="24"/>
                <w:szCs w:val="24"/>
              </w:rPr>
              <w:t>Noteikumu projekta 6.punkts (tiek veikti grozījumi MK noteikumu Nr.181 17.punktā)</w:t>
            </w:r>
          </w:p>
        </w:tc>
        <w:tc>
          <w:tcPr>
            <w:tcW w:w="1285" w:type="pct"/>
            <w:gridSpan w:val="2"/>
            <w:tcBorders>
              <w:top w:val="outset" w:sz="6" w:space="0" w:color="414142"/>
              <w:left w:val="outset" w:sz="6" w:space="0" w:color="414142"/>
              <w:bottom w:val="outset" w:sz="6" w:space="0" w:color="414142"/>
              <w:right w:val="outset" w:sz="6" w:space="0" w:color="414142"/>
            </w:tcBorders>
          </w:tcPr>
          <w:p w14:paraId="51838683" w14:textId="21BD324F" w:rsidR="00376D06" w:rsidRPr="00320743" w:rsidRDefault="00376D06" w:rsidP="00927EE4">
            <w:pPr>
              <w:rPr>
                <w:rFonts w:eastAsia="Times New Roman" w:cs="Times New Roman"/>
                <w:i/>
                <w:sz w:val="24"/>
                <w:szCs w:val="24"/>
              </w:rPr>
            </w:pPr>
            <w:r>
              <w:rPr>
                <w:rFonts w:eastAsia="Times New Roman" w:cs="Times New Roman"/>
                <w:i/>
                <w:sz w:val="24"/>
                <w:szCs w:val="24"/>
              </w:rPr>
              <w:t>Ieviests pilnībā</w:t>
            </w:r>
          </w:p>
        </w:tc>
        <w:tc>
          <w:tcPr>
            <w:tcW w:w="1303" w:type="pct"/>
            <w:tcBorders>
              <w:top w:val="outset" w:sz="6" w:space="0" w:color="414142"/>
              <w:left w:val="outset" w:sz="6" w:space="0" w:color="414142"/>
              <w:bottom w:val="outset" w:sz="6" w:space="0" w:color="414142"/>
              <w:right w:val="outset" w:sz="6" w:space="0" w:color="414142"/>
            </w:tcBorders>
          </w:tcPr>
          <w:p w14:paraId="3DCC2FCC" w14:textId="13CEEB9E" w:rsidR="00376D06" w:rsidRPr="00320743" w:rsidRDefault="00376D06" w:rsidP="00927EE4">
            <w:pPr>
              <w:rPr>
                <w:rFonts w:eastAsia="Times New Roman" w:cs="Times New Roman"/>
                <w:i/>
                <w:sz w:val="24"/>
                <w:szCs w:val="24"/>
              </w:rPr>
            </w:pPr>
            <w:r>
              <w:rPr>
                <w:rFonts w:eastAsia="Times New Roman" w:cs="Times New Roman"/>
                <w:i/>
                <w:sz w:val="24"/>
                <w:szCs w:val="24"/>
              </w:rPr>
              <w:t>Neparedz stingrāku prasību</w:t>
            </w:r>
          </w:p>
        </w:tc>
      </w:tr>
      <w:tr w:rsidR="00927EE4" w:rsidRPr="0074221C" w14:paraId="01CF4590" w14:textId="77777777" w:rsidTr="00927EE4">
        <w:trPr>
          <w:jc w:val="center"/>
        </w:trPr>
        <w:tc>
          <w:tcPr>
            <w:tcW w:w="1389" w:type="pct"/>
            <w:tcBorders>
              <w:top w:val="outset" w:sz="6" w:space="0" w:color="414142"/>
              <w:left w:val="outset" w:sz="6" w:space="0" w:color="414142"/>
              <w:bottom w:val="outset" w:sz="6" w:space="0" w:color="414142"/>
              <w:right w:val="outset" w:sz="6" w:space="0" w:color="414142"/>
            </w:tcBorders>
          </w:tcPr>
          <w:p w14:paraId="3C5BF39E" w14:textId="0D70708E" w:rsidR="00927EE4" w:rsidRPr="00327CA7" w:rsidRDefault="00927EE4" w:rsidP="00CB4825">
            <w:pPr>
              <w:pStyle w:val="naisc"/>
              <w:spacing w:before="0" w:after="0"/>
              <w:jc w:val="both"/>
            </w:pPr>
            <w:r w:rsidRPr="006C7ED9">
              <w:t>Komisijas regulas Nr.1407/2013 1.panta 2.punkt</w:t>
            </w:r>
            <w:r w:rsidRPr="00327CA7">
              <w:t xml:space="preserve">s </w:t>
            </w:r>
          </w:p>
        </w:tc>
        <w:tc>
          <w:tcPr>
            <w:tcW w:w="1023" w:type="pct"/>
            <w:gridSpan w:val="2"/>
            <w:tcBorders>
              <w:top w:val="outset" w:sz="6" w:space="0" w:color="414142"/>
              <w:left w:val="outset" w:sz="6" w:space="0" w:color="414142"/>
              <w:bottom w:val="outset" w:sz="6" w:space="0" w:color="414142"/>
              <w:right w:val="outset" w:sz="6" w:space="0" w:color="414142"/>
            </w:tcBorders>
          </w:tcPr>
          <w:p w14:paraId="2E9DC074" w14:textId="5EADB088" w:rsidR="00927EE4" w:rsidRPr="00927EE4" w:rsidRDefault="00E05B98" w:rsidP="00927EE4">
            <w:pPr>
              <w:rPr>
                <w:rFonts w:eastAsia="Times New Roman" w:cs="Times New Roman"/>
                <w:sz w:val="24"/>
                <w:szCs w:val="24"/>
              </w:rPr>
            </w:pPr>
            <w:r>
              <w:rPr>
                <w:rFonts w:eastAsia="Times New Roman" w:cs="Times New Roman"/>
                <w:sz w:val="24"/>
                <w:szCs w:val="24"/>
              </w:rPr>
              <w:t>Noteikumu projekta 9.punkts (tiek papildināti MK noteikumi Nr.181 ar 23.</w:t>
            </w:r>
            <w:r w:rsidRPr="00CB4825">
              <w:rPr>
                <w:rFonts w:eastAsia="Times New Roman" w:cs="Times New Roman"/>
                <w:sz w:val="24"/>
                <w:szCs w:val="24"/>
                <w:vertAlign w:val="superscript"/>
              </w:rPr>
              <w:t>1</w:t>
            </w:r>
            <w:r>
              <w:rPr>
                <w:rFonts w:eastAsia="Times New Roman" w:cs="Times New Roman"/>
                <w:sz w:val="24"/>
                <w:szCs w:val="24"/>
              </w:rPr>
              <w:t xml:space="preserve"> punktu).</w:t>
            </w:r>
          </w:p>
        </w:tc>
        <w:tc>
          <w:tcPr>
            <w:tcW w:w="1285" w:type="pct"/>
            <w:gridSpan w:val="2"/>
            <w:tcBorders>
              <w:top w:val="outset" w:sz="6" w:space="0" w:color="414142"/>
              <w:left w:val="outset" w:sz="6" w:space="0" w:color="414142"/>
              <w:bottom w:val="outset" w:sz="6" w:space="0" w:color="414142"/>
              <w:right w:val="outset" w:sz="6" w:space="0" w:color="414142"/>
            </w:tcBorders>
          </w:tcPr>
          <w:p w14:paraId="74ECE3A0" w14:textId="7E84308C" w:rsidR="00927EE4" w:rsidRPr="00927EE4" w:rsidRDefault="0051623A" w:rsidP="00927EE4">
            <w:pPr>
              <w:rPr>
                <w:rFonts w:eastAsia="Times New Roman" w:cs="Times New Roman"/>
                <w:sz w:val="24"/>
                <w:szCs w:val="24"/>
              </w:rPr>
            </w:pPr>
            <w:r>
              <w:rPr>
                <w:rFonts w:eastAsia="Times New Roman" w:cs="Times New Roman"/>
                <w:i/>
                <w:sz w:val="24"/>
                <w:szCs w:val="24"/>
              </w:rPr>
              <w:t>Ieviests</w:t>
            </w:r>
            <w:r w:rsidR="00927EE4" w:rsidRPr="00320743">
              <w:rPr>
                <w:rFonts w:eastAsia="Times New Roman" w:cs="Times New Roman"/>
                <w:i/>
                <w:sz w:val="24"/>
                <w:szCs w:val="24"/>
              </w:rPr>
              <w:t xml:space="preserve"> pilnībā</w:t>
            </w:r>
          </w:p>
        </w:tc>
        <w:tc>
          <w:tcPr>
            <w:tcW w:w="1303" w:type="pct"/>
            <w:tcBorders>
              <w:top w:val="outset" w:sz="6" w:space="0" w:color="414142"/>
              <w:left w:val="outset" w:sz="6" w:space="0" w:color="414142"/>
              <w:bottom w:val="outset" w:sz="6" w:space="0" w:color="414142"/>
              <w:right w:val="outset" w:sz="6" w:space="0" w:color="414142"/>
            </w:tcBorders>
          </w:tcPr>
          <w:p w14:paraId="3EE567E3" w14:textId="0EA33FD2" w:rsidR="00927EE4" w:rsidRPr="00927EE4" w:rsidRDefault="00927EE4" w:rsidP="00927EE4">
            <w:pPr>
              <w:rPr>
                <w:rFonts w:eastAsia="Times New Roman" w:cs="Times New Roman"/>
                <w:sz w:val="24"/>
                <w:szCs w:val="24"/>
              </w:rPr>
            </w:pPr>
            <w:r w:rsidRPr="00320743">
              <w:rPr>
                <w:rFonts w:eastAsia="Times New Roman" w:cs="Times New Roman"/>
                <w:i/>
                <w:sz w:val="24"/>
                <w:szCs w:val="24"/>
              </w:rPr>
              <w:t>Neparedz stingrākas prasības</w:t>
            </w:r>
          </w:p>
        </w:tc>
      </w:tr>
      <w:tr w:rsidR="00927EE4" w:rsidRPr="0074221C" w14:paraId="07A7C9F3" w14:textId="77777777" w:rsidTr="00927EE4">
        <w:trPr>
          <w:jc w:val="center"/>
        </w:trPr>
        <w:tc>
          <w:tcPr>
            <w:tcW w:w="1389" w:type="pct"/>
            <w:tcBorders>
              <w:top w:val="outset" w:sz="6" w:space="0" w:color="414142"/>
              <w:left w:val="outset" w:sz="6" w:space="0" w:color="414142"/>
              <w:bottom w:val="outset" w:sz="6" w:space="0" w:color="414142"/>
              <w:right w:val="outset" w:sz="6" w:space="0" w:color="414142"/>
            </w:tcBorders>
          </w:tcPr>
          <w:p w14:paraId="488F4BEE" w14:textId="210BDD36" w:rsidR="00927EE4" w:rsidRPr="00927EE4" w:rsidRDefault="00927EE4" w:rsidP="00927EE4">
            <w:pPr>
              <w:rPr>
                <w:rFonts w:eastAsia="Times New Roman" w:cs="Times New Roman"/>
                <w:sz w:val="24"/>
                <w:szCs w:val="24"/>
              </w:rPr>
            </w:pPr>
            <w:r w:rsidRPr="00CB4825">
              <w:rPr>
                <w:sz w:val="24"/>
                <w:szCs w:val="24"/>
              </w:rPr>
              <w:t>Komisijas regulas Nr. 1407/2013 4.panta 3.punkta a apakšpunkts</w:t>
            </w:r>
          </w:p>
        </w:tc>
        <w:tc>
          <w:tcPr>
            <w:tcW w:w="1023" w:type="pct"/>
            <w:gridSpan w:val="2"/>
            <w:tcBorders>
              <w:top w:val="outset" w:sz="6" w:space="0" w:color="414142"/>
              <w:left w:val="outset" w:sz="6" w:space="0" w:color="414142"/>
              <w:bottom w:val="outset" w:sz="6" w:space="0" w:color="414142"/>
              <w:right w:val="outset" w:sz="6" w:space="0" w:color="414142"/>
            </w:tcBorders>
          </w:tcPr>
          <w:p w14:paraId="3C60B9A2" w14:textId="227E8F84" w:rsidR="00927EE4" w:rsidRPr="00927EE4" w:rsidRDefault="00E05B98" w:rsidP="00927EE4">
            <w:pPr>
              <w:rPr>
                <w:rFonts w:eastAsia="Times New Roman" w:cs="Times New Roman"/>
                <w:sz w:val="24"/>
                <w:szCs w:val="24"/>
              </w:rPr>
            </w:pPr>
            <w:r>
              <w:rPr>
                <w:rFonts w:eastAsia="Times New Roman" w:cs="Times New Roman"/>
                <w:sz w:val="24"/>
                <w:szCs w:val="24"/>
              </w:rPr>
              <w:t>Noteikumu projekta 8.punkts (tiek veikti grozījumi MK noteikumu Nr.181 23.punktā)</w:t>
            </w:r>
          </w:p>
        </w:tc>
        <w:tc>
          <w:tcPr>
            <w:tcW w:w="1285" w:type="pct"/>
            <w:gridSpan w:val="2"/>
            <w:tcBorders>
              <w:top w:val="outset" w:sz="6" w:space="0" w:color="414142"/>
              <w:left w:val="outset" w:sz="6" w:space="0" w:color="414142"/>
              <w:bottom w:val="outset" w:sz="6" w:space="0" w:color="414142"/>
              <w:right w:val="outset" w:sz="6" w:space="0" w:color="414142"/>
            </w:tcBorders>
          </w:tcPr>
          <w:p w14:paraId="65BE6353" w14:textId="3B6DBE64" w:rsidR="00927EE4" w:rsidRPr="00927EE4" w:rsidRDefault="0051623A" w:rsidP="00927EE4">
            <w:pPr>
              <w:rPr>
                <w:rFonts w:eastAsia="Times New Roman" w:cs="Times New Roman"/>
                <w:sz w:val="24"/>
                <w:szCs w:val="24"/>
              </w:rPr>
            </w:pPr>
            <w:r>
              <w:rPr>
                <w:rFonts w:eastAsia="Times New Roman" w:cs="Times New Roman"/>
                <w:i/>
                <w:sz w:val="24"/>
                <w:szCs w:val="24"/>
              </w:rPr>
              <w:t>Ieviests</w:t>
            </w:r>
            <w:r w:rsidR="00927EE4" w:rsidRPr="00320743">
              <w:rPr>
                <w:rFonts w:eastAsia="Times New Roman" w:cs="Times New Roman"/>
                <w:i/>
                <w:sz w:val="24"/>
                <w:szCs w:val="24"/>
              </w:rPr>
              <w:t xml:space="preserve"> pilnībā</w:t>
            </w:r>
          </w:p>
        </w:tc>
        <w:tc>
          <w:tcPr>
            <w:tcW w:w="1303" w:type="pct"/>
            <w:tcBorders>
              <w:top w:val="outset" w:sz="6" w:space="0" w:color="414142"/>
              <w:left w:val="outset" w:sz="6" w:space="0" w:color="414142"/>
              <w:bottom w:val="outset" w:sz="6" w:space="0" w:color="414142"/>
              <w:right w:val="outset" w:sz="6" w:space="0" w:color="414142"/>
            </w:tcBorders>
          </w:tcPr>
          <w:p w14:paraId="53F5616F" w14:textId="0CF6CA80" w:rsidR="00927EE4" w:rsidRPr="00927EE4" w:rsidRDefault="00927EE4" w:rsidP="00927EE4">
            <w:pPr>
              <w:rPr>
                <w:rFonts w:eastAsia="Times New Roman" w:cs="Times New Roman"/>
                <w:sz w:val="24"/>
                <w:szCs w:val="24"/>
              </w:rPr>
            </w:pPr>
            <w:r w:rsidRPr="00320743">
              <w:rPr>
                <w:rFonts w:eastAsia="Times New Roman" w:cs="Times New Roman"/>
                <w:i/>
                <w:sz w:val="24"/>
                <w:szCs w:val="24"/>
              </w:rPr>
              <w:t>Neparedz stingrākas prasības</w:t>
            </w:r>
          </w:p>
        </w:tc>
      </w:tr>
      <w:tr w:rsidR="00927EE4" w:rsidRPr="0074221C" w14:paraId="6542BC1D" w14:textId="77777777" w:rsidTr="00927EE4">
        <w:trPr>
          <w:jc w:val="center"/>
        </w:trPr>
        <w:tc>
          <w:tcPr>
            <w:tcW w:w="1389" w:type="pct"/>
            <w:tcBorders>
              <w:top w:val="outset" w:sz="6" w:space="0" w:color="414142"/>
              <w:left w:val="outset" w:sz="6" w:space="0" w:color="414142"/>
              <w:bottom w:val="outset" w:sz="6" w:space="0" w:color="414142"/>
              <w:right w:val="outset" w:sz="6" w:space="0" w:color="414142"/>
            </w:tcBorders>
          </w:tcPr>
          <w:p w14:paraId="696955EE" w14:textId="2286C85F" w:rsidR="00927EE4" w:rsidRPr="00927EE4" w:rsidRDefault="00927EE4" w:rsidP="00927EE4">
            <w:pPr>
              <w:rPr>
                <w:rFonts w:eastAsia="Times New Roman" w:cs="Times New Roman"/>
                <w:sz w:val="24"/>
                <w:szCs w:val="24"/>
              </w:rPr>
            </w:pPr>
            <w:r w:rsidRPr="00CB4825">
              <w:rPr>
                <w:sz w:val="24"/>
                <w:szCs w:val="24"/>
              </w:rPr>
              <w:t>Komisijas regulas Nr. 1407/2013 5.panta 1.un 2.punkts</w:t>
            </w:r>
          </w:p>
        </w:tc>
        <w:tc>
          <w:tcPr>
            <w:tcW w:w="1023" w:type="pct"/>
            <w:gridSpan w:val="2"/>
            <w:tcBorders>
              <w:top w:val="outset" w:sz="6" w:space="0" w:color="414142"/>
              <w:left w:val="outset" w:sz="6" w:space="0" w:color="414142"/>
              <w:bottom w:val="outset" w:sz="6" w:space="0" w:color="414142"/>
              <w:right w:val="outset" w:sz="6" w:space="0" w:color="414142"/>
            </w:tcBorders>
          </w:tcPr>
          <w:p w14:paraId="09127065" w14:textId="01D4B8D4" w:rsidR="00927EE4" w:rsidRPr="00927EE4" w:rsidRDefault="00927EE4" w:rsidP="00E05B98">
            <w:pPr>
              <w:rPr>
                <w:rFonts w:eastAsia="Times New Roman" w:cs="Times New Roman"/>
                <w:sz w:val="24"/>
                <w:szCs w:val="24"/>
              </w:rPr>
            </w:pPr>
            <w:r>
              <w:rPr>
                <w:rFonts w:eastAsia="Times New Roman" w:cs="Times New Roman"/>
                <w:sz w:val="24"/>
                <w:szCs w:val="24"/>
              </w:rPr>
              <w:t xml:space="preserve">Noteikumu projekta </w:t>
            </w:r>
            <w:r w:rsidR="00E05B98">
              <w:rPr>
                <w:rFonts w:eastAsia="Times New Roman" w:cs="Times New Roman"/>
                <w:sz w:val="24"/>
                <w:szCs w:val="24"/>
              </w:rPr>
              <w:t>7</w:t>
            </w:r>
            <w:r>
              <w:rPr>
                <w:rFonts w:eastAsia="Times New Roman" w:cs="Times New Roman"/>
                <w:sz w:val="24"/>
                <w:szCs w:val="24"/>
              </w:rPr>
              <w:t>.punkts (tiek veikti grozījumi MK noteikumu Nr.181 2</w:t>
            </w:r>
            <w:r w:rsidR="00E05B98">
              <w:rPr>
                <w:rFonts w:eastAsia="Times New Roman" w:cs="Times New Roman"/>
                <w:sz w:val="24"/>
                <w:szCs w:val="24"/>
              </w:rPr>
              <w:t>1</w:t>
            </w:r>
            <w:r>
              <w:rPr>
                <w:rFonts w:eastAsia="Times New Roman" w:cs="Times New Roman"/>
                <w:sz w:val="24"/>
                <w:szCs w:val="24"/>
              </w:rPr>
              <w:t>.punktā)</w:t>
            </w:r>
          </w:p>
        </w:tc>
        <w:tc>
          <w:tcPr>
            <w:tcW w:w="1285" w:type="pct"/>
            <w:gridSpan w:val="2"/>
            <w:tcBorders>
              <w:top w:val="outset" w:sz="6" w:space="0" w:color="414142"/>
              <w:left w:val="outset" w:sz="6" w:space="0" w:color="414142"/>
              <w:bottom w:val="outset" w:sz="6" w:space="0" w:color="414142"/>
              <w:right w:val="outset" w:sz="6" w:space="0" w:color="414142"/>
            </w:tcBorders>
          </w:tcPr>
          <w:p w14:paraId="236E7982" w14:textId="07DCBE5B" w:rsidR="00927EE4" w:rsidRPr="00927EE4" w:rsidRDefault="0051623A" w:rsidP="00927EE4">
            <w:pPr>
              <w:rPr>
                <w:rFonts w:eastAsia="Times New Roman" w:cs="Times New Roman"/>
                <w:sz w:val="24"/>
                <w:szCs w:val="24"/>
              </w:rPr>
            </w:pPr>
            <w:r>
              <w:rPr>
                <w:rFonts w:eastAsia="Times New Roman" w:cs="Times New Roman"/>
                <w:i/>
                <w:sz w:val="24"/>
                <w:szCs w:val="24"/>
              </w:rPr>
              <w:t>Ieviests</w:t>
            </w:r>
            <w:r w:rsidR="00927EE4" w:rsidRPr="00320743">
              <w:rPr>
                <w:rFonts w:eastAsia="Times New Roman" w:cs="Times New Roman"/>
                <w:i/>
                <w:sz w:val="24"/>
                <w:szCs w:val="24"/>
              </w:rPr>
              <w:t xml:space="preserve"> pilnībā</w:t>
            </w:r>
          </w:p>
        </w:tc>
        <w:tc>
          <w:tcPr>
            <w:tcW w:w="1303" w:type="pct"/>
            <w:tcBorders>
              <w:top w:val="outset" w:sz="6" w:space="0" w:color="414142"/>
              <w:left w:val="outset" w:sz="6" w:space="0" w:color="414142"/>
              <w:bottom w:val="outset" w:sz="6" w:space="0" w:color="414142"/>
              <w:right w:val="outset" w:sz="6" w:space="0" w:color="414142"/>
            </w:tcBorders>
          </w:tcPr>
          <w:p w14:paraId="60382726" w14:textId="480DDFC0" w:rsidR="00927EE4" w:rsidRPr="00927EE4" w:rsidRDefault="00927EE4" w:rsidP="00927EE4">
            <w:pPr>
              <w:rPr>
                <w:rFonts w:eastAsia="Times New Roman" w:cs="Times New Roman"/>
                <w:sz w:val="24"/>
                <w:szCs w:val="24"/>
              </w:rPr>
            </w:pPr>
            <w:r w:rsidRPr="00320743">
              <w:rPr>
                <w:rFonts w:eastAsia="Times New Roman" w:cs="Times New Roman"/>
                <w:i/>
                <w:sz w:val="24"/>
                <w:szCs w:val="24"/>
              </w:rPr>
              <w:t>Neparedz stingrākas prasības</w:t>
            </w:r>
          </w:p>
        </w:tc>
      </w:tr>
      <w:tr w:rsidR="00927EE4" w:rsidRPr="0074221C" w14:paraId="336E9F23" w14:textId="77777777" w:rsidTr="002D6D8A">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5B532E7" w14:textId="77777777" w:rsidR="00927EE4" w:rsidRPr="0074221C" w:rsidRDefault="00927EE4" w:rsidP="00927EE4">
            <w:pPr>
              <w:jc w:val="center"/>
              <w:rPr>
                <w:rFonts w:eastAsia="Times New Roman" w:cs="Times New Roman"/>
                <w:b/>
                <w:bCs/>
                <w:sz w:val="24"/>
                <w:szCs w:val="24"/>
              </w:rPr>
            </w:pPr>
            <w:r w:rsidRPr="0074221C">
              <w:rPr>
                <w:rFonts w:eastAsia="Times New Roman" w:cs="Times New Roman"/>
                <w:b/>
                <w:bCs/>
                <w:sz w:val="24"/>
                <w:szCs w:val="24"/>
              </w:rPr>
              <w:t>2.tabula</w:t>
            </w:r>
            <w:r w:rsidRPr="0074221C">
              <w:rPr>
                <w:rFonts w:eastAsia="Times New Roman" w:cs="Times New Roman"/>
                <w:b/>
                <w:bCs/>
                <w:sz w:val="24"/>
                <w:szCs w:val="24"/>
              </w:rPr>
              <w:br/>
              <w:t>Ar tiesību akta projektu izpildītās vai uzņemtās saistības, kas izriet no starptautiskajiem tiesību aktiem vai starptautiskas institūcijas vai organizācijas dokumentiem.</w:t>
            </w:r>
            <w:r w:rsidRPr="0074221C">
              <w:rPr>
                <w:rFonts w:eastAsia="Times New Roman" w:cs="Times New Roman"/>
                <w:b/>
                <w:bCs/>
                <w:sz w:val="24"/>
                <w:szCs w:val="24"/>
              </w:rPr>
              <w:br/>
              <w:t>Pasākumi šo saistību izpildei</w:t>
            </w:r>
          </w:p>
        </w:tc>
      </w:tr>
      <w:tr w:rsidR="00927EE4" w:rsidRPr="0074221C" w14:paraId="3D2CFD4B"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vAlign w:val="center"/>
            <w:hideMark/>
          </w:tcPr>
          <w:p w14:paraId="35DBC5AD"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lastRenderedPageBreak/>
              <w:t>Attiecīgā starptautiskā tiesību akta vai starptautiskas institūcijas vai organizācijas dokumenta (turpmāk – starptautiskais dokuments) datums, numurs un nosaukums</w:t>
            </w:r>
          </w:p>
        </w:tc>
        <w:tc>
          <w:tcPr>
            <w:tcW w:w="3468" w:type="pct"/>
            <w:gridSpan w:val="4"/>
            <w:tcBorders>
              <w:top w:val="outset" w:sz="6" w:space="0" w:color="414142"/>
              <w:left w:val="outset" w:sz="6" w:space="0" w:color="414142"/>
              <w:bottom w:val="outset" w:sz="6" w:space="0" w:color="414142"/>
              <w:right w:val="outset" w:sz="6" w:space="0" w:color="414142"/>
            </w:tcBorders>
            <w:hideMark/>
          </w:tcPr>
          <w:p w14:paraId="4B3B4E05" w14:textId="77777777" w:rsidR="00927EE4" w:rsidRPr="0074221C" w:rsidRDefault="00927EE4" w:rsidP="00927EE4">
            <w:pPr>
              <w:jc w:val="both"/>
              <w:rPr>
                <w:rFonts w:eastAsia="Times New Roman" w:cs="Times New Roman"/>
                <w:sz w:val="24"/>
                <w:szCs w:val="24"/>
              </w:rPr>
            </w:pPr>
            <w:r w:rsidRPr="0074221C">
              <w:rPr>
                <w:rFonts w:eastAsia="Times New Roman" w:cs="Times New Roman"/>
                <w:sz w:val="24"/>
                <w:szCs w:val="24"/>
              </w:rPr>
              <w:t>Noteikumu projekts šo jomu neskar.</w:t>
            </w:r>
          </w:p>
        </w:tc>
      </w:tr>
      <w:tr w:rsidR="00927EE4" w:rsidRPr="0074221C" w14:paraId="65C9C301"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vAlign w:val="center"/>
            <w:hideMark/>
          </w:tcPr>
          <w:p w14:paraId="01FDFA2B" w14:textId="77777777" w:rsidR="00927EE4" w:rsidRPr="0074221C" w:rsidRDefault="00927EE4" w:rsidP="00927EE4">
            <w:pPr>
              <w:jc w:val="center"/>
              <w:rPr>
                <w:rFonts w:eastAsia="Times New Roman" w:cs="Times New Roman"/>
                <w:sz w:val="24"/>
                <w:szCs w:val="24"/>
              </w:rPr>
            </w:pPr>
            <w:r w:rsidRPr="0074221C">
              <w:rPr>
                <w:rFonts w:eastAsia="Times New Roman" w:cs="Times New Roman"/>
                <w:sz w:val="24"/>
                <w:szCs w:val="24"/>
              </w:rPr>
              <w:t>A</w:t>
            </w:r>
          </w:p>
        </w:tc>
        <w:tc>
          <w:tcPr>
            <w:tcW w:w="1516" w:type="pct"/>
            <w:gridSpan w:val="2"/>
            <w:tcBorders>
              <w:top w:val="outset" w:sz="6" w:space="0" w:color="414142"/>
              <w:left w:val="outset" w:sz="6" w:space="0" w:color="414142"/>
              <w:bottom w:val="outset" w:sz="6" w:space="0" w:color="414142"/>
              <w:right w:val="outset" w:sz="6" w:space="0" w:color="414142"/>
            </w:tcBorders>
            <w:vAlign w:val="center"/>
            <w:hideMark/>
          </w:tcPr>
          <w:p w14:paraId="077307E2" w14:textId="77777777" w:rsidR="00927EE4" w:rsidRPr="0074221C" w:rsidRDefault="00927EE4" w:rsidP="00927EE4">
            <w:pPr>
              <w:jc w:val="center"/>
              <w:rPr>
                <w:rFonts w:eastAsia="Times New Roman" w:cs="Times New Roman"/>
                <w:sz w:val="24"/>
                <w:szCs w:val="24"/>
              </w:rPr>
            </w:pPr>
            <w:r w:rsidRPr="0074221C">
              <w:rPr>
                <w:rFonts w:eastAsia="Times New Roman" w:cs="Times New Roman"/>
                <w:sz w:val="24"/>
                <w:szCs w:val="24"/>
              </w:rPr>
              <w:t>B</w:t>
            </w:r>
          </w:p>
        </w:tc>
        <w:tc>
          <w:tcPr>
            <w:tcW w:w="1952" w:type="pct"/>
            <w:gridSpan w:val="2"/>
            <w:tcBorders>
              <w:top w:val="outset" w:sz="6" w:space="0" w:color="414142"/>
              <w:left w:val="outset" w:sz="6" w:space="0" w:color="414142"/>
              <w:bottom w:val="outset" w:sz="6" w:space="0" w:color="414142"/>
              <w:right w:val="outset" w:sz="6" w:space="0" w:color="414142"/>
            </w:tcBorders>
            <w:vAlign w:val="center"/>
            <w:hideMark/>
          </w:tcPr>
          <w:p w14:paraId="63022EC9" w14:textId="77777777" w:rsidR="00927EE4" w:rsidRPr="0074221C" w:rsidRDefault="00927EE4" w:rsidP="00927EE4">
            <w:pPr>
              <w:jc w:val="center"/>
              <w:rPr>
                <w:rFonts w:eastAsia="Times New Roman" w:cs="Times New Roman"/>
                <w:sz w:val="24"/>
                <w:szCs w:val="24"/>
              </w:rPr>
            </w:pPr>
            <w:r w:rsidRPr="0074221C">
              <w:rPr>
                <w:rFonts w:eastAsia="Times New Roman" w:cs="Times New Roman"/>
                <w:sz w:val="24"/>
                <w:szCs w:val="24"/>
              </w:rPr>
              <w:t>C</w:t>
            </w:r>
          </w:p>
        </w:tc>
      </w:tr>
      <w:tr w:rsidR="00927EE4" w:rsidRPr="0074221C" w14:paraId="12633FF8"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14:paraId="084AE0CC"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Starptautiskās saistības (pēc būtības), kas izriet no norādītā starptautiskā dokumenta.</w:t>
            </w:r>
          </w:p>
          <w:p w14:paraId="3B9EA702"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Konkrēti veicamie pasākumi vai uzdevumi, kas nepieciešami šo starptautisko saistību izpildei</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5079DAB5"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2" w:type="pct"/>
            <w:gridSpan w:val="2"/>
            <w:tcBorders>
              <w:top w:val="outset" w:sz="6" w:space="0" w:color="414142"/>
              <w:left w:val="outset" w:sz="6" w:space="0" w:color="414142"/>
              <w:bottom w:val="outset" w:sz="6" w:space="0" w:color="414142"/>
              <w:right w:val="outset" w:sz="6" w:space="0" w:color="414142"/>
            </w:tcBorders>
            <w:hideMark/>
          </w:tcPr>
          <w:p w14:paraId="6DC82991"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Informācija par to, vai starptautiskās saistības, kas minētas šīs tabulas A ailē, tiek izpildītas pilnībā vai daļēji.</w:t>
            </w:r>
          </w:p>
          <w:p w14:paraId="32EF9B62"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Ja attiecīgās starptautiskās saistības tiek izpildītas daļēji, sniedz skaidrojumu, kā arī precīzi norāda, kad un kādā veidā starptautiskās saistības tiks izpildītas pilnībā.</w:t>
            </w:r>
          </w:p>
          <w:p w14:paraId="2D28D43F"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Norāda institūciju, kas ir atbildīga par šo saistību izpildi pilnībā</w:t>
            </w:r>
          </w:p>
        </w:tc>
      </w:tr>
      <w:tr w:rsidR="00927EE4" w:rsidRPr="0074221C" w14:paraId="228EAEDC"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14:paraId="0499C0B9"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Noteikumu projekts šo jomu neskar.</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19833274"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Noteikumu projekts šo jomu neskar.</w:t>
            </w:r>
          </w:p>
        </w:tc>
        <w:tc>
          <w:tcPr>
            <w:tcW w:w="1952" w:type="pct"/>
            <w:gridSpan w:val="2"/>
            <w:tcBorders>
              <w:top w:val="outset" w:sz="6" w:space="0" w:color="414142"/>
              <w:left w:val="outset" w:sz="6" w:space="0" w:color="414142"/>
              <w:bottom w:val="outset" w:sz="6" w:space="0" w:color="414142"/>
              <w:right w:val="outset" w:sz="6" w:space="0" w:color="414142"/>
            </w:tcBorders>
            <w:hideMark/>
          </w:tcPr>
          <w:p w14:paraId="59335D49"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Noteikumu projekts šo jomu neskar.</w:t>
            </w:r>
          </w:p>
        </w:tc>
      </w:tr>
      <w:tr w:rsidR="00927EE4" w:rsidRPr="0074221C" w14:paraId="6550F6CF"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14:paraId="56D6F2A1"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Vai starptautiskajā dokumentā paredzētās saistības nav pretrunā ar jau esošajām Latvijas Republikas starptautiskajām saistībām</w:t>
            </w:r>
          </w:p>
        </w:tc>
        <w:tc>
          <w:tcPr>
            <w:tcW w:w="3468" w:type="pct"/>
            <w:gridSpan w:val="4"/>
            <w:tcBorders>
              <w:top w:val="outset" w:sz="6" w:space="0" w:color="414142"/>
              <w:left w:val="outset" w:sz="6" w:space="0" w:color="414142"/>
              <w:bottom w:val="outset" w:sz="6" w:space="0" w:color="414142"/>
              <w:right w:val="outset" w:sz="6" w:space="0" w:color="414142"/>
            </w:tcBorders>
            <w:hideMark/>
          </w:tcPr>
          <w:p w14:paraId="0F26F9FC"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Noteikumu projekts šo jomu neskar.</w:t>
            </w:r>
          </w:p>
        </w:tc>
      </w:tr>
      <w:tr w:rsidR="00927EE4" w:rsidRPr="0074221C" w14:paraId="3505A4FE"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14:paraId="6E19613A"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Cita informācija</w:t>
            </w:r>
          </w:p>
        </w:tc>
        <w:tc>
          <w:tcPr>
            <w:tcW w:w="3468" w:type="pct"/>
            <w:gridSpan w:val="4"/>
            <w:tcBorders>
              <w:top w:val="outset" w:sz="6" w:space="0" w:color="414142"/>
              <w:left w:val="outset" w:sz="6" w:space="0" w:color="414142"/>
              <w:bottom w:val="outset" w:sz="6" w:space="0" w:color="414142"/>
              <w:right w:val="outset" w:sz="6" w:space="0" w:color="414142"/>
            </w:tcBorders>
            <w:hideMark/>
          </w:tcPr>
          <w:p w14:paraId="5EB3DBD7" w14:textId="77777777" w:rsidR="00927EE4" w:rsidRPr="0074221C" w:rsidRDefault="00927EE4" w:rsidP="00927EE4">
            <w:pPr>
              <w:rPr>
                <w:rFonts w:eastAsia="Times New Roman" w:cs="Times New Roman"/>
                <w:sz w:val="24"/>
                <w:szCs w:val="24"/>
              </w:rPr>
            </w:pPr>
            <w:r w:rsidRPr="0074221C">
              <w:rPr>
                <w:rFonts w:eastAsia="Times New Roman" w:cs="Times New Roman"/>
                <w:sz w:val="24"/>
                <w:szCs w:val="24"/>
              </w:rPr>
              <w:t>Nav.</w:t>
            </w:r>
          </w:p>
        </w:tc>
      </w:tr>
    </w:tbl>
    <w:p w14:paraId="34976E9A" w14:textId="77777777" w:rsidR="003D5C72" w:rsidRPr="0074221C" w:rsidRDefault="003D5C72" w:rsidP="00D76F9C">
      <w:pPr>
        <w:shd w:val="clear" w:color="auto" w:fill="FFFFFF"/>
        <w:rPr>
          <w:rFonts w:ascii="Arial" w:eastAsia="Times New Roman" w:hAnsi="Arial" w:cs="Arial"/>
          <w:color w:val="414142"/>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7"/>
        <w:gridCol w:w="3644"/>
        <w:gridCol w:w="5237"/>
      </w:tblGrid>
      <w:tr w:rsidR="003D5C72" w:rsidRPr="0074221C" w14:paraId="76955B46" w14:textId="77777777" w:rsidTr="007C55F0">
        <w:trPr>
          <w:trHeight w:val="420"/>
          <w:jc w:val="center"/>
        </w:trPr>
        <w:tc>
          <w:tcPr>
            <w:tcW w:w="9198" w:type="dxa"/>
            <w:gridSpan w:val="3"/>
            <w:tcBorders>
              <w:top w:val="outset" w:sz="6" w:space="0" w:color="414142"/>
              <w:left w:val="outset" w:sz="6" w:space="0" w:color="414142"/>
              <w:bottom w:val="outset" w:sz="6" w:space="0" w:color="414142"/>
              <w:right w:val="outset" w:sz="6" w:space="0" w:color="414142"/>
            </w:tcBorders>
            <w:vAlign w:val="center"/>
            <w:hideMark/>
          </w:tcPr>
          <w:p w14:paraId="307AEAFB" w14:textId="77777777" w:rsidR="003D5C72" w:rsidRPr="0074221C" w:rsidRDefault="003D5C72" w:rsidP="00D76F9C">
            <w:pPr>
              <w:jc w:val="center"/>
              <w:rPr>
                <w:rFonts w:eastAsia="Times New Roman" w:cs="Times New Roman"/>
                <w:b/>
                <w:bCs/>
                <w:sz w:val="24"/>
                <w:szCs w:val="24"/>
              </w:rPr>
            </w:pPr>
            <w:r w:rsidRPr="0074221C">
              <w:rPr>
                <w:rFonts w:eastAsia="Times New Roman" w:cs="Times New Roman"/>
                <w:b/>
                <w:bCs/>
                <w:sz w:val="24"/>
                <w:szCs w:val="24"/>
              </w:rPr>
              <w:t>VI. Sabiedrības līdzdalība un komunikācijas aktivitātes</w:t>
            </w:r>
          </w:p>
        </w:tc>
      </w:tr>
      <w:tr w:rsidR="003D5C72" w:rsidRPr="0074221C" w14:paraId="6F67F5E7" w14:textId="77777777" w:rsidTr="007C55F0">
        <w:trPr>
          <w:trHeight w:val="540"/>
          <w:jc w:val="center"/>
        </w:trPr>
        <w:tc>
          <w:tcPr>
            <w:tcW w:w="317" w:type="dxa"/>
            <w:tcBorders>
              <w:top w:val="outset" w:sz="6" w:space="0" w:color="414142"/>
              <w:left w:val="outset" w:sz="6" w:space="0" w:color="414142"/>
              <w:bottom w:val="outset" w:sz="6" w:space="0" w:color="414142"/>
              <w:right w:val="outset" w:sz="6" w:space="0" w:color="414142"/>
            </w:tcBorders>
            <w:hideMark/>
          </w:tcPr>
          <w:p w14:paraId="5ADB8031" w14:textId="77777777" w:rsidR="003D5C72" w:rsidRPr="0074221C" w:rsidRDefault="003D5C72" w:rsidP="00D76F9C">
            <w:pPr>
              <w:rPr>
                <w:rFonts w:eastAsia="Times New Roman" w:cs="Times New Roman"/>
                <w:color w:val="414142"/>
                <w:sz w:val="24"/>
                <w:szCs w:val="24"/>
              </w:rPr>
            </w:pPr>
            <w:r w:rsidRPr="0074221C">
              <w:rPr>
                <w:rFonts w:eastAsia="Times New Roman" w:cs="Times New Roman"/>
                <w:color w:val="414142"/>
                <w:sz w:val="24"/>
                <w:szCs w:val="24"/>
              </w:rPr>
              <w:t>1.</w:t>
            </w:r>
          </w:p>
        </w:tc>
        <w:tc>
          <w:tcPr>
            <w:tcW w:w="3644" w:type="dxa"/>
            <w:tcBorders>
              <w:top w:val="outset" w:sz="6" w:space="0" w:color="414142"/>
              <w:left w:val="outset" w:sz="6" w:space="0" w:color="414142"/>
              <w:bottom w:val="outset" w:sz="6" w:space="0" w:color="414142"/>
              <w:right w:val="outset" w:sz="6" w:space="0" w:color="414142"/>
            </w:tcBorders>
            <w:hideMark/>
          </w:tcPr>
          <w:p w14:paraId="31D1CA11"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Plānotās sabiedrības līdzdalības un komunikācijas aktivitātes saistībā ar projektu</w:t>
            </w:r>
          </w:p>
        </w:tc>
        <w:tc>
          <w:tcPr>
            <w:tcW w:w="5237" w:type="dxa"/>
            <w:tcBorders>
              <w:top w:val="outset" w:sz="6" w:space="0" w:color="414142"/>
              <w:left w:val="outset" w:sz="6" w:space="0" w:color="414142"/>
              <w:bottom w:val="outset" w:sz="6" w:space="0" w:color="414142"/>
              <w:right w:val="outset" w:sz="6" w:space="0" w:color="414142"/>
            </w:tcBorders>
            <w:hideMark/>
          </w:tcPr>
          <w:p w14:paraId="5841C817" w14:textId="77777777" w:rsidR="00AA45BA" w:rsidRPr="0074221C" w:rsidRDefault="00591542" w:rsidP="00D76F9C">
            <w:pPr>
              <w:jc w:val="both"/>
              <w:rPr>
                <w:rFonts w:eastAsia="Times New Roman" w:cs="Times New Roman"/>
                <w:sz w:val="24"/>
                <w:szCs w:val="24"/>
              </w:rPr>
            </w:pPr>
            <w:r w:rsidRPr="0074221C">
              <w:rPr>
                <w:rFonts w:eastAsia="Times New Roman" w:cs="Times New Roman"/>
                <w:sz w:val="24"/>
                <w:szCs w:val="24"/>
              </w:rPr>
              <w:t xml:space="preserve">Grozījumi skar iepriekš noteiktā projekta īstenotāju un tā sniegto </w:t>
            </w:r>
            <w:proofErr w:type="spellStart"/>
            <w:r w:rsidRPr="0074221C">
              <w:rPr>
                <w:rFonts w:eastAsia="Times New Roman" w:cs="Times New Roman"/>
                <w:sz w:val="24"/>
                <w:szCs w:val="24"/>
              </w:rPr>
              <w:t>pirmsinkubācijas</w:t>
            </w:r>
            <w:proofErr w:type="spellEnd"/>
            <w:r w:rsidRPr="0074221C">
              <w:rPr>
                <w:rFonts w:eastAsia="Times New Roman" w:cs="Times New Roman"/>
                <w:sz w:val="24"/>
                <w:szCs w:val="24"/>
              </w:rPr>
              <w:t xml:space="preserve"> un in</w:t>
            </w:r>
            <w:r w:rsidR="00AA45BA" w:rsidRPr="0074221C">
              <w:rPr>
                <w:rFonts w:eastAsia="Times New Roman" w:cs="Times New Roman"/>
                <w:sz w:val="24"/>
                <w:szCs w:val="24"/>
              </w:rPr>
              <w:t>kubācijas pakalpojumu saņēmējus, kā arī bilateriālo aktivitāšu īstenošanā iesaistītās organizācijas, komersantu un iestādes.</w:t>
            </w:r>
          </w:p>
          <w:p w14:paraId="6EA5F2FE" w14:textId="77777777" w:rsidR="00C87E3C" w:rsidRPr="0074221C" w:rsidRDefault="00C87E3C" w:rsidP="00D76F9C">
            <w:pPr>
              <w:jc w:val="both"/>
              <w:rPr>
                <w:rFonts w:eastAsia="Times New Roman" w:cs="Times New Roman"/>
                <w:sz w:val="24"/>
                <w:szCs w:val="24"/>
              </w:rPr>
            </w:pPr>
            <w:r w:rsidRPr="0074221C">
              <w:rPr>
                <w:rFonts w:eastAsia="Times New Roman" w:cs="Times New Roman"/>
                <w:sz w:val="24"/>
                <w:szCs w:val="24"/>
              </w:rPr>
              <w:t>Noteikumu projekts citas sabiedrības grupas neietekmē.</w:t>
            </w:r>
          </w:p>
        </w:tc>
      </w:tr>
      <w:tr w:rsidR="003D5C72" w:rsidRPr="0074221C" w14:paraId="46CAB217" w14:textId="77777777" w:rsidTr="007C55F0">
        <w:trPr>
          <w:trHeight w:val="330"/>
          <w:jc w:val="center"/>
        </w:trPr>
        <w:tc>
          <w:tcPr>
            <w:tcW w:w="317" w:type="dxa"/>
            <w:tcBorders>
              <w:top w:val="outset" w:sz="6" w:space="0" w:color="414142"/>
              <w:left w:val="outset" w:sz="6" w:space="0" w:color="414142"/>
              <w:bottom w:val="outset" w:sz="6" w:space="0" w:color="414142"/>
              <w:right w:val="outset" w:sz="6" w:space="0" w:color="414142"/>
            </w:tcBorders>
            <w:hideMark/>
          </w:tcPr>
          <w:p w14:paraId="02519409" w14:textId="77777777" w:rsidR="003D5C72" w:rsidRPr="0074221C" w:rsidRDefault="003D5C72" w:rsidP="00D76F9C">
            <w:pPr>
              <w:rPr>
                <w:rFonts w:eastAsia="Times New Roman" w:cs="Times New Roman"/>
                <w:color w:val="414142"/>
                <w:sz w:val="24"/>
                <w:szCs w:val="24"/>
              </w:rPr>
            </w:pPr>
            <w:r w:rsidRPr="0074221C">
              <w:rPr>
                <w:rFonts w:eastAsia="Times New Roman" w:cs="Times New Roman"/>
                <w:color w:val="414142"/>
                <w:sz w:val="24"/>
                <w:szCs w:val="24"/>
              </w:rPr>
              <w:t>2.</w:t>
            </w:r>
          </w:p>
        </w:tc>
        <w:tc>
          <w:tcPr>
            <w:tcW w:w="3644" w:type="dxa"/>
            <w:tcBorders>
              <w:top w:val="outset" w:sz="6" w:space="0" w:color="414142"/>
              <w:left w:val="outset" w:sz="6" w:space="0" w:color="414142"/>
              <w:bottom w:val="outset" w:sz="6" w:space="0" w:color="414142"/>
              <w:right w:val="outset" w:sz="6" w:space="0" w:color="414142"/>
            </w:tcBorders>
            <w:hideMark/>
          </w:tcPr>
          <w:p w14:paraId="0EA8CD27"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Sabiedrības līdzdalība projekta izstrādē</w:t>
            </w:r>
          </w:p>
        </w:tc>
        <w:tc>
          <w:tcPr>
            <w:tcW w:w="5237" w:type="dxa"/>
            <w:tcBorders>
              <w:top w:val="outset" w:sz="6" w:space="0" w:color="414142"/>
              <w:left w:val="outset" w:sz="6" w:space="0" w:color="414142"/>
              <w:bottom w:val="outset" w:sz="6" w:space="0" w:color="414142"/>
              <w:right w:val="outset" w:sz="6" w:space="0" w:color="414142"/>
            </w:tcBorders>
            <w:hideMark/>
          </w:tcPr>
          <w:p w14:paraId="7CD30744" w14:textId="77777777" w:rsidR="007C6255" w:rsidRPr="0074221C" w:rsidRDefault="00C87E3C" w:rsidP="00D76F9C">
            <w:pPr>
              <w:jc w:val="both"/>
              <w:rPr>
                <w:color w:val="0000FF"/>
                <w:sz w:val="24"/>
                <w:szCs w:val="24"/>
                <w:u w:val="single"/>
              </w:rPr>
            </w:pPr>
            <w:r w:rsidRPr="0074221C">
              <w:rPr>
                <w:rFonts w:eastAsia="Times New Roman" w:cs="Times New Roman"/>
                <w:iCs/>
                <w:sz w:val="24"/>
                <w:szCs w:val="24"/>
                <w:lang w:eastAsia="lv-LV"/>
              </w:rPr>
              <w:t xml:space="preserve">Noteikumu projekts paredz labvēlīgākus nosacījumus potenciālajiem projektu iesniedzējiem salīdzinājumā ar spēkā esošajiem noteikumiem, tāpēc konsultācijas  nav nepieciešams rīkot. Vienlaicīgi </w:t>
            </w:r>
            <w:r w:rsidR="00653B45" w:rsidRPr="0074221C">
              <w:rPr>
                <w:rFonts w:eastAsia="Times New Roman" w:cs="Times New Roman"/>
                <w:sz w:val="24"/>
                <w:szCs w:val="24"/>
              </w:rPr>
              <w:t xml:space="preserve">noteikumu projekts tiks </w:t>
            </w:r>
            <w:r w:rsidRPr="0074221C">
              <w:rPr>
                <w:rFonts w:eastAsia="Times New Roman" w:cs="Times New Roman"/>
                <w:sz w:val="24"/>
                <w:szCs w:val="24"/>
              </w:rPr>
              <w:t xml:space="preserve">izvietots Ekonomikas ministrijas </w:t>
            </w:r>
            <w:r w:rsidR="00D35FFD" w:rsidRPr="0074221C">
              <w:rPr>
                <w:rFonts w:eastAsia="Times New Roman" w:cs="Times New Roman"/>
                <w:sz w:val="24"/>
                <w:szCs w:val="24"/>
              </w:rPr>
              <w:t>tīmekļa vietnē</w:t>
            </w:r>
            <w:r w:rsidRPr="0074221C">
              <w:rPr>
                <w:rFonts w:eastAsia="Times New Roman" w:cs="Times New Roman"/>
                <w:sz w:val="24"/>
                <w:szCs w:val="24"/>
              </w:rPr>
              <w:t>.</w:t>
            </w:r>
          </w:p>
        </w:tc>
      </w:tr>
      <w:tr w:rsidR="003D5C72" w:rsidRPr="0074221C" w14:paraId="4A23D9C4" w14:textId="77777777" w:rsidTr="007C55F0">
        <w:trPr>
          <w:trHeight w:val="465"/>
          <w:jc w:val="center"/>
        </w:trPr>
        <w:tc>
          <w:tcPr>
            <w:tcW w:w="317" w:type="dxa"/>
            <w:tcBorders>
              <w:top w:val="outset" w:sz="6" w:space="0" w:color="414142"/>
              <w:left w:val="outset" w:sz="6" w:space="0" w:color="414142"/>
              <w:bottom w:val="outset" w:sz="6" w:space="0" w:color="414142"/>
              <w:right w:val="outset" w:sz="6" w:space="0" w:color="414142"/>
            </w:tcBorders>
            <w:hideMark/>
          </w:tcPr>
          <w:p w14:paraId="691EF5E5" w14:textId="77777777" w:rsidR="003D5C72" w:rsidRPr="0074221C" w:rsidRDefault="003D5C72" w:rsidP="00D76F9C">
            <w:pPr>
              <w:rPr>
                <w:rFonts w:eastAsia="Times New Roman" w:cs="Times New Roman"/>
                <w:color w:val="414142"/>
                <w:sz w:val="24"/>
                <w:szCs w:val="24"/>
              </w:rPr>
            </w:pPr>
            <w:r w:rsidRPr="0074221C">
              <w:rPr>
                <w:rFonts w:eastAsia="Times New Roman" w:cs="Times New Roman"/>
                <w:color w:val="414142"/>
                <w:sz w:val="24"/>
                <w:szCs w:val="24"/>
              </w:rPr>
              <w:t>3.</w:t>
            </w:r>
          </w:p>
        </w:tc>
        <w:tc>
          <w:tcPr>
            <w:tcW w:w="3644" w:type="dxa"/>
            <w:tcBorders>
              <w:top w:val="outset" w:sz="6" w:space="0" w:color="414142"/>
              <w:left w:val="outset" w:sz="6" w:space="0" w:color="414142"/>
              <w:bottom w:val="outset" w:sz="6" w:space="0" w:color="414142"/>
              <w:right w:val="outset" w:sz="6" w:space="0" w:color="414142"/>
            </w:tcBorders>
            <w:hideMark/>
          </w:tcPr>
          <w:p w14:paraId="63CC2E5A"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Sabiedrības līdzdalības rezultāti</w:t>
            </w:r>
          </w:p>
        </w:tc>
        <w:tc>
          <w:tcPr>
            <w:tcW w:w="5237" w:type="dxa"/>
            <w:tcBorders>
              <w:top w:val="outset" w:sz="6" w:space="0" w:color="414142"/>
              <w:left w:val="outset" w:sz="6" w:space="0" w:color="414142"/>
              <w:bottom w:val="outset" w:sz="6" w:space="0" w:color="414142"/>
              <w:right w:val="outset" w:sz="6" w:space="0" w:color="414142"/>
            </w:tcBorders>
            <w:hideMark/>
          </w:tcPr>
          <w:p w14:paraId="2B1B1C92"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Nav.</w:t>
            </w:r>
          </w:p>
        </w:tc>
      </w:tr>
      <w:tr w:rsidR="003D5C72" w:rsidRPr="0074221C" w14:paraId="763519D0" w14:textId="77777777" w:rsidTr="007C55F0">
        <w:trPr>
          <w:trHeight w:val="268"/>
          <w:jc w:val="center"/>
        </w:trPr>
        <w:tc>
          <w:tcPr>
            <w:tcW w:w="317" w:type="dxa"/>
            <w:tcBorders>
              <w:top w:val="outset" w:sz="6" w:space="0" w:color="414142"/>
              <w:left w:val="outset" w:sz="6" w:space="0" w:color="414142"/>
              <w:bottom w:val="outset" w:sz="6" w:space="0" w:color="414142"/>
              <w:right w:val="outset" w:sz="6" w:space="0" w:color="414142"/>
            </w:tcBorders>
            <w:hideMark/>
          </w:tcPr>
          <w:p w14:paraId="5C660E0A" w14:textId="77777777" w:rsidR="003D5C72" w:rsidRPr="0074221C" w:rsidRDefault="003D5C72" w:rsidP="00D76F9C">
            <w:pPr>
              <w:rPr>
                <w:rFonts w:eastAsia="Times New Roman" w:cs="Times New Roman"/>
                <w:color w:val="414142"/>
                <w:sz w:val="24"/>
                <w:szCs w:val="24"/>
              </w:rPr>
            </w:pPr>
            <w:r w:rsidRPr="0074221C">
              <w:rPr>
                <w:rFonts w:eastAsia="Times New Roman" w:cs="Times New Roman"/>
                <w:color w:val="414142"/>
                <w:sz w:val="24"/>
                <w:szCs w:val="24"/>
              </w:rPr>
              <w:t>4.</w:t>
            </w:r>
          </w:p>
        </w:tc>
        <w:tc>
          <w:tcPr>
            <w:tcW w:w="3644" w:type="dxa"/>
            <w:tcBorders>
              <w:top w:val="outset" w:sz="6" w:space="0" w:color="414142"/>
              <w:left w:val="outset" w:sz="6" w:space="0" w:color="414142"/>
              <w:bottom w:val="outset" w:sz="6" w:space="0" w:color="414142"/>
              <w:right w:val="outset" w:sz="6" w:space="0" w:color="414142"/>
            </w:tcBorders>
            <w:hideMark/>
          </w:tcPr>
          <w:p w14:paraId="52358DAB"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Cita informācija</w:t>
            </w:r>
          </w:p>
        </w:tc>
        <w:tc>
          <w:tcPr>
            <w:tcW w:w="5237" w:type="dxa"/>
            <w:tcBorders>
              <w:top w:val="outset" w:sz="6" w:space="0" w:color="414142"/>
              <w:left w:val="outset" w:sz="6" w:space="0" w:color="414142"/>
              <w:bottom w:val="outset" w:sz="6" w:space="0" w:color="414142"/>
              <w:right w:val="outset" w:sz="6" w:space="0" w:color="414142"/>
            </w:tcBorders>
            <w:hideMark/>
          </w:tcPr>
          <w:p w14:paraId="6B88B282"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Nav.</w:t>
            </w:r>
          </w:p>
        </w:tc>
      </w:tr>
    </w:tbl>
    <w:p w14:paraId="6E2C32AD" w14:textId="77777777" w:rsidR="003D5C72" w:rsidRPr="0074221C" w:rsidRDefault="003D5C72" w:rsidP="00D76F9C">
      <w:pPr>
        <w:shd w:val="clear" w:color="auto" w:fill="FFFFFF"/>
        <w:rPr>
          <w:rFonts w:ascii="Arial" w:eastAsia="Times New Roman" w:hAnsi="Arial" w:cs="Arial"/>
          <w:color w:val="414142"/>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3495"/>
        <w:gridCol w:w="5243"/>
      </w:tblGrid>
      <w:tr w:rsidR="003D5C72" w:rsidRPr="0074221C" w14:paraId="2CED3744" w14:textId="77777777" w:rsidTr="002D6D8A">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A10944" w14:textId="77777777" w:rsidR="003D5C72" w:rsidRPr="0074221C" w:rsidRDefault="003D5C72" w:rsidP="00D76F9C">
            <w:pPr>
              <w:jc w:val="center"/>
              <w:rPr>
                <w:rFonts w:eastAsia="Times New Roman" w:cs="Times New Roman"/>
                <w:b/>
                <w:bCs/>
                <w:sz w:val="24"/>
                <w:szCs w:val="24"/>
              </w:rPr>
            </w:pPr>
            <w:r w:rsidRPr="0074221C">
              <w:rPr>
                <w:rFonts w:eastAsia="Times New Roman" w:cs="Times New Roman"/>
                <w:b/>
                <w:bCs/>
                <w:sz w:val="24"/>
                <w:szCs w:val="24"/>
              </w:rPr>
              <w:t>VII. Tiesību akta projekta izpildes nodrošināšana un tās ietekme uz institūcijām</w:t>
            </w:r>
          </w:p>
        </w:tc>
      </w:tr>
      <w:tr w:rsidR="003D5C72" w:rsidRPr="0074221C" w14:paraId="246298A0" w14:textId="77777777" w:rsidTr="002D6D8A">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236E0312" w14:textId="77777777" w:rsidR="003D5C72" w:rsidRPr="0074221C" w:rsidRDefault="003D5C72" w:rsidP="00D76F9C">
            <w:pPr>
              <w:rPr>
                <w:rFonts w:eastAsia="Times New Roman" w:cs="Times New Roman"/>
                <w:color w:val="414142"/>
                <w:sz w:val="24"/>
                <w:szCs w:val="24"/>
              </w:rPr>
            </w:pPr>
            <w:r w:rsidRPr="0074221C">
              <w:rPr>
                <w:rFonts w:eastAsia="Times New Roman" w:cs="Times New Roman"/>
                <w:color w:val="414142"/>
                <w:sz w:val="24"/>
                <w:szCs w:val="24"/>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4E789B6F"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3EFDF9F" w14:textId="77777777" w:rsidR="003D5C72" w:rsidRPr="0074221C" w:rsidRDefault="003D5C72" w:rsidP="00D76F9C">
            <w:pPr>
              <w:jc w:val="both"/>
              <w:rPr>
                <w:sz w:val="24"/>
                <w:szCs w:val="24"/>
              </w:rPr>
            </w:pPr>
            <w:r w:rsidRPr="0074221C">
              <w:rPr>
                <w:sz w:val="24"/>
                <w:szCs w:val="24"/>
              </w:rPr>
              <w:t xml:space="preserve">Noteikumu projekta īstenošanā ir iesaistīta Ekonomikas ministrija kā programmas </w:t>
            </w:r>
            <w:proofErr w:type="spellStart"/>
            <w:r w:rsidRPr="0074221C">
              <w:rPr>
                <w:sz w:val="24"/>
                <w:szCs w:val="24"/>
              </w:rPr>
              <w:t>apsaimniekotājs</w:t>
            </w:r>
            <w:proofErr w:type="spellEnd"/>
            <w:r w:rsidRPr="0074221C">
              <w:rPr>
                <w:sz w:val="24"/>
                <w:szCs w:val="24"/>
              </w:rPr>
              <w:t xml:space="preserve"> un LIAA kā Aģentūra, kam ir deleģētas Ekonomikas ministrijas </w:t>
            </w:r>
            <w:r w:rsidR="0005202B" w:rsidRPr="0074221C">
              <w:rPr>
                <w:sz w:val="24"/>
                <w:szCs w:val="24"/>
              </w:rPr>
              <w:t xml:space="preserve">uzdevumi </w:t>
            </w:r>
            <w:r w:rsidRPr="0074221C">
              <w:rPr>
                <w:sz w:val="24"/>
                <w:szCs w:val="24"/>
              </w:rPr>
              <w:t>attiecībā uz programmas īstenošanu.</w:t>
            </w:r>
          </w:p>
        </w:tc>
      </w:tr>
      <w:tr w:rsidR="003D5C72" w:rsidRPr="0074221C" w14:paraId="17895368" w14:textId="77777777" w:rsidTr="002D6D8A">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7585FF00" w14:textId="77777777" w:rsidR="003D5C72" w:rsidRPr="0074221C" w:rsidRDefault="003D5C72" w:rsidP="00D76F9C">
            <w:pPr>
              <w:rPr>
                <w:rFonts w:eastAsia="Times New Roman" w:cs="Times New Roman"/>
                <w:color w:val="414142"/>
                <w:sz w:val="24"/>
                <w:szCs w:val="24"/>
              </w:rPr>
            </w:pPr>
            <w:r w:rsidRPr="0074221C">
              <w:rPr>
                <w:rFonts w:eastAsia="Times New Roman" w:cs="Times New Roman"/>
                <w:color w:val="414142"/>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14:paraId="30948AC7"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Projekta izpildes ietekme uz pārvaldes funkcijām un institucionālo struktūru.</w:t>
            </w:r>
          </w:p>
          <w:p w14:paraId="4D9CBDCC"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2A1C38" w14:textId="77777777" w:rsidR="003D5C72" w:rsidRPr="0074221C" w:rsidRDefault="003D5C72" w:rsidP="00D76F9C">
            <w:pPr>
              <w:jc w:val="both"/>
              <w:rPr>
                <w:rFonts w:eastAsia="Times New Roman" w:cs="Times New Roman"/>
                <w:sz w:val="24"/>
                <w:szCs w:val="24"/>
              </w:rPr>
            </w:pPr>
            <w:r w:rsidRPr="0074221C">
              <w:rPr>
                <w:rFonts w:eastAsia="Times New Roman" w:cs="Times New Roman"/>
                <w:sz w:val="24"/>
                <w:szCs w:val="24"/>
              </w:rPr>
              <w:t>Noteikumu projektam nav ietekmes uz pārvaldes funkcijām un institucionālo struktūru.</w:t>
            </w:r>
          </w:p>
        </w:tc>
      </w:tr>
      <w:tr w:rsidR="003D5C72" w:rsidRPr="0074221C" w14:paraId="079D27E6" w14:textId="77777777" w:rsidTr="002D6D8A">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0A518611" w14:textId="77777777" w:rsidR="003D5C72" w:rsidRPr="0074221C" w:rsidRDefault="003D5C72" w:rsidP="00D76F9C">
            <w:pPr>
              <w:rPr>
                <w:rFonts w:eastAsia="Times New Roman" w:cs="Times New Roman"/>
                <w:color w:val="414142"/>
                <w:sz w:val="24"/>
                <w:szCs w:val="24"/>
              </w:rPr>
            </w:pPr>
            <w:r w:rsidRPr="0074221C">
              <w:rPr>
                <w:rFonts w:eastAsia="Times New Roman" w:cs="Times New Roman"/>
                <w:color w:val="414142"/>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7490E003"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4EEC8E0" w14:textId="77777777" w:rsidR="003D5C72" w:rsidRPr="0074221C" w:rsidRDefault="003D5C72" w:rsidP="00D76F9C">
            <w:pPr>
              <w:rPr>
                <w:rFonts w:eastAsia="Times New Roman" w:cs="Times New Roman"/>
                <w:sz w:val="24"/>
                <w:szCs w:val="24"/>
              </w:rPr>
            </w:pPr>
            <w:r w:rsidRPr="0074221C">
              <w:rPr>
                <w:rFonts w:eastAsia="Times New Roman" w:cs="Times New Roman"/>
                <w:sz w:val="24"/>
                <w:szCs w:val="24"/>
              </w:rPr>
              <w:t>Nav.</w:t>
            </w:r>
          </w:p>
        </w:tc>
      </w:tr>
    </w:tbl>
    <w:p w14:paraId="33105309" w14:textId="77777777" w:rsidR="003D5C72" w:rsidRPr="0074221C" w:rsidRDefault="00653B45" w:rsidP="00D76F9C">
      <w:pPr>
        <w:tabs>
          <w:tab w:val="left" w:pos="960"/>
        </w:tabs>
        <w:rPr>
          <w:sz w:val="24"/>
          <w:szCs w:val="24"/>
        </w:rPr>
      </w:pPr>
      <w:r w:rsidRPr="0074221C">
        <w:rPr>
          <w:sz w:val="24"/>
          <w:szCs w:val="24"/>
        </w:rPr>
        <w:tab/>
      </w:r>
    </w:p>
    <w:p w14:paraId="144E47C1" w14:textId="77777777" w:rsidR="003D5C72" w:rsidRPr="0074221C" w:rsidRDefault="00452F2B" w:rsidP="00D76F9C">
      <w:pPr>
        <w:pStyle w:val="naisf"/>
        <w:tabs>
          <w:tab w:val="left" w:pos="6710"/>
        </w:tabs>
        <w:spacing w:before="0" w:after="0"/>
        <w:rPr>
          <w:szCs w:val="24"/>
        </w:rPr>
      </w:pPr>
      <w:r w:rsidRPr="0074221C">
        <w:rPr>
          <w:i/>
          <w:szCs w:val="24"/>
        </w:rPr>
        <w:t>Anotācijas IV sadaļa -</w:t>
      </w:r>
      <w:r w:rsidR="003D5C72" w:rsidRPr="0074221C">
        <w:rPr>
          <w:i/>
          <w:szCs w:val="24"/>
        </w:rPr>
        <w:t xml:space="preserve"> projekts šo jomu neskar.</w:t>
      </w:r>
    </w:p>
    <w:p w14:paraId="1A237588" w14:textId="77777777" w:rsidR="003D5C72" w:rsidRPr="0074221C" w:rsidRDefault="003D5C72" w:rsidP="00D76F9C">
      <w:pPr>
        <w:pStyle w:val="naisf"/>
        <w:tabs>
          <w:tab w:val="left" w:pos="6710"/>
        </w:tabs>
        <w:spacing w:before="0" w:after="0"/>
        <w:rPr>
          <w:szCs w:val="24"/>
        </w:rPr>
      </w:pPr>
    </w:p>
    <w:p w14:paraId="5EA1579D" w14:textId="77777777" w:rsidR="00E15970" w:rsidRDefault="00E15970" w:rsidP="00D76F9C">
      <w:pPr>
        <w:jc w:val="both"/>
        <w:rPr>
          <w:sz w:val="24"/>
          <w:szCs w:val="24"/>
        </w:rPr>
      </w:pPr>
      <w:r>
        <w:rPr>
          <w:sz w:val="24"/>
          <w:szCs w:val="24"/>
        </w:rPr>
        <w:t>Ministru prezidenta biedrs,</w:t>
      </w:r>
    </w:p>
    <w:p w14:paraId="5F261C78" w14:textId="741061C5" w:rsidR="003D5C72" w:rsidRPr="00927EE4" w:rsidRDefault="00E15970" w:rsidP="00CB4825">
      <w:pPr>
        <w:jc w:val="both"/>
        <w:rPr>
          <w:sz w:val="24"/>
          <w:szCs w:val="24"/>
        </w:rPr>
      </w:pPr>
      <w:r>
        <w:rPr>
          <w:sz w:val="24"/>
          <w:szCs w:val="24"/>
        </w:rPr>
        <w:t>e</w:t>
      </w:r>
      <w:r w:rsidR="00927EE4">
        <w:rPr>
          <w:sz w:val="24"/>
          <w:szCs w:val="24"/>
        </w:rPr>
        <w:t>konomikas ministrs</w:t>
      </w:r>
      <w:r w:rsidR="003D5C72" w:rsidRPr="00927EE4">
        <w:rPr>
          <w:sz w:val="24"/>
          <w:szCs w:val="24"/>
        </w:rPr>
        <w:tab/>
      </w:r>
      <w:r w:rsidR="00BE5FC6" w:rsidRPr="00927EE4">
        <w:rPr>
          <w:sz w:val="24"/>
          <w:szCs w:val="24"/>
        </w:rPr>
        <w:tab/>
      </w:r>
      <w:r w:rsidR="00BE5FC6" w:rsidRPr="00927EE4">
        <w:rPr>
          <w:sz w:val="24"/>
          <w:szCs w:val="24"/>
        </w:rPr>
        <w:tab/>
      </w:r>
      <w:r w:rsidR="00BE5FC6" w:rsidRPr="00927EE4">
        <w:rPr>
          <w:sz w:val="24"/>
          <w:szCs w:val="24"/>
        </w:rPr>
        <w:tab/>
      </w:r>
      <w:r w:rsidR="00BE5FC6" w:rsidRPr="00927EE4">
        <w:rPr>
          <w:sz w:val="24"/>
          <w:szCs w:val="24"/>
        </w:rPr>
        <w:tab/>
      </w:r>
      <w:r w:rsidR="003D5C72" w:rsidRPr="00927EE4">
        <w:rPr>
          <w:sz w:val="24"/>
          <w:szCs w:val="24"/>
        </w:rPr>
        <w:tab/>
      </w:r>
      <w:r w:rsidR="0051623A">
        <w:rPr>
          <w:sz w:val="24"/>
          <w:szCs w:val="24"/>
        </w:rPr>
        <w:tab/>
      </w:r>
      <w:r w:rsidR="0051623A">
        <w:rPr>
          <w:sz w:val="24"/>
          <w:szCs w:val="24"/>
        </w:rPr>
        <w:tab/>
        <w:t xml:space="preserve">   </w:t>
      </w:r>
      <w:r w:rsidR="000A2ADB">
        <w:rPr>
          <w:sz w:val="24"/>
          <w:szCs w:val="24"/>
        </w:rPr>
        <w:t xml:space="preserve">  </w:t>
      </w:r>
      <w:r w:rsidR="00927EE4">
        <w:rPr>
          <w:sz w:val="24"/>
          <w:szCs w:val="24"/>
        </w:rPr>
        <w:t>Arvils Ašeradens</w:t>
      </w:r>
    </w:p>
    <w:p w14:paraId="541F0627" w14:textId="1DC451AF" w:rsidR="003D5C72" w:rsidRPr="00927EE4" w:rsidRDefault="003D5C72" w:rsidP="00927EE4">
      <w:pPr>
        <w:pStyle w:val="EnvelopeReturn"/>
        <w:tabs>
          <w:tab w:val="left" w:pos="5100"/>
        </w:tabs>
        <w:spacing w:before="0"/>
        <w:rPr>
          <w:sz w:val="24"/>
          <w:szCs w:val="24"/>
          <w:lang w:val="lv-LV"/>
        </w:rPr>
      </w:pPr>
    </w:p>
    <w:p w14:paraId="4F0299E6" w14:textId="77777777" w:rsidR="0051623A" w:rsidRDefault="0051623A" w:rsidP="00D76F9C">
      <w:pPr>
        <w:pStyle w:val="EnvelopeReturn"/>
        <w:spacing w:before="0"/>
        <w:rPr>
          <w:sz w:val="24"/>
          <w:szCs w:val="24"/>
          <w:lang w:val="lv-LV"/>
        </w:rPr>
      </w:pPr>
    </w:p>
    <w:p w14:paraId="31D6F010" w14:textId="77777777" w:rsidR="0051623A" w:rsidRDefault="0051623A" w:rsidP="00D76F9C">
      <w:pPr>
        <w:pStyle w:val="EnvelopeReturn"/>
        <w:spacing w:before="0"/>
        <w:rPr>
          <w:sz w:val="24"/>
          <w:szCs w:val="24"/>
          <w:lang w:val="lv-LV"/>
        </w:rPr>
      </w:pPr>
    </w:p>
    <w:p w14:paraId="5E098E7C" w14:textId="77777777" w:rsidR="00927EE4" w:rsidRDefault="003D5C72" w:rsidP="00D76F9C">
      <w:pPr>
        <w:pStyle w:val="EnvelopeReturn"/>
        <w:spacing w:before="0"/>
        <w:rPr>
          <w:sz w:val="24"/>
          <w:szCs w:val="24"/>
          <w:lang w:val="lv-LV"/>
        </w:rPr>
      </w:pPr>
      <w:r w:rsidRPr="00927EE4">
        <w:rPr>
          <w:sz w:val="24"/>
          <w:szCs w:val="24"/>
          <w:lang w:val="lv-LV"/>
        </w:rPr>
        <w:t>Vīza: Valsts sekretār</w:t>
      </w:r>
      <w:r w:rsidR="0062108A" w:rsidRPr="00927EE4">
        <w:rPr>
          <w:sz w:val="24"/>
          <w:szCs w:val="24"/>
          <w:lang w:val="lv-LV"/>
        </w:rPr>
        <w:t>s</w:t>
      </w:r>
      <w:r w:rsidR="0062108A" w:rsidRPr="00927EE4">
        <w:rPr>
          <w:sz w:val="24"/>
          <w:szCs w:val="24"/>
          <w:lang w:val="lv-LV"/>
        </w:rPr>
        <w:tab/>
      </w:r>
      <w:r w:rsidR="00927EE4">
        <w:rPr>
          <w:sz w:val="24"/>
          <w:szCs w:val="24"/>
          <w:lang w:val="lv-LV"/>
        </w:rPr>
        <w:t xml:space="preserve">pienākumu izpildītājs, </w:t>
      </w:r>
    </w:p>
    <w:p w14:paraId="453BE8D9" w14:textId="127AE4B4" w:rsidR="003D5C72" w:rsidRPr="00927EE4" w:rsidRDefault="00CE0F78" w:rsidP="00D76F9C">
      <w:pPr>
        <w:pStyle w:val="EnvelopeReturn"/>
        <w:spacing w:before="0"/>
        <w:rPr>
          <w:sz w:val="24"/>
          <w:szCs w:val="24"/>
          <w:lang w:val="lv-LV"/>
        </w:rPr>
      </w:pPr>
      <w:r>
        <w:rPr>
          <w:sz w:val="24"/>
          <w:szCs w:val="24"/>
          <w:lang w:val="lv-LV"/>
        </w:rPr>
        <w:t>v</w:t>
      </w:r>
      <w:r w:rsidR="00927EE4">
        <w:rPr>
          <w:sz w:val="24"/>
          <w:szCs w:val="24"/>
          <w:lang w:val="lv-LV"/>
        </w:rPr>
        <w:t xml:space="preserve">alsts sekretāra </w:t>
      </w:r>
      <w:proofErr w:type="spellStart"/>
      <w:r w:rsidR="00927EE4">
        <w:rPr>
          <w:sz w:val="24"/>
          <w:szCs w:val="24"/>
          <w:lang w:val="lv-LV"/>
        </w:rPr>
        <w:t>vientnieks</w:t>
      </w:r>
      <w:proofErr w:type="spellEnd"/>
      <w:r w:rsidR="0062108A" w:rsidRPr="00927EE4">
        <w:rPr>
          <w:sz w:val="24"/>
          <w:szCs w:val="24"/>
          <w:lang w:val="lv-LV"/>
        </w:rPr>
        <w:tab/>
      </w:r>
      <w:r w:rsidR="0051623A">
        <w:rPr>
          <w:color w:val="000000"/>
          <w:sz w:val="24"/>
          <w:szCs w:val="24"/>
          <w:lang w:val="lv-LV"/>
        </w:rPr>
        <w:t xml:space="preserve"> </w:t>
      </w:r>
      <w:r w:rsidR="0051623A">
        <w:rPr>
          <w:color w:val="000000"/>
          <w:sz w:val="24"/>
          <w:szCs w:val="24"/>
          <w:lang w:val="lv-LV"/>
        </w:rPr>
        <w:tab/>
      </w:r>
      <w:r w:rsidR="0051623A">
        <w:rPr>
          <w:color w:val="000000"/>
          <w:sz w:val="24"/>
          <w:szCs w:val="24"/>
          <w:lang w:val="lv-LV"/>
        </w:rPr>
        <w:tab/>
      </w:r>
      <w:r w:rsidR="0051623A">
        <w:rPr>
          <w:color w:val="000000"/>
          <w:sz w:val="24"/>
          <w:szCs w:val="24"/>
          <w:lang w:val="lv-LV"/>
        </w:rPr>
        <w:tab/>
      </w:r>
      <w:r w:rsidR="0051623A">
        <w:rPr>
          <w:color w:val="000000"/>
          <w:sz w:val="24"/>
          <w:szCs w:val="24"/>
          <w:lang w:val="lv-LV"/>
        </w:rPr>
        <w:tab/>
      </w:r>
      <w:r w:rsidR="0051623A">
        <w:rPr>
          <w:color w:val="000000"/>
          <w:sz w:val="24"/>
          <w:szCs w:val="24"/>
          <w:lang w:val="lv-LV"/>
        </w:rPr>
        <w:tab/>
      </w:r>
      <w:bookmarkStart w:id="4" w:name="_GoBack"/>
      <w:bookmarkEnd w:id="4"/>
      <w:r w:rsidR="0051623A">
        <w:rPr>
          <w:sz w:val="24"/>
          <w:szCs w:val="24"/>
          <w:lang w:val="lv-LV"/>
        </w:rPr>
        <w:t xml:space="preserve">Raimonds </w:t>
      </w:r>
      <w:r w:rsidR="00927EE4">
        <w:rPr>
          <w:sz w:val="24"/>
          <w:szCs w:val="24"/>
          <w:lang w:val="lv-LV"/>
        </w:rPr>
        <w:t>Aleksejenko</w:t>
      </w:r>
    </w:p>
    <w:p w14:paraId="2660AF24" w14:textId="77777777" w:rsidR="003D5C72" w:rsidRPr="00927EE4" w:rsidRDefault="003D5C72" w:rsidP="00D76F9C">
      <w:pPr>
        <w:jc w:val="both"/>
        <w:rPr>
          <w:color w:val="000000"/>
          <w:sz w:val="24"/>
          <w:szCs w:val="24"/>
        </w:rPr>
      </w:pPr>
    </w:p>
    <w:p w14:paraId="662BB78A" w14:textId="0C6E1D52" w:rsidR="003D5C72" w:rsidRPr="00927EE4" w:rsidRDefault="007C55F0" w:rsidP="00D76F9C">
      <w:pPr>
        <w:jc w:val="both"/>
        <w:rPr>
          <w:rFonts w:cs="Times New Roman"/>
          <w:b/>
          <w:color w:val="000000"/>
          <w:sz w:val="20"/>
          <w:szCs w:val="20"/>
        </w:rPr>
      </w:pPr>
      <w:r>
        <w:rPr>
          <w:rFonts w:cs="Times New Roman"/>
          <w:color w:val="000000"/>
          <w:sz w:val="20"/>
          <w:szCs w:val="20"/>
        </w:rPr>
        <w:t>0</w:t>
      </w:r>
      <w:r w:rsidR="00F91671">
        <w:rPr>
          <w:rFonts w:cs="Times New Roman"/>
          <w:color w:val="000000"/>
          <w:sz w:val="20"/>
          <w:szCs w:val="20"/>
        </w:rPr>
        <w:t>7</w:t>
      </w:r>
      <w:r w:rsidR="00417F46" w:rsidRPr="00927EE4">
        <w:rPr>
          <w:rFonts w:cs="Times New Roman"/>
          <w:color w:val="000000"/>
          <w:sz w:val="20"/>
          <w:szCs w:val="20"/>
        </w:rPr>
        <w:t>.0</w:t>
      </w:r>
      <w:r>
        <w:rPr>
          <w:rFonts w:cs="Times New Roman"/>
          <w:color w:val="000000"/>
          <w:sz w:val="20"/>
          <w:szCs w:val="20"/>
        </w:rPr>
        <w:t>3</w:t>
      </w:r>
      <w:r w:rsidR="003D5C72" w:rsidRPr="00927EE4">
        <w:rPr>
          <w:rFonts w:cs="Times New Roman"/>
          <w:color w:val="000000"/>
          <w:sz w:val="20"/>
          <w:szCs w:val="20"/>
        </w:rPr>
        <w:t>.201</w:t>
      </w:r>
      <w:r w:rsidR="00417F46" w:rsidRPr="00927EE4">
        <w:rPr>
          <w:rFonts w:cs="Times New Roman"/>
          <w:color w:val="000000"/>
          <w:sz w:val="20"/>
          <w:szCs w:val="20"/>
        </w:rPr>
        <w:t>6</w:t>
      </w:r>
      <w:r w:rsidR="003D5C72" w:rsidRPr="00927EE4">
        <w:rPr>
          <w:rFonts w:cs="Times New Roman"/>
          <w:color w:val="000000"/>
          <w:sz w:val="20"/>
          <w:szCs w:val="20"/>
        </w:rPr>
        <w:t xml:space="preserve"> </w:t>
      </w:r>
      <w:r w:rsidR="00417F46" w:rsidRPr="00927EE4">
        <w:rPr>
          <w:rFonts w:cs="Times New Roman"/>
          <w:color w:val="000000"/>
          <w:sz w:val="20"/>
          <w:szCs w:val="20"/>
        </w:rPr>
        <w:t>09</w:t>
      </w:r>
      <w:r w:rsidR="00157F64" w:rsidRPr="00927EE4">
        <w:rPr>
          <w:rFonts w:cs="Times New Roman"/>
          <w:color w:val="000000"/>
          <w:sz w:val="20"/>
          <w:szCs w:val="20"/>
        </w:rPr>
        <w:t>:00</w:t>
      </w:r>
    </w:p>
    <w:p w14:paraId="362D2391" w14:textId="59ADAF57" w:rsidR="00B1476A" w:rsidRPr="00C46766" w:rsidRDefault="00F91671" w:rsidP="00D76F9C">
      <w:pPr>
        <w:rPr>
          <w:rFonts w:eastAsia="Times New Roman" w:cs="Times New Roman"/>
          <w:sz w:val="20"/>
          <w:szCs w:val="20"/>
          <w:lang w:eastAsia="lv-LV" w:bidi="lo-LA"/>
        </w:rPr>
      </w:pPr>
      <w:r>
        <w:rPr>
          <w:rFonts w:eastAsia="Times New Roman" w:cs="Times New Roman"/>
          <w:sz w:val="20"/>
          <w:szCs w:val="20"/>
          <w:lang w:eastAsia="lv-LV" w:bidi="lo-LA"/>
        </w:rPr>
        <w:t>2545</w:t>
      </w:r>
    </w:p>
    <w:p w14:paraId="7CBA43DE" w14:textId="77777777" w:rsidR="003D5C72" w:rsidRPr="00376D06" w:rsidRDefault="009956C1" w:rsidP="00D76F9C">
      <w:pPr>
        <w:rPr>
          <w:rFonts w:cs="Times New Roman"/>
          <w:sz w:val="20"/>
          <w:szCs w:val="20"/>
          <w:lang w:eastAsia="en-US"/>
        </w:rPr>
      </w:pPr>
      <w:proofErr w:type="spellStart"/>
      <w:r w:rsidRPr="00C46766">
        <w:rPr>
          <w:rFonts w:cs="Times New Roman"/>
          <w:sz w:val="20"/>
          <w:szCs w:val="20"/>
          <w:lang w:eastAsia="en-US"/>
        </w:rPr>
        <w:t>E.Grūbe</w:t>
      </w:r>
      <w:proofErr w:type="spellEnd"/>
      <w:r w:rsidR="003D5C72" w:rsidRPr="00C46766">
        <w:rPr>
          <w:rFonts w:cs="Times New Roman"/>
          <w:sz w:val="20"/>
          <w:szCs w:val="20"/>
          <w:lang w:eastAsia="en-US"/>
        </w:rPr>
        <w:t>, 67013</w:t>
      </w:r>
      <w:r w:rsidRPr="00376D06">
        <w:rPr>
          <w:rFonts w:cs="Times New Roman"/>
          <w:sz w:val="20"/>
          <w:szCs w:val="20"/>
          <w:lang w:eastAsia="en-US"/>
        </w:rPr>
        <w:t>022</w:t>
      </w:r>
    </w:p>
    <w:p w14:paraId="1CEE1228" w14:textId="008C3C4C" w:rsidR="00C5009D" w:rsidRPr="00F91671" w:rsidRDefault="00340069" w:rsidP="00F91671">
      <w:pPr>
        <w:jc w:val="both"/>
        <w:rPr>
          <w:rFonts w:cs="Times New Roman"/>
          <w:sz w:val="20"/>
          <w:szCs w:val="20"/>
        </w:rPr>
      </w:pPr>
      <w:hyperlink r:id="rId8" w:history="1">
        <w:r w:rsidR="009956C1" w:rsidRPr="00DA1014">
          <w:rPr>
            <w:rStyle w:val="Hyperlink"/>
            <w:rFonts w:cs="Times New Roman"/>
            <w:sz w:val="20"/>
            <w:szCs w:val="20"/>
            <w:lang w:eastAsia="en-US"/>
          </w:rPr>
          <w:t>Evita.Grube@em.gov.lv</w:t>
        </w:r>
      </w:hyperlink>
      <w:r w:rsidR="003D5C72" w:rsidRPr="0074221C">
        <w:rPr>
          <w:rFonts w:cs="Times New Roman"/>
          <w:sz w:val="20"/>
          <w:szCs w:val="20"/>
          <w:lang w:eastAsia="en-US"/>
        </w:rPr>
        <w:t xml:space="preserve"> </w:t>
      </w:r>
    </w:p>
    <w:sectPr w:rsidR="00C5009D" w:rsidRPr="00F91671" w:rsidSect="00DA2E91">
      <w:headerReference w:type="default" r:id="rId9"/>
      <w:footerReference w:type="default" r:id="rId10"/>
      <w:footerReference w:type="first" r:id="rId11"/>
      <w:pgSz w:w="11906" w:h="16838" w:code="9"/>
      <w:pgMar w:top="1276" w:right="991"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DF1B0" w14:textId="77777777" w:rsidR="007F621B" w:rsidRDefault="007F621B">
      <w:r>
        <w:separator/>
      </w:r>
    </w:p>
  </w:endnote>
  <w:endnote w:type="continuationSeparator" w:id="0">
    <w:p w14:paraId="73D83BFA" w14:textId="77777777" w:rsidR="007F621B" w:rsidRDefault="007F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0C24" w14:textId="699A83B1" w:rsidR="007F621B" w:rsidRPr="00307AFC" w:rsidRDefault="007F621B" w:rsidP="002D6D8A">
    <w:pPr>
      <w:jc w:val="both"/>
      <w:rPr>
        <w:sz w:val="20"/>
        <w:szCs w:val="20"/>
      </w:rPr>
    </w:pPr>
    <w:r>
      <w:rPr>
        <w:sz w:val="20"/>
        <w:szCs w:val="20"/>
      </w:rPr>
      <w:t>EMAnot</w:t>
    </w:r>
    <w:r w:rsidR="00696B19">
      <w:rPr>
        <w:sz w:val="20"/>
        <w:szCs w:val="20"/>
      </w:rPr>
      <w:t>_</w:t>
    </w:r>
    <w:r w:rsidR="00F91671">
      <w:rPr>
        <w:sz w:val="20"/>
        <w:szCs w:val="20"/>
      </w:rPr>
      <w:t>07</w:t>
    </w:r>
    <w:r w:rsidR="00417F46">
      <w:rPr>
        <w:sz w:val="20"/>
        <w:szCs w:val="20"/>
      </w:rPr>
      <w:t>0</w:t>
    </w:r>
    <w:r w:rsidR="007C55F0">
      <w:rPr>
        <w:sz w:val="20"/>
        <w:szCs w:val="20"/>
      </w:rPr>
      <w:t>3</w:t>
    </w:r>
    <w:r w:rsidR="00417F46">
      <w:rPr>
        <w:sz w:val="20"/>
        <w:szCs w:val="20"/>
      </w:rPr>
      <w:t>2016</w:t>
    </w:r>
    <w:r w:rsidRPr="00307AFC">
      <w:rPr>
        <w:sz w:val="20"/>
        <w:szCs w:val="20"/>
      </w:rPr>
      <w:t xml:space="preserve">_NORProgramma; Ministru kabineta noteikumu projekta „Grozījumi Ministru kabineta 2013.gada </w:t>
    </w:r>
    <w:r>
      <w:rPr>
        <w:sz w:val="20"/>
        <w:szCs w:val="20"/>
      </w:rPr>
      <w:t>2</w:t>
    </w:r>
    <w:r w:rsidRPr="00307AFC">
      <w:rPr>
        <w:sz w:val="20"/>
        <w:szCs w:val="20"/>
      </w:rPr>
      <w:t>.</w:t>
    </w:r>
    <w:r>
      <w:rPr>
        <w:sz w:val="20"/>
        <w:szCs w:val="20"/>
      </w:rPr>
      <w:t>aprīļa</w:t>
    </w:r>
    <w:r w:rsidRPr="00307AFC">
      <w:rPr>
        <w:sz w:val="20"/>
        <w:szCs w:val="20"/>
      </w:rPr>
      <w:t xml:space="preserve"> noteikumos Nr.1</w:t>
    </w:r>
    <w:r>
      <w:rPr>
        <w:sz w:val="20"/>
        <w:szCs w:val="20"/>
      </w:rPr>
      <w:t>81</w:t>
    </w:r>
    <w:r w:rsidRPr="00307AFC">
      <w:rPr>
        <w:sz w:val="20"/>
        <w:szCs w:val="20"/>
      </w:rPr>
      <w:t xml:space="preserve"> „Norvēģijas finanšu instrumenta 2009.–2014.gada perioda programmas "Inovācijas "zaļās" ražošanas jomā" īstenošanas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28C1E" w14:textId="320C4A59" w:rsidR="007F621B" w:rsidRPr="00307AFC" w:rsidRDefault="00696B19" w:rsidP="002D6D8A">
    <w:pPr>
      <w:jc w:val="both"/>
      <w:rPr>
        <w:sz w:val="20"/>
        <w:szCs w:val="20"/>
      </w:rPr>
    </w:pPr>
    <w:r>
      <w:rPr>
        <w:sz w:val="20"/>
        <w:szCs w:val="20"/>
      </w:rPr>
      <w:t>EMAnot_</w:t>
    </w:r>
    <w:r w:rsidR="007C55F0">
      <w:rPr>
        <w:sz w:val="20"/>
        <w:szCs w:val="20"/>
      </w:rPr>
      <w:t>0</w:t>
    </w:r>
    <w:r w:rsidR="00F91671">
      <w:rPr>
        <w:sz w:val="20"/>
        <w:szCs w:val="20"/>
      </w:rPr>
      <w:t>7</w:t>
    </w:r>
    <w:r w:rsidR="007C55F0">
      <w:rPr>
        <w:sz w:val="20"/>
        <w:szCs w:val="20"/>
      </w:rPr>
      <w:t>03</w:t>
    </w:r>
    <w:r w:rsidR="00417F46">
      <w:rPr>
        <w:sz w:val="20"/>
        <w:szCs w:val="20"/>
      </w:rPr>
      <w:t>2016</w:t>
    </w:r>
    <w:r w:rsidR="007F621B" w:rsidRPr="00307AFC">
      <w:rPr>
        <w:sz w:val="20"/>
        <w:szCs w:val="20"/>
      </w:rPr>
      <w:t xml:space="preserve">_NORProgramma; Ministru kabineta noteikumu projekta „Grozījumi Ministru kabineta 2013.gada </w:t>
    </w:r>
    <w:r w:rsidR="007F621B">
      <w:rPr>
        <w:sz w:val="20"/>
        <w:szCs w:val="20"/>
      </w:rPr>
      <w:t>2</w:t>
    </w:r>
    <w:r w:rsidR="007F621B" w:rsidRPr="00307AFC">
      <w:rPr>
        <w:sz w:val="20"/>
        <w:szCs w:val="20"/>
      </w:rPr>
      <w:t>.</w:t>
    </w:r>
    <w:r w:rsidR="007F621B">
      <w:rPr>
        <w:sz w:val="20"/>
        <w:szCs w:val="20"/>
      </w:rPr>
      <w:t>aprīļa</w:t>
    </w:r>
    <w:r w:rsidR="007F621B" w:rsidRPr="00307AFC">
      <w:rPr>
        <w:sz w:val="20"/>
        <w:szCs w:val="20"/>
      </w:rPr>
      <w:t xml:space="preserve"> noteikumos Nr.1</w:t>
    </w:r>
    <w:r w:rsidR="007F621B">
      <w:rPr>
        <w:sz w:val="20"/>
        <w:szCs w:val="20"/>
      </w:rPr>
      <w:t>81</w:t>
    </w:r>
    <w:r w:rsidR="007F621B" w:rsidRPr="00307AFC">
      <w:rPr>
        <w:sz w:val="20"/>
        <w:szCs w:val="20"/>
      </w:rPr>
      <w:t xml:space="preserve"> „Norvēģijas finanšu instrumenta 2009.–2014.gada perioda programmas "Inovācijas "zaļās" ražošanas jomā" īstenošanas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50C39" w14:textId="77777777" w:rsidR="007F621B" w:rsidRDefault="007F621B">
      <w:r>
        <w:separator/>
      </w:r>
    </w:p>
  </w:footnote>
  <w:footnote w:type="continuationSeparator" w:id="0">
    <w:p w14:paraId="5CC2FD6A" w14:textId="77777777" w:rsidR="007F621B" w:rsidRDefault="007F6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720396"/>
      <w:docPartObj>
        <w:docPartGallery w:val="Page Numbers (Top of Page)"/>
        <w:docPartUnique/>
      </w:docPartObj>
    </w:sdtPr>
    <w:sdtEndPr>
      <w:rPr>
        <w:noProof/>
      </w:rPr>
    </w:sdtEndPr>
    <w:sdtContent>
      <w:p w14:paraId="15CFD809" w14:textId="77777777" w:rsidR="007F621B" w:rsidRDefault="007F621B">
        <w:pPr>
          <w:pStyle w:val="Header"/>
          <w:jc w:val="center"/>
        </w:pPr>
        <w:r>
          <w:fldChar w:fldCharType="begin"/>
        </w:r>
        <w:r>
          <w:instrText xml:space="preserve"> PAGE   \* MERGEFORMAT </w:instrText>
        </w:r>
        <w:r>
          <w:fldChar w:fldCharType="separate"/>
        </w:r>
        <w:r w:rsidR="0051623A">
          <w:rPr>
            <w:noProof/>
          </w:rPr>
          <w:t>9</w:t>
        </w:r>
        <w:r>
          <w:rPr>
            <w:noProof/>
          </w:rPr>
          <w:fldChar w:fldCharType="end"/>
        </w:r>
      </w:p>
    </w:sdtContent>
  </w:sdt>
  <w:p w14:paraId="619F8CC3" w14:textId="77777777" w:rsidR="007F621B" w:rsidRDefault="007F6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A11"/>
    <w:multiLevelType w:val="hybridMultilevel"/>
    <w:tmpl w:val="F672F4B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75BB5"/>
    <w:multiLevelType w:val="hybridMultilevel"/>
    <w:tmpl w:val="530078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1C0EDA"/>
    <w:multiLevelType w:val="hybridMultilevel"/>
    <w:tmpl w:val="8D602532"/>
    <w:lvl w:ilvl="0" w:tplc="04260011">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8305F8"/>
    <w:multiLevelType w:val="hybridMultilevel"/>
    <w:tmpl w:val="3CC8395E"/>
    <w:lvl w:ilvl="0" w:tplc="585AF11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E1C483C"/>
    <w:multiLevelType w:val="hybridMultilevel"/>
    <w:tmpl w:val="C0A2C2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605C29"/>
    <w:multiLevelType w:val="hybridMultilevel"/>
    <w:tmpl w:val="B128D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7A3198"/>
    <w:multiLevelType w:val="multilevel"/>
    <w:tmpl w:val="87149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046922"/>
    <w:multiLevelType w:val="multilevel"/>
    <w:tmpl w:val="8BA227B0"/>
    <w:lvl w:ilvl="0">
      <w:start w:val="1"/>
      <w:numFmt w:val="decimal"/>
      <w:lvlText w:val="%1."/>
      <w:lvlJc w:val="left"/>
      <w:pPr>
        <w:tabs>
          <w:tab w:val="num" w:pos="720"/>
        </w:tabs>
        <w:ind w:left="720" w:hanging="720"/>
      </w:pPr>
      <w:rPr>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273FE9"/>
    <w:multiLevelType w:val="hybridMultilevel"/>
    <w:tmpl w:val="084215EC"/>
    <w:lvl w:ilvl="0" w:tplc="2C424D4E">
      <w:start w:val="1"/>
      <w:numFmt w:val="decimal"/>
      <w:lvlText w:val="%1."/>
      <w:lvlJc w:val="left"/>
      <w:pPr>
        <w:ind w:left="405" w:hanging="40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1C5194F"/>
    <w:multiLevelType w:val="hybridMultilevel"/>
    <w:tmpl w:val="B128D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2D5726"/>
    <w:multiLevelType w:val="hybridMultilevel"/>
    <w:tmpl w:val="07F8F8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B234938"/>
    <w:multiLevelType w:val="hybridMultilevel"/>
    <w:tmpl w:val="80861708"/>
    <w:lvl w:ilvl="0" w:tplc="BF4E966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BEE19D3"/>
    <w:multiLevelType w:val="hybridMultilevel"/>
    <w:tmpl w:val="5356595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9"/>
  </w:num>
  <w:num w:numId="6">
    <w:abstractNumId w:val="12"/>
  </w:num>
  <w:num w:numId="7">
    <w:abstractNumId w:val="0"/>
  </w:num>
  <w:num w:numId="8">
    <w:abstractNumId w:val="2"/>
  </w:num>
  <w:num w:numId="9">
    <w:abstractNumId w:val="4"/>
  </w:num>
  <w:num w:numId="10">
    <w:abstractNumId w:val="1"/>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2"/>
    <w:rsid w:val="00000184"/>
    <w:rsid w:val="000038B7"/>
    <w:rsid w:val="000038D2"/>
    <w:rsid w:val="00011994"/>
    <w:rsid w:val="00023947"/>
    <w:rsid w:val="0004052B"/>
    <w:rsid w:val="0005202B"/>
    <w:rsid w:val="000610AB"/>
    <w:rsid w:val="000708F5"/>
    <w:rsid w:val="0007206D"/>
    <w:rsid w:val="00074DE9"/>
    <w:rsid w:val="00084089"/>
    <w:rsid w:val="00095DB0"/>
    <w:rsid w:val="000A2ADB"/>
    <w:rsid w:val="000B7E0C"/>
    <w:rsid w:val="000C4765"/>
    <w:rsid w:val="000D62ED"/>
    <w:rsid w:val="000E1622"/>
    <w:rsid w:val="0010452E"/>
    <w:rsid w:val="00106802"/>
    <w:rsid w:val="0012542C"/>
    <w:rsid w:val="0013465F"/>
    <w:rsid w:val="0013571B"/>
    <w:rsid w:val="00146D46"/>
    <w:rsid w:val="00150797"/>
    <w:rsid w:val="00155FE8"/>
    <w:rsid w:val="00157F64"/>
    <w:rsid w:val="00165562"/>
    <w:rsid w:val="00173104"/>
    <w:rsid w:val="0017518E"/>
    <w:rsid w:val="00180766"/>
    <w:rsid w:val="0018191A"/>
    <w:rsid w:val="001B7CD1"/>
    <w:rsid w:val="001C0D7D"/>
    <w:rsid w:val="001C6AE8"/>
    <w:rsid w:val="001D0E3C"/>
    <w:rsid w:val="001D18DC"/>
    <w:rsid w:val="001D629B"/>
    <w:rsid w:val="001F0944"/>
    <w:rsid w:val="002012C4"/>
    <w:rsid w:val="00212266"/>
    <w:rsid w:val="00222EC0"/>
    <w:rsid w:val="00224B4E"/>
    <w:rsid w:val="00231FE6"/>
    <w:rsid w:val="002445A5"/>
    <w:rsid w:val="0025109C"/>
    <w:rsid w:val="002517CB"/>
    <w:rsid w:val="00262AB2"/>
    <w:rsid w:val="002633E2"/>
    <w:rsid w:val="002642FE"/>
    <w:rsid w:val="0027359B"/>
    <w:rsid w:val="002746F3"/>
    <w:rsid w:val="00275967"/>
    <w:rsid w:val="002909C4"/>
    <w:rsid w:val="002B4338"/>
    <w:rsid w:val="002B565D"/>
    <w:rsid w:val="002D65E9"/>
    <w:rsid w:val="002D6D8A"/>
    <w:rsid w:val="00320743"/>
    <w:rsid w:val="00325ADC"/>
    <w:rsid w:val="00327CA7"/>
    <w:rsid w:val="00336D16"/>
    <w:rsid w:val="003463B0"/>
    <w:rsid w:val="003505C8"/>
    <w:rsid w:val="00355194"/>
    <w:rsid w:val="00370B10"/>
    <w:rsid w:val="003712D2"/>
    <w:rsid w:val="003714DB"/>
    <w:rsid w:val="00376D06"/>
    <w:rsid w:val="00377B9A"/>
    <w:rsid w:val="0038101E"/>
    <w:rsid w:val="003832AF"/>
    <w:rsid w:val="00385900"/>
    <w:rsid w:val="00394D40"/>
    <w:rsid w:val="0039588D"/>
    <w:rsid w:val="003B42BD"/>
    <w:rsid w:val="003B6C2E"/>
    <w:rsid w:val="003C204B"/>
    <w:rsid w:val="003D5C72"/>
    <w:rsid w:val="003E5966"/>
    <w:rsid w:val="00401A82"/>
    <w:rsid w:val="00410644"/>
    <w:rsid w:val="00417F46"/>
    <w:rsid w:val="00420559"/>
    <w:rsid w:val="00441A1B"/>
    <w:rsid w:val="00452F2B"/>
    <w:rsid w:val="0045622D"/>
    <w:rsid w:val="0047371A"/>
    <w:rsid w:val="00485109"/>
    <w:rsid w:val="004941A8"/>
    <w:rsid w:val="004B5CE3"/>
    <w:rsid w:val="004C7F00"/>
    <w:rsid w:val="004F1CF6"/>
    <w:rsid w:val="004F7796"/>
    <w:rsid w:val="004F7CF6"/>
    <w:rsid w:val="00511C57"/>
    <w:rsid w:val="0051623A"/>
    <w:rsid w:val="0053009D"/>
    <w:rsid w:val="00537D55"/>
    <w:rsid w:val="005421CB"/>
    <w:rsid w:val="00544CBC"/>
    <w:rsid w:val="0054638E"/>
    <w:rsid w:val="00577B62"/>
    <w:rsid w:val="00580A61"/>
    <w:rsid w:val="00591542"/>
    <w:rsid w:val="005F10B8"/>
    <w:rsid w:val="005F501E"/>
    <w:rsid w:val="005F770F"/>
    <w:rsid w:val="00600D43"/>
    <w:rsid w:val="00615BFA"/>
    <w:rsid w:val="0062108A"/>
    <w:rsid w:val="00626318"/>
    <w:rsid w:val="00642CDB"/>
    <w:rsid w:val="00653B45"/>
    <w:rsid w:val="00654076"/>
    <w:rsid w:val="00654AB3"/>
    <w:rsid w:val="00665909"/>
    <w:rsid w:val="006674CE"/>
    <w:rsid w:val="0068284A"/>
    <w:rsid w:val="00685D74"/>
    <w:rsid w:val="00692846"/>
    <w:rsid w:val="006956A2"/>
    <w:rsid w:val="00696B19"/>
    <w:rsid w:val="006B1773"/>
    <w:rsid w:val="006C48AD"/>
    <w:rsid w:val="006C4D4E"/>
    <w:rsid w:val="006C7524"/>
    <w:rsid w:val="006C7ED9"/>
    <w:rsid w:val="006D12DC"/>
    <w:rsid w:val="00702F96"/>
    <w:rsid w:val="0070334C"/>
    <w:rsid w:val="00710875"/>
    <w:rsid w:val="007327F9"/>
    <w:rsid w:val="00732D9D"/>
    <w:rsid w:val="0074221C"/>
    <w:rsid w:val="00743B6F"/>
    <w:rsid w:val="00746CCA"/>
    <w:rsid w:val="007539FB"/>
    <w:rsid w:val="00764B28"/>
    <w:rsid w:val="007B2D6D"/>
    <w:rsid w:val="007B6704"/>
    <w:rsid w:val="007B69FF"/>
    <w:rsid w:val="007C55F0"/>
    <w:rsid w:val="007C6255"/>
    <w:rsid w:val="007E3B66"/>
    <w:rsid w:val="007F621B"/>
    <w:rsid w:val="007F6B3B"/>
    <w:rsid w:val="007F7791"/>
    <w:rsid w:val="00801D3C"/>
    <w:rsid w:val="00820561"/>
    <w:rsid w:val="00821555"/>
    <w:rsid w:val="00843C39"/>
    <w:rsid w:val="00854B12"/>
    <w:rsid w:val="00890DAD"/>
    <w:rsid w:val="008A4C82"/>
    <w:rsid w:val="008C12AC"/>
    <w:rsid w:val="008D2E0D"/>
    <w:rsid w:val="008D3871"/>
    <w:rsid w:val="008E1CA1"/>
    <w:rsid w:val="008F2B19"/>
    <w:rsid w:val="008F7CDA"/>
    <w:rsid w:val="00903F9B"/>
    <w:rsid w:val="00920CB2"/>
    <w:rsid w:val="00927EE4"/>
    <w:rsid w:val="00930EDD"/>
    <w:rsid w:val="009444EC"/>
    <w:rsid w:val="00945DED"/>
    <w:rsid w:val="00956A2C"/>
    <w:rsid w:val="00975508"/>
    <w:rsid w:val="00981EA9"/>
    <w:rsid w:val="0099196A"/>
    <w:rsid w:val="009956C1"/>
    <w:rsid w:val="00995B28"/>
    <w:rsid w:val="009B0F9A"/>
    <w:rsid w:val="009C61CC"/>
    <w:rsid w:val="009F1370"/>
    <w:rsid w:val="009F3BDD"/>
    <w:rsid w:val="00A072E4"/>
    <w:rsid w:val="00A11256"/>
    <w:rsid w:val="00A24E1E"/>
    <w:rsid w:val="00A439B5"/>
    <w:rsid w:val="00A44E66"/>
    <w:rsid w:val="00A46109"/>
    <w:rsid w:val="00A633A8"/>
    <w:rsid w:val="00A92D56"/>
    <w:rsid w:val="00AA45BA"/>
    <w:rsid w:val="00AB44DF"/>
    <w:rsid w:val="00AB699A"/>
    <w:rsid w:val="00AC4D42"/>
    <w:rsid w:val="00AE5FEB"/>
    <w:rsid w:val="00AF3754"/>
    <w:rsid w:val="00AF4985"/>
    <w:rsid w:val="00AF4FB1"/>
    <w:rsid w:val="00AF7058"/>
    <w:rsid w:val="00B070C6"/>
    <w:rsid w:val="00B07DBA"/>
    <w:rsid w:val="00B12F0B"/>
    <w:rsid w:val="00B1476A"/>
    <w:rsid w:val="00B17095"/>
    <w:rsid w:val="00B219FD"/>
    <w:rsid w:val="00B40977"/>
    <w:rsid w:val="00B4729D"/>
    <w:rsid w:val="00B61236"/>
    <w:rsid w:val="00B7581A"/>
    <w:rsid w:val="00B83FE7"/>
    <w:rsid w:val="00B8679A"/>
    <w:rsid w:val="00BC091B"/>
    <w:rsid w:val="00BD6948"/>
    <w:rsid w:val="00BE5FC6"/>
    <w:rsid w:val="00C021A4"/>
    <w:rsid w:val="00C07E00"/>
    <w:rsid w:val="00C17DE9"/>
    <w:rsid w:val="00C252AA"/>
    <w:rsid w:val="00C32C1D"/>
    <w:rsid w:val="00C46766"/>
    <w:rsid w:val="00C5009D"/>
    <w:rsid w:val="00C61D4D"/>
    <w:rsid w:val="00C81ECA"/>
    <w:rsid w:val="00C82DF5"/>
    <w:rsid w:val="00C87E3C"/>
    <w:rsid w:val="00C94495"/>
    <w:rsid w:val="00C9466F"/>
    <w:rsid w:val="00CA0E5E"/>
    <w:rsid w:val="00CA58A3"/>
    <w:rsid w:val="00CB38D8"/>
    <w:rsid w:val="00CB4825"/>
    <w:rsid w:val="00CB5ECC"/>
    <w:rsid w:val="00CC3B92"/>
    <w:rsid w:val="00CD210F"/>
    <w:rsid w:val="00CD59F7"/>
    <w:rsid w:val="00CD72EE"/>
    <w:rsid w:val="00CE0F78"/>
    <w:rsid w:val="00CF05A9"/>
    <w:rsid w:val="00CF2E7E"/>
    <w:rsid w:val="00CF443A"/>
    <w:rsid w:val="00CF5BAD"/>
    <w:rsid w:val="00D0373F"/>
    <w:rsid w:val="00D04129"/>
    <w:rsid w:val="00D21F3D"/>
    <w:rsid w:val="00D35FFD"/>
    <w:rsid w:val="00D421EF"/>
    <w:rsid w:val="00D434A1"/>
    <w:rsid w:val="00D60270"/>
    <w:rsid w:val="00D6646C"/>
    <w:rsid w:val="00D7150F"/>
    <w:rsid w:val="00D76F9C"/>
    <w:rsid w:val="00D908FA"/>
    <w:rsid w:val="00DA1014"/>
    <w:rsid w:val="00DA2E91"/>
    <w:rsid w:val="00DA7B3F"/>
    <w:rsid w:val="00DA7F96"/>
    <w:rsid w:val="00DB45B1"/>
    <w:rsid w:val="00DB6225"/>
    <w:rsid w:val="00DB6B39"/>
    <w:rsid w:val="00E05B98"/>
    <w:rsid w:val="00E05F4B"/>
    <w:rsid w:val="00E15970"/>
    <w:rsid w:val="00E21FFD"/>
    <w:rsid w:val="00E258C2"/>
    <w:rsid w:val="00E401AB"/>
    <w:rsid w:val="00E521DD"/>
    <w:rsid w:val="00E55578"/>
    <w:rsid w:val="00E629A2"/>
    <w:rsid w:val="00E71C88"/>
    <w:rsid w:val="00E75271"/>
    <w:rsid w:val="00E765EA"/>
    <w:rsid w:val="00E82CAE"/>
    <w:rsid w:val="00E862E0"/>
    <w:rsid w:val="00E9007C"/>
    <w:rsid w:val="00EC645A"/>
    <w:rsid w:val="00ED4239"/>
    <w:rsid w:val="00F2423E"/>
    <w:rsid w:val="00F31498"/>
    <w:rsid w:val="00F43C27"/>
    <w:rsid w:val="00F55DDE"/>
    <w:rsid w:val="00F735B7"/>
    <w:rsid w:val="00F73A14"/>
    <w:rsid w:val="00F779F2"/>
    <w:rsid w:val="00F8734D"/>
    <w:rsid w:val="00F91671"/>
    <w:rsid w:val="00F91E32"/>
    <w:rsid w:val="00F93344"/>
    <w:rsid w:val="00F97E1E"/>
    <w:rsid w:val="00FA4477"/>
    <w:rsid w:val="00FB6D43"/>
    <w:rsid w:val="00FC52B4"/>
    <w:rsid w:val="00FF5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974FC"/>
  <w15:docId w15:val="{272C191D-014A-4AF2-BB5A-901011EE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72"/>
    <w:pPr>
      <w:spacing w:after="0" w:line="240" w:lineRule="auto"/>
    </w:pPr>
    <w:rPr>
      <w:rFonts w:ascii="Times New Roman" w:eastAsia="MS Mincho" w:hAnsi="Times New Roman"/>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C72"/>
    <w:rPr>
      <w:color w:val="0000FF"/>
      <w:u w:val="single"/>
    </w:rPr>
  </w:style>
  <w:style w:type="paragraph" w:styleId="ListParagraph">
    <w:name w:val="List Paragraph"/>
    <w:basedOn w:val="Normal"/>
    <w:uiPriority w:val="34"/>
    <w:qFormat/>
    <w:rsid w:val="003D5C72"/>
    <w:pPr>
      <w:ind w:left="720"/>
      <w:contextualSpacing/>
    </w:pPr>
  </w:style>
  <w:style w:type="paragraph" w:customStyle="1" w:styleId="naisf">
    <w:name w:val="naisf"/>
    <w:basedOn w:val="Normal"/>
    <w:rsid w:val="003D5C72"/>
    <w:pPr>
      <w:spacing w:before="100" w:after="100"/>
    </w:pPr>
    <w:rPr>
      <w:rFonts w:eastAsia="Times New Roman" w:cs="Times New Roman"/>
      <w:sz w:val="24"/>
      <w:szCs w:val="20"/>
      <w:lang w:eastAsia="lv-LV"/>
    </w:rPr>
  </w:style>
  <w:style w:type="paragraph" w:styleId="EnvelopeReturn">
    <w:name w:val="envelope return"/>
    <w:basedOn w:val="Normal"/>
    <w:semiHidden/>
    <w:rsid w:val="003D5C72"/>
    <w:pPr>
      <w:keepLines/>
      <w:widowControl w:val="0"/>
      <w:spacing w:before="600"/>
    </w:pPr>
    <w:rPr>
      <w:rFonts w:eastAsia="Times New Roman" w:cs="Times New Roman"/>
      <w:sz w:val="26"/>
      <w:szCs w:val="20"/>
      <w:lang w:val="en-AU" w:eastAsia="lv-LV"/>
    </w:rPr>
  </w:style>
  <w:style w:type="paragraph" w:styleId="Header">
    <w:name w:val="header"/>
    <w:basedOn w:val="Normal"/>
    <w:link w:val="HeaderChar"/>
    <w:uiPriority w:val="99"/>
    <w:unhideWhenUsed/>
    <w:rsid w:val="003D5C72"/>
    <w:pPr>
      <w:tabs>
        <w:tab w:val="center" w:pos="4153"/>
        <w:tab w:val="right" w:pos="8306"/>
      </w:tabs>
    </w:pPr>
  </w:style>
  <w:style w:type="character" w:customStyle="1" w:styleId="HeaderChar">
    <w:name w:val="Header Char"/>
    <w:basedOn w:val="DefaultParagraphFont"/>
    <w:link w:val="Header"/>
    <w:uiPriority w:val="99"/>
    <w:rsid w:val="003D5C72"/>
    <w:rPr>
      <w:rFonts w:ascii="Times New Roman" w:eastAsia="MS Mincho" w:hAnsi="Times New Roman"/>
      <w:sz w:val="28"/>
      <w:lang w:eastAsia="ja-JP"/>
    </w:rPr>
  </w:style>
  <w:style w:type="paragraph" w:styleId="Footer">
    <w:name w:val="footer"/>
    <w:basedOn w:val="Normal"/>
    <w:link w:val="FooterChar"/>
    <w:uiPriority w:val="99"/>
    <w:unhideWhenUsed/>
    <w:rsid w:val="0053009D"/>
    <w:pPr>
      <w:tabs>
        <w:tab w:val="center" w:pos="4153"/>
        <w:tab w:val="right" w:pos="8306"/>
      </w:tabs>
    </w:pPr>
  </w:style>
  <w:style w:type="character" w:customStyle="1" w:styleId="FooterChar">
    <w:name w:val="Footer Char"/>
    <w:basedOn w:val="DefaultParagraphFont"/>
    <w:link w:val="Footer"/>
    <w:uiPriority w:val="99"/>
    <w:rsid w:val="0053009D"/>
    <w:rPr>
      <w:rFonts w:ascii="Times New Roman" w:eastAsia="MS Mincho" w:hAnsi="Times New Roman"/>
      <w:sz w:val="28"/>
      <w:lang w:eastAsia="ja-JP"/>
    </w:rPr>
  </w:style>
  <w:style w:type="paragraph" w:styleId="BalloonText">
    <w:name w:val="Balloon Text"/>
    <w:basedOn w:val="Normal"/>
    <w:link w:val="BalloonTextChar"/>
    <w:uiPriority w:val="99"/>
    <w:semiHidden/>
    <w:unhideWhenUsed/>
    <w:rsid w:val="00CD72EE"/>
    <w:rPr>
      <w:rFonts w:ascii="Tahoma" w:hAnsi="Tahoma" w:cs="Tahoma"/>
      <w:sz w:val="16"/>
      <w:szCs w:val="16"/>
    </w:rPr>
  </w:style>
  <w:style w:type="character" w:customStyle="1" w:styleId="BalloonTextChar">
    <w:name w:val="Balloon Text Char"/>
    <w:basedOn w:val="DefaultParagraphFont"/>
    <w:link w:val="BalloonText"/>
    <w:uiPriority w:val="99"/>
    <w:semiHidden/>
    <w:rsid w:val="00CD72EE"/>
    <w:rPr>
      <w:rFonts w:ascii="Tahoma" w:eastAsia="MS Mincho" w:hAnsi="Tahoma" w:cs="Tahoma"/>
      <w:sz w:val="16"/>
      <w:szCs w:val="16"/>
      <w:lang w:eastAsia="ja-JP"/>
    </w:rPr>
  </w:style>
  <w:style w:type="character" w:styleId="CommentReference">
    <w:name w:val="annotation reference"/>
    <w:basedOn w:val="DefaultParagraphFont"/>
    <w:uiPriority w:val="99"/>
    <w:semiHidden/>
    <w:unhideWhenUsed/>
    <w:rsid w:val="00CD72EE"/>
    <w:rPr>
      <w:sz w:val="16"/>
      <w:szCs w:val="16"/>
    </w:rPr>
  </w:style>
  <w:style w:type="paragraph" w:styleId="CommentText">
    <w:name w:val="annotation text"/>
    <w:basedOn w:val="Normal"/>
    <w:link w:val="CommentTextChar"/>
    <w:uiPriority w:val="99"/>
    <w:semiHidden/>
    <w:unhideWhenUsed/>
    <w:rsid w:val="00CD72EE"/>
    <w:rPr>
      <w:sz w:val="20"/>
      <w:szCs w:val="20"/>
    </w:rPr>
  </w:style>
  <w:style w:type="character" w:customStyle="1" w:styleId="CommentTextChar">
    <w:name w:val="Comment Text Char"/>
    <w:basedOn w:val="DefaultParagraphFont"/>
    <w:link w:val="CommentText"/>
    <w:uiPriority w:val="99"/>
    <w:semiHidden/>
    <w:rsid w:val="00CD72EE"/>
    <w:rPr>
      <w:rFonts w:ascii="Times New Roman" w:eastAsia="MS Mincho"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D72EE"/>
    <w:rPr>
      <w:b/>
      <w:bCs/>
    </w:rPr>
  </w:style>
  <w:style w:type="character" w:customStyle="1" w:styleId="CommentSubjectChar">
    <w:name w:val="Comment Subject Char"/>
    <w:basedOn w:val="CommentTextChar"/>
    <w:link w:val="CommentSubject"/>
    <w:uiPriority w:val="99"/>
    <w:semiHidden/>
    <w:rsid w:val="00CD72EE"/>
    <w:rPr>
      <w:rFonts w:ascii="Times New Roman" w:eastAsia="MS Mincho" w:hAnsi="Times New Roman"/>
      <w:b/>
      <w:bCs/>
      <w:sz w:val="20"/>
      <w:szCs w:val="20"/>
      <w:lang w:eastAsia="ja-JP"/>
    </w:rPr>
  </w:style>
  <w:style w:type="paragraph" w:styleId="BodyText">
    <w:name w:val="Body Text"/>
    <w:basedOn w:val="Normal"/>
    <w:link w:val="BodyTextChar"/>
    <w:semiHidden/>
    <w:rsid w:val="00000184"/>
    <w:pPr>
      <w:jc w:val="both"/>
    </w:pPr>
    <w:rPr>
      <w:rFonts w:eastAsia="Times New Roman" w:cs="Times New Roman"/>
      <w:szCs w:val="20"/>
      <w:lang w:eastAsia="lv-LV"/>
    </w:rPr>
  </w:style>
  <w:style w:type="character" w:customStyle="1" w:styleId="BodyTextChar">
    <w:name w:val="Body Text Char"/>
    <w:basedOn w:val="DefaultParagraphFont"/>
    <w:link w:val="BodyText"/>
    <w:semiHidden/>
    <w:rsid w:val="00000184"/>
    <w:rPr>
      <w:rFonts w:ascii="Times New Roman" w:eastAsia="Times New Roman" w:hAnsi="Times New Roman" w:cs="Times New Roman"/>
      <w:sz w:val="28"/>
      <w:szCs w:val="20"/>
      <w:lang w:eastAsia="lv-LV"/>
    </w:rPr>
  </w:style>
  <w:style w:type="character" w:customStyle="1" w:styleId="apple-converted-space">
    <w:name w:val="apple-converted-space"/>
    <w:basedOn w:val="DefaultParagraphFont"/>
    <w:rsid w:val="00CC3B92"/>
  </w:style>
  <w:style w:type="paragraph" w:customStyle="1" w:styleId="1">
    <w:name w:val="1"/>
    <w:basedOn w:val="Normal"/>
    <w:rsid w:val="00CC3B92"/>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13465F"/>
    <w:pPr>
      <w:spacing w:before="75" w:after="75"/>
      <w:jc w:val="center"/>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40417">
      <w:bodyDiv w:val="1"/>
      <w:marLeft w:val="0"/>
      <w:marRight w:val="0"/>
      <w:marTop w:val="0"/>
      <w:marBottom w:val="0"/>
      <w:divBdr>
        <w:top w:val="none" w:sz="0" w:space="0" w:color="auto"/>
        <w:left w:val="none" w:sz="0" w:space="0" w:color="auto"/>
        <w:bottom w:val="none" w:sz="0" w:space="0" w:color="auto"/>
        <w:right w:val="none" w:sz="0" w:space="0" w:color="auto"/>
      </w:divBdr>
    </w:div>
    <w:div w:id="934363089">
      <w:bodyDiv w:val="1"/>
      <w:marLeft w:val="0"/>
      <w:marRight w:val="0"/>
      <w:marTop w:val="0"/>
      <w:marBottom w:val="0"/>
      <w:divBdr>
        <w:top w:val="none" w:sz="0" w:space="0" w:color="auto"/>
        <w:left w:val="none" w:sz="0" w:space="0" w:color="auto"/>
        <w:bottom w:val="none" w:sz="0" w:space="0" w:color="auto"/>
        <w:right w:val="none" w:sz="0" w:space="0" w:color="auto"/>
      </w:divBdr>
    </w:div>
    <w:div w:id="1760370584">
      <w:bodyDiv w:val="1"/>
      <w:marLeft w:val="0"/>
      <w:marRight w:val="0"/>
      <w:marTop w:val="0"/>
      <w:marBottom w:val="0"/>
      <w:divBdr>
        <w:top w:val="none" w:sz="0" w:space="0" w:color="auto"/>
        <w:left w:val="none" w:sz="0" w:space="0" w:color="auto"/>
        <w:bottom w:val="none" w:sz="0" w:space="0" w:color="auto"/>
        <w:right w:val="none" w:sz="0" w:space="0" w:color="auto"/>
      </w:divBdr>
    </w:div>
    <w:div w:id="20458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Grub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5277-07C4-4E8F-885E-503BB1ED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13442</Words>
  <Characters>7663</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Grūbe</dc:creator>
  <cp:keywords/>
  <dc:description/>
  <cp:lastModifiedBy>Evita Grūbe</cp:lastModifiedBy>
  <cp:revision>6</cp:revision>
  <cp:lastPrinted>2016-03-07T14:12:00Z</cp:lastPrinted>
  <dcterms:created xsi:type="dcterms:W3CDTF">2016-03-07T10:10:00Z</dcterms:created>
  <dcterms:modified xsi:type="dcterms:W3CDTF">2016-03-07T14:16:00Z</dcterms:modified>
  <cp:contentStatus/>
</cp:coreProperties>
</file>