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22C" w:rsidRDefault="001F622C" w:rsidP="00E55891">
      <w:pPr>
        <w:jc w:val="center"/>
        <w:rPr>
          <w:b/>
          <w:sz w:val="26"/>
          <w:szCs w:val="26"/>
          <w:lang w:eastAsia="lv-LV"/>
        </w:rPr>
      </w:pPr>
    </w:p>
    <w:p w:rsidR="001F622C" w:rsidRDefault="001F622C" w:rsidP="00E55891">
      <w:pPr>
        <w:jc w:val="center"/>
        <w:rPr>
          <w:b/>
          <w:sz w:val="26"/>
          <w:szCs w:val="26"/>
          <w:lang w:eastAsia="lv-LV"/>
        </w:rPr>
      </w:pPr>
    </w:p>
    <w:p w:rsidR="001F622C" w:rsidRPr="00343FB6" w:rsidRDefault="001F622C" w:rsidP="00E55891">
      <w:pPr>
        <w:jc w:val="center"/>
        <w:rPr>
          <w:b/>
          <w:szCs w:val="28"/>
          <w:lang w:eastAsia="lv-LV"/>
        </w:rPr>
      </w:pPr>
      <w:r w:rsidRPr="00343FB6">
        <w:rPr>
          <w:b/>
          <w:szCs w:val="28"/>
          <w:lang w:eastAsia="lv-LV"/>
        </w:rPr>
        <w:t xml:space="preserve">Ministru kabineta rīkojuma projekta „Par valsts galvenā autoceļa projekta „E67/A7 Ķekavas apvedceļš” publiskās un privātās partnerības iepirkuma procedūras uzsākšanu” </w:t>
      </w:r>
      <w:r w:rsidRPr="00343FB6">
        <w:rPr>
          <w:b/>
          <w:bCs/>
          <w:color w:val="000000"/>
          <w:szCs w:val="28"/>
          <w:lang w:eastAsia="lv-LV"/>
        </w:rPr>
        <w:t xml:space="preserve">sākotnējās ietekmes novērtējuma </w:t>
      </w:r>
      <w:smartTag w:uri="schemas-tilde-lv/tildestengine" w:element="veidnes">
        <w:smartTagPr>
          <w:attr w:name="text" w:val="ziņojums"/>
          <w:attr w:name="baseform" w:val="ziņojums"/>
          <w:attr w:name="id" w:val="-1"/>
        </w:smartTagPr>
        <w:r w:rsidRPr="00343FB6">
          <w:rPr>
            <w:b/>
            <w:bCs/>
            <w:color w:val="000000"/>
            <w:szCs w:val="28"/>
            <w:lang w:eastAsia="lv-LV"/>
          </w:rPr>
          <w:t>ziņojums</w:t>
        </w:r>
      </w:smartTag>
      <w:r w:rsidRPr="00343FB6">
        <w:rPr>
          <w:b/>
          <w:bCs/>
          <w:color w:val="000000"/>
          <w:szCs w:val="28"/>
          <w:lang w:eastAsia="lv-LV"/>
        </w:rPr>
        <w:t xml:space="preserve"> (anotācija)</w:t>
      </w:r>
    </w:p>
    <w:p w:rsidR="001F622C" w:rsidRPr="00343FB6" w:rsidRDefault="001F622C" w:rsidP="00B56C3E">
      <w:pPr>
        <w:jc w:val="center"/>
        <w:rPr>
          <w:b/>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40"/>
        <w:gridCol w:w="1765"/>
        <w:gridCol w:w="7126"/>
      </w:tblGrid>
      <w:tr w:rsidR="001F622C" w:rsidRPr="00343FB6" w:rsidTr="009C743E">
        <w:trPr>
          <w:trHeight w:val="405"/>
        </w:trPr>
        <w:tc>
          <w:tcPr>
            <w:tcW w:w="0" w:type="auto"/>
            <w:gridSpan w:val="3"/>
            <w:tcBorders>
              <w:top w:val="outset" w:sz="6" w:space="0" w:color="414142"/>
              <w:bottom w:val="outset" w:sz="6" w:space="0" w:color="414142"/>
            </w:tcBorders>
            <w:shd w:val="clear" w:color="auto" w:fill="FFFFFF"/>
            <w:vAlign w:val="center"/>
          </w:tcPr>
          <w:p w:rsidR="001F622C" w:rsidRPr="00343FB6" w:rsidRDefault="001F622C" w:rsidP="00B56C3E">
            <w:pPr>
              <w:spacing w:before="100" w:beforeAutospacing="1" w:after="100" w:afterAutospacing="1" w:line="285" w:lineRule="atLeast"/>
              <w:jc w:val="center"/>
              <w:rPr>
                <w:b/>
                <w:bCs/>
                <w:color w:val="000000"/>
                <w:sz w:val="24"/>
                <w:szCs w:val="24"/>
                <w:lang w:eastAsia="lv-LV"/>
              </w:rPr>
            </w:pPr>
            <w:r w:rsidRPr="00343FB6">
              <w:rPr>
                <w:b/>
                <w:bCs/>
                <w:color w:val="000000"/>
                <w:sz w:val="24"/>
                <w:szCs w:val="24"/>
                <w:lang w:eastAsia="lv-LV"/>
              </w:rPr>
              <w:t>I. Tiesību akta projekta izstrādes nepieciešamība</w:t>
            </w:r>
          </w:p>
        </w:tc>
      </w:tr>
      <w:tr w:rsidR="001F622C" w:rsidRPr="00343FB6" w:rsidTr="009C743E">
        <w:trPr>
          <w:trHeight w:val="405"/>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spacing w:before="100" w:beforeAutospacing="1" w:after="100" w:afterAutospacing="1" w:line="285" w:lineRule="atLeast"/>
              <w:jc w:val="center"/>
              <w:rPr>
                <w:color w:val="000000"/>
                <w:sz w:val="24"/>
                <w:szCs w:val="24"/>
                <w:lang w:eastAsia="lv-LV"/>
              </w:rPr>
            </w:pPr>
            <w:r w:rsidRPr="00343FB6">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1D314F">
            <w:pPr>
              <w:jc w:val="both"/>
              <w:rPr>
                <w:color w:val="000000"/>
                <w:sz w:val="24"/>
                <w:szCs w:val="24"/>
                <w:lang w:eastAsia="lv-LV"/>
              </w:rPr>
            </w:pPr>
            <w:r w:rsidRPr="00343FB6">
              <w:rPr>
                <w:color w:val="000000"/>
                <w:sz w:val="24"/>
                <w:szCs w:val="24"/>
                <w:lang w:eastAsia="lv-LV"/>
              </w:rPr>
              <w:t xml:space="preserve">Publiskās un privātās partnerības likuma 16.panta </w:t>
            </w:r>
            <w:r>
              <w:rPr>
                <w:color w:val="000000"/>
                <w:sz w:val="24"/>
                <w:szCs w:val="24"/>
                <w:lang w:eastAsia="lv-LV"/>
              </w:rPr>
              <w:t>pirmās</w:t>
            </w:r>
            <w:r w:rsidRPr="00343FB6">
              <w:rPr>
                <w:color w:val="000000"/>
                <w:sz w:val="24"/>
                <w:szCs w:val="24"/>
                <w:lang w:eastAsia="lv-LV"/>
              </w:rPr>
              <w:t xml:space="preserve"> daļa</w:t>
            </w:r>
            <w:r>
              <w:rPr>
                <w:color w:val="000000"/>
                <w:sz w:val="24"/>
                <w:szCs w:val="24"/>
                <w:lang w:eastAsia="lv-LV"/>
              </w:rPr>
              <w:t>s 1.punkts</w:t>
            </w:r>
            <w:r w:rsidRPr="00343FB6">
              <w:rPr>
                <w:color w:val="000000"/>
                <w:sz w:val="24"/>
                <w:szCs w:val="24"/>
                <w:lang w:eastAsia="lv-LV"/>
              </w:rPr>
              <w:t>.</w:t>
            </w:r>
          </w:p>
        </w:tc>
      </w:tr>
      <w:tr w:rsidR="001F622C" w:rsidRPr="00343FB6" w:rsidTr="009C743E">
        <w:trPr>
          <w:trHeight w:val="465"/>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spacing w:before="100" w:beforeAutospacing="1" w:after="100" w:afterAutospacing="1" w:line="285" w:lineRule="atLeast"/>
              <w:jc w:val="center"/>
              <w:rPr>
                <w:color w:val="000000"/>
                <w:sz w:val="24"/>
                <w:szCs w:val="24"/>
                <w:lang w:eastAsia="lv-LV"/>
              </w:rPr>
            </w:pPr>
            <w:r w:rsidRPr="00343FB6">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071B34">
            <w:pPr>
              <w:ind w:firstLine="720"/>
              <w:jc w:val="both"/>
              <w:rPr>
                <w:sz w:val="24"/>
                <w:szCs w:val="24"/>
              </w:rPr>
            </w:pPr>
            <w:r w:rsidRPr="00343FB6">
              <w:rPr>
                <w:sz w:val="24"/>
                <w:szCs w:val="24"/>
              </w:rPr>
              <w:t>Kvalitatīvs autoceļu tīkls ir pamats visu tautsaimniecības nozaru attīstībai.</w:t>
            </w:r>
          </w:p>
          <w:p w:rsidR="001F622C" w:rsidRPr="00343FB6" w:rsidRDefault="001F622C" w:rsidP="00E55891">
            <w:pPr>
              <w:ind w:firstLine="720"/>
              <w:jc w:val="both"/>
              <w:rPr>
                <w:sz w:val="24"/>
                <w:szCs w:val="24"/>
                <w:lang w:eastAsia="lv-LV"/>
              </w:rPr>
            </w:pPr>
            <w:r w:rsidRPr="00343FB6">
              <w:rPr>
                <w:sz w:val="24"/>
                <w:szCs w:val="24"/>
                <w:lang w:eastAsia="lv-LV"/>
              </w:rPr>
              <w:t xml:space="preserve"> Valsts galvenā autoceļa E67/A7 Rīga – Bauska – Lietuvas robeža (Grenctāle) posms Rīga – Ķekava ir viens no noslogotākajiem ceļiem Rīgas pieejās ar satiksmes intensitāti ap 17 000 automašīnām diennaktī, kurš šķērso blīvi apdzīvoto Ķekavas ciemu. Autoceļš E67/A7 ietilpst TEN-T tīklā, kā arī pēc Rīgas pilsētas Dienvidu tilta 3. būvdarbu kārtas pabeigšanas 2013. gadā satiksmes intensitāte uz attiecīgā ceļa posma ir palielinājusies. Esošā satiksmes intensitāte ir ne tikai sasniegusi ceļa </w:t>
            </w:r>
            <w:proofErr w:type="spellStart"/>
            <w:r w:rsidRPr="00343FB6">
              <w:rPr>
                <w:sz w:val="24"/>
                <w:szCs w:val="24"/>
                <w:lang w:eastAsia="lv-LV"/>
              </w:rPr>
              <w:t>normālprofila</w:t>
            </w:r>
            <w:proofErr w:type="spellEnd"/>
            <w:r w:rsidRPr="00343FB6">
              <w:rPr>
                <w:sz w:val="24"/>
                <w:szCs w:val="24"/>
                <w:lang w:eastAsia="lv-LV"/>
              </w:rPr>
              <w:t xml:space="preserve"> kritisko robežu, bet arī trīskārši pārsniedz esošā ceļa </w:t>
            </w:r>
            <w:proofErr w:type="spellStart"/>
            <w:r w:rsidRPr="00343FB6">
              <w:rPr>
                <w:sz w:val="24"/>
                <w:szCs w:val="24"/>
                <w:lang w:eastAsia="lv-LV"/>
              </w:rPr>
              <w:t>normālprofilam</w:t>
            </w:r>
            <w:proofErr w:type="spellEnd"/>
            <w:r w:rsidRPr="00343FB6">
              <w:rPr>
                <w:sz w:val="24"/>
                <w:szCs w:val="24"/>
                <w:lang w:eastAsia="lv-LV"/>
              </w:rPr>
              <w:t xml:space="preserve"> atbilstošo smagā transporta optimālo transportlīdzekļu skaitu, kas būtiski pārsniedz esošā ceļa caurlaides spēju.</w:t>
            </w:r>
          </w:p>
          <w:p w:rsidR="001F622C" w:rsidRPr="00343FB6" w:rsidRDefault="001F622C" w:rsidP="00E55891">
            <w:pPr>
              <w:ind w:firstLine="720"/>
              <w:jc w:val="both"/>
              <w:rPr>
                <w:sz w:val="24"/>
                <w:szCs w:val="24"/>
                <w:lang w:eastAsia="lv-LV"/>
              </w:rPr>
            </w:pPr>
            <w:r w:rsidRPr="00343FB6">
              <w:rPr>
                <w:sz w:val="24"/>
                <w:szCs w:val="24"/>
                <w:lang w:eastAsia="lv-LV"/>
              </w:rPr>
              <w:t>Ķekavas apvedceļa būvniecības nepieciešamība ir izvērtēta dažādos pētījumos, tai skaitā Satiksmes ministrijas 2010. gada 18. oktobrī apstiprinātajā Rīgas un Pierīgas Mobilitātes plānā.</w:t>
            </w:r>
          </w:p>
          <w:p w:rsidR="001F622C" w:rsidRPr="00343FB6" w:rsidRDefault="001F622C" w:rsidP="0001700A">
            <w:pPr>
              <w:ind w:firstLine="720"/>
              <w:jc w:val="both"/>
              <w:rPr>
                <w:sz w:val="24"/>
                <w:szCs w:val="24"/>
                <w:lang w:eastAsia="lv-LV"/>
              </w:rPr>
            </w:pPr>
            <w:r w:rsidRPr="00343FB6">
              <w:rPr>
                <w:sz w:val="24"/>
                <w:szCs w:val="24"/>
                <w:lang w:eastAsia="lv-LV"/>
              </w:rPr>
              <w:t xml:space="preserve">Atbilstoši Latvijas Nacionālās attīstības plāna 2014.-2020.gadam (turpmāk – NAP2020) rīcības virziena „Pakalpojumu pieejamība līdzvērtīgāku darba iespēju un dzīves apstākļu radīšanai” mērķa sasniegšanai noteiktajam uzdevumam – nodrošināt nozīmīgāko transporta koridoru infrastruktūras attīstību, Ministru Kabineta 2013. gada 27. decembra rīkojumā Nr.683 “Par transporta attīstības pamatnostādnēm 2014.–2020.gadam” ir iekļauts pasākums 1.2.1. TEN-T tīklā esošo autoceļu atjaunošana un attīstība. Šī pasākuma ietvaros ir paredzēta aktivitāte „1.2.1.2. E67/A7 Ķekavas apvedceļa izbūves projekta sagatavošana tā īstenošanas uzsākšanai pēc publiskās un privātās partnerības modeļa un īstenošanas uzsākšana, ja tiks pieņemts attiecīgs Ministru kabineta </w:t>
            </w:r>
            <w:smartTag w:uri="schemas-tilde-lv/tildestengine" w:element="veidnes">
              <w:smartTagPr>
                <w:attr w:name="text" w:val="lēmums"/>
                <w:attr w:name="baseform" w:val="lēmums"/>
                <w:attr w:name="id" w:val="-1"/>
              </w:smartTagPr>
              <w:r w:rsidRPr="00343FB6">
                <w:rPr>
                  <w:sz w:val="24"/>
                  <w:szCs w:val="24"/>
                  <w:lang w:eastAsia="lv-LV"/>
                </w:rPr>
                <w:t>lēmums</w:t>
              </w:r>
            </w:smartTag>
            <w:r w:rsidRPr="00343FB6">
              <w:rPr>
                <w:sz w:val="24"/>
                <w:szCs w:val="24"/>
                <w:lang w:eastAsia="lv-LV"/>
              </w:rPr>
              <w:t xml:space="preserve">.” </w:t>
            </w:r>
          </w:p>
          <w:p w:rsidR="001F622C" w:rsidRPr="00343FB6" w:rsidRDefault="001F622C" w:rsidP="0001700A">
            <w:pPr>
              <w:ind w:firstLine="720"/>
              <w:jc w:val="both"/>
              <w:rPr>
                <w:sz w:val="24"/>
                <w:szCs w:val="24"/>
                <w:lang w:eastAsia="lv-LV"/>
              </w:rPr>
            </w:pPr>
            <w:r w:rsidRPr="00343FB6">
              <w:rPr>
                <w:sz w:val="24"/>
                <w:szCs w:val="24"/>
                <w:lang w:eastAsia="lv-LV"/>
              </w:rPr>
              <w:t xml:space="preserve">Lai nodrošinātu sabiedrībai augstākas kvalitātes pakalpojumu ilgtermiņā par līdzīgu vai zemāku samaksu salīdzinājumā ar tradicionālo iepirkumu, Satiksmes ministrijā ir pieņemts </w:t>
            </w:r>
            <w:smartTag w:uri="schemas-tilde-lv/tildestengine" w:element="veidnes">
              <w:smartTagPr>
                <w:attr w:name="text" w:val="lēmums"/>
                <w:attr w:name="baseform" w:val="lēmums"/>
                <w:attr w:name="id" w:val="-1"/>
              </w:smartTagPr>
              <w:r w:rsidRPr="00343FB6">
                <w:rPr>
                  <w:sz w:val="24"/>
                  <w:szCs w:val="24"/>
                  <w:lang w:eastAsia="lv-LV"/>
                </w:rPr>
                <w:t>lēmums</w:t>
              </w:r>
            </w:smartTag>
            <w:r w:rsidRPr="00343FB6">
              <w:rPr>
                <w:sz w:val="24"/>
                <w:szCs w:val="24"/>
                <w:lang w:eastAsia="lv-LV"/>
              </w:rPr>
              <w:t xml:space="preserve"> Ķekavas apvedceļa būvniecībā piemērot publiskās un privātās partnerības modeli, investīciju periodā piesaistot valsts budžetam alternatīvu finansējumu. </w:t>
            </w:r>
          </w:p>
          <w:p w:rsidR="001F622C" w:rsidRPr="00343FB6" w:rsidRDefault="001F622C" w:rsidP="00E55891">
            <w:pPr>
              <w:ind w:firstLine="720"/>
              <w:jc w:val="both"/>
              <w:rPr>
                <w:sz w:val="24"/>
                <w:szCs w:val="24"/>
                <w:lang w:eastAsia="lv-LV"/>
              </w:rPr>
            </w:pPr>
          </w:p>
          <w:p w:rsidR="001F622C" w:rsidRPr="00343FB6" w:rsidRDefault="001F622C" w:rsidP="00885F0A">
            <w:pPr>
              <w:ind w:firstLine="720"/>
              <w:jc w:val="both"/>
              <w:rPr>
                <w:sz w:val="24"/>
                <w:szCs w:val="24"/>
                <w:lang w:eastAsia="lv-LV"/>
              </w:rPr>
            </w:pPr>
            <w:r w:rsidRPr="00343FB6">
              <w:rPr>
                <w:sz w:val="24"/>
                <w:szCs w:val="24"/>
                <w:lang w:eastAsia="lv-LV"/>
              </w:rPr>
              <w:t xml:space="preserve">Satiksmes ministrija kā atbildīgā institūcija uzskata, ka </w:t>
            </w:r>
            <w:smartTag w:uri="schemas-tilde-lv/tildestengine" w:element="veidnes">
              <w:smartTagPr>
                <w:attr w:name="text" w:val="lēmums"/>
                <w:attr w:name="baseform" w:val="lēmums"/>
                <w:attr w:name="id" w:val="-1"/>
              </w:smartTagPr>
              <w:r w:rsidRPr="00343FB6">
                <w:rPr>
                  <w:sz w:val="24"/>
                  <w:szCs w:val="24"/>
                  <w:lang w:eastAsia="lv-LV"/>
                </w:rPr>
                <w:t>lēmums</w:t>
              </w:r>
            </w:smartTag>
            <w:r w:rsidRPr="00343FB6">
              <w:rPr>
                <w:sz w:val="24"/>
                <w:szCs w:val="24"/>
                <w:lang w:eastAsia="lv-LV"/>
              </w:rPr>
              <w:t xml:space="preserve"> par publiskās un privātās partnerības modeļa izmantošanu ir pamatots un atbilst NAP 2020 [444] nosauktajiem ieviešanas instrumentiem, ka paredzēto uzdevumu īstenošanai var tikt izmantots publiskās un privātās partnerības modelis, nodrošinot šādā veidā finansētu projektu pilnīgu caurspīdīgumu un atskaitīšanos par visu ieguldījumu atbilstību valsts </w:t>
            </w:r>
            <w:r w:rsidRPr="00343FB6">
              <w:rPr>
                <w:sz w:val="24"/>
                <w:szCs w:val="24"/>
                <w:lang w:eastAsia="lv-LV"/>
              </w:rPr>
              <w:lastRenderedPageBreak/>
              <w:t>interesēm, kā arī kopumā ievērojot valsts ilgtermiņa saistības. Attiecībā par izvēlētā finansēšanas modeļa iekļaušanos Satiksmes ministrijas plānotajā budžetā, paskaidrojam, ka Transporta attīstības pamatnostādnēs 2014.-2020.gadam Ķekavas apvedceļa projekta realizācijai ir norādīts, ka nepieciešams finansējums no valsts pamatbudžeta būvniecībai nepieciešamo zemju iegādei.</w:t>
            </w:r>
          </w:p>
          <w:p w:rsidR="001F622C" w:rsidRPr="00343FB6" w:rsidRDefault="001F622C" w:rsidP="00885F0A">
            <w:pPr>
              <w:ind w:firstLine="720"/>
              <w:jc w:val="both"/>
              <w:rPr>
                <w:sz w:val="24"/>
                <w:szCs w:val="24"/>
                <w:lang w:eastAsia="lv-LV"/>
              </w:rPr>
            </w:pPr>
            <w:r w:rsidRPr="00343FB6">
              <w:rPr>
                <w:sz w:val="24"/>
                <w:szCs w:val="24"/>
                <w:lang w:eastAsia="lv-LV"/>
              </w:rPr>
              <w:t xml:space="preserve">2012.gada 16.augustā Ministru kabinetā (protokola nr.46, 20.§ 1.punkts) tika pieņemts zināšanai Satiksmes ministrijas informatīvais </w:t>
            </w:r>
            <w:smartTag w:uri="schemas-tilde-lv/tildestengine" w:element="veidnes">
              <w:smartTagPr>
                <w:attr w:name="text" w:val="ziņojums"/>
                <w:attr w:name="baseform" w:val="ziņojums"/>
                <w:attr w:name="id" w:val="-1"/>
              </w:smartTagPr>
              <w:r w:rsidRPr="00343FB6">
                <w:rPr>
                  <w:sz w:val="24"/>
                  <w:szCs w:val="24"/>
                  <w:lang w:eastAsia="lv-LV"/>
                </w:rPr>
                <w:t>ziņojums</w:t>
              </w:r>
            </w:smartTag>
            <w:r w:rsidRPr="00343FB6">
              <w:rPr>
                <w:sz w:val="24"/>
                <w:szCs w:val="24"/>
                <w:lang w:eastAsia="lv-LV"/>
              </w:rPr>
              <w:t xml:space="preserve"> „Autoceļu finansēšanas modelis”, kurā tika aprakstīta pašreizējā situācija un problēmas ar valsts autoceļu tīkla finansēšanu, tai skaitā sniegta informācija par minimālo normatīvi nepieciešamo finansējumu valsts autoceļu tīkla uzturēšanai un saglabāšanai aptuveni 427 milj. </w:t>
            </w:r>
            <w:proofErr w:type="spellStart"/>
            <w:r w:rsidRPr="00392576">
              <w:rPr>
                <w:i/>
                <w:sz w:val="24"/>
                <w:szCs w:val="24"/>
                <w:lang w:eastAsia="lv-LV"/>
              </w:rPr>
              <w:t>euro</w:t>
            </w:r>
            <w:proofErr w:type="spellEnd"/>
            <w:r w:rsidRPr="00343FB6">
              <w:rPr>
                <w:sz w:val="24"/>
                <w:szCs w:val="24"/>
                <w:lang w:eastAsia="lv-LV"/>
              </w:rPr>
              <w:t xml:space="preserve"> apmērā, norādot pašreizējo piešķirto finansējumu aptuveni 1/3 apmērā no normatīvi nepieciešamā. Informatīvajā ziņojumā kā viens no priekšlikumiem valsts autoceļu tīkla finansējuma palielinājumam bija Satiksmes ministrijas piedāvājums piesaistīt publiskās un privātās partnerības finansēšanas modeli valsts autoceļu tīkla papildus finansēšanai.</w:t>
            </w:r>
          </w:p>
          <w:p w:rsidR="001F622C" w:rsidRPr="00343FB6" w:rsidRDefault="001F622C" w:rsidP="00885F0A">
            <w:pPr>
              <w:ind w:firstLine="720"/>
              <w:jc w:val="both"/>
              <w:rPr>
                <w:sz w:val="24"/>
                <w:szCs w:val="24"/>
                <w:lang w:eastAsia="lv-LV"/>
              </w:rPr>
            </w:pPr>
            <w:r w:rsidRPr="00343FB6">
              <w:rPr>
                <w:sz w:val="24"/>
                <w:szCs w:val="24"/>
                <w:lang w:eastAsia="lv-LV"/>
              </w:rPr>
              <w:t xml:space="preserve">Ministru kabineta rīkojuma projekts „Par valsts galvenā autoceļa projekta „E67/A7 Ķekavas apvedceļš” publiskās un privātās partnerības iepirkuma procedūras uzsākšanu”” (turpmāk – Rīkojuma projekts) paredz uzsākt publiskās un privātās partnerības iepirkuma procedūras veikšanu valsts galvenā autoceļa projektam „E67/A7 Ķekavas apvedceļš”, tā īstenošanai izvēloties partnerības iepirkuma procedūru. </w:t>
            </w:r>
          </w:p>
          <w:p w:rsidR="001F622C" w:rsidRPr="00343FB6" w:rsidRDefault="001F622C" w:rsidP="00885F0A">
            <w:pPr>
              <w:ind w:firstLine="720"/>
              <w:jc w:val="both"/>
              <w:rPr>
                <w:sz w:val="24"/>
                <w:szCs w:val="24"/>
                <w:lang w:eastAsia="lv-LV"/>
              </w:rPr>
            </w:pPr>
            <w:r w:rsidRPr="00343FB6">
              <w:rPr>
                <w:sz w:val="24"/>
                <w:szCs w:val="24"/>
                <w:lang w:eastAsia="lv-LV"/>
              </w:rPr>
              <w:t>Pēc Rīkojuma projekta pieņemšanas Satiksmes ministrija atbilstoši Ministru kabineta 2012.gada 11.d</w:t>
            </w:r>
            <w:r>
              <w:rPr>
                <w:sz w:val="24"/>
                <w:szCs w:val="24"/>
                <w:lang w:eastAsia="lv-LV"/>
              </w:rPr>
              <w:t>ecembra noteikumos N</w:t>
            </w:r>
            <w:r w:rsidRPr="00343FB6">
              <w:rPr>
                <w:sz w:val="24"/>
                <w:szCs w:val="24"/>
                <w:lang w:eastAsia="lv-LV"/>
              </w:rPr>
              <w:t>r.867 „Kārtība, kādā nosakāms maksimāli pieļaujamais valsts budžeta izdevumu kopapjoms un maksimāli pieļaujamais valsts budžeta izdevumu kopējais apjoms katrai ministrijai un citām centrālajām valsts iestādēm vidējam termiņam” noteiktajam iesniegs jauno politikas iniciatīvu, kurā tiks pieprasīts finansējums no valsts pamatbudžeta attīstības izdevumiem E67/A7 Ķekavas apvedceļa izbūves projekta finansējuma nodrošinājumam.</w:t>
            </w:r>
          </w:p>
          <w:p w:rsidR="001F622C" w:rsidRPr="00343FB6" w:rsidRDefault="001F622C" w:rsidP="001242AD">
            <w:pPr>
              <w:ind w:firstLine="720"/>
              <w:jc w:val="both"/>
              <w:rPr>
                <w:sz w:val="24"/>
                <w:szCs w:val="24"/>
                <w:lang w:eastAsia="lv-LV"/>
              </w:rPr>
            </w:pPr>
            <w:r w:rsidRPr="00343FB6">
              <w:rPr>
                <w:sz w:val="24"/>
                <w:szCs w:val="24"/>
                <w:lang w:eastAsia="lv-LV"/>
              </w:rPr>
              <w:t>Sākotnēji jautājums ir skatīts un konceptuāli atbalstīts Ministru kabineta 2014. gada 7. oktobra sēdē (</w:t>
            </w:r>
            <w:smartTag w:uri="schemas-tilde-lv/tildestengine" w:element="veidnes">
              <w:smartTagPr>
                <w:attr w:name="text" w:val="protokols"/>
                <w:attr w:name="baseform" w:val="protokols"/>
                <w:attr w:name="id" w:val="-1"/>
              </w:smartTagPr>
              <w:r w:rsidRPr="00343FB6">
                <w:rPr>
                  <w:sz w:val="24"/>
                  <w:szCs w:val="24"/>
                  <w:lang w:eastAsia="lv-LV"/>
                </w:rPr>
                <w:t>protokols</w:t>
              </w:r>
            </w:smartTag>
            <w:r w:rsidRPr="00343FB6">
              <w:rPr>
                <w:sz w:val="24"/>
                <w:szCs w:val="24"/>
                <w:lang w:eastAsia="lv-LV"/>
              </w:rPr>
              <w:t xml:space="preserve"> Nr.53, 35.§). Atkārtoti skatot jautājumu Ministru kabineta 2014. gada 9. decembra (</w:t>
            </w:r>
            <w:smartTag w:uri="schemas-tilde-lv/tildestengine" w:element="veidnes">
              <w:smartTagPr>
                <w:attr w:name="text" w:val="protokols"/>
                <w:attr w:name="baseform" w:val="protokols"/>
                <w:attr w:name="id" w:val="-1"/>
              </w:smartTagPr>
              <w:r w:rsidRPr="00343FB6">
                <w:rPr>
                  <w:sz w:val="24"/>
                  <w:szCs w:val="24"/>
                  <w:lang w:eastAsia="lv-LV"/>
                </w:rPr>
                <w:t>protokols</w:t>
              </w:r>
            </w:smartTag>
            <w:r w:rsidRPr="00343FB6">
              <w:rPr>
                <w:sz w:val="24"/>
                <w:szCs w:val="24"/>
                <w:lang w:eastAsia="lv-LV"/>
              </w:rPr>
              <w:t xml:space="preserve"> Nr.69, 63.§) sēdē pieņemts </w:t>
            </w:r>
            <w:smartTag w:uri="schemas-tilde-lv/tildestengine" w:element="veidnes">
              <w:smartTagPr>
                <w:attr w:name="text" w:val="lēmums"/>
                <w:attr w:name="baseform" w:val="lēmums"/>
                <w:attr w:name="id" w:val="-1"/>
              </w:smartTagPr>
              <w:r w:rsidRPr="00343FB6">
                <w:rPr>
                  <w:sz w:val="24"/>
                  <w:szCs w:val="24"/>
                  <w:lang w:eastAsia="lv-LV"/>
                </w:rPr>
                <w:t>lēmums</w:t>
              </w:r>
            </w:smartTag>
            <w:r w:rsidRPr="00343FB6">
              <w:rPr>
                <w:sz w:val="24"/>
                <w:szCs w:val="24"/>
                <w:lang w:eastAsia="lv-LV"/>
              </w:rPr>
              <w:t xml:space="preserve"> Satiksmes ministrijai priekšlikumu par rīkojuma projekta turpmāko virzību iesniegt Valsts kancelejā pēc tam, kad Eiropas Komisijā būs pieņemts </w:t>
            </w:r>
            <w:smartTag w:uri="schemas-tilde-lv/tildestengine" w:element="veidnes">
              <w:smartTagPr>
                <w:attr w:name="text" w:val="lēmums"/>
                <w:attr w:name="baseform" w:val="lēmums"/>
                <w:attr w:name="id" w:val="-1"/>
              </w:smartTagPr>
              <w:r w:rsidRPr="00343FB6">
                <w:rPr>
                  <w:sz w:val="24"/>
                  <w:szCs w:val="24"/>
                  <w:lang w:eastAsia="lv-LV"/>
                </w:rPr>
                <w:t>lēmums</w:t>
              </w:r>
            </w:smartTag>
            <w:r w:rsidRPr="00343FB6">
              <w:rPr>
                <w:sz w:val="24"/>
                <w:szCs w:val="24"/>
                <w:lang w:eastAsia="lv-LV"/>
              </w:rPr>
              <w:t xml:space="preserve"> par Eiropas Komisijas prezidenta </w:t>
            </w:r>
            <w:proofErr w:type="spellStart"/>
            <w:r w:rsidRPr="00343FB6">
              <w:rPr>
                <w:sz w:val="24"/>
                <w:szCs w:val="24"/>
                <w:lang w:eastAsia="lv-LV"/>
              </w:rPr>
              <w:t>Ž.K.Junkera</w:t>
            </w:r>
            <w:proofErr w:type="spellEnd"/>
            <w:r w:rsidRPr="00343FB6">
              <w:rPr>
                <w:sz w:val="24"/>
                <w:szCs w:val="24"/>
                <w:lang w:eastAsia="lv-LV"/>
              </w:rPr>
              <w:t xml:space="preserve"> izvirzīto iniciatīvu piecu gadu laikā veicināt Eiropas Savienības ekonomikas izaugsmi.</w:t>
            </w:r>
          </w:p>
          <w:p w:rsidR="001F622C" w:rsidRPr="00343FB6" w:rsidRDefault="001F622C" w:rsidP="001242AD">
            <w:pPr>
              <w:ind w:firstLine="720"/>
              <w:jc w:val="both"/>
              <w:rPr>
                <w:sz w:val="24"/>
                <w:szCs w:val="24"/>
                <w:lang w:eastAsia="lv-LV"/>
              </w:rPr>
            </w:pPr>
            <w:r w:rsidRPr="00343FB6">
              <w:rPr>
                <w:sz w:val="24"/>
                <w:szCs w:val="24"/>
                <w:lang w:eastAsia="lv-LV"/>
              </w:rPr>
              <w:t>2015. gada 25. jūnijā pieņemta Eiropas Parlamenta un Padomes Regula (ES) 2015/1017 par Eiropas Stratēģisko investīciju fondu, Eiropas Investīciju konsultāciju centru un Eiropas Investīciju projektu portālu, ar ko groza Regulas (ES) Nr. 1291/2013 un (ES) Nr. 1316/2013.</w:t>
            </w:r>
          </w:p>
          <w:p w:rsidR="001F622C" w:rsidRPr="00343FB6" w:rsidRDefault="001F622C" w:rsidP="00B31A36">
            <w:pPr>
              <w:ind w:firstLine="720"/>
              <w:jc w:val="both"/>
              <w:rPr>
                <w:sz w:val="24"/>
                <w:szCs w:val="24"/>
                <w:lang w:eastAsia="lv-LV"/>
              </w:rPr>
            </w:pPr>
            <w:r w:rsidRPr="00343FB6">
              <w:rPr>
                <w:sz w:val="24"/>
                <w:szCs w:val="24"/>
                <w:lang w:eastAsia="lv-LV"/>
              </w:rPr>
              <w:t xml:space="preserve">Lai nodrošinātu projektam iespējamu atbalstu no Eiropas Stratēģisko investīciju fonda, saskaņā ar Finanšu ministrijas un </w:t>
            </w:r>
            <w:r w:rsidRPr="00343FB6">
              <w:rPr>
                <w:sz w:val="24"/>
                <w:szCs w:val="24"/>
              </w:rPr>
              <w:t>Centrālās finanšu un līgumu aģentūras (turpmāk – CFLA)</w:t>
            </w:r>
            <w:r w:rsidRPr="00343FB6">
              <w:rPr>
                <w:sz w:val="24"/>
                <w:szCs w:val="24"/>
                <w:lang w:eastAsia="lv-LV"/>
              </w:rPr>
              <w:t xml:space="preserve"> nosacījumiem ir papildināts un aktualizēts FEA, kas ir ticis iztulkots un nosūtīts Eiropas Investīciju bankai (turpmāk - EIB) ar mērķi pieteikties atbalsta saņemšanai. 2015. gada 28. oktobrī pēc EIB uzaicinājuma valsts akciju </w:t>
            </w:r>
            <w:r w:rsidRPr="00343FB6">
              <w:rPr>
                <w:sz w:val="24"/>
                <w:szCs w:val="24"/>
                <w:lang w:eastAsia="lv-LV"/>
              </w:rPr>
              <w:lastRenderedPageBreak/>
              <w:t>sabiedrības „Latvijas Valsts ceļi” (turpmāk – LVC) pārstāvji devās uz EIB centrālo biroju Luksemburgā, kur darba tikšanās ietvaros prezentēja Projektu un tā gatavības stadiju. Tikšanās laikā EIB apstiprināja, ka ir ieinteresēti šī projekta realizācijā un ka Projekts ir pieteikts, un tiks izskatīts EIB atbalsta (tai skaitā Eiropas stratēģisko investīciju fonda ietvaros) iespējamai piesaistei projekta īstenošanai.</w:t>
            </w:r>
            <w:r>
              <w:rPr>
                <w:sz w:val="24"/>
                <w:szCs w:val="24"/>
                <w:lang w:eastAsia="lv-LV"/>
              </w:rPr>
              <w:t xml:space="preserve"> Saskaņā ar KPMG aprēķiniem v</w:t>
            </w:r>
            <w:r w:rsidRPr="00343FB6">
              <w:rPr>
                <w:sz w:val="24"/>
                <w:szCs w:val="24"/>
                <w:lang w:eastAsia="lv-LV"/>
              </w:rPr>
              <w:t>alsts galvenā autoceļa projekta „E67/A7 Ķekavas apvedceļš”</w:t>
            </w:r>
            <w:r>
              <w:rPr>
                <w:sz w:val="24"/>
                <w:szCs w:val="24"/>
                <w:lang w:eastAsia="lv-LV"/>
              </w:rPr>
              <w:t xml:space="preserve"> </w:t>
            </w:r>
            <w:r w:rsidRPr="00716210">
              <w:rPr>
                <w:sz w:val="24"/>
                <w:szCs w:val="24"/>
                <w:lang w:eastAsia="lv-LV"/>
              </w:rPr>
              <w:t>gadījumā katrs aizdevuma likmes samazinājums par vienu procentu valstij radītu nominālās paredzētās līgumcenas samazinājumu jeb ietaupījumu 4,57 miljonu</w:t>
            </w:r>
            <w:r>
              <w:rPr>
                <w:sz w:val="24"/>
                <w:szCs w:val="24"/>
                <w:lang w:eastAsia="lv-LV"/>
              </w:rPr>
              <w:t xml:space="preserve"> </w:t>
            </w:r>
            <w:proofErr w:type="spellStart"/>
            <w:r w:rsidRPr="00943F43">
              <w:rPr>
                <w:i/>
                <w:sz w:val="24"/>
                <w:szCs w:val="24"/>
                <w:lang w:eastAsia="lv-LV"/>
              </w:rPr>
              <w:t>euro</w:t>
            </w:r>
            <w:proofErr w:type="spellEnd"/>
            <w:r w:rsidRPr="00716210">
              <w:rPr>
                <w:sz w:val="24"/>
                <w:szCs w:val="24"/>
                <w:lang w:eastAsia="lv-LV"/>
              </w:rPr>
              <w:t xml:space="preserve"> apmērā. </w:t>
            </w:r>
          </w:p>
          <w:p w:rsidR="001F622C" w:rsidRPr="00343FB6" w:rsidRDefault="001F622C" w:rsidP="001242AD">
            <w:pPr>
              <w:ind w:firstLine="720"/>
              <w:jc w:val="both"/>
              <w:rPr>
                <w:sz w:val="24"/>
                <w:szCs w:val="24"/>
                <w:lang w:eastAsia="lv-LV"/>
              </w:rPr>
            </w:pPr>
            <w:r w:rsidRPr="00343FB6">
              <w:rPr>
                <w:sz w:val="24"/>
                <w:szCs w:val="24"/>
                <w:lang w:eastAsia="lv-LV"/>
              </w:rPr>
              <w:t xml:space="preserve">Pēc papildus informācijas saņemšanas un analīzes 2015. gada 15. decembrī EIB ir informējusi, ka projekts ir detalizēti izvērtēts un tas ir atbilstošs noteiktajiem kritērijiem, lai uzsāktu sarunas par EIB līdzdalību projekta finansēšanā (anotācijas pielikums Nr.4, SAMAnot_p4_180116_EIB_PPP).  EIB ir izteikusi gatavību finansēt 50% no projekta izmaksām aizdevuma veidā. </w:t>
            </w:r>
          </w:p>
          <w:p w:rsidR="001F622C" w:rsidRPr="00343FB6" w:rsidRDefault="001F622C" w:rsidP="00516F0E">
            <w:pPr>
              <w:ind w:firstLine="720"/>
              <w:jc w:val="both"/>
              <w:rPr>
                <w:sz w:val="24"/>
                <w:szCs w:val="24"/>
                <w:lang w:eastAsia="lv-LV"/>
              </w:rPr>
            </w:pPr>
            <w:r w:rsidRPr="00343FB6">
              <w:rPr>
                <w:sz w:val="24"/>
                <w:szCs w:val="24"/>
                <w:lang w:eastAsia="lv-LV"/>
              </w:rPr>
              <w:t xml:space="preserve">Iesniegtie finanšu un ekonomiskie aprēķini (turpmāk - FEA) (anotācijas pielikums Nr.1, SAMAnot_p1_180116_FEA_Kekava_PPP) ir iepriekš sabiedrības ar ierobežotu atbildību “KPMG </w:t>
            </w:r>
            <w:proofErr w:type="spellStart"/>
            <w:r w:rsidRPr="00343FB6">
              <w:rPr>
                <w:sz w:val="24"/>
                <w:szCs w:val="24"/>
                <w:lang w:eastAsia="lv-LV"/>
              </w:rPr>
              <w:t>Baltics</w:t>
            </w:r>
            <w:proofErr w:type="spellEnd"/>
            <w:r w:rsidRPr="00343FB6">
              <w:rPr>
                <w:sz w:val="24"/>
                <w:szCs w:val="24"/>
                <w:lang w:eastAsia="lv-LV"/>
              </w:rPr>
              <w:t xml:space="preserve"> SIA” (turpmāk – KPMG) izstrādātās FEA redakcijas aktualizācija. Par sākotnējo KPMG FEA tika saņemts CFLA 2014. gada 7. februāra  atzinums Nr. 39-2-3/758, kā arī Finanšu ministrijas 2014. gada 27. marta atzinums Nr. 7-2-01/1814. </w:t>
            </w:r>
          </w:p>
          <w:p w:rsidR="001F622C" w:rsidRPr="00343FB6" w:rsidRDefault="001F622C" w:rsidP="00516F0E">
            <w:pPr>
              <w:ind w:firstLine="720"/>
              <w:jc w:val="both"/>
              <w:rPr>
                <w:sz w:val="24"/>
                <w:szCs w:val="24"/>
                <w:lang w:eastAsia="lv-LV"/>
              </w:rPr>
            </w:pPr>
            <w:r w:rsidRPr="00343FB6">
              <w:rPr>
                <w:sz w:val="24"/>
                <w:szCs w:val="24"/>
                <w:lang w:eastAsia="lv-LV"/>
              </w:rPr>
              <w:t>FEA aktualizācija tika veikta, jo partnerības iepirkuma līguma ietvaros noteiktā projekta īstenošana tika uzsākta vēlāk kā vienu gadu pēc FEA noteiktā uzsākšanas termiņa. Veikto un aktualizēto aprēķinu pamatā tika izmantotas makroekonomiskās prognozes un to skaitliskās vērtības saskaņā ar FM vadlīnijām publiskās un privātās partnerības  projektiem (diskonta likme tika samazināta no 5% uz 4%, tika atjaunota vidējā bruto alga, aizdevuma likme), tika aktualizētas būvniecības izmaksas, tika aktualizēti projekta būvniecības un ekspluatācijas laiki, pārrēķināti sociālekonomiskie ieguvumi, kā arī tika pārskatīti projektam saistošie un aktuālie riski. Sekojoši tika pārrēķināta projekta neto pašreizējā vērtība un paredzētā līgumcena.</w:t>
            </w:r>
          </w:p>
          <w:p w:rsidR="001F622C" w:rsidRPr="00343FB6" w:rsidRDefault="001F622C" w:rsidP="00516F0E">
            <w:pPr>
              <w:ind w:firstLine="720"/>
              <w:jc w:val="both"/>
              <w:rPr>
                <w:sz w:val="24"/>
                <w:szCs w:val="24"/>
                <w:lang w:eastAsia="lv-LV"/>
              </w:rPr>
            </w:pPr>
            <w:r w:rsidRPr="00343FB6">
              <w:rPr>
                <w:sz w:val="24"/>
                <w:szCs w:val="24"/>
                <w:lang w:eastAsia="lv-LV"/>
              </w:rPr>
              <w:t>Ieguldījumam atbilstošā vērtība aprēķināta saskaņā ar KPMG 2009. gadā izstrādāto metodoloģiju "Publiskās un privātās partnerības finanšu un ekonomisko aprēķinu izstrādes vadlīnijas" (http://www.fm.gov.lv/lv/sadalas/ppp/biblioteka/informativie_materiali/)</w:t>
            </w:r>
            <w:r>
              <w:rPr>
                <w:sz w:val="24"/>
                <w:szCs w:val="24"/>
                <w:lang w:eastAsia="lv-LV"/>
              </w:rPr>
              <w:t>.</w:t>
            </w:r>
            <w:r w:rsidRPr="00343FB6">
              <w:rPr>
                <w:sz w:val="24"/>
                <w:szCs w:val="24"/>
                <w:lang w:eastAsia="lv-LV"/>
              </w:rPr>
              <w:t xml:space="preserve"> </w:t>
            </w:r>
          </w:p>
          <w:p w:rsidR="001F622C" w:rsidRPr="00343FB6" w:rsidRDefault="001F622C" w:rsidP="00EF04AA">
            <w:pPr>
              <w:ind w:firstLine="720"/>
              <w:jc w:val="both"/>
              <w:rPr>
                <w:sz w:val="24"/>
                <w:szCs w:val="24"/>
                <w:lang w:eastAsia="lv-LV"/>
              </w:rPr>
            </w:pPr>
            <w:r w:rsidRPr="00343FB6">
              <w:rPr>
                <w:sz w:val="24"/>
                <w:szCs w:val="24"/>
                <w:lang w:eastAsia="lv-LV"/>
              </w:rPr>
              <w:t>Atbilstoši Publiskās un privātās partnerības likumam izstrādātajam projekta finanšu un ekonomiskajam aprēķinam ir saņemti atzinumi no Finanšu ministrijas 201</w:t>
            </w:r>
            <w:r>
              <w:rPr>
                <w:sz w:val="24"/>
                <w:szCs w:val="24"/>
                <w:lang w:eastAsia="lv-LV"/>
              </w:rPr>
              <w:t>6</w:t>
            </w:r>
            <w:r w:rsidRPr="00343FB6">
              <w:rPr>
                <w:sz w:val="24"/>
                <w:szCs w:val="24"/>
                <w:lang w:eastAsia="lv-LV"/>
              </w:rPr>
              <w:t xml:space="preserve">. gada </w:t>
            </w:r>
            <w:r>
              <w:rPr>
                <w:sz w:val="24"/>
                <w:szCs w:val="24"/>
                <w:lang w:eastAsia="lv-LV"/>
              </w:rPr>
              <w:t>5</w:t>
            </w:r>
            <w:r w:rsidRPr="00343FB6">
              <w:rPr>
                <w:sz w:val="24"/>
                <w:szCs w:val="24"/>
                <w:lang w:eastAsia="lv-LV"/>
              </w:rPr>
              <w:t xml:space="preserve">. februāra atzinums Nr. </w:t>
            </w:r>
            <w:r>
              <w:rPr>
                <w:sz w:val="24"/>
                <w:szCs w:val="24"/>
                <w:lang w:eastAsia="lv-LV"/>
              </w:rPr>
              <w:t>7-2-01/709</w:t>
            </w:r>
            <w:r w:rsidRPr="00343FB6">
              <w:rPr>
                <w:sz w:val="24"/>
                <w:szCs w:val="24"/>
                <w:lang w:eastAsia="lv-LV"/>
              </w:rPr>
              <w:t xml:space="preserve"> (anotācijas pielikums Nr.3, SAMAnot_p3_080216_FM_PPP) un uzraudzības institūcijas </w:t>
            </w:r>
            <w:r w:rsidRPr="00343FB6">
              <w:rPr>
                <w:sz w:val="24"/>
                <w:szCs w:val="24"/>
                <w:lang w:eastAsia="lv-LV"/>
              </w:rPr>
              <w:noBreakHyphen/>
              <w:t xml:space="preserve"> </w:t>
            </w:r>
            <w:r w:rsidRPr="00343FB6">
              <w:rPr>
                <w:sz w:val="24"/>
                <w:szCs w:val="24"/>
              </w:rPr>
              <w:t xml:space="preserve">Centrālās finanšu un līgumu aģentūras </w:t>
            </w:r>
            <w:r w:rsidRPr="00343FB6">
              <w:rPr>
                <w:sz w:val="24"/>
                <w:szCs w:val="24"/>
                <w:lang w:eastAsia="lv-LV"/>
              </w:rPr>
              <w:t>2016. gada 19. janvāra atzinums Nr. 39-2-3/253 (anotācijas pielikums Nr.</w:t>
            </w:r>
            <w:r>
              <w:rPr>
                <w:sz w:val="24"/>
                <w:szCs w:val="24"/>
                <w:lang w:eastAsia="lv-LV"/>
              </w:rPr>
              <w:t>2</w:t>
            </w:r>
            <w:r w:rsidRPr="00343FB6">
              <w:rPr>
                <w:sz w:val="24"/>
                <w:szCs w:val="24"/>
                <w:lang w:eastAsia="lv-LV"/>
              </w:rPr>
              <w:t>, SAMAnot_p2_180116_CFLA_PPP).</w:t>
            </w:r>
          </w:p>
          <w:p w:rsidR="001F622C" w:rsidRPr="00343FB6" w:rsidRDefault="001F622C" w:rsidP="00CD5A27">
            <w:pPr>
              <w:ind w:firstLine="689"/>
              <w:jc w:val="both"/>
              <w:rPr>
                <w:color w:val="000000"/>
                <w:sz w:val="24"/>
                <w:szCs w:val="24"/>
              </w:rPr>
            </w:pPr>
            <w:r w:rsidRPr="00343FB6">
              <w:rPr>
                <w:sz w:val="24"/>
                <w:szCs w:val="24"/>
                <w:lang w:eastAsia="lv-LV"/>
              </w:rPr>
              <w:t>Lai sasniegtu augstu projekta gatavības pakāpi, 2015.gada decembrī ir uzsākta atkārtota ietekmes uz vidi novērtējuma procedūra, ko paredzēts pabeigt 2016.gadā.</w:t>
            </w:r>
          </w:p>
        </w:tc>
      </w:tr>
      <w:tr w:rsidR="001F622C" w:rsidRPr="00343FB6" w:rsidTr="009C743E">
        <w:trPr>
          <w:trHeight w:val="465"/>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spacing w:before="100" w:beforeAutospacing="1" w:after="100" w:afterAutospacing="1" w:line="285" w:lineRule="atLeast"/>
              <w:jc w:val="center"/>
              <w:rPr>
                <w:color w:val="000000"/>
                <w:sz w:val="24"/>
                <w:szCs w:val="24"/>
                <w:lang w:eastAsia="lv-LV"/>
              </w:rPr>
            </w:pPr>
            <w:r w:rsidRPr="00343FB6">
              <w:rPr>
                <w:color w:val="000000"/>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507CB3">
            <w:pPr>
              <w:jc w:val="both"/>
              <w:rPr>
                <w:color w:val="000000"/>
                <w:sz w:val="24"/>
                <w:szCs w:val="24"/>
                <w:lang w:eastAsia="lv-LV"/>
              </w:rPr>
            </w:pPr>
            <w:r w:rsidRPr="00343FB6">
              <w:rPr>
                <w:color w:val="000000"/>
                <w:sz w:val="24"/>
                <w:szCs w:val="24"/>
                <w:lang w:eastAsia="lv-LV"/>
              </w:rPr>
              <w:t>Satiksmes ministrija, valsts akciju sabiedrība „Latvijas Valsts ceļi”, konsultants „KPMG”.</w:t>
            </w:r>
          </w:p>
        </w:tc>
      </w:tr>
      <w:tr w:rsidR="001F622C" w:rsidRPr="00343FB6" w:rsidTr="009C743E">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spacing w:before="100" w:beforeAutospacing="1" w:after="100" w:afterAutospacing="1" w:line="285" w:lineRule="atLeast"/>
              <w:jc w:val="center"/>
              <w:rPr>
                <w:color w:val="000000"/>
                <w:sz w:val="24"/>
                <w:szCs w:val="24"/>
                <w:lang w:eastAsia="lv-LV"/>
              </w:rPr>
            </w:pPr>
            <w:r w:rsidRPr="00343FB6">
              <w:rPr>
                <w:color w:val="000000"/>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370344">
            <w:pPr>
              <w:pStyle w:val="Default"/>
              <w:jc w:val="both"/>
              <w:rPr>
                <w:color w:val="auto"/>
              </w:rPr>
            </w:pPr>
            <w:r w:rsidRPr="00343FB6">
              <w:rPr>
                <w:color w:val="auto"/>
              </w:rPr>
              <w:t xml:space="preserve">Līdz partnerības iepirkuma līguma noslēgšanai publiskais partneris veic būvniecībai nepieciešamo zemju iegādi un tā tiks nodota privātajam partnerim lietojumā kā publiskā partnera resursi partnerības iepirkuma līguma darbības laikā. </w:t>
            </w:r>
          </w:p>
        </w:tc>
      </w:tr>
    </w:tbl>
    <w:p w:rsidR="001F622C" w:rsidRPr="00343FB6" w:rsidRDefault="001F622C" w:rsidP="00B56C3E">
      <w:pPr>
        <w:rPr>
          <w:vanish/>
          <w:color w:val="000000"/>
          <w:szCs w:val="28"/>
          <w:lang w:eastAsia="lv-LV"/>
        </w:rPr>
      </w:pPr>
    </w:p>
    <w:p w:rsidR="001F622C" w:rsidRPr="00343FB6" w:rsidRDefault="001F622C"/>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1F622C" w:rsidRPr="00343FB6" w:rsidTr="003D4334">
        <w:trPr>
          <w:trHeight w:val="555"/>
        </w:trPr>
        <w:tc>
          <w:tcPr>
            <w:tcW w:w="0" w:type="auto"/>
            <w:gridSpan w:val="3"/>
            <w:tcBorders>
              <w:top w:val="outset" w:sz="6" w:space="0" w:color="414142"/>
              <w:bottom w:val="outset" w:sz="6" w:space="0" w:color="414142"/>
            </w:tcBorders>
            <w:shd w:val="clear" w:color="auto" w:fill="FFFFFF"/>
            <w:vAlign w:val="center"/>
          </w:tcPr>
          <w:p w:rsidR="001F622C" w:rsidRPr="00343FB6" w:rsidRDefault="001F622C" w:rsidP="00B56C3E">
            <w:pPr>
              <w:spacing w:before="100" w:beforeAutospacing="1" w:after="100" w:afterAutospacing="1" w:line="285" w:lineRule="atLeast"/>
              <w:jc w:val="center"/>
              <w:rPr>
                <w:b/>
                <w:bCs/>
                <w:color w:val="000000"/>
                <w:sz w:val="24"/>
                <w:szCs w:val="24"/>
                <w:lang w:eastAsia="lv-LV"/>
              </w:rPr>
            </w:pPr>
            <w:r w:rsidRPr="00343FB6">
              <w:rPr>
                <w:b/>
                <w:bCs/>
                <w:color w:val="000000"/>
                <w:sz w:val="24"/>
                <w:szCs w:val="24"/>
                <w:lang w:eastAsia="lv-LV"/>
              </w:rPr>
              <w:t>II. Tiesību akta projekta ietekme uz sabiedrību, tautsaimniecības attīstību un administratīvo slogu</w:t>
            </w:r>
          </w:p>
        </w:tc>
      </w:tr>
      <w:tr w:rsidR="001F622C" w:rsidRPr="00343FB6"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 xml:space="preserve">Sabiedrības </w:t>
            </w:r>
            <w:proofErr w:type="spellStart"/>
            <w:r w:rsidRPr="00343FB6">
              <w:rPr>
                <w:color w:val="000000"/>
                <w:sz w:val="24"/>
                <w:szCs w:val="24"/>
                <w:lang w:eastAsia="lv-LV"/>
              </w:rPr>
              <w:t>mērķgrupas</w:t>
            </w:r>
            <w:proofErr w:type="spellEnd"/>
            <w:r w:rsidRPr="00343FB6">
              <w:rPr>
                <w:color w:val="000000"/>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402770">
            <w:pPr>
              <w:jc w:val="both"/>
              <w:rPr>
                <w:sz w:val="24"/>
                <w:szCs w:val="24"/>
                <w:lang w:eastAsia="lv-LV"/>
              </w:rPr>
            </w:pPr>
            <w:r w:rsidRPr="00343FB6">
              <w:rPr>
                <w:sz w:val="24"/>
                <w:szCs w:val="24"/>
                <w:lang w:eastAsia="lv-LV"/>
              </w:rPr>
              <w:t>Autoceļu lietotāji.</w:t>
            </w:r>
          </w:p>
        </w:tc>
      </w:tr>
      <w:tr w:rsidR="001F622C" w:rsidRPr="00343FB6"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367EF4">
            <w:pPr>
              <w:jc w:val="both"/>
              <w:rPr>
                <w:color w:val="000000"/>
              </w:rPr>
            </w:pPr>
            <w:r w:rsidRPr="00343FB6">
              <w:rPr>
                <w:sz w:val="24"/>
                <w:szCs w:val="24"/>
              </w:rPr>
              <w:t>Kvalitatīvs autoceļu tīkls tautsaimniecības nozaru attīstībai.</w:t>
            </w:r>
          </w:p>
        </w:tc>
      </w:tr>
      <w:tr w:rsidR="001F622C" w:rsidRPr="00343FB6" w:rsidTr="003D4334">
        <w:trPr>
          <w:trHeight w:val="510"/>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Projekts šo jomu neskar.</w:t>
            </w:r>
          </w:p>
        </w:tc>
      </w:tr>
      <w:tr w:rsidR="001F622C" w:rsidRPr="00343FB6" w:rsidTr="003D4334">
        <w:trPr>
          <w:trHeight w:val="345"/>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rsidR="001F622C" w:rsidRPr="00343FB6" w:rsidRDefault="001F622C" w:rsidP="00A81E70">
            <w:pPr>
              <w:spacing w:before="100" w:beforeAutospacing="1" w:after="100" w:afterAutospacing="1" w:line="285" w:lineRule="atLeast"/>
              <w:jc w:val="both"/>
              <w:rPr>
                <w:color w:val="000000"/>
                <w:sz w:val="24"/>
                <w:szCs w:val="24"/>
                <w:lang w:eastAsia="lv-LV"/>
              </w:rPr>
            </w:pPr>
            <w:r w:rsidRPr="00343FB6">
              <w:rPr>
                <w:color w:val="000000"/>
                <w:sz w:val="24"/>
                <w:szCs w:val="24"/>
                <w:lang w:eastAsia="lv-LV"/>
              </w:rPr>
              <w:t xml:space="preserve"> Autoceļu lietotājiem autoceļa lietošanas maksa nav paredzēta, kā arī privātajam partnerim papildus pieejamības maksājumiem citi maksājumi no publiskā partnera puses nav paredzēti.</w:t>
            </w:r>
          </w:p>
        </w:tc>
      </w:tr>
    </w:tbl>
    <w:p w:rsidR="001F622C" w:rsidRPr="00343FB6" w:rsidRDefault="001F622C" w:rsidP="00B56C3E">
      <w:pPr>
        <w:rPr>
          <w:color w:val="000000"/>
          <w:szCs w:val="28"/>
          <w:lang w:eastAsia="lv-LV"/>
        </w:rPr>
      </w:pPr>
    </w:p>
    <w:p w:rsidR="001F622C" w:rsidRPr="00343FB6" w:rsidRDefault="001F622C" w:rsidP="00B56C3E">
      <w:pPr>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1589"/>
        <w:gridCol w:w="1468"/>
        <w:gridCol w:w="1784"/>
        <w:gridCol w:w="1477"/>
        <w:gridCol w:w="1363"/>
        <w:gridCol w:w="1450"/>
      </w:tblGrid>
      <w:tr w:rsidR="001F622C" w:rsidRPr="00343FB6" w:rsidTr="0082311D">
        <w:trPr>
          <w:trHeight w:val="360"/>
        </w:trPr>
        <w:tc>
          <w:tcPr>
            <w:tcW w:w="0" w:type="auto"/>
            <w:gridSpan w:val="6"/>
            <w:tcBorders>
              <w:top w:val="outset" w:sz="6" w:space="0" w:color="414142"/>
              <w:bottom w:val="outset" w:sz="6" w:space="0" w:color="414142"/>
            </w:tcBorders>
            <w:shd w:val="clear" w:color="auto" w:fill="FFFFFF"/>
            <w:vAlign w:val="center"/>
          </w:tcPr>
          <w:p w:rsidR="001F622C" w:rsidRPr="00343FB6" w:rsidRDefault="001F622C" w:rsidP="007065B6">
            <w:pPr>
              <w:rPr>
                <w:b/>
                <w:bCs/>
                <w:color w:val="000000"/>
                <w:sz w:val="24"/>
                <w:szCs w:val="24"/>
                <w:lang w:eastAsia="lv-LV"/>
              </w:rPr>
            </w:pPr>
            <w:r w:rsidRPr="00343FB6">
              <w:rPr>
                <w:b/>
                <w:bCs/>
                <w:color w:val="000000"/>
                <w:sz w:val="24"/>
                <w:szCs w:val="24"/>
                <w:lang w:eastAsia="lv-LV"/>
              </w:rPr>
              <w:t>III. Tiesību akta projekta ietekme uz valsts budžetu un pašvaldību budžetiem</w:t>
            </w:r>
          </w:p>
        </w:tc>
      </w:tr>
      <w:tr w:rsidR="001F622C" w:rsidRPr="00343FB6" w:rsidTr="0082311D">
        <w:tc>
          <w:tcPr>
            <w:tcW w:w="1290" w:type="pct"/>
            <w:vMerge w:val="restart"/>
            <w:tcBorders>
              <w:top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b/>
                <w:bCs/>
                <w:color w:val="000000"/>
                <w:sz w:val="24"/>
                <w:szCs w:val="24"/>
                <w:lang w:eastAsia="lv-LV"/>
              </w:rPr>
            </w:pPr>
            <w:r w:rsidRPr="00343FB6">
              <w:rPr>
                <w:b/>
                <w:bCs/>
                <w:color w:val="000000"/>
                <w:sz w:val="24"/>
                <w:szCs w:val="24"/>
                <w:lang w:eastAsia="lv-LV"/>
              </w:rPr>
              <w:t>Rādītāji</w:t>
            </w:r>
          </w:p>
        </w:tc>
        <w:tc>
          <w:tcPr>
            <w:tcW w:w="1598"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b/>
                <w:bCs/>
                <w:color w:val="000000"/>
                <w:sz w:val="24"/>
                <w:szCs w:val="24"/>
                <w:lang w:eastAsia="lv-LV"/>
              </w:rPr>
            </w:pPr>
            <w:r w:rsidRPr="00343FB6">
              <w:rPr>
                <w:b/>
                <w:bCs/>
                <w:color w:val="000000"/>
                <w:sz w:val="24"/>
                <w:szCs w:val="24"/>
                <w:lang w:eastAsia="lv-LV"/>
              </w:rPr>
              <w:t>2016*</w:t>
            </w:r>
          </w:p>
        </w:tc>
        <w:tc>
          <w:tcPr>
            <w:tcW w:w="2112" w:type="pct"/>
            <w:gridSpan w:val="3"/>
            <w:tcBorders>
              <w:top w:val="outset" w:sz="6" w:space="0" w:color="414142"/>
              <w:left w:val="outset" w:sz="6" w:space="0" w:color="414142"/>
              <w:bottom w:val="outset" w:sz="6" w:space="0" w:color="414142"/>
            </w:tcBorders>
            <w:shd w:val="clear" w:color="auto" w:fill="FFFFFF"/>
            <w:vAlign w:val="center"/>
          </w:tcPr>
          <w:p w:rsidR="001F622C" w:rsidRPr="00343FB6" w:rsidRDefault="001F622C" w:rsidP="00185116">
            <w:pPr>
              <w:jc w:val="center"/>
              <w:rPr>
                <w:color w:val="000000"/>
                <w:sz w:val="24"/>
                <w:szCs w:val="24"/>
                <w:lang w:eastAsia="lv-LV"/>
              </w:rPr>
            </w:pPr>
            <w:r w:rsidRPr="00343FB6">
              <w:rPr>
                <w:color w:val="000000"/>
                <w:sz w:val="24"/>
                <w:szCs w:val="24"/>
                <w:lang w:eastAsia="lv-LV"/>
              </w:rPr>
              <w:t>Turpmākie trīs gadi (</w:t>
            </w:r>
            <w:proofErr w:type="spellStart"/>
            <w:r w:rsidR="00185116" w:rsidRPr="00943F43">
              <w:rPr>
                <w:i/>
                <w:color w:val="000000"/>
                <w:sz w:val="24"/>
                <w:szCs w:val="24"/>
                <w:lang w:eastAsia="lv-LV"/>
              </w:rPr>
              <w:t>euro</w:t>
            </w:r>
            <w:proofErr w:type="spellEnd"/>
            <w:r w:rsidRPr="00343FB6">
              <w:rPr>
                <w:color w:val="000000"/>
                <w:sz w:val="24"/>
                <w:szCs w:val="24"/>
                <w:lang w:eastAsia="lv-LV"/>
              </w:rPr>
              <w:t>)</w:t>
            </w:r>
          </w:p>
        </w:tc>
      </w:tr>
      <w:tr w:rsidR="001F622C" w:rsidRPr="00343FB6" w:rsidTr="0082311D">
        <w:tc>
          <w:tcPr>
            <w:tcW w:w="0" w:type="auto"/>
            <w:vMerge/>
            <w:tcBorders>
              <w:top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b/>
                <w:bCs/>
                <w:color w:val="000000"/>
                <w:sz w:val="24"/>
                <w:szCs w:val="24"/>
                <w:lang w:eastAsia="lv-LV"/>
              </w:rPr>
            </w:pPr>
          </w:p>
        </w:tc>
        <w:tc>
          <w:tcPr>
            <w:tcW w:w="1598"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b/>
                <w:bCs/>
                <w:color w:val="000000"/>
                <w:sz w:val="24"/>
                <w:szCs w:val="24"/>
                <w:lang w:eastAsia="lv-LV"/>
              </w:rPr>
            </w:pP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b/>
                <w:bCs/>
                <w:color w:val="000000"/>
                <w:sz w:val="24"/>
                <w:szCs w:val="24"/>
                <w:lang w:eastAsia="lv-LV"/>
              </w:rPr>
            </w:pPr>
            <w:r w:rsidRPr="00343FB6">
              <w:rPr>
                <w:b/>
                <w:bCs/>
                <w:color w:val="000000"/>
                <w:sz w:val="24"/>
                <w:szCs w:val="24"/>
                <w:lang w:eastAsia="lv-LV"/>
              </w:rPr>
              <w:t>2017</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b/>
                <w:bCs/>
                <w:color w:val="000000"/>
                <w:sz w:val="24"/>
                <w:szCs w:val="24"/>
                <w:lang w:eastAsia="lv-LV"/>
              </w:rPr>
            </w:pPr>
            <w:r w:rsidRPr="00343FB6">
              <w:rPr>
                <w:b/>
                <w:bCs/>
                <w:color w:val="000000"/>
                <w:sz w:val="24"/>
                <w:szCs w:val="24"/>
                <w:lang w:eastAsia="lv-LV"/>
              </w:rPr>
              <w:t>2018</w:t>
            </w:r>
          </w:p>
        </w:tc>
        <w:tc>
          <w:tcPr>
            <w:tcW w:w="714" w:type="pct"/>
            <w:tcBorders>
              <w:top w:val="outset" w:sz="6" w:space="0" w:color="414142"/>
              <w:left w:val="outset" w:sz="6" w:space="0" w:color="414142"/>
              <w:bottom w:val="outset" w:sz="6" w:space="0" w:color="414142"/>
            </w:tcBorders>
            <w:shd w:val="clear" w:color="auto" w:fill="FFFFFF"/>
            <w:vAlign w:val="center"/>
          </w:tcPr>
          <w:p w:rsidR="001F622C" w:rsidRPr="00343FB6" w:rsidRDefault="001F622C" w:rsidP="00BA41CF">
            <w:pPr>
              <w:jc w:val="center"/>
              <w:rPr>
                <w:b/>
                <w:bCs/>
                <w:color w:val="000000"/>
                <w:sz w:val="24"/>
                <w:szCs w:val="24"/>
                <w:lang w:eastAsia="lv-LV"/>
              </w:rPr>
            </w:pPr>
            <w:r w:rsidRPr="00343FB6">
              <w:rPr>
                <w:b/>
                <w:bCs/>
                <w:color w:val="000000"/>
                <w:sz w:val="24"/>
                <w:szCs w:val="24"/>
                <w:lang w:eastAsia="lv-LV"/>
              </w:rPr>
              <w:t>2019</w:t>
            </w:r>
          </w:p>
        </w:tc>
      </w:tr>
      <w:tr w:rsidR="001F622C" w:rsidRPr="00343FB6" w:rsidTr="0082311D">
        <w:tc>
          <w:tcPr>
            <w:tcW w:w="0" w:type="auto"/>
            <w:vMerge/>
            <w:tcBorders>
              <w:top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b/>
                <w:bCs/>
                <w:color w:val="000000"/>
                <w:sz w:val="24"/>
                <w:szCs w:val="24"/>
                <w:lang w:eastAsia="lv-LV"/>
              </w:rPr>
            </w:pP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saskaņā ar valsts budžetu kārtējam gadam</w:t>
            </w:r>
          </w:p>
        </w:tc>
        <w:tc>
          <w:tcPr>
            <w:tcW w:w="8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izmaiņas kārtējā gadā, salīdzinot ar valsts budžetu kārtējam gadam</w:t>
            </w: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izmaiņas, salīdzinot ar kārtējo (n) gadu</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izmaiņas, salīdzinot ar kārtējo (n) gadu</w:t>
            </w:r>
          </w:p>
        </w:tc>
        <w:tc>
          <w:tcPr>
            <w:tcW w:w="714" w:type="pct"/>
            <w:tcBorders>
              <w:top w:val="outset" w:sz="6" w:space="0" w:color="414142"/>
              <w:left w:val="outset" w:sz="6" w:space="0" w:color="414142"/>
              <w:bottom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izmaiņas, salīdzinot ar kārtējo (n) gadu</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1</w:t>
            </w: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2</w:t>
            </w:r>
          </w:p>
        </w:tc>
        <w:tc>
          <w:tcPr>
            <w:tcW w:w="878"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3</w:t>
            </w:r>
          </w:p>
        </w:tc>
        <w:tc>
          <w:tcPr>
            <w:tcW w:w="727"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4</w:t>
            </w:r>
          </w:p>
        </w:tc>
        <w:tc>
          <w:tcPr>
            <w:tcW w:w="671"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5</w:t>
            </w:r>
          </w:p>
        </w:tc>
        <w:tc>
          <w:tcPr>
            <w:tcW w:w="714" w:type="pct"/>
            <w:tcBorders>
              <w:top w:val="outset" w:sz="6" w:space="0" w:color="414142"/>
              <w:left w:val="outset" w:sz="6" w:space="0" w:color="414142"/>
              <w:bottom w:val="outset" w:sz="6" w:space="0" w:color="414142"/>
            </w:tcBorders>
            <w:shd w:val="clear" w:color="auto" w:fill="FFFFFF"/>
            <w:vAlign w:val="center"/>
          </w:tcPr>
          <w:p w:rsidR="001F622C" w:rsidRPr="00343FB6" w:rsidRDefault="001F622C" w:rsidP="00BA41CF">
            <w:pPr>
              <w:jc w:val="center"/>
              <w:rPr>
                <w:color w:val="000000"/>
                <w:sz w:val="24"/>
                <w:szCs w:val="24"/>
                <w:lang w:eastAsia="lv-LV"/>
              </w:rPr>
            </w:pPr>
            <w:r w:rsidRPr="00343FB6">
              <w:rPr>
                <w:color w:val="000000"/>
                <w:sz w:val="24"/>
                <w:szCs w:val="24"/>
                <w:lang w:eastAsia="lv-LV"/>
              </w:rPr>
              <w:t>6</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1. Budžeta ieņēmumi: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672C30">
            <w:pPr>
              <w:rPr>
                <w:color w:val="000000"/>
                <w:sz w:val="24"/>
                <w:szCs w:val="24"/>
                <w:lang w:eastAsia="lv-LV"/>
              </w:rPr>
            </w:pPr>
            <w:r w:rsidRPr="00343FB6">
              <w:rPr>
                <w:color w:val="000000"/>
                <w:sz w:val="24"/>
                <w:szCs w:val="24"/>
                <w:lang w:eastAsia="lv-LV"/>
              </w:rPr>
              <w:t> 1 442 650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1.1. valsts pamatbudžets, tai skaitā ieņēmumi no maksas pakalpojumiem un citi pašu ieņēmumi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95795B">
            <w:pPr>
              <w:rPr>
                <w:color w:val="000000"/>
                <w:sz w:val="24"/>
                <w:szCs w:val="24"/>
                <w:lang w:eastAsia="lv-LV"/>
              </w:rPr>
            </w:pPr>
            <w:r w:rsidRPr="00343FB6">
              <w:rPr>
                <w:color w:val="000000"/>
                <w:sz w:val="24"/>
                <w:szCs w:val="24"/>
                <w:lang w:eastAsia="lv-LV"/>
              </w:rPr>
              <w:t> 1 442 650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1.2. valsts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1.3.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2. Budžeta izdevumi:</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1 442 650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2 272 928</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4 713 300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6 100 928   </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lastRenderedPageBreak/>
              <w:t>2.1. valsts pamatbudžets: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1 442 650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D10270">
            <w:pPr>
              <w:rPr>
                <w:color w:val="000000"/>
                <w:sz w:val="24"/>
                <w:szCs w:val="24"/>
                <w:lang w:eastAsia="lv-LV"/>
              </w:rPr>
            </w:pPr>
            <w:r w:rsidRPr="00343FB6">
              <w:rPr>
                <w:color w:val="000000"/>
                <w:sz w:val="24"/>
                <w:szCs w:val="24"/>
                <w:lang w:eastAsia="lv-LV"/>
              </w:rPr>
              <w:t>2 272 928</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4 713 300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6 100 928   </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DC40E4">
            <w:pPr>
              <w:rPr>
                <w:color w:val="000000"/>
                <w:sz w:val="24"/>
                <w:szCs w:val="24"/>
                <w:lang w:eastAsia="lv-LV"/>
              </w:rPr>
            </w:pPr>
            <w:r w:rsidRPr="00343FB6">
              <w:rPr>
                <w:color w:val="000000"/>
                <w:sz w:val="24"/>
                <w:szCs w:val="24"/>
                <w:lang w:eastAsia="lv-LV"/>
              </w:rPr>
              <w:t>2.1.1. zemju izmaksas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1 000 000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6C1E4F">
            <w:pPr>
              <w:rPr>
                <w:color w:val="000000"/>
                <w:sz w:val="24"/>
                <w:szCs w:val="24"/>
                <w:lang w:eastAsia="lv-LV"/>
              </w:rPr>
            </w:pPr>
            <w:r w:rsidRPr="00343FB6">
              <w:rPr>
                <w:color w:val="000000"/>
                <w:sz w:val="24"/>
                <w:szCs w:val="24"/>
                <w:lang w:eastAsia="lv-LV"/>
              </w:rPr>
              <w:t>1 830 278</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6C1E4F">
            <w:pPr>
              <w:rPr>
                <w:color w:val="000000"/>
                <w:sz w:val="24"/>
                <w:szCs w:val="24"/>
                <w:lang w:eastAsia="lv-LV"/>
              </w:rPr>
            </w:pPr>
            <w:r w:rsidRPr="00343FB6">
              <w:rPr>
                <w:color w:val="000000"/>
                <w:sz w:val="24"/>
                <w:szCs w:val="24"/>
                <w:lang w:eastAsia="lv-LV"/>
              </w:rPr>
              <w:t xml:space="preserve">4 270 650 </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6C1E4F">
            <w:pPr>
              <w:rPr>
                <w:color w:val="000000"/>
                <w:sz w:val="24"/>
                <w:szCs w:val="24"/>
                <w:lang w:eastAsia="lv-LV"/>
              </w:rPr>
            </w:pPr>
            <w:r w:rsidRPr="00343FB6">
              <w:rPr>
                <w:color w:val="000000"/>
                <w:sz w:val="24"/>
                <w:szCs w:val="24"/>
                <w:lang w:eastAsia="lv-LV"/>
              </w:rPr>
              <w:t>6 100 928   </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9473FB">
            <w:pPr>
              <w:rPr>
                <w:color w:val="000000"/>
                <w:sz w:val="24"/>
                <w:szCs w:val="24"/>
                <w:lang w:eastAsia="lv-LV"/>
              </w:rPr>
            </w:pPr>
            <w:r w:rsidRPr="00343FB6">
              <w:rPr>
                <w:color w:val="000000"/>
                <w:sz w:val="24"/>
                <w:szCs w:val="24"/>
                <w:lang w:eastAsia="lv-LV"/>
              </w:rPr>
              <w:t>2.1.2. Administratīvās izmaksas **</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442 650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4A440C">
            <w:pPr>
              <w:rPr>
                <w:color w:val="000000"/>
                <w:sz w:val="24"/>
                <w:szCs w:val="24"/>
                <w:lang w:eastAsia="lv-LV"/>
              </w:rPr>
            </w:pPr>
            <w:r w:rsidRPr="00343FB6">
              <w:rPr>
                <w:color w:val="000000"/>
                <w:sz w:val="24"/>
                <w:szCs w:val="24"/>
                <w:lang w:eastAsia="lv-LV"/>
              </w:rPr>
              <w:t>442 650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442 650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2.2. valsts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2.3.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3. Finansiālā ietekme:</w:t>
            </w:r>
          </w:p>
        </w:tc>
        <w:tc>
          <w:tcPr>
            <w:tcW w:w="72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-2 272 928</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0A0A">
            <w:pPr>
              <w:rPr>
                <w:color w:val="000000"/>
                <w:sz w:val="24"/>
                <w:szCs w:val="24"/>
                <w:lang w:eastAsia="lv-LV"/>
              </w:rPr>
            </w:pPr>
            <w:r w:rsidRPr="00343FB6">
              <w:rPr>
                <w:color w:val="000000"/>
                <w:sz w:val="24"/>
                <w:szCs w:val="24"/>
                <w:lang w:eastAsia="lv-LV"/>
              </w:rPr>
              <w:t> -4 713 300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B50A0A">
            <w:pPr>
              <w:rPr>
                <w:color w:val="000000"/>
                <w:sz w:val="24"/>
                <w:szCs w:val="24"/>
                <w:lang w:eastAsia="lv-LV"/>
              </w:rPr>
            </w:pPr>
            <w:r w:rsidRPr="00343FB6">
              <w:rPr>
                <w:color w:val="000000"/>
                <w:sz w:val="24"/>
                <w:szCs w:val="24"/>
                <w:lang w:eastAsia="lv-LV"/>
              </w:rPr>
              <w:t>-6 100 928   </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3.1. valsts pamatbudžets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-2 272 928</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-4 713 300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-6 100 928   </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3.2. speciālais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3.3. pašvaldību budžets</w:t>
            </w:r>
          </w:p>
        </w:tc>
        <w:tc>
          <w:tcPr>
            <w:tcW w:w="72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vMerge w:val="restar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4. Finanšu līdzekļi papildu izdevumu finansēšanai (kompensējošu izdevumu samazinājumu norāda ar "+" zīmi)</w:t>
            </w:r>
          </w:p>
        </w:tc>
        <w:tc>
          <w:tcPr>
            <w:tcW w:w="72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X</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0" w:type="auto"/>
            <w:vMerge/>
            <w:tcBorders>
              <w:top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0" w:type="auto"/>
            <w:vMerge/>
            <w:tcBorders>
              <w:top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5. Precizēta finansiālā ietekme:</w:t>
            </w:r>
          </w:p>
        </w:tc>
        <w:tc>
          <w:tcPr>
            <w:tcW w:w="720" w:type="pct"/>
            <w:vMerge w:val="restar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X</w:t>
            </w: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DE445E">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DE445E">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DE445E">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DE445E">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F622C" w:rsidRPr="00343FB6" w:rsidRDefault="001F622C" w:rsidP="007065B6">
            <w:pPr>
              <w:rPr>
                <w:color w:val="000000"/>
                <w:sz w:val="24"/>
                <w:szCs w:val="24"/>
                <w:lang w:eastAsia="lv-LV"/>
              </w:rPr>
            </w:pPr>
          </w:p>
        </w:tc>
        <w:tc>
          <w:tcPr>
            <w:tcW w:w="878"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367EF4">
            <w:pPr>
              <w:rPr>
                <w:color w:val="000000"/>
                <w:sz w:val="24"/>
                <w:szCs w:val="24"/>
                <w:lang w:eastAsia="lv-LV"/>
              </w:rPr>
            </w:pPr>
            <w:r w:rsidRPr="00343FB6">
              <w:rPr>
                <w:color w:val="000000"/>
                <w:sz w:val="24"/>
                <w:szCs w:val="24"/>
                <w:lang w:eastAsia="lv-LV"/>
              </w:rPr>
              <w:t> 0</w:t>
            </w:r>
          </w:p>
        </w:tc>
        <w:tc>
          <w:tcPr>
            <w:tcW w:w="727"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671"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c>
          <w:tcPr>
            <w:tcW w:w="714" w:type="pct"/>
            <w:tcBorders>
              <w:top w:val="outset" w:sz="6" w:space="0" w:color="414142"/>
              <w:left w:val="outset" w:sz="6" w:space="0" w:color="414142"/>
              <w:bottom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0</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 xml:space="preserve">6. Detalizēts ieņēmumu un izdevumu aprēķins (ja nepieciešams, detalizētu ieņēmumu un izdevumu aprēķinu var </w:t>
            </w:r>
            <w:r w:rsidRPr="00343FB6">
              <w:rPr>
                <w:color w:val="000000"/>
                <w:sz w:val="24"/>
                <w:szCs w:val="24"/>
                <w:lang w:eastAsia="lv-LV"/>
              </w:rPr>
              <w:lastRenderedPageBreak/>
              <w:t>pievienot anotācijas pielikumā):</w:t>
            </w:r>
          </w:p>
        </w:tc>
        <w:tc>
          <w:tcPr>
            <w:tcW w:w="3710" w:type="pct"/>
            <w:gridSpan w:val="5"/>
            <w:vMerge w:val="restart"/>
            <w:tcBorders>
              <w:top w:val="outset" w:sz="6" w:space="0" w:color="414142"/>
              <w:left w:val="outset" w:sz="6" w:space="0" w:color="414142"/>
              <w:bottom w:val="outset" w:sz="6" w:space="0" w:color="414142"/>
            </w:tcBorders>
            <w:shd w:val="clear" w:color="auto" w:fill="FFFFFF"/>
            <w:vAlign w:val="center"/>
          </w:tcPr>
          <w:p w:rsidR="001F622C" w:rsidRPr="00343FB6" w:rsidRDefault="001F622C" w:rsidP="00DE2BAA">
            <w:pPr>
              <w:rPr>
                <w:color w:val="000000"/>
                <w:sz w:val="24"/>
                <w:szCs w:val="24"/>
                <w:lang w:eastAsia="lv-LV"/>
              </w:rPr>
            </w:pPr>
            <w:r w:rsidRPr="00343FB6">
              <w:rPr>
                <w:color w:val="000000"/>
                <w:sz w:val="24"/>
                <w:szCs w:val="24"/>
                <w:lang w:eastAsia="lv-LV"/>
              </w:rPr>
              <w:lastRenderedPageBreak/>
              <w:t>* 2016. gadā veicamās darbības tiks finansētas Satiksmes ministrijas budžeta apakšprogrammai 23.06.00 “Valsts autoceļu pārvaldīšana, uzturēšana un atjaunošana” piešķirto līdzekļu ietvaros, lai nodrošinātu augstu projekta gatavības pakāpi</w:t>
            </w:r>
          </w:p>
          <w:p w:rsidR="001F622C" w:rsidRPr="00343FB6" w:rsidRDefault="001F622C" w:rsidP="001A635D">
            <w:pPr>
              <w:rPr>
                <w:color w:val="000000"/>
                <w:sz w:val="24"/>
                <w:szCs w:val="24"/>
                <w:lang w:eastAsia="lv-LV"/>
              </w:rPr>
            </w:pPr>
            <w:r w:rsidRPr="00343FB6">
              <w:rPr>
                <w:color w:val="000000"/>
                <w:sz w:val="24"/>
                <w:szCs w:val="24"/>
                <w:lang w:eastAsia="lv-LV"/>
              </w:rPr>
              <w:t xml:space="preserve">** Projekta administratīvās izmaksās iekļautas ārējo konsultantu izmaksas, kas ietver ietekmes uz vidu novērtēšanu, skiču projekta sagatavošanu, iepirkuma dokumentācijas un partnerības līguma sagatavošanu un konsultēšanu iepirkuma laikā, saistīto organizāciju izsniegto tehnisko noteikumu aktualizēšana, topogrāfija, ģeoloģija, citas izpētes, vides </w:t>
            </w:r>
            <w:r w:rsidRPr="00343FB6">
              <w:rPr>
                <w:color w:val="000000"/>
                <w:sz w:val="24"/>
                <w:szCs w:val="24"/>
                <w:lang w:eastAsia="lv-LV"/>
              </w:rPr>
              <w:lastRenderedPageBreak/>
              <w:t xml:space="preserve">jautājumi. </w:t>
            </w: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lastRenderedPageBreak/>
              <w:t>6.1. detalizēts ieņēmumu aprēķins</w:t>
            </w:r>
          </w:p>
        </w:tc>
        <w:tc>
          <w:tcPr>
            <w:tcW w:w="0" w:type="auto"/>
            <w:gridSpan w:val="5"/>
            <w:vMerge/>
            <w:tcBorders>
              <w:top w:val="outset" w:sz="6" w:space="0" w:color="414142"/>
              <w:left w:val="outset" w:sz="6" w:space="0" w:color="414142"/>
              <w:bottom w:val="outset" w:sz="6" w:space="0" w:color="414142"/>
            </w:tcBorders>
            <w:shd w:val="clear" w:color="auto" w:fill="FFFFFF"/>
            <w:vAlign w:val="center"/>
          </w:tcPr>
          <w:p w:rsidR="001F622C" w:rsidRPr="00343FB6" w:rsidRDefault="001F622C" w:rsidP="007065B6">
            <w:pPr>
              <w:rPr>
                <w:color w:val="000000"/>
                <w:sz w:val="24"/>
                <w:szCs w:val="24"/>
                <w:lang w:eastAsia="lv-LV"/>
              </w:rPr>
            </w:pPr>
          </w:p>
        </w:tc>
      </w:tr>
      <w:tr w:rsidR="001F622C" w:rsidRPr="00343FB6" w:rsidTr="0082311D">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tcBorders>
            <w:shd w:val="clear" w:color="auto" w:fill="FFFFFF"/>
            <w:vAlign w:val="center"/>
          </w:tcPr>
          <w:p w:rsidR="001F622C" w:rsidRPr="00343FB6" w:rsidRDefault="001F622C" w:rsidP="007065B6">
            <w:pPr>
              <w:rPr>
                <w:color w:val="000000"/>
                <w:sz w:val="24"/>
                <w:szCs w:val="24"/>
                <w:lang w:eastAsia="lv-LV"/>
              </w:rPr>
            </w:pPr>
          </w:p>
        </w:tc>
      </w:tr>
      <w:tr w:rsidR="001F622C" w:rsidRPr="00343FB6" w:rsidTr="0082311D">
        <w:trPr>
          <w:trHeight w:val="555"/>
        </w:trPr>
        <w:tc>
          <w:tcPr>
            <w:tcW w:w="1290" w:type="pct"/>
            <w:tcBorders>
              <w:top w:val="outset" w:sz="6" w:space="0" w:color="414142"/>
              <w:bottom w:val="outset" w:sz="6" w:space="0" w:color="414142"/>
              <w:right w:val="outset" w:sz="6" w:space="0" w:color="414142"/>
            </w:tcBorders>
            <w:shd w:val="clear" w:color="auto" w:fill="FFFFFF"/>
          </w:tcPr>
          <w:p w:rsidR="001F622C" w:rsidRPr="00343FB6" w:rsidRDefault="001F622C" w:rsidP="007065B6">
            <w:pPr>
              <w:rPr>
                <w:color w:val="000000"/>
                <w:sz w:val="24"/>
                <w:szCs w:val="24"/>
                <w:lang w:eastAsia="lv-LV"/>
              </w:rPr>
            </w:pPr>
            <w:r w:rsidRPr="00343FB6">
              <w:rPr>
                <w:color w:val="000000"/>
                <w:sz w:val="24"/>
                <w:szCs w:val="24"/>
                <w:lang w:eastAsia="lv-LV"/>
              </w:rPr>
              <w:t>7. Cita informācija</w:t>
            </w:r>
          </w:p>
        </w:tc>
        <w:tc>
          <w:tcPr>
            <w:tcW w:w="3710" w:type="pct"/>
            <w:gridSpan w:val="5"/>
            <w:tcBorders>
              <w:top w:val="outset" w:sz="6" w:space="0" w:color="414142"/>
              <w:left w:val="outset" w:sz="6" w:space="0" w:color="414142"/>
              <w:bottom w:val="outset" w:sz="6" w:space="0" w:color="414142"/>
            </w:tcBorders>
            <w:shd w:val="clear" w:color="auto" w:fill="FFFFFF"/>
          </w:tcPr>
          <w:p w:rsidR="001F622C" w:rsidRPr="00343FB6" w:rsidRDefault="001F622C" w:rsidP="005034CF">
            <w:pPr>
              <w:ind w:firstLine="763"/>
              <w:jc w:val="both"/>
              <w:rPr>
                <w:color w:val="000000"/>
                <w:sz w:val="24"/>
                <w:szCs w:val="24"/>
                <w:lang w:eastAsia="lv-LV"/>
              </w:rPr>
            </w:pPr>
            <w:r w:rsidRPr="00343FB6">
              <w:rPr>
                <w:sz w:val="24"/>
                <w:szCs w:val="24"/>
              </w:rPr>
              <w:t xml:space="preserve">Satiksmes ministrija sagatavos pieprasījumu  par valsts  budžeta papildu nepieciešamo finansējumu, kas ietver zemju iepirkšanu ne vairāk kā 12 201 856 </w:t>
            </w:r>
            <w:proofErr w:type="spellStart"/>
            <w:r w:rsidRPr="00392576">
              <w:rPr>
                <w:i/>
                <w:sz w:val="24"/>
                <w:szCs w:val="24"/>
              </w:rPr>
              <w:t>euro</w:t>
            </w:r>
            <w:proofErr w:type="spellEnd"/>
            <w:r w:rsidRPr="00343FB6">
              <w:rPr>
                <w:sz w:val="24"/>
                <w:szCs w:val="24"/>
              </w:rPr>
              <w:t xml:space="preserve"> (2017.gadā ne vairāk kā 1 830 278 </w:t>
            </w:r>
            <w:proofErr w:type="spellStart"/>
            <w:r w:rsidRPr="00392576">
              <w:rPr>
                <w:i/>
                <w:sz w:val="24"/>
                <w:szCs w:val="24"/>
              </w:rPr>
              <w:t>euro</w:t>
            </w:r>
            <w:proofErr w:type="spellEnd"/>
            <w:r w:rsidRPr="00343FB6">
              <w:rPr>
                <w:sz w:val="24"/>
                <w:szCs w:val="24"/>
              </w:rPr>
              <w:t xml:space="preserve">, 2018.gadā ne vairāk kā 4 270 650 </w:t>
            </w:r>
            <w:proofErr w:type="spellStart"/>
            <w:r w:rsidRPr="00392576">
              <w:rPr>
                <w:i/>
                <w:sz w:val="24"/>
                <w:szCs w:val="24"/>
              </w:rPr>
              <w:t>euro</w:t>
            </w:r>
            <w:proofErr w:type="spellEnd"/>
            <w:r w:rsidRPr="00343FB6">
              <w:rPr>
                <w:sz w:val="24"/>
                <w:szCs w:val="24"/>
              </w:rPr>
              <w:t xml:space="preserve"> un 2019.gadā ne vairāk kā 6 100 928 </w:t>
            </w:r>
            <w:proofErr w:type="spellStart"/>
            <w:r w:rsidRPr="00392576">
              <w:rPr>
                <w:i/>
                <w:sz w:val="24"/>
                <w:szCs w:val="24"/>
              </w:rPr>
              <w:t>euro</w:t>
            </w:r>
            <w:proofErr w:type="spellEnd"/>
            <w:r w:rsidRPr="00343FB6">
              <w:rPr>
                <w:sz w:val="24"/>
                <w:szCs w:val="24"/>
              </w:rPr>
              <w:t xml:space="preserve">), administratīvās izmaksas iepirkuma dokumentācijas sagatavošanai ne vairāk kā 885 300 </w:t>
            </w:r>
            <w:proofErr w:type="spellStart"/>
            <w:r w:rsidRPr="00392576">
              <w:rPr>
                <w:i/>
                <w:sz w:val="24"/>
                <w:szCs w:val="24"/>
              </w:rPr>
              <w:t>euro</w:t>
            </w:r>
            <w:proofErr w:type="spellEnd"/>
            <w:r w:rsidRPr="00343FB6">
              <w:rPr>
                <w:sz w:val="24"/>
                <w:szCs w:val="24"/>
              </w:rPr>
              <w:t xml:space="preserve"> (2017.gadā un 2018.gadā 442 650 </w:t>
            </w:r>
            <w:proofErr w:type="spellStart"/>
            <w:r w:rsidRPr="00392576">
              <w:rPr>
                <w:i/>
                <w:sz w:val="24"/>
                <w:szCs w:val="24"/>
              </w:rPr>
              <w:t>euro</w:t>
            </w:r>
            <w:proofErr w:type="spellEnd"/>
            <w:r w:rsidRPr="00343FB6">
              <w:rPr>
                <w:sz w:val="24"/>
                <w:szCs w:val="24"/>
              </w:rPr>
              <w:t xml:space="preserve"> ik gadu) galvenā autoceļa projekta „E67/A7 Ķekavas apvedceļš” īstenošanai. Pieprasījums izskatāms Ministru kabinetā likumprojekta par vidējā termiņa budžeta ietvaru 2017. – 2019. gadam un 2017. gada valsts budžeta likumprojekta sagatavošanas procesā kopā ar visu ministriju un centrālo valsts iestāžu jauno politikas iniciatīvu pieprasījumiem, ņemot vērā valsts budžeta reālās iespējas.</w:t>
            </w:r>
            <w:r w:rsidRPr="00343FB6" w:rsidDel="00CD37F7">
              <w:rPr>
                <w:sz w:val="24"/>
                <w:szCs w:val="24"/>
              </w:rPr>
              <w:t xml:space="preserve"> </w:t>
            </w:r>
          </w:p>
          <w:p w:rsidR="001F622C" w:rsidRPr="00343FB6" w:rsidRDefault="001F622C" w:rsidP="00ED559D">
            <w:pPr>
              <w:ind w:firstLine="720"/>
              <w:jc w:val="both"/>
              <w:rPr>
                <w:color w:val="000000"/>
                <w:sz w:val="24"/>
                <w:szCs w:val="24"/>
                <w:lang w:eastAsia="lv-LV"/>
              </w:rPr>
            </w:pPr>
            <w:r w:rsidRPr="00343FB6">
              <w:rPr>
                <w:color w:val="000000"/>
                <w:sz w:val="24"/>
                <w:szCs w:val="24"/>
                <w:lang w:eastAsia="lv-LV"/>
              </w:rPr>
              <w:t>Zemes iegāde ir uzsākta 2015. gadā un to plānots turpināt veikt 2016., 2017., 2018. un 2019. gadā. Kopējās zemes iegādes izmaksas saskaņā ar sākotnējo novērtējumu ir 13,8 milj. </w:t>
            </w:r>
            <w:proofErr w:type="spellStart"/>
            <w:r w:rsidRPr="00392576">
              <w:rPr>
                <w:i/>
                <w:color w:val="000000"/>
                <w:sz w:val="24"/>
                <w:szCs w:val="24"/>
                <w:lang w:eastAsia="lv-LV"/>
              </w:rPr>
              <w:t>euro</w:t>
            </w:r>
            <w:proofErr w:type="spellEnd"/>
            <w:r w:rsidRPr="00343FB6">
              <w:rPr>
                <w:color w:val="000000"/>
                <w:sz w:val="24"/>
                <w:szCs w:val="24"/>
                <w:lang w:eastAsia="lv-LV"/>
              </w:rPr>
              <w:t>. Minētā summa ir bez PVN saskaņā ar Pievienotās vērtības nodokļa likuma 52.pantu. Nepieciešamo atsavināmo zemju kadastru vai to daļu informatīva rakstura saraksts pievienots pielikumā (pielikums Nr.5, SAMAnot_p5_180116_zemes_Kekava_PPP). Projekta īstenošanai nepieciešamās zemes iegādi veiks publiskais partneris.</w:t>
            </w:r>
          </w:p>
          <w:p w:rsidR="001F622C" w:rsidRPr="00343FB6" w:rsidRDefault="001F622C" w:rsidP="0069766B">
            <w:pPr>
              <w:ind w:firstLine="720"/>
              <w:jc w:val="both"/>
              <w:rPr>
                <w:color w:val="000000"/>
                <w:sz w:val="24"/>
                <w:szCs w:val="24"/>
                <w:lang w:eastAsia="lv-LV"/>
              </w:rPr>
            </w:pPr>
          </w:p>
          <w:p w:rsidR="001F622C" w:rsidRPr="00343FB6" w:rsidRDefault="001F622C" w:rsidP="00ED559D">
            <w:pPr>
              <w:jc w:val="both"/>
              <w:rPr>
                <w:color w:val="000000"/>
                <w:sz w:val="24"/>
                <w:szCs w:val="24"/>
                <w:lang w:eastAsia="lv-LV"/>
              </w:rPr>
            </w:pPr>
            <w:r w:rsidRPr="00343FB6">
              <w:rPr>
                <w:color w:val="000000"/>
                <w:sz w:val="24"/>
                <w:szCs w:val="24"/>
                <w:lang w:eastAsia="lv-LV"/>
              </w:rPr>
              <w:t>Detalizēta informācija par projekta ietekmi uz valsts budžetu norādīta KMPG izstrādātājos finanšu un ekonomiskajos aprēķinos (skatīt Anotācijas pielikumu Nr.1) un Finanšu ministrijas atzinumā.</w:t>
            </w:r>
          </w:p>
          <w:p w:rsidR="001F622C" w:rsidRPr="00343FB6" w:rsidRDefault="001F622C" w:rsidP="00BA41CF">
            <w:pPr>
              <w:ind w:firstLine="720"/>
              <w:jc w:val="both"/>
              <w:rPr>
                <w:color w:val="000000"/>
                <w:sz w:val="24"/>
                <w:szCs w:val="24"/>
                <w:lang w:eastAsia="lv-LV"/>
              </w:rPr>
            </w:pPr>
            <w:r w:rsidRPr="00343FB6">
              <w:rPr>
                <w:color w:val="000000"/>
                <w:sz w:val="24"/>
                <w:szCs w:val="24"/>
                <w:lang w:eastAsia="lv-LV"/>
              </w:rPr>
              <w:t>Saskaņā ar kalendāro plānu:</w:t>
            </w:r>
          </w:p>
          <w:p w:rsidR="001F622C" w:rsidRPr="00392576" w:rsidRDefault="001F622C" w:rsidP="00392576">
            <w:pPr>
              <w:pStyle w:val="ListParagraph"/>
              <w:numPr>
                <w:ilvl w:val="0"/>
                <w:numId w:val="2"/>
              </w:numPr>
              <w:jc w:val="both"/>
              <w:rPr>
                <w:color w:val="000000"/>
                <w:sz w:val="24"/>
                <w:szCs w:val="24"/>
                <w:lang w:eastAsia="lv-LV"/>
              </w:rPr>
            </w:pPr>
            <w:r w:rsidRPr="00392576">
              <w:rPr>
                <w:color w:val="000000"/>
                <w:sz w:val="24"/>
                <w:szCs w:val="24"/>
                <w:lang w:eastAsia="lv-LV"/>
              </w:rPr>
              <w:t>2016. gadā ir plānots pabeigt ietekmes uz vidi novērtējuma procedūru, veikt publisko iepirkumu izvēloties finanšu, ekonomiskos un juridiskos konsultantus, un uzsākt PPP iepirkuma procedūras dokumentācijas un partnerības līguma izstrādi, veikt konsultācijas ar EIB par finansēšanas noteikumiem;</w:t>
            </w:r>
          </w:p>
          <w:p w:rsidR="001F622C" w:rsidRPr="00392576" w:rsidRDefault="001F622C" w:rsidP="00392576">
            <w:pPr>
              <w:pStyle w:val="ListParagraph"/>
              <w:numPr>
                <w:ilvl w:val="0"/>
                <w:numId w:val="2"/>
              </w:numPr>
              <w:jc w:val="both"/>
              <w:rPr>
                <w:color w:val="000000"/>
                <w:sz w:val="24"/>
                <w:szCs w:val="24"/>
                <w:lang w:eastAsia="lv-LV"/>
              </w:rPr>
            </w:pPr>
            <w:r w:rsidRPr="00392576">
              <w:rPr>
                <w:color w:val="000000"/>
                <w:sz w:val="24"/>
                <w:szCs w:val="24"/>
                <w:lang w:eastAsia="lv-LV"/>
              </w:rPr>
              <w:t>2017. gadā plānots pabeigt iepirkuma dokumentācijas un partnerības līguma izstrādi un konsultācijas ar potenciālajiem projekta finansētājiem un izsludināt PPP partnerības līguma iepirkumu;</w:t>
            </w:r>
          </w:p>
          <w:p w:rsidR="001F622C" w:rsidRPr="00392576" w:rsidRDefault="001F622C" w:rsidP="00392576">
            <w:pPr>
              <w:pStyle w:val="ListParagraph"/>
              <w:numPr>
                <w:ilvl w:val="0"/>
                <w:numId w:val="2"/>
              </w:numPr>
              <w:jc w:val="both"/>
              <w:rPr>
                <w:color w:val="000000"/>
                <w:sz w:val="24"/>
                <w:szCs w:val="24"/>
                <w:lang w:eastAsia="lv-LV"/>
              </w:rPr>
            </w:pPr>
            <w:r w:rsidRPr="00392576">
              <w:rPr>
                <w:color w:val="000000"/>
                <w:sz w:val="24"/>
                <w:szCs w:val="24"/>
                <w:lang w:eastAsia="lv-LV"/>
              </w:rPr>
              <w:t>2018. gadā paredzēts pabeigt iepirkuma procedūru un noslēgt partnerības līgumu.</w:t>
            </w:r>
          </w:p>
          <w:p w:rsidR="001F622C" w:rsidRPr="00343FB6" w:rsidRDefault="001F622C" w:rsidP="00BA41CF">
            <w:pPr>
              <w:pStyle w:val="Default"/>
              <w:ind w:firstLine="720"/>
              <w:jc w:val="both"/>
            </w:pPr>
            <w:r w:rsidRPr="00343FB6">
              <w:rPr>
                <w:color w:val="auto"/>
              </w:rPr>
              <w:t>No publiskā partnera puses partnerības iepirkuma līgumu slēgs Satiksmes ministrija, savukārt tā izpildes uzraudzību veiks valsts akciju sabiedrība „Latvijas Valsts ceļi”. Partnerības iepirkuma līguma termiņš ir 23 gadi: investīciju periods (projektēšanas un būvniecības darbi) 3 gadus, uzturēšanas periods – 20 gadus. Plānotā partnerības iepirkuma līguma līgumcena ir 160 606 139.00 </w:t>
            </w:r>
            <w:proofErr w:type="spellStart"/>
            <w:r w:rsidRPr="00943F43">
              <w:rPr>
                <w:i/>
                <w:color w:val="auto"/>
              </w:rPr>
              <w:t>euro</w:t>
            </w:r>
            <w:proofErr w:type="spellEnd"/>
            <w:r w:rsidRPr="00343FB6">
              <w:rPr>
                <w:color w:val="auto"/>
              </w:rPr>
              <w:t xml:space="preserve"> bez PVN. Paredzams, ka pieejamības </w:t>
            </w:r>
            <w:r w:rsidRPr="00343FB6">
              <w:rPr>
                <w:color w:val="auto"/>
              </w:rPr>
              <w:lastRenderedPageBreak/>
              <w:t xml:space="preserve">maksājums </w:t>
            </w:r>
            <w:r>
              <w:rPr>
                <w:color w:val="auto"/>
              </w:rPr>
              <w:t>būs</w:t>
            </w:r>
            <w:r w:rsidRPr="00343FB6">
              <w:rPr>
                <w:color w:val="auto"/>
              </w:rPr>
              <w:t xml:space="preserve"> 8 030 307 </w:t>
            </w:r>
            <w:proofErr w:type="spellStart"/>
            <w:r w:rsidRPr="00943F43">
              <w:rPr>
                <w:i/>
                <w:color w:val="auto"/>
              </w:rPr>
              <w:t>euro</w:t>
            </w:r>
            <w:proofErr w:type="spellEnd"/>
            <w:r w:rsidRPr="00343FB6">
              <w:rPr>
                <w:color w:val="auto"/>
              </w:rPr>
              <w:t xml:space="preserve"> gadā un publiskais partneris sāk maksāt pieejamības maksājumu</w:t>
            </w:r>
            <w:r w:rsidRPr="00343FB6">
              <w:t xml:space="preserve"> pēc būves nodošanas ekspluatācijā (aptuveni 2023. gadā).</w:t>
            </w:r>
          </w:p>
          <w:p w:rsidR="001F622C" w:rsidRPr="00343FB6" w:rsidRDefault="001F622C" w:rsidP="005034CF">
            <w:pPr>
              <w:ind w:firstLine="720"/>
              <w:jc w:val="both"/>
              <w:rPr>
                <w:sz w:val="24"/>
                <w:szCs w:val="24"/>
              </w:rPr>
            </w:pPr>
            <w:r w:rsidRPr="00343FB6">
              <w:rPr>
                <w:sz w:val="24"/>
                <w:szCs w:val="24"/>
              </w:rPr>
              <w:t xml:space="preserve">Satiksmes ministrija pirms partnerības iepirkuma līguma noslēgšanas par galvenā autoceļa projekta „E67/A7 Ķekavas apvedceļš” īstenošanu  jāiesniedz izskatīšanai Ministru kabinetā jautājums par finansējuma nodrošināšanu un valsts budžeta ilgtermiņa saistību uzņemšanos sākot ar 2023.gadu līdz 2042.gadam, lai veiktu pieejamības maksājumus privātajam partnerim ne vairāk kā 8 030 307 </w:t>
            </w:r>
            <w:proofErr w:type="spellStart"/>
            <w:r w:rsidRPr="00343FB6">
              <w:rPr>
                <w:i/>
                <w:sz w:val="24"/>
                <w:szCs w:val="24"/>
              </w:rPr>
              <w:t>euro</w:t>
            </w:r>
            <w:proofErr w:type="spellEnd"/>
            <w:r>
              <w:rPr>
                <w:sz w:val="24"/>
                <w:szCs w:val="24"/>
              </w:rPr>
              <w:t xml:space="preserve"> </w:t>
            </w:r>
            <w:r w:rsidRPr="00343FB6">
              <w:rPr>
                <w:sz w:val="24"/>
                <w:szCs w:val="24"/>
              </w:rPr>
              <w:t xml:space="preserve">ik gadu.  </w:t>
            </w:r>
          </w:p>
          <w:p w:rsidR="001F622C" w:rsidRPr="00343FB6" w:rsidRDefault="001F622C" w:rsidP="00BA41CF">
            <w:pPr>
              <w:pStyle w:val="Default"/>
              <w:ind w:firstLine="720"/>
              <w:jc w:val="both"/>
              <w:rPr>
                <w:color w:val="auto"/>
              </w:rPr>
            </w:pPr>
          </w:p>
          <w:p w:rsidR="001F622C" w:rsidRPr="00224BB8" w:rsidRDefault="001F622C" w:rsidP="00224BB8">
            <w:pPr>
              <w:ind w:right="284" w:firstLine="360"/>
              <w:jc w:val="both"/>
              <w:rPr>
                <w:sz w:val="24"/>
                <w:szCs w:val="24"/>
                <w:lang w:eastAsia="lv-LV"/>
              </w:rPr>
            </w:pPr>
            <w:r w:rsidRPr="00224BB8">
              <w:rPr>
                <w:sz w:val="24"/>
                <w:szCs w:val="24"/>
                <w:lang w:eastAsia="lv-LV"/>
              </w:rPr>
              <w:t>Atbilstoši Eiropas nacionālo un reģionālo kontu sistēmas Eiropas Savienībā (turpmāk – EKS) metodoloģijai publiskās un privātās partnerības projekta aktīvi, balstoties uz risku pārdales novērtējumu, var tikt statistiski uzskaitīti privātā vai publiskā partnera aktīvu bilancē (pēc to ekonomiskās piederības). Partnerības projekta aktīvi  tiek uzskaitīti tā partnera aktīvu bilancē, kas uzņemas pēc būtības lielāko daļu ar projekta īstenošanu saistīto risku. Turklāt aktīvu attiecināšana privātā vai publiskā partnera bilancē rada atšķirīgu ietekmi uz vispārējās valdības sektora budžeta bilanci un parādu:</w:t>
            </w:r>
          </w:p>
          <w:p w:rsidR="001F622C" w:rsidRPr="00224BB8" w:rsidRDefault="001F622C" w:rsidP="00224BB8">
            <w:pPr>
              <w:ind w:left="720" w:right="284" w:hanging="360"/>
              <w:jc w:val="both"/>
              <w:rPr>
                <w:sz w:val="24"/>
                <w:szCs w:val="24"/>
                <w:lang w:eastAsia="lv-LV"/>
              </w:rPr>
            </w:pPr>
            <w:r w:rsidRPr="00224BB8">
              <w:rPr>
                <w:sz w:val="24"/>
                <w:szCs w:val="24"/>
                <w:lang w:eastAsia="lv-LV"/>
              </w:rPr>
              <w:t>1)</w:t>
            </w:r>
            <w:r w:rsidRPr="00224BB8">
              <w:rPr>
                <w:sz w:val="14"/>
                <w:szCs w:val="14"/>
                <w:lang w:eastAsia="lv-LV"/>
              </w:rPr>
              <w:t xml:space="preserve">      </w:t>
            </w:r>
            <w:r w:rsidRPr="00224BB8">
              <w:rPr>
                <w:sz w:val="24"/>
                <w:szCs w:val="24"/>
                <w:lang w:eastAsia="lv-LV"/>
              </w:rPr>
              <w:t>ja aktīvi tiek uzskaitīti privātā partnera aktīvu bilancē, tad ietekme no projekta īstenošanas uz vispārējās valdības sektora bilanci tiek izlīdzināta partnerības līguma darbības laika posmā pieejamības maksājumu apmērā;</w:t>
            </w:r>
          </w:p>
          <w:p w:rsidR="001F622C" w:rsidRPr="00224BB8" w:rsidRDefault="001F622C" w:rsidP="00224BB8">
            <w:pPr>
              <w:ind w:left="720" w:right="284" w:hanging="360"/>
              <w:jc w:val="both"/>
              <w:rPr>
                <w:sz w:val="24"/>
                <w:szCs w:val="24"/>
                <w:lang w:eastAsia="lv-LV"/>
              </w:rPr>
            </w:pPr>
            <w:r w:rsidRPr="00224BB8">
              <w:rPr>
                <w:sz w:val="24"/>
                <w:szCs w:val="24"/>
                <w:lang w:eastAsia="lv-LV"/>
              </w:rPr>
              <w:t>2)</w:t>
            </w:r>
            <w:r w:rsidRPr="00224BB8">
              <w:rPr>
                <w:sz w:val="14"/>
                <w:szCs w:val="14"/>
                <w:lang w:eastAsia="lv-LV"/>
              </w:rPr>
              <w:t xml:space="preserve">      </w:t>
            </w:r>
            <w:r w:rsidRPr="00224BB8">
              <w:rPr>
                <w:sz w:val="24"/>
                <w:szCs w:val="24"/>
                <w:lang w:eastAsia="lv-LV"/>
              </w:rPr>
              <w:t xml:space="preserve">ja aktīvi tiek attiecināti publiskā partnera aktīvu bilancē, tiek radīta nevēlama ietekme uz budžeta bilanci un parādu par būvniecības periodā veikto kapitālo ieguldījumu vērtību. </w:t>
            </w:r>
          </w:p>
          <w:p w:rsidR="001F622C" w:rsidRDefault="001F622C" w:rsidP="00224BB8">
            <w:pPr>
              <w:ind w:right="284"/>
              <w:jc w:val="both"/>
              <w:rPr>
                <w:sz w:val="24"/>
                <w:szCs w:val="24"/>
                <w:lang w:eastAsia="lv-LV"/>
              </w:rPr>
            </w:pPr>
            <w:r w:rsidRPr="00224BB8">
              <w:rPr>
                <w:b/>
                <w:bCs/>
                <w:sz w:val="24"/>
                <w:szCs w:val="24"/>
                <w:lang w:eastAsia="lv-LV"/>
              </w:rPr>
              <w:t xml:space="preserve">Pamatojoties uz FEA novērtējumu (detalizēta informācija apskatāma Finanšu ministrijas 2016.gada 5.februāra atzinumā Nr.7-2-01/709), atbilstoši EKS nosacījumiem attiecībā uz publiskās un privātās partnerības projektu klasifikāciju un uzskaiti </w:t>
            </w:r>
            <w:r>
              <w:rPr>
                <w:b/>
                <w:bCs/>
                <w:sz w:val="24"/>
                <w:szCs w:val="24"/>
                <w:lang w:eastAsia="lv-LV"/>
              </w:rPr>
              <w:t xml:space="preserve">saskaņā ar Finanšu ministrijas viedokli </w:t>
            </w:r>
            <w:r w:rsidRPr="00224BB8">
              <w:rPr>
                <w:b/>
                <w:bCs/>
                <w:sz w:val="24"/>
                <w:szCs w:val="24"/>
                <w:lang w:eastAsia="lv-LV"/>
              </w:rPr>
              <w:t>pastāv vērā ņemams risks, ka partnerības iepirkuma līguma aktīvi tiks attiecināti kā vispārējās valdības aktīvu bilancē esoši, un tādējādi plānotā partnerības iepirkuma līguma īstenošana atstātu nevēlamu ietekmi uz valsts budžeta deficītu un parādu Ķekavas apvedceļa būvniecības periodā veikto kapitālo izdevumu apmērā (provizorisko fiskālo ietekmi sk. zemāk).</w:t>
            </w:r>
            <w:r w:rsidRPr="00224BB8">
              <w:rPr>
                <w:sz w:val="24"/>
                <w:szCs w:val="24"/>
                <w:lang w:eastAsia="lv-LV"/>
              </w:rPr>
              <w:t xml:space="preserve"> Līdz ar to rīkojuma projektā Satiksmes ministrijai sadarbībā ar Finanšu ministriju ir uzdots uzdevums nodrošināt tāda līguma projekta parakstīšanu, par kuru tiks saņemts </w:t>
            </w:r>
            <w:proofErr w:type="spellStart"/>
            <w:r w:rsidRPr="00224BB8">
              <w:rPr>
                <w:i/>
                <w:iCs/>
                <w:sz w:val="24"/>
                <w:szCs w:val="24"/>
                <w:lang w:eastAsia="lv-LV"/>
              </w:rPr>
              <w:t>Eurostat</w:t>
            </w:r>
            <w:proofErr w:type="spellEnd"/>
            <w:r w:rsidRPr="00224BB8">
              <w:rPr>
                <w:sz w:val="24"/>
                <w:szCs w:val="24"/>
                <w:lang w:eastAsia="lv-LV"/>
              </w:rPr>
              <w:t xml:space="preserve"> viedoklis, ka līguma aktīvi provizoriski atbilst EKS nosacījumiem, neradot nevēlamu ietekmi uz vispārējās valdības f</w:t>
            </w:r>
            <w:r>
              <w:rPr>
                <w:sz w:val="24"/>
                <w:szCs w:val="24"/>
                <w:lang w:eastAsia="lv-LV"/>
              </w:rPr>
              <w:t>iskālajiem rādītājiem.</w:t>
            </w:r>
          </w:p>
          <w:p w:rsidR="001F622C" w:rsidRDefault="001F622C" w:rsidP="00224BB8">
            <w:pPr>
              <w:ind w:right="284"/>
              <w:jc w:val="both"/>
              <w:rPr>
                <w:sz w:val="24"/>
                <w:szCs w:val="24"/>
                <w:lang w:eastAsia="lv-LV"/>
              </w:rPr>
            </w:pPr>
          </w:p>
          <w:p w:rsidR="00334489" w:rsidRDefault="00334489" w:rsidP="00224BB8">
            <w:pPr>
              <w:ind w:right="284"/>
              <w:jc w:val="both"/>
              <w:rPr>
                <w:sz w:val="24"/>
                <w:szCs w:val="24"/>
                <w:lang w:eastAsia="lv-LV"/>
              </w:rPr>
            </w:pPr>
          </w:p>
          <w:p w:rsidR="00334489" w:rsidRPr="00224BB8" w:rsidRDefault="00334489" w:rsidP="00224BB8">
            <w:pPr>
              <w:ind w:right="284"/>
              <w:jc w:val="both"/>
              <w:rPr>
                <w:sz w:val="24"/>
                <w:szCs w:val="24"/>
                <w:lang w:eastAsia="lv-LV"/>
              </w:rPr>
            </w:pPr>
            <w:r>
              <w:rPr>
                <w:sz w:val="24"/>
                <w:szCs w:val="24"/>
                <w:lang w:eastAsia="lv-LV"/>
              </w:rPr>
              <w:t xml:space="preserve">  </w:t>
            </w:r>
            <w:bookmarkStart w:id="0" w:name="_GoBack"/>
            <w:bookmarkEnd w:id="0"/>
          </w:p>
          <w:p w:rsidR="001F622C" w:rsidRDefault="001F622C" w:rsidP="00943F43">
            <w:pPr>
              <w:ind w:right="284" w:firstLine="360"/>
              <w:jc w:val="both"/>
              <w:rPr>
                <w:sz w:val="24"/>
                <w:szCs w:val="24"/>
                <w:lang w:eastAsia="lv-LV"/>
              </w:rPr>
            </w:pPr>
            <w:r>
              <w:rPr>
                <w:sz w:val="24"/>
                <w:szCs w:val="24"/>
                <w:lang w:eastAsia="lv-LV"/>
              </w:rPr>
              <w:t>Provizoriskā ietekme</w:t>
            </w:r>
            <w:r w:rsidRPr="00224BB8">
              <w:rPr>
                <w:sz w:val="24"/>
                <w:szCs w:val="24"/>
                <w:lang w:eastAsia="lv-LV"/>
              </w:rPr>
              <w:t xml:space="preserve"> uz vispārējās valdības sektora budžeta izdevumiem, ja partnerības aktīvi tiek uzskaitīti publiskā partnera aktīvu bilancē</w:t>
            </w:r>
            <w:r>
              <w:rPr>
                <w:sz w:val="24"/>
                <w:szCs w:val="24"/>
                <w:lang w:eastAsia="lv-LV"/>
              </w:rPr>
              <w:t>, ir šāda</w:t>
            </w:r>
            <w:r w:rsidRPr="00224BB8">
              <w:rPr>
                <w:sz w:val="24"/>
                <w:szCs w:val="24"/>
                <w:lang w:eastAsia="lv-LV"/>
              </w:rPr>
              <w:t>: </w:t>
            </w:r>
          </w:p>
          <w:p w:rsidR="00C97EDE" w:rsidRDefault="00C97EDE" w:rsidP="00943F43">
            <w:pPr>
              <w:ind w:right="284" w:firstLine="360"/>
              <w:jc w:val="both"/>
              <w:rPr>
                <w:sz w:val="24"/>
                <w:szCs w:val="24"/>
                <w:lang w:eastAsia="lv-LV"/>
              </w:rPr>
            </w:pPr>
          </w:p>
          <w:tbl>
            <w:tblPr>
              <w:tblW w:w="7500" w:type="dxa"/>
              <w:tblCellMar>
                <w:left w:w="0" w:type="dxa"/>
                <w:right w:w="0" w:type="dxa"/>
              </w:tblCellMar>
              <w:tblLook w:val="00A0" w:firstRow="1" w:lastRow="0" w:firstColumn="1" w:lastColumn="0" w:noHBand="0" w:noVBand="0"/>
            </w:tblPr>
            <w:tblGrid>
              <w:gridCol w:w="740"/>
              <w:gridCol w:w="912"/>
              <w:gridCol w:w="1447"/>
              <w:gridCol w:w="1579"/>
              <w:gridCol w:w="1408"/>
              <w:gridCol w:w="1390"/>
              <w:gridCol w:w="6"/>
            </w:tblGrid>
            <w:tr w:rsidR="00013FBC" w:rsidRPr="00224BB8" w:rsidTr="00C97EDE">
              <w:trPr>
                <w:trHeight w:val="645"/>
              </w:trPr>
              <w:tc>
                <w:tcPr>
                  <w:tcW w:w="742" w:type="dxa"/>
                  <w:tcBorders>
                    <w:top w:val="single" w:sz="12" w:space="0" w:color="auto"/>
                    <w:left w:val="nil"/>
                    <w:bottom w:val="single" w:sz="12" w:space="0" w:color="auto"/>
                    <w:right w:val="nil"/>
                  </w:tcBorders>
                  <w:shd w:val="clear" w:color="auto" w:fill="FFFFFF"/>
                  <w:noWrap/>
                  <w:tcMar>
                    <w:top w:w="0" w:type="dxa"/>
                    <w:left w:w="108" w:type="dxa"/>
                    <w:bottom w:w="0" w:type="dxa"/>
                    <w:right w:w="108" w:type="dxa"/>
                  </w:tcMar>
                  <w:vAlign w:val="center"/>
                </w:tcPr>
                <w:p w:rsidR="001F622C" w:rsidRPr="00013FBC" w:rsidRDefault="001F622C" w:rsidP="00224BB8">
                  <w:pPr>
                    <w:jc w:val="center"/>
                    <w:rPr>
                      <w:sz w:val="22"/>
                      <w:lang w:eastAsia="lv-LV"/>
                    </w:rPr>
                  </w:pPr>
                  <w:r w:rsidRPr="00013FBC">
                    <w:rPr>
                      <w:bCs/>
                      <w:sz w:val="22"/>
                      <w:lang w:eastAsia="lv-LV"/>
                    </w:rPr>
                    <w:t>Gads</w:t>
                  </w:r>
                </w:p>
              </w:tc>
              <w:tc>
                <w:tcPr>
                  <w:tcW w:w="914"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vAlign w:val="center"/>
                </w:tcPr>
                <w:p w:rsidR="001F622C" w:rsidRPr="00013FBC" w:rsidRDefault="001F622C" w:rsidP="00224BB8">
                  <w:pPr>
                    <w:jc w:val="center"/>
                    <w:rPr>
                      <w:sz w:val="22"/>
                      <w:lang w:eastAsia="lv-LV"/>
                    </w:rPr>
                  </w:pPr>
                  <w:r w:rsidRPr="00013FBC">
                    <w:rPr>
                      <w:bCs/>
                      <w:sz w:val="22"/>
                      <w:lang w:eastAsia="lv-LV"/>
                    </w:rPr>
                    <w:t>Zemes iegāde</w:t>
                  </w:r>
                </w:p>
              </w:tc>
              <w:tc>
                <w:tcPr>
                  <w:tcW w:w="1451"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vAlign w:val="center"/>
                </w:tcPr>
                <w:p w:rsidR="001F622C" w:rsidRPr="00013FBC" w:rsidRDefault="001F622C" w:rsidP="00224BB8">
                  <w:pPr>
                    <w:jc w:val="center"/>
                    <w:rPr>
                      <w:sz w:val="22"/>
                      <w:lang w:eastAsia="lv-LV"/>
                    </w:rPr>
                  </w:pPr>
                  <w:proofErr w:type="spellStart"/>
                  <w:r w:rsidRPr="00013FBC">
                    <w:rPr>
                      <w:bCs/>
                      <w:sz w:val="22"/>
                      <w:lang w:eastAsia="lv-LV"/>
                    </w:rPr>
                    <w:t>Administratī-vās</w:t>
                  </w:r>
                  <w:proofErr w:type="spellEnd"/>
                  <w:r w:rsidRPr="00013FBC">
                    <w:rPr>
                      <w:bCs/>
                      <w:sz w:val="22"/>
                      <w:lang w:eastAsia="lv-LV"/>
                    </w:rPr>
                    <w:t>  izmaksas</w:t>
                  </w:r>
                </w:p>
              </w:tc>
              <w:tc>
                <w:tcPr>
                  <w:tcW w:w="1583"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vAlign w:val="center"/>
                </w:tcPr>
                <w:p w:rsidR="001F622C" w:rsidRPr="00013FBC" w:rsidRDefault="001F622C" w:rsidP="00224BB8">
                  <w:pPr>
                    <w:jc w:val="center"/>
                    <w:rPr>
                      <w:sz w:val="22"/>
                      <w:lang w:eastAsia="lv-LV"/>
                    </w:rPr>
                  </w:pPr>
                  <w:r w:rsidRPr="00013FBC">
                    <w:rPr>
                      <w:bCs/>
                      <w:sz w:val="22"/>
                      <w:lang w:eastAsia="lv-LV"/>
                    </w:rPr>
                    <w:t>Pieejamības maksājumi</w:t>
                  </w:r>
                </w:p>
              </w:tc>
              <w:tc>
                <w:tcPr>
                  <w:tcW w:w="1411"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vAlign w:val="center"/>
                </w:tcPr>
                <w:p w:rsidR="001F622C" w:rsidRPr="00013FBC" w:rsidRDefault="001F622C" w:rsidP="00224BB8">
                  <w:pPr>
                    <w:jc w:val="center"/>
                    <w:rPr>
                      <w:sz w:val="22"/>
                      <w:lang w:eastAsia="lv-LV"/>
                    </w:rPr>
                  </w:pPr>
                  <w:r w:rsidRPr="00013FBC">
                    <w:rPr>
                      <w:bCs/>
                      <w:sz w:val="22"/>
                      <w:lang w:eastAsia="lv-LV"/>
                    </w:rPr>
                    <w:t>EKS korekcijas</w:t>
                  </w:r>
                </w:p>
              </w:tc>
              <w:tc>
                <w:tcPr>
                  <w:tcW w:w="1393" w:type="dxa"/>
                  <w:tcBorders>
                    <w:top w:val="single" w:sz="12" w:space="0" w:color="auto"/>
                    <w:left w:val="nil"/>
                    <w:bottom w:val="single" w:sz="12" w:space="0" w:color="auto"/>
                    <w:right w:val="nil"/>
                  </w:tcBorders>
                  <w:shd w:val="clear" w:color="auto" w:fill="FFFFFF"/>
                  <w:tcMar>
                    <w:top w:w="0" w:type="dxa"/>
                    <w:left w:w="108" w:type="dxa"/>
                    <w:bottom w:w="0" w:type="dxa"/>
                    <w:right w:w="108" w:type="dxa"/>
                  </w:tcMar>
                  <w:vAlign w:val="center"/>
                </w:tcPr>
                <w:p w:rsidR="001F622C" w:rsidRPr="00013FBC" w:rsidRDefault="001F622C" w:rsidP="00224BB8">
                  <w:pPr>
                    <w:jc w:val="center"/>
                    <w:rPr>
                      <w:sz w:val="22"/>
                      <w:lang w:eastAsia="lv-LV"/>
                    </w:rPr>
                  </w:pPr>
                  <w:r w:rsidRPr="00013FBC">
                    <w:rPr>
                      <w:bCs/>
                      <w:sz w:val="22"/>
                      <w:lang w:eastAsia="lv-LV"/>
                    </w:rPr>
                    <w:t>Fiskālā ietekme*</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30"/>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lastRenderedPageBreak/>
                    <w:t>2015</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center"/>
                </w:tcPr>
                <w:p w:rsidR="001F622C" w:rsidRPr="00224BB8" w:rsidRDefault="001F622C" w:rsidP="00224BB8">
                  <w:pPr>
                    <w:jc w:val="right"/>
                    <w:rPr>
                      <w:sz w:val="24"/>
                      <w:szCs w:val="24"/>
                      <w:lang w:eastAsia="lv-LV"/>
                    </w:rPr>
                  </w:pPr>
                  <w:r w:rsidRPr="00224BB8">
                    <w:rPr>
                      <w:sz w:val="24"/>
                      <w:szCs w:val="24"/>
                      <w:lang w:eastAsia="lv-LV"/>
                    </w:rPr>
                    <w:t>600 000</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600 000</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2016</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center"/>
                </w:tcPr>
                <w:p w:rsidR="001F622C" w:rsidRPr="00224BB8" w:rsidRDefault="001F622C" w:rsidP="00224BB8">
                  <w:pPr>
                    <w:jc w:val="right"/>
                    <w:rPr>
                      <w:sz w:val="24"/>
                      <w:szCs w:val="24"/>
                      <w:lang w:eastAsia="lv-LV"/>
                    </w:rPr>
                  </w:pPr>
                  <w:r w:rsidRPr="00224BB8">
                    <w:rPr>
                      <w:sz w:val="24"/>
                      <w:szCs w:val="24"/>
                      <w:lang w:eastAsia="lv-LV"/>
                    </w:rPr>
                    <w:t>1 000 000</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tcPr>
                <w:p w:rsidR="001F622C" w:rsidRPr="00224BB8" w:rsidRDefault="001F622C" w:rsidP="00224BB8">
                  <w:pPr>
                    <w:jc w:val="right"/>
                    <w:rPr>
                      <w:sz w:val="24"/>
                      <w:szCs w:val="24"/>
                      <w:lang w:eastAsia="lv-LV"/>
                    </w:rPr>
                  </w:pPr>
                  <w:r w:rsidRPr="00224BB8">
                    <w:rPr>
                      <w:sz w:val="24"/>
                      <w:szCs w:val="24"/>
                      <w:lang w:eastAsia="lv-LV"/>
                    </w:rPr>
                    <w:t>442 650</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1 442 650</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2017</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1 830 278</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442 650</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2 272 928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2018</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4 270 650</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442 650</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4 713 300</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2019</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6 100 928</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6 100 928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2020</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tcPr>
                <w:p w:rsidR="001F622C" w:rsidRPr="00224BB8" w:rsidRDefault="001F622C" w:rsidP="00224BB8">
                  <w:pPr>
                    <w:jc w:val="right"/>
                    <w:rPr>
                      <w:sz w:val="24"/>
                      <w:szCs w:val="24"/>
                      <w:lang w:eastAsia="lv-LV"/>
                    </w:rPr>
                  </w:pPr>
                  <w:r w:rsidRPr="00224BB8">
                    <w:rPr>
                      <w:sz w:val="24"/>
                      <w:szCs w:val="24"/>
                      <w:lang w:eastAsia="lv-LV"/>
                    </w:rPr>
                    <w:t>15 524 718</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15 524 718**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2021</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center"/>
                </w:tcPr>
                <w:p w:rsidR="001F622C" w:rsidRPr="00224BB8" w:rsidRDefault="001F622C" w:rsidP="00224BB8">
                  <w:pPr>
                    <w:jc w:val="right"/>
                    <w:rPr>
                      <w:sz w:val="24"/>
                      <w:szCs w:val="24"/>
                      <w:lang w:eastAsia="lv-LV"/>
                    </w:rPr>
                  </w:pPr>
                  <w:r w:rsidRPr="00224BB8">
                    <w:rPr>
                      <w:sz w:val="24"/>
                      <w:szCs w:val="24"/>
                      <w:lang w:eastAsia="lv-LV"/>
                    </w:rPr>
                    <w:t>31 049 435</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31 049 435**</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2022</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center"/>
                </w:tcPr>
                <w:p w:rsidR="001F622C" w:rsidRPr="00224BB8" w:rsidRDefault="001F622C" w:rsidP="00224BB8">
                  <w:pPr>
                    <w:jc w:val="right"/>
                    <w:rPr>
                      <w:sz w:val="24"/>
                      <w:szCs w:val="24"/>
                      <w:lang w:eastAsia="lv-LV"/>
                    </w:rPr>
                  </w:pPr>
                  <w:r w:rsidRPr="00224BB8">
                    <w:rPr>
                      <w:sz w:val="24"/>
                      <w:szCs w:val="24"/>
                      <w:lang w:eastAsia="lv-LV"/>
                    </w:rPr>
                    <w:t>31 049 435</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31 049 435**</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2023</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2024</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2025</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2026</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2027</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2028</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2029</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2030</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2031</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2032</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2033</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2034</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2035</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2036</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2037</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2038</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2039</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2040</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2041</w:t>
                  </w:r>
                </w:p>
              </w:tc>
              <w:tc>
                <w:tcPr>
                  <w:tcW w:w="914"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D9D9D9"/>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center"/>
                    <w:rPr>
                      <w:rFonts w:ascii="Calibri" w:hAnsi="Calibri"/>
                      <w:sz w:val="22"/>
                    </w:rPr>
                  </w:pPr>
                  <w:r w:rsidRPr="00224BB8">
                    <w:rPr>
                      <w:b/>
                      <w:bCs/>
                      <w:sz w:val="24"/>
                      <w:szCs w:val="24"/>
                      <w:lang w:eastAsia="lv-LV"/>
                    </w:rPr>
                    <w:t>2042</w:t>
                  </w:r>
                </w:p>
              </w:tc>
              <w:tc>
                <w:tcPr>
                  <w:tcW w:w="914"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8 030 307</w:t>
                  </w:r>
                </w:p>
              </w:tc>
              <w:tc>
                <w:tcPr>
                  <w:tcW w:w="1411" w:type="dxa"/>
                  <w:tcBorders>
                    <w:top w:val="nil"/>
                    <w:left w:val="nil"/>
                    <w:bottom w:val="nil"/>
                    <w:right w:val="single" w:sz="8" w:space="0" w:color="auto"/>
                  </w:tcBorders>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sz w:val="24"/>
                      <w:szCs w:val="24"/>
                      <w:lang w:eastAsia="lv-LV"/>
                    </w:rPr>
                    <w:t>-3 881 179</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jc w:val="right"/>
                    <w:rPr>
                      <w:sz w:val="24"/>
                      <w:szCs w:val="24"/>
                      <w:lang w:eastAsia="lv-LV"/>
                    </w:rPr>
                  </w:pPr>
                  <w:r w:rsidRPr="00224BB8">
                    <w:rPr>
                      <w:b/>
                      <w:bCs/>
                      <w:sz w:val="24"/>
                      <w:szCs w:val="24"/>
                      <w:lang w:eastAsia="lv-LV"/>
                    </w:rPr>
                    <w:t>4 149 128</w:t>
                  </w:r>
                </w:p>
              </w:tc>
              <w:tc>
                <w:tcPr>
                  <w:tcW w:w="6" w:type="dxa"/>
                  <w:vAlign w:val="center"/>
                </w:tcPr>
                <w:p w:rsidR="001F622C" w:rsidRPr="00224BB8" w:rsidRDefault="001F622C" w:rsidP="00224BB8">
                  <w:pPr>
                    <w:rPr>
                      <w:sz w:val="20"/>
                      <w:szCs w:val="20"/>
                      <w:lang w:eastAsia="lv-LV"/>
                    </w:rPr>
                  </w:pPr>
                </w:p>
              </w:tc>
            </w:tr>
            <w:tr w:rsidR="00013FBC" w:rsidRPr="00224BB8" w:rsidTr="00C97EDE">
              <w:trPr>
                <w:trHeight w:val="315"/>
              </w:trPr>
              <w:tc>
                <w:tcPr>
                  <w:tcW w:w="742" w:type="dxa"/>
                  <w:shd w:val="clear" w:color="auto" w:fill="FFFFFF"/>
                  <w:noWrap/>
                  <w:tcMar>
                    <w:top w:w="0" w:type="dxa"/>
                    <w:left w:w="108" w:type="dxa"/>
                    <w:bottom w:w="0" w:type="dxa"/>
                    <w:right w:w="108" w:type="dxa"/>
                  </w:tcMar>
                  <w:vAlign w:val="bottom"/>
                </w:tcPr>
                <w:p w:rsidR="001F622C" w:rsidRPr="00224BB8" w:rsidRDefault="001F622C" w:rsidP="00224BB8">
                  <w:pPr>
                    <w:rPr>
                      <w:rFonts w:ascii="Calibri" w:hAnsi="Calibri"/>
                      <w:sz w:val="22"/>
                    </w:rPr>
                  </w:pPr>
                  <w:r w:rsidRPr="00224BB8">
                    <w:rPr>
                      <w:sz w:val="24"/>
                      <w:szCs w:val="24"/>
                      <w:lang w:eastAsia="lv-LV"/>
                    </w:rPr>
                    <w:t> </w:t>
                  </w:r>
                </w:p>
              </w:tc>
              <w:tc>
                <w:tcPr>
                  <w:tcW w:w="914" w:type="dxa"/>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51" w:type="dxa"/>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583" w:type="dxa"/>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411" w:type="dxa"/>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1393" w:type="dxa"/>
                  <w:shd w:val="clear" w:color="auto" w:fill="FFFFFF"/>
                  <w:noWrap/>
                  <w:tcMar>
                    <w:top w:w="0" w:type="dxa"/>
                    <w:left w:w="108" w:type="dxa"/>
                    <w:bottom w:w="0" w:type="dxa"/>
                    <w:right w:w="108" w:type="dxa"/>
                  </w:tcMar>
                  <w:vAlign w:val="bottom"/>
                </w:tcPr>
                <w:p w:rsidR="001F622C" w:rsidRPr="00224BB8" w:rsidRDefault="001F622C" w:rsidP="00224BB8">
                  <w:pPr>
                    <w:rPr>
                      <w:sz w:val="24"/>
                      <w:szCs w:val="24"/>
                      <w:lang w:eastAsia="lv-LV"/>
                    </w:rPr>
                  </w:pPr>
                  <w:r w:rsidRPr="00224BB8">
                    <w:rPr>
                      <w:sz w:val="24"/>
                      <w:szCs w:val="24"/>
                      <w:lang w:eastAsia="lv-LV"/>
                    </w:rPr>
                    <w:t> </w:t>
                  </w:r>
                </w:p>
              </w:tc>
              <w:tc>
                <w:tcPr>
                  <w:tcW w:w="6" w:type="dxa"/>
                  <w:vAlign w:val="center"/>
                </w:tcPr>
                <w:p w:rsidR="001F622C" w:rsidRPr="00224BB8" w:rsidRDefault="001F622C" w:rsidP="00224BB8">
                  <w:pPr>
                    <w:rPr>
                      <w:sz w:val="20"/>
                      <w:szCs w:val="20"/>
                      <w:lang w:eastAsia="lv-LV"/>
                    </w:rPr>
                  </w:pPr>
                </w:p>
              </w:tc>
            </w:tr>
            <w:tr w:rsidR="001F622C" w:rsidRPr="00224BB8" w:rsidTr="00C97EDE">
              <w:trPr>
                <w:trHeight w:val="315"/>
              </w:trPr>
              <w:tc>
                <w:tcPr>
                  <w:tcW w:w="7494" w:type="dxa"/>
                  <w:gridSpan w:val="6"/>
                  <w:vMerge w:val="restart"/>
                  <w:shd w:val="clear" w:color="auto" w:fill="FFFFFF"/>
                  <w:tcMar>
                    <w:top w:w="0" w:type="dxa"/>
                    <w:left w:w="108" w:type="dxa"/>
                    <w:bottom w:w="0" w:type="dxa"/>
                    <w:right w:w="108" w:type="dxa"/>
                  </w:tcMar>
                </w:tcPr>
                <w:p w:rsidR="001F622C" w:rsidRPr="00224BB8" w:rsidRDefault="001F622C" w:rsidP="00224BB8">
                  <w:pPr>
                    <w:jc w:val="both"/>
                    <w:rPr>
                      <w:rFonts w:ascii="Calibri" w:hAnsi="Calibri"/>
                      <w:sz w:val="22"/>
                    </w:rPr>
                  </w:pPr>
                  <w:r w:rsidRPr="00224BB8">
                    <w:rPr>
                      <w:i/>
                      <w:iCs/>
                      <w:sz w:val="24"/>
                      <w:szCs w:val="24"/>
                      <w:lang w:eastAsia="lv-LV"/>
                    </w:rPr>
                    <w:t>* aprēķini veikti, pieņemot, ka projekts tiek īstenots bez finansējuma piesaistes no Eiropas Stratēģisko investīciju fonda (EFSI).</w:t>
                  </w:r>
                </w:p>
                <w:p w:rsidR="001F622C" w:rsidRDefault="001F622C" w:rsidP="00224BB8">
                  <w:pPr>
                    <w:jc w:val="both"/>
                    <w:rPr>
                      <w:i/>
                      <w:iCs/>
                      <w:sz w:val="24"/>
                      <w:szCs w:val="24"/>
                      <w:lang w:eastAsia="lv-LV"/>
                    </w:rPr>
                  </w:pPr>
                  <w:r w:rsidRPr="00224BB8">
                    <w:rPr>
                      <w:i/>
                      <w:iCs/>
                      <w:sz w:val="24"/>
                      <w:szCs w:val="24"/>
                      <w:lang w:eastAsia="lv-LV"/>
                    </w:rPr>
                    <w:t>** nevēlama fiskālā ietekme.</w:t>
                  </w:r>
                </w:p>
                <w:p w:rsidR="001F622C" w:rsidRDefault="001F622C" w:rsidP="00224BB8">
                  <w:pPr>
                    <w:jc w:val="both"/>
                    <w:rPr>
                      <w:i/>
                      <w:iCs/>
                      <w:sz w:val="24"/>
                      <w:szCs w:val="24"/>
                      <w:lang w:eastAsia="lv-LV"/>
                    </w:rPr>
                  </w:pPr>
                </w:p>
                <w:p w:rsidR="001F622C" w:rsidRPr="001A635D" w:rsidRDefault="001F622C" w:rsidP="00943F43">
                  <w:pPr>
                    <w:jc w:val="both"/>
                    <w:rPr>
                      <w:sz w:val="24"/>
                      <w:szCs w:val="24"/>
                      <w:lang w:eastAsia="lv-LV"/>
                    </w:rPr>
                  </w:pPr>
                  <w:r>
                    <w:rPr>
                      <w:sz w:val="24"/>
                      <w:szCs w:val="24"/>
                      <w:lang w:eastAsia="lv-LV"/>
                    </w:rPr>
                    <w:t xml:space="preserve">Rīkojuma projektā un anotācijā norādītajos aprēķinu rezultātos ir ņemtas vērā visas izmaksas, tai skaitā iekļauti nodokļi saskaņā ar Latvijas normatīvajiem aktiem. </w:t>
                  </w:r>
                  <w:r w:rsidR="00185116">
                    <w:rPr>
                      <w:sz w:val="24"/>
                      <w:szCs w:val="24"/>
                      <w:lang w:eastAsia="lv-LV"/>
                    </w:rPr>
                    <w:t xml:space="preserve">Centrālās finanšu un līgumu </w:t>
                  </w:r>
                  <w:r w:rsidR="00185116" w:rsidRPr="00185116">
                    <w:rPr>
                      <w:sz w:val="24"/>
                      <w:szCs w:val="24"/>
                      <w:lang w:eastAsia="lv-LV"/>
                    </w:rPr>
                    <w:t>aģentūras 2016.gada 19.</w:t>
                  </w:r>
                  <w:r w:rsidR="00185116">
                    <w:rPr>
                      <w:sz w:val="24"/>
                      <w:szCs w:val="24"/>
                      <w:lang w:eastAsia="lv-LV"/>
                    </w:rPr>
                    <w:t>j</w:t>
                  </w:r>
                  <w:r w:rsidR="00185116" w:rsidRPr="00185116">
                    <w:rPr>
                      <w:sz w:val="24"/>
                      <w:szCs w:val="24"/>
                      <w:lang w:eastAsia="lv-LV"/>
                    </w:rPr>
                    <w:t xml:space="preserve">anvāra </w:t>
                  </w:r>
                  <w:r w:rsidRPr="00185116">
                    <w:rPr>
                      <w:sz w:val="24"/>
                      <w:szCs w:val="24"/>
                      <w:lang w:eastAsia="lv-LV"/>
                    </w:rPr>
                    <w:t>atzinumā</w:t>
                  </w:r>
                  <w:r>
                    <w:rPr>
                      <w:sz w:val="24"/>
                      <w:szCs w:val="24"/>
                      <w:lang w:eastAsia="lv-LV"/>
                    </w:rPr>
                    <w:t xml:space="preserve"> ir norādīts, ka veiktie aprēķini ir pamatoti.</w:t>
                  </w:r>
                </w:p>
              </w:tc>
              <w:tc>
                <w:tcPr>
                  <w:tcW w:w="6" w:type="dxa"/>
                  <w:vAlign w:val="center"/>
                </w:tcPr>
                <w:p w:rsidR="001F622C" w:rsidRPr="00224BB8" w:rsidRDefault="001F622C" w:rsidP="00224BB8">
                  <w:pPr>
                    <w:rPr>
                      <w:sz w:val="20"/>
                      <w:szCs w:val="20"/>
                      <w:lang w:eastAsia="lv-LV"/>
                    </w:rPr>
                  </w:pPr>
                </w:p>
              </w:tc>
            </w:tr>
          </w:tbl>
          <w:p w:rsidR="001F622C" w:rsidRPr="00343FB6" w:rsidRDefault="001F622C" w:rsidP="006C61C2">
            <w:pPr>
              <w:jc w:val="both"/>
            </w:pPr>
          </w:p>
        </w:tc>
      </w:tr>
    </w:tbl>
    <w:p w:rsidR="001F622C" w:rsidRPr="00343FB6" w:rsidRDefault="001F622C" w:rsidP="007065B6">
      <w:pPr>
        <w:rPr>
          <w:color w:val="000000"/>
          <w:sz w:val="24"/>
          <w:szCs w:val="24"/>
          <w:lang w:eastAsia="lv-LV"/>
        </w:rPr>
      </w:pPr>
    </w:p>
    <w:p w:rsidR="001F622C" w:rsidRPr="00343FB6" w:rsidRDefault="001F622C" w:rsidP="007065B6">
      <w:pPr>
        <w:rPr>
          <w:color w:val="00000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5935"/>
      </w:tblGrid>
      <w:tr w:rsidR="001F622C" w:rsidRPr="00343FB6" w:rsidTr="003D4334">
        <w:trPr>
          <w:trHeight w:val="420"/>
        </w:trPr>
        <w:tc>
          <w:tcPr>
            <w:tcW w:w="0" w:type="auto"/>
            <w:gridSpan w:val="3"/>
            <w:tcBorders>
              <w:top w:val="outset" w:sz="6" w:space="0" w:color="414142"/>
              <w:bottom w:val="outset" w:sz="6" w:space="0" w:color="414142"/>
            </w:tcBorders>
            <w:shd w:val="clear" w:color="auto" w:fill="FFFFFF"/>
            <w:vAlign w:val="center"/>
          </w:tcPr>
          <w:p w:rsidR="001F622C" w:rsidRPr="00343FB6" w:rsidRDefault="001F622C" w:rsidP="00B56C3E">
            <w:pPr>
              <w:spacing w:before="100" w:beforeAutospacing="1" w:after="100" w:afterAutospacing="1" w:line="285" w:lineRule="atLeast"/>
              <w:jc w:val="center"/>
              <w:rPr>
                <w:b/>
                <w:bCs/>
                <w:color w:val="000000"/>
                <w:sz w:val="24"/>
                <w:szCs w:val="24"/>
                <w:lang w:eastAsia="lv-LV"/>
              </w:rPr>
            </w:pPr>
            <w:r w:rsidRPr="00343FB6">
              <w:rPr>
                <w:b/>
                <w:bCs/>
                <w:color w:val="000000"/>
                <w:sz w:val="24"/>
                <w:szCs w:val="24"/>
                <w:lang w:eastAsia="lv-LV"/>
              </w:rPr>
              <w:lastRenderedPageBreak/>
              <w:t>VI. Sabiedrības līdzdalība un komunikācijas aktivitātes</w:t>
            </w:r>
          </w:p>
        </w:tc>
      </w:tr>
      <w:tr w:rsidR="001F622C" w:rsidRPr="00343FB6" w:rsidTr="003D4334">
        <w:trPr>
          <w:trHeight w:val="540"/>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tcBorders>
            <w:shd w:val="clear" w:color="auto" w:fill="FFFFFF"/>
          </w:tcPr>
          <w:p w:rsidR="001F622C" w:rsidRPr="00343FB6" w:rsidRDefault="001F622C" w:rsidP="00367EF4">
            <w:pPr>
              <w:jc w:val="both"/>
              <w:rPr>
                <w:color w:val="000000"/>
                <w:sz w:val="24"/>
                <w:szCs w:val="24"/>
                <w:lang w:eastAsia="lv-LV"/>
              </w:rPr>
            </w:pPr>
            <w:r w:rsidRPr="00343FB6">
              <w:rPr>
                <w:color w:val="000000"/>
                <w:sz w:val="24"/>
                <w:szCs w:val="24"/>
                <w:lang w:eastAsia="lv-LV"/>
              </w:rPr>
              <w:t>Sabiedrības līdzdalība tiek nodrošināta, veicot ietekmes uz vidi novērtējumu..</w:t>
            </w:r>
          </w:p>
        </w:tc>
      </w:tr>
      <w:tr w:rsidR="001F622C" w:rsidRPr="00343FB6" w:rsidTr="003D4334">
        <w:trPr>
          <w:trHeight w:val="330"/>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tcBorders>
            <w:shd w:val="clear" w:color="auto" w:fill="FFFFFF"/>
          </w:tcPr>
          <w:p w:rsidR="001F622C" w:rsidRPr="00343FB6" w:rsidRDefault="001F622C" w:rsidP="00BA41CF">
            <w:pPr>
              <w:jc w:val="both"/>
              <w:rPr>
                <w:color w:val="000000"/>
                <w:sz w:val="24"/>
                <w:szCs w:val="24"/>
                <w:lang w:eastAsia="lv-LV"/>
              </w:rPr>
            </w:pPr>
            <w:r w:rsidRPr="00343FB6">
              <w:rPr>
                <w:color w:val="000000"/>
                <w:sz w:val="24"/>
                <w:szCs w:val="24"/>
                <w:lang w:eastAsia="lv-LV"/>
              </w:rPr>
              <w:t>Projekta finanšu un ekonomiskā aprēķina sagatavošanas un Finanšu ministrijas un uzraudzības institūcijas (CFLA) atzinumu saņemšanas stadijā sadarbība ar valsts pārvaldes institūcijām, kā arī Latvijas publiskās un privātās partnerības asociāciju informācijas apmaiņas līmenī.</w:t>
            </w:r>
          </w:p>
        </w:tc>
      </w:tr>
      <w:tr w:rsidR="001F622C" w:rsidRPr="00343FB6"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Sabiedrības līdzdalības rezultāti</w:t>
            </w:r>
          </w:p>
        </w:tc>
        <w:tc>
          <w:tcPr>
            <w:tcW w:w="3250" w:type="pct"/>
            <w:tcBorders>
              <w:top w:val="outset" w:sz="6" w:space="0" w:color="414142"/>
              <w:left w:val="outset" w:sz="6" w:space="0" w:color="414142"/>
              <w:bottom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Projekts šo jomu neskar.</w:t>
            </w:r>
          </w:p>
        </w:tc>
      </w:tr>
      <w:tr w:rsidR="001F622C" w:rsidRPr="00343FB6" w:rsidTr="003D4334">
        <w:trPr>
          <w:trHeight w:val="465"/>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Cita informācija</w:t>
            </w:r>
          </w:p>
        </w:tc>
        <w:tc>
          <w:tcPr>
            <w:tcW w:w="3250" w:type="pct"/>
            <w:tcBorders>
              <w:top w:val="outset" w:sz="6" w:space="0" w:color="414142"/>
              <w:left w:val="outset" w:sz="6" w:space="0" w:color="414142"/>
              <w:bottom w:val="outset" w:sz="6" w:space="0" w:color="414142"/>
            </w:tcBorders>
            <w:shd w:val="clear" w:color="auto" w:fill="FFFFFF"/>
          </w:tcPr>
          <w:p w:rsidR="001F622C" w:rsidRPr="00343FB6" w:rsidRDefault="001F622C" w:rsidP="00B56C3E">
            <w:pPr>
              <w:spacing w:before="100" w:beforeAutospacing="1" w:after="100" w:afterAutospacing="1" w:line="285" w:lineRule="atLeast"/>
              <w:rPr>
                <w:color w:val="000000"/>
                <w:sz w:val="24"/>
                <w:szCs w:val="24"/>
                <w:lang w:eastAsia="lv-LV"/>
              </w:rPr>
            </w:pPr>
            <w:r w:rsidRPr="00343FB6">
              <w:rPr>
                <w:color w:val="000000"/>
                <w:sz w:val="24"/>
                <w:szCs w:val="24"/>
                <w:lang w:eastAsia="lv-LV"/>
              </w:rPr>
              <w:t>Nav.</w:t>
            </w:r>
          </w:p>
        </w:tc>
      </w:tr>
    </w:tbl>
    <w:p w:rsidR="001F622C" w:rsidRPr="00343FB6" w:rsidRDefault="001F622C" w:rsidP="00B56C3E">
      <w:pPr>
        <w:rPr>
          <w:color w:val="000000"/>
          <w:szCs w:val="28"/>
          <w:lang w:eastAsia="lv-LV"/>
        </w:rPr>
      </w:pPr>
    </w:p>
    <w:p w:rsidR="001F622C" w:rsidRPr="00343FB6" w:rsidRDefault="001F622C" w:rsidP="00B56C3E">
      <w:pPr>
        <w:rPr>
          <w:color w:val="000000"/>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1F622C" w:rsidRPr="00343FB6" w:rsidTr="003D4334">
        <w:trPr>
          <w:trHeight w:val="375"/>
        </w:trPr>
        <w:tc>
          <w:tcPr>
            <w:tcW w:w="0" w:type="auto"/>
            <w:gridSpan w:val="3"/>
            <w:tcBorders>
              <w:top w:val="outset" w:sz="6" w:space="0" w:color="414142"/>
              <w:bottom w:val="outset" w:sz="6" w:space="0" w:color="414142"/>
            </w:tcBorders>
            <w:shd w:val="clear" w:color="auto" w:fill="FFFFFF"/>
            <w:vAlign w:val="center"/>
          </w:tcPr>
          <w:p w:rsidR="001F622C" w:rsidRPr="00343FB6" w:rsidRDefault="001F622C" w:rsidP="00B56C3E">
            <w:pPr>
              <w:spacing w:before="100" w:beforeAutospacing="1" w:after="100" w:afterAutospacing="1" w:line="285" w:lineRule="atLeast"/>
              <w:jc w:val="center"/>
              <w:rPr>
                <w:b/>
                <w:bCs/>
                <w:color w:val="000000"/>
                <w:sz w:val="24"/>
                <w:szCs w:val="24"/>
                <w:lang w:eastAsia="lv-LV"/>
              </w:rPr>
            </w:pPr>
            <w:r w:rsidRPr="00343FB6">
              <w:rPr>
                <w:b/>
                <w:bCs/>
                <w:color w:val="000000"/>
                <w:sz w:val="24"/>
                <w:szCs w:val="24"/>
                <w:lang w:eastAsia="lv-LV"/>
              </w:rPr>
              <w:t>VII. Tiesību akta projekta izpildes nodrošināšana un tās ietekme uz institūcijām</w:t>
            </w:r>
          </w:p>
        </w:tc>
      </w:tr>
      <w:tr w:rsidR="001F622C" w:rsidRPr="00343FB6" w:rsidTr="003D4334">
        <w:trPr>
          <w:trHeight w:val="420"/>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rsidR="001F622C" w:rsidRPr="00343FB6" w:rsidRDefault="001F622C" w:rsidP="00071B34">
            <w:pPr>
              <w:jc w:val="both"/>
              <w:rPr>
                <w:color w:val="000000"/>
                <w:sz w:val="24"/>
                <w:szCs w:val="24"/>
                <w:lang w:eastAsia="lv-LV"/>
              </w:rPr>
            </w:pPr>
            <w:r w:rsidRPr="00343FB6">
              <w:rPr>
                <w:color w:val="000000"/>
                <w:sz w:val="24"/>
                <w:szCs w:val="24"/>
                <w:lang w:eastAsia="lv-LV"/>
              </w:rPr>
              <w:t>Satiksmes ministrija, valsts akciju sabiedrība „Latvijas Valsts ceļi”.</w:t>
            </w:r>
          </w:p>
        </w:tc>
      </w:tr>
      <w:tr w:rsidR="001F622C" w:rsidRPr="00343FB6" w:rsidTr="003D4334">
        <w:trPr>
          <w:trHeight w:val="450"/>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Projekta izpildes ietekme uz pārvaldes funkcijām un institucionālo struktūru.</w:t>
            </w:r>
          </w:p>
          <w:p w:rsidR="001F622C" w:rsidRPr="00343FB6" w:rsidRDefault="001F622C" w:rsidP="00B56C3E">
            <w:pPr>
              <w:spacing w:before="100" w:beforeAutospacing="1" w:after="100" w:afterAutospacing="1" w:line="285" w:lineRule="atLeast"/>
              <w:rPr>
                <w:color w:val="000000"/>
                <w:sz w:val="24"/>
                <w:szCs w:val="24"/>
                <w:lang w:eastAsia="lv-LV"/>
              </w:rPr>
            </w:pPr>
            <w:r w:rsidRPr="00343FB6">
              <w:rPr>
                <w:color w:val="000000"/>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rsidR="001F622C" w:rsidRPr="00343FB6" w:rsidRDefault="001F622C" w:rsidP="00B56C3E">
            <w:pPr>
              <w:spacing w:before="100" w:beforeAutospacing="1" w:after="100" w:afterAutospacing="1" w:line="285" w:lineRule="atLeast"/>
              <w:rPr>
                <w:color w:val="000000"/>
                <w:sz w:val="24"/>
                <w:szCs w:val="24"/>
                <w:lang w:eastAsia="lv-LV"/>
              </w:rPr>
            </w:pPr>
            <w:r w:rsidRPr="00343FB6">
              <w:rPr>
                <w:color w:val="000000"/>
                <w:sz w:val="24"/>
                <w:szCs w:val="24"/>
                <w:lang w:eastAsia="lv-LV"/>
              </w:rPr>
              <w:t>Projekts šo jomu neskar.</w:t>
            </w:r>
          </w:p>
        </w:tc>
      </w:tr>
      <w:tr w:rsidR="001F622C" w:rsidRPr="00343FB6" w:rsidTr="003D4334">
        <w:trPr>
          <w:trHeight w:val="390"/>
        </w:trPr>
        <w:tc>
          <w:tcPr>
            <w:tcW w:w="250" w:type="pct"/>
            <w:tcBorders>
              <w:top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rsidR="001F622C" w:rsidRPr="00343FB6" w:rsidRDefault="001F622C" w:rsidP="00B56C3E">
            <w:pPr>
              <w:rPr>
                <w:color w:val="000000"/>
                <w:sz w:val="24"/>
                <w:szCs w:val="24"/>
                <w:lang w:eastAsia="lv-LV"/>
              </w:rPr>
            </w:pPr>
            <w:r w:rsidRPr="00343FB6">
              <w:rPr>
                <w:color w:val="000000"/>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rsidR="001F622C" w:rsidRPr="00343FB6" w:rsidRDefault="001F622C" w:rsidP="000320D8">
            <w:pPr>
              <w:spacing w:before="100" w:beforeAutospacing="1" w:after="100" w:afterAutospacing="1" w:line="285" w:lineRule="atLeast"/>
              <w:jc w:val="both"/>
              <w:rPr>
                <w:color w:val="000000"/>
                <w:sz w:val="24"/>
                <w:szCs w:val="24"/>
                <w:lang w:eastAsia="lv-LV"/>
              </w:rPr>
            </w:pPr>
            <w:r w:rsidRPr="00343FB6">
              <w:rPr>
                <w:color w:val="000000"/>
                <w:sz w:val="24"/>
                <w:szCs w:val="24"/>
                <w:lang w:eastAsia="lv-LV"/>
              </w:rPr>
              <w:t>Nav.</w:t>
            </w:r>
          </w:p>
        </w:tc>
      </w:tr>
    </w:tbl>
    <w:p w:rsidR="001F622C" w:rsidRPr="00343FB6" w:rsidRDefault="001F622C" w:rsidP="00B56C3E">
      <w:pPr>
        <w:ind w:firstLine="720"/>
        <w:rPr>
          <w:iCs/>
          <w:color w:val="000000"/>
          <w:szCs w:val="28"/>
        </w:rPr>
      </w:pPr>
      <w:r w:rsidRPr="00343FB6">
        <w:rPr>
          <w:iCs/>
          <w:color w:val="000000"/>
          <w:szCs w:val="28"/>
        </w:rPr>
        <w:t>Anotācijas IV, V sadaļa – projekts šīs jomas neskar.</w:t>
      </w:r>
    </w:p>
    <w:p w:rsidR="001F622C" w:rsidRPr="00343FB6" w:rsidRDefault="001F622C" w:rsidP="00B56C3E">
      <w:pPr>
        <w:ind w:firstLine="720"/>
        <w:jc w:val="both"/>
        <w:rPr>
          <w:szCs w:val="28"/>
          <w:lang w:eastAsia="lv-LV"/>
        </w:rPr>
      </w:pPr>
    </w:p>
    <w:p w:rsidR="001F622C" w:rsidRPr="00343FB6" w:rsidRDefault="001F622C" w:rsidP="00B56C3E">
      <w:pPr>
        <w:ind w:firstLine="720"/>
        <w:jc w:val="both"/>
        <w:rPr>
          <w:szCs w:val="28"/>
          <w:lang w:eastAsia="lv-LV"/>
        </w:rPr>
      </w:pPr>
    </w:p>
    <w:p w:rsidR="001F622C" w:rsidRDefault="001F622C" w:rsidP="00943F43">
      <w:pPr>
        <w:pStyle w:val="naisf"/>
        <w:spacing w:before="0" w:after="0"/>
        <w:ind w:firstLine="684"/>
        <w:rPr>
          <w:szCs w:val="28"/>
        </w:rPr>
      </w:pPr>
      <w:r w:rsidRPr="00343FB6">
        <w:rPr>
          <w:sz w:val="28"/>
          <w:szCs w:val="28"/>
        </w:rPr>
        <w:t xml:space="preserve">Satiksmes </w:t>
      </w:r>
      <w:r w:rsidRPr="00943F43">
        <w:rPr>
          <w:sz w:val="28"/>
          <w:szCs w:val="28"/>
        </w:rPr>
        <w:t>ministrs</w:t>
      </w:r>
      <w:r w:rsidRPr="00556791">
        <w:rPr>
          <w:sz w:val="28"/>
          <w:szCs w:val="28"/>
        </w:rPr>
        <w:tab/>
      </w:r>
      <w:r w:rsidRPr="00556791">
        <w:rPr>
          <w:sz w:val="28"/>
          <w:szCs w:val="28"/>
        </w:rPr>
        <w:tab/>
      </w:r>
      <w:r w:rsidRPr="00556791">
        <w:rPr>
          <w:sz w:val="28"/>
          <w:szCs w:val="28"/>
        </w:rPr>
        <w:tab/>
      </w:r>
      <w:r w:rsidRPr="00556791">
        <w:rPr>
          <w:sz w:val="28"/>
          <w:szCs w:val="28"/>
        </w:rPr>
        <w:tab/>
      </w:r>
      <w:r w:rsidRPr="00556791">
        <w:rPr>
          <w:sz w:val="28"/>
          <w:szCs w:val="28"/>
        </w:rPr>
        <w:tab/>
      </w:r>
      <w:r w:rsidRPr="00556791">
        <w:rPr>
          <w:sz w:val="28"/>
          <w:szCs w:val="28"/>
        </w:rPr>
        <w:tab/>
      </w:r>
      <w:r w:rsidRPr="00556791">
        <w:rPr>
          <w:sz w:val="28"/>
          <w:szCs w:val="28"/>
        </w:rPr>
        <w:tab/>
      </w:r>
      <w:r>
        <w:rPr>
          <w:sz w:val="28"/>
          <w:szCs w:val="28"/>
        </w:rPr>
        <w:t>U. </w:t>
      </w:r>
      <w:proofErr w:type="spellStart"/>
      <w:r>
        <w:rPr>
          <w:sz w:val="28"/>
          <w:szCs w:val="28"/>
        </w:rPr>
        <w:t>Augulis</w:t>
      </w:r>
      <w:proofErr w:type="spellEnd"/>
    </w:p>
    <w:p w:rsidR="001F622C" w:rsidRPr="00343FB6" w:rsidRDefault="001F622C" w:rsidP="00CC211E">
      <w:pPr>
        <w:ind w:firstLine="720"/>
        <w:rPr>
          <w:szCs w:val="28"/>
        </w:rPr>
      </w:pPr>
    </w:p>
    <w:p w:rsidR="001F622C" w:rsidRPr="00343FB6" w:rsidRDefault="001F622C" w:rsidP="00CC211E">
      <w:pPr>
        <w:ind w:firstLine="720"/>
        <w:jc w:val="both"/>
        <w:rPr>
          <w:szCs w:val="28"/>
          <w:lang w:eastAsia="lv-LV"/>
        </w:rPr>
      </w:pPr>
      <w:r w:rsidRPr="00343FB6">
        <w:rPr>
          <w:szCs w:val="28"/>
        </w:rPr>
        <w:t>Vīza: Valsts sekretārs</w:t>
      </w:r>
      <w:r w:rsidRPr="00343FB6">
        <w:rPr>
          <w:szCs w:val="28"/>
        </w:rPr>
        <w:tab/>
      </w:r>
      <w:r w:rsidRPr="00343FB6">
        <w:rPr>
          <w:szCs w:val="28"/>
        </w:rPr>
        <w:tab/>
      </w:r>
      <w:r w:rsidRPr="00343FB6">
        <w:rPr>
          <w:szCs w:val="28"/>
        </w:rPr>
        <w:tab/>
      </w:r>
      <w:r w:rsidRPr="00343FB6">
        <w:rPr>
          <w:szCs w:val="28"/>
        </w:rPr>
        <w:tab/>
      </w:r>
      <w:r w:rsidRPr="00343FB6">
        <w:rPr>
          <w:szCs w:val="28"/>
        </w:rPr>
        <w:tab/>
      </w:r>
      <w:r w:rsidRPr="00343FB6">
        <w:rPr>
          <w:szCs w:val="28"/>
        </w:rPr>
        <w:tab/>
        <w:t>K.Ozoliņš</w:t>
      </w:r>
    </w:p>
    <w:p w:rsidR="001F622C" w:rsidRPr="00343FB6" w:rsidRDefault="001F622C" w:rsidP="00B56C3E">
      <w:pPr>
        <w:jc w:val="both"/>
        <w:rPr>
          <w:szCs w:val="28"/>
          <w:lang w:eastAsia="lv-LV"/>
        </w:rPr>
      </w:pPr>
    </w:p>
    <w:p w:rsidR="001F622C" w:rsidRPr="00343FB6" w:rsidRDefault="001F622C" w:rsidP="00B56C3E">
      <w:pPr>
        <w:jc w:val="both"/>
        <w:rPr>
          <w:szCs w:val="28"/>
          <w:lang w:eastAsia="lv-LV"/>
        </w:rPr>
      </w:pPr>
    </w:p>
    <w:p w:rsidR="001F622C" w:rsidRPr="00343FB6" w:rsidRDefault="001F622C" w:rsidP="00CC211E">
      <w:pPr>
        <w:rPr>
          <w:bCs/>
          <w:sz w:val="20"/>
          <w:szCs w:val="20"/>
        </w:rPr>
      </w:pPr>
      <w:r w:rsidRPr="00343FB6">
        <w:rPr>
          <w:bCs/>
          <w:sz w:val="20"/>
          <w:szCs w:val="20"/>
        </w:rPr>
        <w:fldChar w:fldCharType="begin"/>
      </w:r>
      <w:r w:rsidRPr="00343FB6">
        <w:rPr>
          <w:bCs/>
          <w:sz w:val="20"/>
          <w:szCs w:val="20"/>
        </w:rPr>
        <w:instrText xml:space="preserve"> CREATEDATE  \@ "yyyy.MM.dd. H:mm" </w:instrText>
      </w:r>
      <w:r w:rsidRPr="00343FB6">
        <w:rPr>
          <w:bCs/>
          <w:sz w:val="20"/>
          <w:szCs w:val="20"/>
        </w:rPr>
        <w:fldChar w:fldCharType="separate"/>
      </w:r>
      <w:r w:rsidR="00C97EDE">
        <w:rPr>
          <w:bCs/>
          <w:noProof/>
          <w:sz w:val="20"/>
          <w:szCs w:val="20"/>
        </w:rPr>
        <w:t>2016.02.17. 1</w:t>
      </w:r>
      <w:r w:rsidR="00C97EDE">
        <w:rPr>
          <w:bCs/>
          <w:noProof/>
          <w:sz w:val="20"/>
          <w:szCs w:val="20"/>
        </w:rPr>
        <w:t>3</w:t>
      </w:r>
      <w:r w:rsidR="00C97EDE">
        <w:rPr>
          <w:bCs/>
          <w:noProof/>
          <w:sz w:val="20"/>
          <w:szCs w:val="20"/>
        </w:rPr>
        <w:t>:</w:t>
      </w:r>
      <w:r w:rsidRPr="00343FB6">
        <w:rPr>
          <w:bCs/>
          <w:sz w:val="20"/>
          <w:szCs w:val="20"/>
        </w:rPr>
        <w:fldChar w:fldCharType="end"/>
      </w:r>
      <w:r w:rsidR="00C97EDE">
        <w:rPr>
          <w:bCs/>
          <w:sz w:val="20"/>
          <w:szCs w:val="20"/>
        </w:rPr>
        <w:t>50</w:t>
      </w:r>
    </w:p>
    <w:p w:rsidR="001F622C" w:rsidRPr="00343FB6" w:rsidRDefault="00334489" w:rsidP="00CC211E">
      <w:pPr>
        <w:rPr>
          <w:bCs/>
          <w:sz w:val="20"/>
          <w:szCs w:val="20"/>
        </w:rPr>
      </w:pPr>
      <w:r>
        <w:fldChar w:fldCharType="begin"/>
      </w:r>
      <w:r>
        <w:instrText xml:space="preserve"> NUMWORDS   \* MERGEFORMAT </w:instrText>
      </w:r>
      <w:r>
        <w:fldChar w:fldCharType="separate"/>
      </w:r>
      <w:r w:rsidR="00943F43" w:rsidRPr="00943F43">
        <w:rPr>
          <w:bCs/>
          <w:noProof/>
          <w:sz w:val="20"/>
          <w:szCs w:val="20"/>
        </w:rPr>
        <w:t>2748</w:t>
      </w:r>
      <w:r>
        <w:rPr>
          <w:bCs/>
          <w:noProof/>
          <w:sz w:val="20"/>
          <w:szCs w:val="20"/>
        </w:rPr>
        <w:fldChar w:fldCharType="end"/>
      </w:r>
    </w:p>
    <w:p w:rsidR="001F622C" w:rsidRPr="00343FB6" w:rsidRDefault="001F622C" w:rsidP="00CC211E">
      <w:pPr>
        <w:rPr>
          <w:bCs/>
          <w:sz w:val="20"/>
          <w:szCs w:val="20"/>
        </w:rPr>
      </w:pPr>
      <w:r w:rsidRPr="00343FB6">
        <w:rPr>
          <w:bCs/>
          <w:sz w:val="20"/>
          <w:szCs w:val="20"/>
        </w:rPr>
        <w:t>D.Sijāte, 67028284,</w:t>
      </w:r>
    </w:p>
    <w:p w:rsidR="001F622C" w:rsidRDefault="00334489" w:rsidP="00CC211E">
      <w:pPr>
        <w:rPr>
          <w:bCs/>
          <w:sz w:val="20"/>
          <w:szCs w:val="20"/>
        </w:rPr>
      </w:pPr>
      <w:hyperlink r:id="rId8" w:history="1">
        <w:r w:rsidR="001F622C" w:rsidRPr="00343FB6">
          <w:rPr>
            <w:rStyle w:val="Hyperlink"/>
            <w:bCs/>
            <w:sz w:val="20"/>
            <w:szCs w:val="20"/>
          </w:rPr>
          <w:t>dagnija.sijate@lvceli.lv</w:t>
        </w:r>
      </w:hyperlink>
      <w:r w:rsidR="001F622C" w:rsidRPr="00CC211E">
        <w:rPr>
          <w:bCs/>
          <w:sz w:val="20"/>
          <w:szCs w:val="20"/>
        </w:rPr>
        <w:t xml:space="preserve"> </w:t>
      </w:r>
    </w:p>
    <w:p w:rsidR="001F622C" w:rsidRDefault="001F622C" w:rsidP="00CC211E">
      <w:pPr>
        <w:rPr>
          <w:bCs/>
          <w:sz w:val="20"/>
          <w:szCs w:val="20"/>
        </w:rPr>
      </w:pPr>
    </w:p>
    <w:p w:rsidR="001F622C" w:rsidRPr="003E5866" w:rsidRDefault="001F622C" w:rsidP="003E5866">
      <w:pPr>
        <w:rPr>
          <w:sz w:val="20"/>
          <w:szCs w:val="20"/>
          <w:lang w:eastAsia="lv-LV"/>
        </w:rPr>
      </w:pPr>
      <w:r w:rsidRPr="003E5866">
        <w:rPr>
          <w:sz w:val="20"/>
          <w:szCs w:val="20"/>
          <w:lang w:eastAsia="lv-LV"/>
        </w:rPr>
        <w:t>D. Suveizda, 67028253</w:t>
      </w:r>
    </w:p>
    <w:p w:rsidR="001F622C" w:rsidRPr="00B56C3E" w:rsidRDefault="00334489">
      <w:pPr>
        <w:rPr>
          <w:bCs/>
          <w:sz w:val="20"/>
          <w:szCs w:val="20"/>
        </w:rPr>
      </w:pPr>
      <w:hyperlink r:id="rId9" w:history="1">
        <w:r w:rsidR="001F622C" w:rsidRPr="003E5866">
          <w:rPr>
            <w:color w:val="0000FF"/>
            <w:sz w:val="20"/>
            <w:szCs w:val="20"/>
            <w:u w:val="single"/>
            <w:lang w:eastAsia="lv-LV"/>
          </w:rPr>
          <w:t>dace.suveizda@sam.gov.lv</w:t>
        </w:r>
      </w:hyperlink>
    </w:p>
    <w:sectPr w:rsidR="001F622C" w:rsidRPr="00B56C3E" w:rsidSect="004407DE">
      <w:headerReference w:type="default" r:id="rId10"/>
      <w:footerReference w:type="default" r:id="rId11"/>
      <w:footerReference w:type="first" r:id="rId12"/>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22C" w:rsidRDefault="001F622C" w:rsidP="004407DE">
      <w:r>
        <w:separator/>
      </w:r>
    </w:p>
  </w:endnote>
  <w:endnote w:type="continuationSeparator" w:id="0">
    <w:p w:rsidR="001F622C" w:rsidRDefault="001F622C"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2C" w:rsidRPr="006573AE" w:rsidRDefault="001F622C" w:rsidP="00EF4F5E">
    <w:pPr>
      <w:pStyle w:val="Header"/>
      <w:tabs>
        <w:tab w:val="clear" w:pos="4153"/>
        <w:tab w:val="clear" w:pos="8306"/>
      </w:tabs>
      <w:jc w:val="both"/>
      <w:rPr>
        <w:lang w:val="en-US"/>
      </w:rPr>
    </w:pPr>
    <w:r w:rsidRPr="006573AE">
      <w:rPr>
        <w:lang w:val="en-US"/>
      </w:rPr>
      <w:t>SAMAnot_</w:t>
    </w:r>
    <w:r w:rsidR="00943F43">
      <w:rPr>
        <w:lang w:val="en-US"/>
      </w:rPr>
      <w:t>17</w:t>
    </w:r>
    <w:r>
      <w:rPr>
        <w:lang w:val="en-US"/>
      </w:rPr>
      <w:t>0216</w:t>
    </w:r>
    <w:r w:rsidRPr="006573AE">
      <w:rPr>
        <w:lang w:val="en-US"/>
      </w:rPr>
      <w:t>_Kekava_</w:t>
    </w:r>
    <w:r>
      <w:rPr>
        <w:lang w:val="en-US"/>
      </w:rPr>
      <w:t>PPP</w:t>
    </w:r>
    <w:r w:rsidRPr="006573AE">
      <w:rPr>
        <w:lang w:val="en-US"/>
      </w:rPr>
      <w:t xml:space="preserve">; </w:t>
    </w:r>
    <w:r w:rsidRPr="006573AE">
      <w:t>Ministru</w:t>
    </w:r>
    <w:r w:rsidRPr="006573AE">
      <w:rPr>
        <w:lang w:val="en-US"/>
      </w:rPr>
      <w:t xml:space="preserve"> </w:t>
    </w:r>
    <w:r w:rsidRPr="006573AE">
      <w:t>kabineta</w:t>
    </w:r>
    <w:r w:rsidRPr="006573AE">
      <w:rPr>
        <w:lang w:val="en-US"/>
      </w:rPr>
      <w:t xml:space="preserve"> </w:t>
    </w:r>
    <w:r w:rsidRPr="006573AE">
      <w:t>rīkojuma projekta</w:t>
    </w:r>
    <w:r w:rsidRPr="006573AE">
      <w:rPr>
        <w:lang w:val="en-US"/>
      </w:rPr>
      <w:t xml:space="preserve"> „</w:t>
    </w:r>
    <w:r w:rsidRPr="006573AE">
      <w:t>Par valsts galvenā autoceļa projekta „E67/A7 Ķekavas apvedceļš” publiskās un privātās partnerības procedūras uzsākšanu”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2C" w:rsidRPr="006573AE" w:rsidRDefault="001F622C" w:rsidP="005C5808">
    <w:pPr>
      <w:pStyle w:val="Header"/>
      <w:tabs>
        <w:tab w:val="clear" w:pos="4153"/>
        <w:tab w:val="clear" w:pos="8306"/>
      </w:tabs>
      <w:jc w:val="both"/>
      <w:rPr>
        <w:lang w:val="en-US"/>
      </w:rPr>
    </w:pPr>
    <w:r w:rsidRPr="006573AE">
      <w:rPr>
        <w:lang w:val="en-US"/>
      </w:rPr>
      <w:t>SAMAnot_</w:t>
    </w:r>
    <w:r w:rsidR="00943F43">
      <w:rPr>
        <w:lang w:val="en-US"/>
      </w:rPr>
      <w:t>17</w:t>
    </w:r>
    <w:r>
      <w:rPr>
        <w:lang w:val="en-US"/>
      </w:rPr>
      <w:t>0216</w:t>
    </w:r>
    <w:r w:rsidRPr="006573AE">
      <w:rPr>
        <w:lang w:val="en-US"/>
      </w:rPr>
      <w:t>_Kekava_</w:t>
    </w:r>
    <w:r>
      <w:rPr>
        <w:lang w:val="en-US"/>
      </w:rPr>
      <w:t>PPP</w:t>
    </w:r>
    <w:r w:rsidRPr="006573AE">
      <w:rPr>
        <w:lang w:val="en-US"/>
      </w:rPr>
      <w:t xml:space="preserve">; </w:t>
    </w:r>
    <w:r w:rsidRPr="006573AE">
      <w:t>Ministru</w:t>
    </w:r>
    <w:r w:rsidRPr="006573AE">
      <w:rPr>
        <w:lang w:val="en-US"/>
      </w:rPr>
      <w:t xml:space="preserve"> </w:t>
    </w:r>
    <w:r w:rsidRPr="006573AE">
      <w:t>kabineta</w:t>
    </w:r>
    <w:r w:rsidRPr="006573AE">
      <w:rPr>
        <w:lang w:val="en-US"/>
      </w:rPr>
      <w:t xml:space="preserve"> </w:t>
    </w:r>
    <w:r w:rsidRPr="006573AE">
      <w:t>rīkojuma projekta</w:t>
    </w:r>
    <w:r w:rsidRPr="006573AE">
      <w:rPr>
        <w:lang w:val="en-US"/>
      </w:rPr>
      <w:t xml:space="preserve"> „</w:t>
    </w:r>
    <w:r w:rsidRPr="006573AE">
      <w:t xml:space="preserve"> Par valsts galvenā autoceļa projekta „E67/A7 Ķekavas apvedceļš” publiskās un privātās partnerības procedūras uzsākšanu”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22C" w:rsidRDefault="001F622C" w:rsidP="004407DE">
      <w:r>
        <w:separator/>
      </w:r>
    </w:p>
  </w:footnote>
  <w:footnote w:type="continuationSeparator" w:id="0">
    <w:p w:rsidR="001F622C" w:rsidRDefault="001F622C" w:rsidP="0044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22C" w:rsidRDefault="00943F43">
    <w:pPr>
      <w:pStyle w:val="Header"/>
      <w:jc w:val="center"/>
    </w:pPr>
    <w:r>
      <w:fldChar w:fldCharType="begin"/>
    </w:r>
    <w:r>
      <w:instrText xml:space="preserve"> PAGE   \* MERGEFORMAT </w:instrText>
    </w:r>
    <w:r>
      <w:fldChar w:fldCharType="separate"/>
    </w:r>
    <w:r w:rsidR="00334489">
      <w:rPr>
        <w:noProof/>
      </w:rPr>
      <w:t>7</w:t>
    </w:r>
    <w:r>
      <w:rPr>
        <w:noProof/>
      </w:rPr>
      <w:fldChar w:fldCharType="end"/>
    </w:r>
  </w:p>
  <w:p w:rsidR="001F622C" w:rsidRDefault="001F6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05FC"/>
    <w:multiLevelType w:val="hybridMultilevel"/>
    <w:tmpl w:val="9ED00086"/>
    <w:lvl w:ilvl="0" w:tplc="04260011">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1">
    <w:nsid w:val="66D41AF6"/>
    <w:multiLevelType w:val="hybridMultilevel"/>
    <w:tmpl w:val="A9D24B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5"/>
    <w:rsid w:val="00013FBC"/>
    <w:rsid w:val="00014C68"/>
    <w:rsid w:val="0001700A"/>
    <w:rsid w:val="00026CC7"/>
    <w:rsid w:val="00031EE7"/>
    <w:rsid w:val="000320D8"/>
    <w:rsid w:val="00036B1C"/>
    <w:rsid w:val="00042277"/>
    <w:rsid w:val="0004512E"/>
    <w:rsid w:val="00046618"/>
    <w:rsid w:val="00051AC3"/>
    <w:rsid w:val="0006255D"/>
    <w:rsid w:val="000650B0"/>
    <w:rsid w:val="00071B34"/>
    <w:rsid w:val="00080696"/>
    <w:rsid w:val="000A1515"/>
    <w:rsid w:val="000B3DE0"/>
    <w:rsid w:val="000B46AC"/>
    <w:rsid w:val="000C0A9A"/>
    <w:rsid w:val="000C2E2B"/>
    <w:rsid w:val="000D03FF"/>
    <w:rsid w:val="000D206D"/>
    <w:rsid w:val="000E6F6D"/>
    <w:rsid w:val="000F4845"/>
    <w:rsid w:val="000F78BD"/>
    <w:rsid w:val="001122DD"/>
    <w:rsid w:val="001242AD"/>
    <w:rsid w:val="00130236"/>
    <w:rsid w:val="0014188B"/>
    <w:rsid w:val="001428AB"/>
    <w:rsid w:val="00143A9A"/>
    <w:rsid w:val="00170C73"/>
    <w:rsid w:val="001751E6"/>
    <w:rsid w:val="00177396"/>
    <w:rsid w:val="00185116"/>
    <w:rsid w:val="00185C88"/>
    <w:rsid w:val="00195594"/>
    <w:rsid w:val="001A635D"/>
    <w:rsid w:val="001B7613"/>
    <w:rsid w:val="001D314F"/>
    <w:rsid w:val="001D616A"/>
    <w:rsid w:val="001F622C"/>
    <w:rsid w:val="00207F8A"/>
    <w:rsid w:val="002121E2"/>
    <w:rsid w:val="002159C3"/>
    <w:rsid w:val="00222E0C"/>
    <w:rsid w:val="00224BB8"/>
    <w:rsid w:val="00242995"/>
    <w:rsid w:val="00246686"/>
    <w:rsid w:val="002471DC"/>
    <w:rsid w:val="0025738B"/>
    <w:rsid w:val="00260C97"/>
    <w:rsid w:val="00264256"/>
    <w:rsid w:val="002770A7"/>
    <w:rsid w:val="002914B5"/>
    <w:rsid w:val="002A2346"/>
    <w:rsid w:val="002B40E0"/>
    <w:rsid w:val="002C5D1A"/>
    <w:rsid w:val="002D33EF"/>
    <w:rsid w:val="002D6B5B"/>
    <w:rsid w:val="002D7C44"/>
    <w:rsid w:val="002E5D21"/>
    <w:rsid w:val="00304BEF"/>
    <w:rsid w:val="00314E23"/>
    <w:rsid w:val="00334489"/>
    <w:rsid w:val="00335A93"/>
    <w:rsid w:val="003407EB"/>
    <w:rsid w:val="00343FB6"/>
    <w:rsid w:val="00362B5B"/>
    <w:rsid w:val="003669C4"/>
    <w:rsid w:val="00367EF4"/>
    <w:rsid w:val="00370344"/>
    <w:rsid w:val="00374A89"/>
    <w:rsid w:val="00377C96"/>
    <w:rsid w:val="00381CE9"/>
    <w:rsid w:val="00392576"/>
    <w:rsid w:val="00395371"/>
    <w:rsid w:val="0039693A"/>
    <w:rsid w:val="003A4DB3"/>
    <w:rsid w:val="003B1E79"/>
    <w:rsid w:val="003B773F"/>
    <w:rsid w:val="003D4334"/>
    <w:rsid w:val="003E5866"/>
    <w:rsid w:val="00402770"/>
    <w:rsid w:val="0041331D"/>
    <w:rsid w:val="004142FB"/>
    <w:rsid w:val="00415D14"/>
    <w:rsid w:val="00416A40"/>
    <w:rsid w:val="00432D07"/>
    <w:rsid w:val="004360D7"/>
    <w:rsid w:val="00437288"/>
    <w:rsid w:val="004407DE"/>
    <w:rsid w:val="00444A6F"/>
    <w:rsid w:val="00446537"/>
    <w:rsid w:val="0045009D"/>
    <w:rsid w:val="00453092"/>
    <w:rsid w:val="00476DB9"/>
    <w:rsid w:val="00477FC2"/>
    <w:rsid w:val="00482E54"/>
    <w:rsid w:val="00492972"/>
    <w:rsid w:val="00497350"/>
    <w:rsid w:val="004A440C"/>
    <w:rsid w:val="004D0008"/>
    <w:rsid w:val="004E2BFB"/>
    <w:rsid w:val="004F3712"/>
    <w:rsid w:val="005034CF"/>
    <w:rsid w:val="00507CB3"/>
    <w:rsid w:val="00516F0E"/>
    <w:rsid w:val="00522FB4"/>
    <w:rsid w:val="00532383"/>
    <w:rsid w:val="005410FB"/>
    <w:rsid w:val="00541CD1"/>
    <w:rsid w:val="00555761"/>
    <w:rsid w:val="00556791"/>
    <w:rsid w:val="005748D7"/>
    <w:rsid w:val="005A5447"/>
    <w:rsid w:val="005B4F3A"/>
    <w:rsid w:val="005C5808"/>
    <w:rsid w:val="005D0238"/>
    <w:rsid w:val="005E4F5F"/>
    <w:rsid w:val="00604071"/>
    <w:rsid w:val="00606DCC"/>
    <w:rsid w:val="0061387E"/>
    <w:rsid w:val="0061717E"/>
    <w:rsid w:val="0062064F"/>
    <w:rsid w:val="006211EF"/>
    <w:rsid w:val="00627C98"/>
    <w:rsid w:val="00641A06"/>
    <w:rsid w:val="00642770"/>
    <w:rsid w:val="00655F43"/>
    <w:rsid w:val="006573AE"/>
    <w:rsid w:val="00662725"/>
    <w:rsid w:val="00672C30"/>
    <w:rsid w:val="006739A4"/>
    <w:rsid w:val="00677296"/>
    <w:rsid w:val="00690896"/>
    <w:rsid w:val="0069131A"/>
    <w:rsid w:val="00695F53"/>
    <w:rsid w:val="0069766B"/>
    <w:rsid w:val="006A6DB7"/>
    <w:rsid w:val="006C1E4F"/>
    <w:rsid w:val="006C61C2"/>
    <w:rsid w:val="006D4C5F"/>
    <w:rsid w:val="006E63A6"/>
    <w:rsid w:val="006F150D"/>
    <w:rsid w:val="00705C13"/>
    <w:rsid w:val="007065B6"/>
    <w:rsid w:val="00707A49"/>
    <w:rsid w:val="00716210"/>
    <w:rsid w:val="00725F3D"/>
    <w:rsid w:val="00745095"/>
    <w:rsid w:val="007513D2"/>
    <w:rsid w:val="007755DB"/>
    <w:rsid w:val="007807C7"/>
    <w:rsid w:val="0078487A"/>
    <w:rsid w:val="007B45DA"/>
    <w:rsid w:val="007B680F"/>
    <w:rsid w:val="007B77A2"/>
    <w:rsid w:val="007B7A71"/>
    <w:rsid w:val="007D2199"/>
    <w:rsid w:val="007D261C"/>
    <w:rsid w:val="007F6338"/>
    <w:rsid w:val="00802CE5"/>
    <w:rsid w:val="00810DDC"/>
    <w:rsid w:val="0082311D"/>
    <w:rsid w:val="008332FE"/>
    <w:rsid w:val="00833984"/>
    <w:rsid w:val="0084092A"/>
    <w:rsid w:val="00841383"/>
    <w:rsid w:val="00841865"/>
    <w:rsid w:val="00847F1F"/>
    <w:rsid w:val="0085734C"/>
    <w:rsid w:val="00875A68"/>
    <w:rsid w:val="0088592A"/>
    <w:rsid w:val="00885F0A"/>
    <w:rsid w:val="008908F3"/>
    <w:rsid w:val="008926D5"/>
    <w:rsid w:val="008B32CE"/>
    <w:rsid w:val="008B6F4C"/>
    <w:rsid w:val="008B797C"/>
    <w:rsid w:val="008C608B"/>
    <w:rsid w:val="008D6F26"/>
    <w:rsid w:val="008F7C9D"/>
    <w:rsid w:val="009207A7"/>
    <w:rsid w:val="00921973"/>
    <w:rsid w:val="00943F43"/>
    <w:rsid w:val="00946972"/>
    <w:rsid w:val="009473FB"/>
    <w:rsid w:val="009478E0"/>
    <w:rsid w:val="00952504"/>
    <w:rsid w:val="00956B42"/>
    <w:rsid w:val="0095795B"/>
    <w:rsid w:val="00957A95"/>
    <w:rsid w:val="0096154F"/>
    <w:rsid w:val="00972784"/>
    <w:rsid w:val="009751C9"/>
    <w:rsid w:val="0097681D"/>
    <w:rsid w:val="00994B80"/>
    <w:rsid w:val="00997520"/>
    <w:rsid w:val="009C1536"/>
    <w:rsid w:val="009C2374"/>
    <w:rsid w:val="009C2555"/>
    <w:rsid w:val="009C743E"/>
    <w:rsid w:val="009D1149"/>
    <w:rsid w:val="009E05B5"/>
    <w:rsid w:val="009F5EFE"/>
    <w:rsid w:val="009F6C19"/>
    <w:rsid w:val="00A233A5"/>
    <w:rsid w:val="00A328B7"/>
    <w:rsid w:val="00A335AE"/>
    <w:rsid w:val="00A35D04"/>
    <w:rsid w:val="00A466A0"/>
    <w:rsid w:val="00A5098F"/>
    <w:rsid w:val="00A674E6"/>
    <w:rsid w:val="00A7000D"/>
    <w:rsid w:val="00A725E8"/>
    <w:rsid w:val="00A72A8F"/>
    <w:rsid w:val="00A7486B"/>
    <w:rsid w:val="00A7578A"/>
    <w:rsid w:val="00A77D3C"/>
    <w:rsid w:val="00A81E70"/>
    <w:rsid w:val="00A9214E"/>
    <w:rsid w:val="00AB2DD3"/>
    <w:rsid w:val="00AC30AA"/>
    <w:rsid w:val="00AD1769"/>
    <w:rsid w:val="00AD72F7"/>
    <w:rsid w:val="00B045BF"/>
    <w:rsid w:val="00B213A9"/>
    <w:rsid w:val="00B31A36"/>
    <w:rsid w:val="00B33232"/>
    <w:rsid w:val="00B50A0A"/>
    <w:rsid w:val="00B50B15"/>
    <w:rsid w:val="00B520ED"/>
    <w:rsid w:val="00B5690D"/>
    <w:rsid w:val="00B56C3E"/>
    <w:rsid w:val="00B615B6"/>
    <w:rsid w:val="00B80963"/>
    <w:rsid w:val="00B87EAD"/>
    <w:rsid w:val="00B87ED8"/>
    <w:rsid w:val="00BA41CF"/>
    <w:rsid w:val="00BB6639"/>
    <w:rsid w:val="00BC131F"/>
    <w:rsid w:val="00BC59D6"/>
    <w:rsid w:val="00BE68E9"/>
    <w:rsid w:val="00BF2A7A"/>
    <w:rsid w:val="00C036FF"/>
    <w:rsid w:val="00C226D1"/>
    <w:rsid w:val="00C53F67"/>
    <w:rsid w:val="00C71470"/>
    <w:rsid w:val="00C72C51"/>
    <w:rsid w:val="00C938F2"/>
    <w:rsid w:val="00C977DB"/>
    <w:rsid w:val="00C97EDE"/>
    <w:rsid w:val="00CB244F"/>
    <w:rsid w:val="00CC211E"/>
    <w:rsid w:val="00CD37F7"/>
    <w:rsid w:val="00CD5A27"/>
    <w:rsid w:val="00D02723"/>
    <w:rsid w:val="00D029EF"/>
    <w:rsid w:val="00D035B6"/>
    <w:rsid w:val="00D10270"/>
    <w:rsid w:val="00D16A27"/>
    <w:rsid w:val="00D40804"/>
    <w:rsid w:val="00D664DD"/>
    <w:rsid w:val="00D75630"/>
    <w:rsid w:val="00D80865"/>
    <w:rsid w:val="00D808C8"/>
    <w:rsid w:val="00D966A9"/>
    <w:rsid w:val="00D97627"/>
    <w:rsid w:val="00DA53AF"/>
    <w:rsid w:val="00DB3AE2"/>
    <w:rsid w:val="00DB538F"/>
    <w:rsid w:val="00DC2B5D"/>
    <w:rsid w:val="00DC31E3"/>
    <w:rsid w:val="00DC40E4"/>
    <w:rsid w:val="00DD7135"/>
    <w:rsid w:val="00DE1EFB"/>
    <w:rsid w:val="00DE2BAA"/>
    <w:rsid w:val="00DE445E"/>
    <w:rsid w:val="00DF58AB"/>
    <w:rsid w:val="00DF58E8"/>
    <w:rsid w:val="00E123F3"/>
    <w:rsid w:val="00E200BB"/>
    <w:rsid w:val="00E32D6F"/>
    <w:rsid w:val="00E37461"/>
    <w:rsid w:val="00E46399"/>
    <w:rsid w:val="00E504FB"/>
    <w:rsid w:val="00E55891"/>
    <w:rsid w:val="00E56BEA"/>
    <w:rsid w:val="00E62615"/>
    <w:rsid w:val="00E7130D"/>
    <w:rsid w:val="00E71548"/>
    <w:rsid w:val="00E7772D"/>
    <w:rsid w:val="00E81834"/>
    <w:rsid w:val="00E87BD7"/>
    <w:rsid w:val="00E87CD4"/>
    <w:rsid w:val="00EB0A09"/>
    <w:rsid w:val="00EB6301"/>
    <w:rsid w:val="00EB7085"/>
    <w:rsid w:val="00ED26F6"/>
    <w:rsid w:val="00ED559D"/>
    <w:rsid w:val="00EF04AA"/>
    <w:rsid w:val="00EF4F5E"/>
    <w:rsid w:val="00F00364"/>
    <w:rsid w:val="00F354F2"/>
    <w:rsid w:val="00F35B09"/>
    <w:rsid w:val="00F63FE6"/>
    <w:rsid w:val="00F803C8"/>
    <w:rsid w:val="00F847CE"/>
    <w:rsid w:val="00F94041"/>
    <w:rsid w:val="00FA5BD0"/>
    <w:rsid w:val="00FB10B7"/>
    <w:rsid w:val="00FC22AE"/>
    <w:rsid w:val="00FC7065"/>
    <w:rsid w:val="00FE0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6"/>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4407DE"/>
    <w:rPr>
      <w:rFonts w:ascii="Tahoma" w:hAnsi="Tahoma" w:cs="Times New Roman"/>
      <w:sz w:val="16"/>
    </w:rPr>
  </w:style>
  <w:style w:type="paragraph" w:customStyle="1" w:styleId="Default">
    <w:name w:val="Default"/>
    <w:uiPriority w:val="99"/>
    <w:rsid w:val="00304BEF"/>
    <w:pPr>
      <w:autoSpaceDE w:val="0"/>
      <w:autoSpaceDN w:val="0"/>
      <w:adjustRightInd w:val="0"/>
    </w:pPr>
    <w:rPr>
      <w:rFonts w:eastAsia="Times New Roman"/>
      <w:color w:val="000000"/>
      <w:sz w:val="24"/>
      <w:szCs w:val="24"/>
    </w:rPr>
  </w:style>
  <w:style w:type="character" w:styleId="CommentReference">
    <w:name w:val="annotation reference"/>
    <w:basedOn w:val="DefaultParagraphFont"/>
    <w:uiPriority w:val="99"/>
    <w:semiHidden/>
    <w:rsid w:val="00672C30"/>
    <w:rPr>
      <w:rFonts w:cs="Times New Roman"/>
      <w:sz w:val="16"/>
    </w:rPr>
  </w:style>
  <w:style w:type="paragraph" w:styleId="CommentText">
    <w:name w:val="annotation text"/>
    <w:basedOn w:val="Normal"/>
    <w:link w:val="CommentTextChar"/>
    <w:uiPriority w:val="99"/>
    <w:semiHidden/>
    <w:rsid w:val="00672C30"/>
    <w:rPr>
      <w:sz w:val="20"/>
      <w:szCs w:val="20"/>
      <w:lang w:eastAsia="lv-LV"/>
    </w:rPr>
  </w:style>
  <w:style w:type="character" w:customStyle="1" w:styleId="CommentTextChar">
    <w:name w:val="Comment Text Char"/>
    <w:basedOn w:val="DefaultParagraphFont"/>
    <w:link w:val="CommentText"/>
    <w:uiPriority w:val="99"/>
    <w:semiHidden/>
    <w:locked/>
    <w:rsid w:val="00672C30"/>
    <w:rPr>
      <w:rFonts w:cs="Times New Roman"/>
      <w:sz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basedOn w:val="CommentTextChar"/>
    <w:link w:val="CommentSubject"/>
    <w:uiPriority w:val="99"/>
    <w:semiHidden/>
    <w:locked/>
    <w:rsid w:val="00672C30"/>
    <w:rPr>
      <w:rFonts w:cs="Times New Roman"/>
      <w:b/>
      <w:sz w:val="20"/>
    </w:rPr>
  </w:style>
  <w:style w:type="paragraph" w:styleId="ListParagraph">
    <w:name w:val="List Paragraph"/>
    <w:basedOn w:val="Normal"/>
    <w:uiPriority w:val="99"/>
    <w:qFormat/>
    <w:rsid w:val="00E56BEA"/>
    <w:pPr>
      <w:ind w:left="720"/>
      <w:contextualSpacing/>
    </w:pPr>
  </w:style>
  <w:style w:type="character" w:styleId="Hyperlink">
    <w:name w:val="Hyperlink"/>
    <w:basedOn w:val="DefaultParagraphFont"/>
    <w:uiPriority w:val="99"/>
    <w:rsid w:val="006573AE"/>
    <w:rPr>
      <w:rFonts w:cs="Times New Roman"/>
      <w:color w:val="0000FF"/>
      <w:u w:val="single"/>
    </w:rPr>
  </w:style>
  <w:style w:type="table" w:styleId="TableGrid">
    <w:name w:val="Table Grid"/>
    <w:basedOn w:val="TableNormal"/>
    <w:uiPriority w:val="99"/>
    <w:rsid w:val="00BF2A7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CC211E"/>
    <w:pPr>
      <w:spacing w:before="75" w:after="75"/>
      <w:ind w:firstLine="375"/>
      <w:jc w:val="both"/>
    </w:pPr>
    <w:rPr>
      <w:rFonts w:eastAsia="Batang"/>
      <w:sz w:val="24"/>
      <w:szCs w:val="24"/>
      <w:lang w:eastAsia="ko-KR"/>
    </w:rPr>
  </w:style>
  <w:style w:type="character" w:customStyle="1" w:styleId="EmailStyle311">
    <w:name w:val="EmailStyle311"/>
    <w:basedOn w:val="DefaultParagraphFont"/>
    <w:uiPriority w:val="99"/>
    <w:semiHidden/>
    <w:rsid w:val="00CD37F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FE6"/>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basedOn w:val="DefaultParagraphFont"/>
    <w:link w:val="BalloonText"/>
    <w:uiPriority w:val="99"/>
    <w:semiHidden/>
    <w:locked/>
    <w:rsid w:val="004407DE"/>
    <w:rPr>
      <w:rFonts w:ascii="Tahoma" w:hAnsi="Tahoma" w:cs="Times New Roman"/>
      <w:sz w:val="16"/>
    </w:rPr>
  </w:style>
  <w:style w:type="paragraph" w:customStyle="1" w:styleId="Default">
    <w:name w:val="Default"/>
    <w:uiPriority w:val="99"/>
    <w:rsid w:val="00304BEF"/>
    <w:pPr>
      <w:autoSpaceDE w:val="0"/>
      <w:autoSpaceDN w:val="0"/>
      <w:adjustRightInd w:val="0"/>
    </w:pPr>
    <w:rPr>
      <w:rFonts w:eastAsia="Times New Roman"/>
      <w:color w:val="000000"/>
      <w:sz w:val="24"/>
      <w:szCs w:val="24"/>
    </w:rPr>
  </w:style>
  <w:style w:type="character" w:styleId="CommentReference">
    <w:name w:val="annotation reference"/>
    <w:basedOn w:val="DefaultParagraphFont"/>
    <w:uiPriority w:val="99"/>
    <w:semiHidden/>
    <w:rsid w:val="00672C30"/>
    <w:rPr>
      <w:rFonts w:cs="Times New Roman"/>
      <w:sz w:val="16"/>
    </w:rPr>
  </w:style>
  <w:style w:type="paragraph" w:styleId="CommentText">
    <w:name w:val="annotation text"/>
    <w:basedOn w:val="Normal"/>
    <w:link w:val="CommentTextChar"/>
    <w:uiPriority w:val="99"/>
    <w:semiHidden/>
    <w:rsid w:val="00672C30"/>
    <w:rPr>
      <w:sz w:val="20"/>
      <w:szCs w:val="20"/>
      <w:lang w:eastAsia="lv-LV"/>
    </w:rPr>
  </w:style>
  <w:style w:type="character" w:customStyle="1" w:styleId="CommentTextChar">
    <w:name w:val="Comment Text Char"/>
    <w:basedOn w:val="DefaultParagraphFont"/>
    <w:link w:val="CommentText"/>
    <w:uiPriority w:val="99"/>
    <w:semiHidden/>
    <w:locked/>
    <w:rsid w:val="00672C30"/>
    <w:rPr>
      <w:rFonts w:cs="Times New Roman"/>
      <w:sz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basedOn w:val="CommentTextChar"/>
    <w:link w:val="CommentSubject"/>
    <w:uiPriority w:val="99"/>
    <w:semiHidden/>
    <w:locked/>
    <w:rsid w:val="00672C30"/>
    <w:rPr>
      <w:rFonts w:cs="Times New Roman"/>
      <w:b/>
      <w:sz w:val="20"/>
    </w:rPr>
  </w:style>
  <w:style w:type="paragraph" w:styleId="ListParagraph">
    <w:name w:val="List Paragraph"/>
    <w:basedOn w:val="Normal"/>
    <w:uiPriority w:val="99"/>
    <w:qFormat/>
    <w:rsid w:val="00E56BEA"/>
    <w:pPr>
      <w:ind w:left="720"/>
      <w:contextualSpacing/>
    </w:pPr>
  </w:style>
  <w:style w:type="character" w:styleId="Hyperlink">
    <w:name w:val="Hyperlink"/>
    <w:basedOn w:val="DefaultParagraphFont"/>
    <w:uiPriority w:val="99"/>
    <w:rsid w:val="006573AE"/>
    <w:rPr>
      <w:rFonts w:cs="Times New Roman"/>
      <w:color w:val="0000FF"/>
      <w:u w:val="single"/>
    </w:rPr>
  </w:style>
  <w:style w:type="table" w:styleId="TableGrid">
    <w:name w:val="Table Grid"/>
    <w:basedOn w:val="TableNormal"/>
    <w:uiPriority w:val="99"/>
    <w:rsid w:val="00BF2A7A"/>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uiPriority w:val="99"/>
    <w:rsid w:val="00CC211E"/>
    <w:pPr>
      <w:spacing w:before="75" w:after="75"/>
      <w:ind w:firstLine="375"/>
      <w:jc w:val="both"/>
    </w:pPr>
    <w:rPr>
      <w:rFonts w:eastAsia="Batang"/>
      <w:sz w:val="24"/>
      <w:szCs w:val="24"/>
      <w:lang w:eastAsia="ko-KR"/>
    </w:rPr>
  </w:style>
  <w:style w:type="character" w:customStyle="1" w:styleId="EmailStyle311">
    <w:name w:val="EmailStyle311"/>
    <w:basedOn w:val="DefaultParagraphFont"/>
    <w:uiPriority w:val="99"/>
    <w:semiHidden/>
    <w:rsid w:val="00CD37F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09709">
      <w:marLeft w:val="0"/>
      <w:marRight w:val="0"/>
      <w:marTop w:val="0"/>
      <w:marBottom w:val="0"/>
      <w:divBdr>
        <w:top w:val="none" w:sz="0" w:space="0" w:color="auto"/>
        <w:left w:val="none" w:sz="0" w:space="0" w:color="auto"/>
        <w:bottom w:val="none" w:sz="0" w:space="0" w:color="auto"/>
        <w:right w:val="none" w:sz="0" w:space="0" w:color="auto"/>
      </w:divBdr>
    </w:div>
    <w:div w:id="942609710">
      <w:marLeft w:val="0"/>
      <w:marRight w:val="0"/>
      <w:marTop w:val="0"/>
      <w:marBottom w:val="0"/>
      <w:divBdr>
        <w:top w:val="none" w:sz="0" w:space="0" w:color="auto"/>
        <w:left w:val="none" w:sz="0" w:space="0" w:color="auto"/>
        <w:bottom w:val="none" w:sz="0" w:space="0" w:color="auto"/>
        <w:right w:val="none" w:sz="0" w:space="0" w:color="auto"/>
      </w:divBdr>
    </w:div>
    <w:div w:id="942609711">
      <w:marLeft w:val="0"/>
      <w:marRight w:val="0"/>
      <w:marTop w:val="0"/>
      <w:marBottom w:val="0"/>
      <w:divBdr>
        <w:top w:val="none" w:sz="0" w:space="0" w:color="auto"/>
        <w:left w:val="none" w:sz="0" w:space="0" w:color="auto"/>
        <w:bottom w:val="none" w:sz="0" w:space="0" w:color="auto"/>
        <w:right w:val="none" w:sz="0" w:space="0" w:color="auto"/>
      </w:divBdr>
    </w:div>
    <w:div w:id="942609712">
      <w:marLeft w:val="0"/>
      <w:marRight w:val="0"/>
      <w:marTop w:val="0"/>
      <w:marBottom w:val="0"/>
      <w:divBdr>
        <w:top w:val="none" w:sz="0" w:space="0" w:color="auto"/>
        <w:left w:val="none" w:sz="0" w:space="0" w:color="auto"/>
        <w:bottom w:val="none" w:sz="0" w:space="0" w:color="auto"/>
        <w:right w:val="none" w:sz="0" w:space="0" w:color="auto"/>
      </w:divBdr>
    </w:div>
    <w:div w:id="942609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nija.sijate@lvceli.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e.suveizda@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2829</Words>
  <Characters>18168</Characters>
  <Application>Microsoft Office Word</Application>
  <DocSecurity>0</DocSecurity>
  <Lines>865</Lines>
  <Paragraphs>411</Paragraphs>
  <ScaleCrop>false</ScaleCrop>
  <HeadingPairs>
    <vt:vector size="2" baseType="variant">
      <vt:variant>
        <vt:lpstr>Title</vt:lpstr>
      </vt:variant>
      <vt:variant>
        <vt:i4>1</vt:i4>
      </vt:variant>
    </vt:vector>
  </HeadingPairs>
  <TitlesOfParts>
    <vt:vector size="1" baseType="lpstr">
      <vt:lpstr>Ministru kabineta rīkojuma projekta „Par valsts galvenā autoceļa projekta „E67/A7 Ķekavas apvedceļš” publiskās un privātās partnerības procedūras uzsākšanu” sākotnējās ietekmes novērtējuma ziņojums (anotācija)</vt:lpstr>
    </vt:vector>
  </TitlesOfParts>
  <Company/>
  <LinksUpToDate>false</LinksUpToDate>
  <CharactersWithSpaces>20586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galvenā autoceļa projekta „E67/A7 Ķekavas apvedceļš” publiskās un privātās partnerības procedūras uzsākšanu” sākotnējās ietekmes novērtējuma ziņojums (anotācija)</dc:title>
  <dc:creator>Dace.Suveizda@sam.gov.lv</dc:creator>
  <dc:description>Dace.Suveizda@sam.gov.lv, 67028253; Dagnija.Sijate@lvceli.lv, 67028284</dc:description>
  <cp:lastModifiedBy>Dace Suveizda</cp:lastModifiedBy>
  <cp:revision>8</cp:revision>
  <cp:lastPrinted>2016-02-17T12:29:00Z</cp:lastPrinted>
  <dcterms:created xsi:type="dcterms:W3CDTF">2016-02-17T09:35:00Z</dcterms:created>
  <dcterms:modified xsi:type="dcterms:W3CDTF">2016-02-17T12:31:00Z</dcterms:modified>
</cp:coreProperties>
</file>