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45" w:rsidRPr="009E6216" w:rsidRDefault="00AD4445" w:rsidP="00AD4445">
      <w:pPr>
        <w:tabs>
          <w:tab w:val="left" w:pos="709"/>
        </w:tabs>
        <w:jc w:val="center"/>
        <w:rPr>
          <w:b/>
        </w:rPr>
      </w:pPr>
      <w:r w:rsidRPr="009E6216">
        <w:rPr>
          <w:b/>
        </w:rPr>
        <w:t>Ministru kabineta noteikumu projekta</w:t>
      </w:r>
      <w:bookmarkStart w:id="0" w:name="OLE_LINK1"/>
      <w:bookmarkStart w:id="1" w:name="OLE_LINK2"/>
    </w:p>
    <w:p w:rsidR="00AD4445" w:rsidRPr="009E6216" w:rsidRDefault="00AD4445" w:rsidP="00AD4445">
      <w:pPr>
        <w:pStyle w:val="Heading2"/>
        <w:ind w:firstLine="0"/>
        <w:jc w:val="center"/>
        <w:rPr>
          <w:sz w:val="24"/>
        </w:rPr>
      </w:pPr>
      <w:r w:rsidRPr="009E6216">
        <w:rPr>
          <w:sz w:val="24"/>
        </w:rPr>
        <w:t>„Gr</w:t>
      </w:r>
      <w:r w:rsidR="002100E8">
        <w:rPr>
          <w:sz w:val="24"/>
        </w:rPr>
        <w:t>ozījumi Ministru kabineta 2012.gada 28.</w:t>
      </w:r>
      <w:r w:rsidRPr="009E6216">
        <w:rPr>
          <w:sz w:val="24"/>
        </w:rPr>
        <w:t>augusta noteikumos Nr.599</w:t>
      </w:r>
    </w:p>
    <w:p w:rsidR="00AD4445" w:rsidRPr="009E6216" w:rsidRDefault="00AD4445" w:rsidP="00AD4445">
      <w:pPr>
        <w:pStyle w:val="Heading2"/>
        <w:ind w:firstLine="0"/>
        <w:jc w:val="center"/>
        <w:rPr>
          <w:sz w:val="24"/>
        </w:rPr>
      </w:pPr>
      <w:r w:rsidRPr="009E6216">
        <w:rPr>
          <w:sz w:val="24"/>
        </w:rPr>
        <w:t>„Sabiedriskā transporta pakalpojumu sniegšanas un izmantošanas kārtība””</w:t>
      </w:r>
    </w:p>
    <w:p w:rsidR="00AD4445" w:rsidRPr="009E6216" w:rsidRDefault="00AD4445" w:rsidP="00AD4445">
      <w:pPr>
        <w:jc w:val="center"/>
        <w:rPr>
          <w:b/>
          <w:bCs/>
        </w:rPr>
      </w:pPr>
      <w:r w:rsidRPr="009E6216">
        <w:rPr>
          <w:b/>
          <w:bCs/>
        </w:rPr>
        <w:t>sākotnējās ietekmes novērtējuma ziņojums (anotācija</w:t>
      </w:r>
      <w:bookmarkEnd w:id="0"/>
      <w:bookmarkEnd w:id="1"/>
      <w:r w:rsidRPr="009E6216">
        <w:rPr>
          <w:b/>
          <w:bCs/>
        </w:rPr>
        <w:t>)</w:t>
      </w:r>
    </w:p>
    <w:p w:rsidR="00AD4445" w:rsidRPr="009E6216" w:rsidRDefault="00AD4445" w:rsidP="00AD4445">
      <w:pPr>
        <w:pStyle w:val="naislab"/>
        <w:spacing w:before="0" w:after="0"/>
        <w:jc w:val="center"/>
        <w:rPr>
          <w:b/>
        </w:rPr>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9E6216" w:rsidRPr="009E6216" w:rsidTr="00554E7A">
        <w:tc>
          <w:tcPr>
            <w:tcW w:w="9555" w:type="dxa"/>
            <w:gridSpan w:val="3"/>
            <w:vAlign w:val="center"/>
          </w:tcPr>
          <w:p w:rsidR="00AD4445" w:rsidRPr="009E6216" w:rsidRDefault="00AD4445" w:rsidP="00554E7A">
            <w:pPr>
              <w:pStyle w:val="naisnod"/>
              <w:spacing w:before="0" w:after="60"/>
              <w:ind w:right="142"/>
            </w:pPr>
            <w:r w:rsidRPr="009E6216">
              <w:t>I. Tiesību akta projekta izstrādes nepieciešamība</w:t>
            </w:r>
          </w:p>
        </w:tc>
      </w:tr>
      <w:tr w:rsidR="009E6216" w:rsidRPr="009E6216" w:rsidTr="00554E7A">
        <w:trPr>
          <w:trHeight w:val="267"/>
        </w:trPr>
        <w:tc>
          <w:tcPr>
            <w:tcW w:w="677" w:type="dxa"/>
          </w:tcPr>
          <w:p w:rsidR="00AD4445" w:rsidRPr="009E6216" w:rsidRDefault="00AD4445" w:rsidP="00554E7A">
            <w:pPr>
              <w:pStyle w:val="naiskr"/>
              <w:spacing w:before="0" w:after="0"/>
              <w:ind w:right="142"/>
              <w:jc w:val="center"/>
            </w:pPr>
            <w:r w:rsidRPr="009E6216">
              <w:t>1.</w:t>
            </w:r>
          </w:p>
        </w:tc>
        <w:tc>
          <w:tcPr>
            <w:tcW w:w="2641" w:type="dxa"/>
          </w:tcPr>
          <w:p w:rsidR="00AD4445" w:rsidRPr="009E6216" w:rsidRDefault="00AD4445" w:rsidP="00554E7A">
            <w:pPr>
              <w:pStyle w:val="naiskr"/>
              <w:spacing w:before="0" w:after="0"/>
              <w:ind w:right="142"/>
            </w:pPr>
            <w:r w:rsidRPr="009E6216">
              <w:t>Pamatojums</w:t>
            </w:r>
          </w:p>
        </w:tc>
        <w:tc>
          <w:tcPr>
            <w:tcW w:w="6237" w:type="dxa"/>
          </w:tcPr>
          <w:p w:rsidR="00AD4445" w:rsidRPr="009E6216" w:rsidRDefault="00AD4445" w:rsidP="002100E8">
            <w:pPr>
              <w:pStyle w:val="naiskr"/>
              <w:spacing w:before="0" w:after="0"/>
              <w:jc w:val="both"/>
            </w:pPr>
            <w:r w:rsidRPr="009E6216">
              <w:t>2013.gada 21.novembrī Saeimā pieņemti grozījumi Sabiedriskā transporta pakalpojumu likumā (spēkā no 2013.gada 11.decembra</w:t>
            </w:r>
            <w:r w:rsidR="00731511" w:rsidRPr="009E6216">
              <w:t xml:space="preserve">). </w:t>
            </w:r>
            <w:r w:rsidR="002100E8">
              <w:t>Minētā l</w:t>
            </w:r>
            <w:r w:rsidR="00731511" w:rsidRPr="009E6216">
              <w:t>ikuma p</w:t>
            </w:r>
            <w:r w:rsidRPr="009E6216">
              <w:t>ārejas noteikumu 22.</w:t>
            </w:r>
            <w:r w:rsidR="00AC0A96" w:rsidRPr="009E6216">
              <w:t xml:space="preserve">punkts  paredz, ka </w:t>
            </w:r>
            <w:r w:rsidRPr="009E6216">
              <w:t>Sabiedriskā transporta padome</w:t>
            </w:r>
            <w:r w:rsidR="00AC0A96" w:rsidRPr="009E6216">
              <w:t xml:space="preserve"> </w:t>
            </w:r>
            <w:r w:rsidRPr="009E6216">
              <w:t xml:space="preserve">līdz 2014.gada 31.decembrim izstrādā šā </w:t>
            </w:r>
            <w:r w:rsidR="00731511" w:rsidRPr="009E6216">
              <w:t xml:space="preserve">Likuma </w:t>
            </w:r>
            <w:hyperlink r:id="rId8" w:anchor="p5" w:tgtFrame="_blank" w:history="1">
              <w:r w:rsidRPr="009E6216">
                <w:rPr>
                  <w:rStyle w:val="Hyperlink"/>
                  <w:color w:val="auto"/>
                  <w:u w:val="none"/>
                </w:rPr>
                <w:t>5.panta</w:t>
              </w:r>
            </w:hyperlink>
            <w:r w:rsidRPr="009E6216">
              <w:t xml:space="preserve"> pirmās daļas 1.punktā minēto vienotu reģionālās nozīmes maršrutu tīklu.</w:t>
            </w:r>
          </w:p>
        </w:tc>
      </w:tr>
      <w:tr w:rsidR="009E6216" w:rsidRPr="009E6216" w:rsidTr="00554E7A">
        <w:trPr>
          <w:trHeight w:val="472"/>
        </w:trPr>
        <w:tc>
          <w:tcPr>
            <w:tcW w:w="677" w:type="dxa"/>
          </w:tcPr>
          <w:p w:rsidR="00AD4445" w:rsidRPr="009E6216" w:rsidRDefault="00AD4445" w:rsidP="00554E7A">
            <w:pPr>
              <w:pStyle w:val="naiskr"/>
              <w:spacing w:before="0" w:after="0"/>
              <w:ind w:right="142"/>
              <w:jc w:val="center"/>
            </w:pPr>
            <w:r w:rsidRPr="009E6216">
              <w:t>2.</w:t>
            </w:r>
          </w:p>
        </w:tc>
        <w:tc>
          <w:tcPr>
            <w:tcW w:w="2641" w:type="dxa"/>
          </w:tcPr>
          <w:p w:rsidR="00E26FEA" w:rsidRDefault="00AD4445" w:rsidP="00554E7A">
            <w:pPr>
              <w:pStyle w:val="naiskr"/>
              <w:spacing w:before="0" w:after="0"/>
              <w:ind w:right="142"/>
            </w:pPr>
            <w:r w:rsidRPr="009E6216">
              <w:t>Pašreizējā situācija un problēmas, kuru risināšanai tiesību akta projekts izstrādāts, tiesiskā regulējuma mērķis un būtība</w:t>
            </w:r>
          </w:p>
          <w:p w:rsidR="00E26FEA" w:rsidRPr="00E26FEA" w:rsidRDefault="00E26FEA" w:rsidP="00E26FEA"/>
          <w:p w:rsidR="00E26FEA" w:rsidRPr="00E26FEA" w:rsidRDefault="00E26FEA" w:rsidP="00E26FEA"/>
          <w:p w:rsidR="00E26FEA" w:rsidRPr="00E26FEA" w:rsidRDefault="00E26FEA" w:rsidP="00E26FEA"/>
          <w:p w:rsidR="00E26FEA" w:rsidRPr="00E26FEA" w:rsidRDefault="00E26FEA" w:rsidP="00E26FEA"/>
          <w:p w:rsidR="00E26FEA" w:rsidRPr="00E26FEA" w:rsidRDefault="00E26FEA" w:rsidP="00E26FEA"/>
          <w:p w:rsidR="00E26FEA" w:rsidRDefault="00E26FEA" w:rsidP="00E26FEA"/>
          <w:p w:rsidR="00E26FEA" w:rsidRDefault="00E26FEA" w:rsidP="00E26FEA"/>
          <w:p w:rsidR="00AD4445" w:rsidRPr="00E26FEA" w:rsidRDefault="00AD4445" w:rsidP="00E26FEA">
            <w:pPr>
              <w:ind w:firstLine="720"/>
            </w:pPr>
          </w:p>
        </w:tc>
        <w:tc>
          <w:tcPr>
            <w:tcW w:w="6237" w:type="dxa"/>
          </w:tcPr>
          <w:p w:rsidR="00A55EF5" w:rsidRDefault="00A55EF5" w:rsidP="00156547">
            <w:pPr>
              <w:jc w:val="both"/>
            </w:pPr>
            <w:r w:rsidRPr="00C32A09">
              <w:t xml:space="preserve">Šobrīd kārtību, kādā tiek sniegti un izmantoti sabiedriskā transporta pakalpojumi, regulē Ministru kabineta </w:t>
            </w:r>
            <w:r w:rsidR="002100E8">
              <w:t>2012.gada 28.</w:t>
            </w:r>
            <w:r w:rsidR="002100E8" w:rsidRPr="00C32A09">
              <w:t xml:space="preserve">augusta </w:t>
            </w:r>
            <w:r w:rsidR="002100E8">
              <w:t xml:space="preserve">noteikumi Nr.599 </w:t>
            </w:r>
            <w:r w:rsidRPr="00C32A09">
              <w:t>„Sabiedriskā transporta pakalpojumu sniegšanas un izmantošanas kārtība” (turpmāk tekstā – MK noteikumi Nr.599).</w:t>
            </w:r>
          </w:p>
          <w:p w:rsidR="00156547" w:rsidRPr="00EA0155" w:rsidRDefault="00156547" w:rsidP="00156547">
            <w:pPr>
              <w:jc w:val="both"/>
            </w:pPr>
            <w:r w:rsidRPr="00EA0155">
              <w:t>Sabiedriskā transporta</w:t>
            </w:r>
            <w:r>
              <w:t xml:space="preserve"> pakalpojuma likums</w:t>
            </w:r>
            <w:r w:rsidR="00A55EF5">
              <w:t xml:space="preserve"> (turpmāk tekstā - Likums)</w:t>
            </w:r>
            <w:r w:rsidRPr="00EA0155">
              <w:t xml:space="preserve"> paredz vairākus principus, pēc kuriem jāvadās pakalpojuma sniegšanas organizētājam. </w:t>
            </w:r>
            <w:r w:rsidR="00A55EF5">
              <w:t>Likuma</w:t>
            </w:r>
            <w:r w:rsidRPr="00EA0155">
              <w:t xml:space="preserve"> 6.</w:t>
            </w:r>
            <w:r w:rsidR="00A55EF5">
              <w:t xml:space="preserve"> </w:t>
            </w:r>
            <w:r w:rsidRPr="00EA0155">
              <w:t>panta trešajā daļā noteikts, ka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plūsma.</w:t>
            </w:r>
            <w:r w:rsidRPr="00156547">
              <w:rPr>
                <w:rStyle w:val="Strong"/>
                <w:b w:val="0"/>
              </w:rPr>
              <w:t xml:space="preserve"> Savukārt </w:t>
            </w:r>
            <w:r w:rsidR="00E7474B">
              <w:rPr>
                <w:rStyle w:val="Strong"/>
                <w:b w:val="0"/>
              </w:rPr>
              <w:t>L</w:t>
            </w:r>
            <w:r w:rsidR="002100E8">
              <w:rPr>
                <w:rStyle w:val="Strong"/>
                <w:b w:val="0"/>
              </w:rPr>
              <w:t>ikuma 6.</w:t>
            </w:r>
            <w:r w:rsidRPr="00156547">
              <w:rPr>
                <w:rStyle w:val="Strong"/>
                <w:b w:val="0"/>
              </w:rPr>
              <w:t xml:space="preserve">panta ceturtajā daļā paredzēts, ka </w:t>
            </w:r>
            <w:r w:rsidRPr="00EA0155">
              <w:t xml:space="preserve">maršrutu tīklu veido, lai apmierinātu iedzīvotāju pieprasījumu pēc sabiedriskā transporta pakalpojumiem un nodrošinātu maršrutu tīklā iespēju apmeklēt izglītības iestādes, ārstniecības iestādes, darbavietas, valsts un pašvaldību institūcijas to normālajā </w:t>
            </w:r>
            <w:r w:rsidR="00F30C78">
              <w:t>(vispārpieņemtajā) darba laikā.</w:t>
            </w:r>
          </w:p>
          <w:p w:rsidR="00E7474B" w:rsidRPr="00F65AEF" w:rsidRDefault="00E7474B" w:rsidP="00E7474B">
            <w:pPr>
              <w:jc w:val="both"/>
              <w:rPr>
                <w:szCs w:val="26"/>
              </w:rPr>
            </w:pPr>
            <w:r w:rsidRPr="00F65AEF">
              <w:rPr>
                <w:szCs w:val="26"/>
              </w:rPr>
              <w:t xml:space="preserve">2013.gada 21.novembrī Saeimā tika pieņemti Likuma grozījumi, kas maina līdzšinējo sabiedriskā transporta pakalpojumu administrēšanas sistēmu un nosaka jaunu sabiedriskā transporta pakalpojumu pārzināšanā un organizēšanā iesaistīto institūciju kompetenci. Proti, Likums paredz, ka no 2014.gada 1.janvāra reģionālās nozīmes sabiedriskā transporta pakalpojumu administrēšanas jomā galvenās funkcijas ir piekritīgas Sabiedriskā transporta padomei. VSIA „Autotransporta direkcija” kompetencē ir saglabātas Sabiedriskā transporta padomes izpildinstitūcijas funkcijas, kā arī atsevišķas ar pakalpojumu organizēšanu saistītas funkcijas. </w:t>
            </w:r>
          </w:p>
          <w:p w:rsidR="00E7474B" w:rsidRPr="00F65AEF" w:rsidRDefault="00E7474B" w:rsidP="00E7474B">
            <w:pPr>
              <w:jc w:val="both"/>
            </w:pPr>
            <w:r w:rsidRPr="00F65AEF">
              <w:rPr>
                <w:szCs w:val="26"/>
              </w:rPr>
              <w:t xml:space="preserve">Likuma Pārejas noteikumu 22.punkts paredz, ka  Sabiedriskā transporta padome līdz </w:t>
            </w:r>
            <w:r w:rsidRPr="00F65AEF">
              <w:t xml:space="preserve">2014.gada 31.decembrim izstrādā šā </w:t>
            </w:r>
            <w:r w:rsidRPr="00F65AEF">
              <w:lastRenderedPageBreak/>
              <w:t xml:space="preserve">Likuma </w:t>
            </w:r>
            <w:hyperlink r:id="rId9" w:anchor="p5" w:tgtFrame="_blank" w:history="1">
              <w:r w:rsidRPr="00F65AEF">
                <w:rPr>
                  <w:rStyle w:val="Hyperlink"/>
                  <w:color w:val="auto"/>
                  <w:u w:val="none"/>
                </w:rPr>
                <w:t>5.panta</w:t>
              </w:r>
            </w:hyperlink>
            <w:r w:rsidRPr="00F65AEF">
              <w:t xml:space="preserve"> pirmās daļas 1.punktā minēto vienotu reģionālās nozīmes maršrutu tīklu. Ņemot vērā, ka vienotais reģionālās nozīmes maršrutu tīkls ir izstrādāts un apstiprināts Sabiedriskā transporta padomē, ir nepieciešams apstiprināt vienotus nosacījumus, kādā tiek sniegti sabiedriskā transporta pakalpojumi šajā reģionālās nozīmes maršrutu tīklā.</w:t>
            </w:r>
          </w:p>
          <w:p w:rsidR="00E7474B" w:rsidRDefault="00E7474B" w:rsidP="00E7474B">
            <w:pPr>
              <w:jc w:val="both"/>
            </w:pPr>
            <w:r>
              <w:t xml:space="preserve">Šobrīd </w:t>
            </w:r>
            <w:r w:rsidR="00F30C78">
              <w:t xml:space="preserve">MK </w:t>
            </w:r>
            <w:r>
              <w:t xml:space="preserve">noteikumu Nr.599 36.punktā </w:t>
            </w:r>
            <w:r w:rsidRPr="002100E8">
              <w:t>nav iespējams nodrošināt Liku</w:t>
            </w:r>
            <w:r>
              <w:t>mā noteiktos pakalpojuma organizēšanas pamatprincipus - piemēram, nodrošināt pieejamus sabiedriskā transporta pakalpojumus, kas atbilstu mūsdienu pasažieru vajadzībām.</w:t>
            </w:r>
          </w:p>
          <w:p w:rsidR="00156547" w:rsidRPr="00156547" w:rsidRDefault="00156547" w:rsidP="00156547">
            <w:pPr>
              <w:jc w:val="both"/>
            </w:pPr>
            <w:r>
              <w:t xml:space="preserve">MK noteikumos Nr.599 ietvertais regulējums </w:t>
            </w:r>
            <w:r>
              <w:rPr>
                <w:u w:val="single"/>
              </w:rPr>
              <w:t xml:space="preserve">pasažieru vilciena </w:t>
            </w:r>
            <w:r w:rsidRPr="00156547">
              <w:rPr>
                <w:u w:val="single"/>
              </w:rPr>
              <w:t>pārvadājumos neļauj pasažierim:</w:t>
            </w:r>
          </w:p>
          <w:p w:rsidR="00156547" w:rsidRPr="00156547" w:rsidRDefault="00156547" w:rsidP="00156547">
            <w:pPr>
              <w:pStyle w:val="ListParagraph"/>
              <w:numPr>
                <w:ilvl w:val="0"/>
                <w:numId w:val="6"/>
              </w:numPr>
              <w:rPr>
                <w:sz w:val="24"/>
                <w:szCs w:val="24"/>
              </w:rPr>
            </w:pPr>
            <w:r w:rsidRPr="00156547">
              <w:rPr>
                <w:sz w:val="24"/>
                <w:szCs w:val="24"/>
              </w:rPr>
              <w:t xml:space="preserve"> iepriekš iegādāties biļetes uz viņam nepieciešamo vilciena maršrutu vai konkrēto vilcienu, jo spēkā esošais regulējums paredz, ka biļete ir derīga tās iegādes datumā. Faktiski spēkā esošā norma nepieļauj realizēt iepriekšpārdošanas pakalpojumus;</w:t>
            </w:r>
          </w:p>
          <w:p w:rsidR="00156547" w:rsidRDefault="00C32A09" w:rsidP="00156547">
            <w:pPr>
              <w:pStyle w:val="ListParagraph"/>
              <w:numPr>
                <w:ilvl w:val="0"/>
                <w:numId w:val="6"/>
              </w:numPr>
              <w:rPr>
                <w:sz w:val="24"/>
                <w:szCs w:val="24"/>
              </w:rPr>
            </w:pPr>
            <w:r>
              <w:rPr>
                <w:sz w:val="24"/>
                <w:szCs w:val="24"/>
              </w:rPr>
              <w:t>i</w:t>
            </w:r>
            <w:r w:rsidR="00156547" w:rsidRPr="00156547">
              <w:rPr>
                <w:sz w:val="24"/>
                <w:szCs w:val="24"/>
              </w:rPr>
              <w:t xml:space="preserve">egādāties </w:t>
            </w:r>
            <w:r w:rsidR="000F320D">
              <w:rPr>
                <w:sz w:val="24"/>
                <w:szCs w:val="24"/>
              </w:rPr>
              <w:t>biļeti noteiktam braucienu skaitam (piemēram</w:t>
            </w:r>
            <w:r w:rsidR="00173B0C">
              <w:rPr>
                <w:sz w:val="24"/>
                <w:szCs w:val="24"/>
              </w:rPr>
              <w:t>,</w:t>
            </w:r>
            <w:r w:rsidR="000F320D">
              <w:rPr>
                <w:sz w:val="24"/>
                <w:szCs w:val="24"/>
              </w:rPr>
              <w:t xml:space="preserve"> 10</w:t>
            </w:r>
            <w:r w:rsidR="00173B0C">
              <w:rPr>
                <w:sz w:val="24"/>
                <w:szCs w:val="24"/>
              </w:rPr>
              <w:t xml:space="preserve"> braucieniem</w:t>
            </w:r>
            <w:r w:rsidR="000F320D">
              <w:rPr>
                <w:sz w:val="24"/>
                <w:szCs w:val="24"/>
              </w:rPr>
              <w:t>), piemērojot apjoma atlaidi</w:t>
            </w:r>
            <w:r w:rsidR="00156547" w:rsidRPr="00156547">
              <w:rPr>
                <w:sz w:val="24"/>
                <w:szCs w:val="24"/>
              </w:rPr>
              <w:t>, jo kā jau tika minēts, spēkā esošais regulējums paredz, ka biļet</w:t>
            </w:r>
            <w:r w:rsidR="00600019">
              <w:rPr>
                <w:sz w:val="24"/>
                <w:szCs w:val="24"/>
              </w:rPr>
              <w:t>e ir derīga tās iegādes datumā.</w:t>
            </w:r>
          </w:p>
          <w:p w:rsidR="00600019" w:rsidRDefault="00600019" w:rsidP="00600019">
            <w:pPr>
              <w:jc w:val="both"/>
            </w:pPr>
            <w:r w:rsidRPr="00F65AEF">
              <w:t xml:space="preserve">MK noteikumu Nr.599 34.punkts nosaka biļetes derīguma termiņu un tās izmantošanas kārtību reģionālās nozīmes maršrutos, kuros pakalpojumus sniedz ar autobusiem. Savukārt MK noteikumu Nr.599 36.punkts nosaka biļetes derīguma termiņu un tās izmantošanas kārtību reģionālās nozīmes dzelzceļa maršrutos. </w:t>
            </w:r>
            <w:r>
              <w:t>Ņemot vērā minēto,</w:t>
            </w:r>
            <w:r w:rsidRPr="00F65AEF">
              <w:t xml:space="preserve"> </w:t>
            </w:r>
            <w:r w:rsidR="00F30C78">
              <w:t xml:space="preserve">MK </w:t>
            </w:r>
            <w:r w:rsidRPr="00F65AEF">
              <w:t>noteikumu Nr.599 34.punkta redakcija būtu attiecināma uz visiem sabiedriskā transporta veidiem (autobusi</w:t>
            </w:r>
            <w:r>
              <w:t xml:space="preserve">em un </w:t>
            </w:r>
            <w:r w:rsidRPr="00F65AEF">
              <w:t xml:space="preserve"> vilcienie</w:t>
            </w:r>
            <w:r>
              <w:t>m</w:t>
            </w:r>
            <w:r w:rsidRPr="00F65AEF">
              <w:t>).</w:t>
            </w:r>
          </w:p>
          <w:p w:rsidR="00A55EF5" w:rsidRPr="00600019" w:rsidRDefault="00A55EF5" w:rsidP="00600019">
            <w:pPr>
              <w:jc w:val="both"/>
            </w:pPr>
            <w:r w:rsidRPr="00600019">
              <w:rPr>
                <w:szCs w:val="26"/>
              </w:rPr>
              <w:t xml:space="preserve">MK noteikumu Nr.599 36.punkta regulējums neļauj realizēt arī Dzelzceļa pārvadājumu likuma 21. panta pirmās daļas 2.punktā noteikto pārvadātāja pienākumu - </w:t>
            </w:r>
            <w:r w:rsidRPr="002100E8">
              <w:t xml:space="preserve">pēc pasažiera pieprasījuma noteiktā kārtībā pagarināt biļetes derīguma termiņu vai pieņemt atpakaļ neizmantoto (daļēji izmantoto) biļeti. </w:t>
            </w:r>
            <w:r w:rsidRPr="00600019">
              <w:rPr>
                <w:szCs w:val="26"/>
              </w:rPr>
              <w:t xml:space="preserve">Minētā likumā noteiktais pārvadātāja pienākums </w:t>
            </w:r>
            <w:r w:rsidR="00F65AEF" w:rsidRPr="00600019">
              <w:rPr>
                <w:szCs w:val="26"/>
              </w:rPr>
              <w:t xml:space="preserve">un pasažieru tiesības </w:t>
            </w:r>
            <w:r w:rsidRPr="00600019">
              <w:rPr>
                <w:szCs w:val="26"/>
              </w:rPr>
              <w:t>ir ierobe</w:t>
            </w:r>
            <w:r w:rsidR="00F65AEF" w:rsidRPr="00600019">
              <w:rPr>
                <w:szCs w:val="26"/>
              </w:rPr>
              <w:t xml:space="preserve">žotas </w:t>
            </w:r>
            <w:r w:rsidRPr="00600019">
              <w:rPr>
                <w:szCs w:val="26"/>
              </w:rPr>
              <w:t>ar MK noteikumos Nr.599 36.punktā noteikto, ka biļete ir d</w:t>
            </w:r>
            <w:r w:rsidR="002100E8" w:rsidRPr="00600019">
              <w:rPr>
                <w:szCs w:val="26"/>
              </w:rPr>
              <w:t>erīga tikai tās iegādes datumā.</w:t>
            </w:r>
          </w:p>
          <w:p w:rsidR="002100E8" w:rsidRDefault="00600019" w:rsidP="00600019">
            <w:pPr>
              <w:jc w:val="both"/>
              <w:rPr>
                <w:szCs w:val="26"/>
              </w:rPr>
            </w:pPr>
            <w:r>
              <w:rPr>
                <w:szCs w:val="26"/>
              </w:rPr>
              <w:t>T</w:t>
            </w:r>
            <w:r w:rsidR="00E7474B">
              <w:rPr>
                <w:szCs w:val="26"/>
              </w:rPr>
              <w:t>ā</w:t>
            </w:r>
            <w:r>
              <w:rPr>
                <w:szCs w:val="26"/>
              </w:rPr>
              <w:t>d</w:t>
            </w:r>
            <w:r w:rsidR="00880560">
              <w:rPr>
                <w:szCs w:val="26"/>
              </w:rPr>
              <w:t>ēj</w:t>
            </w:r>
            <w:r>
              <w:rPr>
                <w:szCs w:val="26"/>
              </w:rPr>
              <w:t>ādi</w:t>
            </w:r>
            <w:bookmarkStart w:id="2" w:name="_GoBack"/>
            <w:bookmarkEnd w:id="2"/>
            <w:r w:rsidR="00F65AEF">
              <w:rPr>
                <w:szCs w:val="26"/>
              </w:rPr>
              <w:t xml:space="preserve"> ir nepieciešams noteikt regulējumu, kas</w:t>
            </w:r>
            <w:r w:rsidR="00F55359">
              <w:rPr>
                <w:szCs w:val="26"/>
              </w:rPr>
              <w:t>,</w:t>
            </w:r>
            <w:r w:rsidR="00F65AEF">
              <w:rPr>
                <w:szCs w:val="26"/>
              </w:rPr>
              <w:t xml:space="preserve"> pirmkārt</w:t>
            </w:r>
            <w:r w:rsidR="00F55359">
              <w:rPr>
                <w:szCs w:val="26"/>
              </w:rPr>
              <w:t>,</w:t>
            </w:r>
            <w:r w:rsidR="00F65AEF">
              <w:rPr>
                <w:szCs w:val="26"/>
              </w:rPr>
              <w:t xml:space="preserve"> atbilstu ārējo normatīvo aktu prasībām, otrkārt</w:t>
            </w:r>
            <w:r w:rsidR="00F55359">
              <w:rPr>
                <w:szCs w:val="26"/>
              </w:rPr>
              <w:t>,</w:t>
            </w:r>
            <w:r w:rsidR="00F65AEF">
              <w:rPr>
                <w:szCs w:val="26"/>
              </w:rPr>
              <w:t xml:space="preserve"> nodrošinātu pasažieru interesēm atbilstošu elastīgu biļet</w:t>
            </w:r>
            <w:r>
              <w:rPr>
                <w:szCs w:val="26"/>
              </w:rPr>
              <w:t>es derīguma termiņa regulējumu.</w:t>
            </w:r>
          </w:p>
          <w:p w:rsidR="00F65AEF" w:rsidRDefault="00F65AEF" w:rsidP="00F65AEF">
            <w:pPr>
              <w:jc w:val="both"/>
            </w:pPr>
            <w:r>
              <w:t>Ar jauno tiesisko regulējumu tiks nodrošināta iespēja pārvadātājam ieviest daudzreizējās biļetes iegādes iespējas, ļaus ieviest normatīvajiem aktiem atbilstošu biļešu iepriekšpārdošanu interneta vidē, kas turpmāk ļaus veidot dažādas lojalitātes programmas tiem pasažieriem, kas ikdienā izmanto sabiedriskā transporta pakalpojumus.</w:t>
            </w:r>
            <w:r w:rsidR="00C32A09">
              <w:t xml:space="preserve"> Piemēram, paredzēt, ka</w:t>
            </w:r>
            <w:r w:rsidR="00F55359">
              <w:t>,</w:t>
            </w:r>
            <w:r w:rsidR="00C32A09">
              <w:t xml:space="preserve"> pērkot 5 vai vairākas biļetes</w:t>
            </w:r>
            <w:r w:rsidR="00F55359">
              <w:t>,</w:t>
            </w:r>
            <w:r w:rsidR="00C32A09">
              <w:t xml:space="preserve"> tiek piešķirta apjoma </w:t>
            </w:r>
            <w:r w:rsidR="00C32A09">
              <w:lastRenderedPageBreak/>
              <w:t xml:space="preserve">atlaide konkrētā procenta </w:t>
            </w:r>
            <w:r w:rsidR="00F55359">
              <w:t>ampērā</w:t>
            </w:r>
            <w:r w:rsidR="00C32A09">
              <w:t xml:space="preserve">. </w:t>
            </w:r>
            <w:r>
              <w:t xml:space="preserve">  </w:t>
            </w:r>
          </w:p>
          <w:p w:rsidR="00F65AEF" w:rsidRDefault="00600019" w:rsidP="00F65AEF">
            <w:pPr>
              <w:jc w:val="both"/>
            </w:pPr>
            <w:r>
              <w:t>N</w:t>
            </w:r>
            <w:r w:rsidR="00F65AEF">
              <w:t xml:space="preserve">oteikumu projektā tiek paredzēts, ka </w:t>
            </w:r>
            <w:r w:rsidR="00F65AEF" w:rsidRPr="00F65AEF">
              <w:t xml:space="preserve">papildus </w:t>
            </w:r>
            <w:r>
              <w:t>vispārējam</w:t>
            </w:r>
            <w:r w:rsidR="00F65AEF" w:rsidRPr="00F65AEF">
              <w:t xml:space="preserve"> regulējumam pārvadātājam ir tiesības noteikt arī citu biļetes derīguma termiņu un tās izmantošanas kārtību, saskaņojot to ar pasūtītāju.</w:t>
            </w:r>
          </w:p>
          <w:p w:rsidR="005046C3" w:rsidRDefault="005046C3" w:rsidP="005046C3">
            <w:pPr>
              <w:jc w:val="both"/>
            </w:pPr>
            <w:r>
              <w:t>Ņemot vērā mūsdienu tehnoloģi</w:t>
            </w:r>
            <w:r w:rsidR="00880560">
              <w:t>ju straujo attīstību</w:t>
            </w:r>
            <w:r>
              <w:t xml:space="preserve">, </w:t>
            </w:r>
            <w:r w:rsidR="00E7474B">
              <w:t>n</w:t>
            </w:r>
            <w:r>
              <w:t xml:space="preserve">oteikumu projektā ir </w:t>
            </w:r>
            <w:r w:rsidR="00600019">
              <w:t>ietverta</w:t>
            </w:r>
            <w:r>
              <w:t xml:space="preserve"> norma, kas ļauj pārvadātājam, kas atrodas vistiešākā saskarsmē ar pakalpojuma saņēmēju (pasažieri)</w:t>
            </w:r>
            <w:r w:rsidR="00F55359">
              <w:t>,</w:t>
            </w:r>
            <w:r>
              <w:t xml:space="preserve"> pirmkārt</w:t>
            </w:r>
            <w:r w:rsidR="00F55359">
              <w:t>,</w:t>
            </w:r>
            <w:r>
              <w:t xml:space="preserve"> reaģēt uz mūsdienu tehnoloģisko risinājumu piedāvājumiem, piemēram, ieviest elektronisko biļetes validēšan</w:t>
            </w:r>
            <w:r w:rsidR="00F55359">
              <w:t>u</w:t>
            </w:r>
            <w:r>
              <w:t xml:space="preserve"> vai validēšanu, izmantojot </w:t>
            </w:r>
            <w:proofErr w:type="spellStart"/>
            <w:r>
              <w:t>bezkontakta</w:t>
            </w:r>
            <w:proofErr w:type="spellEnd"/>
            <w:r>
              <w:t xml:space="preserve"> kartes vai </w:t>
            </w:r>
            <w:proofErr w:type="spellStart"/>
            <w:r>
              <w:t>čipus</w:t>
            </w:r>
            <w:proofErr w:type="spellEnd"/>
            <w:r>
              <w:t>, kas ļaus ikdienā atvieglot gan kontrolējošo institūciju darbu, gan pasažieru iespējas izmantot mūsdienām atbilstošu sabiedrisko transportu. Tā kā šobrīd nav iespējams apzināt un tiesiskajā regulējumā iestrādāt vis</w:t>
            </w:r>
            <w:r w:rsidR="00880560">
              <w:t>us iespējamos</w:t>
            </w:r>
            <w:r>
              <w:t xml:space="preserve"> tehnoloģiskos risinājumus, noteikumos </w:t>
            </w:r>
            <w:r w:rsidR="00F55359">
              <w:t>ir jāparedz pārvadātāja tiesība pēc saskaņošanas ar pasūtītāju</w:t>
            </w:r>
            <w:r>
              <w:t xml:space="preserve"> ieviest </w:t>
            </w:r>
            <w:r w:rsidR="00600019">
              <w:t>citādu</w:t>
            </w:r>
            <w:r>
              <w:t xml:space="preserve"> biļetes izmantošanas kārtību.  </w:t>
            </w:r>
          </w:p>
          <w:p w:rsidR="00F65AEF" w:rsidRDefault="00600019" w:rsidP="00C43CD5">
            <w:pPr>
              <w:jc w:val="both"/>
            </w:pPr>
            <w:r>
              <w:t>Ņ</w:t>
            </w:r>
            <w:r w:rsidR="005046C3">
              <w:t xml:space="preserve">emot vērā mūsdienu </w:t>
            </w:r>
            <w:r w:rsidR="005046C3" w:rsidRPr="00EA0155">
              <w:t>sabiedriskā transporta nozare</w:t>
            </w:r>
            <w:r w:rsidR="005046C3">
              <w:t>s</w:t>
            </w:r>
            <w:r w:rsidR="005046C3" w:rsidRPr="00EA0155">
              <w:t xml:space="preserve"> </w:t>
            </w:r>
            <w:r w:rsidR="005046C3">
              <w:t>specifiku un apstākli, ka s</w:t>
            </w:r>
            <w:r w:rsidR="005046C3" w:rsidRPr="00EA0155">
              <w:t xml:space="preserve">abiedriskā transporta pakalpojumi sabiedrībai ir būtiski un tai šie pakalpojumi ir jāsaņem vismaz tādā apmērā, kā tas ir noteikts </w:t>
            </w:r>
            <w:r w:rsidR="005046C3">
              <w:t xml:space="preserve">Likumā, </w:t>
            </w:r>
            <w:r w:rsidR="00C43CD5">
              <w:t>ir jāatrod veids, kā sabiedriskā transporta pakalpojumus padarīt gan par efektīgākiem, gan par pasažieru vajadzībām un interesēm atbilstošiem, proti, par pievilcīgākiem, kas mudinātu pasažieri izmantot sabiedriskos transportlīdzekļus, nevis privāto automašīnu vai „nelegālo” pasažieru pārvadātāju pakalpojumus. Līdz ar to pārvadātājam, kas sniedz sabiedriskā transporta pakalpojumus, ir jāspēj operatīvi reaģēt uz pakalpojuma pieprasītāja vajadzībām, un jārada tāds tiesiskais regulējums, kas ļaus īstenot gan iepriekš minētās lojalitātes programmas, gan veidot pasažieru pieprasījumam atbilstošs pakalpojums. Tād</w:t>
            </w:r>
            <w:r>
              <w:t>ē</w:t>
            </w:r>
            <w:r w:rsidR="00C43CD5">
              <w:t xml:space="preserve">jādi noteikumu projektā </w:t>
            </w:r>
            <w:r>
              <w:t>ietverta</w:t>
            </w:r>
            <w:r w:rsidR="00C43CD5">
              <w:t xml:space="preserve"> norma, kas ļaus pārvadātājam, pēc saskaņošanas ar pasūtītāju noteikt citu</w:t>
            </w:r>
            <w:r w:rsidR="00F55359">
              <w:t xml:space="preserve">  </w:t>
            </w:r>
            <w:r w:rsidR="00F55359">
              <w:t>biļetes derīguma termiņu</w:t>
            </w:r>
            <w:r w:rsidR="00C43CD5">
              <w:t>, kas nebūs pasažierim nelabvēlīgāk</w:t>
            </w:r>
            <w:r w:rsidR="00F55359">
              <w:t>s</w:t>
            </w:r>
            <w:r w:rsidR="00584613">
              <w:t>.</w:t>
            </w:r>
          </w:p>
          <w:p w:rsidR="00584613" w:rsidRPr="007D37AB" w:rsidRDefault="00584613" w:rsidP="004D405C">
            <w:pPr>
              <w:jc w:val="both"/>
            </w:pPr>
            <w:r w:rsidRPr="007D37AB">
              <w:t xml:space="preserve">Izstrādājot Informatīvo ziņojumu </w:t>
            </w:r>
            <w:r w:rsidR="00EB16D2" w:rsidRPr="007D37AB">
              <w:t xml:space="preserve">“Par autoostu sistēmas pilnveidošanu, lai veicinātu sistēmas darbības efektivitāti un izmaksu samazināšanu” (izsludināts Valsts sekretāru 2015.gada 3.decembra sanāksmē), Satiksmes ministrija </w:t>
            </w:r>
            <w:r w:rsidR="00880560">
              <w:t xml:space="preserve">ierosināja </w:t>
            </w:r>
            <w:r w:rsidRPr="007D37AB">
              <w:t xml:space="preserve">veikt </w:t>
            </w:r>
            <w:r w:rsidR="00EB16D2" w:rsidRPr="007D37AB">
              <w:t>grozījumus MK noteikumos Nr.599</w:t>
            </w:r>
            <w:r w:rsidRPr="007D37AB">
              <w:t xml:space="preserve">, </w:t>
            </w:r>
            <w:r w:rsidR="00EB16D2" w:rsidRPr="007D37AB">
              <w:t xml:space="preserve"> </w:t>
            </w:r>
            <w:r w:rsidR="002C3315">
              <w:t>svītrojot</w:t>
            </w:r>
            <w:r w:rsidR="00EB16D2" w:rsidRPr="007D37AB">
              <w:t xml:space="preserve"> 40.1.</w:t>
            </w:r>
            <w:r w:rsidR="002C3315">
              <w:t>apakš</w:t>
            </w:r>
            <w:r w:rsidR="00EB16D2" w:rsidRPr="007D37AB">
              <w:t>punktu</w:t>
            </w:r>
            <w:r w:rsidR="00BE640B" w:rsidRPr="007D37AB">
              <w:t>,</w:t>
            </w:r>
            <w:r w:rsidR="00EB16D2" w:rsidRPr="007D37AB">
              <w:t xml:space="preserve"> </w:t>
            </w:r>
            <w:r w:rsidR="004D405C" w:rsidRPr="007D37AB">
              <w:t>saglabājot par biļešu atgriešanu</w:t>
            </w:r>
            <w:r w:rsidRPr="007D37AB">
              <w:t xml:space="preserve"> </w:t>
            </w:r>
            <w:r w:rsidR="004D405C" w:rsidRPr="007D37AB">
              <w:t>kompensāciju</w:t>
            </w:r>
            <w:r w:rsidRPr="007D37AB">
              <w:t xml:space="preserve"> </w:t>
            </w:r>
            <w:r w:rsidR="004D405C" w:rsidRPr="007D37AB">
              <w:t xml:space="preserve">tikai </w:t>
            </w:r>
            <w:r w:rsidRPr="007D37AB">
              <w:t>75% apmērā, ja pircējs atsakās no brauciena no pārvadātāja neatkarīgu apstākļu dēļ.</w:t>
            </w:r>
          </w:p>
          <w:p w:rsidR="002C58C0" w:rsidRPr="007D37AB" w:rsidRDefault="002C58C0" w:rsidP="00BE640B">
            <w:pPr>
              <w:jc w:val="both"/>
            </w:pPr>
            <w:r w:rsidRPr="007D37AB">
              <w:t>Tas pamatoj</w:t>
            </w:r>
            <w:r w:rsidR="00C5325D">
              <w:t>a</w:t>
            </w:r>
            <w:r w:rsidRPr="007D37AB">
              <w:t xml:space="preserve">ms ar to, ka nopirkto biļešu atgriešana autoostām rada zaudējumus. Plānot braucienus ir </w:t>
            </w:r>
            <w:r w:rsidR="008C5BF7" w:rsidRPr="007D37AB">
              <w:t xml:space="preserve">paša </w:t>
            </w:r>
            <w:r w:rsidRPr="007D37AB">
              <w:t xml:space="preserve">pircēja atbildība un līdz ar to arī risks. </w:t>
            </w:r>
            <w:r w:rsidR="008C5BF7" w:rsidRPr="007D37AB">
              <w:t>Ja no pārvadātāja puses nav nekādu izmaiņu reisu atiešanā un visā pārvadājumā kopumā, tad nav pamata nodrošināt pircējam iespēju atgriezt bi</w:t>
            </w:r>
            <w:r w:rsidR="00BE640B" w:rsidRPr="007D37AB">
              <w:t>ļeti pirms b</w:t>
            </w:r>
            <w:r w:rsidR="008C5BF7" w:rsidRPr="007D37AB">
              <w:t>r</w:t>
            </w:r>
            <w:r w:rsidR="00BE640B" w:rsidRPr="007D37AB">
              <w:t>a</w:t>
            </w:r>
            <w:r w:rsidR="008C5BF7" w:rsidRPr="007D37AB">
              <w:t>ucien</w:t>
            </w:r>
            <w:r w:rsidR="00BE640B" w:rsidRPr="007D37AB">
              <w:t>a</w:t>
            </w:r>
            <w:r w:rsidR="008C5BF7" w:rsidRPr="007D37AB">
              <w:t>, saņemot par to 100% no samaksātās summas.</w:t>
            </w:r>
          </w:p>
          <w:p w:rsidR="00BE640B" w:rsidRPr="00BE640B" w:rsidRDefault="00BE640B" w:rsidP="00BE640B">
            <w:pPr>
              <w:pStyle w:val="tv2131"/>
              <w:spacing w:line="240" w:lineRule="auto"/>
              <w:ind w:firstLine="0"/>
              <w:jc w:val="both"/>
              <w:rPr>
                <w:color w:val="auto"/>
                <w:sz w:val="24"/>
                <w:szCs w:val="24"/>
              </w:rPr>
            </w:pPr>
            <w:r w:rsidRPr="007D37AB">
              <w:rPr>
                <w:color w:val="auto"/>
                <w:sz w:val="24"/>
                <w:szCs w:val="24"/>
              </w:rPr>
              <w:lastRenderedPageBreak/>
              <w:t xml:space="preserve">Saskaņā ar Eiropas Parlamenta un Padomes 2011.gada 16.februāra Regulas (ES) Nr.181/2011 par autobusu pasažieru tiesībām un par grozījumiem Regulā (EK) Nr.2006/2004 normām pārvadātājam ir pienākums nodrošināt pasažierim biļešu cenas atmaksājumu, turpināt ceļojumu vai mainīt maršrutu saskaņā ar viņus apmierinošiem nosacījumiem, ja brauciens tiek atcelts vai būtiski aizkavējas. </w:t>
            </w:r>
          </w:p>
        </w:tc>
      </w:tr>
      <w:tr w:rsidR="009E6216" w:rsidRPr="009E6216" w:rsidTr="00554E7A">
        <w:trPr>
          <w:trHeight w:val="476"/>
        </w:trPr>
        <w:tc>
          <w:tcPr>
            <w:tcW w:w="677" w:type="dxa"/>
          </w:tcPr>
          <w:p w:rsidR="00AD4445" w:rsidRPr="009E6216" w:rsidRDefault="00AD4445" w:rsidP="00554E7A">
            <w:pPr>
              <w:pStyle w:val="naiskr"/>
              <w:spacing w:before="0" w:after="0"/>
              <w:ind w:right="142"/>
              <w:jc w:val="center"/>
            </w:pPr>
            <w:r w:rsidRPr="009E6216">
              <w:lastRenderedPageBreak/>
              <w:t>3.</w:t>
            </w:r>
          </w:p>
        </w:tc>
        <w:tc>
          <w:tcPr>
            <w:tcW w:w="2641" w:type="dxa"/>
          </w:tcPr>
          <w:p w:rsidR="00AD4445" w:rsidRPr="009E6216" w:rsidRDefault="00AD4445" w:rsidP="00554E7A">
            <w:pPr>
              <w:pStyle w:val="naiskr"/>
              <w:spacing w:before="0" w:after="60"/>
              <w:ind w:right="142"/>
            </w:pPr>
            <w:r w:rsidRPr="009E6216">
              <w:t>Projekta izstrādē iesaistītās institūcijas</w:t>
            </w:r>
          </w:p>
        </w:tc>
        <w:tc>
          <w:tcPr>
            <w:tcW w:w="6237" w:type="dxa"/>
          </w:tcPr>
          <w:p w:rsidR="00AD4445" w:rsidRPr="009E6216" w:rsidRDefault="00AD4445" w:rsidP="00554E7A">
            <w:pPr>
              <w:pStyle w:val="naiskr"/>
              <w:spacing w:before="0" w:after="0"/>
              <w:jc w:val="both"/>
            </w:pPr>
            <w:r w:rsidRPr="009E6216">
              <w:t>Satiksmes ministrija, VSIA „Autotransporta direkcija” un AS „Pasažieru vilciens”.</w:t>
            </w:r>
          </w:p>
        </w:tc>
      </w:tr>
      <w:tr w:rsidR="009E6216" w:rsidRPr="009E6216" w:rsidTr="00554E7A">
        <w:tc>
          <w:tcPr>
            <w:tcW w:w="677" w:type="dxa"/>
          </w:tcPr>
          <w:p w:rsidR="00AD4445" w:rsidRPr="009E6216" w:rsidRDefault="00AD4445" w:rsidP="00554E7A">
            <w:pPr>
              <w:pStyle w:val="naiskr"/>
              <w:spacing w:before="0" w:after="0"/>
              <w:ind w:right="142"/>
              <w:jc w:val="center"/>
            </w:pPr>
            <w:r w:rsidRPr="009E6216">
              <w:t>4.</w:t>
            </w:r>
          </w:p>
        </w:tc>
        <w:tc>
          <w:tcPr>
            <w:tcW w:w="2641" w:type="dxa"/>
          </w:tcPr>
          <w:p w:rsidR="00AD4445" w:rsidRPr="009E6216" w:rsidRDefault="00AD4445" w:rsidP="00554E7A">
            <w:pPr>
              <w:pStyle w:val="naiskr"/>
              <w:spacing w:before="0" w:after="0"/>
              <w:ind w:right="142"/>
            </w:pPr>
            <w:r w:rsidRPr="009E6216">
              <w:t>Cita informācija</w:t>
            </w:r>
          </w:p>
        </w:tc>
        <w:tc>
          <w:tcPr>
            <w:tcW w:w="6237" w:type="dxa"/>
          </w:tcPr>
          <w:p w:rsidR="00AD4445" w:rsidRPr="009E6216" w:rsidRDefault="00AD4445" w:rsidP="00554E7A">
            <w:pPr>
              <w:jc w:val="both"/>
            </w:pPr>
            <w:r w:rsidRPr="009E6216">
              <w:t>Nav</w:t>
            </w:r>
          </w:p>
        </w:tc>
      </w:tr>
      <w:tr w:rsidR="000F53B2" w:rsidRPr="009E6216" w:rsidTr="00554E7A">
        <w:tc>
          <w:tcPr>
            <w:tcW w:w="677" w:type="dxa"/>
          </w:tcPr>
          <w:p w:rsidR="000F53B2" w:rsidRPr="009E6216" w:rsidRDefault="000F53B2" w:rsidP="00554E7A">
            <w:pPr>
              <w:pStyle w:val="naiskr"/>
              <w:spacing w:before="0" w:after="0"/>
              <w:ind w:right="142"/>
              <w:jc w:val="center"/>
            </w:pPr>
          </w:p>
        </w:tc>
        <w:tc>
          <w:tcPr>
            <w:tcW w:w="2641" w:type="dxa"/>
          </w:tcPr>
          <w:p w:rsidR="000F53B2" w:rsidRPr="009E6216" w:rsidRDefault="000F53B2" w:rsidP="00554E7A">
            <w:pPr>
              <w:pStyle w:val="naiskr"/>
              <w:spacing w:before="0" w:after="0"/>
              <w:ind w:right="142"/>
            </w:pPr>
          </w:p>
        </w:tc>
        <w:tc>
          <w:tcPr>
            <w:tcW w:w="6237" w:type="dxa"/>
          </w:tcPr>
          <w:p w:rsidR="000F53B2" w:rsidRPr="009E6216" w:rsidRDefault="000F53B2" w:rsidP="00554E7A">
            <w:pPr>
              <w:jc w:val="both"/>
            </w:pPr>
          </w:p>
        </w:tc>
      </w:tr>
    </w:tbl>
    <w:p w:rsidR="00AD4445" w:rsidRPr="009E6216" w:rsidRDefault="00AD4445" w:rsidP="00AD4445">
      <w:pPr>
        <w:pStyle w:val="naisf"/>
        <w:spacing w:before="0" w:after="0"/>
        <w:ind w:right="142" w:firstLine="0"/>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1"/>
        <w:gridCol w:w="3205"/>
        <w:gridCol w:w="5709"/>
      </w:tblGrid>
      <w:tr w:rsidR="009E6216" w:rsidRPr="009E6216" w:rsidTr="00554E7A">
        <w:trPr>
          <w:jc w:val="center"/>
        </w:trPr>
        <w:tc>
          <w:tcPr>
            <w:tcW w:w="9535" w:type="dxa"/>
            <w:gridSpan w:val="3"/>
          </w:tcPr>
          <w:p w:rsidR="00AD4445" w:rsidRPr="009E6216" w:rsidRDefault="00AD4445" w:rsidP="00554E7A">
            <w:pPr>
              <w:pStyle w:val="naisnod"/>
              <w:spacing w:before="0" w:after="60"/>
              <w:ind w:right="142"/>
              <w:rPr>
                <w:bCs w:val="0"/>
              </w:rPr>
            </w:pPr>
            <w:r w:rsidRPr="009E6216">
              <w:t>II.</w:t>
            </w:r>
            <w:r w:rsidRPr="009E6216">
              <w:rPr>
                <w:bCs w:val="0"/>
              </w:rPr>
              <w:t xml:space="preserve"> Tiesību akta projekta ietekme uz sabiedrību, tautsaimniecības attīstību un </w:t>
            </w:r>
          </w:p>
          <w:p w:rsidR="00AD4445" w:rsidRPr="009E6216" w:rsidRDefault="00AD4445" w:rsidP="00554E7A">
            <w:pPr>
              <w:pStyle w:val="naisnod"/>
              <w:spacing w:before="0" w:after="60"/>
              <w:ind w:right="142"/>
            </w:pPr>
            <w:r w:rsidRPr="009E6216">
              <w:rPr>
                <w:bCs w:val="0"/>
              </w:rPr>
              <w:t>administratīvo slogu</w:t>
            </w:r>
          </w:p>
        </w:tc>
      </w:tr>
      <w:tr w:rsidR="009E6216" w:rsidRPr="009E6216" w:rsidTr="00554E7A">
        <w:trPr>
          <w:jc w:val="center"/>
        </w:trPr>
        <w:tc>
          <w:tcPr>
            <w:tcW w:w="621" w:type="dxa"/>
          </w:tcPr>
          <w:p w:rsidR="00AD4445" w:rsidRPr="009E6216" w:rsidRDefault="00AD4445" w:rsidP="00AD4445">
            <w:pPr>
              <w:pStyle w:val="naiskr"/>
              <w:tabs>
                <w:tab w:val="left" w:pos="2628"/>
              </w:tabs>
              <w:spacing w:before="0" w:after="0"/>
              <w:ind w:right="142"/>
              <w:jc w:val="right"/>
              <w:rPr>
                <w:iCs/>
              </w:rPr>
            </w:pPr>
            <w:r w:rsidRPr="009E6216">
              <w:rPr>
                <w:iCs/>
              </w:rPr>
              <w:t>1.</w:t>
            </w:r>
          </w:p>
        </w:tc>
        <w:tc>
          <w:tcPr>
            <w:tcW w:w="3205" w:type="dxa"/>
          </w:tcPr>
          <w:p w:rsidR="00AD4445" w:rsidRPr="009E6216" w:rsidRDefault="00AD4445" w:rsidP="00AD4445">
            <w:pPr>
              <w:pStyle w:val="naiskr"/>
              <w:spacing w:before="0" w:after="0"/>
              <w:ind w:right="142"/>
              <w:rPr>
                <w:iCs/>
              </w:rPr>
            </w:pPr>
            <w:r w:rsidRPr="009E6216">
              <w:t xml:space="preserve">Sabiedrības </w:t>
            </w:r>
            <w:proofErr w:type="spellStart"/>
            <w:r w:rsidRPr="009E6216">
              <w:t>mērķgrupas</w:t>
            </w:r>
            <w:proofErr w:type="spellEnd"/>
            <w:r w:rsidRPr="009E6216">
              <w:t>, kuras tiesiskais regulējums ietekmē vai varētu ietekmēt</w:t>
            </w:r>
          </w:p>
        </w:tc>
        <w:tc>
          <w:tcPr>
            <w:tcW w:w="5709" w:type="dxa"/>
          </w:tcPr>
          <w:p w:rsidR="00AD4445" w:rsidRPr="009E6216" w:rsidRDefault="00AD4445" w:rsidP="00484B12">
            <w:pPr>
              <w:ind w:left="57" w:right="57"/>
              <w:jc w:val="both"/>
            </w:pPr>
            <w:r w:rsidRPr="009E6216">
              <w:t xml:space="preserve">Sabiedriskā transporta pakalpojumu sniedzēji, t.i. </w:t>
            </w:r>
            <w:r w:rsidR="00484B12" w:rsidRPr="009E6216">
              <w:t xml:space="preserve">54 </w:t>
            </w:r>
            <w:r w:rsidRPr="009E6216">
              <w:t>pakalpojumu sniedzēji ar autobusiem un 2 pakalpojumu sniedzēji pa dzelzceļu</w:t>
            </w:r>
            <w:r w:rsidR="00484B12" w:rsidRPr="009E6216">
              <w:t xml:space="preserve"> un sabiedriskā transporta pakalpojumu lietotāji (pasažieri)</w:t>
            </w:r>
            <w:r w:rsidR="00E7474B">
              <w:t>.</w:t>
            </w:r>
          </w:p>
        </w:tc>
      </w:tr>
      <w:tr w:rsidR="009E6216" w:rsidRPr="009E6216" w:rsidTr="00554E7A">
        <w:trPr>
          <w:jc w:val="center"/>
        </w:trPr>
        <w:tc>
          <w:tcPr>
            <w:tcW w:w="621" w:type="dxa"/>
          </w:tcPr>
          <w:p w:rsidR="00AD4445" w:rsidRPr="009E6216" w:rsidRDefault="00AD4445" w:rsidP="00AD4445">
            <w:pPr>
              <w:pStyle w:val="naiskr"/>
              <w:tabs>
                <w:tab w:val="left" w:pos="2628"/>
              </w:tabs>
              <w:spacing w:before="0" w:after="0"/>
              <w:ind w:right="142"/>
              <w:jc w:val="right"/>
              <w:rPr>
                <w:iCs/>
              </w:rPr>
            </w:pPr>
            <w:r w:rsidRPr="009E6216">
              <w:rPr>
                <w:iCs/>
              </w:rPr>
              <w:t>2.</w:t>
            </w:r>
          </w:p>
        </w:tc>
        <w:tc>
          <w:tcPr>
            <w:tcW w:w="3205" w:type="dxa"/>
          </w:tcPr>
          <w:p w:rsidR="00AD4445" w:rsidRPr="009E6216" w:rsidRDefault="00AD4445" w:rsidP="00AD4445">
            <w:pPr>
              <w:pStyle w:val="naiskr"/>
              <w:spacing w:before="0" w:after="0"/>
              <w:ind w:right="142"/>
            </w:pPr>
            <w:r w:rsidRPr="009E6216">
              <w:t>Tiesiskā regulējuma ietekme uz tautsaimniecību un administratīvo slogu</w:t>
            </w:r>
          </w:p>
        </w:tc>
        <w:tc>
          <w:tcPr>
            <w:tcW w:w="5709" w:type="dxa"/>
          </w:tcPr>
          <w:p w:rsidR="00AD4445" w:rsidRPr="009E6216" w:rsidRDefault="00AD4445" w:rsidP="00E7474B">
            <w:pPr>
              <w:pStyle w:val="naiskr"/>
              <w:spacing w:before="0" w:after="120"/>
              <w:jc w:val="both"/>
            </w:pPr>
            <w:r w:rsidRPr="009E6216">
              <w:t xml:space="preserve">Ar tiesību aktu netiek radīts jauns administratīvais slogs, kā arī netiek palielināts esošais administratīvais slogs vai radītas jaunas funkcijas. Ar jauno regulējumu tiek nodrošināta </w:t>
            </w:r>
            <w:r w:rsidR="00E7474B">
              <w:t>L</w:t>
            </w:r>
            <w:r w:rsidRPr="009E6216">
              <w:t xml:space="preserve">ikuma pārejas noteikumu 22.punktā noteikto uzdevumu un funkciju izpilde. </w:t>
            </w:r>
          </w:p>
        </w:tc>
      </w:tr>
      <w:tr w:rsidR="009E6216" w:rsidRPr="009E6216" w:rsidTr="00554E7A">
        <w:trPr>
          <w:jc w:val="center"/>
        </w:trPr>
        <w:tc>
          <w:tcPr>
            <w:tcW w:w="621" w:type="dxa"/>
          </w:tcPr>
          <w:p w:rsidR="00AD4445" w:rsidRPr="009E6216" w:rsidRDefault="00AD4445" w:rsidP="00AD4445">
            <w:pPr>
              <w:pStyle w:val="naiskr"/>
              <w:tabs>
                <w:tab w:val="left" w:pos="2628"/>
              </w:tabs>
              <w:spacing w:before="0" w:after="0"/>
              <w:ind w:right="142"/>
              <w:jc w:val="right"/>
              <w:rPr>
                <w:iCs/>
              </w:rPr>
            </w:pPr>
            <w:r w:rsidRPr="009E6216">
              <w:rPr>
                <w:iCs/>
              </w:rPr>
              <w:t>3.</w:t>
            </w:r>
          </w:p>
        </w:tc>
        <w:tc>
          <w:tcPr>
            <w:tcW w:w="3205" w:type="dxa"/>
          </w:tcPr>
          <w:p w:rsidR="00AD4445" w:rsidRPr="009E6216" w:rsidRDefault="00AD4445" w:rsidP="00AD4445">
            <w:pPr>
              <w:pStyle w:val="naiskr"/>
              <w:tabs>
                <w:tab w:val="left" w:pos="2628"/>
              </w:tabs>
              <w:spacing w:before="0" w:after="0"/>
              <w:ind w:right="142"/>
              <w:rPr>
                <w:iCs/>
              </w:rPr>
            </w:pPr>
            <w:r w:rsidRPr="009E6216">
              <w:t>Administratīvo izmaksu monetārs novērtējums</w:t>
            </w:r>
          </w:p>
        </w:tc>
        <w:tc>
          <w:tcPr>
            <w:tcW w:w="5709" w:type="dxa"/>
          </w:tcPr>
          <w:p w:rsidR="00935FDE" w:rsidRDefault="00935FDE" w:rsidP="00935FDE">
            <w:pPr>
              <w:pStyle w:val="BodyText"/>
              <w:rPr>
                <w:szCs w:val="24"/>
              </w:rPr>
            </w:pPr>
            <w:r w:rsidRPr="00935FDE">
              <w:rPr>
                <w:szCs w:val="24"/>
              </w:rPr>
              <w:t xml:space="preserve">Saskaņā ar </w:t>
            </w:r>
            <w:r>
              <w:rPr>
                <w:szCs w:val="24"/>
              </w:rPr>
              <w:t>Likuma</w:t>
            </w:r>
            <w:r w:rsidRPr="00935FDE">
              <w:rPr>
                <w:szCs w:val="24"/>
              </w:rPr>
              <w:t xml:space="preserve"> 5. panta pirmās daļas 3.punktu - Sabiedriskā transporta padomes kompetencē ir lemt par sabiedriskā transporta pakalpojumu organizēšanu reģionālās nozīmes maršrutos, kā arī pārraudzīt lēmumu izpildi.</w:t>
            </w:r>
            <w:r w:rsidRPr="00935FDE">
              <w:t xml:space="preserve"> </w:t>
            </w:r>
            <w:r w:rsidRPr="00935FDE">
              <w:rPr>
                <w:szCs w:val="24"/>
              </w:rPr>
              <w:t xml:space="preserve">Savukārt saskaņā ar </w:t>
            </w:r>
            <w:r>
              <w:rPr>
                <w:szCs w:val="24"/>
              </w:rPr>
              <w:t xml:space="preserve">Likuma </w:t>
            </w:r>
            <w:r w:rsidRPr="00935FDE">
              <w:rPr>
                <w:szCs w:val="24"/>
              </w:rPr>
              <w:t xml:space="preserve">5.panta trešās daļas 3.punktu </w:t>
            </w:r>
            <w:r w:rsidR="00880560">
              <w:rPr>
                <w:szCs w:val="24"/>
              </w:rPr>
              <w:t>VSIA</w:t>
            </w:r>
            <w:r w:rsidR="00E7474B">
              <w:rPr>
                <w:szCs w:val="24"/>
              </w:rPr>
              <w:t xml:space="preserve"> “</w:t>
            </w:r>
            <w:r w:rsidRPr="00935FDE">
              <w:rPr>
                <w:szCs w:val="24"/>
              </w:rPr>
              <w:t>Autotransporta direkcija</w:t>
            </w:r>
            <w:r w:rsidR="00E7474B">
              <w:rPr>
                <w:szCs w:val="24"/>
              </w:rPr>
              <w:t>”</w:t>
            </w:r>
            <w:r w:rsidRPr="00935FDE">
              <w:rPr>
                <w:szCs w:val="24"/>
              </w:rPr>
              <w:t xml:space="preserve"> kompetencē ir Sabiedriskā transporta padomes uzdevumā organizēt sabiedriskā transporta pakalpojumus reģionālās nozīmes maršrutos. </w:t>
            </w:r>
            <w:r>
              <w:rPr>
                <w:szCs w:val="24"/>
              </w:rPr>
              <w:t xml:space="preserve">Republikas pilsētu kompetencē ir organizēt sabiedriskā transporta pakalpojumus maršrutu tīkla pilsētas nozīmes maršrutos </w:t>
            </w:r>
            <w:r w:rsidR="00A0166A">
              <w:rPr>
                <w:szCs w:val="24"/>
              </w:rPr>
              <w:t>(</w:t>
            </w:r>
            <w:r>
              <w:rPr>
                <w:szCs w:val="24"/>
              </w:rPr>
              <w:t xml:space="preserve">Likuma 5.panta otrā daļa). </w:t>
            </w:r>
          </w:p>
          <w:p w:rsidR="00935FDE" w:rsidRDefault="00935FDE" w:rsidP="00935FDE">
            <w:pPr>
              <w:pStyle w:val="BodyText"/>
              <w:rPr>
                <w:szCs w:val="24"/>
              </w:rPr>
            </w:pPr>
            <w:r>
              <w:rPr>
                <w:szCs w:val="24"/>
              </w:rPr>
              <w:t>Likuma 1.panta 12.punktā ir noteikts, ka sabiedriskā transporta pakalpojumu organizēšana ir tiesību piešķiršana  pārvadātājam sniegt sabiedriskā transporta pakalpojumus, kas publisko iepirkumu likuma vai likuma, kas regulē koncesijas piešķiršanu</w:t>
            </w:r>
            <w:r w:rsidR="00F55359">
              <w:rPr>
                <w:szCs w:val="24"/>
              </w:rPr>
              <w:t>,</w:t>
            </w:r>
            <w:r>
              <w:rPr>
                <w:szCs w:val="24"/>
              </w:rPr>
              <w:t xml:space="preserve"> kontekstā nozīmē sabiedriskā transporta pakalpojumu līgumu slēgšan</w:t>
            </w:r>
            <w:r w:rsidR="00F55359">
              <w:rPr>
                <w:szCs w:val="24"/>
              </w:rPr>
              <w:t>u</w:t>
            </w:r>
            <w:r>
              <w:rPr>
                <w:szCs w:val="24"/>
              </w:rPr>
              <w:t xml:space="preserve">. </w:t>
            </w:r>
          </w:p>
          <w:p w:rsidR="00935FDE" w:rsidRDefault="00935FDE" w:rsidP="00935FDE">
            <w:pPr>
              <w:pStyle w:val="BodyText"/>
              <w:rPr>
                <w:szCs w:val="24"/>
              </w:rPr>
            </w:pPr>
            <w:r>
              <w:rPr>
                <w:szCs w:val="24"/>
              </w:rPr>
              <w:t>Ņemot vērā minēto tiesisko regulējumu</w:t>
            </w:r>
            <w:r w:rsidR="00880560">
              <w:rPr>
                <w:szCs w:val="24"/>
              </w:rPr>
              <w:t xml:space="preserve">, </w:t>
            </w:r>
            <w:r>
              <w:rPr>
                <w:szCs w:val="24"/>
              </w:rPr>
              <w:t xml:space="preserve">VSIA „Autotransporta direkcija” un republikas pilsētu funkcijās ietilpst līgumu par sabiedriskā transporta pakalpojumu sniegšanu maršrutu tīklā administrēšana, kontrole un uzraudzība, tostarp līgumos ir paredzētas arī dažāda veida dokumentācijas skaņošanas procedūras. </w:t>
            </w:r>
          </w:p>
          <w:p w:rsidR="00935FDE" w:rsidRDefault="00935FDE" w:rsidP="00AD4445">
            <w:pPr>
              <w:pStyle w:val="naiskr"/>
              <w:tabs>
                <w:tab w:val="left" w:pos="2628"/>
              </w:tabs>
              <w:spacing w:before="0" w:after="0"/>
              <w:jc w:val="both"/>
            </w:pPr>
            <w:r>
              <w:t xml:space="preserve">Līdz ar to uzskatām, ka administratīvā sloga </w:t>
            </w:r>
            <w:r>
              <w:lastRenderedPageBreak/>
              <w:t xml:space="preserve">palielinājums būs nebūtisks un būtiski nepalielina esošās izmaksas. </w:t>
            </w:r>
          </w:p>
          <w:p w:rsidR="00506F64" w:rsidRPr="00935FDE" w:rsidRDefault="00AD4445" w:rsidP="00880560">
            <w:pPr>
              <w:pStyle w:val="naiskr"/>
              <w:tabs>
                <w:tab w:val="left" w:pos="2628"/>
              </w:tabs>
              <w:spacing w:before="0" w:after="0"/>
              <w:jc w:val="both"/>
            </w:pPr>
            <w:r w:rsidRPr="009E6216">
              <w:t xml:space="preserve">Administratīvās izmaksas naudas </w:t>
            </w:r>
            <w:r w:rsidR="00F55359">
              <w:t xml:space="preserve">izteiksmē gada laikā </w:t>
            </w:r>
            <w:proofErr w:type="spellStart"/>
            <w:r w:rsidR="00F55359">
              <w:t>mērķgrupai</w:t>
            </w:r>
            <w:proofErr w:type="spellEnd"/>
            <w:r w:rsidRPr="009E6216">
              <w:t xml:space="preserve"> nepārsniedz 2000 </w:t>
            </w:r>
            <w:proofErr w:type="spellStart"/>
            <w:r w:rsidRPr="00880560">
              <w:rPr>
                <w:i/>
              </w:rPr>
              <w:t>euro</w:t>
            </w:r>
            <w:proofErr w:type="spellEnd"/>
            <w:r w:rsidRPr="009E6216">
              <w:t>, tādēļ šis anotācijas punkts uz projektu nav attiecināms.</w:t>
            </w:r>
          </w:p>
        </w:tc>
      </w:tr>
      <w:tr w:rsidR="00AD4445" w:rsidRPr="009E6216" w:rsidTr="00554E7A">
        <w:trPr>
          <w:jc w:val="center"/>
        </w:trPr>
        <w:tc>
          <w:tcPr>
            <w:tcW w:w="621" w:type="dxa"/>
          </w:tcPr>
          <w:p w:rsidR="00AD4445" w:rsidRPr="009E6216" w:rsidRDefault="00AD4445" w:rsidP="00AD4445">
            <w:pPr>
              <w:pStyle w:val="naiskr"/>
              <w:tabs>
                <w:tab w:val="left" w:pos="2628"/>
              </w:tabs>
              <w:spacing w:before="0" w:after="0"/>
              <w:ind w:right="142"/>
              <w:jc w:val="right"/>
              <w:rPr>
                <w:iCs/>
              </w:rPr>
            </w:pPr>
            <w:r w:rsidRPr="009E6216">
              <w:rPr>
                <w:iCs/>
              </w:rPr>
              <w:lastRenderedPageBreak/>
              <w:t>4.</w:t>
            </w:r>
          </w:p>
        </w:tc>
        <w:tc>
          <w:tcPr>
            <w:tcW w:w="3205" w:type="dxa"/>
          </w:tcPr>
          <w:p w:rsidR="00AD4445" w:rsidRPr="009E6216" w:rsidRDefault="00AD4445" w:rsidP="00AD4445">
            <w:pPr>
              <w:pStyle w:val="naiskr"/>
              <w:tabs>
                <w:tab w:val="left" w:pos="2628"/>
              </w:tabs>
              <w:spacing w:before="0" w:after="0"/>
              <w:ind w:right="142"/>
            </w:pPr>
            <w:r w:rsidRPr="009E6216">
              <w:t>Cita informācija</w:t>
            </w:r>
          </w:p>
        </w:tc>
        <w:tc>
          <w:tcPr>
            <w:tcW w:w="5709" w:type="dxa"/>
          </w:tcPr>
          <w:p w:rsidR="00AD4445" w:rsidRPr="009E6216" w:rsidRDefault="00AD4445" w:rsidP="00AD4445">
            <w:pPr>
              <w:pStyle w:val="naiskr"/>
              <w:tabs>
                <w:tab w:val="left" w:pos="2628"/>
              </w:tabs>
              <w:spacing w:before="0" w:after="0"/>
              <w:jc w:val="both"/>
            </w:pPr>
            <w:r w:rsidRPr="009E6216">
              <w:t>Nav</w:t>
            </w:r>
          </w:p>
        </w:tc>
      </w:tr>
    </w:tbl>
    <w:p w:rsidR="00AD4445" w:rsidRPr="009E6216" w:rsidRDefault="00AD4445" w:rsidP="00AD4445">
      <w:pPr>
        <w:pStyle w:val="naisf"/>
        <w:spacing w:before="0" w:after="0"/>
        <w:ind w:right="142" w:firstLine="0"/>
      </w:pPr>
    </w:p>
    <w:p w:rsidR="00AD4445" w:rsidRPr="009E6216" w:rsidRDefault="00AD4445" w:rsidP="00AD4445">
      <w:pPr>
        <w:pStyle w:val="naisf"/>
        <w:spacing w:before="0" w:after="0"/>
        <w:ind w:right="142" w:firstLine="0"/>
      </w:pPr>
    </w:p>
    <w:p w:rsidR="00AD4445" w:rsidRPr="009E6216" w:rsidRDefault="00AD4445" w:rsidP="00AD4445">
      <w:pPr>
        <w:pStyle w:val="naisf"/>
        <w:spacing w:before="0" w:after="0"/>
        <w:ind w:right="142" w:firstLine="0"/>
      </w:pPr>
    </w:p>
    <w:p w:rsidR="00AD4445" w:rsidRPr="009E6216" w:rsidRDefault="00AD4445" w:rsidP="00AD4445">
      <w:pPr>
        <w:pStyle w:val="naisf"/>
        <w:spacing w:before="0" w:after="0"/>
        <w:ind w:right="142" w:firstLine="0"/>
      </w:pPr>
    </w:p>
    <w:tbl>
      <w:tblPr>
        <w:tblW w:w="5118"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4"/>
        <w:gridCol w:w="2735"/>
        <w:gridCol w:w="6047"/>
      </w:tblGrid>
      <w:tr w:rsidR="009E6216" w:rsidRPr="009E6216" w:rsidTr="00554E7A">
        <w:tc>
          <w:tcPr>
            <w:tcW w:w="5000" w:type="pct"/>
            <w:gridSpan w:val="3"/>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jc w:val="center"/>
              <w:rPr>
                <w:b/>
                <w:bCs/>
              </w:rPr>
            </w:pPr>
            <w:r w:rsidRPr="009E6216">
              <w:rPr>
                <w:b/>
                <w:bCs/>
              </w:rPr>
              <w:t>VI. Sabiedrības līdzdalība un komunikācijas aktivitātes</w:t>
            </w:r>
          </w:p>
        </w:tc>
      </w:tr>
      <w:tr w:rsidR="009E6216" w:rsidRPr="009E6216" w:rsidTr="00554E7A">
        <w:tc>
          <w:tcPr>
            <w:tcW w:w="302" w:type="pct"/>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jc w:val="center"/>
            </w:pPr>
            <w:r w:rsidRPr="009E6216">
              <w:t>1.</w:t>
            </w:r>
          </w:p>
        </w:tc>
        <w:tc>
          <w:tcPr>
            <w:tcW w:w="1463" w:type="pct"/>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pPr>
            <w:r w:rsidRPr="009E6216">
              <w:t>Plānotās sabiedrības līdzdalības un komunikācijas aktivitātes saistībā ar projektu</w:t>
            </w:r>
          </w:p>
        </w:tc>
        <w:tc>
          <w:tcPr>
            <w:tcW w:w="3235" w:type="pct"/>
            <w:tcBorders>
              <w:top w:val="outset" w:sz="6" w:space="0" w:color="000000"/>
              <w:left w:val="outset" w:sz="6" w:space="0" w:color="000000"/>
              <w:bottom w:val="outset" w:sz="6" w:space="0" w:color="000000"/>
              <w:right w:val="outset" w:sz="6" w:space="0" w:color="000000"/>
            </w:tcBorders>
            <w:hideMark/>
          </w:tcPr>
          <w:p w:rsidR="00AD4445" w:rsidRDefault="00AD4445" w:rsidP="00AD4445">
            <w:pPr>
              <w:jc w:val="both"/>
            </w:pPr>
            <w:r w:rsidRPr="009E6216">
              <w:t>MK noteikumu projekta izstrādes gaitā konsultācijas un diskusijas notikušas ar AS „Pasažieru vilciens”.</w:t>
            </w:r>
          </w:p>
          <w:p w:rsidR="00AD4445" w:rsidRPr="009E6216" w:rsidRDefault="00C32A09" w:rsidP="002C3315">
            <w:pPr>
              <w:jc w:val="both"/>
            </w:pPr>
            <w:r>
              <w:t xml:space="preserve">Pēc noteikumu projekta </w:t>
            </w:r>
            <w:r w:rsidR="002C3315">
              <w:t>pieņemšanas</w:t>
            </w:r>
            <w:r>
              <w:t xml:space="preserve"> sabiedriskā transporta pakalpojumu pasūtītājs - VSIA „Autotransporta direkcija”, sadarbībā ar AS „Pasažieru vilciens” veiks informācijas kampaņu, kurā sabiedrība tiks informēta par veiktām izmaiņām un plānotajiem pasākumiem. Informēšanas kampaņas ietvaros tiks sniegta informācija gan izmantojot masu saziņas līdzekļus, gan arī izmantojot sociālo tīklu platformas (</w:t>
            </w:r>
            <w:proofErr w:type="spellStart"/>
            <w:r>
              <w:t>Tw</w:t>
            </w:r>
            <w:r w:rsidR="002C3315">
              <w:t>i</w:t>
            </w:r>
            <w:r>
              <w:t>tter</w:t>
            </w:r>
            <w:proofErr w:type="spellEnd"/>
            <w:r>
              <w:t xml:space="preserve">, </w:t>
            </w:r>
            <w:proofErr w:type="spellStart"/>
            <w:r>
              <w:t>Facebook</w:t>
            </w:r>
            <w:proofErr w:type="spellEnd"/>
            <w:r>
              <w:t xml:space="preserve">, </w:t>
            </w:r>
            <w:proofErr w:type="spellStart"/>
            <w:r>
              <w:t>uc</w:t>
            </w:r>
            <w:proofErr w:type="spellEnd"/>
            <w:r>
              <w:t xml:space="preserve">.) Informācija tiks izvietota arī VSIA „Autotransporta direkcija” </w:t>
            </w:r>
            <w:r w:rsidR="002C3315">
              <w:t>tīmekļa vietnē</w:t>
            </w:r>
            <w:r>
              <w:t xml:space="preserve"> </w:t>
            </w:r>
            <w:hyperlink r:id="rId10" w:history="1">
              <w:r w:rsidRPr="002E2465">
                <w:rPr>
                  <w:rStyle w:val="Hyperlink"/>
                </w:rPr>
                <w:t>www.atd.lv</w:t>
              </w:r>
            </w:hyperlink>
            <w:r>
              <w:t xml:space="preserve">, gan arī AS „Pasažieru vilciens” </w:t>
            </w:r>
            <w:r w:rsidR="002C3315">
              <w:t>tīmekļa vietnē</w:t>
            </w:r>
            <w:r>
              <w:t xml:space="preserve"> lapā </w:t>
            </w:r>
            <w:hyperlink r:id="rId11" w:history="1">
              <w:r w:rsidRPr="002E2465">
                <w:rPr>
                  <w:rStyle w:val="Hyperlink"/>
                </w:rPr>
                <w:t>www.pv.lv</w:t>
              </w:r>
            </w:hyperlink>
            <w:r>
              <w:t xml:space="preserve">. </w:t>
            </w:r>
          </w:p>
        </w:tc>
      </w:tr>
      <w:tr w:rsidR="009E6216" w:rsidRPr="009E6216" w:rsidTr="00554E7A">
        <w:tc>
          <w:tcPr>
            <w:tcW w:w="302" w:type="pct"/>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jc w:val="center"/>
            </w:pPr>
            <w:r w:rsidRPr="009E6216">
              <w:t>2.</w:t>
            </w:r>
          </w:p>
        </w:tc>
        <w:tc>
          <w:tcPr>
            <w:tcW w:w="1463" w:type="pct"/>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pPr>
            <w:r w:rsidRPr="009E6216">
              <w:t>Sabiedrības līdzdalība projekta izstrādē</w:t>
            </w:r>
          </w:p>
        </w:tc>
        <w:tc>
          <w:tcPr>
            <w:tcW w:w="3235" w:type="pct"/>
            <w:tcBorders>
              <w:top w:val="outset" w:sz="6" w:space="0" w:color="000000"/>
              <w:left w:val="outset" w:sz="6" w:space="0" w:color="000000"/>
              <w:bottom w:val="outset" w:sz="6" w:space="0" w:color="000000"/>
              <w:right w:val="outset" w:sz="6" w:space="0" w:color="000000"/>
            </w:tcBorders>
            <w:hideMark/>
          </w:tcPr>
          <w:p w:rsidR="00AD4445" w:rsidRDefault="00484B12" w:rsidP="00554E7A">
            <w:pPr>
              <w:jc w:val="both"/>
            </w:pPr>
            <w:r w:rsidRPr="009E6216">
              <w:t xml:space="preserve">Sabiedrības līdzdalība projekta izstrādē tika nodrošināta, publicējot noteikumu projektu Satiksmes ministrijas </w:t>
            </w:r>
            <w:r w:rsidR="002C3315">
              <w:t>tīmekļa vietnē</w:t>
            </w:r>
            <w:r w:rsidRPr="009E6216">
              <w:t xml:space="preserve"> </w:t>
            </w:r>
            <w:hyperlink r:id="rId12" w:history="1">
              <w:r w:rsidRPr="009E6216">
                <w:rPr>
                  <w:rStyle w:val="Hyperlink"/>
                  <w:color w:val="auto"/>
                </w:rPr>
                <w:t>www.sam.gov.lv</w:t>
              </w:r>
            </w:hyperlink>
            <w:r w:rsidRPr="009E6216">
              <w:t xml:space="preserve">. </w:t>
            </w:r>
          </w:p>
          <w:p w:rsidR="00C32A09" w:rsidRPr="00C32A09" w:rsidRDefault="00C32A09" w:rsidP="002C3315">
            <w:pPr>
              <w:jc w:val="both"/>
            </w:pPr>
            <w:r w:rsidRPr="00C32A09">
              <w:t xml:space="preserve">Sabiedrība nav sniegusi iebildumus par izstrādāto noteikumu projektu. </w:t>
            </w:r>
          </w:p>
        </w:tc>
      </w:tr>
      <w:tr w:rsidR="009E6216" w:rsidRPr="009E6216" w:rsidTr="00554E7A">
        <w:tc>
          <w:tcPr>
            <w:tcW w:w="302" w:type="pct"/>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jc w:val="center"/>
            </w:pPr>
            <w:r w:rsidRPr="009E6216">
              <w:t>3.</w:t>
            </w:r>
          </w:p>
        </w:tc>
        <w:tc>
          <w:tcPr>
            <w:tcW w:w="1463" w:type="pct"/>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pPr>
            <w:r w:rsidRPr="009E6216">
              <w:t>Sabiedrības līdzdalības rezultāti</w:t>
            </w:r>
          </w:p>
        </w:tc>
        <w:tc>
          <w:tcPr>
            <w:tcW w:w="3235" w:type="pct"/>
            <w:tcBorders>
              <w:top w:val="outset" w:sz="6" w:space="0" w:color="000000"/>
              <w:left w:val="outset" w:sz="6" w:space="0" w:color="000000"/>
              <w:bottom w:val="outset" w:sz="6" w:space="0" w:color="000000"/>
              <w:right w:val="outset" w:sz="6" w:space="0" w:color="000000"/>
            </w:tcBorders>
            <w:hideMark/>
          </w:tcPr>
          <w:p w:rsidR="00AD4445" w:rsidRPr="009E6216" w:rsidRDefault="002C3315" w:rsidP="00554E7A">
            <w:pPr>
              <w:jc w:val="both"/>
            </w:pPr>
            <w:r>
              <w:t>N</w:t>
            </w:r>
            <w:r w:rsidR="00AD4445" w:rsidRPr="009E6216">
              <w:t>oteikumu projekts saskaņots ar AS „Pasažieru vilciens”.</w:t>
            </w:r>
          </w:p>
          <w:p w:rsidR="00AD4445" w:rsidRPr="009E6216" w:rsidRDefault="00C32A09" w:rsidP="00303AAC">
            <w:pPr>
              <w:jc w:val="both"/>
            </w:pPr>
            <w:proofErr w:type="spellStart"/>
            <w:r w:rsidRPr="00C32A09">
              <w:t>Mērķgrupas</w:t>
            </w:r>
            <w:proofErr w:type="spellEnd"/>
            <w:r w:rsidRPr="00C32A09">
              <w:t xml:space="preserve"> pārstāvji</w:t>
            </w:r>
            <w:r>
              <w:t xml:space="preserve"> </w:t>
            </w:r>
            <w:r w:rsidRPr="00C32A09">
              <w:t xml:space="preserve">- Latvijas Pasažieru pārvadātāju asociācija </w:t>
            </w:r>
            <w:r w:rsidR="00303AAC">
              <w:t>un</w:t>
            </w:r>
            <w:r w:rsidRPr="00C32A09">
              <w:t xml:space="preserve"> L</w:t>
            </w:r>
            <w:r>
              <w:t>atvijas P</w:t>
            </w:r>
            <w:r w:rsidR="002C3315">
              <w:t xml:space="preserve">ašvaldību savienība </w:t>
            </w:r>
            <w:r w:rsidRPr="00C32A09">
              <w:rPr>
                <w:rStyle w:val="Emphasis"/>
                <w:i w:val="0"/>
              </w:rPr>
              <w:t>saskaņoja noteikumu projektu bez iebildumiem.</w:t>
            </w:r>
          </w:p>
        </w:tc>
      </w:tr>
      <w:tr w:rsidR="009E6216" w:rsidRPr="009E6216" w:rsidTr="00554E7A">
        <w:tc>
          <w:tcPr>
            <w:tcW w:w="302" w:type="pct"/>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jc w:val="center"/>
            </w:pPr>
            <w:r w:rsidRPr="009E6216">
              <w:t>4.</w:t>
            </w:r>
          </w:p>
        </w:tc>
        <w:tc>
          <w:tcPr>
            <w:tcW w:w="1463" w:type="pct"/>
            <w:tcBorders>
              <w:top w:val="outset" w:sz="6" w:space="0" w:color="000000"/>
              <w:left w:val="outset" w:sz="6" w:space="0" w:color="000000"/>
              <w:bottom w:val="outset" w:sz="6" w:space="0" w:color="000000"/>
              <w:right w:val="outset" w:sz="6" w:space="0" w:color="000000"/>
            </w:tcBorders>
            <w:hideMark/>
          </w:tcPr>
          <w:p w:rsidR="00AD4445" w:rsidRPr="009E6216" w:rsidRDefault="00AD4445" w:rsidP="00554E7A">
            <w:pPr>
              <w:spacing w:before="100" w:beforeAutospacing="1" w:after="100" w:afterAutospacing="1"/>
            </w:pPr>
            <w:r w:rsidRPr="009E6216">
              <w:t>Cita informācija</w:t>
            </w:r>
          </w:p>
        </w:tc>
        <w:tc>
          <w:tcPr>
            <w:tcW w:w="3235" w:type="pct"/>
            <w:tcBorders>
              <w:top w:val="outset" w:sz="6" w:space="0" w:color="000000"/>
              <w:left w:val="outset" w:sz="6" w:space="0" w:color="000000"/>
              <w:bottom w:val="outset" w:sz="6" w:space="0" w:color="000000"/>
              <w:right w:val="outset" w:sz="6" w:space="0" w:color="000000"/>
            </w:tcBorders>
            <w:hideMark/>
          </w:tcPr>
          <w:p w:rsidR="00AD4445" w:rsidRPr="009E6216" w:rsidRDefault="00E26FEA" w:rsidP="002C3315">
            <w:r>
              <w:t xml:space="preserve">Pasažieriem būs tiesības pilnībā izmantot tās sabiedriskā transporta biļetes, kas tika iegādātas līdz noteikumu projekta </w:t>
            </w:r>
            <w:r w:rsidR="002C3315">
              <w:t>pieņemšanai</w:t>
            </w:r>
            <w:r>
              <w:t xml:space="preserve">. </w:t>
            </w:r>
          </w:p>
        </w:tc>
      </w:tr>
    </w:tbl>
    <w:p w:rsidR="00AD4445" w:rsidRPr="009E6216" w:rsidRDefault="00AD4445" w:rsidP="00AD4445">
      <w:pPr>
        <w:pStyle w:val="naisf"/>
        <w:spacing w:before="0" w:after="0"/>
        <w:ind w:firstLine="0"/>
      </w:pPr>
    </w:p>
    <w:p w:rsidR="00AD4445" w:rsidRPr="009E6216" w:rsidRDefault="00AD4445" w:rsidP="00AD4445">
      <w:pPr>
        <w:pStyle w:val="naisf"/>
        <w:spacing w:before="0" w:after="0"/>
        <w:ind w:firstLine="0"/>
      </w:pPr>
    </w:p>
    <w:p w:rsidR="00AD4445" w:rsidRPr="009E6216" w:rsidRDefault="00AD4445" w:rsidP="00AD4445">
      <w:pPr>
        <w:pStyle w:val="naisf"/>
        <w:spacing w:before="0" w:after="0"/>
        <w:ind w:firstLine="0"/>
      </w:pPr>
    </w:p>
    <w:tbl>
      <w:tblPr>
        <w:tblpPr w:leftFromText="180" w:rightFromText="180" w:vertAnchor="text" w:horzAnchor="margin" w:tblpX="-134" w:tblpY="212"/>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97"/>
        <w:gridCol w:w="4493"/>
        <w:gridCol w:w="4297"/>
      </w:tblGrid>
      <w:tr w:rsidR="009E6216" w:rsidRPr="009E6216" w:rsidTr="00554E7A">
        <w:tc>
          <w:tcPr>
            <w:tcW w:w="5000" w:type="pct"/>
            <w:gridSpan w:val="3"/>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spacing w:before="100" w:beforeAutospacing="1" w:after="100" w:afterAutospacing="1"/>
              <w:ind w:right="142"/>
              <w:jc w:val="center"/>
              <w:rPr>
                <w:b/>
                <w:bCs/>
              </w:rPr>
            </w:pPr>
            <w:r w:rsidRPr="009E6216">
              <w:rPr>
                <w:b/>
                <w:bCs/>
              </w:rPr>
              <w:t>VII. Tiesību akta projekta izpildes nodrošināšana un tās ietekme uz institūcijām</w:t>
            </w:r>
          </w:p>
        </w:tc>
      </w:tr>
      <w:tr w:rsidR="009E6216" w:rsidRPr="009E6216" w:rsidTr="00554E7A">
        <w:tc>
          <w:tcPr>
            <w:tcW w:w="318" w:type="pct"/>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spacing w:before="100" w:beforeAutospacing="1" w:after="100" w:afterAutospacing="1"/>
              <w:ind w:right="142"/>
              <w:jc w:val="center"/>
            </w:pPr>
            <w:r w:rsidRPr="009E6216">
              <w:t>1.</w:t>
            </w:r>
          </w:p>
        </w:tc>
        <w:tc>
          <w:tcPr>
            <w:tcW w:w="2393" w:type="pct"/>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spacing w:before="100" w:beforeAutospacing="1" w:after="100" w:afterAutospacing="1"/>
              <w:ind w:right="142"/>
            </w:pPr>
            <w:r w:rsidRPr="009E6216">
              <w:t>Projekta izpildē iesaistītās institūcijas</w:t>
            </w:r>
          </w:p>
        </w:tc>
        <w:tc>
          <w:tcPr>
            <w:tcW w:w="2289" w:type="pct"/>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jc w:val="both"/>
            </w:pPr>
            <w:r w:rsidRPr="009E6216">
              <w:t>Satiksmes ministrija, Sabiedriskā transporta padome un VSIA „Autotransporta direkcija”.</w:t>
            </w:r>
          </w:p>
        </w:tc>
      </w:tr>
      <w:tr w:rsidR="009E6216" w:rsidRPr="009E6216" w:rsidTr="00554E7A">
        <w:tc>
          <w:tcPr>
            <w:tcW w:w="318" w:type="pct"/>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spacing w:before="100" w:beforeAutospacing="1" w:after="100" w:afterAutospacing="1"/>
              <w:ind w:right="142"/>
              <w:jc w:val="center"/>
            </w:pPr>
            <w:r w:rsidRPr="009E6216">
              <w:t>2.</w:t>
            </w:r>
          </w:p>
        </w:tc>
        <w:tc>
          <w:tcPr>
            <w:tcW w:w="2393" w:type="pct"/>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ind w:right="142"/>
            </w:pPr>
            <w:r w:rsidRPr="009E6216">
              <w:t>Projekta izpildes ietekme uz pārvaldes funkcijām un institucionālo struktūru.</w:t>
            </w:r>
          </w:p>
          <w:p w:rsidR="00AD4445" w:rsidRPr="009E6216" w:rsidRDefault="00AD4445" w:rsidP="00554E7A">
            <w:pPr>
              <w:ind w:right="142"/>
            </w:pPr>
            <w:r w:rsidRPr="009E6216">
              <w:t xml:space="preserve">Jaunu institūciju izveide, esošu institūciju </w:t>
            </w:r>
            <w:r w:rsidRPr="009E6216">
              <w:lastRenderedPageBreak/>
              <w:t>likvidācija vai reorganizācija, to ietekme uz institūcijas cilvēkresursiem</w:t>
            </w:r>
          </w:p>
        </w:tc>
        <w:tc>
          <w:tcPr>
            <w:tcW w:w="2289" w:type="pct"/>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jc w:val="both"/>
            </w:pPr>
            <w:r w:rsidRPr="009E6216">
              <w:lastRenderedPageBreak/>
              <w:t>Pārvaldes funkcijas netiks mainītas.</w:t>
            </w:r>
          </w:p>
          <w:p w:rsidR="00AD4445" w:rsidRPr="009E6216" w:rsidRDefault="00AD4445" w:rsidP="00554E7A">
            <w:pPr>
              <w:jc w:val="both"/>
            </w:pPr>
            <w:r w:rsidRPr="009E6216">
              <w:t>Nav nepieciešams veidot jaunas institūcijas.</w:t>
            </w:r>
          </w:p>
          <w:p w:rsidR="00AD4445" w:rsidRPr="009E6216" w:rsidRDefault="00AD4445" w:rsidP="00554E7A">
            <w:pPr>
              <w:jc w:val="both"/>
            </w:pPr>
            <w:r w:rsidRPr="009E6216">
              <w:t xml:space="preserve">Nav nepieciešama esošu institūciju </w:t>
            </w:r>
            <w:r w:rsidRPr="009E6216">
              <w:lastRenderedPageBreak/>
              <w:t>likvidācija vai reorganizācija.</w:t>
            </w:r>
          </w:p>
        </w:tc>
      </w:tr>
      <w:tr w:rsidR="009E6216" w:rsidRPr="009E6216" w:rsidTr="00554E7A">
        <w:tc>
          <w:tcPr>
            <w:tcW w:w="318" w:type="pct"/>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spacing w:before="100" w:beforeAutospacing="1" w:after="100" w:afterAutospacing="1"/>
              <w:ind w:right="142"/>
              <w:jc w:val="center"/>
              <w:rPr>
                <w:lang w:val="en-US"/>
              </w:rPr>
            </w:pPr>
            <w:r w:rsidRPr="009E6216">
              <w:rPr>
                <w:lang w:val="en-US"/>
              </w:rPr>
              <w:lastRenderedPageBreak/>
              <w:t>3.</w:t>
            </w:r>
          </w:p>
        </w:tc>
        <w:tc>
          <w:tcPr>
            <w:tcW w:w="2393" w:type="pct"/>
            <w:tcBorders>
              <w:top w:val="outset" w:sz="6" w:space="0" w:color="000000"/>
              <w:left w:val="outset" w:sz="6" w:space="0" w:color="000000"/>
              <w:bottom w:val="outset" w:sz="6" w:space="0" w:color="000000"/>
              <w:right w:val="outset" w:sz="6" w:space="0" w:color="000000"/>
            </w:tcBorders>
          </w:tcPr>
          <w:p w:rsidR="00AD4445" w:rsidRPr="009E6216" w:rsidRDefault="00AD4445" w:rsidP="00554E7A">
            <w:pPr>
              <w:spacing w:before="100" w:beforeAutospacing="1" w:after="100" w:afterAutospacing="1"/>
              <w:ind w:right="142"/>
              <w:jc w:val="both"/>
            </w:pPr>
            <w:r w:rsidRPr="009E6216">
              <w:t>Cita informācija</w:t>
            </w:r>
          </w:p>
        </w:tc>
        <w:tc>
          <w:tcPr>
            <w:tcW w:w="2289" w:type="pct"/>
            <w:tcBorders>
              <w:top w:val="outset" w:sz="6" w:space="0" w:color="000000"/>
              <w:left w:val="outset" w:sz="6" w:space="0" w:color="000000"/>
              <w:bottom w:val="outset" w:sz="6" w:space="0" w:color="000000"/>
              <w:right w:val="outset" w:sz="6" w:space="0" w:color="000000"/>
            </w:tcBorders>
          </w:tcPr>
          <w:p w:rsidR="00AD4445" w:rsidRPr="009E6216" w:rsidRDefault="00AD4445" w:rsidP="00AD4445">
            <w:pPr>
              <w:jc w:val="both"/>
            </w:pPr>
            <w:r w:rsidRPr="009E6216">
              <w:t>Nav</w:t>
            </w:r>
            <w:r w:rsidR="00917702" w:rsidRPr="009E6216">
              <w:t>.</w:t>
            </w:r>
          </w:p>
        </w:tc>
      </w:tr>
    </w:tbl>
    <w:p w:rsidR="00AD4445" w:rsidRPr="009E6216" w:rsidRDefault="00AD4445" w:rsidP="00AD4445">
      <w:pPr>
        <w:pStyle w:val="naisf"/>
        <w:tabs>
          <w:tab w:val="left" w:pos="6804"/>
        </w:tabs>
        <w:spacing w:before="0" w:after="0"/>
        <w:ind w:firstLine="0"/>
        <w:rPr>
          <w:sz w:val="26"/>
          <w:szCs w:val="26"/>
        </w:rPr>
      </w:pPr>
    </w:p>
    <w:p w:rsidR="00AD4445" w:rsidRPr="009E6216" w:rsidRDefault="00AD4445" w:rsidP="00AD4445">
      <w:pPr>
        <w:pStyle w:val="naisf"/>
        <w:spacing w:before="0" w:after="0"/>
        <w:ind w:firstLine="720"/>
      </w:pPr>
      <w:r w:rsidRPr="009E6216">
        <w:t>Anotācijas III, IV  un V sadaļa – projekts šīs jomas neskar.</w:t>
      </w:r>
    </w:p>
    <w:p w:rsidR="00AD4445" w:rsidRPr="009E6216" w:rsidRDefault="00AD4445" w:rsidP="00AD4445">
      <w:pPr>
        <w:jc w:val="both"/>
        <w:rPr>
          <w:lang w:val="de-DE"/>
        </w:rPr>
      </w:pPr>
    </w:p>
    <w:p w:rsidR="00E26FEA" w:rsidRPr="00162523" w:rsidRDefault="00E26FEA" w:rsidP="00AD4445">
      <w:pPr>
        <w:jc w:val="both"/>
        <w:rPr>
          <w:lang w:val="de-DE"/>
        </w:rPr>
      </w:pPr>
    </w:p>
    <w:p w:rsidR="00162523" w:rsidRPr="00162523" w:rsidRDefault="00162523" w:rsidP="00162523">
      <w:pPr>
        <w:pStyle w:val="Header"/>
        <w:tabs>
          <w:tab w:val="center" w:pos="4536"/>
        </w:tabs>
        <w:rPr>
          <w:bCs/>
        </w:rPr>
      </w:pPr>
      <w:r w:rsidRPr="00162523">
        <w:rPr>
          <w:bCs/>
        </w:rPr>
        <w:t>Satiksmes ministra p. i.</w:t>
      </w:r>
      <w:r w:rsidR="007D37AB">
        <w:rPr>
          <w:bCs/>
        </w:rPr>
        <w:t>,</w:t>
      </w:r>
    </w:p>
    <w:p w:rsidR="00162523" w:rsidRPr="00162523" w:rsidRDefault="00162523" w:rsidP="00162523">
      <w:pPr>
        <w:pStyle w:val="Header"/>
        <w:tabs>
          <w:tab w:val="center" w:pos="4536"/>
        </w:tabs>
        <w:rPr>
          <w:bCs/>
        </w:rPr>
      </w:pPr>
      <w:r w:rsidRPr="00162523">
        <w:rPr>
          <w:bCs/>
        </w:rPr>
        <w:t xml:space="preserve">iekšlietu ministrs    </w:t>
      </w:r>
      <w:r w:rsidRPr="00162523">
        <w:rPr>
          <w:bCs/>
        </w:rPr>
        <w:tab/>
      </w:r>
      <w:r w:rsidRPr="00162523">
        <w:rPr>
          <w:bCs/>
        </w:rPr>
        <w:tab/>
      </w:r>
      <w:r w:rsidRPr="00162523">
        <w:rPr>
          <w:bCs/>
        </w:rPr>
        <w:tab/>
        <w:t xml:space="preserve">R. </w:t>
      </w:r>
      <w:proofErr w:type="spellStart"/>
      <w:r w:rsidRPr="00162523">
        <w:rPr>
          <w:bCs/>
        </w:rPr>
        <w:t>Kozlovskis</w:t>
      </w:r>
      <w:proofErr w:type="spellEnd"/>
    </w:p>
    <w:p w:rsidR="00162523" w:rsidRPr="00162523" w:rsidRDefault="00162523" w:rsidP="00162523">
      <w:pPr>
        <w:pStyle w:val="Header"/>
        <w:tabs>
          <w:tab w:val="center" w:pos="4536"/>
        </w:tabs>
        <w:rPr>
          <w:bCs/>
        </w:rPr>
      </w:pPr>
    </w:p>
    <w:p w:rsidR="00162523" w:rsidRPr="00162523" w:rsidRDefault="00162523" w:rsidP="00162523">
      <w:pPr>
        <w:pStyle w:val="Header"/>
        <w:tabs>
          <w:tab w:val="clear" w:pos="4153"/>
          <w:tab w:val="center" w:pos="4536"/>
        </w:tabs>
      </w:pPr>
    </w:p>
    <w:p w:rsidR="00162523" w:rsidRPr="00162523" w:rsidRDefault="00162523" w:rsidP="00162523">
      <w:pPr>
        <w:pStyle w:val="Header"/>
        <w:tabs>
          <w:tab w:val="clear" w:pos="4153"/>
          <w:tab w:val="center" w:pos="4536"/>
        </w:tabs>
      </w:pPr>
    </w:p>
    <w:p w:rsidR="00162523" w:rsidRPr="00162523" w:rsidRDefault="00162523" w:rsidP="00162523">
      <w:pPr>
        <w:pStyle w:val="Heading3"/>
        <w:tabs>
          <w:tab w:val="left" w:pos="6840"/>
        </w:tabs>
        <w:spacing w:before="0"/>
        <w:rPr>
          <w:rFonts w:ascii="Times New Roman" w:hAnsi="Times New Roman"/>
          <w:b/>
          <w:color w:val="auto"/>
        </w:rPr>
      </w:pPr>
      <w:r w:rsidRPr="00162523">
        <w:rPr>
          <w:rFonts w:ascii="Times New Roman" w:hAnsi="Times New Roman"/>
          <w:color w:val="auto"/>
        </w:rPr>
        <w:t>Vīza: Valsts sekretārs</w:t>
      </w:r>
      <w:r w:rsidRPr="00162523">
        <w:rPr>
          <w:rFonts w:ascii="Times New Roman" w:hAnsi="Times New Roman"/>
          <w:color w:val="auto"/>
        </w:rPr>
        <w:tab/>
        <w:t>K.Ozoliņš</w:t>
      </w:r>
    </w:p>
    <w:p w:rsidR="00AD4445" w:rsidRPr="009E6216" w:rsidRDefault="00AD4445" w:rsidP="00AD4445">
      <w:pPr>
        <w:pStyle w:val="naisf"/>
        <w:tabs>
          <w:tab w:val="left" w:pos="6804"/>
        </w:tabs>
        <w:spacing w:before="0" w:after="0"/>
        <w:ind w:firstLine="0"/>
        <w:rPr>
          <w:sz w:val="28"/>
          <w:szCs w:val="28"/>
        </w:rPr>
      </w:pPr>
    </w:p>
    <w:p w:rsidR="0095609C" w:rsidRDefault="0095609C" w:rsidP="00AD4445">
      <w:pPr>
        <w:tabs>
          <w:tab w:val="center" w:pos="4153"/>
          <w:tab w:val="right" w:pos="8306"/>
        </w:tabs>
        <w:rPr>
          <w:sz w:val="20"/>
          <w:szCs w:val="20"/>
        </w:rPr>
      </w:pPr>
    </w:p>
    <w:p w:rsidR="00AD4445" w:rsidRPr="009E6216" w:rsidRDefault="0095609C" w:rsidP="00AD4445">
      <w:pPr>
        <w:tabs>
          <w:tab w:val="center" w:pos="4153"/>
          <w:tab w:val="right" w:pos="8306"/>
        </w:tabs>
        <w:rPr>
          <w:iCs/>
          <w:sz w:val="20"/>
          <w:szCs w:val="20"/>
        </w:rPr>
      </w:pPr>
      <w:r>
        <w:rPr>
          <w:sz w:val="20"/>
          <w:szCs w:val="20"/>
        </w:rPr>
        <w:t>17.11.</w:t>
      </w:r>
      <w:r w:rsidR="00AD4445" w:rsidRPr="009E6216">
        <w:rPr>
          <w:sz w:val="20"/>
          <w:szCs w:val="20"/>
        </w:rPr>
        <w:t>2015. 12.05</w:t>
      </w:r>
    </w:p>
    <w:p w:rsidR="00AD4445" w:rsidRPr="009E6216" w:rsidRDefault="00AA5E8D" w:rsidP="00AD4445">
      <w:pPr>
        <w:tabs>
          <w:tab w:val="center" w:pos="4153"/>
          <w:tab w:val="right" w:pos="8306"/>
        </w:tabs>
        <w:rPr>
          <w:iCs/>
          <w:sz w:val="20"/>
          <w:szCs w:val="20"/>
        </w:rPr>
      </w:pPr>
      <w:r>
        <w:rPr>
          <w:iCs/>
          <w:sz w:val="20"/>
          <w:szCs w:val="20"/>
        </w:rPr>
        <w:t xml:space="preserve">1 </w:t>
      </w:r>
      <w:r w:rsidR="00880560">
        <w:rPr>
          <w:iCs/>
          <w:sz w:val="20"/>
          <w:szCs w:val="20"/>
        </w:rPr>
        <w:t>568</w:t>
      </w:r>
    </w:p>
    <w:p w:rsidR="00AD4445" w:rsidRPr="009E6216" w:rsidRDefault="00AD4445" w:rsidP="00AD4445">
      <w:pPr>
        <w:tabs>
          <w:tab w:val="center" w:pos="4153"/>
          <w:tab w:val="right" w:pos="8306"/>
        </w:tabs>
        <w:rPr>
          <w:iCs/>
          <w:sz w:val="20"/>
          <w:szCs w:val="20"/>
        </w:rPr>
      </w:pPr>
      <w:r w:rsidRPr="009E6216">
        <w:rPr>
          <w:iCs/>
          <w:sz w:val="20"/>
          <w:szCs w:val="20"/>
        </w:rPr>
        <w:t>Iveta Girucka, 67028381</w:t>
      </w:r>
    </w:p>
    <w:p w:rsidR="00AD4445" w:rsidRPr="009E6216" w:rsidRDefault="007805E3" w:rsidP="00AD4445">
      <w:pPr>
        <w:tabs>
          <w:tab w:val="center" w:pos="4153"/>
          <w:tab w:val="right" w:pos="8306"/>
        </w:tabs>
        <w:rPr>
          <w:iCs/>
          <w:sz w:val="20"/>
          <w:szCs w:val="20"/>
        </w:rPr>
      </w:pPr>
      <w:hyperlink r:id="rId13" w:history="1">
        <w:r w:rsidR="00AD4445" w:rsidRPr="009E6216">
          <w:rPr>
            <w:rStyle w:val="Hyperlink"/>
            <w:iCs/>
            <w:color w:val="auto"/>
            <w:sz w:val="20"/>
            <w:szCs w:val="20"/>
          </w:rPr>
          <w:t>Iveta.Girucka@sam.gov.lv</w:t>
        </w:r>
      </w:hyperlink>
    </w:p>
    <w:sectPr w:rsidR="00AD4445" w:rsidRPr="009E6216" w:rsidSect="001F7464">
      <w:headerReference w:type="even" r:id="rId14"/>
      <w:headerReference w:type="default" r:id="rId15"/>
      <w:footerReference w:type="default" r:id="rId16"/>
      <w:footerReference w:type="first" r:id="rId17"/>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14" w:rsidRDefault="00845314" w:rsidP="00AD4445">
      <w:r>
        <w:separator/>
      </w:r>
    </w:p>
  </w:endnote>
  <w:endnote w:type="continuationSeparator" w:id="0">
    <w:p w:rsidR="00845314" w:rsidRDefault="00845314" w:rsidP="00AD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45" w:rsidRPr="00AD4445" w:rsidRDefault="00AD4445" w:rsidP="00AD4445">
    <w:pPr>
      <w:tabs>
        <w:tab w:val="left" w:pos="709"/>
      </w:tabs>
      <w:jc w:val="both"/>
      <w:rPr>
        <w:sz w:val="20"/>
        <w:szCs w:val="20"/>
      </w:rPr>
    </w:pPr>
    <w:r w:rsidRPr="00AD4445">
      <w:rPr>
        <w:sz w:val="20"/>
        <w:szCs w:val="20"/>
      </w:rPr>
      <w:t>SAMAnot_</w:t>
    </w:r>
    <w:r w:rsidR="00F72666">
      <w:rPr>
        <w:sz w:val="20"/>
        <w:szCs w:val="20"/>
      </w:rPr>
      <w:t>30</w:t>
    </w:r>
    <w:r w:rsidR="00E26FEA">
      <w:rPr>
        <w:sz w:val="20"/>
        <w:szCs w:val="20"/>
      </w:rPr>
      <w:t>1115</w:t>
    </w:r>
    <w:r w:rsidRPr="00AD4445">
      <w:rPr>
        <w:sz w:val="20"/>
        <w:szCs w:val="20"/>
      </w:rPr>
      <w:t xml:space="preserve">_599_ Ministru kabineta noteikumu projekta „Grozījumi Ministru kabineta 2012. gada 28. augusta noteikumos Nr.599„Sabiedriskā transporta pakalpojumu sniegšanas un izmantošanas kārtība”” </w:t>
    </w:r>
    <w:r w:rsidRPr="00AD4445">
      <w:rPr>
        <w:bCs/>
        <w:sz w:val="20"/>
        <w:szCs w:val="20"/>
      </w:rPr>
      <w:t>sākotnējās ietekmes novērtējuma ziņojums (anotācija)</w:t>
    </w:r>
  </w:p>
  <w:p w:rsidR="008B41CD" w:rsidRPr="000F5E54" w:rsidRDefault="007805E3" w:rsidP="008B41CD">
    <w:pPr>
      <w:pStyle w:val="Footer"/>
      <w:jc w:val="both"/>
    </w:pPr>
  </w:p>
  <w:p w:rsidR="00C31E36" w:rsidRPr="00A91A60" w:rsidRDefault="007805E3" w:rsidP="00A91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EA" w:rsidRPr="00AD4445" w:rsidRDefault="00E26FEA" w:rsidP="00E26FEA">
    <w:pPr>
      <w:tabs>
        <w:tab w:val="left" w:pos="709"/>
      </w:tabs>
      <w:jc w:val="both"/>
      <w:rPr>
        <w:sz w:val="20"/>
        <w:szCs w:val="20"/>
      </w:rPr>
    </w:pPr>
    <w:r w:rsidRPr="00AD4445">
      <w:rPr>
        <w:sz w:val="20"/>
        <w:szCs w:val="20"/>
      </w:rPr>
      <w:t>SAMAnot_</w:t>
    </w:r>
    <w:r w:rsidR="00F72666">
      <w:rPr>
        <w:sz w:val="20"/>
        <w:szCs w:val="20"/>
      </w:rPr>
      <w:t>30</w:t>
    </w:r>
    <w:r>
      <w:rPr>
        <w:sz w:val="20"/>
        <w:szCs w:val="20"/>
      </w:rPr>
      <w:t>1115</w:t>
    </w:r>
    <w:r w:rsidRPr="00AD4445">
      <w:rPr>
        <w:sz w:val="20"/>
        <w:szCs w:val="20"/>
      </w:rPr>
      <w:t xml:space="preserve">_599_ Ministru kabineta noteikumu projekta „Grozījumi Ministru kabineta 2012. gada 28. augusta noteikumos Nr.599„Sabiedriskā transporta pakalpojumu sniegšanas un izmantošanas kārtība”” </w:t>
    </w:r>
    <w:r w:rsidRPr="00AD4445">
      <w:rPr>
        <w:bCs/>
        <w:sz w:val="20"/>
        <w:szCs w:val="20"/>
      </w:rPr>
      <w:t>sākotnējās ietekmes novērtējuma ziņojums (anotācija)</w:t>
    </w:r>
  </w:p>
  <w:p w:rsidR="00A91A60" w:rsidRPr="000F5E54" w:rsidRDefault="007805E3" w:rsidP="00A91A60">
    <w:pPr>
      <w:tabs>
        <w:tab w:val="left" w:pos="709"/>
      </w:tabs>
      <w:jc w:val="both"/>
      <w:rPr>
        <w:sz w:val="18"/>
        <w:szCs w:val="18"/>
      </w:rPr>
    </w:pPr>
  </w:p>
  <w:p w:rsidR="00C31E36" w:rsidRPr="000F5E54" w:rsidRDefault="007805E3" w:rsidP="005E11D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14" w:rsidRDefault="00845314" w:rsidP="00AD4445">
      <w:r>
        <w:separator/>
      </w:r>
    </w:p>
  </w:footnote>
  <w:footnote w:type="continuationSeparator" w:id="0">
    <w:p w:rsidR="00845314" w:rsidRDefault="00845314" w:rsidP="00AD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3E47E2" w:rsidP="003C449B">
    <w:pPr>
      <w:pStyle w:val="Header"/>
      <w:framePr w:wrap="around" w:vAnchor="text" w:hAnchor="margin" w:xAlign="center" w:y="1"/>
      <w:rPr>
        <w:rStyle w:val="PageNumber"/>
      </w:rPr>
    </w:pPr>
    <w:r>
      <w:rPr>
        <w:rStyle w:val="PageNumber"/>
      </w:rPr>
      <w:fldChar w:fldCharType="begin"/>
    </w:r>
    <w:r w:rsidR="00AD4445">
      <w:rPr>
        <w:rStyle w:val="PageNumber"/>
      </w:rPr>
      <w:instrText xml:space="preserve">PAGE  </w:instrText>
    </w:r>
    <w:r>
      <w:rPr>
        <w:rStyle w:val="PageNumber"/>
      </w:rPr>
      <w:fldChar w:fldCharType="end"/>
    </w:r>
  </w:p>
  <w:p w:rsidR="00C31E36" w:rsidRDefault="00780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01056"/>
      <w:docPartObj>
        <w:docPartGallery w:val="Page Numbers (Top of Page)"/>
        <w:docPartUnique/>
      </w:docPartObj>
    </w:sdtPr>
    <w:sdtEndPr>
      <w:rPr>
        <w:noProof/>
      </w:rPr>
    </w:sdtEndPr>
    <w:sdtContent>
      <w:p w:rsidR="00AD4445" w:rsidRDefault="003E47E2">
        <w:pPr>
          <w:pStyle w:val="Header"/>
          <w:jc w:val="center"/>
        </w:pPr>
        <w:r>
          <w:fldChar w:fldCharType="begin"/>
        </w:r>
        <w:r w:rsidR="00AD4445">
          <w:instrText xml:space="preserve"> PAGE   \* MERGEFORMAT </w:instrText>
        </w:r>
        <w:r>
          <w:fldChar w:fldCharType="separate"/>
        </w:r>
        <w:r w:rsidR="00126978">
          <w:rPr>
            <w:noProof/>
          </w:rPr>
          <w:t>6</w:t>
        </w:r>
        <w:r>
          <w:rPr>
            <w:noProof/>
          </w:rPr>
          <w:fldChar w:fldCharType="end"/>
        </w:r>
      </w:p>
    </w:sdtContent>
  </w:sdt>
  <w:p w:rsidR="00C31E36" w:rsidRDefault="00780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33B"/>
    <w:multiLevelType w:val="hybridMultilevel"/>
    <w:tmpl w:val="3404F6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950E99"/>
    <w:multiLevelType w:val="hybridMultilevel"/>
    <w:tmpl w:val="FAB6D2B2"/>
    <w:lvl w:ilvl="0" w:tplc="B4A0DE5C">
      <w:start w:val="1"/>
      <w:numFmt w:val="decimal"/>
      <w:lvlText w:val="%1)"/>
      <w:lvlJc w:val="left"/>
      <w:pPr>
        <w:ind w:left="720" w:hanging="360"/>
      </w:pPr>
      <w:rPr>
        <w:rFonts w:hint="default"/>
        <w:color w:val="auto"/>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F02A5F"/>
    <w:multiLevelType w:val="hybridMultilevel"/>
    <w:tmpl w:val="5414E312"/>
    <w:lvl w:ilvl="0" w:tplc="B04CE4A4">
      <w:start w:val="1"/>
      <w:numFmt w:val="bullet"/>
      <w:lvlText w:val="•"/>
      <w:lvlJc w:val="left"/>
      <w:pPr>
        <w:tabs>
          <w:tab w:val="num" w:pos="720"/>
        </w:tabs>
        <w:ind w:left="720" w:hanging="360"/>
      </w:pPr>
      <w:rPr>
        <w:rFonts w:ascii="Arial" w:hAnsi="Arial" w:hint="default"/>
      </w:rPr>
    </w:lvl>
    <w:lvl w:ilvl="1" w:tplc="2536CE68" w:tentative="1">
      <w:start w:val="1"/>
      <w:numFmt w:val="bullet"/>
      <w:lvlText w:val="•"/>
      <w:lvlJc w:val="left"/>
      <w:pPr>
        <w:tabs>
          <w:tab w:val="num" w:pos="1440"/>
        </w:tabs>
        <w:ind w:left="1440" w:hanging="360"/>
      </w:pPr>
      <w:rPr>
        <w:rFonts w:ascii="Arial" w:hAnsi="Arial" w:hint="default"/>
      </w:rPr>
    </w:lvl>
    <w:lvl w:ilvl="2" w:tplc="E0B0618C" w:tentative="1">
      <w:start w:val="1"/>
      <w:numFmt w:val="bullet"/>
      <w:lvlText w:val="•"/>
      <w:lvlJc w:val="left"/>
      <w:pPr>
        <w:tabs>
          <w:tab w:val="num" w:pos="2160"/>
        </w:tabs>
        <w:ind w:left="2160" w:hanging="360"/>
      </w:pPr>
      <w:rPr>
        <w:rFonts w:ascii="Arial" w:hAnsi="Arial" w:hint="default"/>
      </w:rPr>
    </w:lvl>
    <w:lvl w:ilvl="3" w:tplc="979E0B90" w:tentative="1">
      <w:start w:val="1"/>
      <w:numFmt w:val="bullet"/>
      <w:lvlText w:val="•"/>
      <w:lvlJc w:val="left"/>
      <w:pPr>
        <w:tabs>
          <w:tab w:val="num" w:pos="2880"/>
        </w:tabs>
        <w:ind w:left="2880" w:hanging="360"/>
      </w:pPr>
      <w:rPr>
        <w:rFonts w:ascii="Arial" w:hAnsi="Arial" w:hint="default"/>
      </w:rPr>
    </w:lvl>
    <w:lvl w:ilvl="4" w:tplc="D2CA16BC" w:tentative="1">
      <w:start w:val="1"/>
      <w:numFmt w:val="bullet"/>
      <w:lvlText w:val="•"/>
      <w:lvlJc w:val="left"/>
      <w:pPr>
        <w:tabs>
          <w:tab w:val="num" w:pos="3600"/>
        </w:tabs>
        <w:ind w:left="3600" w:hanging="360"/>
      </w:pPr>
      <w:rPr>
        <w:rFonts w:ascii="Arial" w:hAnsi="Arial" w:hint="default"/>
      </w:rPr>
    </w:lvl>
    <w:lvl w:ilvl="5" w:tplc="8DB6F7BE" w:tentative="1">
      <w:start w:val="1"/>
      <w:numFmt w:val="bullet"/>
      <w:lvlText w:val="•"/>
      <w:lvlJc w:val="left"/>
      <w:pPr>
        <w:tabs>
          <w:tab w:val="num" w:pos="4320"/>
        </w:tabs>
        <w:ind w:left="4320" w:hanging="360"/>
      </w:pPr>
      <w:rPr>
        <w:rFonts w:ascii="Arial" w:hAnsi="Arial" w:hint="default"/>
      </w:rPr>
    </w:lvl>
    <w:lvl w:ilvl="6" w:tplc="BE02E8C6" w:tentative="1">
      <w:start w:val="1"/>
      <w:numFmt w:val="bullet"/>
      <w:lvlText w:val="•"/>
      <w:lvlJc w:val="left"/>
      <w:pPr>
        <w:tabs>
          <w:tab w:val="num" w:pos="5040"/>
        </w:tabs>
        <w:ind w:left="5040" w:hanging="360"/>
      </w:pPr>
      <w:rPr>
        <w:rFonts w:ascii="Arial" w:hAnsi="Arial" w:hint="default"/>
      </w:rPr>
    </w:lvl>
    <w:lvl w:ilvl="7" w:tplc="72605286" w:tentative="1">
      <w:start w:val="1"/>
      <w:numFmt w:val="bullet"/>
      <w:lvlText w:val="•"/>
      <w:lvlJc w:val="left"/>
      <w:pPr>
        <w:tabs>
          <w:tab w:val="num" w:pos="5760"/>
        </w:tabs>
        <w:ind w:left="5760" w:hanging="360"/>
      </w:pPr>
      <w:rPr>
        <w:rFonts w:ascii="Arial" w:hAnsi="Arial" w:hint="default"/>
      </w:rPr>
    </w:lvl>
    <w:lvl w:ilvl="8" w:tplc="4CF6EA20" w:tentative="1">
      <w:start w:val="1"/>
      <w:numFmt w:val="bullet"/>
      <w:lvlText w:val="•"/>
      <w:lvlJc w:val="left"/>
      <w:pPr>
        <w:tabs>
          <w:tab w:val="num" w:pos="6480"/>
        </w:tabs>
        <w:ind w:left="6480" w:hanging="360"/>
      </w:pPr>
      <w:rPr>
        <w:rFonts w:ascii="Arial" w:hAnsi="Arial" w:hint="default"/>
      </w:rPr>
    </w:lvl>
  </w:abstractNum>
  <w:abstractNum w:abstractNumId="3">
    <w:nsid w:val="5BB745A9"/>
    <w:multiLevelType w:val="hybridMultilevel"/>
    <w:tmpl w:val="A710B896"/>
    <w:lvl w:ilvl="0" w:tplc="2B70CFF0">
      <w:start w:val="1"/>
      <w:numFmt w:val="decimal"/>
      <w:lvlText w:val="%1)"/>
      <w:lvlJc w:val="left"/>
      <w:pPr>
        <w:ind w:left="1889" w:hanging="111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4">
    <w:nsid w:val="67A02861"/>
    <w:multiLevelType w:val="hybridMultilevel"/>
    <w:tmpl w:val="3E021C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DAB17A3"/>
    <w:multiLevelType w:val="hybridMultilevel"/>
    <w:tmpl w:val="08EA3ED0"/>
    <w:lvl w:ilvl="0" w:tplc="1F76734E">
      <w:start w:val="1"/>
      <w:numFmt w:val="bullet"/>
      <w:lvlText w:val="•"/>
      <w:lvlJc w:val="left"/>
      <w:pPr>
        <w:tabs>
          <w:tab w:val="num" w:pos="720"/>
        </w:tabs>
        <w:ind w:left="720" w:hanging="360"/>
      </w:pPr>
      <w:rPr>
        <w:rFonts w:ascii="Arial" w:hAnsi="Arial" w:hint="default"/>
      </w:rPr>
    </w:lvl>
    <w:lvl w:ilvl="1" w:tplc="EF60B748" w:tentative="1">
      <w:start w:val="1"/>
      <w:numFmt w:val="bullet"/>
      <w:lvlText w:val="•"/>
      <w:lvlJc w:val="left"/>
      <w:pPr>
        <w:tabs>
          <w:tab w:val="num" w:pos="1440"/>
        </w:tabs>
        <w:ind w:left="1440" w:hanging="360"/>
      </w:pPr>
      <w:rPr>
        <w:rFonts w:ascii="Arial" w:hAnsi="Arial" w:hint="default"/>
      </w:rPr>
    </w:lvl>
    <w:lvl w:ilvl="2" w:tplc="DC8EB10C" w:tentative="1">
      <w:start w:val="1"/>
      <w:numFmt w:val="bullet"/>
      <w:lvlText w:val="•"/>
      <w:lvlJc w:val="left"/>
      <w:pPr>
        <w:tabs>
          <w:tab w:val="num" w:pos="2160"/>
        </w:tabs>
        <w:ind w:left="2160" w:hanging="360"/>
      </w:pPr>
      <w:rPr>
        <w:rFonts w:ascii="Arial" w:hAnsi="Arial" w:hint="default"/>
      </w:rPr>
    </w:lvl>
    <w:lvl w:ilvl="3" w:tplc="9940A294" w:tentative="1">
      <w:start w:val="1"/>
      <w:numFmt w:val="bullet"/>
      <w:lvlText w:val="•"/>
      <w:lvlJc w:val="left"/>
      <w:pPr>
        <w:tabs>
          <w:tab w:val="num" w:pos="2880"/>
        </w:tabs>
        <w:ind w:left="2880" w:hanging="360"/>
      </w:pPr>
      <w:rPr>
        <w:rFonts w:ascii="Arial" w:hAnsi="Arial" w:hint="default"/>
      </w:rPr>
    </w:lvl>
    <w:lvl w:ilvl="4" w:tplc="957E7AC8" w:tentative="1">
      <w:start w:val="1"/>
      <w:numFmt w:val="bullet"/>
      <w:lvlText w:val="•"/>
      <w:lvlJc w:val="left"/>
      <w:pPr>
        <w:tabs>
          <w:tab w:val="num" w:pos="3600"/>
        </w:tabs>
        <w:ind w:left="3600" w:hanging="360"/>
      </w:pPr>
      <w:rPr>
        <w:rFonts w:ascii="Arial" w:hAnsi="Arial" w:hint="default"/>
      </w:rPr>
    </w:lvl>
    <w:lvl w:ilvl="5" w:tplc="D66C9B56" w:tentative="1">
      <w:start w:val="1"/>
      <w:numFmt w:val="bullet"/>
      <w:lvlText w:val="•"/>
      <w:lvlJc w:val="left"/>
      <w:pPr>
        <w:tabs>
          <w:tab w:val="num" w:pos="4320"/>
        </w:tabs>
        <w:ind w:left="4320" w:hanging="360"/>
      </w:pPr>
      <w:rPr>
        <w:rFonts w:ascii="Arial" w:hAnsi="Arial" w:hint="default"/>
      </w:rPr>
    </w:lvl>
    <w:lvl w:ilvl="6" w:tplc="AB72B2B0" w:tentative="1">
      <w:start w:val="1"/>
      <w:numFmt w:val="bullet"/>
      <w:lvlText w:val="•"/>
      <w:lvlJc w:val="left"/>
      <w:pPr>
        <w:tabs>
          <w:tab w:val="num" w:pos="5040"/>
        </w:tabs>
        <w:ind w:left="5040" w:hanging="360"/>
      </w:pPr>
      <w:rPr>
        <w:rFonts w:ascii="Arial" w:hAnsi="Arial" w:hint="default"/>
      </w:rPr>
    </w:lvl>
    <w:lvl w:ilvl="7" w:tplc="ACA0FCCC" w:tentative="1">
      <w:start w:val="1"/>
      <w:numFmt w:val="bullet"/>
      <w:lvlText w:val="•"/>
      <w:lvlJc w:val="left"/>
      <w:pPr>
        <w:tabs>
          <w:tab w:val="num" w:pos="5760"/>
        </w:tabs>
        <w:ind w:left="5760" w:hanging="360"/>
      </w:pPr>
      <w:rPr>
        <w:rFonts w:ascii="Arial" w:hAnsi="Arial" w:hint="default"/>
      </w:rPr>
    </w:lvl>
    <w:lvl w:ilvl="8" w:tplc="E924AF4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45"/>
    <w:rsid w:val="000B5A7A"/>
    <w:rsid w:val="000C0785"/>
    <w:rsid w:val="000C33BD"/>
    <w:rsid w:val="000F320D"/>
    <w:rsid w:val="000F53B2"/>
    <w:rsid w:val="00111748"/>
    <w:rsid w:val="00126978"/>
    <w:rsid w:val="00156547"/>
    <w:rsid w:val="00162523"/>
    <w:rsid w:val="00173B0C"/>
    <w:rsid w:val="001A443C"/>
    <w:rsid w:val="001F5F36"/>
    <w:rsid w:val="002100E8"/>
    <w:rsid w:val="00290289"/>
    <w:rsid w:val="002C0594"/>
    <w:rsid w:val="002C1EC6"/>
    <w:rsid w:val="002C3315"/>
    <w:rsid w:val="002C58C0"/>
    <w:rsid w:val="00303AAC"/>
    <w:rsid w:val="00350782"/>
    <w:rsid w:val="003C6907"/>
    <w:rsid w:val="003D5741"/>
    <w:rsid w:val="003E47E2"/>
    <w:rsid w:val="003F6F78"/>
    <w:rsid w:val="00484B12"/>
    <w:rsid w:val="004D405C"/>
    <w:rsid w:val="005046C3"/>
    <w:rsid w:val="00506F64"/>
    <w:rsid w:val="0051796A"/>
    <w:rsid w:val="00584613"/>
    <w:rsid w:val="005E578B"/>
    <w:rsid w:val="005F1B38"/>
    <w:rsid w:val="00600019"/>
    <w:rsid w:val="00663659"/>
    <w:rsid w:val="00731511"/>
    <w:rsid w:val="007752B3"/>
    <w:rsid w:val="007D37AB"/>
    <w:rsid w:val="007D6604"/>
    <w:rsid w:val="00845314"/>
    <w:rsid w:val="00880560"/>
    <w:rsid w:val="008C5BF7"/>
    <w:rsid w:val="00917702"/>
    <w:rsid w:val="00935FDE"/>
    <w:rsid w:val="0095609C"/>
    <w:rsid w:val="009C36BE"/>
    <w:rsid w:val="009E6216"/>
    <w:rsid w:val="00A0166A"/>
    <w:rsid w:val="00A55EF5"/>
    <w:rsid w:val="00A742C6"/>
    <w:rsid w:val="00A9159B"/>
    <w:rsid w:val="00AA5E8D"/>
    <w:rsid w:val="00AC0A96"/>
    <w:rsid w:val="00AD4445"/>
    <w:rsid w:val="00BE52E5"/>
    <w:rsid w:val="00BE640B"/>
    <w:rsid w:val="00C32A09"/>
    <w:rsid w:val="00C43CD5"/>
    <w:rsid w:val="00C5325D"/>
    <w:rsid w:val="00D25637"/>
    <w:rsid w:val="00D32648"/>
    <w:rsid w:val="00D977BC"/>
    <w:rsid w:val="00E11BBB"/>
    <w:rsid w:val="00E24CD1"/>
    <w:rsid w:val="00E26FEA"/>
    <w:rsid w:val="00E45812"/>
    <w:rsid w:val="00E51C2B"/>
    <w:rsid w:val="00E7474B"/>
    <w:rsid w:val="00EA23A9"/>
    <w:rsid w:val="00EB16D2"/>
    <w:rsid w:val="00F30C78"/>
    <w:rsid w:val="00F55359"/>
    <w:rsid w:val="00F65AEF"/>
    <w:rsid w:val="00F72666"/>
    <w:rsid w:val="00F81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45"/>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AD4445"/>
    <w:pPr>
      <w:keepNext/>
      <w:ind w:firstLine="709"/>
      <w:outlineLvl w:val="1"/>
    </w:pPr>
    <w:rPr>
      <w:b/>
      <w:bCs/>
      <w:sz w:val="32"/>
      <w:lang w:eastAsia="en-US"/>
    </w:rPr>
  </w:style>
  <w:style w:type="paragraph" w:styleId="Heading3">
    <w:name w:val="heading 3"/>
    <w:basedOn w:val="Normal"/>
    <w:next w:val="Normal"/>
    <w:link w:val="Heading3Char"/>
    <w:uiPriority w:val="9"/>
    <w:semiHidden/>
    <w:unhideWhenUsed/>
    <w:qFormat/>
    <w:rsid w:val="001625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445"/>
    <w:pPr>
      <w:tabs>
        <w:tab w:val="center" w:pos="4153"/>
        <w:tab w:val="right" w:pos="8306"/>
      </w:tabs>
    </w:pPr>
  </w:style>
  <w:style w:type="character" w:customStyle="1" w:styleId="HeaderChar">
    <w:name w:val="Header Char"/>
    <w:basedOn w:val="DefaultParagraphFont"/>
    <w:link w:val="Header"/>
    <w:uiPriority w:val="99"/>
    <w:rsid w:val="00AD4445"/>
    <w:rPr>
      <w:rFonts w:ascii="Times New Roman" w:eastAsia="Times New Roman" w:hAnsi="Times New Roman" w:cs="Times New Roman"/>
      <w:sz w:val="24"/>
      <w:szCs w:val="24"/>
      <w:lang w:eastAsia="lv-LV"/>
    </w:rPr>
  </w:style>
  <w:style w:type="character" w:styleId="PageNumber">
    <w:name w:val="page number"/>
    <w:basedOn w:val="DefaultParagraphFont"/>
    <w:rsid w:val="00AD4445"/>
  </w:style>
  <w:style w:type="paragraph" w:customStyle="1" w:styleId="naisf">
    <w:name w:val="naisf"/>
    <w:basedOn w:val="Normal"/>
    <w:rsid w:val="00AD4445"/>
    <w:pPr>
      <w:spacing w:before="75" w:after="75"/>
      <w:ind w:firstLine="375"/>
      <w:jc w:val="both"/>
    </w:pPr>
  </w:style>
  <w:style w:type="paragraph" w:customStyle="1" w:styleId="naisnod">
    <w:name w:val="naisnod"/>
    <w:basedOn w:val="Normal"/>
    <w:rsid w:val="00AD4445"/>
    <w:pPr>
      <w:spacing w:before="150" w:after="150"/>
      <w:jc w:val="center"/>
    </w:pPr>
    <w:rPr>
      <w:b/>
      <w:bCs/>
    </w:rPr>
  </w:style>
  <w:style w:type="paragraph" w:customStyle="1" w:styleId="naislab">
    <w:name w:val="naislab"/>
    <w:basedOn w:val="Normal"/>
    <w:rsid w:val="00AD4445"/>
    <w:pPr>
      <w:spacing w:before="75" w:after="75"/>
      <w:jc w:val="right"/>
    </w:pPr>
  </w:style>
  <w:style w:type="paragraph" w:customStyle="1" w:styleId="naiskr">
    <w:name w:val="naiskr"/>
    <w:basedOn w:val="Normal"/>
    <w:rsid w:val="00AD4445"/>
    <w:pPr>
      <w:spacing w:before="75" w:after="75"/>
    </w:pPr>
  </w:style>
  <w:style w:type="paragraph" w:styleId="Footer">
    <w:name w:val="footer"/>
    <w:basedOn w:val="Normal"/>
    <w:link w:val="FooterChar"/>
    <w:rsid w:val="00AD4445"/>
    <w:pPr>
      <w:tabs>
        <w:tab w:val="center" w:pos="4153"/>
        <w:tab w:val="right" w:pos="8306"/>
      </w:tabs>
    </w:pPr>
  </w:style>
  <w:style w:type="character" w:customStyle="1" w:styleId="FooterChar">
    <w:name w:val="Footer Char"/>
    <w:basedOn w:val="DefaultParagraphFont"/>
    <w:link w:val="Footer"/>
    <w:rsid w:val="00AD4445"/>
    <w:rPr>
      <w:rFonts w:ascii="Times New Roman" w:eastAsia="Times New Roman" w:hAnsi="Times New Roman" w:cs="Times New Roman"/>
      <w:sz w:val="24"/>
      <w:szCs w:val="24"/>
      <w:lang w:eastAsia="lv-LV"/>
    </w:rPr>
  </w:style>
  <w:style w:type="character" w:styleId="Hyperlink">
    <w:name w:val="Hyperlink"/>
    <w:uiPriority w:val="99"/>
    <w:rsid w:val="00AD4445"/>
    <w:rPr>
      <w:color w:val="0000FF"/>
      <w:u w:val="single"/>
    </w:rPr>
  </w:style>
  <w:style w:type="paragraph" w:styleId="ListParagraph">
    <w:name w:val="List Paragraph"/>
    <w:basedOn w:val="Normal"/>
    <w:uiPriority w:val="34"/>
    <w:qFormat/>
    <w:rsid w:val="00AD4445"/>
    <w:pPr>
      <w:ind w:left="720" w:firstLine="720"/>
      <w:contextualSpacing/>
      <w:jc w:val="both"/>
    </w:pPr>
    <w:rPr>
      <w:rFonts w:eastAsia="Calibri"/>
      <w:sz w:val="28"/>
      <w:szCs w:val="28"/>
      <w:lang w:eastAsia="en-US"/>
    </w:rPr>
  </w:style>
  <w:style w:type="character" w:customStyle="1" w:styleId="st">
    <w:name w:val="st"/>
    <w:basedOn w:val="DefaultParagraphFont"/>
    <w:rsid w:val="00AD4445"/>
  </w:style>
  <w:style w:type="character" w:styleId="Emphasis">
    <w:name w:val="Emphasis"/>
    <w:basedOn w:val="DefaultParagraphFont"/>
    <w:uiPriority w:val="20"/>
    <w:qFormat/>
    <w:rsid w:val="00AD4445"/>
    <w:rPr>
      <w:i/>
      <w:iCs/>
    </w:rPr>
  </w:style>
  <w:style w:type="character" w:customStyle="1" w:styleId="Heading2Char">
    <w:name w:val="Heading 2 Char"/>
    <w:basedOn w:val="DefaultParagraphFont"/>
    <w:link w:val="Heading2"/>
    <w:rsid w:val="00AD4445"/>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D977BC"/>
    <w:rPr>
      <w:rFonts w:ascii="Tahoma" w:hAnsi="Tahoma" w:cs="Tahoma"/>
      <w:sz w:val="16"/>
      <w:szCs w:val="16"/>
    </w:rPr>
  </w:style>
  <w:style w:type="character" w:customStyle="1" w:styleId="BalloonTextChar">
    <w:name w:val="Balloon Text Char"/>
    <w:basedOn w:val="DefaultParagraphFont"/>
    <w:link w:val="BalloonText"/>
    <w:uiPriority w:val="99"/>
    <w:semiHidden/>
    <w:rsid w:val="00D977BC"/>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A443C"/>
    <w:rPr>
      <w:sz w:val="16"/>
      <w:szCs w:val="16"/>
    </w:rPr>
  </w:style>
  <w:style w:type="paragraph" w:styleId="CommentText">
    <w:name w:val="annotation text"/>
    <w:basedOn w:val="Normal"/>
    <w:link w:val="CommentTextChar"/>
    <w:uiPriority w:val="99"/>
    <w:semiHidden/>
    <w:unhideWhenUsed/>
    <w:rsid w:val="001A443C"/>
    <w:rPr>
      <w:sz w:val="20"/>
      <w:szCs w:val="20"/>
    </w:rPr>
  </w:style>
  <w:style w:type="character" w:customStyle="1" w:styleId="CommentTextChar">
    <w:name w:val="Comment Text Char"/>
    <w:basedOn w:val="DefaultParagraphFont"/>
    <w:link w:val="CommentText"/>
    <w:uiPriority w:val="99"/>
    <w:semiHidden/>
    <w:rsid w:val="001A443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443C"/>
    <w:rPr>
      <w:b/>
      <w:bCs/>
    </w:rPr>
  </w:style>
  <w:style w:type="character" w:customStyle="1" w:styleId="CommentSubjectChar">
    <w:name w:val="Comment Subject Char"/>
    <w:basedOn w:val="CommentTextChar"/>
    <w:link w:val="CommentSubject"/>
    <w:uiPriority w:val="99"/>
    <w:semiHidden/>
    <w:rsid w:val="001A443C"/>
    <w:rPr>
      <w:rFonts w:ascii="Times New Roman" w:eastAsia="Times New Roman" w:hAnsi="Times New Roman" w:cs="Times New Roman"/>
      <w:b/>
      <w:bCs/>
      <w:sz w:val="20"/>
      <w:szCs w:val="20"/>
      <w:lang w:eastAsia="lv-LV"/>
    </w:rPr>
  </w:style>
  <w:style w:type="character" w:styleId="Strong">
    <w:name w:val="Strong"/>
    <w:basedOn w:val="DefaultParagraphFont"/>
    <w:qFormat/>
    <w:rsid w:val="00156547"/>
    <w:rPr>
      <w:b/>
      <w:bCs/>
    </w:rPr>
  </w:style>
  <w:style w:type="paragraph" w:customStyle="1" w:styleId="tv213">
    <w:name w:val="tv213"/>
    <w:basedOn w:val="Normal"/>
    <w:rsid w:val="00156547"/>
    <w:pPr>
      <w:spacing w:before="100" w:beforeAutospacing="1" w:after="100" w:afterAutospacing="1"/>
    </w:pPr>
  </w:style>
  <w:style w:type="paragraph" w:styleId="BodyText">
    <w:name w:val="Body Text"/>
    <w:basedOn w:val="Normal"/>
    <w:link w:val="BodyTextChar"/>
    <w:rsid w:val="00935FDE"/>
    <w:pPr>
      <w:jc w:val="both"/>
    </w:pPr>
    <w:rPr>
      <w:szCs w:val="20"/>
      <w:lang w:eastAsia="en-US"/>
    </w:rPr>
  </w:style>
  <w:style w:type="character" w:customStyle="1" w:styleId="BodyTextChar">
    <w:name w:val="Body Text Char"/>
    <w:basedOn w:val="DefaultParagraphFont"/>
    <w:link w:val="BodyText"/>
    <w:rsid w:val="00935FD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162523"/>
    <w:rPr>
      <w:rFonts w:asciiTheme="majorHAnsi" w:eastAsiaTheme="majorEastAsia" w:hAnsiTheme="majorHAnsi" w:cstheme="majorBidi"/>
      <w:color w:val="243F60" w:themeColor="accent1" w:themeShade="7F"/>
      <w:sz w:val="24"/>
      <w:szCs w:val="24"/>
      <w:lang w:eastAsia="lv-LV"/>
    </w:rPr>
  </w:style>
  <w:style w:type="paragraph" w:customStyle="1" w:styleId="tv2131">
    <w:name w:val="tv2131"/>
    <w:basedOn w:val="Normal"/>
    <w:rsid w:val="00BE640B"/>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45"/>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AD4445"/>
    <w:pPr>
      <w:keepNext/>
      <w:ind w:firstLine="709"/>
      <w:outlineLvl w:val="1"/>
    </w:pPr>
    <w:rPr>
      <w:b/>
      <w:bCs/>
      <w:sz w:val="32"/>
      <w:lang w:eastAsia="en-US"/>
    </w:rPr>
  </w:style>
  <w:style w:type="paragraph" w:styleId="Heading3">
    <w:name w:val="heading 3"/>
    <w:basedOn w:val="Normal"/>
    <w:next w:val="Normal"/>
    <w:link w:val="Heading3Char"/>
    <w:uiPriority w:val="9"/>
    <w:semiHidden/>
    <w:unhideWhenUsed/>
    <w:qFormat/>
    <w:rsid w:val="001625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445"/>
    <w:pPr>
      <w:tabs>
        <w:tab w:val="center" w:pos="4153"/>
        <w:tab w:val="right" w:pos="8306"/>
      </w:tabs>
    </w:pPr>
  </w:style>
  <w:style w:type="character" w:customStyle="1" w:styleId="HeaderChar">
    <w:name w:val="Header Char"/>
    <w:basedOn w:val="DefaultParagraphFont"/>
    <w:link w:val="Header"/>
    <w:uiPriority w:val="99"/>
    <w:rsid w:val="00AD4445"/>
    <w:rPr>
      <w:rFonts w:ascii="Times New Roman" w:eastAsia="Times New Roman" w:hAnsi="Times New Roman" w:cs="Times New Roman"/>
      <w:sz w:val="24"/>
      <w:szCs w:val="24"/>
      <w:lang w:eastAsia="lv-LV"/>
    </w:rPr>
  </w:style>
  <w:style w:type="character" w:styleId="PageNumber">
    <w:name w:val="page number"/>
    <w:basedOn w:val="DefaultParagraphFont"/>
    <w:rsid w:val="00AD4445"/>
  </w:style>
  <w:style w:type="paragraph" w:customStyle="1" w:styleId="naisf">
    <w:name w:val="naisf"/>
    <w:basedOn w:val="Normal"/>
    <w:rsid w:val="00AD4445"/>
    <w:pPr>
      <w:spacing w:before="75" w:after="75"/>
      <w:ind w:firstLine="375"/>
      <w:jc w:val="both"/>
    </w:pPr>
  </w:style>
  <w:style w:type="paragraph" w:customStyle="1" w:styleId="naisnod">
    <w:name w:val="naisnod"/>
    <w:basedOn w:val="Normal"/>
    <w:rsid w:val="00AD4445"/>
    <w:pPr>
      <w:spacing w:before="150" w:after="150"/>
      <w:jc w:val="center"/>
    </w:pPr>
    <w:rPr>
      <w:b/>
      <w:bCs/>
    </w:rPr>
  </w:style>
  <w:style w:type="paragraph" w:customStyle="1" w:styleId="naislab">
    <w:name w:val="naislab"/>
    <w:basedOn w:val="Normal"/>
    <w:rsid w:val="00AD4445"/>
    <w:pPr>
      <w:spacing w:before="75" w:after="75"/>
      <w:jc w:val="right"/>
    </w:pPr>
  </w:style>
  <w:style w:type="paragraph" w:customStyle="1" w:styleId="naiskr">
    <w:name w:val="naiskr"/>
    <w:basedOn w:val="Normal"/>
    <w:rsid w:val="00AD4445"/>
    <w:pPr>
      <w:spacing w:before="75" w:after="75"/>
    </w:pPr>
  </w:style>
  <w:style w:type="paragraph" w:styleId="Footer">
    <w:name w:val="footer"/>
    <w:basedOn w:val="Normal"/>
    <w:link w:val="FooterChar"/>
    <w:rsid w:val="00AD4445"/>
    <w:pPr>
      <w:tabs>
        <w:tab w:val="center" w:pos="4153"/>
        <w:tab w:val="right" w:pos="8306"/>
      </w:tabs>
    </w:pPr>
  </w:style>
  <w:style w:type="character" w:customStyle="1" w:styleId="FooterChar">
    <w:name w:val="Footer Char"/>
    <w:basedOn w:val="DefaultParagraphFont"/>
    <w:link w:val="Footer"/>
    <w:rsid w:val="00AD4445"/>
    <w:rPr>
      <w:rFonts w:ascii="Times New Roman" w:eastAsia="Times New Roman" w:hAnsi="Times New Roman" w:cs="Times New Roman"/>
      <w:sz w:val="24"/>
      <w:szCs w:val="24"/>
      <w:lang w:eastAsia="lv-LV"/>
    </w:rPr>
  </w:style>
  <w:style w:type="character" w:styleId="Hyperlink">
    <w:name w:val="Hyperlink"/>
    <w:uiPriority w:val="99"/>
    <w:rsid w:val="00AD4445"/>
    <w:rPr>
      <w:color w:val="0000FF"/>
      <w:u w:val="single"/>
    </w:rPr>
  </w:style>
  <w:style w:type="paragraph" w:styleId="ListParagraph">
    <w:name w:val="List Paragraph"/>
    <w:basedOn w:val="Normal"/>
    <w:uiPriority w:val="34"/>
    <w:qFormat/>
    <w:rsid w:val="00AD4445"/>
    <w:pPr>
      <w:ind w:left="720" w:firstLine="720"/>
      <w:contextualSpacing/>
      <w:jc w:val="both"/>
    </w:pPr>
    <w:rPr>
      <w:rFonts w:eastAsia="Calibri"/>
      <w:sz w:val="28"/>
      <w:szCs w:val="28"/>
      <w:lang w:eastAsia="en-US"/>
    </w:rPr>
  </w:style>
  <w:style w:type="character" w:customStyle="1" w:styleId="st">
    <w:name w:val="st"/>
    <w:basedOn w:val="DefaultParagraphFont"/>
    <w:rsid w:val="00AD4445"/>
  </w:style>
  <w:style w:type="character" w:styleId="Emphasis">
    <w:name w:val="Emphasis"/>
    <w:basedOn w:val="DefaultParagraphFont"/>
    <w:uiPriority w:val="20"/>
    <w:qFormat/>
    <w:rsid w:val="00AD4445"/>
    <w:rPr>
      <w:i/>
      <w:iCs/>
    </w:rPr>
  </w:style>
  <w:style w:type="character" w:customStyle="1" w:styleId="Heading2Char">
    <w:name w:val="Heading 2 Char"/>
    <w:basedOn w:val="DefaultParagraphFont"/>
    <w:link w:val="Heading2"/>
    <w:rsid w:val="00AD4445"/>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D977BC"/>
    <w:rPr>
      <w:rFonts w:ascii="Tahoma" w:hAnsi="Tahoma" w:cs="Tahoma"/>
      <w:sz w:val="16"/>
      <w:szCs w:val="16"/>
    </w:rPr>
  </w:style>
  <w:style w:type="character" w:customStyle="1" w:styleId="BalloonTextChar">
    <w:name w:val="Balloon Text Char"/>
    <w:basedOn w:val="DefaultParagraphFont"/>
    <w:link w:val="BalloonText"/>
    <w:uiPriority w:val="99"/>
    <w:semiHidden/>
    <w:rsid w:val="00D977BC"/>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A443C"/>
    <w:rPr>
      <w:sz w:val="16"/>
      <w:szCs w:val="16"/>
    </w:rPr>
  </w:style>
  <w:style w:type="paragraph" w:styleId="CommentText">
    <w:name w:val="annotation text"/>
    <w:basedOn w:val="Normal"/>
    <w:link w:val="CommentTextChar"/>
    <w:uiPriority w:val="99"/>
    <w:semiHidden/>
    <w:unhideWhenUsed/>
    <w:rsid w:val="001A443C"/>
    <w:rPr>
      <w:sz w:val="20"/>
      <w:szCs w:val="20"/>
    </w:rPr>
  </w:style>
  <w:style w:type="character" w:customStyle="1" w:styleId="CommentTextChar">
    <w:name w:val="Comment Text Char"/>
    <w:basedOn w:val="DefaultParagraphFont"/>
    <w:link w:val="CommentText"/>
    <w:uiPriority w:val="99"/>
    <w:semiHidden/>
    <w:rsid w:val="001A443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443C"/>
    <w:rPr>
      <w:b/>
      <w:bCs/>
    </w:rPr>
  </w:style>
  <w:style w:type="character" w:customStyle="1" w:styleId="CommentSubjectChar">
    <w:name w:val="Comment Subject Char"/>
    <w:basedOn w:val="CommentTextChar"/>
    <w:link w:val="CommentSubject"/>
    <w:uiPriority w:val="99"/>
    <w:semiHidden/>
    <w:rsid w:val="001A443C"/>
    <w:rPr>
      <w:rFonts w:ascii="Times New Roman" w:eastAsia="Times New Roman" w:hAnsi="Times New Roman" w:cs="Times New Roman"/>
      <w:b/>
      <w:bCs/>
      <w:sz w:val="20"/>
      <w:szCs w:val="20"/>
      <w:lang w:eastAsia="lv-LV"/>
    </w:rPr>
  </w:style>
  <w:style w:type="character" w:styleId="Strong">
    <w:name w:val="Strong"/>
    <w:basedOn w:val="DefaultParagraphFont"/>
    <w:qFormat/>
    <w:rsid w:val="00156547"/>
    <w:rPr>
      <w:b/>
      <w:bCs/>
    </w:rPr>
  </w:style>
  <w:style w:type="paragraph" w:customStyle="1" w:styleId="tv213">
    <w:name w:val="tv213"/>
    <w:basedOn w:val="Normal"/>
    <w:rsid w:val="00156547"/>
    <w:pPr>
      <w:spacing w:before="100" w:beforeAutospacing="1" w:after="100" w:afterAutospacing="1"/>
    </w:pPr>
  </w:style>
  <w:style w:type="paragraph" w:styleId="BodyText">
    <w:name w:val="Body Text"/>
    <w:basedOn w:val="Normal"/>
    <w:link w:val="BodyTextChar"/>
    <w:rsid w:val="00935FDE"/>
    <w:pPr>
      <w:jc w:val="both"/>
    </w:pPr>
    <w:rPr>
      <w:szCs w:val="20"/>
      <w:lang w:eastAsia="en-US"/>
    </w:rPr>
  </w:style>
  <w:style w:type="character" w:customStyle="1" w:styleId="BodyTextChar">
    <w:name w:val="Body Text Char"/>
    <w:basedOn w:val="DefaultParagraphFont"/>
    <w:link w:val="BodyText"/>
    <w:rsid w:val="00935FD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162523"/>
    <w:rPr>
      <w:rFonts w:asciiTheme="majorHAnsi" w:eastAsiaTheme="majorEastAsia" w:hAnsiTheme="majorHAnsi" w:cstheme="majorBidi"/>
      <w:color w:val="243F60" w:themeColor="accent1" w:themeShade="7F"/>
      <w:sz w:val="24"/>
      <w:szCs w:val="24"/>
      <w:lang w:eastAsia="lv-LV"/>
    </w:rPr>
  </w:style>
  <w:style w:type="paragraph" w:customStyle="1" w:styleId="tv2131">
    <w:name w:val="tv2131"/>
    <w:basedOn w:val="Normal"/>
    <w:rsid w:val="00BE640B"/>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59858" TargetMode="External"/><Relationship Id="rId13" Type="http://schemas.openxmlformats.org/officeDocument/2006/relationships/hyperlink" Target="mailto:Iveta.Girucka@sam.gov.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m.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15985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1695</Words>
  <Characters>11884</Characters>
  <Application>Microsoft Office Word</Application>
  <DocSecurity>0</DocSecurity>
  <Lines>330</Lines>
  <Paragraphs>199</Paragraphs>
  <ScaleCrop>false</ScaleCrop>
  <HeadingPairs>
    <vt:vector size="2" baseType="variant">
      <vt:variant>
        <vt:lpstr>Title</vt:lpstr>
      </vt:variant>
      <vt:variant>
        <vt:i4>1</vt:i4>
      </vt:variant>
    </vt:vector>
  </HeadingPairs>
  <TitlesOfParts>
    <vt:vector size="1" baseType="lpstr">
      <vt:lpstr>Grozījumi Ministru kabineta 2012.gada 28.augusta noteikumos Nr.599 “Sabiedriskā transporta pakalpojumu sniegšanas un izmantošanas kārtība”</vt:lpstr>
    </vt:vector>
  </TitlesOfParts>
  <Manager>ATD</Manager>
  <Company>Satiksmes ministrija</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28.augusta noteikumos Nr.599 “Sabiedriskā transporta pakalpojumu sniegšanas un izmantošanas kārtība”</dc:title>
  <dc:subject>Anotācija</dc:subject>
  <dc:creator>Vizma Ļeonova</dc:creator>
  <dc:description>vizma.leonova@atd.lv_x000d_
67686488</dc:description>
  <cp:lastModifiedBy>Iveta Girucka</cp:lastModifiedBy>
  <cp:revision>14</cp:revision>
  <cp:lastPrinted>2016-01-14T14:30:00Z</cp:lastPrinted>
  <dcterms:created xsi:type="dcterms:W3CDTF">2015-12-17T13:28:00Z</dcterms:created>
  <dcterms:modified xsi:type="dcterms:W3CDTF">2016-01-14T15:00:00Z</dcterms:modified>
</cp:coreProperties>
</file>