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C5" w:rsidRDefault="004C5BC5" w:rsidP="004758E7">
      <w:pPr>
        <w:spacing w:after="0" w:line="240" w:lineRule="auto"/>
        <w:jc w:val="center"/>
        <w:rPr>
          <w:rFonts w:ascii="Times New Roman" w:eastAsia="Times New Roman" w:hAnsi="Times New Roman" w:cs="Times New Roman"/>
          <w:b/>
          <w:bCs/>
          <w:sz w:val="27"/>
          <w:szCs w:val="27"/>
          <w:lang w:eastAsia="lv-LV"/>
        </w:rPr>
      </w:pPr>
      <w:bookmarkStart w:id="0" w:name="468683"/>
      <w:bookmarkEnd w:id="0"/>
    </w:p>
    <w:p w:rsidR="004758E7" w:rsidRPr="00724057" w:rsidRDefault="00B75380" w:rsidP="004758E7">
      <w:pPr>
        <w:spacing w:after="0" w:line="240" w:lineRule="auto"/>
        <w:jc w:val="center"/>
        <w:rPr>
          <w:rFonts w:ascii="Times New Roman" w:eastAsia="Times New Roman" w:hAnsi="Times New Roman" w:cs="Times New Roman"/>
          <w:b/>
          <w:bCs/>
          <w:sz w:val="27"/>
          <w:szCs w:val="27"/>
          <w:lang w:eastAsia="lv-LV"/>
        </w:rPr>
      </w:pPr>
      <w:r w:rsidRPr="00724057">
        <w:rPr>
          <w:rFonts w:ascii="Times New Roman" w:eastAsia="Times New Roman" w:hAnsi="Times New Roman" w:cs="Times New Roman"/>
          <w:b/>
          <w:bCs/>
          <w:sz w:val="27"/>
          <w:szCs w:val="27"/>
          <w:lang w:eastAsia="lv-LV"/>
        </w:rPr>
        <w:t>Ministru kabineta noteikumu projekta “</w:t>
      </w:r>
      <w:r w:rsidR="002838EA">
        <w:rPr>
          <w:rFonts w:ascii="Times New Roman" w:eastAsia="Times New Roman" w:hAnsi="Times New Roman" w:cs="Times New Roman"/>
          <w:b/>
          <w:bCs/>
          <w:sz w:val="27"/>
          <w:szCs w:val="27"/>
          <w:lang w:eastAsia="lv-LV"/>
        </w:rPr>
        <w:t>R</w:t>
      </w:r>
      <w:r w:rsidRPr="00724057">
        <w:rPr>
          <w:rFonts w:ascii="Times New Roman" w:eastAsia="Times New Roman" w:hAnsi="Times New Roman" w:cs="Times New Roman"/>
          <w:b/>
          <w:bCs/>
          <w:sz w:val="27"/>
          <w:szCs w:val="27"/>
          <w:lang w:eastAsia="lv-LV"/>
        </w:rPr>
        <w:t>ūpniecisko av</w:t>
      </w:r>
      <w:r w:rsidR="002838EA">
        <w:rPr>
          <w:rFonts w:ascii="Times New Roman" w:eastAsia="Times New Roman" w:hAnsi="Times New Roman" w:cs="Times New Roman"/>
          <w:b/>
          <w:bCs/>
          <w:sz w:val="27"/>
          <w:szCs w:val="27"/>
          <w:lang w:eastAsia="lv-LV"/>
        </w:rPr>
        <w:t>āriju riska novērtēšanas kārtība</w:t>
      </w:r>
      <w:r w:rsidRPr="00724057">
        <w:rPr>
          <w:rFonts w:ascii="Times New Roman" w:eastAsia="Times New Roman" w:hAnsi="Times New Roman" w:cs="Times New Roman"/>
          <w:b/>
          <w:bCs/>
          <w:sz w:val="27"/>
          <w:szCs w:val="27"/>
          <w:lang w:eastAsia="lv-LV"/>
        </w:rPr>
        <w:t xml:space="preserve"> u</w:t>
      </w:r>
      <w:r w:rsidR="002838EA">
        <w:rPr>
          <w:rFonts w:ascii="Times New Roman" w:eastAsia="Times New Roman" w:hAnsi="Times New Roman" w:cs="Times New Roman"/>
          <w:b/>
          <w:bCs/>
          <w:sz w:val="27"/>
          <w:szCs w:val="27"/>
          <w:lang w:eastAsia="lv-LV"/>
        </w:rPr>
        <w:t>n riska samazināšanas pasākumi</w:t>
      </w:r>
      <w:r w:rsidRPr="00724057">
        <w:rPr>
          <w:rFonts w:ascii="Times New Roman" w:eastAsia="Times New Roman" w:hAnsi="Times New Roman" w:cs="Times New Roman"/>
          <w:b/>
          <w:bCs/>
          <w:sz w:val="27"/>
          <w:szCs w:val="27"/>
          <w:lang w:eastAsia="lv-LV"/>
        </w:rPr>
        <w:t xml:space="preserve">” </w:t>
      </w:r>
      <w:r w:rsidR="004758E7" w:rsidRPr="00724057">
        <w:rPr>
          <w:rFonts w:ascii="Times New Roman" w:eastAsia="Times New Roman" w:hAnsi="Times New Roman" w:cs="Times New Roman"/>
          <w:b/>
          <w:bCs/>
          <w:sz w:val="27"/>
          <w:szCs w:val="27"/>
          <w:lang w:eastAsia="lv-LV"/>
        </w:rPr>
        <w:t>sākotnējās ietekmes novērtējuma ziņojums (anotācija)</w:t>
      </w:r>
    </w:p>
    <w:p w:rsidR="004758E7" w:rsidRPr="00724057" w:rsidRDefault="004758E7" w:rsidP="004758E7">
      <w:pPr>
        <w:spacing w:before="45" w:after="0" w:line="360" w:lineRule="auto"/>
        <w:ind w:firstLine="300"/>
        <w:jc w:val="center"/>
        <w:rPr>
          <w:rFonts w:ascii="Times New Roman" w:eastAsia="Times New Roman" w:hAnsi="Times New Roman" w:cs="Times New Roman"/>
          <w:i/>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2283"/>
        <w:gridCol w:w="6343"/>
      </w:tblGrid>
      <w:tr w:rsidR="00724057" w:rsidRPr="00724057" w:rsidTr="004758E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 Tiesību akta projekta izstrādes nepieciešamība</w:t>
            </w:r>
          </w:p>
        </w:tc>
      </w:tr>
      <w:tr w:rsidR="00724057" w:rsidRPr="00724057" w:rsidTr="004C5BC5">
        <w:trPr>
          <w:trHeight w:val="40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RDefault="004758E7" w:rsidP="0034447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34447A">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rsidR="00BC7CCD" w:rsidRPr="001513B7" w:rsidRDefault="00175653" w:rsidP="002838EA">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Ministru kabineta noteikumu projekts “</w:t>
            </w:r>
            <w:r w:rsidR="002838EA">
              <w:rPr>
                <w:rFonts w:ascii="Times New Roman" w:eastAsia="Times New Roman" w:hAnsi="Times New Roman" w:cs="Times New Roman"/>
                <w:sz w:val="24"/>
                <w:szCs w:val="24"/>
                <w:lang w:eastAsia="lv-LV"/>
              </w:rPr>
              <w:t>R</w:t>
            </w:r>
            <w:r w:rsidRPr="001513B7">
              <w:rPr>
                <w:rFonts w:ascii="Times New Roman" w:eastAsia="Times New Roman" w:hAnsi="Times New Roman" w:cs="Times New Roman"/>
                <w:sz w:val="24"/>
                <w:szCs w:val="24"/>
                <w:lang w:eastAsia="lv-LV"/>
              </w:rPr>
              <w:t>ūpniecisko av</w:t>
            </w:r>
            <w:r w:rsidR="002838EA">
              <w:rPr>
                <w:rFonts w:ascii="Times New Roman" w:eastAsia="Times New Roman" w:hAnsi="Times New Roman" w:cs="Times New Roman"/>
                <w:sz w:val="24"/>
                <w:szCs w:val="24"/>
                <w:lang w:eastAsia="lv-LV"/>
              </w:rPr>
              <w:t>āriju riska novērtēšanas kārtība</w:t>
            </w:r>
            <w:r w:rsidRPr="001513B7">
              <w:rPr>
                <w:rFonts w:ascii="Times New Roman" w:eastAsia="Times New Roman" w:hAnsi="Times New Roman" w:cs="Times New Roman"/>
                <w:sz w:val="24"/>
                <w:szCs w:val="24"/>
                <w:lang w:eastAsia="lv-LV"/>
              </w:rPr>
              <w:t xml:space="preserve"> u</w:t>
            </w:r>
            <w:r w:rsidR="002838EA">
              <w:rPr>
                <w:rFonts w:ascii="Times New Roman" w:eastAsia="Times New Roman" w:hAnsi="Times New Roman" w:cs="Times New Roman"/>
                <w:sz w:val="24"/>
                <w:szCs w:val="24"/>
                <w:lang w:eastAsia="lv-LV"/>
              </w:rPr>
              <w:t>n riska samazināšanas pasākumi</w:t>
            </w:r>
            <w:r w:rsidRPr="001513B7">
              <w:rPr>
                <w:rFonts w:ascii="Times New Roman" w:eastAsia="Times New Roman" w:hAnsi="Times New Roman" w:cs="Times New Roman"/>
                <w:sz w:val="24"/>
                <w:szCs w:val="24"/>
                <w:lang w:eastAsia="lv-LV"/>
              </w:rPr>
              <w:t>”</w:t>
            </w:r>
            <w:r w:rsidRPr="001513B7">
              <w:rPr>
                <w:rFonts w:ascii="Times New Roman" w:eastAsia="Times New Roman" w:hAnsi="Times New Roman" w:cs="Times New Roman"/>
                <w:b/>
                <w:bCs/>
                <w:sz w:val="24"/>
                <w:szCs w:val="24"/>
                <w:lang w:eastAsia="lv-LV"/>
              </w:rPr>
              <w:t xml:space="preserve"> </w:t>
            </w:r>
            <w:r w:rsidR="002838EA">
              <w:rPr>
                <w:rFonts w:ascii="Times New Roman" w:eastAsia="Times New Roman" w:hAnsi="Times New Roman" w:cs="Times New Roman"/>
                <w:sz w:val="24"/>
                <w:szCs w:val="24"/>
                <w:lang w:eastAsia="lv-LV"/>
              </w:rPr>
              <w:t>(turpmāk </w:t>
            </w:r>
            <w:r w:rsidRPr="001513B7">
              <w:rPr>
                <w:rFonts w:ascii="Times New Roman" w:eastAsia="Times New Roman" w:hAnsi="Times New Roman" w:cs="Times New Roman"/>
                <w:sz w:val="24"/>
                <w:szCs w:val="24"/>
                <w:lang w:eastAsia="lv-LV"/>
              </w:rPr>
              <w:t>– noteikumu p</w:t>
            </w:r>
            <w:r w:rsidR="00BC7CCD" w:rsidRPr="001513B7">
              <w:rPr>
                <w:rFonts w:ascii="Times New Roman" w:eastAsia="Times New Roman" w:hAnsi="Times New Roman" w:cs="Times New Roman"/>
                <w:sz w:val="24"/>
                <w:szCs w:val="24"/>
                <w:lang w:eastAsia="lv-LV"/>
              </w:rPr>
              <w:t xml:space="preserve">rojekts) izstrādāts, lai nodrošinātu </w:t>
            </w:r>
            <w:r w:rsidR="004758E7" w:rsidRPr="001513B7">
              <w:rPr>
                <w:rFonts w:ascii="Times New Roman" w:eastAsia="Times New Roman" w:hAnsi="Times New Roman" w:cs="Times New Roman"/>
                <w:sz w:val="24"/>
                <w:szCs w:val="24"/>
                <w:lang w:eastAsia="lv-LV"/>
              </w:rPr>
              <w:t xml:space="preserve">Eiropas Parlamenta un Padomes 2012.gada 4.jūlija </w:t>
            </w:r>
            <w:r w:rsidR="00912CB0" w:rsidRPr="001513B7">
              <w:rPr>
                <w:rFonts w:ascii="Times New Roman" w:eastAsia="Times New Roman" w:hAnsi="Times New Roman" w:cs="Times New Roman"/>
                <w:sz w:val="24"/>
                <w:szCs w:val="24"/>
                <w:lang w:eastAsia="lv-LV"/>
              </w:rPr>
              <w:t>d</w:t>
            </w:r>
            <w:r w:rsidR="00BC7CCD" w:rsidRPr="001513B7">
              <w:rPr>
                <w:rFonts w:ascii="Times New Roman" w:eastAsia="Times New Roman" w:hAnsi="Times New Roman" w:cs="Times New Roman"/>
                <w:sz w:val="24"/>
                <w:szCs w:val="24"/>
                <w:lang w:eastAsia="lv-LV"/>
              </w:rPr>
              <w:t>irektīvas</w:t>
            </w:r>
            <w:r w:rsidR="004758E7" w:rsidRPr="001513B7">
              <w:rPr>
                <w:rFonts w:ascii="Times New Roman" w:eastAsia="Times New Roman" w:hAnsi="Times New Roman" w:cs="Times New Roman"/>
                <w:sz w:val="24"/>
                <w:szCs w:val="24"/>
                <w:lang w:eastAsia="lv-LV"/>
              </w:rPr>
              <w:t xml:space="preserve"> 2012/18/ES par lielu ar bīstamām vielām saistītu avāriju risku pārvaldību, ar kuru groza un vēlāk atceļ padomes </w:t>
            </w:r>
            <w:r w:rsidR="00912CB0" w:rsidRPr="001513B7">
              <w:rPr>
                <w:rFonts w:ascii="Times New Roman" w:eastAsia="Times New Roman" w:hAnsi="Times New Roman" w:cs="Times New Roman"/>
                <w:sz w:val="24"/>
                <w:szCs w:val="24"/>
                <w:lang w:eastAsia="lv-LV"/>
              </w:rPr>
              <w:t>Direktīvu</w:t>
            </w:r>
            <w:r w:rsidR="004758E7" w:rsidRPr="001513B7">
              <w:rPr>
                <w:rFonts w:ascii="Times New Roman" w:eastAsia="Times New Roman" w:hAnsi="Times New Roman" w:cs="Times New Roman"/>
                <w:sz w:val="24"/>
                <w:szCs w:val="24"/>
                <w:lang w:eastAsia="lv-LV"/>
              </w:rPr>
              <w:t xml:space="preserve"> 96/82/EK</w:t>
            </w:r>
            <w:r w:rsidR="001347CA" w:rsidRPr="001513B7">
              <w:rPr>
                <w:rFonts w:ascii="Times New Roman" w:eastAsia="Times New Roman" w:hAnsi="Times New Roman" w:cs="Times New Roman"/>
                <w:sz w:val="24"/>
                <w:szCs w:val="24"/>
                <w:lang w:eastAsia="lv-LV"/>
              </w:rPr>
              <w:t xml:space="preserve"> (turpmāk – direktīva 2012/18/ES)</w:t>
            </w:r>
            <w:r w:rsidR="00BC7CCD" w:rsidRPr="001513B7">
              <w:rPr>
                <w:rFonts w:ascii="Times New Roman" w:eastAsia="Times New Roman" w:hAnsi="Times New Roman" w:cs="Times New Roman"/>
                <w:sz w:val="24"/>
                <w:szCs w:val="24"/>
                <w:lang w:eastAsia="lv-LV"/>
              </w:rPr>
              <w:t xml:space="preserve"> pārņemšanu Latvijas nacionālajā tiesību sistēmā</w:t>
            </w:r>
            <w:r w:rsidR="001347CA" w:rsidRPr="001513B7">
              <w:rPr>
                <w:rFonts w:ascii="Times New Roman" w:eastAsia="Times New Roman" w:hAnsi="Times New Roman" w:cs="Times New Roman"/>
                <w:sz w:val="24"/>
                <w:szCs w:val="24"/>
                <w:lang w:eastAsia="lv-LV"/>
              </w:rPr>
              <w:t>.</w:t>
            </w:r>
          </w:p>
        </w:tc>
      </w:tr>
      <w:tr w:rsidR="00724057" w:rsidRPr="00724057" w:rsidTr="004C5BC5">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RDefault="004758E7" w:rsidP="0034447A">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sidR="0034447A">
              <w:rPr>
                <w:rFonts w:ascii="Times New Roman" w:eastAsia="Times New Roman" w:hAnsi="Times New Roman" w:cs="Times New Roman"/>
                <w:sz w:val="24"/>
                <w:szCs w:val="24"/>
                <w:lang w:eastAsia="lv-LV"/>
              </w:rPr>
              <w:t>.</w:t>
            </w:r>
          </w:p>
        </w:tc>
        <w:tc>
          <w:tcPr>
            <w:tcW w:w="1221" w:type="pct"/>
            <w:tcBorders>
              <w:top w:val="outset" w:sz="6" w:space="0" w:color="auto"/>
              <w:left w:val="outset" w:sz="6" w:space="0" w:color="auto"/>
              <w:bottom w:val="outset" w:sz="6" w:space="0" w:color="auto"/>
              <w:right w:val="outset" w:sz="6" w:space="0" w:color="auto"/>
            </w:tcBorders>
            <w:hideMark/>
          </w:tcPr>
          <w:p w:rsidR="004758E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02228" w:rsidRPr="001513B7" w:rsidRDefault="00602228" w:rsidP="004758E7">
            <w:pPr>
              <w:spacing w:after="0" w:line="240" w:lineRule="auto"/>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rsidR="00EA4898" w:rsidRPr="00EA4898" w:rsidRDefault="00EA4898"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Iepriekš spēkā esošā </w:t>
            </w:r>
            <w:r w:rsidR="00B2739E">
              <w:rPr>
                <w:rFonts w:ascii="Times New Roman" w:eastAsia="Times New Roman" w:hAnsi="Times New Roman" w:cs="Times New Roman"/>
                <w:sz w:val="24"/>
                <w:szCs w:val="24"/>
                <w:lang w:eastAsia="lv-LV"/>
              </w:rPr>
              <w:t xml:space="preserve">Padomes </w:t>
            </w:r>
            <w:r>
              <w:rPr>
                <w:rFonts w:ascii="Times New Roman" w:eastAsia="Times New Roman" w:hAnsi="Times New Roman" w:cs="Times New Roman"/>
                <w:sz w:val="24"/>
                <w:szCs w:val="24"/>
                <w:lang w:eastAsia="lv-LV"/>
              </w:rPr>
              <w:t xml:space="preserve">Direktīva 96/82/EK </w:t>
            </w:r>
            <w:r w:rsidR="00B2739E">
              <w:rPr>
                <w:rFonts w:ascii="Times New Roman" w:eastAsia="Times New Roman" w:hAnsi="Times New Roman" w:cs="Times New Roman"/>
                <w:sz w:val="24"/>
                <w:szCs w:val="24"/>
                <w:lang w:eastAsia="lv-LV"/>
              </w:rPr>
              <w:t>par tādu smagu nelaimes gadījumu briesmu pārzināšanu, kuros iesaistītas bīstamas vielas</w:t>
            </w:r>
            <w:r w:rsidR="004949A8">
              <w:rPr>
                <w:rFonts w:ascii="Times New Roman" w:eastAsia="Times New Roman" w:hAnsi="Times New Roman" w:cs="Times New Roman"/>
                <w:sz w:val="24"/>
                <w:szCs w:val="24"/>
                <w:lang w:eastAsia="lv-LV"/>
              </w:rPr>
              <w:t>,</w:t>
            </w:r>
            <w:r w:rsidR="00B273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pārstrādāta, jo</w:t>
            </w:r>
            <w:r w:rsidR="00B2739E">
              <w:rPr>
                <w:rFonts w:ascii="Times New Roman" w:eastAsia="Times New Roman" w:hAnsi="Times New Roman" w:cs="Times New Roman"/>
                <w:sz w:val="24"/>
                <w:szCs w:val="24"/>
                <w:lang w:eastAsia="lv-LV"/>
              </w:rPr>
              <w:t xml:space="preserve"> bija nepieciešams pielāgot ķīmisko vielu un maisījumu klasifikāciju jaunajai sistēmai, kas noteikta</w:t>
            </w:r>
            <w:r>
              <w:rPr>
                <w:rFonts w:ascii="Times New Roman" w:eastAsia="Times New Roman" w:hAnsi="Times New Roman" w:cs="Times New Roman"/>
                <w:sz w:val="24"/>
                <w:szCs w:val="24"/>
                <w:lang w:eastAsia="lv-LV"/>
              </w:rPr>
              <w:t xml:space="preserve"> Eiropas Parlamenta un Padomes 2008.gada 16.decembra Regul</w:t>
            </w:r>
            <w:r w:rsidR="00B2739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Nr.1272/2008 </w:t>
            </w:r>
            <w:r w:rsidRPr="00EA4898">
              <w:rPr>
                <w:rFonts w:ascii="Times New Roman" w:eastAsia="Times New Roman" w:hAnsi="Times New Roman" w:cs="Times New Roman"/>
                <w:sz w:val="24"/>
                <w:szCs w:val="24"/>
                <w:lang w:eastAsia="lv-LV"/>
              </w:rPr>
              <w:t>par vielu un maisījumu klasificēšanu, marķēšanu un iepakošanu un ar ko groza un atceļ Direktīvas 67/548/EEC un 1999/45/EC un groza Regulu Nr.1907/2006.</w:t>
            </w:r>
          </w:p>
          <w:p w:rsidR="004758E7" w:rsidRPr="001513B7" w:rsidRDefault="001347CA" w:rsidP="00611715">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Šobrīd spēkā</w:t>
            </w:r>
            <w:r w:rsidR="00E60E14" w:rsidRPr="001513B7">
              <w:rPr>
                <w:rFonts w:ascii="Times New Roman" w:eastAsia="Times New Roman" w:hAnsi="Times New Roman" w:cs="Times New Roman"/>
                <w:sz w:val="24"/>
                <w:szCs w:val="24"/>
                <w:lang w:eastAsia="lv-LV"/>
              </w:rPr>
              <w:t xml:space="preserve"> ir </w:t>
            </w:r>
            <w:r w:rsidR="00C22F8D" w:rsidRPr="001513B7">
              <w:rPr>
                <w:rFonts w:ascii="Times New Roman" w:eastAsia="Times New Roman" w:hAnsi="Times New Roman" w:cs="Times New Roman"/>
                <w:sz w:val="24"/>
                <w:szCs w:val="24"/>
                <w:lang w:eastAsia="lv-LV"/>
              </w:rPr>
              <w:t>Ministru kabineta 2005.gada 19.jūlija noteikumi Nr.532 “Noteikumi par rūpniecisko avāriju riska novērtēšanas kārtību un riska samazināšanas pasākumiem” (turpmāk – MK noteikumi Nr.532)</w:t>
            </w:r>
            <w:r w:rsidRPr="001513B7">
              <w:rPr>
                <w:rFonts w:ascii="Times New Roman" w:eastAsia="Times New Roman" w:hAnsi="Times New Roman" w:cs="Times New Roman"/>
                <w:sz w:val="24"/>
                <w:szCs w:val="24"/>
                <w:lang w:eastAsia="lv-LV"/>
              </w:rPr>
              <w:t xml:space="preserve">. </w:t>
            </w:r>
            <w:r w:rsidR="00175653" w:rsidRPr="001513B7">
              <w:rPr>
                <w:rFonts w:ascii="Times New Roman" w:eastAsia="Times New Roman" w:hAnsi="Times New Roman" w:cs="Times New Roman"/>
                <w:sz w:val="24"/>
                <w:szCs w:val="24"/>
                <w:lang w:eastAsia="lv-LV"/>
              </w:rPr>
              <w:t>Izstrādātais noteikumu projekts aizstās MK noteikumus Nr.532.</w:t>
            </w:r>
            <w:r w:rsidR="00125677">
              <w:rPr>
                <w:rFonts w:ascii="Times New Roman" w:eastAsia="Times New Roman" w:hAnsi="Times New Roman" w:cs="Times New Roman"/>
                <w:sz w:val="24"/>
                <w:szCs w:val="24"/>
                <w:lang w:eastAsia="lv-LV"/>
              </w:rPr>
              <w:t xml:space="preserve"> </w:t>
            </w:r>
          </w:p>
          <w:p w:rsidR="005B6ACF" w:rsidRPr="001513B7" w:rsidRDefault="005B6ACF" w:rsidP="0053137B">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Noteikumu projekts nosaka ar bīstamajām ķīmiskajām vielām un bīstamajiem maisījumiem saistīto rūpniecisko avāriju riska novērtēšanas kārtību un riska samazināšanas pasākumus. </w:t>
            </w:r>
          </w:p>
          <w:p w:rsidR="005B6ACF" w:rsidRDefault="005B6ACF" w:rsidP="0053137B">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Noteikumu projekta mērķis ir novērst rūpnieciskās avārijas, kurās iesaistītas bīstamas vielas, kā arī mazināt notikušu avāriju seku nevēlamo ietekmi. </w:t>
            </w:r>
          </w:p>
          <w:p w:rsidR="00C25009" w:rsidRPr="00C25009" w:rsidRDefault="00C25009" w:rsidP="0053137B">
            <w:pPr>
              <w:spacing w:after="120" w:line="240" w:lineRule="auto"/>
              <w:jc w:val="both"/>
              <w:rPr>
                <w:rFonts w:ascii="Times New Roman" w:eastAsia="Times New Roman" w:hAnsi="Times New Roman" w:cs="Times New Roman"/>
                <w:sz w:val="24"/>
                <w:szCs w:val="24"/>
                <w:lang w:eastAsia="lv-LV"/>
              </w:rPr>
            </w:pPr>
            <w:r w:rsidRPr="00C25009">
              <w:rPr>
                <w:rFonts w:ascii="Times New Roman" w:eastAsia="Times New Roman" w:hAnsi="Times New Roman" w:cs="Times New Roman"/>
                <w:sz w:val="24"/>
                <w:szCs w:val="24"/>
                <w:lang w:eastAsia="lv-LV"/>
              </w:rPr>
              <w:t>Noteikumu projekts attiecas uz objektiem</w:t>
            </w:r>
            <w:r w:rsidR="006B4295">
              <w:rPr>
                <w:rFonts w:ascii="Times New Roman" w:eastAsia="Times New Roman" w:hAnsi="Times New Roman" w:cs="Times New Roman"/>
                <w:sz w:val="24"/>
                <w:szCs w:val="24"/>
                <w:lang w:eastAsia="lv-LV"/>
              </w:rPr>
              <w:t xml:space="preserve"> un ie</w:t>
            </w:r>
            <w:r w:rsidR="006F7C08">
              <w:rPr>
                <w:rFonts w:ascii="Times New Roman" w:eastAsia="Times New Roman" w:hAnsi="Times New Roman" w:cs="Times New Roman"/>
                <w:sz w:val="24"/>
                <w:szCs w:val="24"/>
                <w:lang w:eastAsia="lv-LV"/>
              </w:rPr>
              <w:t>k</w:t>
            </w:r>
            <w:r w:rsidR="006B4295">
              <w:rPr>
                <w:rFonts w:ascii="Times New Roman" w:eastAsia="Times New Roman" w:hAnsi="Times New Roman" w:cs="Times New Roman"/>
                <w:sz w:val="24"/>
                <w:szCs w:val="24"/>
                <w:lang w:eastAsia="lv-LV"/>
              </w:rPr>
              <w:t>ārtām, ja tajā</w:t>
            </w:r>
            <w:r w:rsidRPr="00C25009">
              <w:rPr>
                <w:rFonts w:ascii="Times New Roman" w:eastAsia="Times New Roman" w:hAnsi="Times New Roman" w:cs="Times New Roman"/>
                <w:sz w:val="24"/>
                <w:szCs w:val="24"/>
                <w:lang w:eastAsia="lv-LV"/>
              </w:rPr>
              <w:t xml:space="preserve">s </w:t>
            </w:r>
            <w:r w:rsidR="00F840A3">
              <w:rPr>
                <w:rFonts w:ascii="Times New Roman" w:eastAsia="Times New Roman" w:hAnsi="Times New Roman" w:cs="Times New Roman"/>
                <w:sz w:val="24"/>
                <w:szCs w:val="24"/>
                <w:lang w:eastAsia="lv-LV"/>
              </w:rPr>
              <w:t>veic</w:t>
            </w:r>
            <w:r w:rsidRPr="00C25009">
              <w:rPr>
                <w:rFonts w:ascii="Times New Roman" w:eastAsia="Times New Roman" w:hAnsi="Times New Roman" w:cs="Times New Roman"/>
                <w:sz w:val="24"/>
                <w:szCs w:val="24"/>
                <w:lang w:eastAsia="lv-LV"/>
              </w:rPr>
              <w:t xml:space="preserve"> darbības ar bīstamām ķīmiskām vielām un maisījumiem daudzumos</w:t>
            </w:r>
            <w:r w:rsidR="00F840A3">
              <w:rPr>
                <w:rFonts w:ascii="Times New Roman" w:eastAsia="Times New Roman" w:hAnsi="Times New Roman" w:cs="Times New Roman"/>
                <w:sz w:val="24"/>
                <w:szCs w:val="24"/>
                <w:lang w:eastAsia="lv-LV"/>
              </w:rPr>
              <w:t>, kas noteikti 1.pielikumā</w:t>
            </w:r>
            <w:r w:rsidRPr="00C25009">
              <w:rPr>
                <w:rFonts w:ascii="Times New Roman" w:eastAsia="Times New Roman" w:hAnsi="Times New Roman" w:cs="Times New Roman"/>
                <w:sz w:val="24"/>
                <w:szCs w:val="24"/>
                <w:lang w:eastAsia="lv-LV"/>
              </w:rPr>
              <w:t xml:space="preserve"> vai tie pieder pie </w:t>
            </w:r>
            <w:r w:rsidR="00F840A3">
              <w:rPr>
                <w:rFonts w:ascii="Times New Roman" w:eastAsia="Times New Roman" w:hAnsi="Times New Roman" w:cs="Times New Roman"/>
                <w:sz w:val="24"/>
                <w:szCs w:val="24"/>
                <w:lang w:eastAsia="lv-LV"/>
              </w:rPr>
              <w:t>1.pielikumā norādītajām</w:t>
            </w:r>
            <w:r w:rsidRPr="00C25009">
              <w:rPr>
                <w:rFonts w:ascii="Times New Roman" w:eastAsia="Times New Roman" w:hAnsi="Times New Roman" w:cs="Times New Roman"/>
                <w:sz w:val="24"/>
                <w:szCs w:val="24"/>
                <w:lang w:eastAsia="lv-LV"/>
              </w:rPr>
              <w:t xml:space="preserve"> bīstamības kategorijām.</w:t>
            </w:r>
          </w:p>
          <w:p w:rsidR="00C25009" w:rsidRDefault="006B4295" w:rsidP="0053137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Objektus</w:t>
            </w:r>
            <w:r w:rsidR="002465BA">
              <w:rPr>
                <w:rFonts w:ascii="Times New Roman" w:eastAsia="Times New Roman" w:hAnsi="Times New Roman" w:cs="Times New Roman"/>
                <w:sz w:val="24"/>
                <w:szCs w:val="24"/>
                <w:lang w:eastAsia="lv-LV"/>
              </w:rPr>
              <w:t xml:space="preserve"> iedala – zemāka riska</w:t>
            </w:r>
            <w:r w:rsidR="00C25009" w:rsidRPr="00C25009">
              <w:rPr>
                <w:rFonts w:ascii="Times New Roman" w:eastAsia="Times New Roman" w:hAnsi="Times New Roman" w:cs="Times New Roman"/>
                <w:sz w:val="24"/>
                <w:szCs w:val="24"/>
                <w:lang w:eastAsia="lv-LV"/>
              </w:rPr>
              <w:t xml:space="preserve"> līmeņa un augstāka </w:t>
            </w:r>
            <w:r w:rsidR="002465BA">
              <w:rPr>
                <w:rFonts w:ascii="Times New Roman" w:eastAsia="Times New Roman" w:hAnsi="Times New Roman" w:cs="Times New Roman"/>
                <w:sz w:val="24"/>
                <w:szCs w:val="24"/>
                <w:lang w:eastAsia="lv-LV"/>
              </w:rPr>
              <w:t xml:space="preserve">riska </w:t>
            </w:r>
            <w:r w:rsidR="00C25009" w:rsidRPr="00C25009">
              <w:rPr>
                <w:rFonts w:ascii="Times New Roman" w:eastAsia="Times New Roman" w:hAnsi="Times New Roman" w:cs="Times New Roman"/>
                <w:sz w:val="24"/>
                <w:szCs w:val="24"/>
                <w:lang w:eastAsia="lv-LV"/>
              </w:rPr>
              <w:t>līmeņa. Zemāk</w:t>
            </w:r>
            <w:r w:rsidR="002465BA">
              <w:rPr>
                <w:rFonts w:ascii="Times New Roman" w:eastAsia="Times New Roman" w:hAnsi="Times New Roman" w:cs="Times New Roman"/>
                <w:sz w:val="24"/>
                <w:szCs w:val="24"/>
                <w:lang w:eastAsia="lv-LV"/>
              </w:rPr>
              <w:t>a</w:t>
            </w:r>
            <w:r w:rsidR="00C25009" w:rsidRPr="00C25009">
              <w:rPr>
                <w:rFonts w:ascii="Times New Roman" w:eastAsia="Times New Roman" w:hAnsi="Times New Roman" w:cs="Times New Roman"/>
                <w:sz w:val="24"/>
                <w:szCs w:val="24"/>
                <w:lang w:eastAsia="lv-LV"/>
              </w:rPr>
              <w:t xml:space="preserve"> </w:t>
            </w:r>
            <w:r w:rsidR="002465BA">
              <w:rPr>
                <w:rFonts w:ascii="Times New Roman" w:eastAsia="Times New Roman" w:hAnsi="Times New Roman" w:cs="Times New Roman"/>
                <w:sz w:val="24"/>
                <w:szCs w:val="24"/>
                <w:lang w:eastAsia="lv-LV"/>
              </w:rPr>
              <w:t xml:space="preserve">riska </w:t>
            </w:r>
            <w:r w:rsidR="00C25009" w:rsidRPr="00C25009">
              <w:rPr>
                <w:rFonts w:ascii="Times New Roman" w:eastAsia="Times New Roman" w:hAnsi="Times New Roman" w:cs="Times New Roman"/>
                <w:sz w:val="24"/>
                <w:szCs w:val="24"/>
                <w:lang w:eastAsia="lv-LV"/>
              </w:rPr>
              <w:t xml:space="preserve">līmeņa </w:t>
            </w:r>
            <w:r>
              <w:rPr>
                <w:rFonts w:ascii="Times New Roman" w:eastAsia="Times New Roman" w:hAnsi="Times New Roman" w:cs="Times New Roman"/>
                <w:sz w:val="24"/>
                <w:szCs w:val="24"/>
                <w:lang w:eastAsia="lv-LV"/>
              </w:rPr>
              <w:t>objektam</w:t>
            </w:r>
            <w:r w:rsidR="00C25009" w:rsidRPr="00C25009">
              <w:rPr>
                <w:rFonts w:ascii="Times New Roman" w:eastAsia="Times New Roman" w:hAnsi="Times New Roman" w:cs="Times New Roman"/>
                <w:sz w:val="24"/>
                <w:szCs w:val="24"/>
                <w:lang w:eastAsia="lv-LV"/>
              </w:rPr>
              <w:t xml:space="preserve"> ir jāizstrādā rūpniecisko avāriju novēršanas programma, savukārt augstāk</w:t>
            </w:r>
            <w:r w:rsidR="002465BA">
              <w:rPr>
                <w:rFonts w:ascii="Times New Roman" w:eastAsia="Times New Roman" w:hAnsi="Times New Roman" w:cs="Times New Roman"/>
                <w:sz w:val="24"/>
                <w:szCs w:val="24"/>
                <w:lang w:eastAsia="lv-LV"/>
              </w:rPr>
              <w:t>a riska</w:t>
            </w:r>
            <w:r w:rsidR="00C25009" w:rsidRPr="00C25009">
              <w:rPr>
                <w:rFonts w:ascii="Times New Roman" w:eastAsia="Times New Roman" w:hAnsi="Times New Roman" w:cs="Times New Roman"/>
                <w:sz w:val="24"/>
                <w:szCs w:val="24"/>
                <w:lang w:eastAsia="lv-LV"/>
              </w:rPr>
              <w:t xml:space="preserve"> līmeņa </w:t>
            </w:r>
            <w:r>
              <w:rPr>
                <w:rFonts w:ascii="Times New Roman" w:eastAsia="Times New Roman" w:hAnsi="Times New Roman" w:cs="Times New Roman"/>
                <w:sz w:val="24"/>
                <w:szCs w:val="24"/>
                <w:lang w:eastAsia="lv-LV"/>
              </w:rPr>
              <w:t>objektam</w:t>
            </w:r>
            <w:r w:rsidR="00C25009" w:rsidRPr="00C25009">
              <w:rPr>
                <w:rFonts w:ascii="Times New Roman" w:eastAsia="Times New Roman" w:hAnsi="Times New Roman" w:cs="Times New Roman"/>
                <w:sz w:val="24"/>
                <w:szCs w:val="24"/>
                <w:lang w:eastAsia="lv-LV"/>
              </w:rPr>
              <w:t xml:space="preserve"> jāizstrādā drošības pārskats un objekta civilas aizsardzības plāns.</w:t>
            </w:r>
          </w:p>
          <w:p w:rsidR="005B6ACF" w:rsidRDefault="00BB4000" w:rsidP="0053137B">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Noteiku</w:t>
            </w:r>
            <w:r w:rsidR="000D6906">
              <w:rPr>
                <w:rFonts w:ascii="Times New Roman" w:eastAsia="Times New Roman" w:hAnsi="Times New Roman" w:cs="Times New Roman"/>
                <w:sz w:val="24"/>
                <w:szCs w:val="24"/>
                <w:lang w:eastAsia="lv-LV"/>
              </w:rPr>
              <w:t>mu projekts papildināts ar jauniem</w:t>
            </w:r>
            <w:r w:rsidRPr="001513B7">
              <w:rPr>
                <w:rFonts w:ascii="Times New Roman" w:eastAsia="Times New Roman" w:hAnsi="Times New Roman" w:cs="Times New Roman"/>
                <w:sz w:val="24"/>
                <w:szCs w:val="24"/>
                <w:lang w:eastAsia="lv-LV"/>
              </w:rPr>
              <w:t xml:space="preserve"> terminu skaidrojumiem, pārstrādātas nodaļas par prasībām </w:t>
            </w:r>
            <w:r w:rsidR="006B4295">
              <w:rPr>
                <w:rFonts w:ascii="Times New Roman" w:eastAsia="Times New Roman" w:hAnsi="Times New Roman" w:cs="Times New Roman"/>
                <w:sz w:val="24"/>
                <w:szCs w:val="24"/>
                <w:lang w:eastAsia="lv-LV"/>
              </w:rPr>
              <w:t xml:space="preserve">drošības </w:t>
            </w:r>
            <w:r w:rsidR="006B4295">
              <w:rPr>
                <w:rFonts w:ascii="Times New Roman" w:eastAsia="Times New Roman" w:hAnsi="Times New Roman" w:cs="Times New Roman"/>
                <w:sz w:val="24"/>
                <w:szCs w:val="24"/>
                <w:lang w:eastAsia="lv-LV"/>
              </w:rPr>
              <w:lastRenderedPageBreak/>
              <w:t>attālumu un teritorijas izmantošanas ierobežojumiem,</w:t>
            </w:r>
            <w:r w:rsidRPr="001513B7">
              <w:rPr>
                <w:rFonts w:ascii="Times New Roman" w:eastAsia="Times New Roman" w:hAnsi="Times New Roman" w:cs="Times New Roman"/>
                <w:sz w:val="24"/>
                <w:szCs w:val="24"/>
                <w:lang w:eastAsia="lv-LV"/>
              </w:rPr>
              <w:t xml:space="preserve"> kā arī nodaļa par informācijas pieejamību un sabiedrības informēšanu.</w:t>
            </w:r>
            <w:r w:rsidR="0087262F">
              <w:rPr>
                <w:rFonts w:ascii="Times New Roman" w:eastAsia="Times New Roman" w:hAnsi="Times New Roman" w:cs="Times New Roman"/>
                <w:sz w:val="24"/>
                <w:szCs w:val="24"/>
                <w:lang w:eastAsia="lv-LV"/>
              </w:rPr>
              <w:t xml:space="preserve"> Noteikumu projektā ir jauns 1.pielikums un 7.pielikums par informatīvo materiālu sabiedrībai. No MK noteikumu Nr.532 pamatteksta izveidoti </w:t>
            </w:r>
            <w:r w:rsidR="00EC63BB" w:rsidRPr="001513B7">
              <w:rPr>
                <w:rFonts w:ascii="Times New Roman" w:eastAsia="Times New Roman" w:hAnsi="Times New Roman" w:cs="Times New Roman"/>
                <w:sz w:val="24"/>
                <w:szCs w:val="24"/>
                <w:lang w:eastAsia="lv-LV"/>
              </w:rPr>
              <w:t>pielikumi par objekta rūpniecisko avāriju novēršanas politiku un programmu, par informāciju, kas iekļaujama drošības pārskatā un objekta civilās aizsardzības un ārpusobjekta civilās aizsardzības plānā, kā arī par informatīvo materiālu sabiedrībai.</w:t>
            </w:r>
          </w:p>
          <w:p w:rsidR="000901D6" w:rsidRPr="001513B7" w:rsidRDefault="000901D6" w:rsidP="0053137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AD3F20">
              <w:rPr>
                <w:rFonts w:ascii="Times New Roman" w:eastAsia="Times New Roman" w:hAnsi="Times New Roman" w:cs="Times New Roman"/>
                <w:sz w:val="24"/>
                <w:szCs w:val="24"/>
                <w:lang w:eastAsia="lv-LV"/>
              </w:rPr>
              <w:t xml:space="preserve">projektā </w:t>
            </w:r>
            <w:r>
              <w:rPr>
                <w:rFonts w:ascii="Times New Roman" w:eastAsia="Times New Roman" w:hAnsi="Times New Roman" w:cs="Times New Roman"/>
                <w:sz w:val="24"/>
                <w:szCs w:val="24"/>
                <w:lang w:eastAsia="lv-LV"/>
              </w:rPr>
              <w:t>salīdzinot ar MK noteikumiem Nr.532</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w:t>
            </w:r>
            <w:r w:rsidR="002810E4">
              <w:rPr>
                <w:rFonts w:ascii="Times New Roman" w:eastAsia="Times New Roman" w:hAnsi="Times New Roman" w:cs="Times New Roman"/>
                <w:sz w:val="24"/>
                <w:szCs w:val="24"/>
                <w:lang w:eastAsia="lv-LV"/>
              </w:rPr>
              <w:t xml:space="preserve"> </w:t>
            </w:r>
            <w:r w:rsidRPr="001513B7">
              <w:rPr>
                <w:rFonts w:ascii="Times New Roman" w:eastAsia="Times New Roman" w:hAnsi="Times New Roman" w:cs="Times New Roman"/>
                <w:sz w:val="24"/>
                <w:szCs w:val="24"/>
                <w:lang w:eastAsia="lv-LV"/>
              </w:rPr>
              <w:t>mainīta struktūra, kā arī veikti redakcionāli precizējumi labākai tiesību normu uztveršanai.</w:t>
            </w:r>
          </w:p>
          <w:p w:rsidR="00374CD5" w:rsidRDefault="00735D3D" w:rsidP="00611715">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Noteikumu projekts papildināts ar </w:t>
            </w:r>
            <w:r w:rsidR="009734AD">
              <w:rPr>
                <w:rFonts w:ascii="Times New Roman" w:eastAsia="Times New Roman" w:hAnsi="Times New Roman" w:cs="Times New Roman"/>
                <w:sz w:val="24"/>
                <w:szCs w:val="24"/>
                <w:lang w:eastAsia="lv-LV"/>
              </w:rPr>
              <w:t xml:space="preserve">šādu </w:t>
            </w:r>
            <w:r w:rsidRPr="001513B7">
              <w:rPr>
                <w:rFonts w:ascii="Times New Roman" w:eastAsia="Times New Roman" w:hAnsi="Times New Roman" w:cs="Times New Roman"/>
                <w:sz w:val="24"/>
                <w:szCs w:val="24"/>
                <w:lang w:eastAsia="lv-LV"/>
              </w:rPr>
              <w:t>t</w:t>
            </w:r>
            <w:r w:rsidR="00724057" w:rsidRPr="001513B7">
              <w:rPr>
                <w:rFonts w:ascii="Times New Roman" w:eastAsia="Times New Roman" w:hAnsi="Times New Roman" w:cs="Times New Roman"/>
                <w:sz w:val="24"/>
                <w:szCs w:val="24"/>
                <w:lang w:eastAsia="lv-LV"/>
              </w:rPr>
              <w:t>erminu</w:t>
            </w:r>
            <w:r w:rsidR="00862D97" w:rsidRPr="001513B7">
              <w:rPr>
                <w:rFonts w:ascii="Times New Roman" w:eastAsia="Times New Roman" w:hAnsi="Times New Roman" w:cs="Times New Roman"/>
                <w:sz w:val="24"/>
                <w:szCs w:val="24"/>
                <w:lang w:eastAsia="lv-LV"/>
              </w:rPr>
              <w:t xml:space="preserve"> – </w:t>
            </w:r>
            <w:r w:rsidR="00EC39F4">
              <w:rPr>
                <w:rFonts w:ascii="Times New Roman" w:eastAsia="Times New Roman" w:hAnsi="Times New Roman" w:cs="Times New Roman"/>
                <w:sz w:val="24"/>
                <w:szCs w:val="24"/>
                <w:lang w:eastAsia="lv-LV"/>
              </w:rPr>
              <w:t xml:space="preserve">avārijgatavības pasākumi, darbinieks, domino efekts, </w:t>
            </w:r>
            <w:r w:rsidR="00862D97" w:rsidRPr="001513B7">
              <w:rPr>
                <w:rFonts w:ascii="Times New Roman" w:eastAsia="Times New Roman" w:hAnsi="Times New Roman" w:cs="Times New Roman"/>
                <w:sz w:val="24"/>
                <w:szCs w:val="24"/>
                <w:lang w:eastAsia="lv-LV"/>
              </w:rPr>
              <w:t xml:space="preserve">zemāka </w:t>
            </w:r>
            <w:r w:rsidR="002465BA">
              <w:rPr>
                <w:rFonts w:ascii="Times New Roman" w:eastAsia="Times New Roman" w:hAnsi="Times New Roman" w:cs="Times New Roman"/>
                <w:sz w:val="24"/>
                <w:szCs w:val="24"/>
                <w:lang w:eastAsia="lv-LV"/>
              </w:rPr>
              <w:t xml:space="preserve">riska </w:t>
            </w:r>
            <w:r w:rsidR="00862D97" w:rsidRPr="001513B7">
              <w:rPr>
                <w:rFonts w:ascii="Times New Roman" w:eastAsia="Times New Roman" w:hAnsi="Times New Roman" w:cs="Times New Roman"/>
                <w:sz w:val="24"/>
                <w:szCs w:val="24"/>
                <w:lang w:eastAsia="lv-LV"/>
              </w:rPr>
              <w:t xml:space="preserve">līmeņa </w:t>
            </w:r>
            <w:r w:rsidR="006B4295">
              <w:rPr>
                <w:rFonts w:ascii="Times New Roman" w:eastAsia="Times New Roman" w:hAnsi="Times New Roman" w:cs="Times New Roman"/>
                <w:sz w:val="24"/>
                <w:szCs w:val="24"/>
                <w:lang w:eastAsia="lv-LV"/>
              </w:rPr>
              <w:t>objekts</w:t>
            </w:r>
            <w:r w:rsidR="00862D97" w:rsidRPr="001513B7">
              <w:rPr>
                <w:rFonts w:ascii="Times New Roman" w:eastAsia="Times New Roman" w:hAnsi="Times New Roman" w:cs="Times New Roman"/>
                <w:sz w:val="24"/>
                <w:szCs w:val="24"/>
                <w:lang w:eastAsia="lv-LV"/>
              </w:rPr>
              <w:t xml:space="preserve">, augstāka </w:t>
            </w:r>
            <w:r w:rsidR="002465BA">
              <w:rPr>
                <w:rFonts w:ascii="Times New Roman" w:eastAsia="Times New Roman" w:hAnsi="Times New Roman" w:cs="Times New Roman"/>
                <w:sz w:val="24"/>
                <w:szCs w:val="24"/>
                <w:lang w:eastAsia="lv-LV"/>
              </w:rPr>
              <w:t xml:space="preserve">riska </w:t>
            </w:r>
            <w:r w:rsidR="00862D97" w:rsidRPr="001513B7">
              <w:rPr>
                <w:rFonts w:ascii="Times New Roman" w:eastAsia="Times New Roman" w:hAnsi="Times New Roman" w:cs="Times New Roman"/>
                <w:sz w:val="24"/>
                <w:szCs w:val="24"/>
                <w:lang w:eastAsia="lv-LV"/>
              </w:rPr>
              <w:t xml:space="preserve">līmeņa </w:t>
            </w:r>
            <w:r w:rsidR="006B4295">
              <w:rPr>
                <w:rFonts w:ascii="Times New Roman" w:eastAsia="Times New Roman" w:hAnsi="Times New Roman" w:cs="Times New Roman"/>
                <w:sz w:val="24"/>
                <w:szCs w:val="24"/>
                <w:lang w:eastAsia="lv-LV"/>
              </w:rPr>
              <w:t>objekts, blakusobjekts, bīstama viela, maisījums</w:t>
            </w:r>
            <w:r w:rsidR="00862D97" w:rsidRPr="001513B7">
              <w:rPr>
                <w:rFonts w:ascii="Times New Roman" w:eastAsia="Times New Roman" w:hAnsi="Times New Roman" w:cs="Times New Roman"/>
                <w:sz w:val="24"/>
                <w:szCs w:val="24"/>
                <w:lang w:eastAsia="lv-LV"/>
              </w:rPr>
              <w:t xml:space="preserve">, bīstamo vielu klātbūtne, </w:t>
            </w:r>
            <w:r w:rsidR="006B4295">
              <w:rPr>
                <w:rFonts w:ascii="Times New Roman" w:eastAsia="Times New Roman" w:hAnsi="Times New Roman" w:cs="Times New Roman"/>
                <w:sz w:val="24"/>
                <w:szCs w:val="24"/>
                <w:lang w:eastAsia="lv-LV"/>
              </w:rPr>
              <w:t xml:space="preserve">kompleksā pārbaude, </w:t>
            </w:r>
            <w:r w:rsidR="00862D97" w:rsidRPr="001513B7">
              <w:rPr>
                <w:rFonts w:ascii="Times New Roman" w:eastAsia="Times New Roman" w:hAnsi="Times New Roman" w:cs="Times New Roman"/>
                <w:sz w:val="24"/>
                <w:szCs w:val="24"/>
                <w:lang w:eastAsia="lv-LV"/>
              </w:rPr>
              <w:t>risks, rūpnieciska avārija, sabiedrība un glabātava</w:t>
            </w:r>
            <w:r w:rsidRPr="001513B7">
              <w:rPr>
                <w:rFonts w:ascii="Times New Roman" w:eastAsia="Times New Roman" w:hAnsi="Times New Roman" w:cs="Times New Roman"/>
                <w:sz w:val="24"/>
                <w:szCs w:val="24"/>
                <w:lang w:eastAsia="lv-LV"/>
              </w:rPr>
              <w:t xml:space="preserve"> – skaidrojumiem.</w:t>
            </w:r>
          </w:p>
          <w:p w:rsidR="006B4295" w:rsidRDefault="006B4295" w:rsidP="00611715">
            <w:pPr>
              <w:spacing w:after="120" w:line="240" w:lineRule="auto"/>
              <w:jc w:val="both"/>
              <w:rPr>
                <w:rFonts w:ascii="Times New Roman" w:eastAsia="Times New Roman" w:hAnsi="Times New Roman" w:cs="Times New Roman"/>
                <w:sz w:val="24"/>
                <w:szCs w:val="24"/>
                <w:lang w:eastAsia="lv-LV"/>
              </w:rPr>
            </w:pPr>
            <w:r w:rsidRPr="00246F96">
              <w:rPr>
                <w:rFonts w:ascii="Times New Roman" w:eastAsia="Times New Roman" w:hAnsi="Times New Roman" w:cs="Times New Roman"/>
                <w:sz w:val="24"/>
                <w:szCs w:val="24"/>
                <w:lang w:eastAsia="lv-LV"/>
              </w:rPr>
              <w:t xml:space="preserve">MK noteikumos Nr.532 lietoto terminu “ražotne” un “objekts” vietā noteikumu projektā tiek lietoti </w:t>
            </w:r>
            <w:r w:rsidR="0096579A" w:rsidRPr="00246F96">
              <w:rPr>
                <w:rFonts w:ascii="Times New Roman" w:eastAsia="Times New Roman" w:hAnsi="Times New Roman" w:cs="Times New Roman"/>
                <w:sz w:val="24"/>
                <w:szCs w:val="24"/>
                <w:lang w:eastAsia="lv-LV"/>
              </w:rPr>
              <w:t>termini “objekts” un “iekārta”</w:t>
            </w:r>
            <w:r w:rsidR="00602228" w:rsidRPr="00246F96">
              <w:rPr>
                <w:rFonts w:ascii="Times New Roman" w:eastAsia="Times New Roman" w:hAnsi="Times New Roman" w:cs="Times New Roman"/>
                <w:sz w:val="24"/>
                <w:szCs w:val="24"/>
                <w:lang w:eastAsia="lv-LV"/>
              </w:rPr>
              <w:t>,</w:t>
            </w:r>
            <w:r w:rsidR="0096579A" w:rsidRPr="00246F96">
              <w:rPr>
                <w:rFonts w:ascii="Times New Roman" w:eastAsia="Times New Roman" w:hAnsi="Times New Roman" w:cs="Times New Roman"/>
                <w:sz w:val="24"/>
                <w:szCs w:val="24"/>
                <w:lang w:eastAsia="lv-LV"/>
              </w:rPr>
              <w:t xml:space="preserve"> kas ir tuvāki direktīvā 2012/18/ES lietotajiem angļu valodas terminiem “</w:t>
            </w:r>
            <w:r w:rsidR="0096579A" w:rsidRPr="00246F96">
              <w:rPr>
                <w:rFonts w:ascii="Times New Roman" w:eastAsia="Times New Roman" w:hAnsi="Times New Roman" w:cs="Times New Roman"/>
                <w:i/>
                <w:sz w:val="24"/>
                <w:szCs w:val="24"/>
                <w:lang w:eastAsia="lv-LV"/>
              </w:rPr>
              <w:t>establishment</w:t>
            </w:r>
            <w:r w:rsidR="0096579A" w:rsidRPr="00246F96">
              <w:rPr>
                <w:rFonts w:ascii="Times New Roman" w:eastAsia="Times New Roman" w:hAnsi="Times New Roman" w:cs="Times New Roman"/>
                <w:sz w:val="24"/>
                <w:szCs w:val="24"/>
                <w:lang w:eastAsia="lv-LV"/>
              </w:rPr>
              <w:t>” un “</w:t>
            </w:r>
            <w:r w:rsidR="0096579A" w:rsidRPr="00246F96">
              <w:rPr>
                <w:rFonts w:ascii="Times New Roman" w:eastAsia="Times New Roman" w:hAnsi="Times New Roman" w:cs="Times New Roman"/>
                <w:i/>
                <w:sz w:val="24"/>
                <w:szCs w:val="24"/>
                <w:lang w:eastAsia="lv-LV"/>
              </w:rPr>
              <w:t>installation</w:t>
            </w:r>
            <w:r w:rsidR="0096579A" w:rsidRPr="00246F96">
              <w:rPr>
                <w:rFonts w:ascii="Times New Roman" w:eastAsia="Times New Roman" w:hAnsi="Times New Roman" w:cs="Times New Roman"/>
                <w:sz w:val="24"/>
                <w:szCs w:val="24"/>
                <w:lang w:eastAsia="lv-LV"/>
              </w:rPr>
              <w:t>”. Termina “</w:t>
            </w:r>
            <w:r w:rsidR="0096579A" w:rsidRPr="00246F96">
              <w:rPr>
                <w:rFonts w:ascii="Times New Roman" w:eastAsia="Times New Roman" w:hAnsi="Times New Roman" w:cs="Times New Roman"/>
                <w:i/>
                <w:sz w:val="24"/>
                <w:szCs w:val="24"/>
                <w:lang w:eastAsia="lv-LV"/>
              </w:rPr>
              <w:t>establishment</w:t>
            </w:r>
            <w:r w:rsidR="0096579A" w:rsidRPr="00246F96">
              <w:rPr>
                <w:rFonts w:ascii="Times New Roman" w:eastAsia="Times New Roman" w:hAnsi="Times New Roman" w:cs="Times New Roman"/>
                <w:sz w:val="24"/>
                <w:szCs w:val="24"/>
                <w:lang w:eastAsia="lv-LV"/>
              </w:rPr>
              <w:t>” tulkojums kā “uzņēmums”</w:t>
            </w:r>
            <w:r w:rsidRPr="00246F96">
              <w:rPr>
                <w:rFonts w:ascii="Times New Roman" w:eastAsia="Times New Roman" w:hAnsi="Times New Roman" w:cs="Times New Roman"/>
                <w:sz w:val="24"/>
                <w:szCs w:val="24"/>
                <w:lang w:eastAsia="lv-LV"/>
              </w:rPr>
              <w:t xml:space="preserve"> </w:t>
            </w:r>
            <w:r w:rsidR="0096579A" w:rsidRPr="00246F96">
              <w:rPr>
                <w:rFonts w:ascii="Times New Roman" w:eastAsia="Times New Roman" w:hAnsi="Times New Roman" w:cs="Times New Roman"/>
                <w:sz w:val="24"/>
                <w:szCs w:val="24"/>
                <w:lang w:eastAsia="lv-LV"/>
              </w:rPr>
              <w:t>netiek lietots, jo “uzņēmums” saskaņā ar Komerclikumu apzīmē organizatoriski saimniecisku vienību nevis komercdarbības vai saimnieciskā</w:t>
            </w:r>
            <w:r w:rsidR="00602228" w:rsidRPr="00246F96">
              <w:rPr>
                <w:rFonts w:ascii="Times New Roman" w:eastAsia="Times New Roman" w:hAnsi="Times New Roman" w:cs="Times New Roman"/>
                <w:sz w:val="24"/>
                <w:szCs w:val="24"/>
                <w:lang w:eastAsia="lv-LV"/>
              </w:rPr>
              <w:t>s</w:t>
            </w:r>
            <w:r w:rsidR="0096579A" w:rsidRPr="00246F96">
              <w:rPr>
                <w:rFonts w:ascii="Times New Roman" w:eastAsia="Times New Roman" w:hAnsi="Times New Roman" w:cs="Times New Roman"/>
                <w:sz w:val="24"/>
                <w:szCs w:val="24"/>
                <w:lang w:eastAsia="lv-LV"/>
              </w:rPr>
              <w:t xml:space="preserve"> darbības subjektu. Tāpēc angļu valodas termins “</w:t>
            </w:r>
            <w:r w:rsidR="0096579A" w:rsidRPr="00246F96">
              <w:rPr>
                <w:rFonts w:ascii="Times New Roman" w:eastAsia="Times New Roman" w:hAnsi="Times New Roman" w:cs="Times New Roman"/>
                <w:i/>
                <w:sz w:val="24"/>
                <w:szCs w:val="24"/>
                <w:lang w:eastAsia="lv-LV"/>
              </w:rPr>
              <w:t>establishment</w:t>
            </w:r>
            <w:r w:rsidR="0096579A" w:rsidRPr="00246F96">
              <w:rPr>
                <w:rFonts w:ascii="Times New Roman" w:eastAsia="Times New Roman" w:hAnsi="Times New Roman" w:cs="Times New Roman"/>
                <w:sz w:val="24"/>
                <w:szCs w:val="24"/>
                <w:lang w:eastAsia="lv-LV"/>
              </w:rPr>
              <w:t>” tulkots kā “objekts” un “</w:t>
            </w:r>
            <w:r w:rsidR="0096579A" w:rsidRPr="00246F96">
              <w:rPr>
                <w:rFonts w:ascii="Times New Roman" w:eastAsia="Times New Roman" w:hAnsi="Times New Roman" w:cs="Times New Roman"/>
                <w:i/>
                <w:sz w:val="24"/>
                <w:szCs w:val="24"/>
                <w:lang w:eastAsia="lv-LV"/>
              </w:rPr>
              <w:t>installation</w:t>
            </w:r>
            <w:r w:rsidR="0096579A" w:rsidRPr="00246F96">
              <w:rPr>
                <w:rFonts w:ascii="Times New Roman" w:eastAsia="Times New Roman" w:hAnsi="Times New Roman" w:cs="Times New Roman"/>
                <w:sz w:val="24"/>
                <w:szCs w:val="24"/>
                <w:lang w:eastAsia="lv-LV"/>
              </w:rPr>
              <w:t>” kā “iekārta”.</w:t>
            </w:r>
          </w:p>
          <w:p w:rsidR="00A30B2C" w:rsidRPr="001513B7" w:rsidRDefault="00A30B2C" w:rsidP="00A30B2C">
            <w:pPr>
              <w:ind w:left="-15" w:right="14" w:firstLine="15"/>
              <w:jc w:val="both"/>
              <w:rPr>
                <w:rFonts w:ascii="Times New Roman" w:eastAsia="Times New Roman" w:hAnsi="Times New Roman" w:cs="Times New Roman"/>
                <w:sz w:val="24"/>
                <w:szCs w:val="24"/>
                <w:lang w:eastAsia="lv-LV"/>
              </w:rPr>
            </w:pPr>
            <w:r w:rsidRPr="00A71BDC">
              <w:rPr>
                <w:rFonts w:ascii="Times New Roman" w:eastAsia="Times New Roman" w:hAnsi="Times New Roman" w:cs="Times New Roman"/>
                <w:sz w:val="24"/>
                <w:szCs w:val="24"/>
                <w:lang w:eastAsia="lv-LV"/>
              </w:rPr>
              <w:t>Noteikumu projekts nosaka, ka izdevumus, kas saistīti ar ekspertu pakalpojumiem (iesnieguma, rūpniecisko avāriju novēršanas programmas, drošības pārskata vai objekta civilās aizsardzības plāna novērtēšana, domino efekta izvērtēšana vai rūpniecisko avāriju izvērtēšana), sedz no komersanta līdzekļiem.</w:t>
            </w:r>
          </w:p>
          <w:p w:rsidR="00BF2E23" w:rsidRDefault="00AB4A68" w:rsidP="00BF2E23">
            <w:pPr>
              <w:jc w:val="both"/>
              <w:rPr>
                <w:rFonts w:ascii="Times New Roman" w:eastAsia="Times New Roman" w:hAnsi="Times New Roman" w:cs="Times New Roman"/>
                <w:sz w:val="20"/>
                <w:szCs w:val="20"/>
                <w:lang w:eastAsia="lv-LV"/>
              </w:rPr>
            </w:pPr>
            <w:r w:rsidRPr="001513B7">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projektu precizējot</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w:t>
            </w:r>
            <w:r w:rsidRPr="001513B7">
              <w:rPr>
                <w:rFonts w:ascii="Times New Roman" w:eastAsia="Times New Roman" w:hAnsi="Times New Roman" w:cs="Times New Roman"/>
                <w:sz w:val="24"/>
                <w:szCs w:val="24"/>
                <w:lang w:eastAsia="lv-LV"/>
              </w:rPr>
              <w:t xml:space="preserve"> papildin</w:t>
            </w:r>
            <w:r>
              <w:rPr>
                <w:rFonts w:ascii="Times New Roman" w:eastAsia="Times New Roman" w:hAnsi="Times New Roman" w:cs="Times New Roman"/>
                <w:sz w:val="24"/>
                <w:szCs w:val="24"/>
                <w:lang w:eastAsia="lv-LV"/>
              </w:rPr>
              <w:t>o</w:t>
            </w:r>
            <w:r w:rsidRPr="001513B7">
              <w:rPr>
                <w:rFonts w:ascii="Times New Roman" w:eastAsia="Times New Roman" w:hAnsi="Times New Roman" w:cs="Times New Roman"/>
                <w:sz w:val="24"/>
                <w:szCs w:val="24"/>
                <w:lang w:eastAsia="lv-LV"/>
              </w:rPr>
              <w:t>t,</w:t>
            </w:r>
            <w:r w:rsidR="00735D3D" w:rsidRPr="001513B7">
              <w:rPr>
                <w:rFonts w:ascii="Times New Roman" w:eastAsia="Times New Roman" w:hAnsi="Times New Roman" w:cs="Times New Roman"/>
                <w:sz w:val="24"/>
                <w:szCs w:val="24"/>
                <w:lang w:eastAsia="lv-LV"/>
              </w:rPr>
              <w:t xml:space="preserve"> </w:t>
            </w:r>
            <w:r w:rsidR="00AD3F20">
              <w:rPr>
                <w:rFonts w:ascii="Times New Roman" w:eastAsia="Times New Roman" w:hAnsi="Times New Roman" w:cs="Times New Roman"/>
                <w:sz w:val="24"/>
                <w:szCs w:val="24"/>
                <w:lang w:eastAsia="lv-LV"/>
              </w:rPr>
              <w:t>ir noteikts, ka</w:t>
            </w:r>
            <w:r w:rsidR="00BF2E23" w:rsidRPr="00C0518A">
              <w:rPr>
                <w:rFonts w:ascii="Times New Roman" w:eastAsia="Times New Roman" w:hAnsi="Times New Roman" w:cs="Times New Roman"/>
                <w:sz w:val="20"/>
                <w:szCs w:val="20"/>
                <w:lang w:eastAsia="lv-LV"/>
              </w:rPr>
              <w:t>:</w:t>
            </w:r>
            <w:r w:rsidR="00BF2E23">
              <w:rPr>
                <w:rFonts w:ascii="Times New Roman" w:eastAsia="Times New Roman" w:hAnsi="Times New Roman" w:cs="Times New Roman"/>
                <w:sz w:val="20"/>
                <w:szCs w:val="20"/>
                <w:lang w:eastAsia="lv-LV"/>
              </w:rPr>
              <w:t xml:space="preserve"> </w:t>
            </w:r>
          </w:p>
          <w:p w:rsidR="00D52D85" w:rsidRPr="00D86675" w:rsidRDefault="000D6906" w:rsidP="00611715">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1. </w:t>
            </w:r>
            <w:r w:rsidR="00D52D85" w:rsidRPr="00D86675">
              <w:rPr>
                <w:rFonts w:ascii="Times New Roman" w:eastAsia="Times New Roman" w:hAnsi="Times New Roman" w:cs="Times New Roman"/>
                <w:sz w:val="24"/>
                <w:szCs w:val="24"/>
                <w:u w:val="single"/>
                <w:lang w:eastAsia="lv-LV"/>
              </w:rPr>
              <w:t>Atbild</w:t>
            </w:r>
            <w:r>
              <w:rPr>
                <w:rFonts w:ascii="Times New Roman" w:eastAsia="Times New Roman" w:hAnsi="Times New Roman" w:cs="Times New Roman"/>
                <w:sz w:val="24"/>
                <w:szCs w:val="24"/>
                <w:u w:val="single"/>
                <w:lang w:eastAsia="lv-LV"/>
              </w:rPr>
              <w:t>īgai personai.</w:t>
            </w:r>
          </w:p>
          <w:p w:rsidR="00DC7542" w:rsidRPr="001513B7"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C7542" w:rsidRPr="001513B7">
              <w:rPr>
                <w:rFonts w:ascii="Times New Roman" w:eastAsia="Times New Roman" w:hAnsi="Times New Roman" w:cs="Times New Roman"/>
                <w:sz w:val="24"/>
                <w:szCs w:val="24"/>
                <w:lang w:eastAsia="lv-LV"/>
              </w:rPr>
              <w:t xml:space="preserve"> Objekta ekspluatāciju nedrīkst uzsākt vai turpināt, ja veiktajiem rūpniec</w:t>
            </w:r>
            <w:r w:rsidR="00B34D04">
              <w:rPr>
                <w:rFonts w:ascii="Times New Roman" w:eastAsia="Times New Roman" w:hAnsi="Times New Roman" w:cs="Times New Roman"/>
                <w:sz w:val="24"/>
                <w:szCs w:val="24"/>
                <w:lang w:eastAsia="lv-LV"/>
              </w:rPr>
              <w:t>isko avāriju riska samazināšanas pasākumiem</w:t>
            </w:r>
            <w:r w:rsidR="00DC7542" w:rsidRPr="001513B7">
              <w:rPr>
                <w:rFonts w:ascii="Times New Roman" w:eastAsia="Times New Roman" w:hAnsi="Times New Roman" w:cs="Times New Roman"/>
                <w:sz w:val="24"/>
                <w:szCs w:val="24"/>
                <w:lang w:eastAsia="lv-LV"/>
              </w:rPr>
              <w:t xml:space="preserve"> ir būtiski trūkumi; </w:t>
            </w:r>
          </w:p>
          <w:p w:rsidR="00DC7542"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DC7542" w:rsidRPr="001513B7">
              <w:rPr>
                <w:rFonts w:ascii="Times New Roman" w:eastAsia="Times New Roman" w:hAnsi="Times New Roman" w:cs="Times New Roman"/>
                <w:sz w:val="24"/>
                <w:szCs w:val="24"/>
                <w:lang w:eastAsia="lv-LV"/>
              </w:rPr>
              <w:t xml:space="preserve"> Atbildīgā persona arī pirms rūpniecisko avāriju novēršanas programmas iesniegšanas Vides pārraudzības valsts birojā organizē sabiedrisko apspriešanu</w:t>
            </w:r>
            <w:r w:rsidR="00DB07C7">
              <w:rPr>
                <w:rFonts w:ascii="Times New Roman" w:eastAsia="Times New Roman" w:hAnsi="Times New Roman" w:cs="Times New Roman"/>
                <w:sz w:val="24"/>
                <w:szCs w:val="24"/>
                <w:lang w:eastAsia="lv-LV"/>
              </w:rPr>
              <w:t xml:space="preserve"> </w:t>
            </w:r>
            <w:r w:rsidR="00DC7542" w:rsidRPr="001513B7">
              <w:rPr>
                <w:rFonts w:ascii="Times New Roman" w:eastAsia="Times New Roman" w:hAnsi="Times New Roman" w:cs="Times New Roman"/>
                <w:sz w:val="24"/>
                <w:szCs w:val="24"/>
                <w:lang w:eastAsia="lv-LV"/>
              </w:rPr>
              <w:t>un s</w:t>
            </w:r>
            <w:r w:rsidR="001B63B8">
              <w:rPr>
                <w:rFonts w:ascii="Times New Roman" w:eastAsia="Times New Roman" w:hAnsi="Times New Roman" w:cs="Times New Roman"/>
                <w:sz w:val="24"/>
                <w:szCs w:val="24"/>
                <w:lang w:eastAsia="lv-LV"/>
              </w:rPr>
              <w:t>agatavo informāciju sabiedrībai;</w:t>
            </w:r>
          </w:p>
          <w:p w:rsidR="00D52D85" w:rsidRPr="001513B7" w:rsidRDefault="000D6906" w:rsidP="00D52D8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D52D85" w:rsidRPr="001513B7">
              <w:rPr>
                <w:rFonts w:ascii="Times New Roman" w:eastAsia="Times New Roman" w:hAnsi="Times New Roman" w:cs="Times New Roman"/>
                <w:sz w:val="24"/>
                <w:szCs w:val="24"/>
                <w:lang w:eastAsia="lv-LV"/>
              </w:rPr>
              <w:t>Atbildīgā persona nodrošina sabiedrisko apspriešanu pirms drošības pārskata vai rūpniecisko avāriju novēršanas programmas iesniegšanas Vides pārraudzības valsts birojā, ja:</w:t>
            </w:r>
            <w:r w:rsidR="00BF2E23">
              <w:rPr>
                <w:rFonts w:ascii="Times New Roman" w:eastAsia="Times New Roman" w:hAnsi="Times New Roman" w:cs="Times New Roman"/>
                <w:sz w:val="24"/>
                <w:szCs w:val="24"/>
                <w:lang w:eastAsia="lv-LV"/>
              </w:rPr>
              <w:t xml:space="preserve"> </w:t>
            </w:r>
          </w:p>
          <w:p w:rsidR="00D52D85" w:rsidRPr="000D6906" w:rsidRDefault="000D6906" w:rsidP="000D690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1.3.1. </w:t>
            </w:r>
            <w:r w:rsidR="00BF2E23">
              <w:rPr>
                <w:rFonts w:ascii="Times New Roman" w:eastAsia="Times New Roman" w:hAnsi="Times New Roman" w:cs="Times New Roman"/>
                <w:sz w:val="24"/>
                <w:szCs w:val="24"/>
                <w:lang w:eastAsia="lv-LV"/>
              </w:rPr>
              <w:t>paredzētas</w:t>
            </w:r>
            <w:r w:rsidR="00D52D85" w:rsidRPr="000D6906">
              <w:rPr>
                <w:rFonts w:ascii="Times New Roman" w:eastAsia="Times New Roman" w:hAnsi="Times New Roman" w:cs="Times New Roman"/>
                <w:sz w:val="24"/>
                <w:szCs w:val="24"/>
                <w:lang w:eastAsia="lv-LV"/>
              </w:rPr>
              <w:t xml:space="preserve"> izmaiņas esošos objektos un par šīm izmaiņām nav veikts ietekmes uz vidi novērtējums vai izsniegta piesārņojošas darbības atļauja, kuras gaitā notikusi sabiedriskā apspriešana;</w:t>
            </w:r>
          </w:p>
          <w:p w:rsidR="00D52D85" w:rsidRPr="000D6906" w:rsidRDefault="000D6906" w:rsidP="000D690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1.3.2. </w:t>
            </w:r>
            <w:r w:rsidR="004472DC">
              <w:rPr>
                <w:rFonts w:ascii="Times New Roman" w:eastAsia="Times New Roman" w:hAnsi="Times New Roman" w:cs="Times New Roman"/>
                <w:sz w:val="24"/>
                <w:szCs w:val="24"/>
                <w:lang w:eastAsia="lv-LV"/>
              </w:rPr>
              <w:t>objekts</w:t>
            </w:r>
            <w:r w:rsidR="00D52D85" w:rsidRPr="000D6906">
              <w:rPr>
                <w:rFonts w:ascii="Times New Roman" w:eastAsia="Times New Roman" w:hAnsi="Times New Roman" w:cs="Times New Roman"/>
                <w:sz w:val="24"/>
                <w:szCs w:val="24"/>
                <w:lang w:eastAsia="lv-LV"/>
              </w:rPr>
              <w:t xml:space="preserve"> no zemāk</w:t>
            </w:r>
            <w:r w:rsidR="002465BA">
              <w:rPr>
                <w:rFonts w:ascii="Times New Roman" w:eastAsia="Times New Roman" w:hAnsi="Times New Roman" w:cs="Times New Roman"/>
                <w:sz w:val="24"/>
                <w:szCs w:val="24"/>
                <w:lang w:eastAsia="lv-LV"/>
              </w:rPr>
              <w:t>a riska</w:t>
            </w:r>
            <w:r w:rsidR="00D52D85" w:rsidRPr="000D6906">
              <w:rPr>
                <w:rFonts w:ascii="Times New Roman" w:eastAsia="Times New Roman" w:hAnsi="Times New Roman" w:cs="Times New Roman"/>
                <w:sz w:val="24"/>
                <w:szCs w:val="24"/>
                <w:lang w:eastAsia="lv-LV"/>
              </w:rPr>
              <w:t xml:space="preserve"> lī</w:t>
            </w:r>
            <w:r w:rsidR="002465BA">
              <w:rPr>
                <w:rFonts w:ascii="Times New Roman" w:eastAsia="Times New Roman" w:hAnsi="Times New Roman" w:cs="Times New Roman"/>
                <w:sz w:val="24"/>
                <w:szCs w:val="24"/>
                <w:lang w:eastAsia="lv-LV"/>
              </w:rPr>
              <w:t xml:space="preserve">meņa </w:t>
            </w:r>
            <w:r w:rsidR="00C92FE1">
              <w:rPr>
                <w:rFonts w:ascii="Times New Roman" w:eastAsia="Times New Roman" w:hAnsi="Times New Roman" w:cs="Times New Roman"/>
                <w:sz w:val="24"/>
                <w:szCs w:val="24"/>
                <w:lang w:eastAsia="lv-LV"/>
              </w:rPr>
              <w:t>objekta</w:t>
            </w:r>
            <w:r w:rsidR="002465BA">
              <w:rPr>
                <w:rFonts w:ascii="Times New Roman" w:eastAsia="Times New Roman" w:hAnsi="Times New Roman" w:cs="Times New Roman"/>
                <w:sz w:val="24"/>
                <w:szCs w:val="24"/>
                <w:lang w:eastAsia="lv-LV"/>
              </w:rPr>
              <w:t xml:space="preserve"> kļūst par augstāka riska</w:t>
            </w:r>
            <w:r w:rsidR="00D52D85" w:rsidRPr="000D6906">
              <w:rPr>
                <w:rFonts w:ascii="Times New Roman" w:eastAsia="Times New Roman" w:hAnsi="Times New Roman" w:cs="Times New Roman"/>
                <w:sz w:val="24"/>
                <w:szCs w:val="24"/>
                <w:lang w:eastAsia="lv-LV"/>
              </w:rPr>
              <w:t xml:space="preserve"> līmeņa </w:t>
            </w:r>
            <w:r w:rsidR="00C92FE1">
              <w:rPr>
                <w:rFonts w:ascii="Times New Roman" w:eastAsia="Times New Roman" w:hAnsi="Times New Roman" w:cs="Times New Roman"/>
                <w:sz w:val="24"/>
                <w:szCs w:val="24"/>
                <w:lang w:eastAsia="lv-LV"/>
              </w:rPr>
              <w:t>objektu</w:t>
            </w:r>
            <w:r w:rsidR="00D52D85" w:rsidRPr="000D6906">
              <w:rPr>
                <w:rFonts w:ascii="Times New Roman" w:eastAsia="Times New Roman" w:hAnsi="Times New Roman" w:cs="Times New Roman"/>
                <w:sz w:val="24"/>
                <w:szCs w:val="24"/>
                <w:lang w:eastAsia="lv-LV"/>
              </w:rPr>
              <w:t xml:space="preserve"> un par šīm izmaiņām piesārņojošas darbības atļaujas izsniegšanas procesā nav notikusi sabiedriskā apspriešana;</w:t>
            </w:r>
          </w:p>
          <w:p w:rsidR="00D52D85" w:rsidRPr="000D6906" w:rsidRDefault="000D6906" w:rsidP="000D690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1.3.3. </w:t>
            </w:r>
            <w:r w:rsidR="00D52D85" w:rsidRPr="000D6906">
              <w:rPr>
                <w:rFonts w:ascii="Times New Roman" w:eastAsia="Times New Roman" w:hAnsi="Times New Roman" w:cs="Times New Roman"/>
                <w:sz w:val="24"/>
                <w:szCs w:val="24"/>
                <w:lang w:eastAsia="lv-LV"/>
              </w:rPr>
              <w:t>par jaunu ražotņu vai objektu izvietošanu nav notikusi sabiedriskā apspriešana detālplānojuma izstrādes, ietekmes uz vidi novērtējuma vai piesārņojošs darbības atļaujas izsniegšanas procesā.</w:t>
            </w:r>
          </w:p>
          <w:p w:rsidR="00D52D85"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D52D85" w:rsidRPr="001513B7">
              <w:rPr>
                <w:rFonts w:ascii="Times New Roman" w:eastAsia="Times New Roman" w:hAnsi="Times New Roman" w:cs="Times New Roman"/>
                <w:sz w:val="24"/>
                <w:szCs w:val="24"/>
                <w:lang w:eastAsia="lv-LV"/>
              </w:rPr>
              <w:t xml:space="preserve"> Atbildīgā persona nodrošina sabiedriskajā apspriešanā izteikto pamatoto viedokļu iestrādi drošības pārskatā vai rūpniecisko avāriju novēršanas programmā.</w:t>
            </w:r>
            <w:r w:rsidR="00BF2E23">
              <w:rPr>
                <w:rFonts w:ascii="Times New Roman" w:eastAsia="Times New Roman" w:hAnsi="Times New Roman" w:cs="Times New Roman"/>
                <w:sz w:val="24"/>
                <w:szCs w:val="24"/>
                <w:lang w:eastAsia="lv-LV"/>
              </w:rPr>
              <w:t xml:space="preserve"> </w:t>
            </w:r>
          </w:p>
          <w:p w:rsidR="00D52D85" w:rsidRPr="00D86675" w:rsidRDefault="000D6906" w:rsidP="00611715">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2. </w:t>
            </w:r>
            <w:r w:rsidR="00D52D85" w:rsidRPr="00D86675">
              <w:rPr>
                <w:rFonts w:ascii="Times New Roman" w:eastAsia="Times New Roman" w:hAnsi="Times New Roman" w:cs="Times New Roman"/>
                <w:sz w:val="24"/>
                <w:szCs w:val="24"/>
                <w:u w:val="single"/>
                <w:lang w:eastAsia="lv-LV"/>
              </w:rPr>
              <w:t>Vides pārraudzības</w:t>
            </w:r>
            <w:r w:rsidR="00434861">
              <w:rPr>
                <w:rFonts w:ascii="Times New Roman" w:eastAsia="Times New Roman" w:hAnsi="Times New Roman" w:cs="Times New Roman"/>
                <w:sz w:val="24"/>
                <w:szCs w:val="24"/>
                <w:u w:val="single"/>
                <w:lang w:eastAsia="lv-LV"/>
              </w:rPr>
              <w:t xml:space="preserve"> valsts birojam</w:t>
            </w:r>
            <w:r w:rsidR="00D52D85" w:rsidRPr="00D86675">
              <w:rPr>
                <w:rFonts w:ascii="Times New Roman" w:eastAsia="Times New Roman" w:hAnsi="Times New Roman" w:cs="Times New Roman"/>
                <w:sz w:val="24"/>
                <w:szCs w:val="24"/>
                <w:u w:val="single"/>
                <w:lang w:eastAsia="lv-LV"/>
              </w:rPr>
              <w:t>:</w:t>
            </w:r>
          </w:p>
          <w:p w:rsidR="00D52D85" w:rsidRPr="001513B7" w:rsidRDefault="000D6906" w:rsidP="00D52D8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622DFA">
              <w:rPr>
                <w:rFonts w:ascii="Times New Roman" w:eastAsia="Times New Roman" w:hAnsi="Times New Roman" w:cs="Times New Roman"/>
                <w:sz w:val="24"/>
                <w:szCs w:val="24"/>
                <w:lang w:eastAsia="lv-LV"/>
              </w:rPr>
              <w:t xml:space="preserve"> </w:t>
            </w:r>
            <w:r w:rsidR="00D52D85" w:rsidRPr="001513B7">
              <w:rPr>
                <w:rFonts w:ascii="Times New Roman" w:eastAsia="Times New Roman" w:hAnsi="Times New Roman" w:cs="Times New Roman"/>
                <w:sz w:val="24"/>
                <w:szCs w:val="24"/>
                <w:lang w:eastAsia="lv-LV"/>
              </w:rPr>
              <w:t>Sabiedrība var iesniegt pamatotus iebildumu Vides pārra</w:t>
            </w:r>
            <w:r w:rsidR="00C92FE1">
              <w:rPr>
                <w:rFonts w:ascii="Times New Roman" w:eastAsia="Times New Roman" w:hAnsi="Times New Roman" w:cs="Times New Roman"/>
                <w:sz w:val="24"/>
                <w:szCs w:val="24"/>
                <w:lang w:eastAsia="lv-LV"/>
              </w:rPr>
              <w:t>udzības valsts birojā par jaunā</w:t>
            </w:r>
            <w:r w:rsidR="00D52D85" w:rsidRPr="001513B7">
              <w:rPr>
                <w:rFonts w:ascii="Times New Roman" w:eastAsia="Times New Roman" w:hAnsi="Times New Roman" w:cs="Times New Roman"/>
                <w:sz w:val="24"/>
                <w:szCs w:val="24"/>
                <w:lang w:eastAsia="lv-LV"/>
              </w:rPr>
              <w:t xml:space="preserve"> </w:t>
            </w:r>
            <w:r w:rsidR="00C92FE1">
              <w:rPr>
                <w:rFonts w:ascii="Times New Roman" w:eastAsia="Times New Roman" w:hAnsi="Times New Roman" w:cs="Times New Roman"/>
                <w:sz w:val="24"/>
                <w:szCs w:val="24"/>
                <w:lang w:eastAsia="lv-LV"/>
              </w:rPr>
              <w:t>objekta</w:t>
            </w:r>
            <w:r w:rsidR="00D52D85" w:rsidRPr="001513B7">
              <w:rPr>
                <w:rFonts w:ascii="Times New Roman" w:eastAsia="Times New Roman" w:hAnsi="Times New Roman" w:cs="Times New Roman"/>
                <w:sz w:val="24"/>
                <w:szCs w:val="24"/>
                <w:lang w:eastAsia="lv-LV"/>
              </w:rPr>
              <w:t xml:space="preserve"> izvietošanu vai izmaiņām esošajā objektā, kas saistītas ar </w:t>
            </w:r>
            <w:r w:rsidR="004472DC">
              <w:rPr>
                <w:rFonts w:ascii="Times New Roman" w:eastAsia="Times New Roman" w:hAnsi="Times New Roman" w:cs="Times New Roman"/>
                <w:sz w:val="24"/>
                <w:szCs w:val="24"/>
                <w:lang w:eastAsia="lv-LV"/>
              </w:rPr>
              <w:t>objekta</w:t>
            </w:r>
            <w:r w:rsidR="00D52D85" w:rsidRPr="001513B7">
              <w:rPr>
                <w:rFonts w:ascii="Times New Roman" w:eastAsia="Times New Roman" w:hAnsi="Times New Roman" w:cs="Times New Roman"/>
                <w:sz w:val="24"/>
                <w:szCs w:val="24"/>
                <w:lang w:eastAsia="lv-LV"/>
              </w:rPr>
              <w:t xml:space="preserve"> pāreju no zemāk</w:t>
            </w:r>
            <w:r w:rsidR="002465BA">
              <w:rPr>
                <w:rFonts w:ascii="Times New Roman" w:eastAsia="Times New Roman" w:hAnsi="Times New Roman" w:cs="Times New Roman"/>
                <w:sz w:val="24"/>
                <w:szCs w:val="24"/>
                <w:lang w:eastAsia="lv-LV"/>
              </w:rPr>
              <w:t>a riska</w:t>
            </w:r>
            <w:r w:rsidR="00D52D85" w:rsidRPr="001513B7">
              <w:rPr>
                <w:rFonts w:ascii="Times New Roman" w:eastAsia="Times New Roman" w:hAnsi="Times New Roman" w:cs="Times New Roman"/>
                <w:sz w:val="24"/>
                <w:szCs w:val="24"/>
                <w:lang w:eastAsia="lv-LV"/>
              </w:rPr>
              <w:t xml:space="preserve"> līmeņa </w:t>
            </w:r>
            <w:r w:rsidR="00C92FE1">
              <w:rPr>
                <w:rFonts w:ascii="Times New Roman" w:eastAsia="Times New Roman" w:hAnsi="Times New Roman" w:cs="Times New Roman"/>
                <w:sz w:val="24"/>
                <w:szCs w:val="24"/>
                <w:lang w:eastAsia="lv-LV"/>
              </w:rPr>
              <w:t>objektu</w:t>
            </w:r>
            <w:r w:rsidR="00D52D85" w:rsidRPr="001513B7">
              <w:rPr>
                <w:rFonts w:ascii="Times New Roman" w:eastAsia="Times New Roman" w:hAnsi="Times New Roman" w:cs="Times New Roman"/>
                <w:sz w:val="24"/>
                <w:szCs w:val="24"/>
                <w:lang w:eastAsia="lv-LV"/>
              </w:rPr>
              <w:t xml:space="preserve"> uz augstāko vai tās palielina rūpniecisko avāriju risku.</w:t>
            </w:r>
          </w:p>
          <w:p w:rsidR="00D52D85" w:rsidRPr="001513B7" w:rsidRDefault="000D6906" w:rsidP="004348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D52D85" w:rsidRPr="001513B7">
              <w:rPr>
                <w:rFonts w:ascii="Times New Roman" w:eastAsia="Times New Roman" w:hAnsi="Times New Roman" w:cs="Times New Roman"/>
                <w:sz w:val="24"/>
                <w:szCs w:val="24"/>
                <w:lang w:eastAsia="lv-LV"/>
              </w:rPr>
              <w:t xml:space="preserve"> Vides pārraudzības valsts birojs pēc atbildīgās personas veiktās sabiedriskās apspriešanas savā tīmekļa vietnē publicē:</w:t>
            </w:r>
          </w:p>
          <w:p w:rsidR="00D52D85" w:rsidRPr="000D6906" w:rsidRDefault="000D6906" w:rsidP="004348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2.2.1. </w:t>
            </w:r>
            <w:r w:rsidR="00D52D85" w:rsidRPr="000D6906">
              <w:rPr>
                <w:rFonts w:ascii="Times New Roman" w:eastAsia="Times New Roman" w:hAnsi="Times New Roman" w:cs="Times New Roman"/>
                <w:sz w:val="24"/>
                <w:szCs w:val="24"/>
                <w:lang w:eastAsia="lv-LV"/>
              </w:rPr>
              <w:t xml:space="preserve">sabiedriskās apspriešanas protokolu un atbildīgās personas paskaidrojumus, kā sabiedrības viedoklis ir ņemts vērā vai kāpēc tas nav ievērots; </w:t>
            </w:r>
          </w:p>
          <w:p w:rsidR="00D52D85" w:rsidRPr="000D6906" w:rsidRDefault="000D6906" w:rsidP="004348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2.2.2. </w:t>
            </w:r>
            <w:r w:rsidR="00D52D85" w:rsidRPr="000D6906">
              <w:rPr>
                <w:rFonts w:ascii="Times New Roman" w:eastAsia="Times New Roman" w:hAnsi="Times New Roman" w:cs="Times New Roman"/>
                <w:sz w:val="24"/>
                <w:szCs w:val="24"/>
                <w:lang w:eastAsia="lv-LV"/>
              </w:rPr>
              <w:t>informāciju par iebildumiem, kas iesniegti tieši Vides pārraudzības valsts birojā;</w:t>
            </w:r>
          </w:p>
          <w:p w:rsidR="00D52D85" w:rsidRPr="000D6906" w:rsidRDefault="000D6906" w:rsidP="000D690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2.2.3. </w:t>
            </w:r>
            <w:r w:rsidR="00D52D85" w:rsidRPr="000D6906">
              <w:rPr>
                <w:rFonts w:ascii="Times New Roman" w:eastAsia="Times New Roman" w:hAnsi="Times New Roman" w:cs="Times New Roman"/>
                <w:sz w:val="24"/>
                <w:szCs w:val="24"/>
                <w:lang w:eastAsia="lv-LV"/>
              </w:rPr>
              <w:t>informāciju par iespējamā lēmu</w:t>
            </w:r>
            <w:r w:rsidR="00C92FE1">
              <w:rPr>
                <w:rFonts w:ascii="Times New Roman" w:eastAsia="Times New Roman" w:hAnsi="Times New Roman" w:cs="Times New Roman"/>
                <w:sz w:val="24"/>
                <w:szCs w:val="24"/>
                <w:lang w:eastAsia="lv-LV"/>
              </w:rPr>
              <w:t>ma būtību attiecībā uz konkrētā jaunā</w:t>
            </w:r>
            <w:r w:rsidR="00D52D85" w:rsidRPr="000D6906">
              <w:rPr>
                <w:rFonts w:ascii="Times New Roman" w:eastAsia="Times New Roman" w:hAnsi="Times New Roman" w:cs="Times New Roman"/>
                <w:sz w:val="24"/>
                <w:szCs w:val="24"/>
                <w:lang w:eastAsia="lv-LV"/>
              </w:rPr>
              <w:t xml:space="preserve"> objekta izvietošanu, izmaiņām </w:t>
            </w:r>
            <w:r w:rsidR="004472DC">
              <w:rPr>
                <w:rFonts w:ascii="Times New Roman" w:eastAsia="Times New Roman" w:hAnsi="Times New Roman" w:cs="Times New Roman"/>
                <w:sz w:val="24"/>
                <w:szCs w:val="24"/>
                <w:lang w:eastAsia="lv-LV"/>
              </w:rPr>
              <w:t>objektā</w:t>
            </w:r>
            <w:r w:rsidR="00D52D85" w:rsidRPr="000D6906">
              <w:rPr>
                <w:rFonts w:ascii="Times New Roman" w:eastAsia="Times New Roman" w:hAnsi="Times New Roman" w:cs="Times New Roman"/>
                <w:sz w:val="24"/>
                <w:szCs w:val="24"/>
                <w:lang w:eastAsia="lv-LV"/>
              </w:rPr>
              <w:t xml:space="preserve"> vai citā darbības vietā, kuru rezultātā tā kļūtu par šo noteikumu objektu, vai izmaiņām esošajā objektā;</w:t>
            </w:r>
          </w:p>
          <w:p w:rsidR="00D52D85"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D52D85" w:rsidRPr="001513B7">
              <w:rPr>
                <w:rFonts w:ascii="Times New Roman" w:eastAsia="Times New Roman" w:hAnsi="Times New Roman" w:cs="Times New Roman"/>
                <w:sz w:val="24"/>
                <w:szCs w:val="24"/>
                <w:lang w:eastAsia="lv-LV"/>
              </w:rPr>
              <w:t xml:space="preserve"> Vides pārraudzības valsts birojs sniedz informāciju Eiropas Komisijas datu bāzē par objektiem, uz</w:t>
            </w:r>
            <w:r>
              <w:rPr>
                <w:rFonts w:ascii="Times New Roman" w:eastAsia="Times New Roman" w:hAnsi="Times New Roman" w:cs="Times New Roman"/>
                <w:sz w:val="24"/>
                <w:szCs w:val="24"/>
                <w:lang w:eastAsia="lv-LV"/>
              </w:rPr>
              <w:t xml:space="preserve"> kuriem attiecas šie noteikumi.</w:t>
            </w:r>
          </w:p>
          <w:p w:rsidR="00D52D85" w:rsidRPr="00A223C0" w:rsidRDefault="000D6906" w:rsidP="00611715">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3. </w:t>
            </w:r>
            <w:r w:rsidR="00D52D85" w:rsidRPr="00D86675">
              <w:rPr>
                <w:rFonts w:ascii="Times New Roman" w:eastAsia="Times New Roman" w:hAnsi="Times New Roman" w:cs="Times New Roman"/>
                <w:sz w:val="24"/>
                <w:szCs w:val="24"/>
                <w:u w:val="single"/>
                <w:lang w:eastAsia="lv-LV"/>
              </w:rPr>
              <w:t>Valsts ugunsdzēsības un glāb</w:t>
            </w:r>
            <w:r w:rsidR="00434861">
              <w:rPr>
                <w:rFonts w:ascii="Times New Roman" w:eastAsia="Times New Roman" w:hAnsi="Times New Roman" w:cs="Times New Roman"/>
                <w:sz w:val="24"/>
                <w:szCs w:val="24"/>
                <w:u w:val="single"/>
                <w:lang w:eastAsia="lv-LV"/>
              </w:rPr>
              <w:t>šanas dienestam</w:t>
            </w:r>
            <w:r w:rsidR="00A223C0">
              <w:rPr>
                <w:rFonts w:ascii="Times New Roman" w:eastAsia="Times New Roman" w:hAnsi="Times New Roman" w:cs="Times New Roman"/>
                <w:sz w:val="24"/>
                <w:szCs w:val="24"/>
                <w:u w:val="single"/>
                <w:lang w:eastAsia="lv-LV"/>
              </w:rPr>
              <w:t xml:space="preserve"> </w:t>
            </w:r>
            <w:r w:rsidR="00A223C0" w:rsidRPr="00A223C0">
              <w:rPr>
                <w:rFonts w:ascii="Times New Roman" w:eastAsia="Times New Roman" w:hAnsi="Times New Roman" w:cs="Times New Roman"/>
                <w:sz w:val="24"/>
                <w:szCs w:val="24"/>
                <w:u w:val="single"/>
                <w:lang w:eastAsia="lv-LV"/>
              </w:rPr>
              <w:t>(turpmāk – VUGD)</w:t>
            </w:r>
            <w:r w:rsidR="00D52D85" w:rsidRPr="00A223C0">
              <w:rPr>
                <w:rFonts w:ascii="Times New Roman" w:eastAsia="Times New Roman" w:hAnsi="Times New Roman" w:cs="Times New Roman"/>
                <w:sz w:val="24"/>
                <w:szCs w:val="24"/>
                <w:u w:val="single"/>
                <w:lang w:eastAsia="lv-LV"/>
              </w:rPr>
              <w:t>:</w:t>
            </w:r>
          </w:p>
          <w:p w:rsidR="005F1FB9" w:rsidRDefault="00DB77BA"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F1FB9" w:rsidRPr="001513B7">
              <w:rPr>
                <w:rFonts w:ascii="Times New Roman" w:eastAsia="Times New Roman" w:hAnsi="Times New Roman" w:cs="Times New Roman"/>
                <w:sz w:val="24"/>
                <w:szCs w:val="24"/>
                <w:lang w:eastAsia="lv-LV"/>
              </w:rPr>
              <w:t xml:space="preserve">VUGD </w:t>
            </w:r>
            <w:r w:rsidR="006A176B">
              <w:rPr>
                <w:rFonts w:ascii="Times New Roman" w:eastAsia="Times New Roman" w:hAnsi="Times New Roman" w:cs="Times New Roman"/>
                <w:sz w:val="24"/>
                <w:szCs w:val="24"/>
                <w:lang w:eastAsia="lv-LV"/>
              </w:rPr>
              <w:t>informē sabiedrību par ārpuso</w:t>
            </w:r>
            <w:r w:rsidR="005923B2">
              <w:rPr>
                <w:rFonts w:ascii="Times New Roman" w:eastAsia="Times New Roman" w:hAnsi="Times New Roman" w:cs="Times New Roman"/>
                <w:sz w:val="24"/>
                <w:szCs w:val="24"/>
                <w:lang w:eastAsia="lv-LV"/>
              </w:rPr>
              <w:t xml:space="preserve">bjekta civilās aizsardzības plānu un </w:t>
            </w:r>
            <w:r w:rsidR="005F1FB9" w:rsidRPr="001513B7">
              <w:rPr>
                <w:rFonts w:ascii="Times New Roman" w:eastAsia="Times New Roman" w:hAnsi="Times New Roman" w:cs="Times New Roman"/>
                <w:sz w:val="24"/>
                <w:szCs w:val="24"/>
                <w:lang w:eastAsia="lv-LV"/>
              </w:rPr>
              <w:t>nodrošina iespēju sabiedrībai sniegt viedokli par ārpusobjekta civilās aizsardzības plānu;</w:t>
            </w:r>
          </w:p>
          <w:p w:rsidR="00D52D85" w:rsidRPr="00D86675" w:rsidRDefault="000D6906" w:rsidP="00611715">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4. </w:t>
            </w:r>
            <w:r w:rsidR="00D52D85" w:rsidRPr="00D86675">
              <w:rPr>
                <w:rFonts w:ascii="Times New Roman" w:eastAsia="Times New Roman" w:hAnsi="Times New Roman" w:cs="Times New Roman"/>
                <w:sz w:val="24"/>
                <w:szCs w:val="24"/>
                <w:u w:val="single"/>
                <w:lang w:eastAsia="lv-LV"/>
              </w:rPr>
              <w:t>Valsts vides dienestam:</w:t>
            </w:r>
          </w:p>
          <w:p w:rsidR="005F1FB9" w:rsidRPr="001513B7"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F1FB9" w:rsidRPr="001513B7">
              <w:rPr>
                <w:rFonts w:ascii="Times New Roman" w:eastAsia="Times New Roman" w:hAnsi="Times New Roman" w:cs="Times New Roman"/>
                <w:sz w:val="24"/>
                <w:szCs w:val="24"/>
                <w:lang w:eastAsia="lv-LV"/>
              </w:rPr>
              <w:t xml:space="preserve"> Valsts vides die</w:t>
            </w:r>
            <w:r w:rsidR="00DF31AA" w:rsidRPr="001513B7">
              <w:rPr>
                <w:rFonts w:ascii="Times New Roman" w:eastAsia="Times New Roman" w:hAnsi="Times New Roman" w:cs="Times New Roman"/>
                <w:sz w:val="24"/>
                <w:szCs w:val="24"/>
                <w:lang w:eastAsia="lv-LV"/>
              </w:rPr>
              <w:t xml:space="preserve">nesta </w:t>
            </w:r>
            <w:r w:rsidR="005F1FB9" w:rsidRPr="001513B7">
              <w:rPr>
                <w:rFonts w:ascii="Times New Roman" w:eastAsia="Times New Roman" w:hAnsi="Times New Roman" w:cs="Times New Roman"/>
                <w:sz w:val="24"/>
                <w:szCs w:val="24"/>
                <w:lang w:eastAsia="lv-LV"/>
              </w:rPr>
              <w:t>izstrādā objekt</w:t>
            </w:r>
            <w:r w:rsidR="00DF31AA" w:rsidRPr="001513B7">
              <w:rPr>
                <w:rFonts w:ascii="Times New Roman" w:eastAsia="Times New Roman" w:hAnsi="Times New Roman" w:cs="Times New Roman"/>
                <w:sz w:val="24"/>
                <w:szCs w:val="24"/>
                <w:lang w:eastAsia="lv-LV"/>
              </w:rPr>
              <w:t>u</w:t>
            </w:r>
            <w:r w:rsidR="005F1FB9" w:rsidRPr="001513B7">
              <w:rPr>
                <w:rFonts w:ascii="Times New Roman" w:eastAsia="Times New Roman" w:hAnsi="Times New Roman" w:cs="Times New Roman"/>
                <w:sz w:val="24"/>
                <w:szCs w:val="24"/>
                <w:lang w:eastAsia="lv-LV"/>
              </w:rPr>
              <w:t xml:space="preserve"> inspekcijas plānu;</w:t>
            </w:r>
          </w:p>
          <w:p w:rsidR="00622DFA"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sidR="005F1FB9" w:rsidRPr="001513B7">
              <w:rPr>
                <w:rFonts w:ascii="Times New Roman" w:eastAsia="Times New Roman" w:hAnsi="Times New Roman" w:cs="Times New Roman"/>
                <w:sz w:val="24"/>
                <w:szCs w:val="24"/>
                <w:lang w:eastAsia="lv-LV"/>
              </w:rPr>
              <w:t xml:space="preserve"> </w:t>
            </w:r>
            <w:r w:rsidR="00385A5C" w:rsidRPr="001513B7">
              <w:rPr>
                <w:rFonts w:ascii="Times New Roman" w:eastAsia="Times New Roman" w:hAnsi="Times New Roman" w:cs="Times New Roman"/>
                <w:sz w:val="24"/>
                <w:szCs w:val="24"/>
                <w:lang w:eastAsia="lv-LV"/>
              </w:rPr>
              <w:t xml:space="preserve">Noteikts termiņš kādā Valsts vides dienests </w:t>
            </w:r>
            <w:r w:rsidR="005923B2">
              <w:rPr>
                <w:rFonts w:ascii="Times New Roman" w:eastAsia="Times New Roman" w:hAnsi="Times New Roman" w:cs="Times New Roman"/>
                <w:sz w:val="24"/>
                <w:szCs w:val="24"/>
                <w:lang w:eastAsia="lv-LV"/>
              </w:rPr>
              <w:t xml:space="preserve">sagatavo un paraksta kopīgo inspekcijas ziņojumu un </w:t>
            </w:r>
            <w:r w:rsidR="00385A5C" w:rsidRPr="001513B7">
              <w:rPr>
                <w:rFonts w:ascii="Times New Roman" w:eastAsia="Times New Roman" w:hAnsi="Times New Roman" w:cs="Times New Roman"/>
                <w:sz w:val="24"/>
                <w:szCs w:val="24"/>
                <w:lang w:eastAsia="lv-LV"/>
              </w:rPr>
              <w:t>sniedz norādījumus atbildīgajai personai pēc kompleksās pārbaudes;</w:t>
            </w:r>
            <w:r w:rsidR="00622DFA" w:rsidRPr="001513B7">
              <w:rPr>
                <w:rFonts w:ascii="Times New Roman" w:eastAsia="Times New Roman" w:hAnsi="Times New Roman" w:cs="Times New Roman"/>
                <w:sz w:val="24"/>
                <w:szCs w:val="24"/>
                <w:lang w:eastAsia="lv-LV"/>
              </w:rPr>
              <w:t xml:space="preserve"> </w:t>
            </w:r>
          </w:p>
          <w:p w:rsidR="005F1FB9"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622DFA">
              <w:rPr>
                <w:rFonts w:ascii="Times New Roman" w:eastAsia="Times New Roman" w:hAnsi="Times New Roman" w:cs="Times New Roman"/>
                <w:sz w:val="24"/>
                <w:szCs w:val="24"/>
                <w:lang w:eastAsia="lv-LV"/>
              </w:rPr>
              <w:t xml:space="preserve"> </w:t>
            </w:r>
            <w:r w:rsidR="00622DFA" w:rsidRPr="001513B7">
              <w:rPr>
                <w:rFonts w:ascii="Times New Roman" w:eastAsia="Times New Roman" w:hAnsi="Times New Roman" w:cs="Times New Roman"/>
                <w:sz w:val="24"/>
                <w:szCs w:val="24"/>
                <w:lang w:eastAsia="lv-LV"/>
              </w:rPr>
              <w:t>Valsts vides dienests un citas inspekcijas piedalās Eiropas Komisijas sadarbības programmā, kas paredzēta pieredzes apmaiņai un vienotu kritēriju</w:t>
            </w:r>
            <w:r w:rsidR="00622DFA">
              <w:rPr>
                <w:rFonts w:ascii="Times New Roman" w:eastAsia="Times New Roman" w:hAnsi="Times New Roman" w:cs="Times New Roman"/>
                <w:sz w:val="24"/>
                <w:szCs w:val="24"/>
                <w:lang w:eastAsia="lv-LV"/>
              </w:rPr>
              <w:t xml:space="preserve"> izstrādei objektu inspicēšanai;</w:t>
            </w:r>
          </w:p>
          <w:p w:rsidR="00622DFA" w:rsidRDefault="000D6906" w:rsidP="0061171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B07C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622DFA" w:rsidRPr="001513B7">
              <w:rPr>
                <w:rFonts w:ascii="Times New Roman" w:eastAsia="Times New Roman" w:hAnsi="Times New Roman" w:cs="Times New Roman"/>
                <w:sz w:val="24"/>
                <w:szCs w:val="24"/>
                <w:lang w:eastAsia="lv-LV"/>
              </w:rPr>
              <w:t xml:space="preserve"> Valsts vides dienests savā tīmekļa vietnē publicē atbildīgās personas sagatavoto informatīvu materiālu sabiedrībai, kā arī informāciju par kompleksajām pārbaudēm</w:t>
            </w:r>
          </w:p>
          <w:p w:rsidR="00D52D85" w:rsidRPr="00D86675" w:rsidRDefault="000D6906" w:rsidP="00611715">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5. </w:t>
            </w:r>
            <w:r w:rsidR="00D52D85" w:rsidRPr="00D86675">
              <w:rPr>
                <w:rFonts w:ascii="Times New Roman" w:eastAsia="Times New Roman" w:hAnsi="Times New Roman" w:cs="Times New Roman"/>
                <w:sz w:val="24"/>
                <w:szCs w:val="24"/>
                <w:u w:val="single"/>
                <w:lang w:eastAsia="lv-LV"/>
              </w:rPr>
              <w:t>Pašvaldīb</w:t>
            </w:r>
            <w:r w:rsidR="00434861">
              <w:rPr>
                <w:rFonts w:ascii="Times New Roman" w:eastAsia="Times New Roman" w:hAnsi="Times New Roman" w:cs="Times New Roman"/>
                <w:sz w:val="24"/>
                <w:szCs w:val="24"/>
                <w:u w:val="single"/>
                <w:lang w:eastAsia="lv-LV"/>
              </w:rPr>
              <w:t>ām</w:t>
            </w:r>
            <w:r w:rsidR="00D52D85" w:rsidRPr="00D86675">
              <w:rPr>
                <w:rFonts w:ascii="Times New Roman" w:eastAsia="Times New Roman" w:hAnsi="Times New Roman" w:cs="Times New Roman"/>
                <w:sz w:val="24"/>
                <w:szCs w:val="24"/>
                <w:u w:val="single"/>
                <w:lang w:eastAsia="lv-LV"/>
              </w:rPr>
              <w:t>:</w:t>
            </w:r>
          </w:p>
          <w:p w:rsidR="001347CA" w:rsidRPr="001513B7" w:rsidRDefault="00EC39F4" w:rsidP="00C92FE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pašvaldībai nepieciešama teritorijas attīstības plānošanai informācija</w:t>
            </w:r>
            <w:r w:rsidR="00423FD0" w:rsidRPr="001513B7">
              <w:rPr>
                <w:rFonts w:ascii="Times New Roman" w:eastAsia="Times New Roman" w:hAnsi="Times New Roman" w:cs="Times New Roman"/>
                <w:sz w:val="24"/>
                <w:szCs w:val="24"/>
                <w:lang w:eastAsia="lv-LV"/>
              </w:rPr>
              <w:t xml:space="preserve"> </w:t>
            </w:r>
            <w:r w:rsidRPr="001513B7">
              <w:rPr>
                <w:rFonts w:ascii="Times New Roman" w:eastAsia="Times New Roman" w:hAnsi="Times New Roman" w:cs="Times New Roman"/>
                <w:sz w:val="24"/>
                <w:szCs w:val="24"/>
                <w:lang w:eastAsia="lv-LV"/>
              </w:rPr>
              <w:t xml:space="preserve">par konkrētiem </w:t>
            </w:r>
            <w:r>
              <w:rPr>
                <w:rFonts w:ascii="Times New Roman" w:eastAsia="Times New Roman" w:hAnsi="Times New Roman" w:cs="Times New Roman"/>
                <w:sz w:val="24"/>
                <w:szCs w:val="24"/>
                <w:lang w:eastAsia="lv-LV"/>
              </w:rPr>
              <w:t>objekta riska faktoriem</w:t>
            </w:r>
            <w:r w:rsidR="004F00D6">
              <w:rPr>
                <w:rFonts w:ascii="Times New Roman" w:eastAsia="Times New Roman" w:hAnsi="Times New Roman" w:cs="Times New Roman"/>
                <w:sz w:val="24"/>
                <w:szCs w:val="24"/>
                <w:lang w:eastAsia="lv-LV"/>
              </w:rPr>
              <w:t>,</w:t>
            </w:r>
            <w:r w:rsidR="00E12877">
              <w:rPr>
                <w:rFonts w:ascii="Times New Roman" w:eastAsia="Times New Roman" w:hAnsi="Times New Roman" w:cs="Times New Roman"/>
                <w:sz w:val="24"/>
                <w:szCs w:val="24"/>
                <w:lang w:eastAsia="lv-LV"/>
              </w:rPr>
              <w:t xml:space="preserve"> tā pieprasa</w:t>
            </w:r>
            <w:r w:rsidR="00423FD0" w:rsidRPr="001513B7">
              <w:rPr>
                <w:rFonts w:ascii="Times New Roman" w:eastAsia="Times New Roman" w:hAnsi="Times New Roman" w:cs="Times New Roman"/>
                <w:sz w:val="24"/>
                <w:szCs w:val="24"/>
                <w:lang w:eastAsia="lv-LV"/>
              </w:rPr>
              <w:t xml:space="preserve"> atbildīgajai personai </w:t>
            </w:r>
            <w:r w:rsidR="0003602B">
              <w:rPr>
                <w:rFonts w:ascii="Times New Roman" w:eastAsia="Times New Roman" w:hAnsi="Times New Roman" w:cs="Times New Roman"/>
                <w:sz w:val="24"/>
                <w:szCs w:val="24"/>
                <w:lang w:eastAsia="lv-LV"/>
              </w:rPr>
              <w:t xml:space="preserve">sniegt </w:t>
            </w:r>
            <w:r>
              <w:rPr>
                <w:rFonts w:ascii="Times New Roman" w:eastAsia="Times New Roman" w:hAnsi="Times New Roman" w:cs="Times New Roman"/>
                <w:sz w:val="24"/>
                <w:szCs w:val="24"/>
                <w:lang w:eastAsia="lv-LV"/>
              </w:rPr>
              <w:t xml:space="preserve">šādu </w:t>
            </w:r>
            <w:r w:rsidR="00423FD0" w:rsidRPr="001513B7">
              <w:rPr>
                <w:rFonts w:ascii="Times New Roman" w:eastAsia="Times New Roman" w:hAnsi="Times New Roman" w:cs="Times New Roman"/>
                <w:sz w:val="24"/>
                <w:szCs w:val="24"/>
                <w:lang w:eastAsia="lv-LV"/>
              </w:rPr>
              <w:t>informāciju</w:t>
            </w:r>
            <w:r w:rsidR="0018693F">
              <w:rPr>
                <w:rFonts w:ascii="Times New Roman" w:eastAsia="Times New Roman" w:hAnsi="Times New Roman" w:cs="Times New Roman"/>
                <w:sz w:val="24"/>
                <w:szCs w:val="24"/>
                <w:lang w:eastAsia="lv-LV"/>
              </w:rPr>
              <w:t>.</w:t>
            </w:r>
          </w:p>
        </w:tc>
      </w:tr>
      <w:tr w:rsidR="00724057" w:rsidRPr="00724057" w:rsidTr="004C5BC5">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RDefault="004758E7" w:rsidP="00AD3F2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lastRenderedPageBreak/>
              <w:t>3</w:t>
            </w:r>
          </w:p>
        </w:tc>
        <w:tc>
          <w:tcPr>
            <w:tcW w:w="1221" w:type="pct"/>
            <w:tcBorders>
              <w:top w:val="outset" w:sz="6" w:space="0" w:color="auto"/>
              <w:left w:val="outset" w:sz="6" w:space="0" w:color="auto"/>
              <w:bottom w:val="outset" w:sz="6" w:space="0" w:color="auto"/>
              <w:right w:val="outset" w:sz="6" w:space="0" w:color="auto"/>
            </w:tcBorders>
            <w:hideMark/>
          </w:tcPr>
          <w:p w:rsidR="00DB77BA"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izstrādē iesaistītās institūcijas</w:t>
            </w:r>
          </w:p>
          <w:p w:rsidR="004758E7" w:rsidRPr="00DB77BA" w:rsidRDefault="004758E7" w:rsidP="00A71BDC">
            <w:pPr>
              <w:jc w:val="cente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rsidR="001C39DA" w:rsidRDefault="00FB57B4" w:rsidP="002276A7">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Vides pārraudzības valsts birojs</w:t>
            </w:r>
            <w:r w:rsidR="00106A23" w:rsidRPr="001513B7">
              <w:rPr>
                <w:rFonts w:ascii="Times New Roman" w:eastAsia="Times New Roman" w:hAnsi="Times New Roman" w:cs="Times New Roman"/>
                <w:sz w:val="24"/>
                <w:szCs w:val="24"/>
                <w:lang w:eastAsia="lv-LV"/>
              </w:rPr>
              <w:t>, Vides aizsardzības un re</w:t>
            </w:r>
            <w:r w:rsidR="00374CD5" w:rsidRPr="001513B7">
              <w:rPr>
                <w:rFonts w:ascii="Times New Roman" w:eastAsia="Times New Roman" w:hAnsi="Times New Roman" w:cs="Times New Roman"/>
                <w:sz w:val="24"/>
                <w:szCs w:val="24"/>
                <w:lang w:eastAsia="lv-LV"/>
              </w:rPr>
              <w:t>ģionālās attīstības ministrija</w:t>
            </w:r>
            <w:r w:rsidR="001C39DA">
              <w:rPr>
                <w:rFonts w:ascii="Times New Roman" w:eastAsia="Times New Roman" w:hAnsi="Times New Roman" w:cs="Times New Roman"/>
                <w:sz w:val="24"/>
                <w:szCs w:val="24"/>
                <w:lang w:eastAsia="lv-LV"/>
              </w:rPr>
              <w:t>.</w:t>
            </w:r>
          </w:p>
          <w:p w:rsidR="004758E7" w:rsidRPr="001513B7" w:rsidRDefault="001C39DA" w:rsidP="002276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2015.gada 19.jūnijā tika nosūtīts komentāru sniegšanai Valsts vides dienestam un Valsts ugunsdzēsības un glābšanas dienestam.</w:t>
            </w:r>
          </w:p>
        </w:tc>
      </w:tr>
      <w:tr w:rsidR="004758E7" w:rsidRPr="00724057" w:rsidTr="004C5BC5">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RDefault="004758E7" w:rsidP="00AD3F2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221"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4758E7" w:rsidRPr="00AA39B7" w:rsidRDefault="00DB77BA" w:rsidP="008B3B09">
            <w:pPr>
              <w:spacing w:after="120" w:line="240" w:lineRule="auto"/>
              <w:ind w:firstLine="81"/>
              <w:jc w:val="both"/>
              <w:rPr>
                <w:rFonts w:ascii="Times New Roman" w:eastAsia="Times New Roman" w:hAnsi="Times New Roman" w:cs="Times New Roman"/>
                <w:sz w:val="24"/>
                <w:szCs w:val="24"/>
                <w:lang w:eastAsia="lv-LV"/>
              </w:rPr>
            </w:pPr>
            <w:r w:rsidRPr="00AA39B7">
              <w:rPr>
                <w:rFonts w:ascii="Times New Roman" w:eastAsia="Times New Roman" w:hAnsi="Times New Roman" w:cs="Times New Roman"/>
                <w:sz w:val="24"/>
                <w:szCs w:val="24"/>
                <w:lang w:eastAsia="lv-LV"/>
              </w:rPr>
              <w:t>VUGD piedalās sadarbības programmās par ārpusobjektu civilās aizsardzības plāniem lielu rūpniecisko avāriju gadījumiem.</w:t>
            </w:r>
          </w:p>
          <w:p w:rsidR="005B333B" w:rsidRPr="008B3B09" w:rsidRDefault="005B333B" w:rsidP="008B3B09">
            <w:pPr>
              <w:spacing w:after="0" w:line="240" w:lineRule="auto"/>
              <w:ind w:firstLine="81"/>
              <w:jc w:val="both"/>
              <w:rPr>
                <w:rFonts w:ascii="Times New Roman" w:hAnsi="Times New Roman" w:cs="Times New Roman"/>
                <w:sz w:val="24"/>
                <w:szCs w:val="24"/>
                <w:u w:val="single"/>
              </w:rPr>
            </w:pPr>
            <w:r w:rsidRPr="008B3B09">
              <w:rPr>
                <w:rFonts w:ascii="Times New Roman" w:hAnsi="Times New Roman" w:cs="Times New Roman"/>
                <w:sz w:val="24"/>
                <w:szCs w:val="24"/>
                <w:u w:val="single"/>
              </w:rPr>
              <w:t>Būtiskas izmaiņas.</w:t>
            </w:r>
          </w:p>
          <w:p w:rsidR="00AA39B7" w:rsidRPr="00AA39B7" w:rsidRDefault="00AA39B7" w:rsidP="008B3B09">
            <w:pPr>
              <w:spacing w:after="0" w:line="240" w:lineRule="auto"/>
              <w:ind w:firstLine="81"/>
              <w:jc w:val="both"/>
              <w:rPr>
                <w:rFonts w:ascii="Times New Roman" w:hAnsi="Times New Roman" w:cs="Times New Roman"/>
                <w:sz w:val="24"/>
                <w:szCs w:val="24"/>
              </w:rPr>
            </w:pPr>
            <w:r w:rsidRPr="00665FE5">
              <w:rPr>
                <w:rFonts w:ascii="Times New Roman" w:hAnsi="Times New Roman" w:cs="Times New Roman"/>
                <w:sz w:val="24"/>
                <w:szCs w:val="24"/>
              </w:rPr>
              <w:t>Par noteikumu projekta 26.2.apakšpunktā minētajām izmaiņām, kas būtiski palielina rūpniecisko avāriju bīstamību vai risku objektā vai iekārtā, noteikti uzskatāmas tādas izmaiņas, kuru rezultātā:</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1. i</w:t>
            </w:r>
            <w:r w:rsidRPr="00AA39B7">
              <w:rPr>
                <w:rFonts w:ascii="Times New Roman" w:hAnsi="Times New Roman" w:cs="Times New Roman"/>
                <w:sz w:val="24"/>
                <w:szCs w:val="24"/>
              </w:rPr>
              <w:t>ndividuālais risks palielinās par:</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1.1. </w:t>
            </w:r>
            <w:r w:rsidRPr="00AA39B7">
              <w:rPr>
                <w:rFonts w:ascii="Times New Roman" w:hAnsi="Times New Roman" w:cs="Times New Roman"/>
                <w:sz w:val="24"/>
                <w:szCs w:val="24"/>
              </w:rPr>
              <w:t>pakāpi, ja pirms izmaiņām tas ir bijis 1×10</w:t>
            </w:r>
            <w:r w:rsidRPr="00AA39B7">
              <w:rPr>
                <w:rFonts w:ascii="Times New Roman" w:hAnsi="Times New Roman" w:cs="Times New Roman"/>
                <w:sz w:val="24"/>
                <w:szCs w:val="24"/>
                <w:vertAlign w:val="superscript"/>
              </w:rPr>
              <w:t>-7</w:t>
            </w:r>
            <w:r w:rsidRPr="00AA39B7">
              <w:rPr>
                <w:rFonts w:ascii="Times New Roman" w:hAnsi="Times New Roman" w:cs="Times New Roman"/>
                <w:sz w:val="24"/>
                <w:szCs w:val="24"/>
              </w:rPr>
              <w:t xml:space="preserve"> un mazāks, piemēram, no 1×10</w:t>
            </w:r>
            <w:r w:rsidRPr="00AA39B7">
              <w:rPr>
                <w:rFonts w:ascii="Times New Roman" w:hAnsi="Times New Roman" w:cs="Times New Roman"/>
                <w:sz w:val="24"/>
                <w:szCs w:val="24"/>
                <w:vertAlign w:val="superscript"/>
              </w:rPr>
              <w:t>-7</w:t>
            </w:r>
            <w:r w:rsidRPr="00AA39B7">
              <w:rPr>
                <w:rFonts w:ascii="Times New Roman" w:hAnsi="Times New Roman" w:cs="Times New Roman"/>
                <w:sz w:val="24"/>
                <w:szCs w:val="24"/>
              </w:rPr>
              <w:t xml:space="preserve"> palielinās uz 1×10</w:t>
            </w:r>
            <w:r w:rsidRPr="00AA39B7">
              <w:rPr>
                <w:rFonts w:ascii="Times New Roman" w:hAnsi="Times New Roman" w:cs="Times New Roman"/>
                <w:sz w:val="24"/>
                <w:szCs w:val="24"/>
                <w:vertAlign w:val="superscript"/>
              </w:rPr>
              <w:t>-6</w:t>
            </w:r>
            <w:r w:rsidRPr="00AA39B7">
              <w:rPr>
                <w:rFonts w:ascii="Times New Roman" w:hAnsi="Times New Roman" w:cs="Times New Roman"/>
                <w:sz w:val="24"/>
                <w:szCs w:val="24"/>
              </w:rPr>
              <w:t>, kas ir akceptējamā individuālā risku raksturojošais robežlielums;</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1.2. </w:t>
            </w:r>
            <w:r w:rsidRPr="00AA39B7">
              <w:rPr>
                <w:rFonts w:ascii="Times New Roman" w:hAnsi="Times New Roman" w:cs="Times New Roman"/>
                <w:sz w:val="24"/>
                <w:szCs w:val="24"/>
              </w:rPr>
              <w:t>10 %, ja pirms izmaiņām tas ir bijis 1×10</w:t>
            </w:r>
            <w:r w:rsidRPr="00AA39B7">
              <w:rPr>
                <w:rFonts w:ascii="Times New Roman" w:hAnsi="Times New Roman" w:cs="Times New Roman"/>
                <w:sz w:val="24"/>
                <w:szCs w:val="24"/>
                <w:vertAlign w:val="superscript"/>
              </w:rPr>
              <w:t>-6</w:t>
            </w:r>
            <w:r w:rsidRPr="00AA39B7">
              <w:rPr>
                <w:rFonts w:ascii="Times New Roman" w:hAnsi="Times New Roman" w:cs="Times New Roman"/>
                <w:sz w:val="24"/>
                <w:szCs w:val="24"/>
              </w:rPr>
              <w:t xml:space="preserve"> un lielāks.</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2. n</w:t>
            </w:r>
            <w:r w:rsidRPr="00AA39B7">
              <w:rPr>
                <w:rFonts w:ascii="Times New Roman" w:hAnsi="Times New Roman" w:cs="Times New Roman"/>
                <w:sz w:val="24"/>
                <w:szCs w:val="24"/>
              </w:rPr>
              <w:t>evēlamo seku izplatība (1 % letālās iedarbības zona) palielinās:</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2.1. </w:t>
            </w:r>
            <w:r w:rsidRPr="00AA39B7">
              <w:rPr>
                <w:rFonts w:ascii="Times New Roman" w:hAnsi="Times New Roman" w:cs="Times New Roman"/>
                <w:sz w:val="24"/>
                <w:szCs w:val="24"/>
              </w:rPr>
              <w:t>par 50%, ja pirms izmaiņām tā ir bijusi tuvāka par 100 m (minimālā drošības aizsargjosla);</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2.2. </w:t>
            </w:r>
            <w:r w:rsidRPr="00AA39B7">
              <w:rPr>
                <w:rFonts w:ascii="Times New Roman" w:hAnsi="Times New Roman" w:cs="Times New Roman"/>
                <w:sz w:val="24"/>
                <w:szCs w:val="24"/>
              </w:rPr>
              <w:t>par 10%, ja pirms izmaiņām tā ir bijusi 500 m (maksimālā drošības aizsargjosla) un tālāka.</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3. t</w:t>
            </w:r>
            <w:r w:rsidRPr="00AA39B7">
              <w:rPr>
                <w:rFonts w:ascii="Times New Roman" w:hAnsi="Times New Roman" w:cs="Times New Roman"/>
                <w:sz w:val="24"/>
                <w:szCs w:val="24"/>
              </w:rPr>
              <w:t>iek paredzēti jauni bīstamo vielu rezervuāri vai spiedieniekārtu kompleksi (</w:t>
            </w:r>
            <w:r w:rsidR="006B4295">
              <w:rPr>
                <w:rFonts w:ascii="Times New Roman" w:hAnsi="Times New Roman" w:cs="Times New Roman"/>
                <w:sz w:val="24"/>
                <w:szCs w:val="24"/>
              </w:rPr>
              <w:t xml:space="preserve">noteikumu projekta </w:t>
            </w:r>
            <w:r w:rsidRPr="00AA39B7">
              <w:rPr>
                <w:rFonts w:ascii="Times New Roman" w:hAnsi="Times New Roman" w:cs="Times New Roman"/>
                <w:sz w:val="24"/>
                <w:szCs w:val="24"/>
              </w:rPr>
              <w:t>26.2.3.</w:t>
            </w:r>
            <w:r w:rsidR="006B4295">
              <w:rPr>
                <w:rFonts w:ascii="Times New Roman" w:hAnsi="Times New Roman" w:cs="Times New Roman"/>
                <w:sz w:val="24"/>
                <w:szCs w:val="24"/>
              </w:rPr>
              <w:t>punkts</w:t>
            </w:r>
            <w:r w:rsidRPr="00AA39B7">
              <w:rPr>
                <w:rFonts w:ascii="Times New Roman" w:hAnsi="Times New Roman" w:cs="Times New Roman"/>
                <w:sz w:val="24"/>
                <w:szCs w:val="24"/>
              </w:rPr>
              <w:t>);</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4. e</w:t>
            </w:r>
            <w:r w:rsidRPr="00AA39B7">
              <w:rPr>
                <w:rFonts w:ascii="Times New Roman" w:hAnsi="Times New Roman" w:cs="Times New Roman"/>
                <w:sz w:val="24"/>
                <w:szCs w:val="24"/>
              </w:rPr>
              <w:t>sošā rezervuāra pārbūves rezultātā tā tilpums palielinās par 30 % un vairāk;</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5. t</w:t>
            </w:r>
            <w:r w:rsidRPr="00AA39B7">
              <w:rPr>
                <w:rFonts w:ascii="Times New Roman" w:hAnsi="Times New Roman" w:cs="Times New Roman"/>
                <w:sz w:val="24"/>
                <w:szCs w:val="24"/>
              </w:rPr>
              <w:t>iek paredzētas jaunas bīstamo vielu pārkraušanas piestātnes (</w:t>
            </w:r>
            <w:r w:rsidR="006B4295">
              <w:rPr>
                <w:rFonts w:ascii="Times New Roman" w:hAnsi="Times New Roman" w:cs="Times New Roman"/>
                <w:sz w:val="24"/>
                <w:szCs w:val="24"/>
              </w:rPr>
              <w:t xml:space="preserve">noteikumu projekta </w:t>
            </w:r>
            <w:r w:rsidR="006B4295" w:rsidRPr="00AA39B7">
              <w:rPr>
                <w:rFonts w:ascii="Times New Roman" w:hAnsi="Times New Roman" w:cs="Times New Roman"/>
                <w:sz w:val="24"/>
                <w:szCs w:val="24"/>
              </w:rPr>
              <w:t>26.2.3.</w:t>
            </w:r>
            <w:r w:rsidR="006B4295">
              <w:rPr>
                <w:rFonts w:ascii="Times New Roman" w:hAnsi="Times New Roman" w:cs="Times New Roman"/>
                <w:sz w:val="24"/>
                <w:szCs w:val="24"/>
              </w:rPr>
              <w:t>punkts</w:t>
            </w:r>
            <w:r w:rsidRPr="00AA39B7">
              <w:rPr>
                <w:rFonts w:ascii="Times New Roman" w:hAnsi="Times New Roman" w:cs="Times New Roman"/>
                <w:sz w:val="24"/>
                <w:szCs w:val="24"/>
              </w:rPr>
              <w:t>);</w:t>
            </w:r>
          </w:p>
          <w:p w:rsidR="00AA39B7" w:rsidRPr="00AA39B7"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6. t</w:t>
            </w:r>
            <w:r w:rsidRPr="00AA39B7">
              <w:rPr>
                <w:rFonts w:ascii="Times New Roman" w:hAnsi="Times New Roman" w:cs="Times New Roman"/>
                <w:sz w:val="24"/>
                <w:szCs w:val="24"/>
              </w:rPr>
              <w:t>iek paredzētas jaunas dzelzceļa cisternu noliešanas/uzpildes estakādes, autocisternu noliešanas/uzpildes vietas vai sūkņu stacijas tādās objekta teritorijās, kur avārijas gadījumā tās var nevēlami ietekmēt citas būves vai aprīkojumu, kā arī varētu tikt ietekmētas citu tehnoloģisku iekārtu avārijas gadījumā.</w:t>
            </w:r>
          </w:p>
          <w:p w:rsidR="00DC3371" w:rsidRDefault="00AA39B7" w:rsidP="00AA39B7">
            <w:pPr>
              <w:spacing w:after="0" w:line="240" w:lineRule="auto"/>
              <w:ind w:firstLine="365"/>
              <w:jc w:val="both"/>
              <w:rPr>
                <w:rFonts w:ascii="Times New Roman" w:hAnsi="Times New Roman" w:cs="Times New Roman"/>
                <w:sz w:val="24"/>
                <w:szCs w:val="24"/>
              </w:rPr>
            </w:pPr>
            <w:r>
              <w:rPr>
                <w:rFonts w:ascii="Times New Roman" w:hAnsi="Times New Roman" w:cs="Times New Roman"/>
                <w:sz w:val="24"/>
                <w:szCs w:val="24"/>
              </w:rPr>
              <w:t>7. e</w:t>
            </w:r>
            <w:r w:rsidRPr="00AA39B7">
              <w:rPr>
                <w:rFonts w:ascii="Times New Roman" w:hAnsi="Times New Roman" w:cs="Times New Roman"/>
                <w:sz w:val="24"/>
                <w:szCs w:val="24"/>
              </w:rPr>
              <w:t>sošo dzelzceļa estakāžu vai autocisternu noliešanas/uzpildes staciju cisternu noliešanas/uzpildes vietu skaits palielinās par 50 %, ja tās izvietotas tādās objekta teritorijās, kur avārijas gadījumā varētu nevēlami ietekmēt citas būves vai aprīkojumu, kā arī varētu tikt ietekmētas citu tehnoloģisku iekārtu avārijas gadījumā cisternu noliešanas/uzpildes.</w:t>
            </w:r>
          </w:p>
          <w:p w:rsidR="005B333B" w:rsidRDefault="005B333B" w:rsidP="00396A27">
            <w:pPr>
              <w:pStyle w:val="ListParagraph"/>
              <w:spacing w:after="0"/>
              <w:ind w:left="81" w:firstLine="142"/>
              <w:jc w:val="both"/>
              <w:rPr>
                <w:rFonts w:ascii="Times New Roman" w:hAnsi="Times New Roman" w:cs="Times New Roman"/>
                <w:b/>
                <w:sz w:val="24"/>
                <w:szCs w:val="24"/>
                <w:u w:val="single"/>
              </w:rPr>
            </w:pPr>
          </w:p>
          <w:p w:rsidR="005B333B" w:rsidRPr="008B3B09" w:rsidRDefault="005B333B" w:rsidP="00396A27">
            <w:pPr>
              <w:pStyle w:val="ListParagraph"/>
              <w:spacing w:after="0"/>
              <w:ind w:left="81" w:firstLine="142"/>
              <w:jc w:val="both"/>
              <w:rPr>
                <w:rFonts w:ascii="Times New Roman" w:hAnsi="Times New Roman" w:cs="Times New Roman"/>
                <w:sz w:val="24"/>
                <w:szCs w:val="24"/>
                <w:u w:val="single"/>
              </w:rPr>
            </w:pPr>
            <w:r w:rsidRPr="008B3B09">
              <w:rPr>
                <w:rFonts w:ascii="Times New Roman" w:hAnsi="Times New Roman" w:cs="Times New Roman"/>
                <w:sz w:val="24"/>
                <w:szCs w:val="24"/>
                <w:u w:val="single"/>
              </w:rPr>
              <w:t>Būtiskas neatbilstības.</w:t>
            </w:r>
          </w:p>
          <w:p w:rsidR="00396A27" w:rsidRPr="00396A27" w:rsidRDefault="00396A27" w:rsidP="00396A27">
            <w:pPr>
              <w:pStyle w:val="ListParagraph"/>
              <w:spacing w:after="0"/>
              <w:ind w:left="81" w:firstLine="142"/>
              <w:jc w:val="both"/>
              <w:rPr>
                <w:rFonts w:ascii="Times New Roman" w:hAnsi="Times New Roman" w:cs="Times New Roman"/>
                <w:sz w:val="24"/>
                <w:szCs w:val="24"/>
              </w:rPr>
            </w:pPr>
            <w:r>
              <w:rPr>
                <w:rFonts w:ascii="Times New Roman" w:hAnsi="Times New Roman" w:cs="Times New Roman"/>
                <w:sz w:val="24"/>
                <w:szCs w:val="24"/>
              </w:rPr>
              <w:t xml:space="preserve">Par būtiskām neatbilstībām, kas minētas noteikumu </w:t>
            </w:r>
            <w:r w:rsidR="008B3B09">
              <w:rPr>
                <w:rFonts w:ascii="Times New Roman" w:hAnsi="Times New Roman" w:cs="Times New Roman"/>
                <w:sz w:val="24"/>
                <w:szCs w:val="24"/>
              </w:rPr>
              <w:t>projekta 94.punktā</w:t>
            </w:r>
            <w:r w:rsidR="00665FE5">
              <w:rPr>
                <w:rFonts w:ascii="Times New Roman" w:hAnsi="Times New Roman" w:cs="Times New Roman"/>
                <w:sz w:val="24"/>
                <w:szCs w:val="24"/>
              </w:rPr>
              <w:t>,</w:t>
            </w:r>
            <w:r>
              <w:rPr>
                <w:rFonts w:ascii="Times New Roman" w:hAnsi="Times New Roman" w:cs="Times New Roman"/>
                <w:sz w:val="24"/>
                <w:szCs w:val="24"/>
              </w:rPr>
              <w:t xml:space="preserve"> uzskata tādas</w:t>
            </w:r>
            <w:r w:rsidRPr="00396A27">
              <w:rPr>
                <w:rFonts w:ascii="Times New Roman" w:hAnsi="Times New Roman" w:cs="Times New Roman"/>
                <w:sz w:val="24"/>
                <w:szCs w:val="24"/>
              </w:rPr>
              <w:t xml:space="preserve"> neatbilstības, kuru dēļ var izraisīties nevēlams notikums, vai nevēlama notikuma gadījumā nav iespējams novērst tā pāraugšanu rūpnieciskā avārijā. Piemēram: </w:t>
            </w:r>
          </w:p>
          <w:p w:rsidR="00396A27" w:rsidRPr="00396A27" w:rsidRDefault="00665FE5" w:rsidP="00396A27">
            <w:pPr>
              <w:pStyle w:val="ListParagraph"/>
              <w:spacing w:after="0"/>
              <w:ind w:left="81" w:firstLine="142"/>
              <w:jc w:val="both"/>
              <w:rPr>
                <w:rFonts w:ascii="Times New Roman" w:hAnsi="Times New Roman" w:cs="Times New Roman"/>
                <w:sz w:val="24"/>
                <w:szCs w:val="24"/>
              </w:rPr>
            </w:pPr>
            <w:r>
              <w:rPr>
                <w:rFonts w:ascii="Times New Roman" w:hAnsi="Times New Roman" w:cs="Times New Roman"/>
                <w:sz w:val="24"/>
                <w:szCs w:val="24"/>
              </w:rPr>
              <w:t>- b</w:t>
            </w:r>
            <w:r w:rsidR="00396A27" w:rsidRPr="00396A27">
              <w:rPr>
                <w:rFonts w:ascii="Times New Roman" w:hAnsi="Times New Roman" w:cs="Times New Roman"/>
                <w:sz w:val="24"/>
                <w:szCs w:val="24"/>
              </w:rPr>
              <w:t>ūtiskas neatbilstības, kas var izraisīt nevēlamu notikumu - ar objekta vadību nesaskaņotu ugunsbīstamo darbu (kuros izmanto atklātu liesmu vai var rasties dzirksteles) veikšana; tehnoloģiskās zonas (teritorijas), kur atrodas uzliesmojošas vielas (gāzes vai šķidrumi) piesārņošana ar degošiem bīstamajiem atkritumiem; blakus tiek uzglabātas vai atrodas nesavietojamas vielas;</w:t>
            </w:r>
          </w:p>
          <w:p w:rsidR="00396A27" w:rsidRPr="00396A27" w:rsidRDefault="00665FE5" w:rsidP="00396A27">
            <w:pPr>
              <w:pStyle w:val="ListParagraph"/>
              <w:spacing w:after="0"/>
              <w:ind w:left="81" w:firstLine="142"/>
              <w:jc w:val="both"/>
              <w:rPr>
                <w:rFonts w:ascii="Times New Roman" w:hAnsi="Times New Roman" w:cs="Times New Roman"/>
                <w:sz w:val="24"/>
                <w:szCs w:val="24"/>
              </w:rPr>
            </w:pPr>
            <w:r>
              <w:rPr>
                <w:rFonts w:ascii="Times New Roman" w:hAnsi="Times New Roman" w:cs="Times New Roman"/>
                <w:sz w:val="24"/>
                <w:szCs w:val="24"/>
              </w:rPr>
              <w:t>- b</w:t>
            </w:r>
            <w:r w:rsidR="00396A27" w:rsidRPr="00396A27">
              <w:rPr>
                <w:rFonts w:ascii="Times New Roman" w:hAnsi="Times New Roman" w:cs="Times New Roman"/>
                <w:sz w:val="24"/>
                <w:szCs w:val="24"/>
              </w:rPr>
              <w:t xml:space="preserve">ūtiskas neatbilstības, kuru dēļ nav iespējams novērst nevēlama notikuma pāraugšanu rūpnieciskā avārijā – attiecīgajā vietā nav ugunsdzēsības aparātu; nepārdomāta esošo evakuācijas un transporta ceļu bloķēšana, kas liedz piekļuvi iekšējiem riska avotiem (būvēm) vai ugunsdzēsības ūdensapgādes sistēmai; atsevišķu ugunsdzēsības ūdensapgādes sistēmas elementu bojājumi. </w:t>
            </w:r>
          </w:p>
          <w:p w:rsidR="00396A27" w:rsidRDefault="00396A27" w:rsidP="00BA15D5">
            <w:pPr>
              <w:pStyle w:val="ListParagraph"/>
              <w:spacing w:line="240" w:lineRule="auto"/>
              <w:ind w:left="79" w:firstLine="142"/>
              <w:jc w:val="both"/>
              <w:rPr>
                <w:rFonts w:ascii="Times New Roman" w:hAnsi="Times New Roman" w:cs="Times New Roman"/>
                <w:sz w:val="24"/>
                <w:szCs w:val="24"/>
              </w:rPr>
            </w:pPr>
            <w:r w:rsidRPr="00396A27">
              <w:rPr>
                <w:rFonts w:ascii="Times New Roman" w:hAnsi="Times New Roman" w:cs="Times New Roman"/>
                <w:sz w:val="24"/>
                <w:szCs w:val="24"/>
              </w:rPr>
              <w:t>Būtiskas neatbilstības ir, ja nav veiktas bīstamo iekārtu, elektroinstalācijas, zibens aizsardzības un citu tehnisko drošības sistē</w:t>
            </w:r>
            <w:r w:rsidR="00665FE5">
              <w:rPr>
                <w:rFonts w:ascii="Times New Roman" w:hAnsi="Times New Roman" w:cs="Times New Roman"/>
                <w:sz w:val="24"/>
                <w:szCs w:val="24"/>
              </w:rPr>
              <w:t>mu regulāri veicamās pārbaudes, kā arī</w:t>
            </w:r>
            <w:r w:rsidRPr="00665FE5">
              <w:rPr>
                <w:rFonts w:ascii="Times New Roman" w:hAnsi="Times New Roman" w:cs="Times New Roman"/>
                <w:sz w:val="24"/>
                <w:szCs w:val="24"/>
              </w:rPr>
              <w:t xml:space="preserve"> ja ir veiktas izmaiņas, kas atbilst šo noteikumu projekta 26.1. un 26.2. apakšpunktā norādītajam, bet rūpniecisko avāriju novēršanas programmā vai drošības pārskatā, objekta civilās aizsardzības plānā nav sniegta atbilstoša info</w:t>
            </w:r>
            <w:r w:rsidR="00665FE5" w:rsidRPr="00665FE5">
              <w:rPr>
                <w:rFonts w:ascii="Times New Roman" w:hAnsi="Times New Roman" w:cs="Times New Roman"/>
                <w:sz w:val="24"/>
                <w:szCs w:val="24"/>
              </w:rPr>
              <w:t>rmācija.</w:t>
            </w:r>
          </w:p>
          <w:p w:rsidR="00BA15D5" w:rsidRPr="00BA15D5" w:rsidRDefault="00BA15D5" w:rsidP="00BA15D5">
            <w:pPr>
              <w:spacing w:after="0" w:line="240" w:lineRule="auto"/>
              <w:ind w:left="79" w:firstLine="221"/>
              <w:jc w:val="both"/>
              <w:rPr>
                <w:rFonts w:ascii="Times New Roman" w:hAnsi="Times New Roman" w:cs="Times New Roman"/>
                <w:sz w:val="24"/>
                <w:szCs w:val="24"/>
                <w:u w:val="single"/>
              </w:rPr>
            </w:pPr>
            <w:r w:rsidRPr="00BA15D5">
              <w:rPr>
                <w:rFonts w:ascii="Times New Roman" w:hAnsi="Times New Roman" w:cs="Times New Roman"/>
                <w:sz w:val="24"/>
                <w:szCs w:val="24"/>
                <w:u w:val="single"/>
              </w:rPr>
              <w:t>Termins “jauns objekts”</w:t>
            </w:r>
          </w:p>
          <w:p w:rsidR="00BA15D5" w:rsidRPr="00BA15D5" w:rsidRDefault="00BA15D5" w:rsidP="00BA15D5">
            <w:pPr>
              <w:spacing w:after="0" w:line="240" w:lineRule="auto"/>
              <w:ind w:left="79" w:firstLine="221"/>
              <w:jc w:val="both"/>
              <w:rPr>
                <w:rFonts w:ascii="Times New Roman" w:hAnsi="Times New Roman" w:cs="Times New Roman"/>
                <w:sz w:val="24"/>
                <w:szCs w:val="24"/>
              </w:rPr>
            </w:pPr>
            <w:r w:rsidRPr="00BA15D5">
              <w:rPr>
                <w:rFonts w:ascii="Times New Roman" w:hAnsi="Times New Roman" w:cs="Times New Roman"/>
                <w:sz w:val="24"/>
                <w:szCs w:val="24"/>
              </w:rPr>
              <w:t xml:space="preserve">Latvijas normatīvajos aktos jēdzienu "jauns objekts" neattiecina uz esošiem objektiem, kā tas ir Direktīvas 2012/18/ES 3. panta 5.b) apakšpunktā, kur kā "jauni uzņēmumi" definētas esošas darbības vietas, kā arī jēdzienam "cits objekts" ir plašāka nozīme nekā Direktīvas 2012/18/ES 3. panta 7. punktā definētajam jēdzienam "cits uzņēmums". Tādēļ, pārņemot Direktīvas 2012/18/ES normas, lai Latvijas tiesību aktu </w:t>
            </w:r>
            <w:r>
              <w:rPr>
                <w:rFonts w:ascii="Times New Roman" w:hAnsi="Times New Roman" w:cs="Times New Roman"/>
                <w:sz w:val="24"/>
                <w:szCs w:val="24"/>
              </w:rPr>
              <w:t>pa</w:t>
            </w:r>
            <w:r w:rsidRPr="00BA15D5">
              <w:rPr>
                <w:rFonts w:ascii="Times New Roman" w:hAnsi="Times New Roman" w:cs="Times New Roman"/>
                <w:sz w:val="24"/>
                <w:szCs w:val="24"/>
              </w:rPr>
              <w:t xml:space="preserve">darītu </w:t>
            </w:r>
            <w:r>
              <w:rPr>
                <w:rFonts w:ascii="Times New Roman" w:hAnsi="Times New Roman" w:cs="Times New Roman"/>
                <w:sz w:val="24"/>
                <w:szCs w:val="24"/>
              </w:rPr>
              <w:t>skaidrāku</w:t>
            </w:r>
            <w:r w:rsidRPr="00BA15D5">
              <w:rPr>
                <w:rFonts w:ascii="Times New Roman" w:hAnsi="Times New Roman" w:cs="Times New Roman"/>
                <w:sz w:val="24"/>
                <w:szCs w:val="24"/>
              </w:rPr>
              <w:t xml:space="preserve"> tā lietotājam, ir tieši norādīts, uz kuriem objektiem vai darbības vietām prasības attiecas, piemēram:</w:t>
            </w:r>
          </w:p>
          <w:p w:rsidR="00BA15D5" w:rsidRPr="00BA15D5" w:rsidRDefault="00BA15D5" w:rsidP="00BA15D5">
            <w:pPr>
              <w:numPr>
                <w:ilvl w:val="0"/>
                <w:numId w:val="10"/>
              </w:numPr>
              <w:tabs>
                <w:tab w:val="clear" w:pos="1800"/>
                <w:tab w:val="num" w:pos="180"/>
              </w:tabs>
              <w:spacing w:after="0" w:line="240" w:lineRule="auto"/>
              <w:ind w:left="180" w:firstLine="81"/>
              <w:jc w:val="both"/>
              <w:rPr>
                <w:rFonts w:ascii="Times New Roman" w:hAnsi="Times New Roman" w:cs="Times New Roman"/>
                <w:sz w:val="24"/>
                <w:szCs w:val="24"/>
              </w:rPr>
            </w:pPr>
            <w:r w:rsidRPr="00BA15D5">
              <w:rPr>
                <w:rFonts w:ascii="Times New Roman" w:hAnsi="Times New Roman" w:cs="Times New Roman"/>
                <w:sz w:val="24"/>
                <w:szCs w:val="24"/>
              </w:rPr>
              <w:t>objektu, uz kuru attiecas šo noteikumu 15. punkts (zemāka riska līmeņa objekts), kļūst par objektu, uz kuru attiecas šo noteikumu 16. punkts (augstāka riska līmeņa objektu);</w:t>
            </w:r>
          </w:p>
          <w:p w:rsidR="00BA15D5" w:rsidRDefault="00BA15D5" w:rsidP="00BA15D5">
            <w:pPr>
              <w:numPr>
                <w:ilvl w:val="0"/>
                <w:numId w:val="10"/>
              </w:numPr>
              <w:tabs>
                <w:tab w:val="clear" w:pos="1800"/>
                <w:tab w:val="num" w:pos="180"/>
              </w:tabs>
              <w:spacing w:after="0" w:line="240" w:lineRule="auto"/>
              <w:ind w:left="180" w:firstLine="81"/>
              <w:jc w:val="both"/>
              <w:rPr>
                <w:rFonts w:ascii="Times New Roman" w:hAnsi="Times New Roman" w:cs="Times New Roman"/>
                <w:sz w:val="24"/>
                <w:szCs w:val="24"/>
              </w:rPr>
            </w:pPr>
            <w:r w:rsidRPr="00BA15D5">
              <w:rPr>
                <w:rFonts w:ascii="Times New Roman" w:hAnsi="Times New Roman" w:cs="Times New Roman"/>
                <w:sz w:val="24"/>
                <w:szCs w:val="24"/>
              </w:rPr>
              <w:t>darbības vietu, par kuru iepriekš nav iesniegts iesniegums, bet kas darbojas vai nodota</w:t>
            </w:r>
            <w:r>
              <w:rPr>
                <w:rFonts w:ascii="Times New Roman" w:hAnsi="Times New Roman" w:cs="Times New Roman"/>
                <w:sz w:val="24"/>
                <w:szCs w:val="24"/>
              </w:rPr>
              <w:t xml:space="preserve"> ekspluatācijā.</w:t>
            </w:r>
          </w:p>
          <w:p w:rsidR="00512EB1" w:rsidRDefault="00512EB1" w:rsidP="00512EB1">
            <w:pPr>
              <w:spacing w:after="0" w:line="240" w:lineRule="auto"/>
              <w:ind w:left="261"/>
              <w:jc w:val="both"/>
              <w:rPr>
                <w:rFonts w:ascii="Times New Roman" w:hAnsi="Times New Roman" w:cs="Times New Roman"/>
                <w:sz w:val="24"/>
                <w:szCs w:val="24"/>
              </w:rPr>
            </w:pPr>
          </w:p>
          <w:p w:rsidR="00512EB1" w:rsidRPr="00BA15D5" w:rsidRDefault="00512EB1" w:rsidP="000C0CC7">
            <w:pPr>
              <w:spacing w:after="0" w:line="240" w:lineRule="auto"/>
              <w:ind w:left="81" w:firstLine="284"/>
              <w:jc w:val="both"/>
              <w:rPr>
                <w:rFonts w:ascii="Times New Roman" w:hAnsi="Times New Roman" w:cs="Times New Roman"/>
                <w:sz w:val="24"/>
                <w:szCs w:val="24"/>
              </w:rPr>
            </w:pPr>
            <w:r w:rsidRPr="000C0CC7">
              <w:rPr>
                <w:rFonts w:ascii="Times New Roman" w:hAnsi="Times New Roman" w:cs="Times New Roman"/>
                <w:sz w:val="24"/>
                <w:szCs w:val="24"/>
              </w:rPr>
              <w:t xml:space="preserve">Par noteikumu projekta 9.2.apakšpunktā minēto paziņošanu Valsts vides dienestam un attiecīgajai pašvaldībai par objekta darbības </w:t>
            </w:r>
            <w:r w:rsidR="000C0CC7" w:rsidRPr="000C0CC7">
              <w:rPr>
                <w:rFonts w:ascii="Times New Roman" w:hAnsi="Times New Roman" w:cs="Times New Roman"/>
                <w:sz w:val="24"/>
                <w:szCs w:val="24"/>
              </w:rPr>
              <w:t>pārtraukšanu</w:t>
            </w:r>
            <w:r w:rsidRPr="000C0CC7">
              <w:rPr>
                <w:rFonts w:ascii="Times New Roman" w:hAnsi="Times New Roman" w:cs="Times New Roman"/>
                <w:sz w:val="24"/>
                <w:szCs w:val="24"/>
              </w:rPr>
              <w:t xml:space="preserve"> uz laiku saprotama objekta darbības </w:t>
            </w:r>
            <w:r w:rsidR="000C0CC7" w:rsidRPr="000C0CC7">
              <w:rPr>
                <w:rFonts w:ascii="Times New Roman" w:hAnsi="Times New Roman" w:cs="Times New Roman"/>
                <w:sz w:val="24"/>
                <w:szCs w:val="24"/>
              </w:rPr>
              <w:t>pārtraukšana</w:t>
            </w:r>
            <w:r w:rsidRPr="000C0CC7">
              <w:rPr>
                <w:rFonts w:ascii="Times New Roman" w:hAnsi="Times New Roman" w:cs="Times New Roman"/>
                <w:sz w:val="24"/>
                <w:szCs w:val="24"/>
              </w:rPr>
              <w:t xml:space="preserve"> līdz gadam, lai inspekcijas neplānotu kompleksās pārbaudes šajā laikā.</w:t>
            </w:r>
          </w:p>
        </w:tc>
      </w:tr>
    </w:tbl>
    <w:p w:rsidR="004758E7" w:rsidRPr="00724057" w:rsidRDefault="004758E7" w:rsidP="0078319C">
      <w:pPr>
        <w:spacing w:after="0" w:line="240" w:lineRule="auto"/>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377"/>
        <w:gridCol w:w="6343"/>
      </w:tblGrid>
      <w:tr w:rsidR="00724057" w:rsidRPr="001513B7" w:rsidTr="004758E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2838EA">
            <w:pPr>
              <w:spacing w:after="0" w:line="240" w:lineRule="auto"/>
              <w:ind w:firstLine="301"/>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24057" w:rsidRPr="001513B7" w:rsidTr="004C5BC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272"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rsidR="00627BA3" w:rsidRDefault="00102DA3" w:rsidP="00627BA3">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w:t>
            </w:r>
            <w:r w:rsidR="00FD143C">
              <w:rPr>
                <w:rFonts w:ascii="Times New Roman" w:eastAsia="Times New Roman" w:hAnsi="Times New Roman" w:cs="Times New Roman"/>
                <w:sz w:val="24"/>
                <w:szCs w:val="24"/>
                <w:lang w:eastAsia="lv-LV"/>
              </w:rPr>
              <w:t>oteikumu projekts tieši ietekmē</w:t>
            </w:r>
            <w:r w:rsidRPr="001513B7">
              <w:rPr>
                <w:rFonts w:ascii="Times New Roman" w:eastAsia="Times New Roman" w:hAnsi="Times New Roman" w:cs="Times New Roman"/>
                <w:sz w:val="24"/>
                <w:szCs w:val="24"/>
                <w:lang w:eastAsia="lv-LV"/>
              </w:rPr>
              <w:t xml:space="preserve"> </w:t>
            </w:r>
            <w:r w:rsidR="00BD4253">
              <w:rPr>
                <w:rFonts w:ascii="Times New Roman" w:eastAsia="Times New Roman" w:hAnsi="Times New Roman" w:cs="Times New Roman"/>
                <w:sz w:val="24"/>
                <w:szCs w:val="24"/>
                <w:lang w:eastAsia="lv-LV"/>
              </w:rPr>
              <w:t>komersantus</w:t>
            </w:r>
            <w:r w:rsidR="00984066" w:rsidRPr="001513B7">
              <w:rPr>
                <w:rFonts w:ascii="Times New Roman" w:eastAsia="Times New Roman" w:hAnsi="Times New Roman" w:cs="Times New Roman"/>
                <w:sz w:val="24"/>
                <w:szCs w:val="24"/>
                <w:lang w:eastAsia="lv-LV"/>
              </w:rPr>
              <w:t xml:space="preserve">, kuriem pieder </w:t>
            </w:r>
            <w:r w:rsidR="00E561C8" w:rsidRPr="001513B7">
              <w:rPr>
                <w:rFonts w:ascii="Times New Roman" w:eastAsia="Times New Roman" w:hAnsi="Times New Roman" w:cs="Times New Roman"/>
                <w:sz w:val="24"/>
                <w:szCs w:val="24"/>
                <w:lang w:eastAsia="lv-LV"/>
              </w:rPr>
              <w:t>objekti</w:t>
            </w:r>
            <w:r w:rsidR="00C92FE1">
              <w:rPr>
                <w:rFonts w:ascii="Times New Roman" w:eastAsia="Times New Roman" w:hAnsi="Times New Roman" w:cs="Times New Roman"/>
                <w:sz w:val="24"/>
                <w:szCs w:val="24"/>
                <w:lang w:eastAsia="lv-LV"/>
              </w:rPr>
              <w:t xml:space="preserve"> vai iekārtas</w:t>
            </w:r>
            <w:r w:rsidR="00984066" w:rsidRPr="001513B7">
              <w:rPr>
                <w:rFonts w:ascii="Times New Roman" w:eastAsia="Times New Roman" w:hAnsi="Times New Roman" w:cs="Times New Roman"/>
                <w:sz w:val="24"/>
                <w:szCs w:val="24"/>
                <w:lang w:eastAsia="lv-LV"/>
              </w:rPr>
              <w:t xml:space="preserve">, </w:t>
            </w:r>
            <w:r w:rsidR="00E561C8" w:rsidRPr="001513B7">
              <w:rPr>
                <w:rFonts w:ascii="Times New Roman" w:eastAsia="Times New Roman" w:hAnsi="Times New Roman" w:cs="Times New Roman"/>
                <w:sz w:val="24"/>
                <w:szCs w:val="24"/>
                <w:lang w:eastAsia="lv-LV"/>
              </w:rPr>
              <w:t>kuro</w:t>
            </w:r>
            <w:r w:rsidR="00984066" w:rsidRPr="001513B7">
              <w:rPr>
                <w:rFonts w:ascii="Times New Roman" w:eastAsia="Times New Roman" w:hAnsi="Times New Roman" w:cs="Times New Roman"/>
                <w:sz w:val="24"/>
                <w:szCs w:val="24"/>
                <w:lang w:eastAsia="lv-LV"/>
              </w:rPr>
              <w:t>s</w:t>
            </w:r>
            <w:r w:rsidRPr="001513B7">
              <w:rPr>
                <w:rFonts w:ascii="Times New Roman" w:eastAsia="Times New Roman" w:hAnsi="Times New Roman" w:cs="Times New Roman"/>
                <w:sz w:val="24"/>
                <w:szCs w:val="24"/>
                <w:lang w:eastAsia="lv-LV"/>
              </w:rPr>
              <w:t xml:space="preserve"> tiek </w:t>
            </w:r>
            <w:r w:rsidR="00E561C8" w:rsidRPr="001513B7">
              <w:rPr>
                <w:rFonts w:ascii="Times New Roman" w:eastAsia="Times New Roman" w:hAnsi="Times New Roman" w:cs="Times New Roman"/>
                <w:sz w:val="24"/>
                <w:szCs w:val="24"/>
                <w:lang w:eastAsia="lv-LV"/>
              </w:rPr>
              <w:t>veiktas darbības ar</w:t>
            </w:r>
            <w:r w:rsidR="00984066" w:rsidRPr="001513B7">
              <w:rPr>
                <w:rFonts w:ascii="Times New Roman" w:eastAsia="Times New Roman" w:hAnsi="Times New Roman" w:cs="Times New Roman"/>
                <w:sz w:val="24"/>
                <w:szCs w:val="24"/>
                <w:lang w:eastAsia="lv-LV"/>
              </w:rPr>
              <w:t xml:space="preserve"> ķīmiskā</w:t>
            </w:r>
            <w:r w:rsidR="00E561C8" w:rsidRPr="001513B7">
              <w:rPr>
                <w:rFonts w:ascii="Times New Roman" w:eastAsia="Times New Roman" w:hAnsi="Times New Roman" w:cs="Times New Roman"/>
                <w:sz w:val="24"/>
                <w:szCs w:val="24"/>
                <w:lang w:eastAsia="lv-LV"/>
              </w:rPr>
              <w:t>m vielām</w:t>
            </w:r>
            <w:r w:rsidR="00984066" w:rsidRPr="001513B7">
              <w:rPr>
                <w:rFonts w:ascii="Times New Roman" w:eastAsia="Times New Roman" w:hAnsi="Times New Roman" w:cs="Times New Roman"/>
                <w:sz w:val="24"/>
                <w:szCs w:val="24"/>
                <w:lang w:eastAsia="lv-LV"/>
              </w:rPr>
              <w:t xml:space="preserve"> un maisījumi</w:t>
            </w:r>
            <w:r w:rsidR="00E561C8" w:rsidRPr="001513B7">
              <w:rPr>
                <w:rFonts w:ascii="Times New Roman" w:eastAsia="Times New Roman" w:hAnsi="Times New Roman" w:cs="Times New Roman"/>
                <w:sz w:val="24"/>
                <w:szCs w:val="24"/>
                <w:lang w:eastAsia="lv-LV"/>
              </w:rPr>
              <w:t>em</w:t>
            </w:r>
            <w:r w:rsidR="004205F9" w:rsidRPr="001513B7">
              <w:rPr>
                <w:rFonts w:ascii="Times New Roman" w:eastAsia="Times New Roman" w:hAnsi="Times New Roman" w:cs="Times New Roman"/>
                <w:sz w:val="24"/>
                <w:szCs w:val="24"/>
                <w:lang w:eastAsia="lv-LV"/>
              </w:rPr>
              <w:t xml:space="preserve"> </w:t>
            </w:r>
            <w:r w:rsidR="00627BA3">
              <w:rPr>
                <w:rFonts w:ascii="Times New Roman" w:eastAsia="Times New Roman" w:hAnsi="Times New Roman" w:cs="Times New Roman"/>
                <w:sz w:val="24"/>
                <w:szCs w:val="24"/>
                <w:lang w:eastAsia="lv-LV"/>
              </w:rPr>
              <w:t>apjomos un bīstamības kategorijās, kas noteiktas 1.pielikumā.</w:t>
            </w:r>
          </w:p>
          <w:p w:rsidR="00466CDF" w:rsidRDefault="00102DA3" w:rsidP="002465BA">
            <w:pPr>
              <w:spacing w:after="0" w:line="240" w:lineRule="auto"/>
              <w:jc w:val="both"/>
              <w:rPr>
                <w:rStyle w:val="Hyperlink"/>
                <w:rFonts w:ascii="Times New Roman" w:eastAsia="Times New Roman" w:hAnsi="Times New Roman"/>
                <w:sz w:val="24"/>
                <w:szCs w:val="24"/>
                <w:lang w:eastAsia="lv-LV"/>
              </w:rPr>
            </w:pPr>
            <w:r w:rsidRPr="001513B7">
              <w:rPr>
                <w:rFonts w:ascii="Times New Roman" w:eastAsia="Times New Roman" w:hAnsi="Times New Roman" w:cs="Times New Roman"/>
                <w:sz w:val="24"/>
                <w:szCs w:val="24"/>
                <w:lang w:eastAsia="lv-LV"/>
              </w:rPr>
              <w:t xml:space="preserve">Pašlaik Latvijā </w:t>
            </w:r>
            <w:r w:rsidR="00984066" w:rsidRPr="001513B7">
              <w:rPr>
                <w:rFonts w:ascii="Times New Roman" w:eastAsia="Times New Roman" w:hAnsi="Times New Roman" w:cs="Times New Roman"/>
                <w:sz w:val="24"/>
                <w:szCs w:val="24"/>
                <w:lang w:eastAsia="lv-LV"/>
              </w:rPr>
              <w:t>ir 30</w:t>
            </w:r>
            <w:r w:rsidR="002465BA">
              <w:rPr>
                <w:rFonts w:ascii="Times New Roman" w:eastAsia="Times New Roman" w:hAnsi="Times New Roman" w:cs="Times New Roman"/>
                <w:sz w:val="24"/>
                <w:szCs w:val="24"/>
                <w:lang w:eastAsia="lv-LV"/>
              </w:rPr>
              <w:t xml:space="preserve"> augstāka riska</w:t>
            </w:r>
            <w:r w:rsidRPr="001513B7">
              <w:rPr>
                <w:rFonts w:ascii="Times New Roman" w:eastAsia="Times New Roman" w:hAnsi="Times New Roman" w:cs="Times New Roman"/>
                <w:sz w:val="24"/>
                <w:szCs w:val="24"/>
                <w:lang w:eastAsia="lv-LV"/>
              </w:rPr>
              <w:t xml:space="preserve"> līmeņa </w:t>
            </w:r>
            <w:r w:rsidR="00C92FE1">
              <w:rPr>
                <w:rFonts w:ascii="Times New Roman" w:eastAsia="Times New Roman" w:hAnsi="Times New Roman" w:cs="Times New Roman"/>
                <w:sz w:val="24"/>
                <w:szCs w:val="24"/>
                <w:lang w:eastAsia="lv-LV"/>
              </w:rPr>
              <w:t>objekti</w:t>
            </w:r>
            <w:r w:rsidRPr="001513B7">
              <w:rPr>
                <w:rFonts w:ascii="Times New Roman" w:eastAsia="Times New Roman" w:hAnsi="Times New Roman" w:cs="Times New Roman"/>
                <w:sz w:val="24"/>
                <w:szCs w:val="24"/>
                <w:lang w:eastAsia="lv-LV"/>
              </w:rPr>
              <w:t xml:space="preserve"> u</w:t>
            </w:r>
            <w:r w:rsidR="00984066" w:rsidRPr="001513B7">
              <w:rPr>
                <w:rFonts w:ascii="Times New Roman" w:eastAsia="Times New Roman" w:hAnsi="Times New Roman" w:cs="Times New Roman"/>
                <w:sz w:val="24"/>
                <w:szCs w:val="24"/>
                <w:lang w:eastAsia="lv-LV"/>
              </w:rPr>
              <w:t>n 39</w:t>
            </w:r>
            <w:r w:rsidRPr="001513B7">
              <w:rPr>
                <w:rFonts w:ascii="Times New Roman" w:eastAsia="Times New Roman" w:hAnsi="Times New Roman" w:cs="Times New Roman"/>
                <w:sz w:val="24"/>
                <w:szCs w:val="24"/>
                <w:lang w:eastAsia="lv-LV"/>
              </w:rPr>
              <w:t xml:space="preserve"> zemāk</w:t>
            </w:r>
            <w:r w:rsidR="002465BA">
              <w:rPr>
                <w:rFonts w:ascii="Times New Roman" w:eastAsia="Times New Roman" w:hAnsi="Times New Roman" w:cs="Times New Roman"/>
                <w:sz w:val="24"/>
                <w:szCs w:val="24"/>
                <w:lang w:eastAsia="lv-LV"/>
              </w:rPr>
              <w:t>a riska</w:t>
            </w:r>
            <w:r w:rsidRPr="001513B7">
              <w:rPr>
                <w:rFonts w:ascii="Times New Roman" w:eastAsia="Times New Roman" w:hAnsi="Times New Roman" w:cs="Times New Roman"/>
                <w:sz w:val="24"/>
                <w:szCs w:val="24"/>
                <w:lang w:eastAsia="lv-LV"/>
              </w:rPr>
              <w:t xml:space="preserve"> līmeņa </w:t>
            </w:r>
            <w:r w:rsidR="00C92FE1">
              <w:rPr>
                <w:rFonts w:ascii="Times New Roman" w:eastAsia="Times New Roman" w:hAnsi="Times New Roman" w:cs="Times New Roman"/>
                <w:sz w:val="24"/>
                <w:szCs w:val="24"/>
                <w:lang w:eastAsia="lv-LV"/>
              </w:rPr>
              <w:t>objekti</w:t>
            </w:r>
            <w:r w:rsidR="00485D81" w:rsidRPr="001513B7">
              <w:rPr>
                <w:rFonts w:ascii="Times New Roman" w:eastAsia="Times New Roman" w:hAnsi="Times New Roman" w:cs="Times New Roman"/>
                <w:sz w:val="24"/>
                <w:szCs w:val="24"/>
                <w:lang w:eastAsia="lv-LV"/>
              </w:rPr>
              <w:t>.</w:t>
            </w:r>
            <w:r w:rsidR="00466CDF">
              <w:rPr>
                <w:rFonts w:ascii="Times New Roman" w:eastAsia="Times New Roman" w:hAnsi="Times New Roman" w:cs="Times New Roman"/>
                <w:sz w:val="24"/>
                <w:szCs w:val="24"/>
                <w:lang w:eastAsia="lv-LV"/>
              </w:rPr>
              <w:t xml:space="preserve"> Objektu saraksts pieejam</w:t>
            </w:r>
            <w:r w:rsidR="001C0FE9">
              <w:rPr>
                <w:rFonts w:ascii="Times New Roman" w:eastAsia="Times New Roman" w:hAnsi="Times New Roman" w:cs="Times New Roman"/>
                <w:sz w:val="24"/>
                <w:szCs w:val="24"/>
                <w:lang w:eastAsia="lv-LV"/>
              </w:rPr>
              <w:t>s</w:t>
            </w:r>
            <w:r w:rsidR="00466CDF">
              <w:rPr>
                <w:rFonts w:ascii="Times New Roman" w:eastAsia="Times New Roman" w:hAnsi="Times New Roman" w:cs="Times New Roman"/>
                <w:sz w:val="24"/>
                <w:szCs w:val="24"/>
                <w:lang w:eastAsia="lv-LV"/>
              </w:rPr>
              <w:t xml:space="preserve"> Vides pārraudzības valsts biroja tīmekļa vietnē: </w:t>
            </w:r>
            <w:hyperlink r:id="rId8" w:history="1">
              <w:r w:rsidR="00466CDF" w:rsidRPr="00227F94">
                <w:rPr>
                  <w:rStyle w:val="Hyperlink"/>
                  <w:rFonts w:ascii="Times New Roman" w:eastAsia="Times New Roman" w:hAnsi="Times New Roman"/>
                  <w:sz w:val="24"/>
                  <w:szCs w:val="24"/>
                  <w:lang w:eastAsia="lv-LV"/>
                </w:rPr>
                <w:t>http://www.vpvb.gov.lv/lv/avariju-risks/objektu-saraksts</w:t>
              </w:r>
            </w:hyperlink>
          </w:p>
          <w:p w:rsidR="00CD7091" w:rsidRPr="004F00D6" w:rsidRDefault="00CD7091" w:rsidP="004F00D6">
            <w:pPr>
              <w:spacing w:after="0" w:line="240" w:lineRule="auto"/>
              <w:jc w:val="both"/>
              <w:rPr>
                <w:rFonts w:ascii="Times New Roman" w:eastAsia="Times New Roman" w:hAnsi="Times New Roman" w:cs="Times New Roman"/>
                <w:sz w:val="24"/>
                <w:szCs w:val="24"/>
                <w:lang w:eastAsia="lv-LV"/>
              </w:rPr>
            </w:pPr>
            <w:r w:rsidRPr="004F00D6">
              <w:rPr>
                <w:rFonts w:ascii="Times New Roman" w:eastAsia="Times New Roman" w:hAnsi="Times New Roman" w:cs="Times New Roman"/>
                <w:sz w:val="24"/>
                <w:szCs w:val="24"/>
                <w:lang w:eastAsia="lv-LV"/>
              </w:rPr>
              <w:t>Noteikumu projektam nav būtiskas ietekmes uz pašvaldībām</w:t>
            </w:r>
            <w:r w:rsidR="004F00D6" w:rsidRPr="004F00D6">
              <w:rPr>
                <w:rFonts w:ascii="Times New Roman" w:eastAsia="Times New Roman" w:hAnsi="Times New Roman" w:cs="Times New Roman"/>
                <w:sz w:val="24"/>
                <w:szCs w:val="24"/>
                <w:lang w:eastAsia="lv-LV"/>
              </w:rPr>
              <w:t xml:space="preserve"> un to budžetiem, jo šie noteikumi neietver jaunas prasības</w:t>
            </w:r>
            <w:r w:rsidR="004F00D6">
              <w:rPr>
                <w:rFonts w:ascii="Times New Roman" w:eastAsia="Times New Roman" w:hAnsi="Times New Roman" w:cs="Times New Roman"/>
                <w:sz w:val="24"/>
                <w:szCs w:val="24"/>
                <w:lang w:eastAsia="lv-LV"/>
              </w:rPr>
              <w:t>, kas atšķirtos no šobrīd spēkā esošā regulējuma.</w:t>
            </w:r>
          </w:p>
        </w:tc>
      </w:tr>
      <w:tr w:rsidR="00724057" w:rsidRPr="001513B7" w:rsidTr="004C5BC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272"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rsidR="00BD4253" w:rsidRPr="004F7B0E" w:rsidRDefault="006B7C6D" w:rsidP="000C498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būtiski neietekmēs tautsaimniecību un administratīvo slogu.</w:t>
            </w:r>
            <w:r w:rsidR="00BD4253">
              <w:rPr>
                <w:rFonts w:ascii="Times New Roman" w:eastAsia="Times New Roman" w:hAnsi="Times New Roman" w:cs="Times New Roman"/>
                <w:sz w:val="24"/>
                <w:szCs w:val="24"/>
                <w:lang w:eastAsia="lv-LV"/>
              </w:rPr>
              <w:t xml:space="preserve"> </w:t>
            </w:r>
            <w:r w:rsidR="00DC3371" w:rsidRPr="004F7B0E">
              <w:rPr>
                <w:rFonts w:ascii="Times New Roman" w:eastAsia="Times New Roman" w:hAnsi="Times New Roman" w:cs="Times New Roman"/>
                <w:sz w:val="24"/>
                <w:szCs w:val="24"/>
                <w:lang w:eastAsia="lv-LV"/>
              </w:rPr>
              <w:t>K</w:t>
            </w:r>
            <w:r w:rsidR="00BD4253" w:rsidRPr="004F7B0E">
              <w:rPr>
                <w:rFonts w:ascii="Times New Roman" w:eastAsia="Times New Roman" w:hAnsi="Times New Roman" w:cs="Times New Roman"/>
                <w:sz w:val="24"/>
                <w:szCs w:val="24"/>
                <w:lang w:eastAsia="lv-LV"/>
              </w:rPr>
              <w:t xml:space="preserve">omersantiem tiks nedaudz samazināts administratīvais </w:t>
            </w:r>
            <w:r w:rsidR="00DC3371" w:rsidRPr="004F7B0E">
              <w:rPr>
                <w:rFonts w:ascii="Times New Roman" w:eastAsia="Times New Roman" w:hAnsi="Times New Roman" w:cs="Times New Roman"/>
                <w:sz w:val="24"/>
                <w:szCs w:val="24"/>
                <w:lang w:eastAsia="lv-LV"/>
              </w:rPr>
              <w:t>slogs attiecībā uz iesnieguma iesniegšanu</w:t>
            </w:r>
            <w:r w:rsidR="00BD4253" w:rsidRPr="004F7B0E">
              <w:rPr>
                <w:rFonts w:ascii="Times New Roman" w:eastAsia="Times New Roman" w:hAnsi="Times New Roman" w:cs="Times New Roman"/>
                <w:sz w:val="24"/>
                <w:szCs w:val="24"/>
                <w:lang w:eastAsia="lv-LV"/>
              </w:rPr>
              <w:t xml:space="preserve"> Valsts vides dienestā par izmaiņām objektā,</w:t>
            </w:r>
            <w:r w:rsidR="00DC3371" w:rsidRPr="004F7B0E">
              <w:rPr>
                <w:rFonts w:ascii="Times New Roman" w:eastAsia="Times New Roman" w:hAnsi="Times New Roman" w:cs="Times New Roman"/>
                <w:sz w:val="24"/>
                <w:szCs w:val="24"/>
                <w:lang w:eastAsia="lv-LV"/>
              </w:rPr>
              <w:t xml:space="preserve"> kas būs jādara</w:t>
            </w:r>
            <w:r w:rsidR="00BD4253" w:rsidRPr="004F7B0E">
              <w:rPr>
                <w:rFonts w:ascii="Times New Roman" w:eastAsia="Times New Roman" w:hAnsi="Times New Roman" w:cs="Times New Roman"/>
                <w:sz w:val="24"/>
                <w:szCs w:val="24"/>
                <w:lang w:eastAsia="lv-LV"/>
              </w:rPr>
              <w:t xml:space="preserve"> tikai tad, ja izmaiņas palielina rūpniecisko avāriju risku.</w:t>
            </w:r>
            <w:r w:rsidR="004F7B0E">
              <w:rPr>
                <w:rFonts w:ascii="Times New Roman" w:eastAsia="Times New Roman" w:hAnsi="Times New Roman" w:cs="Times New Roman"/>
                <w:sz w:val="24"/>
                <w:szCs w:val="24"/>
                <w:lang w:eastAsia="lv-LV"/>
              </w:rPr>
              <w:t xml:space="preserve"> Neliels administratīvā sloga samazinājums arī attieksies uz augstākā riska objektiem, jo turpmāk publiskā apspriešana būs jāveic tikai gadījumos, kad ir būtiskas izmaiņas objektā vai uz jauniem augstākā riska objektiem. </w:t>
            </w:r>
          </w:p>
          <w:p w:rsidR="000C4989" w:rsidRPr="001513B7" w:rsidRDefault="00DC3371" w:rsidP="000C4989">
            <w:pPr>
              <w:spacing w:after="120" w:line="240" w:lineRule="auto"/>
              <w:jc w:val="both"/>
              <w:rPr>
                <w:rFonts w:ascii="Times New Roman" w:eastAsia="Times New Roman" w:hAnsi="Times New Roman" w:cs="Times New Roman"/>
                <w:sz w:val="24"/>
                <w:szCs w:val="24"/>
                <w:lang w:eastAsia="lv-LV"/>
              </w:rPr>
            </w:pPr>
            <w:r w:rsidRPr="004F7B0E">
              <w:rPr>
                <w:rFonts w:ascii="Times New Roman" w:eastAsia="Times New Roman" w:hAnsi="Times New Roman" w:cs="Times New Roman"/>
                <w:sz w:val="24"/>
                <w:szCs w:val="24"/>
                <w:lang w:eastAsia="lv-LV"/>
              </w:rPr>
              <w:t>Neliels administratīvā sloga palielinājums būs a</w:t>
            </w:r>
            <w:r w:rsidR="000C4989" w:rsidRPr="004F7B0E">
              <w:rPr>
                <w:rFonts w:ascii="Times New Roman" w:eastAsia="Times New Roman" w:hAnsi="Times New Roman" w:cs="Times New Roman"/>
                <w:sz w:val="24"/>
                <w:szCs w:val="24"/>
                <w:lang w:eastAsia="lv-LV"/>
              </w:rPr>
              <w:t>tbildīgai personai</w:t>
            </w:r>
            <w:r w:rsidRPr="004F7B0E">
              <w:rPr>
                <w:rFonts w:ascii="Times New Roman" w:eastAsia="Times New Roman" w:hAnsi="Times New Roman" w:cs="Times New Roman"/>
                <w:sz w:val="24"/>
                <w:szCs w:val="24"/>
                <w:lang w:eastAsia="lv-LV"/>
              </w:rPr>
              <w:t>, jo</w:t>
            </w:r>
            <w:r w:rsidR="000C4989" w:rsidRPr="004F7B0E">
              <w:rPr>
                <w:rFonts w:ascii="Times New Roman" w:eastAsia="Times New Roman" w:hAnsi="Times New Roman" w:cs="Times New Roman"/>
                <w:sz w:val="24"/>
                <w:szCs w:val="24"/>
                <w:lang w:eastAsia="lv-LV"/>
              </w:rPr>
              <w:t xml:space="preserve"> turpmāk jāsagatavo informācija sabiedrībai</w:t>
            </w:r>
            <w:r w:rsidR="002465BA" w:rsidRPr="004F7B0E">
              <w:rPr>
                <w:rFonts w:ascii="Times New Roman" w:eastAsia="Times New Roman" w:hAnsi="Times New Roman" w:cs="Times New Roman"/>
                <w:sz w:val="24"/>
                <w:szCs w:val="24"/>
                <w:lang w:eastAsia="lv-LV"/>
              </w:rPr>
              <w:t xml:space="preserve"> ne tikai par 30 augstāka riska</w:t>
            </w:r>
            <w:r w:rsidR="00FD143C" w:rsidRPr="004F7B0E">
              <w:rPr>
                <w:rFonts w:ascii="Times New Roman" w:eastAsia="Times New Roman" w:hAnsi="Times New Roman" w:cs="Times New Roman"/>
                <w:sz w:val="24"/>
                <w:szCs w:val="24"/>
                <w:lang w:eastAsia="lv-LV"/>
              </w:rPr>
              <w:t xml:space="preserve"> līmeņa </w:t>
            </w:r>
            <w:r w:rsidR="00C92FE1">
              <w:rPr>
                <w:rFonts w:ascii="Times New Roman" w:eastAsia="Times New Roman" w:hAnsi="Times New Roman" w:cs="Times New Roman"/>
                <w:sz w:val="24"/>
                <w:szCs w:val="24"/>
                <w:lang w:eastAsia="lv-LV"/>
              </w:rPr>
              <w:t>objektiem</w:t>
            </w:r>
            <w:r w:rsidR="00FD143C">
              <w:rPr>
                <w:rFonts w:ascii="Times New Roman" w:eastAsia="Times New Roman" w:hAnsi="Times New Roman" w:cs="Times New Roman"/>
                <w:sz w:val="24"/>
                <w:szCs w:val="24"/>
                <w:lang w:eastAsia="lv-LV"/>
              </w:rPr>
              <w:t>, bet</w:t>
            </w:r>
            <w:r w:rsidR="006B7C6D">
              <w:rPr>
                <w:rFonts w:ascii="Times New Roman" w:eastAsia="Times New Roman" w:hAnsi="Times New Roman" w:cs="Times New Roman"/>
                <w:sz w:val="24"/>
                <w:szCs w:val="24"/>
                <w:lang w:eastAsia="lv-LV"/>
              </w:rPr>
              <w:t xml:space="preserve"> arī par 39 zemāk</w:t>
            </w:r>
            <w:r w:rsidR="002465BA">
              <w:rPr>
                <w:rFonts w:ascii="Times New Roman" w:eastAsia="Times New Roman" w:hAnsi="Times New Roman" w:cs="Times New Roman"/>
                <w:sz w:val="24"/>
                <w:szCs w:val="24"/>
                <w:lang w:eastAsia="lv-LV"/>
              </w:rPr>
              <w:t>a riska</w:t>
            </w:r>
            <w:r w:rsidR="006B7C6D">
              <w:rPr>
                <w:rFonts w:ascii="Times New Roman" w:eastAsia="Times New Roman" w:hAnsi="Times New Roman" w:cs="Times New Roman"/>
                <w:sz w:val="24"/>
                <w:szCs w:val="24"/>
                <w:lang w:eastAsia="lv-LV"/>
              </w:rPr>
              <w:t xml:space="preserve"> līmeņa</w:t>
            </w:r>
            <w:r w:rsidR="00C92FE1">
              <w:rPr>
                <w:rFonts w:ascii="Times New Roman" w:eastAsia="Times New Roman" w:hAnsi="Times New Roman" w:cs="Times New Roman"/>
                <w:sz w:val="24"/>
                <w:szCs w:val="24"/>
                <w:lang w:eastAsia="lv-LV"/>
              </w:rPr>
              <w:t xml:space="preserve"> objektiem</w:t>
            </w:r>
            <w:r w:rsidR="006B7C6D">
              <w:rPr>
                <w:rFonts w:ascii="Times New Roman" w:eastAsia="Times New Roman" w:hAnsi="Times New Roman" w:cs="Times New Roman"/>
                <w:sz w:val="24"/>
                <w:szCs w:val="24"/>
                <w:lang w:eastAsia="lv-LV"/>
              </w:rPr>
              <w:t>.</w:t>
            </w:r>
          </w:p>
          <w:p w:rsidR="00613944" w:rsidRPr="001513B7" w:rsidRDefault="00613944" w:rsidP="00FA0490">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Vides pārraudzības </w:t>
            </w:r>
            <w:r w:rsidR="00D869E7" w:rsidRPr="001513B7">
              <w:rPr>
                <w:rFonts w:ascii="Times New Roman" w:eastAsia="Times New Roman" w:hAnsi="Times New Roman" w:cs="Times New Roman"/>
                <w:sz w:val="24"/>
                <w:szCs w:val="24"/>
                <w:lang w:eastAsia="lv-LV"/>
              </w:rPr>
              <w:t xml:space="preserve">valsts birojam </w:t>
            </w:r>
            <w:r w:rsidRPr="001513B7">
              <w:rPr>
                <w:rFonts w:ascii="Times New Roman" w:eastAsia="Times New Roman" w:hAnsi="Times New Roman" w:cs="Times New Roman"/>
                <w:sz w:val="24"/>
                <w:szCs w:val="24"/>
                <w:lang w:eastAsia="lv-LV"/>
              </w:rPr>
              <w:t>turpmāk būs nepieciešams publicēt savā tīmekļa vietnē informāciju par sabiedrisko apspriešanu</w:t>
            </w:r>
            <w:r w:rsidR="007078D8" w:rsidRPr="001513B7">
              <w:rPr>
                <w:rFonts w:ascii="Times New Roman" w:eastAsia="Times New Roman" w:hAnsi="Times New Roman" w:cs="Times New Roman"/>
                <w:sz w:val="24"/>
                <w:szCs w:val="24"/>
                <w:lang w:eastAsia="lv-LV"/>
              </w:rPr>
              <w:t>, ko veikusi atbildīgā persona</w:t>
            </w:r>
            <w:r w:rsidRPr="001513B7">
              <w:rPr>
                <w:rFonts w:ascii="Times New Roman" w:eastAsia="Times New Roman" w:hAnsi="Times New Roman" w:cs="Times New Roman"/>
                <w:sz w:val="24"/>
                <w:szCs w:val="24"/>
                <w:lang w:eastAsia="lv-LV"/>
              </w:rPr>
              <w:t xml:space="preserve">, kā arī iesniegt datus Eiropas Komisijas datu bāzē par </w:t>
            </w:r>
            <w:r w:rsidRPr="00246F96">
              <w:rPr>
                <w:rFonts w:ascii="Times New Roman" w:eastAsia="Times New Roman" w:hAnsi="Times New Roman" w:cs="Times New Roman"/>
                <w:sz w:val="24"/>
                <w:szCs w:val="24"/>
                <w:lang w:eastAsia="lv-LV"/>
              </w:rPr>
              <w:t>objektiem.</w:t>
            </w:r>
          </w:p>
          <w:p w:rsidR="007948D5" w:rsidRPr="001513B7" w:rsidRDefault="00FA0490" w:rsidP="00C92FE1">
            <w:pPr>
              <w:spacing w:after="12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Valsts vides dienestam turpmāk savā tīmekļa vietnē būs jāievieto atbildīgās personas sagatavotais informatīvais materiāls sabiedrībai, kā arī informācija par kompleksajām</w:t>
            </w:r>
            <w:r w:rsidR="0018693F">
              <w:rPr>
                <w:rFonts w:ascii="Times New Roman" w:eastAsia="Times New Roman" w:hAnsi="Times New Roman" w:cs="Times New Roman"/>
                <w:sz w:val="24"/>
                <w:szCs w:val="24"/>
                <w:lang w:eastAsia="lv-LV"/>
              </w:rPr>
              <w:t xml:space="preserve"> pārbaudēm objektā.</w:t>
            </w:r>
          </w:p>
        </w:tc>
      </w:tr>
      <w:tr w:rsidR="00724057" w:rsidRPr="001513B7" w:rsidTr="004C5BC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272"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rsidR="004758E7" w:rsidRPr="002276A7" w:rsidRDefault="000C716D" w:rsidP="007557EF">
            <w:pPr>
              <w:pStyle w:val="tv213"/>
              <w:jc w:val="both"/>
              <w:rPr>
                <w:i/>
              </w:rPr>
            </w:pPr>
            <w:r>
              <w:rPr>
                <w:i/>
              </w:rPr>
              <w:t xml:space="preserve"> </w:t>
            </w:r>
            <w:r w:rsidR="007557EF" w:rsidRPr="0034447A">
              <w:t>Projekts šo jomu neskar</w:t>
            </w:r>
            <w:r w:rsidR="00B30661" w:rsidRPr="0034447A">
              <w:t>.</w:t>
            </w:r>
          </w:p>
        </w:tc>
      </w:tr>
      <w:tr w:rsidR="00724057" w:rsidRPr="001513B7" w:rsidTr="004C5BC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272"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4758E7" w:rsidRPr="001513B7" w:rsidRDefault="001513B7"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30661">
              <w:rPr>
                <w:rFonts w:ascii="Times New Roman" w:eastAsia="Times New Roman" w:hAnsi="Times New Roman" w:cs="Times New Roman"/>
                <w:sz w:val="24"/>
                <w:szCs w:val="24"/>
                <w:lang w:eastAsia="lv-LV"/>
              </w:rPr>
              <w:t>.</w:t>
            </w:r>
          </w:p>
        </w:tc>
      </w:tr>
    </w:tbl>
    <w:p w:rsidR="004758E7" w:rsidRPr="00724057" w:rsidRDefault="004758E7" w:rsidP="0078319C">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p w:rsidR="004758E7" w:rsidRPr="00724057" w:rsidRDefault="004758E7" w:rsidP="002838EA">
      <w:pPr>
        <w:spacing w:after="0" w:line="240" w:lineRule="auto"/>
        <w:rPr>
          <w:rFonts w:ascii="Times New Roman" w:eastAsia="Times New Roman" w:hAnsi="Times New Roman" w:cs="Times New Roman"/>
          <w:sz w:val="20"/>
          <w:szCs w:val="20"/>
          <w:lang w:eastAsia="lv-LV"/>
        </w:rPr>
      </w:pPr>
    </w:p>
    <w:p w:rsidR="004758E7" w:rsidRPr="00724057" w:rsidRDefault="004758E7" w:rsidP="0078319C">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724057" w:rsidRPr="001513B7" w:rsidTr="004758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 Tiesību akta projekta atbilstība Latvijas Republikas starptautiskajām saistībām</w:t>
            </w:r>
          </w:p>
        </w:tc>
      </w:tr>
      <w:tr w:rsidR="00724057" w:rsidRPr="001513B7" w:rsidTr="004758E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4758E7" w:rsidRPr="001513B7" w:rsidRDefault="0080419F" w:rsidP="00FA0490">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Eiropas Parlamenta un Padomes 2012.gada 4.jūlija direktīva 2012/18/ES par lielu ar bīstamām vielām saistītu avāriju risku pārvaldību, ar kuru groza un vēlāk atceļ padomes Direktīvu 96/82/EK</w:t>
            </w:r>
          </w:p>
        </w:tc>
      </w:tr>
      <w:tr w:rsidR="00724057" w:rsidRPr="001513B7" w:rsidTr="004758E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4758E7" w:rsidRPr="001513B7" w:rsidRDefault="007557EF" w:rsidP="004758E7">
            <w:pPr>
              <w:spacing w:after="0" w:line="240" w:lineRule="auto"/>
              <w:rPr>
                <w:rFonts w:ascii="Times New Roman" w:eastAsia="Times New Roman" w:hAnsi="Times New Roman" w:cs="Times New Roman"/>
                <w:sz w:val="24"/>
                <w:szCs w:val="24"/>
                <w:lang w:eastAsia="lv-LV"/>
              </w:rPr>
            </w:pPr>
            <w:r w:rsidRPr="0018693F">
              <w:rPr>
                <w:rFonts w:ascii="Times New Roman" w:eastAsia="Times New Roman" w:hAnsi="Times New Roman" w:cs="Times New Roman"/>
                <w:sz w:val="24"/>
                <w:szCs w:val="24"/>
                <w:lang w:eastAsia="lv-LV"/>
              </w:rPr>
              <w:t>Projekts šo jomu neskar.</w:t>
            </w:r>
          </w:p>
        </w:tc>
      </w:tr>
      <w:tr w:rsidR="00724057" w:rsidRPr="001513B7" w:rsidTr="004758E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4758E7" w:rsidRPr="001513B7" w:rsidRDefault="0080419F" w:rsidP="0080419F">
            <w:pPr>
              <w:spacing w:before="100" w:beforeAutospacing="1" w:after="100" w:afterAutospacing="1" w:line="36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r w:rsidR="00B30661">
              <w:rPr>
                <w:rFonts w:ascii="Times New Roman" w:eastAsia="Times New Roman" w:hAnsi="Times New Roman" w:cs="Times New Roman"/>
                <w:sz w:val="24"/>
                <w:szCs w:val="24"/>
                <w:lang w:eastAsia="lv-LV"/>
              </w:rPr>
              <w:t>.</w:t>
            </w:r>
          </w:p>
        </w:tc>
      </w:tr>
    </w:tbl>
    <w:p w:rsidR="004758E7" w:rsidRPr="00724057" w:rsidRDefault="004758E7" w:rsidP="0078319C">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88"/>
        <w:gridCol w:w="2104"/>
        <w:gridCol w:w="2285"/>
        <w:gridCol w:w="30"/>
        <w:gridCol w:w="3314"/>
      </w:tblGrid>
      <w:tr w:rsidR="00724057" w:rsidRPr="001513B7" w:rsidTr="004758E7">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1.tabula</w:t>
            </w:r>
            <w:r w:rsidRPr="001513B7">
              <w:rPr>
                <w:rFonts w:ascii="Times New Roman" w:eastAsia="Times New Roman" w:hAnsi="Times New Roman" w:cs="Times New Roman"/>
                <w:b/>
                <w:bCs/>
                <w:sz w:val="24"/>
                <w:szCs w:val="24"/>
                <w:lang w:eastAsia="lv-LV"/>
              </w:rPr>
              <w:br/>
              <w:t>Tiesību akta projekta atbilstība ES tiesību aktiem</w:t>
            </w:r>
          </w:p>
        </w:tc>
      </w:tr>
      <w:tr w:rsidR="00724057" w:rsidRPr="001513B7" w:rsidTr="00BB0F57">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Attiecīgā ES tiesību akta datums, numurs un nosaukums</w:t>
            </w:r>
          </w:p>
        </w:tc>
        <w:tc>
          <w:tcPr>
            <w:tcW w:w="4161" w:type="pct"/>
            <w:gridSpan w:val="4"/>
            <w:tcBorders>
              <w:top w:val="outset" w:sz="6" w:space="0" w:color="auto"/>
              <w:left w:val="outset" w:sz="6" w:space="0" w:color="auto"/>
              <w:bottom w:val="outset" w:sz="6" w:space="0" w:color="auto"/>
              <w:right w:val="outset" w:sz="6" w:space="0" w:color="auto"/>
            </w:tcBorders>
            <w:hideMark/>
          </w:tcPr>
          <w:p w:rsidR="004758E7" w:rsidRDefault="00434861" w:rsidP="00010763">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Eiropas Parlamenta un Padomes 2012.gada 4.jūlija direktīva 2012/18/ES par lielu ar bīstamām vielām saistītu avāriju risku pārvaldību, ar kuru groza un vēlāk atceļ padomes Direktīvu 96/82/EK</w:t>
            </w:r>
            <w:r w:rsidR="00BB0F57">
              <w:rPr>
                <w:rFonts w:ascii="Times New Roman" w:eastAsia="Times New Roman" w:hAnsi="Times New Roman" w:cs="Times New Roman"/>
                <w:sz w:val="24"/>
                <w:szCs w:val="24"/>
                <w:lang w:eastAsia="lv-LV"/>
              </w:rPr>
              <w:t xml:space="preserve"> (turpmāk – Direktīva 2012/18/ES)</w:t>
            </w:r>
          </w:p>
          <w:p w:rsidR="00BB0F57" w:rsidRPr="001513B7" w:rsidRDefault="00BB0F57" w:rsidP="00010763">
            <w:pPr>
              <w:spacing w:before="120" w:after="0" w:line="240" w:lineRule="auto"/>
              <w:jc w:val="both"/>
              <w:rPr>
                <w:rFonts w:ascii="Times New Roman" w:eastAsia="Times New Roman" w:hAnsi="Times New Roman" w:cs="Times New Roman"/>
                <w:sz w:val="24"/>
                <w:szCs w:val="24"/>
                <w:lang w:eastAsia="lv-LV"/>
              </w:rPr>
            </w:pPr>
            <w:r w:rsidRPr="00BB0F57">
              <w:rPr>
                <w:rFonts w:ascii="Times New Roman" w:eastAsia="Times New Roman" w:hAnsi="Times New Roman" w:cs="Times New Roman"/>
                <w:sz w:val="24"/>
                <w:szCs w:val="24"/>
                <w:lang w:eastAsia="lv-LV"/>
              </w:rPr>
              <w:t>Eiropas Parlamenta un Padomes 2008. gada 16. decembra Regulu (EK) Nr. 1272/2008 par vielu un maisījumu klasificēšanu, marķēšanu un iepakošanu, ar ko groza un atceļ Direktīvas 67/548/EEK un 1999/45/EK un groza Regulas (EK) Nr. 1907/2006 (turpmāk – Regula Nr. 1272/2008)</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w:t>
            </w:r>
          </w:p>
        </w:tc>
        <w:tc>
          <w:tcPr>
            <w:tcW w:w="1136" w:type="pct"/>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B</w:t>
            </w:r>
          </w:p>
        </w:tc>
        <w:tc>
          <w:tcPr>
            <w:tcW w:w="1219" w:type="pct"/>
            <w:gridSpan w:val="2"/>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w:t>
            </w:r>
          </w:p>
        </w:tc>
        <w:tc>
          <w:tcPr>
            <w:tcW w:w="1773" w:type="pct"/>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rsidR="004758E7" w:rsidRPr="001513B7" w:rsidRDefault="0036222C"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36222C" w:rsidRPr="001513B7" w:rsidRDefault="0036222C"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1.pants</w:t>
            </w:r>
          </w:p>
        </w:tc>
        <w:tc>
          <w:tcPr>
            <w:tcW w:w="1136" w:type="pct"/>
            <w:tcBorders>
              <w:top w:val="outset" w:sz="6" w:space="0" w:color="auto"/>
              <w:left w:val="outset" w:sz="6" w:space="0" w:color="auto"/>
              <w:bottom w:val="outset" w:sz="6" w:space="0" w:color="auto"/>
              <w:right w:val="outset" w:sz="6" w:space="0" w:color="auto"/>
            </w:tcBorders>
            <w:hideMark/>
          </w:tcPr>
          <w:p w:rsidR="004758E7" w:rsidRPr="001513B7" w:rsidRDefault="0036222C"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1.punkts</w:t>
            </w:r>
          </w:p>
        </w:tc>
        <w:tc>
          <w:tcPr>
            <w:tcW w:w="1219" w:type="pct"/>
            <w:gridSpan w:val="2"/>
            <w:tcBorders>
              <w:top w:val="outset" w:sz="6" w:space="0" w:color="auto"/>
              <w:left w:val="outset" w:sz="6" w:space="0" w:color="auto"/>
              <w:bottom w:val="outset" w:sz="6" w:space="0" w:color="auto"/>
              <w:right w:val="outset" w:sz="6" w:space="0" w:color="auto"/>
            </w:tcBorders>
            <w:hideMark/>
          </w:tcPr>
          <w:p w:rsidR="004758E7" w:rsidRPr="001513B7" w:rsidRDefault="0036222C"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4758E7" w:rsidRPr="001513B7" w:rsidRDefault="007B4F4F" w:rsidP="00937F93">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w:t>
            </w:r>
            <w:r w:rsidR="00937F93">
              <w:rPr>
                <w:rFonts w:ascii="Times New Roman" w:eastAsia="Times New Roman" w:hAnsi="Times New Roman" w:cs="Times New Roman"/>
                <w:sz w:val="24"/>
                <w:szCs w:val="24"/>
                <w:lang w:eastAsia="lv-LV"/>
              </w:rPr>
              <w:t xml:space="preserve">ekts stingrākas </w:t>
            </w:r>
            <w:r w:rsidRPr="001513B7">
              <w:rPr>
                <w:rFonts w:ascii="Times New Roman" w:eastAsia="Times New Roman" w:hAnsi="Times New Roman" w:cs="Times New Roman"/>
                <w:sz w:val="24"/>
                <w:szCs w:val="24"/>
                <w:lang w:eastAsia="lv-LV"/>
              </w:rPr>
              <w:t>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7B4F4F" w:rsidRPr="001513B7" w:rsidRDefault="007B4F4F" w:rsidP="007B4F4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7B4F4F" w:rsidRPr="001513B7" w:rsidRDefault="007B4F4F" w:rsidP="007B4F4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sidR="00F81F51">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7B4F4F"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3.punkts</w:t>
            </w:r>
            <w:r w:rsidR="007B4F4F" w:rsidRPr="001513B7">
              <w:rPr>
                <w:rFonts w:ascii="Times New Roman" w:eastAsia="Times New Roman" w:hAnsi="Times New Roman" w:cs="Times New Roman"/>
                <w:sz w:val="24"/>
                <w:szCs w:val="24"/>
                <w:lang w:eastAsia="lv-LV"/>
              </w:rPr>
              <w:t xml:space="preserve"> </w:t>
            </w:r>
          </w:p>
        </w:tc>
        <w:tc>
          <w:tcPr>
            <w:tcW w:w="1219" w:type="pct"/>
            <w:gridSpan w:val="2"/>
            <w:tcBorders>
              <w:top w:val="outset" w:sz="6" w:space="0" w:color="auto"/>
              <w:left w:val="outset" w:sz="6" w:space="0" w:color="auto"/>
              <w:bottom w:val="outset" w:sz="6" w:space="0" w:color="auto"/>
              <w:right w:val="outset" w:sz="6" w:space="0" w:color="auto"/>
            </w:tcBorders>
          </w:tcPr>
          <w:p w:rsidR="007B4F4F" w:rsidRPr="001513B7" w:rsidRDefault="007B4F4F" w:rsidP="007B4F4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7B4F4F" w:rsidRPr="001513B7" w:rsidRDefault="007B4F4F" w:rsidP="007B4F4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F81F51" w:rsidRPr="001513B7" w:rsidRDefault="00F81F51" w:rsidP="00F81F51">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F81F51" w:rsidRPr="001513B7" w:rsidRDefault="00F81F51" w:rsidP="00F81F51">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F81F51" w:rsidRPr="001513B7" w:rsidRDefault="00F81F51" w:rsidP="0018128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sidR="00A2007A">
              <w:rPr>
                <w:rFonts w:ascii="Times New Roman" w:eastAsia="Times New Roman" w:hAnsi="Times New Roman" w:cs="Times New Roman"/>
                <w:sz w:val="24"/>
                <w:szCs w:val="24"/>
                <w:lang w:eastAsia="lv-LV"/>
              </w:rPr>
              <w:t>1</w:t>
            </w:r>
            <w:r w:rsidR="0018128E">
              <w:rPr>
                <w:rFonts w:ascii="Times New Roman" w:eastAsia="Times New Roman" w:hAnsi="Times New Roman" w:cs="Times New Roman"/>
                <w:sz w:val="24"/>
                <w:szCs w:val="24"/>
                <w:lang w:eastAsia="lv-LV"/>
              </w:rPr>
              <w:t>7</w:t>
            </w:r>
            <w:r w:rsidR="00A2007A">
              <w:rPr>
                <w:rFonts w:ascii="Times New Roman" w:eastAsia="Times New Roman" w:hAnsi="Times New Roman" w:cs="Times New Roman"/>
                <w:sz w:val="24"/>
                <w:szCs w:val="24"/>
                <w:lang w:eastAsia="lv-LV"/>
              </w:rPr>
              <w:t>.</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F81F51" w:rsidRPr="001513B7" w:rsidRDefault="00F81F51" w:rsidP="00F81F51">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F81F51" w:rsidRPr="001513B7" w:rsidRDefault="00F81F51" w:rsidP="00F81F51">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8128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8128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2E483E"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.5</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2E483E" w:rsidRPr="002E483E" w:rsidRDefault="0018128E" w:rsidP="002E48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2.13.punkts</w:t>
            </w:r>
          </w:p>
        </w:tc>
        <w:tc>
          <w:tcPr>
            <w:tcW w:w="1219" w:type="pct"/>
            <w:gridSpan w:val="2"/>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18128E"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2.10., </w:t>
            </w:r>
            <w:r w:rsidR="00036B0C">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5</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2E483E"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2E483E">
              <w:rPr>
                <w:rFonts w:ascii="Times New Roman" w:eastAsia="Times New Roman" w:hAnsi="Times New Roman" w:cs="Times New Roman"/>
                <w:sz w:val="24"/>
                <w:szCs w:val="24"/>
                <w:lang w:eastAsia="lv-LV"/>
              </w:rPr>
              <w:t>Nav lietos kā atsevišķs termins, norma ietverta noteikumu projekta tekstā</w:t>
            </w:r>
          </w:p>
        </w:tc>
        <w:tc>
          <w:tcPr>
            <w:tcW w:w="1219" w:type="pct"/>
            <w:gridSpan w:val="2"/>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8128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.9</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607CE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07CE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.10</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EC39F4"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C39F4" w:rsidRPr="001513B7" w:rsidRDefault="00EC39F4" w:rsidP="00EC39F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C39F4" w:rsidRPr="001513B7" w:rsidRDefault="00EC39F4" w:rsidP="00EC39F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.11</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C39F4" w:rsidRPr="001513B7" w:rsidRDefault="00EC39F4"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8128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C39F4" w:rsidRPr="001513B7" w:rsidRDefault="00EC39F4" w:rsidP="00EC39F4">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C39F4" w:rsidRPr="001513B7" w:rsidRDefault="00EC39F4" w:rsidP="00EC39F4">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2E483E"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2E483E" w:rsidRPr="001513B7" w:rsidRDefault="004A4195" w:rsidP="00C60C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C60CF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.15</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8128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2E483E"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.16</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2E483E" w:rsidRPr="001513B7" w:rsidRDefault="002E483E"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8128E">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.17</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1812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8128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2E483E"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.18</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rPr>
                <w:rFonts w:ascii="Times New Roman" w:eastAsia="Times New Roman" w:hAnsi="Times New Roman" w:cs="Times New Roman"/>
                <w:sz w:val="24"/>
                <w:szCs w:val="24"/>
                <w:lang w:eastAsia="lv-LV"/>
              </w:rPr>
            </w:pPr>
            <w:r w:rsidRPr="002E483E">
              <w:rPr>
                <w:rFonts w:ascii="Times New Roman" w:eastAsia="Times New Roman" w:hAnsi="Times New Roman" w:cs="Times New Roman"/>
                <w:sz w:val="24"/>
                <w:szCs w:val="24"/>
                <w:lang w:eastAsia="lv-LV"/>
              </w:rPr>
              <w:t>Nav lietos kā atsevišķs termins, norma ietverta noteikumu projekta tekstā</w:t>
            </w:r>
          </w:p>
        </w:tc>
        <w:tc>
          <w:tcPr>
            <w:tcW w:w="1219" w:type="pct"/>
            <w:gridSpan w:val="2"/>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2E483E" w:rsidRPr="001513B7" w:rsidRDefault="002E483E" w:rsidP="002E483E">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194433"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194433" w:rsidRPr="001513B7" w:rsidRDefault="00194433" w:rsidP="0019443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.19</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after="0" w:line="240" w:lineRule="auto"/>
              <w:rPr>
                <w:rFonts w:ascii="Times New Roman" w:eastAsia="Times New Roman" w:hAnsi="Times New Roman" w:cs="Times New Roman"/>
                <w:sz w:val="24"/>
                <w:szCs w:val="24"/>
                <w:lang w:eastAsia="lv-LV"/>
              </w:rPr>
            </w:pPr>
            <w:r w:rsidRPr="002E483E">
              <w:rPr>
                <w:rFonts w:ascii="Times New Roman" w:eastAsia="Times New Roman" w:hAnsi="Times New Roman" w:cs="Times New Roman"/>
                <w:sz w:val="24"/>
                <w:szCs w:val="24"/>
                <w:lang w:eastAsia="lv-LV"/>
              </w:rPr>
              <w:t>Nav lietos kā atsevišķs termins, norma ietverta noteikumu projekta tekstā</w:t>
            </w:r>
          </w:p>
        </w:tc>
        <w:tc>
          <w:tcPr>
            <w:tcW w:w="1219" w:type="pct"/>
            <w:gridSpan w:val="2"/>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194433"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194433" w:rsidRPr="001513B7" w:rsidRDefault="00194433" w:rsidP="001944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194433" w:rsidRDefault="00194433" w:rsidP="001944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Nenosaka dalībvalstu pienākumus. Attiecas uz Eiropas Komisiju</w:t>
            </w:r>
            <w:r w:rsidR="00626DB7">
              <w:rPr>
                <w:rFonts w:ascii="Times New Roman" w:eastAsia="Times New Roman" w:hAnsi="Times New Roman" w:cs="Times New Roman"/>
                <w:sz w:val="24"/>
                <w:szCs w:val="24"/>
                <w:lang w:eastAsia="lv-LV"/>
              </w:rPr>
              <w:t>.</w:t>
            </w:r>
          </w:p>
          <w:p w:rsidR="00194433" w:rsidRPr="001513B7" w:rsidRDefault="00194433"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C0766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un 11</w:t>
            </w:r>
            <w:r w:rsidR="00C0766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194433" w:rsidRPr="001513B7" w:rsidRDefault="00194433" w:rsidP="00194433">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3E3CB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3E3CBA" w:rsidRPr="001513B7" w:rsidRDefault="003E3CBA" w:rsidP="003E3CB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3E3CBA" w:rsidRPr="001513B7" w:rsidRDefault="003E3CBA" w:rsidP="003E3C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3E3CBA" w:rsidRDefault="003E3CBA" w:rsidP="003E3C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107.punkts</w:t>
            </w:r>
          </w:p>
        </w:tc>
        <w:tc>
          <w:tcPr>
            <w:tcW w:w="1219" w:type="pct"/>
            <w:gridSpan w:val="2"/>
            <w:tcBorders>
              <w:top w:val="outset" w:sz="6" w:space="0" w:color="auto"/>
              <w:left w:val="outset" w:sz="6" w:space="0" w:color="auto"/>
              <w:bottom w:val="outset" w:sz="6" w:space="0" w:color="auto"/>
              <w:right w:val="outset" w:sz="6" w:space="0" w:color="auto"/>
            </w:tcBorders>
          </w:tcPr>
          <w:p w:rsidR="003E3CBA" w:rsidRPr="001513B7" w:rsidRDefault="003E3CBA" w:rsidP="003E3CB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3E3CBA" w:rsidRPr="001513B7" w:rsidRDefault="003E3CBA" w:rsidP="003E3CB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8.punkts</w:t>
            </w:r>
            <w:r>
              <w:rPr>
                <w:rFonts w:ascii="Times New Roman" w:eastAsia="Times New Roman" w:hAnsi="Times New Roman" w:cs="Times New Roman"/>
                <w:sz w:val="24"/>
                <w:szCs w:val="24"/>
                <w:lang w:eastAsia="lv-LV"/>
              </w:rPr>
              <w:t xml:space="preserve"> 8.11.punkts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6.1.pants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21., 8</w:t>
            </w:r>
            <w:r w:rsidR="00036B0C">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w:t>
            </w:r>
            <w:r w:rsidR="00036B0C">
              <w:rPr>
                <w:rFonts w:ascii="Times New Roman" w:eastAsia="Times New Roman" w:hAnsi="Times New Roman" w:cs="Times New Roman"/>
                <w:sz w:val="24"/>
                <w:szCs w:val="24"/>
                <w:lang w:eastAsia="lv-LV"/>
              </w:rPr>
              <w:t xml:space="preserve">, </w:t>
            </w:r>
            <w:r w:rsidR="00C07660">
              <w:rPr>
                <w:rFonts w:ascii="Times New Roman" w:eastAsia="Times New Roman" w:hAnsi="Times New Roman" w:cs="Times New Roman"/>
                <w:sz w:val="24"/>
                <w:szCs w:val="24"/>
                <w:lang w:eastAsia="lv-LV"/>
              </w:rPr>
              <w:t>99</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384BA8"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6.</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384BA8" w:rsidRDefault="00036B0C"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3E3CBA">
              <w:rPr>
                <w:rFonts w:ascii="Times New Roman" w:eastAsia="Times New Roman" w:hAnsi="Times New Roman" w:cs="Times New Roman"/>
                <w:sz w:val="24"/>
                <w:szCs w:val="24"/>
                <w:lang w:eastAsia="lv-LV"/>
              </w:rPr>
              <w:t>3</w:t>
            </w:r>
            <w:r w:rsidR="00384BA8">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7.1.pants</w:t>
            </w:r>
          </w:p>
        </w:tc>
        <w:tc>
          <w:tcPr>
            <w:tcW w:w="1136" w:type="pct"/>
            <w:tcBorders>
              <w:top w:val="outset" w:sz="6" w:space="0" w:color="auto"/>
              <w:left w:val="outset" w:sz="6" w:space="0" w:color="auto"/>
              <w:bottom w:val="outset" w:sz="6" w:space="0" w:color="auto"/>
              <w:right w:val="outset" w:sz="6" w:space="0" w:color="auto"/>
            </w:tcBorders>
          </w:tcPr>
          <w:p w:rsidR="00F81BEE" w:rsidRDefault="00F81BEE"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7.punkts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7.2.pants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036B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7.3.pants</w:t>
            </w:r>
          </w:p>
        </w:tc>
        <w:tc>
          <w:tcPr>
            <w:tcW w:w="1136" w:type="pct"/>
            <w:tcBorders>
              <w:top w:val="outset" w:sz="6" w:space="0" w:color="auto"/>
              <w:left w:val="outset" w:sz="6" w:space="0" w:color="auto"/>
              <w:bottom w:val="outset" w:sz="6" w:space="0" w:color="auto"/>
              <w:right w:val="outset" w:sz="6" w:space="0" w:color="auto"/>
            </w:tcBorders>
          </w:tcPr>
          <w:p w:rsidR="00E52D2F" w:rsidRPr="00036B0C" w:rsidRDefault="00E52D2F" w:rsidP="00C07660">
            <w:pPr>
              <w:spacing w:after="0" w:line="240" w:lineRule="auto"/>
              <w:rPr>
                <w:rFonts w:ascii="Times New Roman" w:eastAsia="Times New Roman" w:hAnsi="Times New Roman" w:cs="Times New Roman"/>
                <w:sz w:val="24"/>
                <w:szCs w:val="24"/>
                <w:highlight w:val="yellow"/>
                <w:lang w:eastAsia="lv-LV"/>
              </w:rPr>
            </w:pPr>
            <w:r w:rsidRPr="00BA1378">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5</w:t>
            </w:r>
            <w:r w:rsidRPr="00BA1378">
              <w:rPr>
                <w:rFonts w:ascii="Times New Roman" w:eastAsia="Times New Roman" w:hAnsi="Times New Roman" w:cs="Times New Roman"/>
                <w:sz w:val="24"/>
                <w:szCs w:val="24"/>
                <w:lang w:eastAsia="lv-LV"/>
              </w:rPr>
              <w:t>.1.punkts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7.</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 9.3., 9.4., 9.5.punkts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7.</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b).</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Default="00BA15D5" w:rsidP="00E52D2F">
            <w:pPr>
              <w:spacing w:after="0" w:line="240" w:lineRule="auto"/>
              <w:rPr>
                <w:rFonts w:ascii="Times New Roman" w:eastAsia="Times New Roman" w:hAnsi="Times New Roman" w:cs="Times New Roman"/>
                <w:sz w:val="24"/>
                <w:szCs w:val="24"/>
                <w:lang w:eastAsia="lv-LV"/>
              </w:rPr>
            </w:pPr>
            <w:r w:rsidRPr="00BA15D5">
              <w:rPr>
                <w:rFonts w:ascii="Times New Roman" w:eastAsia="Times New Roman" w:hAnsi="Times New Roman" w:cs="Times New Roman"/>
                <w:sz w:val="24"/>
                <w:szCs w:val="24"/>
                <w:lang w:eastAsia="lv-LV"/>
              </w:rPr>
              <w:t>26.2</w:t>
            </w:r>
            <w:r w:rsidR="00E52D2F" w:rsidRPr="00BA15D5">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8.pants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15.punkts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384BA8"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Direktīvas 2012/18/ES </w:t>
            </w:r>
            <w:r>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.1.pants</w:t>
            </w:r>
          </w:p>
        </w:tc>
        <w:tc>
          <w:tcPr>
            <w:tcW w:w="1136" w:type="pct"/>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8.2.punkts</w:t>
            </w:r>
          </w:p>
        </w:tc>
        <w:tc>
          <w:tcPr>
            <w:tcW w:w="1219" w:type="pct"/>
            <w:gridSpan w:val="2"/>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384BA8" w:rsidRPr="001513B7" w:rsidRDefault="00384BA8" w:rsidP="00384BA8">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8.2.pants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C07660">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20.1.3., </w:t>
            </w:r>
            <w:r w:rsidR="00036B0C">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8.3.pants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5</w:t>
            </w:r>
            <w:r w:rsidR="00E52D2F" w:rsidRPr="001513B7">
              <w:rPr>
                <w:rFonts w:ascii="Times New Roman" w:eastAsia="Times New Roman" w:hAnsi="Times New Roman" w:cs="Times New Roman"/>
                <w:sz w:val="24"/>
                <w:szCs w:val="24"/>
                <w:lang w:eastAsia="lv-LV"/>
              </w:rPr>
              <w:t>.1.punkts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8.</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8.</w:t>
            </w:r>
            <w:r>
              <w:rPr>
                <w:rFonts w:ascii="Times New Roman" w:eastAsia="Times New Roman" w:hAnsi="Times New Roman" w:cs="Times New Roman"/>
                <w:sz w:val="24"/>
                <w:szCs w:val="24"/>
                <w:lang w:eastAsia="lv-LV"/>
              </w:rPr>
              <w:t>5</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8.8.punkts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9.1.pants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C07660"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95</w:t>
            </w:r>
            <w:r w:rsidR="00E52D2F">
              <w:rPr>
                <w:rFonts w:ascii="Times New Roman" w:eastAsia="Times New Roman" w:hAnsi="Times New Roman" w:cs="Times New Roman"/>
                <w:sz w:val="24"/>
                <w:szCs w:val="24"/>
                <w:lang w:eastAsia="lv-LV"/>
              </w:rPr>
              <w:t>., 47.4</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9.2.pants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48.2</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9.3.pants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10.1. un 10.2.pants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10.3.pants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C07660">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20.2.3., </w:t>
            </w:r>
            <w:r w:rsidR="00036B0C">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 11</w:t>
            </w:r>
            <w:r w:rsidR="00C07660">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10.4.pants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10.5.pants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C07660">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28.4., 29.</w:t>
            </w:r>
            <w:r>
              <w:rPr>
                <w:rFonts w:ascii="Times New Roman" w:eastAsia="Times New Roman" w:hAnsi="Times New Roman" w:cs="Times New Roman"/>
                <w:sz w:val="24"/>
                <w:szCs w:val="24"/>
                <w:lang w:eastAsia="lv-LV"/>
              </w:rPr>
              <w:t xml:space="preserve">, </w:t>
            </w:r>
            <w:r w:rsidRPr="001513B7">
              <w:rPr>
                <w:rFonts w:ascii="Times New Roman" w:eastAsia="Times New Roman" w:hAnsi="Times New Roman" w:cs="Times New Roman"/>
                <w:sz w:val="24"/>
                <w:szCs w:val="24"/>
                <w:lang w:eastAsia="lv-LV"/>
              </w:rPr>
              <w:t>10</w:t>
            </w:r>
            <w:r w:rsidR="00C07660">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.3.punkts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10.</w:t>
            </w:r>
            <w:r>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26., 28.4.punkts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110B6B"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12.1.a</w:t>
            </w:r>
            <w:r w:rsidR="00E52D2F" w:rsidRPr="001513B7">
              <w:rPr>
                <w:rFonts w:ascii="Times New Roman" w:eastAsia="Times New Roman" w:hAnsi="Times New Roman" w:cs="Times New Roman"/>
                <w:sz w:val="24"/>
                <w:szCs w:val="24"/>
                <w:lang w:eastAsia="lv-LV"/>
              </w:rPr>
              <w:t>) 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AB01FD"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12.1.b) pants</w:t>
            </w:r>
          </w:p>
        </w:tc>
        <w:tc>
          <w:tcPr>
            <w:tcW w:w="1136" w:type="pct"/>
            <w:tcBorders>
              <w:top w:val="outset" w:sz="6" w:space="0" w:color="auto"/>
              <w:left w:val="outset" w:sz="6" w:space="0" w:color="auto"/>
              <w:bottom w:val="outset" w:sz="6" w:space="0" w:color="auto"/>
              <w:right w:val="outset" w:sz="6" w:space="0" w:color="auto"/>
            </w:tcBorders>
          </w:tcPr>
          <w:p w:rsidR="00C47030" w:rsidRDefault="00C47030"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42.punkts</w:t>
            </w:r>
          </w:p>
          <w:p w:rsidR="00A2007A" w:rsidRPr="001513B7" w:rsidRDefault="00246F96"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16.punkts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B01FD"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B01FD" w:rsidRPr="001513B7" w:rsidRDefault="00AB01FD" w:rsidP="00AB01FD">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B01FD" w:rsidRPr="001513B7" w:rsidRDefault="00AB01FD" w:rsidP="00AB01F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12.1.c</w:t>
            </w:r>
            <w:r w:rsidRPr="001513B7">
              <w:rPr>
                <w:rFonts w:ascii="Times New Roman" w:eastAsia="Times New Roman" w:hAnsi="Times New Roman" w:cs="Times New Roman"/>
                <w:sz w:val="24"/>
                <w:szCs w:val="24"/>
                <w:lang w:eastAsia="lv-LV"/>
              </w:rPr>
              <w:t>) pants</w:t>
            </w:r>
          </w:p>
        </w:tc>
        <w:tc>
          <w:tcPr>
            <w:tcW w:w="1136" w:type="pct"/>
            <w:tcBorders>
              <w:top w:val="outset" w:sz="6" w:space="0" w:color="auto"/>
              <w:left w:val="outset" w:sz="6" w:space="0" w:color="auto"/>
              <w:bottom w:val="outset" w:sz="6" w:space="0" w:color="auto"/>
              <w:right w:val="outset" w:sz="6" w:space="0" w:color="auto"/>
            </w:tcBorders>
          </w:tcPr>
          <w:p w:rsidR="00AB01FD" w:rsidRPr="001513B7" w:rsidRDefault="00AB01FD" w:rsidP="00AB01F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36.punkts</w:t>
            </w:r>
          </w:p>
        </w:tc>
        <w:tc>
          <w:tcPr>
            <w:tcW w:w="1219" w:type="pct"/>
            <w:gridSpan w:val="2"/>
            <w:tcBorders>
              <w:top w:val="outset" w:sz="6" w:space="0" w:color="auto"/>
              <w:left w:val="outset" w:sz="6" w:space="0" w:color="auto"/>
              <w:bottom w:val="outset" w:sz="6" w:space="0" w:color="auto"/>
              <w:right w:val="outset" w:sz="6" w:space="0" w:color="auto"/>
            </w:tcBorders>
          </w:tcPr>
          <w:p w:rsidR="00AB01FD" w:rsidRPr="001513B7" w:rsidRDefault="00AB01FD" w:rsidP="00AB01FD">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B01FD" w:rsidRPr="001513B7" w:rsidRDefault="00AB01FD" w:rsidP="00AB01FD">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12.2.a) 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785DBE"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E52D2F">
              <w:rPr>
                <w:rFonts w:ascii="Times New Roman" w:eastAsia="Times New Roman" w:hAnsi="Times New Roman" w:cs="Times New Roman"/>
                <w:sz w:val="24"/>
                <w:szCs w:val="24"/>
                <w:lang w:eastAsia="lv-LV"/>
              </w:rPr>
              <w:t>.</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12.2.</w:t>
            </w:r>
            <w:r>
              <w:rPr>
                <w:rFonts w:ascii="Times New Roman" w:eastAsia="Times New Roman" w:hAnsi="Times New Roman" w:cs="Times New Roman"/>
                <w:sz w:val="24"/>
                <w:szCs w:val="24"/>
                <w:lang w:eastAsia="lv-LV"/>
              </w:rPr>
              <w:t>b</w:t>
            </w:r>
            <w:r w:rsidRPr="001513B7">
              <w:rPr>
                <w:rFonts w:ascii="Times New Roman" w:eastAsia="Times New Roman" w:hAnsi="Times New Roman" w:cs="Times New Roman"/>
                <w:sz w:val="24"/>
                <w:szCs w:val="24"/>
                <w:lang w:eastAsia="lv-LV"/>
              </w:rPr>
              <w:t>) 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C076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0766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 11</w:t>
            </w:r>
            <w:r w:rsidR="00C07660">
              <w:rPr>
                <w:rFonts w:ascii="Times New Roman" w:eastAsia="Times New Roman" w:hAnsi="Times New Roman" w:cs="Times New Roman"/>
                <w:sz w:val="24"/>
                <w:szCs w:val="24"/>
                <w:lang w:eastAsia="lv-LV"/>
              </w:rPr>
              <w:t>7</w:t>
            </w:r>
            <w:r w:rsidR="00E52D2F">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12.2.c).pants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C07660"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118</w:t>
            </w:r>
            <w:r w:rsidR="00BA1378">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17582F"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17582F" w:rsidRPr="001513B7" w:rsidRDefault="0017582F" w:rsidP="005B333B">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17582F" w:rsidRPr="001513B7" w:rsidRDefault="0017582F" w:rsidP="005B333B">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xml:space="preserve">a) </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D34F94" w:rsidRDefault="00D34F94" w:rsidP="005B33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43.punkts</w:t>
            </w:r>
          </w:p>
          <w:p w:rsidR="0017582F" w:rsidRPr="001513B7" w:rsidRDefault="0017582F" w:rsidP="005B33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11.1.punkts</w:t>
            </w:r>
          </w:p>
        </w:tc>
        <w:tc>
          <w:tcPr>
            <w:tcW w:w="1219" w:type="pct"/>
            <w:gridSpan w:val="2"/>
            <w:tcBorders>
              <w:top w:val="outset" w:sz="6" w:space="0" w:color="auto"/>
              <w:left w:val="outset" w:sz="6" w:space="0" w:color="auto"/>
              <w:bottom w:val="outset" w:sz="6" w:space="0" w:color="auto"/>
              <w:right w:val="outset" w:sz="6" w:space="0" w:color="auto"/>
            </w:tcBorders>
          </w:tcPr>
          <w:p w:rsidR="0017582F" w:rsidRPr="001513B7" w:rsidRDefault="0017582F" w:rsidP="005B333B">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17582F" w:rsidRPr="001513B7" w:rsidRDefault="0017582F" w:rsidP="005B333B">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17582F"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17582F" w:rsidRPr="001513B7" w:rsidRDefault="0017582F" w:rsidP="001758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xml:space="preserve">b) </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17582F" w:rsidRDefault="0017582F" w:rsidP="001758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11.2.punkts</w:t>
            </w:r>
          </w:p>
        </w:tc>
        <w:tc>
          <w:tcPr>
            <w:tcW w:w="1219" w:type="pct"/>
            <w:gridSpan w:val="2"/>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12.3.</w:t>
            </w:r>
            <w:r w:rsidR="00100B38">
              <w:rPr>
                <w:rFonts w:ascii="Times New Roman" w:eastAsia="Times New Roman" w:hAnsi="Times New Roman" w:cs="Times New Roman"/>
                <w:sz w:val="24"/>
                <w:szCs w:val="24"/>
                <w:lang w:eastAsia="lv-LV"/>
              </w:rPr>
              <w:t xml:space="preserve">c) </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100B38"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11.4.punkts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17582F"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17582F" w:rsidRPr="001513B7" w:rsidRDefault="0017582F" w:rsidP="001758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xml:space="preserve">c) </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17582F" w:rsidRDefault="0017582F" w:rsidP="001758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11.5.punkts</w:t>
            </w:r>
          </w:p>
        </w:tc>
        <w:tc>
          <w:tcPr>
            <w:tcW w:w="1219" w:type="pct"/>
            <w:gridSpan w:val="2"/>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17582F" w:rsidRPr="001513B7" w:rsidRDefault="0017582F" w:rsidP="0017582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532A9F"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532A9F" w:rsidRPr="001513B7" w:rsidRDefault="00532A9F" w:rsidP="00532A9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532A9F" w:rsidRPr="001513B7" w:rsidRDefault="00532A9F" w:rsidP="00532A9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532A9F" w:rsidRPr="001513B7" w:rsidRDefault="00532A9F" w:rsidP="00532A9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32.punkts</w:t>
            </w:r>
          </w:p>
        </w:tc>
        <w:tc>
          <w:tcPr>
            <w:tcW w:w="1219" w:type="pct"/>
            <w:gridSpan w:val="2"/>
            <w:tcBorders>
              <w:top w:val="outset" w:sz="6" w:space="0" w:color="auto"/>
              <w:left w:val="outset" w:sz="6" w:space="0" w:color="auto"/>
              <w:bottom w:val="outset" w:sz="6" w:space="0" w:color="auto"/>
              <w:right w:val="outset" w:sz="6" w:space="0" w:color="auto"/>
            </w:tcBorders>
          </w:tcPr>
          <w:p w:rsidR="00532A9F" w:rsidRPr="001513B7" w:rsidRDefault="00532A9F" w:rsidP="00532A9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532A9F" w:rsidRPr="001513B7" w:rsidRDefault="00532A9F" w:rsidP="00532A9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12.5.pants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9021E7"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E52D2F" w:rsidRPr="001513B7">
              <w:rPr>
                <w:rFonts w:ascii="Times New Roman" w:eastAsia="Times New Roman" w:hAnsi="Times New Roman" w:cs="Times New Roman"/>
                <w:sz w:val="24"/>
                <w:szCs w:val="24"/>
                <w:lang w:eastAsia="lv-LV"/>
              </w:rPr>
              <w:t xml:space="preserve">., </w:t>
            </w:r>
            <w:r w:rsidR="00C07660">
              <w:rPr>
                <w:rFonts w:ascii="Times New Roman" w:eastAsia="Times New Roman" w:hAnsi="Times New Roman" w:cs="Times New Roman"/>
                <w:sz w:val="24"/>
                <w:szCs w:val="24"/>
                <w:lang w:eastAsia="lv-LV"/>
              </w:rPr>
              <w:t>73</w:t>
            </w:r>
            <w:r w:rsidR="00E52D2F" w:rsidRPr="001513B7">
              <w:rPr>
                <w:rFonts w:ascii="Times New Roman" w:eastAsia="Times New Roman" w:hAnsi="Times New Roman" w:cs="Times New Roman"/>
                <w:sz w:val="24"/>
                <w:szCs w:val="24"/>
                <w:lang w:eastAsia="lv-LV"/>
              </w:rPr>
              <w:t>.pants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12.6.pants</w:t>
            </w:r>
          </w:p>
        </w:tc>
        <w:tc>
          <w:tcPr>
            <w:tcW w:w="1136" w:type="pct"/>
            <w:tcBorders>
              <w:top w:val="outset" w:sz="6" w:space="0" w:color="auto"/>
              <w:left w:val="outset" w:sz="6" w:space="0" w:color="auto"/>
              <w:bottom w:val="outset" w:sz="6" w:space="0" w:color="auto"/>
              <w:right w:val="outset" w:sz="6" w:space="0" w:color="auto"/>
            </w:tcBorders>
          </w:tcPr>
          <w:p w:rsidR="00E52D2F" w:rsidRDefault="00D34F94"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E52D2F">
              <w:rPr>
                <w:rFonts w:ascii="Times New Roman" w:eastAsia="Times New Roman" w:hAnsi="Times New Roman" w:cs="Times New Roman"/>
                <w:sz w:val="24"/>
                <w:szCs w:val="24"/>
                <w:lang w:eastAsia="lv-LV"/>
              </w:rPr>
              <w:t>.punkts</w:t>
            </w:r>
          </w:p>
          <w:p w:rsidR="00D34F94" w:rsidRPr="001513B7" w:rsidRDefault="00D34F94"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5.pielikuma 19.punkts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12.7.pants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C07660">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9</w:t>
            </w:r>
            <w:r w:rsidR="00C07660">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12.</w:t>
            </w:r>
            <w:r>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23.8.punkts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13.1.pants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50.punkts</w:t>
            </w:r>
          </w:p>
          <w:p w:rsidR="00E52D2F"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p>
          <w:p w:rsidR="00E52D2F" w:rsidRDefault="00E52D2F" w:rsidP="00E52D2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Ministru kabineta 2013.gada 30.aprīļa noteikumi Nr.240 “Vispārīgie teritorijas plānošanas, izmantošanas un apbūves noteikumi”</w:t>
            </w:r>
          </w:p>
          <w:p w:rsidR="00E52D2F" w:rsidRPr="001C39DA" w:rsidRDefault="00E52D2F" w:rsidP="00E52D2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r>
              <w:rPr>
                <w:rFonts w:ascii="Times New Roman" w:eastAsia="Times New Roman" w:hAnsi="Times New Roman" w:cs="Times New Roman"/>
                <w:lang w:eastAsia="lv-LV"/>
              </w:rPr>
              <w:t>.</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13.2.pants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50. 5</w:t>
            </w:r>
            <w:r w:rsidR="009C071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5</w:t>
            </w:r>
            <w:r w:rsidR="009C071C">
              <w:rPr>
                <w:rFonts w:ascii="Times New Roman" w:eastAsia="Times New Roman" w:hAnsi="Times New Roman" w:cs="Times New Roman"/>
                <w:sz w:val="24"/>
                <w:szCs w:val="24"/>
                <w:lang w:eastAsia="lv-LV"/>
              </w:rPr>
              <w:t>2, 53</w:t>
            </w:r>
            <w:r w:rsidRPr="001513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5</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13.3.pants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9C071C">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D1FA6"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D1FA6" w:rsidRPr="001513B7" w:rsidRDefault="00AD1FA6" w:rsidP="00AD1FA6">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D1FA6" w:rsidRPr="001513B7" w:rsidRDefault="00AD1FA6" w:rsidP="00AD1F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D1FA6" w:rsidRDefault="00AD1FA6"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AD1FA6" w:rsidRPr="001513B7" w:rsidRDefault="00AD1FA6" w:rsidP="00AD1FA6">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AD1FA6" w:rsidRPr="001513B7" w:rsidRDefault="00AD1FA6" w:rsidP="00AD1FA6">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14.1.pants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9C071C"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r w:rsidR="00E52D2F">
              <w:rPr>
                <w:rFonts w:ascii="Times New Roman" w:eastAsia="Times New Roman" w:hAnsi="Times New Roman" w:cs="Times New Roman"/>
                <w:sz w:val="24"/>
                <w:szCs w:val="24"/>
                <w:lang w:eastAsia="lv-LV"/>
              </w:rPr>
              <w:t>., 7</w:t>
            </w:r>
            <w:r>
              <w:rPr>
                <w:rFonts w:ascii="Times New Roman" w:eastAsia="Times New Roman" w:hAnsi="Times New Roman" w:cs="Times New Roman"/>
                <w:sz w:val="24"/>
                <w:szCs w:val="24"/>
                <w:lang w:eastAsia="lv-LV"/>
              </w:rPr>
              <w:t>1</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14.2.pants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9C071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5</w:t>
            </w:r>
            <w:r w:rsidR="009C071C">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009C071C">
              <w:rPr>
                <w:rFonts w:ascii="Times New Roman" w:eastAsia="Times New Roman" w:hAnsi="Times New Roman" w:cs="Times New Roman"/>
                <w:sz w:val="24"/>
                <w:szCs w:val="24"/>
                <w:lang w:eastAsia="lv-LV"/>
              </w:rPr>
              <w:t>59., 70.</w:t>
            </w:r>
            <w:r>
              <w:rPr>
                <w:rFonts w:ascii="Times New Roman" w:eastAsia="Times New Roman" w:hAnsi="Times New Roman" w:cs="Times New Roman"/>
                <w:sz w:val="24"/>
                <w:szCs w:val="24"/>
                <w:lang w:eastAsia="lv-LV"/>
              </w:rPr>
              <w:t>2., 7</w:t>
            </w:r>
            <w:r w:rsidR="009C071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7</w:t>
            </w:r>
            <w:r w:rsidR="009C071C">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.punkts, 4.pielikums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14.3.pants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 10</w:t>
            </w:r>
            <w:r w:rsidR="009C071C">
              <w:rPr>
                <w:rFonts w:ascii="Times New Roman" w:eastAsia="Times New Roman" w:hAnsi="Times New Roman" w:cs="Times New Roman"/>
                <w:sz w:val="24"/>
                <w:szCs w:val="24"/>
                <w:lang w:eastAsia="lv-LV"/>
              </w:rPr>
              <w:t>6</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14.4.pants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.2.3</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Default="00E52D2F" w:rsidP="00110B6B">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Direktīvas 2012/18/ES </w:t>
            </w:r>
          </w:p>
          <w:p w:rsidR="00E52D2F" w:rsidRPr="001513B7" w:rsidRDefault="00E52D2F" w:rsidP="00110B6B">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15. 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110B6B">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.3.punkts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110B6B">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110B6B">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15.1.pants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.2.punkts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603BF3"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603BF3" w:rsidRPr="001513B7" w:rsidRDefault="00603BF3" w:rsidP="00603BF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603BF3" w:rsidRPr="001513B7" w:rsidRDefault="00603BF3" w:rsidP="00603BF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603BF3" w:rsidRPr="001C39DA" w:rsidRDefault="009C071C" w:rsidP="009C071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62</w:t>
            </w:r>
            <w:r w:rsidR="00603BF3" w:rsidRPr="00603BF3">
              <w:rPr>
                <w:rFonts w:ascii="Times New Roman" w:eastAsia="Times New Roman" w:hAnsi="Times New Roman" w:cs="Times New Roman"/>
                <w:sz w:val="24"/>
                <w:szCs w:val="24"/>
                <w:lang w:eastAsia="lv-LV"/>
              </w:rPr>
              <w:t>.</w:t>
            </w:r>
            <w:r w:rsidR="00FB3CAC">
              <w:rPr>
                <w:rFonts w:ascii="Times New Roman" w:eastAsia="Times New Roman" w:hAnsi="Times New Roman" w:cs="Times New Roman"/>
                <w:sz w:val="24"/>
                <w:szCs w:val="24"/>
                <w:lang w:eastAsia="lv-LV"/>
              </w:rPr>
              <w:t>, 6</w:t>
            </w:r>
            <w:r>
              <w:rPr>
                <w:rFonts w:ascii="Times New Roman" w:eastAsia="Times New Roman" w:hAnsi="Times New Roman" w:cs="Times New Roman"/>
                <w:sz w:val="24"/>
                <w:szCs w:val="24"/>
                <w:lang w:eastAsia="lv-LV"/>
              </w:rPr>
              <w:t>4</w:t>
            </w:r>
            <w:r w:rsidR="00FB3CAC">
              <w:rPr>
                <w:rFonts w:ascii="Times New Roman" w:eastAsia="Times New Roman" w:hAnsi="Times New Roman" w:cs="Times New Roman"/>
                <w:sz w:val="24"/>
                <w:szCs w:val="24"/>
                <w:lang w:eastAsia="lv-LV"/>
              </w:rPr>
              <w:t>. un 6</w:t>
            </w:r>
            <w:r>
              <w:rPr>
                <w:rFonts w:ascii="Times New Roman" w:eastAsia="Times New Roman" w:hAnsi="Times New Roman" w:cs="Times New Roman"/>
                <w:sz w:val="24"/>
                <w:szCs w:val="24"/>
                <w:lang w:eastAsia="lv-LV"/>
              </w:rPr>
              <w:t>7</w:t>
            </w:r>
            <w:r w:rsidR="00FB3CAC">
              <w:rPr>
                <w:rFonts w:ascii="Times New Roman" w:eastAsia="Times New Roman" w:hAnsi="Times New Roman" w:cs="Times New Roman"/>
                <w:sz w:val="24"/>
                <w:szCs w:val="24"/>
                <w:lang w:eastAsia="lv-LV"/>
              </w:rPr>
              <w:t>.</w:t>
            </w:r>
            <w:r w:rsidR="00603BF3" w:rsidRPr="00603BF3">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603BF3" w:rsidRPr="001513B7" w:rsidRDefault="00603BF3" w:rsidP="00603BF3">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603BF3" w:rsidRPr="001513B7" w:rsidRDefault="00603BF3" w:rsidP="00603BF3">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15.3.pants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 xml:space="preserve">.4., </w:t>
            </w: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.2.punkts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15.4.pants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5</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15.5.pants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 xml:space="preserve">.1., </w:t>
            </w:r>
            <w:r w:rsidR="009C071C">
              <w:rPr>
                <w:rFonts w:ascii="Times New Roman" w:eastAsia="Times New Roman" w:hAnsi="Times New Roman" w:cs="Times New Roman"/>
                <w:sz w:val="24"/>
                <w:szCs w:val="24"/>
                <w:lang w:eastAsia="lv-LV"/>
              </w:rPr>
              <w:t>68</w:t>
            </w:r>
            <w:r w:rsidRPr="001513B7">
              <w:rPr>
                <w:rFonts w:ascii="Times New Roman" w:eastAsia="Times New Roman" w:hAnsi="Times New Roman" w:cs="Times New Roman"/>
                <w:sz w:val="24"/>
                <w:szCs w:val="24"/>
                <w:lang w:eastAsia="lv-LV"/>
              </w:rPr>
              <w:t>.2.punkts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15.6.pants</w:t>
            </w:r>
          </w:p>
        </w:tc>
        <w:tc>
          <w:tcPr>
            <w:tcW w:w="1136" w:type="pct"/>
            <w:tcBorders>
              <w:top w:val="outset" w:sz="6" w:space="0" w:color="auto"/>
              <w:left w:val="outset" w:sz="6" w:space="0" w:color="auto"/>
              <w:bottom w:val="outset" w:sz="6" w:space="0" w:color="auto"/>
              <w:right w:val="outset" w:sz="6" w:space="0" w:color="auto"/>
            </w:tcBorders>
          </w:tcPr>
          <w:p w:rsidR="00E52D2F" w:rsidRDefault="00E52D2F" w:rsidP="00E52D2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6</w:t>
            </w:r>
            <w:r w:rsidR="009C071C">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.punkts</w:t>
            </w:r>
            <w:r w:rsidRPr="001C39DA">
              <w:rPr>
                <w:rFonts w:ascii="Times New Roman" w:eastAsia="Times New Roman" w:hAnsi="Times New Roman" w:cs="Times New Roman"/>
                <w:lang w:eastAsia="lv-LV"/>
              </w:rPr>
              <w:t xml:space="preserve"> </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15.7.pants</w:t>
            </w:r>
          </w:p>
        </w:tc>
        <w:tc>
          <w:tcPr>
            <w:tcW w:w="1136" w:type="pct"/>
            <w:tcBorders>
              <w:top w:val="outset" w:sz="6" w:space="0" w:color="auto"/>
              <w:left w:val="outset" w:sz="6" w:space="0" w:color="auto"/>
              <w:bottom w:val="outset" w:sz="6" w:space="0" w:color="auto"/>
              <w:right w:val="outset" w:sz="6" w:space="0" w:color="auto"/>
            </w:tcBorders>
          </w:tcPr>
          <w:p w:rsidR="00E52D2F" w:rsidRPr="008842A5" w:rsidRDefault="00E52D2F" w:rsidP="00E52D2F">
            <w:pPr>
              <w:spacing w:after="0" w:line="240" w:lineRule="auto"/>
              <w:rPr>
                <w:rFonts w:ascii="Times New Roman" w:eastAsia="Times New Roman" w:hAnsi="Times New Roman" w:cs="Times New Roman"/>
                <w:lang w:eastAsia="lv-LV"/>
              </w:rPr>
            </w:pPr>
            <w:r w:rsidRPr="001C39DA">
              <w:rPr>
                <w:rFonts w:ascii="Times New Roman" w:eastAsia="Times New Roman" w:hAnsi="Times New Roman" w:cs="Times New Roman"/>
                <w:lang w:eastAsia="lv-LV"/>
              </w:rPr>
              <w:t>Ministru kabineta 2014.gada 14.oktobra noteikumi Nr.628 “Noteikumi par pašvaldību teritorijas attīstības plānošanas dokumentiem”</w:t>
            </w:r>
            <w:r>
              <w:rPr>
                <w:rFonts w:ascii="Times New Roman" w:eastAsia="Times New Roman" w:hAnsi="Times New Roman" w:cs="Times New Roman"/>
                <w:lang w:eastAsia="lv-LV"/>
              </w:rPr>
              <w:t xml:space="preserve"> Ministru kabineta 2009.gada 25.augusta noteikumi Nr.970 “</w:t>
            </w:r>
            <w:r w:rsidRPr="00051831">
              <w:rPr>
                <w:rFonts w:ascii="Times New Roman" w:eastAsia="Times New Roman" w:hAnsi="Times New Roman" w:cs="Times New Roman"/>
                <w:lang w:eastAsia="lv-LV"/>
              </w:rPr>
              <w:t>Sabiedrības līdzdalības kārtība attīstības plānošanas procesā”</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16.pants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9</w:t>
            </w:r>
            <w:r w:rsidR="009C071C">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.1.1., 9</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 10</w:t>
            </w:r>
            <w:r w:rsidR="009C071C">
              <w:rPr>
                <w:rFonts w:ascii="Times New Roman" w:eastAsia="Times New Roman" w:hAnsi="Times New Roman" w:cs="Times New Roman"/>
                <w:sz w:val="24"/>
                <w:szCs w:val="24"/>
                <w:lang w:eastAsia="lv-LV"/>
              </w:rPr>
              <w:t>0</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17.pants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w:t>
            </w:r>
            <w:r w:rsidR="009C071C">
              <w:rPr>
                <w:rFonts w:ascii="Times New Roman" w:eastAsia="Times New Roman" w:hAnsi="Times New Roman" w:cs="Times New Roman"/>
                <w:sz w:val="24"/>
                <w:szCs w:val="24"/>
                <w:lang w:eastAsia="lv-LV"/>
              </w:rPr>
              <w:t>, 103</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18.1.pants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036B0C">
              <w:rPr>
                <w:rFonts w:ascii="Times New Roman" w:eastAsia="Times New Roman" w:hAnsi="Times New Roman" w:cs="Times New Roman"/>
                <w:sz w:val="24"/>
                <w:szCs w:val="24"/>
                <w:lang w:eastAsia="lv-LV"/>
              </w:rPr>
              <w:t>0</w:t>
            </w:r>
            <w:r w:rsidR="009C071C">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18.2.pants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036B0C">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0</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18.</w:t>
            </w:r>
            <w:r>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422990"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422990" w:rsidRPr="001513B7" w:rsidRDefault="00422990" w:rsidP="00422990">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18.</w:t>
            </w:r>
            <w:r>
              <w:rPr>
                <w:rFonts w:ascii="Times New Roman" w:eastAsia="Times New Roman" w:hAnsi="Times New Roman" w:cs="Times New Roman"/>
                <w:sz w:val="24"/>
                <w:szCs w:val="24"/>
                <w:lang w:eastAsia="lv-LV"/>
              </w:rPr>
              <w:t>4</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422990" w:rsidRPr="001513B7" w:rsidRDefault="00422990" w:rsidP="004229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422990" w:rsidRPr="001513B7" w:rsidRDefault="00422990" w:rsidP="00422990">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422990" w:rsidRPr="001513B7" w:rsidRDefault="00422990" w:rsidP="0042299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6.punkts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624924"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624924" w:rsidRPr="001513B7" w:rsidRDefault="00624924" w:rsidP="0062492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624924" w:rsidRPr="001513B7" w:rsidRDefault="00624924" w:rsidP="0062492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2.</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624924" w:rsidRPr="001513B7" w:rsidRDefault="00624924" w:rsidP="00624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 ietverta Piesārņojuma likumā</w:t>
            </w:r>
          </w:p>
        </w:tc>
        <w:tc>
          <w:tcPr>
            <w:tcW w:w="1219" w:type="pct"/>
            <w:gridSpan w:val="2"/>
            <w:tcBorders>
              <w:top w:val="outset" w:sz="6" w:space="0" w:color="auto"/>
              <w:left w:val="outset" w:sz="6" w:space="0" w:color="auto"/>
              <w:bottom w:val="outset" w:sz="6" w:space="0" w:color="auto"/>
              <w:right w:val="outset" w:sz="6" w:space="0" w:color="auto"/>
            </w:tcBorders>
          </w:tcPr>
          <w:p w:rsidR="00624924" w:rsidRPr="001513B7" w:rsidRDefault="00624924" w:rsidP="00624924">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624924" w:rsidRPr="001513B7" w:rsidRDefault="00624924" w:rsidP="00624924">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20.1. un 20.9.pants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C071C">
              <w:rPr>
                <w:rFonts w:ascii="Times New Roman" w:eastAsia="Times New Roman" w:hAnsi="Times New Roman" w:cs="Times New Roman"/>
                <w:sz w:val="24"/>
                <w:szCs w:val="24"/>
                <w:lang w:eastAsia="lv-LV"/>
              </w:rPr>
              <w:t>6</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036B0C"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C071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8</w:t>
            </w:r>
            <w:r w:rsidR="009C071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8</w:t>
            </w:r>
            <w:r w:rsidR="009C071C">
              <w:rPr>
                <w:rFonts w:ascii="Times New Roman" w:eastAsia="Times New Roman" w:hAnsi="Times New Roman" w:cs="Times New Roman"/>
                <w:sz w:val="24"/>
                <w:szCs w:val="24"/>
                <w:lang w:eastAsia="lv-LV"/>
              </w:rPr>
              <w:t>5</w:t>
            </w:r>
            <w:r w:rsidR="00E52D2F">
              <w:rPr>
                <w:rFonts w:ascii="Times New Roman" w:eastAsia="Times New Roman" w:hAnsi="Times New Roman" w:cs="Times New Roman"/>
                <w:sz w:val="24"/>
                <w:szCs w:val="24"/>
                <w:lang w:eastAsia="lv-LV"/>
              </w:rPr>
              <w:t>., 8</w:t>
            </w:r>
            <w:r w:rsidR="009C071C">
              <w:rPr>
                <w:rFonts w:ascii="Times New Roman" w:eastAsia="Times New Roman" w:hAnsi="Times New Roman" w:cs="Times New Roman"/>
                <w:sz w:val="24"/>
                <w:szCs w:val="24"/>
                <w:lang w:eastAsia="lv-LV"/>
              </w:rPr>
              <w:t>6</w:t>
            </w:r>
            <w:r w:rsidR="00E52D2F">
              <w:rPr>
                <w:rFonts w:ascii="Times New Roman" w:eastAsia="Times New Roman" w:hAnsi="Times New Roman" w:cs="Times New Roman"/>
                <w:sz w:val="24"/>
                <w:szCs w:val="24"/>
                <w:lang w:eastAsia="lv-LV"/>
              </w:rPr>
              <w:t>., 9</w:t>
            </w:r>
            <w:r w:rsidR="009C071C">
              <w:rPr>
                <w:rFonts w:ascii="Times New Roman" w:eastAsia="Times New Roman" w:hAnsi="Times New Roman" w:cs="Times New Roman"/>
                <w:sz w:val="24"/>
                <w:szCs w:val="24"/>
                <w:lang w:eastAsia="lv-LV"/>
              </w:rPr>
              <w:t>0</w:t>
            </w:r>
            <w:r w:rsidR="00E52D2F">
              <w:rPr>
                <w:rFonts w:ascii="Times New Roman" w:eastAsia="Times New Roman" w:hAnsi="Times New Roman" w:cs="Times New Roman"/>
                <w:sz w:val="24"/>
                <w:szCs w:val="24"/>
                <w:lang w:eastAsia="lv-LV"/>
              </w:rPr>
              <w:t xml:space="preserve">. </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9C071C">
              <w:rPr>
                <w:rFonts w:ascii="Times New Roman" w:eastAsia="Times New Roman" w:hAnsi="Times New Roman" w:cs="Times New Roman"/>
                <w:sz w:val="24"/>
                <w:szCs w:val="24"/>
                <w:lang w:eastAsia="lv-LV"/>
              </w:rPr>
              <w:t xml:space="preserve"> 76</w:t>
            </w:r>
            <w:r>
              <w:rPr>
                <w:rFonts w:ascii="Times New Roman" w:eastAsia="Times New Roman" w:hAnsi="Times New Roman" w:cs="Times New Roman"/>
                <w:sz w:val="24"/>
                <w:szCs w:val="24"/>
                <w:lang w:eastAsia="lv-LV"/>
              </w:rPr>
              <w:t>., 9</w:t>
            </w:r>
            <w:r w:rsidR="009C071C">
              <w:rPr>
                <w:rFonts w:ascii="Times New Roman" w:eastAsia="Times New Roman" w:hAnsi="Times New Roman" w:cs="Times New Roman"/>
                <w:sz w:val="24"/>
                <w:szCs w:val="24"/>
                <w:lang w:eastAsia="lv-LV"/>
              </w:rPr>
              <w:t>0</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20.4.pants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C071C">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20.5. </w:t>
            </w:r>
            <w:r>
              <w:rPr>
                <w:rFonts w:ascii="Times New Roman" w:eastAsia="Times New Roman" w:hAnsi="Times New Roman" w:cs="Times New Roman"/>
                <w:sz w:val="24"/>
                <w:szCs w:val="24"/>
                <w:lang w:eastAsia="lv-LV"/>
              </w:rPr>
              <w:t>pants</w:t>
            </w:r>
            <w:r w:rsidRPr="001513B7">
              <w:rPr>
                <w:rFonts w:ascii="Times New Roman" w:eastAsia="Times New Roman" w:hAnsi="Times New Roman" w:cs="Times New Roman"/>
                <w:sz w:val="24"/>
                <w:szCs w:val="24"/>
                <w:lang w:eastAsia="lv-LV"/>
              </w:rPr>
              <w:t xml:space="preserve"> </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BE38CE"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C071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8</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20.6.pants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BE38CE"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C071C">
              <w:rPr>
                <w:rFonts w:ascii="Times New Roman" w:eastAsia="Times New Roman" w:hAnsi="Times New Roman" w:cs="Times New Roman"/>
                <w:sz w:val="24"/>
                <w:szCs w:val="24"/>
                <w:lang w:eastAsia="lv-LV"/>
              </w:rPr>
              <w:t>4</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20.7.pants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9C071C" w:rsidP="00BE38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E52D2F" w:rsidRPr="001513B7">
              <w:rPr>
                <w:rFonts w:ascii="Times New Roman" w:eastAsia="Times New Roman" w:hAnsi="Times New Roman" w:cs="Times New Roman"/>
                <w:sz w:val="24"/>
                <w:szCs w:val="24"/>
                <w:lang w:eastAsia="lv-LV"/>
              </w:rPr>
              <w:t xml:space="preserve">., </w:t>
            </w:r>
            <w:r w:rsidR="00E52D2F">
              <w:rPr>
                <w:rFonts w:ascii="Times New Roman" w:eastAsia="Times New Roman" w:hAnsi="Times New Roman" w:cs="Times New Roman"/>
                <w:sz w:val="24"/>
                <w:szCs w:val="24"/>
                <w:lang w:eastAsia="lv-LV"/>
              </w:rPr>
              <w:t>9</w:t>
            </w:r>
            <w:r w:rsidR="00BE38C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20.8.pants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C071C">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9</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C071C">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FB3CAC"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FB3CAC" w:rsidRPr="001513B7" w:rsidRDefault="00FB3CAC" w:rsidP="00FB3CA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10</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FB3CAC" w:rsidRDefault="00BE38CE"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09</w:t>
            </w:r>
            <w:r w:rsidR="00FB3CAC">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20.11.pants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BE38CE"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C071C">
              <w:rPr>
                <w:rFonts w:ascii="Times New Roman" w:eastAsia="Times New Roman" w:hAnsi="Times New Roman" w:cs="Times New Roman"/>
                <w:sz w:val="24"/>
                <w:szCs w:val="24"/>
                <w:lang w:eastAsia="lv-LV"/>
              </w:rPr>
              <w:t>5</w:t>
            </w:r>
            <w:r w:rsidR="00E52D2F" w:rsidRPr="001513B7">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8</w:t>
            </w:r>
            <w:r w:rsidR="009C071C">
              <w:rPr>
                <w:rFonts w:ascii="Times New Roman" w:eastAsia="Times New Roman" w:hAnsi="Times New Roman" w:cs="Times New Roman"/>
                <w:sz w:val="24"/>
                <w:szCs w:val="24"/>
                <w:lang w:eastAsia="lv-LV"/>
              </w:rPr>
              <w:t>8</w:t>
            </w:r>
            <w:r w:rsidR="00E52D2F"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w:t>
            </w:r>
            <w:r w:rsidR="009C071C">
              <w:rPr>
                <w:rFonts w:ascii="Times New Roman" w:eastAsia="Times New Roman" w:hAnsi="Times New Roman" w:cs="Times New Roman"/>
                <w:sz w:val="24"/>
                <w:szCs w:val="24"/>
                <w:lang w:eastAsia="lv-LV"/>
              </w:rPr>
              <w:t>2</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21.3.pants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.3.punkts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21.4.pants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9B753F">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0</w:t>
            </w:r>
            <w:r w:rsidRPr="001513B7">
              <w:rPr>
                <w:rFonts w:ascii="Times New Roman" w:eastAsia="Times New Roman" w:hAnsi="Times New Roman" w:cs="Times New Roman"/>
                <w:sz w:val="24"/>
                <w:szCs w:val="24"/>
                <w:lang w:eastAsia="lv-LV"/>
              </w:rPr>
              <w:t>., 1</w:t>
            </w:r>
            <w:r w:rsidR="009B753F">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21.5.pants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9B753F">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21.6.pants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9B753F">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0</w:t>
            </w:r>
            <w:r w:rsidRPr="001513B7">
              <w:rPr>
                <w:rFonts w:ascii="Times New Roman" w:eastAsia="Times New Roman" w:hAnsi="Times New Roman" w:cs="Times New Roman"/>
                <w:sz w:val="24"/>
                <w:szCs w:val="24"/>
                <w:lang w:eastAsia="lv-LV"/>
              </w:rPr>
              <w:t>., 1</w:t>
            </w:r>
            <w:r w:rsidR="009B753F">
              <w:rPr>
                <w:rFonts w:ascii="Times New Roman" w:eastAsia="Times New Roman" w:hAnsi="Times New Roman" w:cs="Times New Roman"/>
                <w:sz w:val="24"/>
                <w:szCs w:val="24"/>
                <w:lang w:eastAsia="lv-LV"/>
              </w:rPr>
              <w:t>1</w:t>
            </w:r>
            <w:r w:rsidR="009C071C">
              <w:rPr>
                <w:rFonts w:ascii="Times New Roman" w:eastAsia="Times New Roman" w:hAnsi="Times New Roman" w:cs="Times New Roman"/>
                <w:sz w:val="24"/>
                <w:szCs w:val="24"/>
                <w:lang w:eastAsia="lv-LV"/>
              </w:rPr>
              <w:t>1</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22.1.pants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9C071C">
              <w:rPr>
                <w:rFonts w:ascii="Times New Roman" w:eastAsia="Times New Roman" w:hAnsi="Times New Roman" w:cs="Times New Roman"/>
                <w:sz w:val="24"/>
                <w:szCs w:val="24"/>
                <w:lang w:eastAsia="lv-LV"/>
              </w:rPr>
              <w:t>7</w:t>
            </w:r>
            <w:r w:rsidRPr="001513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w:t>
            </w:r>
            <w:r w:rsidR="009C071C">
              <w:rPr>
                <w:rFonts w:ascii="Times New Roman" w:eastAsia="Times New Roman" w:hAnsi="Times New Roman" w:cs="Times New Roman"/>
                <w:sz w:val="24"/>
                <w:szCs w:val="24"/>
                <w:lang w:eastAsia="lv-LV"/>
              </w:rPr>
              <w:t>8</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22.2.pants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9C071C"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E52D2F"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FB3CAC"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22.</w:t>
            </w:r>
            <w:r>
              <w:rPr>
                <w:rFonts w:ascii="Times New Roman" w:eastAsia="Times New Roman" w:hAnsi="Times New Roman" w:cs="Times New Roman"/>
                <w:sz w:val="24"/>
                <w:szCs w:val="24"/>
                <w:lang w:eastAsia="lv-LV"/>
              </w:rPr>
              <w:t>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FB3CAC" w:rsidRDefault="009C071C" w:rsidP="00FB3C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FB3CAC"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FB3CAC"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2012/18/ES 23</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FB3CAC" w:rsidRDefault="00FB3CAC" w:rsidP="00FB3C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25.pants</w:t>
            </w:r>
          </w:p>
          <w:p w:rsidR="00FB3CAC" w:rsidRDefault="00FB3CAC" w:rsidP="00FB3CAC">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24.pants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1513B7">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4C2C4D" w:rsidRPr="001513B7" w:rsidRDefault="004C2C4D" w:rsidP="004C2C4D">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4C2C4D" w:rsidRPr="001513B7" w:rsidRDefault="004C2C4D" w:rsidP="004C2C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4C2C4D" w:rsidRDefault="00A2007A" w:rsidP="00E52D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4C2C4D" w:rsidRPr="001513B7" w:rsidRDefault="00A2007A"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4C2C4D" w:rsidRPr="001513B7" w:rsidRDefault="00A2007A" w:rsidP="00E52D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FB3CAC"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FB3CAC" w:rsidRPr="001513B7" w:rsidRDefault="00FB3CAC" w:rsidP="00FB3C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FB3CAC" w:rsidRDefault="00FB3CAC" w:rsidP="00FB3C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 ietverta Latvijas Administratīvo pārkāpumu kodeksā</w:t>
            </w:r>
          </w:p>
        </w:tc>
        <w:tc>
          <w:tcPr>
            <w:tcW w:w="1219" w:type="pct"/>
            <w:gridSpan w:val="2"/>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FB3CAC" w:rsidRPr="001513B7" w:rsidRDefault="00FB3CAC" w:rsidP="00FB3CAC">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w:t>
            </w:r>
          </w:p>
          <w:p w:rsidR="00A2007A" w:rsidRPr="001513B7"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Pr="001513B7">
              <w:rPr>
                <w:rFonts w:ascii="Times New Roman" w:eastAsia="Times New Roman" w:hAnsi="Times New Roman" w:cs="Times New Roman"/>
                <w:sz w:val="24"/>
                <w:szCs w:val="24"/>
                <w:lang w:eastAsia="lv-LV"/>
              </w:rPr>
              <w:t>.pants</w:t>
            </w:r>
          </w:p>
        </w:tc>
        <w:tc>
          <w:tcPr>
            <w:tcW w:w="1136" w:type="pct"/>
            <w:tcBorders>
              <w:top w:val="outset" w:sz="6" w:space="0" w:color="auto"/>
              <w:left w:val="outset" w:sz="6" w:space="0" w:color="auto"/>
              <w:bottom w:val="outset" w:sz="6" w:space="0" w:color="auto"/>
              <w:right w:val="outset" w:sz="6" w:space="0" w:color="auto"/>
            </w:tcBorders>
          </w:tcPr>
          <w:p w:rsidR="00A2007A" w:rsidRDefault="00A2007A" w:rsidP="00A200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Nesatur paņemamas normas</w:t>
            </w:r>
          </w:p>
        </w:tc>
        <w:tc>
          <w:tcPr>
            <w:tcW w:w="1219" w:type="pct"/>
            <w:gridSpan w:val="2"/>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1773" w:type="pct"/>
            <w:tcBorders>
              <w:top w:val="outset" w:sz="6" w:space="0" w:color="auto"/>
              <w:left w:val="outset" w:sz="6" w:space="0" w:color="auto"/>
              <w:bottom w:val="outset" w:sz="6" w:space="0" w:color="auto"/>
              <w:right w:val="outset" w:sz="6" w:space="0" w:color="auto"/>
            </w:tcBorders>
          </w:tcPr>
          <w:p w:rsidR="00A2007A" w:rsidRPr="001513B7" w:rsidRDefault="00A2007A" w:rsidP="00A200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I pielikums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II pielikums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III pielikums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8.6., 8.7.punkts 3.pielikums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IV pielikuma 1.punkts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5.pielikums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IV pielikuma 2.punkts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6.pielikums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A2007A"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V pielikums</w:t>
            </w:r>
          </w:p>
        </w:tc>
        <w:tc>
          <w:tcPr>
            <w:tcW w:w="1136"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7.pielikums</w:t>
            </w:r>
          </w:p>
        </w:tc>
        <w:tc>
          <w:tcPr>
            <w:tcW w:w="1219" w:type="pct"/>
            <w:gridSpan w:val="2"/>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E52D2F" w:rsidRPr="001513B7" w:rsidRDefault="00E52D2F" w:rsidP="00E52D2F">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BB0F57"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Direktīvas 2012/18/ES VI pielikums</w:t>
            </w:r>
          </w:p>
        </w:tc>
        <w:tc>
          <w:tcPr>
            <w:tcW w:w="1136" w:type="pct"/>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8.pielikums</w:t>
            </w:r>
          </w:p>
        </w:tc>
        <w:tc>
          <w:tcPr>
            <w:tcW w:w="1219" w:type="pct"/>
            <w:gridSpan w:val="2"/>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BB0F57" w:rsidRPr="001513B7" w:rsidTr="00F81BE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rsidR="00BB0F5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rsidR="00BB0F57" w:rsidRPr="001513B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Nr.1272/2008 4.pants</w:t>
            </w:r>
          </w:p>
        </w:tc>
        <w:tc>
          <w:tcPr>
            <w:tcW w:w="1136" w:type="pct"/>
            <w:tcBorders>
              <w:top w:val="outset" w:sz="6" w:space="0" w:color="auto"/>
              <w:left w:val="outset" w:sz="6" w:space="0" w:color="auto"/>
              <w:bottom w:val="outset" w:sz="6" w:space="0" w:color="auto"/>
              <w:right w:val="outset" w:sz="6" w:space="0" w:color="auto"/>
            </w:tcBorders>
          </w:tcPr>
          <w:p w:rsidR="00BB0F5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9C071C">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.2.apakšpunkts</w:t>
            </w:r>
          </w:p>
          <w:p w:rsidR="00BB0F57" w:rsidRPr="001513B7" w:rsidRDefault="00BB0F57" w:rsidP="009C07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9C071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.punkts, 11</w:t>
            </w:r>
            <w:r w:rsidR="009C071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.2.1.apakšpunkts</w:t>
            </w:r>
          </w:p>
        </w:tc>
        <w:tc>
          <w:tcPr>
            <w:tcW w:w="1219" w:type="pct"/>
            <w:gridSpan w:val="2"/>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773" w:type="pct"/>
            <w:tcBorders>
              <w:top w:val="outset" w:sz="6" w:space="0" w:color="auto"/>
              <w:left w:val="outset" w:sz="6" w:space="0" w:color="auto"/>
              <w:bottom w:val="outset" w:sz="6" w:space="0" w:color="auto"/>
              <w:right w:val="outset" w:sz="6" w:space="0" w:color="auto"/>
            </w:tcBorders>
          </w:tcPr>
          <w:p w:rsidR="00BB0F57" w:rsidRPr="001513B7" w:rsidRDefault="00BB0F57" w:rsidP="00BB0F5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BB0F57" w:rsidRPr="001513B7" w:rsidTr="00F81BEE">
        <w:trPr>
          <w:tblCellSpacing w:w="15" w:type="dxa"/>
          <w:jc w:val="center"/>
        </w:trPr>
        <w:tc>
          <w:tcPr>
            <w:tcW w:w="3161" w:type="pct"/>
            <w:gridSpan w:val="3"/>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1513B7">
              <w:rPr>
                <w:rFonts w:ascii="Times New Roman" w:eastAsia="Times New Roman" w:hAnsi="Times New Roman" w:cs="Times New Roman"/>
                <w:sz w:val="24"/>
                <w:szCs w:val="24"/>
                <w:lang w:eastAsia="lv-LV"/>
              </w:rPr>
              <w:br/>
              <w:t>Kādēļ?</w:t>
            </w:r>
          </w:p>
        </w:tc>
        <w:tc>
          <w:tcPr>
            <w:tcW w:w="1789" w:type="pct"/>
            <w:gridSpan w:val="2"/>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B0F57" w:rsidRPr="001513B7" w:rsidTr="00F81BEE">
        <w:trPr>
          <w:tblCellSpacing w:w="15" w:type="dxa"/>
          <w:jc w:val="center"/>
        </w:trPr>
        <w:tc>
          <w:tcPr>
            <w:tcW w:w="3161" w:type="pct"/>
            <w:gridSpan w:val="3"/>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789" w:type="pct"/>
            <w:gridSpan w:val="2"/>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B0F57" w:rsidRPr="001513B7" w:rsidTr="00BB0F57">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4161" w:type="pct"/>
            <w:gridSpan w:val="4"/>
            <w:tcBorders>
              <w:top w:val="outset" w:sz="6" w:space="0" w:color="auto"/>
              <w:left w:val="outset" w:sz="6" w:space="0" w:color="auto"/>
              <w:bottom w:val="outset" w:sz="6" w:space="0" w:color="auto"/>
              <w:right w:val="outset" w:sz="6" w:space="0" w:color="auto"/>
            </w:tcBorders>
            <w:hideMark/>
          </w:tcPr>
          <w:p w:rsidR="00BB0F57" w:rsidRPr="001513B7" w:rsidRDefault="00BB0F57" w:rsidP="00BB0F5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4758E7" w:rsidRPr="001513B7" w:rsidRDefault="004758E7" w:rsidP="0078319C">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
        <w:gridCol w:w="2813"/>
        <w:gridCol w:w="5910"/>
      </w:tblGrid>
      <w:tr w:rsidR="00724057" w:rsidRPr="001513B7" w:rsidTr="004758E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 Sabiedrības līdzdalība un komunikācijas aktivitātes</w:t>
            </w:r>
          </w:p>
        </w:tc>
      </w:tr>
      <w:tr w:rsidR="00724057" w:rsidRPr="001513B7" w:rsidTr="004C5BC5">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rsidR="007B6047" w:rsidRDefault="00B06C87" w:rsidP="00AB4A68">
            <w:pPr>
              <w:spacing w:after="0" w:line="240" w:lineRule="auto"/>
              <w:jc w:val="both"/>
              <w:rPr>
                <w:rFonts w:ascii="Times New Roman" w:hAnsi="Times New Roman"/>
              </w:rPr>
            </w:pPr>
            <w:r w:rsidRPr="00437253">
              <w:rPr>
                <w:rFonts w:ascii="Times New Roman" w:hAnsi="Times New Roman"/>
              </w:rPr>
              <w:t xml:space="preserve">Sabiedrības pārstāvji ir informēti par iespēju līdzdarboties, publicējot paziņojumu par līdzdalības procesu VARAM </w:t>
            </w:r>
            <w:r w:rsidR="006C7DFD">
              <w:rPr>
                <w:rFonts w:ascii="Times New Roman" w:hAnsi="Times New Roman"/>
              </w:rPr>
              <w:t xml:space="preserve">tīmekļa vietnē, </w:t>
            </w:r>
            <w:hyperlink r:id="rId9" w:history="1">
              <w:r w:rsidR="006C7DFD" w:rsidRPr="00CF5963">
                <w:rPr>
                  <w:rStyle w:val="Hyperlink"/>
                  <w:rFonts w:ascii="Times New Roman" w:hAnsi="Times New Roman" w:cstheme="minorBidi"/>
                </w:rPr>
                <w:t>www.varam.gov.lv</w:t>
              </w:r>
            </w:hyperlink>
            <w:r w:rsidR="006C7DFD">
              <w:rPr>
                <w:rFonts w:ascii="Times New Roman" w:hAnsi="Times New Roman"/>
              </w:rPr>
              <w:t>, sadaļā „Sabiedrības līdzdalība”.</w:t>
            </w:r>
            <w:r w:rsidR="006C7DFD" w:rsidRPr="0061495F">
              <w:t xml:space="preserve"> </w:t>
            </w:r>
          </w:p>
          <w:p w:rsidR="00C4306C" w:rsidRPr="001513B7" w:rsidRDefault="00C4306C" w:rsidP="00C4306C">
            <w:pPr>
              <w:spacing w:after="0" w:line="240" w:lineRule="auto"/>
              <w:jc w:val="both"/>
              <w:rPr>
                <w:rFonts w:ascii="Times New Roman" w:eastAsia="Times New Roman" w:hAnsi="Times New Roman" w:cs="Times New Roman"/>
                <w:sz w:val="24"/>
                <w:szCs w:val="24"/>
                <w:lang w:eastAsia="lv-LV"/>
              </w:rPr>
            </w:pPr>
          </w:p>
        </w:tc>
      </w:tr>
      <w:tr w:rsidR="00724057" w:rsidRPr="001513B7" w:rsidTr="004C5BC5">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rsidR="0034447A" w:rsidRDefault="00B06C87" w:rsidP="0034447A">
            <w:pPr>
              <w:spacing w:after="0" w:line="240" w:lineRule="auto"/>
              <w:jc w:val="both"/>
              <w:rPr>
                <w:rFonts w:ascii="Times New Roman" w:hAnsi="Times New Roman"/>
              </w:rPr>
            </w:pPr>
            <w:r w:rsidRPr="00437253">
              <w:rPr>
                <w:rFonts w:ascii="Times New Roman" w:hAnsi="Times New Roman"/>
              </w:rPr>
              <w:t xml:space="preserve">Projekts 2015. gada </w:t>
            </w:r>
            <w:r w:rsidR="0034447A">
              <w:rPr>
                <w:rFonts w:ascii="Times New Roman" w:hAnsi="Times New Roman"/>
              </w:rPr>
              <w:t>19.jūnijā</w:t>
            </w:r>
            <w:r w:rsidRPr="00437253">
              <w:rPr>
                <w:rFonts w:ascii="Times New Roman" w:hAnsi="Times New Roman"/>
              </w:rPr>
              <w:t xml:space="preserve"> tika ievietots VARAM </w:t>
            </w:r>
            <w:r w:rsidR="006C7DFD">
              <w:rPr>
                <w:rFonts w:ascii="Times New Roman" w:hAnsi="Times New Roman"/>
              </w:rPr>
              <w:t xml:space="preserve">tīmekļa vietnē, </w:t>
            </w:r>
            <w:hyperlink r:id="rId10" w:history="1">
              <w:r w:rsidR="006C7DFD" w:rsidRPr="00CF5963">
                <w:rPr>
                  <w:rStyle w:val="Hyperlink"/>
                  <w:rFonts w:ascii="Times New Roman" w:hAnsi="Times New Roman" w:cstheme="minorBidi"/>
                </w:rPr>
                <w:t>www.varam.gov.lv</w:t>
              </w:r>
            </w:hyperlink>
            <w:r w:rsidR="006C7DFD">
              <w:rPr>
                <w:rFonts w:ascii="Times New Roman" w:hAnsi="Times New Roman"/>
              </w:rPr>
              <w:t xml:space="preserve">, sadaļā „Sabiedrības līdzdalība” </w:t>
            </w:r>
            <w:r w:rsidRPr="00437253">
              <w:rPr>
                <w:rFonts w:ascii="Times New Roman" w:hAnsi="Times New Roman"/>
              </w:rPr>
              <w:t>sabiedriskai apspried</w:t>
            </w:r>
            <w:r w:rsidR="0034447A">
              <w:rPr>
                <w:rFonts w:ascii="Times New Roman" w:hAnsi="Times New Roman"/>
              </w:rPr>
              <w:t xml:space="preserve">ei, kā arī izsūtīts komentāru sniegšanai </w:t>
            </w:r>
            <w:r w:rsidR="00AB4A68">
              <w:rPr>
                <w:rFonts w:ascii="Times New Roman" w:hAnsi="Times New Roman"/>
              </w:rPr>
              <w:t xml:space="preserve">Latvijas </w:t>
            </w:r>
            <w:r w:rsidR="0034447A">
              <w:rPr>
                <w:rFonts w:ascii="Times New Roman" w:hAnsi="Times New Roman"/>
              </w:rPr>
              <w:t xml:space="preserve">Degvielas tirgotāju asociācijai, Latvijas Ķīmijas un farmācijas asociācijai, Darba devēju konfederācijai, </w:t>
            </w:r>
            <w:r w:rsidR="006C7DFD">
              <w:rPr>
                <w:rFonts w:ascii="Times New Roman" w:hAnsi="Times New Roman"/>
              </w:rPr>
              <w:t>Latvijas Pašvaldību savienībai</w:t>
            </w:r>
            <w:r w:rsidR="0034447A">
              <w:rPr>
                <w:rFonts w:ascii="Times New Roman" w:hAnsi="Times New Roman"/>
              </w:rPr>
              <w:t xml:space="preserve">, Rīgas domei. </w:t>
            </w:r>
          </w:p>
          <w:p w:rsidR="001C39DA" w:rsidRDefault="00AB4A68" w:rsidP="001C39DA">
            <w:pPr>
              <w:spacing w:after="0" w:line="240" w:lineRule="auto"/>
              <w:jc w:val="both"/>
              <w:rPr>
                <w:rFonts w:ascii="Times New Roman" w:hAnsi="Times New Roman"/>
              </w:rPr>
            </w:pPr>
            <w:r>
              <w:rPr>
                <w:rFonts w:ascii="Times New Roman" w:hAnsi="Times New Roman"/>
              </w:rPr>
              <w:t xml:space="preserve">No Rīgas domes un Latvijas Degvielas tirgotāju </w:t>
            </w:r>
            <w:r w:rsidR="008465FA">
              <w:rPr>
                <w:rFonts w:ascii="Times New Roman" w:hAnsi="Times New Roman"/>
              </w:rPr>
              <w:t>asociācija</w:t>
            </w:r>
            <w:r w:rsidR="003915F5">
              <w:rPr>
                <w:rFonts w:ascii="Times New Roman" w:hAnsi="Times New Roman"/>
              </w:rPr>
              <w:t>s</w:t>
            </w:r>
            <w:r>
              <w:rPr>
                <w:rFonts w:ascii="Times New Roman" w:hAnsi="Times New Roman"/>
              </w:rPr>
              <w:t xml:space="preserve"> s</w:t>
            </w:r>
            <w:r w:rsidR="0034447A">
              <w:rPr>
                <w:rFonts w:ascii="Times New Roman" w:hAnsi="Times New Roman"/>
              </w:rPr>
              <w:t xml:space="preserve">aņemti priekšlikumi un komentāri </w:t>
            </w:r>
            <w:r w:rsidR="0034447A">
              <w:rPr>
                <w:rFonts w:ascii="Times New Roman" w:eastAsia="Times New Roman" w:hAnsi="Times New Roman" w:cs="Times New Roman"/>
                <w:lang w:eastAsia="lv-LV"/>
              </w:rPr>
              <w:t>par noteikumu projektu.</w:t>
            </w:r>
            <w:r w:rsidR="001C39DA">
              <w:rPr>
                <w:rFonts w:ascii="Times New Roman" w:hAnsi="Times New Roman"/>
              </w:rPr>
              <w:t xml:space="preserve"> </w:t>
            </w:r>
          </w:p>
          <w:p w:rsidR="004758E7" w:rsidRPr="001C39DA" w:rsidRDefault="001C39DA" w:rsidP="001C39DA">
            <w:pPr>
              <w:spacing w:after="0" w:line="240" w:lineRule="auto"/>
              <w:jc w:val="both"/>
              <w:rPr>
                <w:rFonts w:ascii="Times New Roman" w:hAnsi="Times New Roman"/>
              </w:rPr>
            </w:pPr>
            <w:r>
              <w:rPr>
                <w:rFonts w:ascii="Times New Roman" w:hAnsi="Times New Roman"/>
              </w:rPr>
              <w:t>Š.g. 1. un 10.jūlijā tika organizēta</w:t>
            </w:r>
            <w:r w:rsidR="001B63B8">
              <w:rPr>
                <w:rFonts w:ascii="Times New Roman" w:hAnsi="Times New Roman"/>
              </w:rPr>
              <w:t>s</w:t>
            </w:r>
            <w:r>
              <w:rPr>
                <w:rFonts w:ascii="Times New Roman" w:hAnsi="Times New Roman"/>
              </w:rPr>
              <w:t xml:space="preserve"> sanāksme</w:t>
            </w:r>
            <w:r w:rsidR="001B63B8">
              <w:rPr>
                <w:rFonts w:ascii="Times New Roman" w:hAnsi="Times New Roman"/>
              </w:rPr>
              <w:t>s</w:t>
            </w:r>
            <w:r>
              <w:rPr>
                <w:rFonts w:ascii="Times New Roman" w:hAnsi="Times New Roman"/>
              </w:rPr>
              <w:t xml:space="preserve"> ar Rīgas domi par noteikumu projektu.</w:t>
            </w:r>
          </w:p>
        </w:tc>
      </w:tr>
      <w:tr w:rsidR="00724057" w:rsidRPr="001513B7" w:rsidTr="004C5BC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RDefault="00AB4A68" w:rsidP="001C39DA">
            <w:pPr>
              <w:spacing w:after="0" w:line="240" w:lineRule="auto"/>
              <w:jc w:val="both"/>
              <w:rPr>
                <w:rFonts w:ascii="Times New Roman" w:eastAsia="Times New Roman" w:hAnsi="Times New Roman" w:cs="Times New Roman"/>
                <w:sz w:val="24"/>
                <w:szCs w:val="24"/>
                <w:lang w:eastAsia="lv-LV"/>
              </w:rPr>
            </w:pPr>
            <w:r w:rsidRPr="00CD7DAB">
              <w:rPr>
                <w:rFonts w:ascii="Times New Roman" w:hAnsi="Times New Roman"/>
              </w:rPr>
              <w:t>Ņemot vērā direktīvas prasības</w:t>
            </w:r>
            <w:r w:rsidR="00CD7DAB">
              <w:rPr>
                <w:rFonts w:ascii="Times New Roman" w:hAnsi="Times New Roman"/>
              </w:rPr>
              <w:t>,</w:t>
            </w:r>
            <w:r w:rsidRPr="00CD7DAB">
              <w:rPr>
                <w:rFonts w:ascii="Times New Roman" w:hAnsi="Times New Roman"/>
              </w:rPr>
              <w:t xml:space="preserve"> </w:t>
            </w:r>
            <w:r w:rsidR="001C39DA">
              <w:rPr>
                <w:rFonts w:ascii="Times New Roman" w:hAnsi="Times New Roman"/>
              </w:rPr>
              <w:t xml:space="preserve">atsevišķi </w:t>
            </w:r>
            <w:r w:rsidRPr="00CD7DAB">
              <w:rPr>
                <w:rFonts w:ascii="Times New Roman" w:hAnsi="Times New Roman"/>
              </w:rPr>
              <w:t>izteiktie priekšlikumi</w:t>
            </w:r>
            <w:r w:rsidR="007557EF" w:rsidRPr="00CD7DAB">
              <w:rPr>
                <w:rFonts w:ascii="Times New Roman" w:hAnsi="Times New Roman"/>
              </w:rPr>
              <w:t xml:space="preserve"> </w:t>
            </w:r>
            <w:r w:rsidR="008465FA" w:rsidRPr="00CD7DAB">
              <w:rPr>
                <w:rFonts w:ascii="Times New Roman" w:hAnsi="Times New Roman"/>
              </w:rPr>
              <w:t xml:space="preserve">iestrādāti </w:t>
            </w:r>
            <w:r w:rsidRPr="00CD7DAB">
              <w:rPr>
                <w:rFonts w:ascii="Times New Roman" w:hAnsi="Times New Roman"/>
              </w:rPr>
              <w:t xml:space="preserve">noteikumu </w:t>
            </w:r>
            <w:r w:rsidR="008465FA" w:rsidRPr="00CD7DAB">
              <w:rPr>
                <w:rFonts w:ascii="Times New Roman" w:hAnsi="Times New Roman"/>
              </w:rPr>
              <w:t>projektā</w:t>
            </w:r>
            <w:r w:rsidR="007557EF" w:rsidRPr="00CD7DAB">
              <w:rPr>
                <w:rFonts w:ascii="Times New Roman" w:hAnsi="Times New Roman"/>
              </w:rPr>
              <w:t>.</w:t>
            </w:r>
          </w:p>
        </w:tc>
      </w:tr>
      <w:tr w:rsidR="00724057" w:rsidRPr="001513B7" w:rsidTr="004C5BC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RDefault="00895D5C"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r w:rsidR="007557EF">
              <w:rPr>
                <w:rFonts w:ascii="Times New Roman" w:eastAsia="Times New Roman" w:hAnsi="Times New Roman" w:cs="Times New Roman"/>
                <w:sz w:val="24"/>
                <w:szCs w:val="24"/>
                <w:lang w:eastAsia="lv-LV"/>
              </w:rPr>
              <w:t>.</w:t>
            </w:r>
          </w:p>
        </w:tc>
      </w:tr>
    </w:tbl>
    <w:p w:rsidR="004C5BC5" w:rsidRPr="001513B7" w:rsidRDefault="004758E7" w:rsidP="004C5BC5">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bookmarkStart w:id="1" w:name="_GoBack"/>
      <w:bookmarkEnd w:id="1"/>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522"/>
        <w:gridCol w:w="6199"/>
      </w:tblGrid>
      <w:tr w:rsidR="00724057" w:rsidRPr="001513B7" w:rsidTr="004758E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RDefault="004758E7" w:rsidP="004758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VII. Tiesību akta projekta izpildes nodrošināšana un tās ietekme uz institūcijām</w:t>
            </w:r>
          </w:p>
        </w:tc>
      </w:tr>
      <w:tr w:rsidR="00724057" w:rsidRPr="001513B7" w:rsidTr="001513B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351"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rsidR="004758E7" w:rsidRPr="001513B7" w:rsidRDefault="00121C90" w:rsidP="001513B7">
            <w:pPr>
              <w:spacing w:after="0" w:line="240" w:lineRule="auto"/>
              <w:jc w:val="both"/>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Vides pārraudzības valsts birojs, Valsts ugunsdzēsības un glābšanas dienests, Vides valsts dienests, Patērētāju tiesību aizsardzības centrs, Valsts darba inspekcija, Vides aizsardzības un reģionālās attīstības ministrijas, pašvaldības.</w:t>
            </w:r>
          </w:p>
        </w:tc>
      </w:tr>
      <w:tr w:rsidR="00724057" w:rsidRPr="001513B7" w:rsidTr="001513B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351" w:type="pct"/>
            <w:tcBorders>
              <w:top w:val="outset" w:sz="6" w:space="0" w:color="auto"/>
              <w:left w:val="outset" w:sz="6" w:space="0" w:color="auto"/>
              <w:bottom w:val="outset" w:sz="6" w:space="0" w:color="auto"/>
              <w:right w:val="outset" w:sz="6" w:space="0" w:color="auto"/>
            </w:tcBorders>
            <w:hideMark/>
          </w:tcPr>
          <w:p w:rsidR="004758E7" w:rsidRPr="001513B7" w:rsidRDefault="004758E7" w:rsidP="00132223">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izpildes ietekme uz pārvaldes funkcij</w:t>
            </w:r>
            <w:r w:rsidR="00132223" w:rsidRPr="001513B7">
              <w:rPr>
                <w:rFonts w:ascii="Times New Roman" w:eastAsia="Times New Roman" w:hAnsi="Times New Roman" w:cs="Times New Roman"/>
                <w:sz w:val="24"/>
                <w:szCs w:val="24"/>
                <w:lang w:eastAsia="lv-LV"/>
              </w:rPr>
              <w:t>ām un institucionālo struktūru.</w:t>
            </w:r>
          </w:p>
        </w:tc>
        <w:tc>
          <w:tcPr>
            <w:tcW w:w="3336" w:type="pct"/>
            <w:tcBorders>
              <w:top w:val="outset" w:sz="6" w:space="0" w:color="auto"/>
              <w:left w:val="outset" w:sz="6" w:space="0" w:color="auto"/>
              <w:bottom w:val="outset" w:sz="6" w:space="0" w:color="auto"/>
              <w:right w:val="outset" w:sz="6" w:space="0" w:color="auto"/>
            </w:tcBorders>
            <w:hideMark/>
          </w:tcPr>
          <w:p w:rsidR="004758E7" w:rsidRPr="001513B7" w:rsidRDefault="007557EF" w:rsidP="007557EF">
            <w:pPr>
              <w:spacing w:after="0" w:line="240" w:lineRule="auto"/>
              <w:jc w:val="both"/>
              <w:rPr>
                <w:rFonts w:ascii="Times New Roman" w:eastAsia="Times New Roman" w:hAnsi="Times New Roman" w:cs="Times New Roman"/>
                <w:sz w:val="24"/>
                <w:szCs w:val="24"/>
                <w:lang w:eastAsia="lv-LV"/>
              </w:rPr>
            </w:pPr>
            <w:r w:rsidRPr="00C916E5">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projekts</w:t>
            </w:r>
            <w:r w:rsidRPr="00C916E5">
              <w:rPr>
                <w:rFonts w:ascii="Times New Roman" w:eastAsia="Times New Roman" w:hAnsi="Times New Roman" w:cs="Times New Roman"/>
                <w:sz w:val="24"/>
                <w:szCs w:val="24"/>
                <w:lang w:eastAsia="lv-LV"/>
              </w:rPr>
              <w:t xml:space="preserve"> </w:t>
            </w:r>
            <w:r w:rsidR="00C916E5" w:rsidRPr="00C916E5">
              <w:rPr>
                <w:rFonts w:ascii="Times New Roman" w:eastAsia="Times New Roman" w:hAnsi="Times New Roman" w:cs="Times New Roman"/>
                <w:sz w:val="24"/>
                <w:szCs w:val="24"/>
                <w:lang w:eastAsia="lv-LV"/>
              </w:rPr>
              <w:t>neparedz jaunu institūciju izveidi, likvidāciju vai reorganizāciju.</w:t>
            </w:r>
          </w:p>
        </w:tc>
      </w:tr>
      <w:tr w:rsidR="004758E7" w:rsidRPr="001513B7" w:rsidTr="001513B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351" w:type="pct"/>
            <w:tcBorders>
              <w:top w:val="outset" w:sz="6" w:space="0" w:color="auto"/>
              <w:left w:val="outset" w:sz="6" w:space="0" w:color="auto"/>
              <w:bottom w:val="outset" w:sz="6" w:space="0" w:color="auto"/>
              <w:right w:val="outset" w:sz="6" w:space="0" w:color="auto"/>
            </w:tcBorders>
            <w:hideMark/>
          </w:tcPr>
          <w:p w:rsidR="004758E7" w:rsidRPr="001513B7" w:rsidRDefault="004758E7" w:rsidP="004758E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4758E7" w:rsidRPr="001513B7" w:rsidRDefault="00132223" w:rsidP="004758E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r w:rsidR="007557EF">
              <w:rPr>
                <w:rFonts w:ascii="Times New Roman" w:eastAsia="Times New Roman" w:hAnsi="Times New Roman" w:cs="Times New Roman"/>
                <w:sz w:val="24"/>
                <w:szCs w:val="24"/>
                <w:lang w:eastAsia="lv-LV"/>
              </w:rPr>
              <w:t>.</w:t>
            </w:r>
          </w:p>
        </w:tc>
      </w:tr>
    </w:tbl>
    <w:p w:rsidR="007A60A7" w:rsidRDefault="007A60A7">
      <w:pPr>
        <w:rPr>
          <w:rFonts w:ascii="Times New Roman" w:hAnsi="Times New Roman" w:cs="Times New Roman"/>
        </w:rPr>
      </w:pPr>
    </w:p>
    <w:p w:rsidR="0099370D" w:rsidRPr="0099370D" w:rsidRDefault="0099370D">
      <w:pPr>
        <w:rPr>
          <w:rFonts w:ascii="Times New Roman" w:hAnsi="Times New Roman" w:cs="Times New Roman"/>
          <w:sz w:val="24"/>
          <w:szCs w:val="24"/>
        </w:rPr>
      </w:pPr>
      <w:r w:rsidRPr="0099370D">
        <w:rPr>
          <w:rFonts w:ascii="Times New Roman" w:hAnsi="Times New Roman" w:cs="Times New Roman"/>
          <w:sz w:val="24"/>
          <w:szCs w:val="24"/>
        </w:rPr>
        <w:t>Anotācijas III un IV sadaļa – projekts šo jomu neskar.</w:t>
      </w:r>
    </w:p>
    <w:p w:rsidR="0099370D" w:rsidRPr="0099370D" w:rsidRDefault="0099370D" w:rsidP="0099370D">
      <w:pPr>
        <w:spacing w:after="0" w:line="240" w:lineRule="auto"/>
        <w:rPr>
          <w:rFonts w:ascii="Times New Roman" w:hAnsi="Times New Roman" w:cs="Times New Roman"/>
          <w:sz w:val="24"/>
          <w:szCs w:val="24"/>
        </w:rPr>
      </w:pPr>
    </w:p>
    <w:p w:rsidR="0099370D" w:rsidRPr="0099370D" w:rsidRDefault="0099370D" w:rsidP="0099370D">
      <w:pPr>
        <w:spacing w:after="0" w:line="240" w:lineRule="auto"/>
        <w:rPr>
          <w:rFonts w:ascii="Times New Roman" w:hAnsi="Times New Roman" w:cs="Times New Roman"/>
          <w:sz w:val="24"/>
          <w:szCs w:val="24"/>
        </w:rPr>
      </w:pPr>
    </w:p>
    <w:p w:rsidR="0099370D" w:rsidRPr="0099370D" w:rsidRDefault="0099370D" w:rsidP="0099370D">
      <w:pPr>
        <w:spacing w:after="0" w:line="240" w:lineRule="auto"/>
        <w:rPr>
          <w:rFonts w:ascii="Times New Roman" w:hAnsi="Times New Roman" w:cs="Times New Roman"/>
          <w:sz w:val="24"/>
          <w:szCs w:val="24"/>
        </w:rPr>
      </w:pPr>
    </w:p>
    <w:p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 xml:space="preserve">Vides aizsardzības un </w:t>
      </w:r>
    </w:p>
    <w:p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reģionālās attīstības ministrs</w:t>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t>K.Gerhards</w:t>
      </w:r>
    </w:p>
    <w:p w:rsidR="0099370D" w:rsidRPr="0099370D" w:rsidRDefault="0099370D" w:rsidP="0099370D">
      <w:pPr>
        <w:spacing w:after="0" w:line="240" w:lineRule="auto"/>
        <w:ind w:firstLine="720"/>
        <w:rPr>
          <w:rFonts w:ascii="Times New Roman" w:hAnsi="Times New Roman" w:cs="Times New Roman"/>
          <w:sz w:val="24"/>
          <w:szCs w:val="24"/>
        </w:rPr>
      </w:pPr>
    </w:p>
    <w:p w:rsidR="00DD4BBE"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 xml:space="preserve">Vīza: </w:t>
      </w:r>
    </w:p>
    <w:p w:rsidR="00DD4BBE" w:rsidRPr="00DD4BBE" w:rsidRDefault="0099370D" w:rsidP="00626DB7">
      <w:pPr>
        <w:spacing w:after="0" w:line="240" w:lineRule="auto"/>
        <w:ind w:left="709"/>
        <w:rPr>
          <w:rFonts w:ascii="Times New Roman" w:hAnsi="Times New Roman" w:cs="Times New Roman"/>
          <w:sz w:val="24"/>
          <w:szCs w:val="24"/>
        </w:rPr>
      </w:pPr>
      <w:r w:rsidRPr="0099370D">
        <w:rPr>
          <w:rFonts w:ascii="Times New Roman" w:hAnsi="Times New Roman" w:cs="Times New Roman"/>
          <w:sz w:val="24"/>
          <w:szCs w:val="24"/>
        </w:rPr>
        <w:t>v</w:t>
      </w:r>
      <w:r w:rsidR="00626DB7">
        <w:rPr>
          <w:rFonts w:ascii="Times New Roman" w:hAnsi="Times New Roman" w:cs="Times New Roman"/>
          <w:sz w:val="24"/>
          <w:szCs w:val="24"/>
        </w:rPr>
        <w:t xml:space="preserve">alsts sekretārs </w:t>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r>
      <w:r w:rsidR="00626DB7">
        <w:rPr>
          <w:rFonts w:ascii="Times New Roman" w:hAnsi="Times New Roman" w:cs="Times New Roman"/>
          <w:sz w:val="24"/>
          <w:szCs w:val="24"/>
        </w:rPr>
        <w:tab/>
        <w:t>G.Puķītis</w:t>
      </w:r>
    </w:p>
    <w:p w:rsidR="0099370D" w:rsidRPr="0099370D" w:rsidRDefault="0099370D" w:rsidP="0099370D">
      <w:pPr>
        <w:spacing w:after="0" w:line="240" w:lineRule="auto"/>
        <w:ind w:firstLine="720"/>
        <w:rPr>
          <w:rFonts w:ascii="Times New Roman" w:hAnsi="Times New Roman" w:cs="Times New Roman"/>
          <w:sz w:val="24"/>
          <w:szCs w:val="24"/>
        </w:rPr>
      </w:pP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p>
    <w:p w:rsidR="0099370D" w:rsidRDefault="0099370D" w:rsidP="0099370D">
      <w:pPr>
        <w:spacing w:after="0" w:line="240" w:lineRule="auto"/>
        <w:ind w:firstLine="720"/>
        <w:rPr>
          <w:rFonts w:ascii="Times New Roman" w:hAnsi="Times New Roman" w:cs="Times New Roman"/>
        </w:rPr>
      </w:pPr>
    </w:p>
    <w:p w:rsidR="0099370D" w:rsidRDefault="0099370D" w:rsidP="0099370D">
      <w:pPr>
        <w:spacing w:after="0" w:line="240" w:lineRule="auto"/>
        <w:ind w:firstLine="720"/>
        <w:rPr>
          <w:rFonts w:ascii="Times New Roman" w:hAnsi="Times New Roman" w:cs="Times New Roman"/>
        </w:rPr>
      </w:pPr>
    </w:p>
    <w:p w:rsidR="0099370D" w:rsidRDefault="0099370D" w:rsidP="009A191B">
      <w:pPr>
        <w:spacing w:after="0" w:line="240" w:lineRule="auto"/>
        <w:rPr>
          <w:rFonts w:ascii="Times New Roman" w:hAnsi="Times New Roman" w:cs="Times New Roman"/>
        </w:rPr>
      </w:pPr>
    </w:p>
    <w:p w:rsidR="00EC5EF0" w:rsidRDefault="00EC5EF0" w:rsidP="0099370D">
      <w:pPr>
        <w:spacing w:after="0" w:line="240" w:lineRule="auto"/>
        <w:rPr>
          <w:rFonts w:ascii="Times New Roman" w:hAnsi="Times New Roman" w:cs="Times New Roman"/>
        </w:rPr>
      </w:pPr>
      <w:r>
        <w:rPr>
          <w:rFonts w:ascii="Times New Roman" w:hAnsi="Times New Roman" w:cs="Times New Roman"/>
        </w:rPr>
        <w:t>2015.12.08. 10:29</w:t>
      </w:r>
    </w:p>
    <w:p w:rsidR="0099370D" w:rsidRDefault="00EC5EF0" w:rsidP="0099370D">
      <w:pPr>
        <w:spacing w:after="0" w:line="240" w:lineRule="auto"/>
        <w:rPr>
          <w:rFonts w:ascii="Times New Roman" w:hAnsi="Times New Roman" w:cs="Times New Roman"/>
        </w:rPr>
      </w:pPr>
      <w:r>
        <w:rPr>
          <w:rFonts w:ascii="Times New Roman" w:hAnsi="Times New Roman" w:cs="Times New Roman"/>
        </w:rPr>
        <w:t>3825</w:t>
      </w:r>
    </w:p>
    <w:p w:rsidR="0099370D" w:rsidRDefault="0099370D" w:rsidP="0099370D">
      <w:pPr>
        <w:spacing w:after="0" w:line="240" w:lineRule="auto"/>
        <w:rPr>
          <w:rFonts w:ascii="Times New Roman" w:hAnsi="Times New Roman" w:cs="Times New Roman"/>
        </w:rPr>
      </w:pPr>
      <w:r>
        <w:rPr>
          <w:rFonts w:ascii="Times New Roman" w:hAnsi="Times New Roman" w:cs="Times New Roman"/>
        </w:rPr>
        <w:t>D.Jirgensone</w:t>
      </w:r>
    </w:p>
    <w:p w:rsidR="0099370D" w:rsidRDefault="0099370D" w:rsidP="0099370D">
      <w:pPr>
        <w:spacing w:after="0" w:line="240" w:lineRule="auto"/>
        <w:rPr>
          <w:rFonts w:ascii="Times New Roman" w:hAnsi="Times New Roman" w:cs="Times New Roman"/>
        </w:rPr>
      </w:pPr>
      <w:r>
        <w:rPr>
          <w:rFonts w:ascii="Times New Roman" w:hAnsi="Times New Roman" w:cs="Times New Roman"/>
        </w:rPr>
        <w:t>67026514, Dagnija.Jirgensone@varam.gov.lv</w:t>
      </w:r>
    </w:p>
    <w:p w:rsidR="0099370D" w:rsidRPr="00724057" w:rsidRDefault="0099370D" w:rsidP="0099370D">
      <w:pPr>
        <w:spacing w:after="0" w:line="240" w:lineRule="auto"/>
        <w:rPr>
          <w:rFonts w:ascii="Times New Roman" w:hAnsi="Times New Roman" w:cs="Times New Roman"/>
        </w:rPr>
      </w:pPr>
    </w:p>
    <w:sectPr w:rsidR="0099370D" w:rsidRPr="00724057" w:rsidSect="00E1706F">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B1" w:rsidRDefault="00512EB1" w:rsidP="00E1706F">
      <w:pPr>
        <w:spacing w:after="0" w:line="240" w:lineRule="auto"/>
      </w:pPr>
      <w:r>
        <w:separator/>
      </w:r>
    </w:p>
  </w:endnote>
  <w:endnote w:type="continuationSeparator" w:id="0">
    <w:p w:rsidR="00512EB1" w:rsidRDefault="00512EB1" w:rsidP="00E1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B1" w:rsidRPr="00652119" w:rsidRDefault="00EC5EF0">
    <w:pPr>
      <w:pStyle w:val="Footer"/>
      <w:rPr>
        <w:rFonts w:ascii="Times New Roman" w:hAnsi="Times New Roman" w:cs="Times New Roman"/>
      </w:rPr>
    </w:pPr>
    <w:r>
      <w:rPr>
        <w:rFonts w:ascii="Times New Roman" w:hAnsi="Times New Roman" w:cs="Times New Roman"/>
      </w:rPr>
      <w:t>VARAMAnot_0812</w:t>
    </w:r>
    <w:r w:rsidR="00512EB1" w:rsidRPr="00652119">
      <w:rPr>
        <w:rFonts w:ascii="Times New Roman" w:hAnsi="Times New Roman" w:cs="Times New Roman"/>
      </w:rPr>
      <w:t xml:space="preserve">15; Anotācija </w:t>
    </w:r>
    <w:r w:rsidR="00512EB1" w:rsidRPr="002B326D">
      <w:rPr>
        <w:rFonts w:ascii="Times New Roman" w:hAnsi="Times New Roman" w:cs="Times New Roman"/>
      </w:rPr>
      <w:t>MK noteikumu projektam “Rūpniecisko avāriju riska</w:t>
    </w:r>
    <w:r w:rsidR="00512EB1">
      <w:rPr>
        <w:rFonts w:ascii="Times New Roman" w:hAnsi="Times New Roman"/>
      </w:rPr>
      <w:t xml:space="preserve"> novērtēšanas kārtība</w:t>
    </w:r>
    <w:r w:rsidR="00512EB1" w:rsidRPr="00925F71">
      <w:rPr>
        <w:rFonts w:ascii="Times New Roman" w:hAnsi="Times New Roman"/>
      </w:rPr>
      <w:t xml:space="preserve"> u</w:t>
    </w:r>
    <w:r w:rsidR="00512EB1">
      <w:rPr>
        <w:rFonts w:ascii="Times New Roman" w:hAnsi="Times New Roman"/>
      </w:rPr>
      <w:t>n riska samazināšanas pasākumi</w:t>
    </w:r>
    <w:r w:rsidR="00512EB1" w:rsidRPr="00925F71">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B1" w:rsidRPr="00652119" w:rsidRDefault="00EC5EF0">
    <w:pPr>
      <w:pStyle w:val="Footer"/>
      <w:rPr>
        <w:rFonts w:ascii="Times New Roman" w:hAnsi="Times New Roman" w:cs="Times New Roman"/>
      </w:rPr>
    </w:pPr>
    <w:r>
      <w:rPr>
        <w:rFonts w:ascii="Times New Roman" w:hAnsi="Times New Roman" w:cs="Times New Roman"/>
      </w:rPr>
      <w:t>VARAMAnot_0812</w:t>
    </w:r>
    <w:r w:rsidR="00512EB1" w:rsidRPr="00652119">
      <w:rPr>
        <w:rFonts w:ascii="Times New Roman" w:hAnsi="Times New Roman" w:cs="Times New Roman"/>
      </w:rPr>
      <w:t xml:space="preserve">15; Anotācija </w:t>
    </w:r>
    <w:r w:rsidR="00512EB1" w:rsidRPr="002B326D">
      <w:rPr>
        <w:rFonts w:ascii="Times New Roman" w:hAnsi="Times New Roman" w:cs="Times New Roman"/>
      </w:rPr>
      <w:t>MK noteikumu projektam “Rūpniecisko avāriju riska</w:t>
    </w:r>
    <w:r w:rsidR="00512EB1">
      <w:rPr>
        <w:rFonts w:ascii="Times New Roman" w:hAnsi="Times New Roman"/>
      </w:rPr>
      <w:t xml:space="preserve"> novērtēšanas kārtība</w:t>
    </w:r>
    <w:r w:rsidR="00512EB1" w:rsidRPr="00925F71">
      <w:rPr>
        <w:rFonts w:ascii="Times New Roman" w:hAnsi="Times New Roman"/>
      </w:rPr>
      <w:t xml:space="preserve"> u</w:t>
    </w:r>
    <w:r w:rsidR="00512EB1">
      <w:rPr>
        <w:rFonts w:ascii="Times New Roman" w:hAnsi="Times New Roman"/>
      </w:rPr>
      <w:t>n riska samazināšanas pasākumi</w:t>
    </w:r>
    <w:r w:rsidR="00512EB1" w:rsidRPr="00925F71">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B1" w:rsidRDefault="00512EB1" w:rsidP="00E1706F">
      <w:pPr>
        <w:spacing w:after="0" w:line="240" w:lineRule="auto"/>
      </w:pPr>
      <w:r>
        <w:separator/>
      </w:r>
    </w:p>
  </w:footnote>
  <w:footnote w:type="continuationSeparator" w:id="0">
    <w:p w:rsidR="00512EB1" w:rsidRDefault="00512EB1" w:rsidP="00E17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51810"/>
      <w:docPartObj>
        <w:docPartGallery w:val="Page Numbers (Top of Page)"/>
        <w:docPartUnique/>
      </w:docPartObj>
    </w:sdtPr>
    <w:sdtEndPr>
      <w:rPr>
        <w:noProof/>
      </w:rPr>
    </w:sdtEndPr>
    <w:sdtContent>
      <w:p w:rsidR="00512EB1" w:rsidRDefault="00D9452C">
        <w:pPr>
          <w:pStyle w:val="Header"/>
          <w:jc w:val="center"/>
        </w:pPr>
        <w:r>
          <w:fldChar w:fldCharType="begin"/>
        </w:r>
        <w:r w:rsidR="00512EB1">
          <w:instrText xml:space="preserve"> PAGE   \* MERGEFORMAT </w:instrText>
        </w:r>
        <w:r>
          <w:fldChar w:fldCharType="separate"/>
        </w:r>
        <w:r w:rsidR="00EB566C">
          <w:rPr>
            <w:noProof/>
          </w:rPr>
          <w:t>19</w:t>
        </w:r>
        <w:r>
          <w:rPr>
            <w:noProof/>
          </w:rPr>
          <w:fldChar w:fldCharType="end"/>
        </w:r>
      </w:p>
    </w:sdtContent>
  </w:sdt>
  <w:p w:rsidR="00512EB1" w:rsidRDefault="00512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E94"/>
    <w:multiLevelType w:val="hybridMultilevel"/>
    <w:tmpl w:val="2F06438E"/>
    <w:lvl w:ilvl="0" w:tplc="6A2C717A">
      <w:start w:val="1"/>
      <w:numFmt w:val="bullet"/>
      <w:lvlText w:val="-"/>
      <w:lvlJc w:val="left"/>
      <w:pPr>
        <w:ind w:left="720" w:hanging="360"/>
      </w:pPr>
      <w:rPr>
        <w:rFonts w:ascii="NMFNGA+TimesNewRoman,Bold" w:eastAsia="Calibri" w:hAnsi="NMFNGA+TimesNewRoman,Bold" w:cs="NMFNGA+TimesNewRoman,Bol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C065AE6"/>
    <w:multiLevelType w:val="hybridMultilevel"/>
    <w:tmpl w:val="1D744F24"/>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B21389"/>
    <w:multiLevelType w:val="hybridMultilevel"/>
    <w:tmpl w:val="2FB6C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BC0B9D"/>
    <w:multiLevelType w:val="multilevel"/>
    <w:tmpl w:val="8E4C60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7226E50"/>
    <w:multiLevelType w:val="hybridMultilevel"/>
    <w:tmpl w:val="4A728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A36537"/>
    <w:multiLevelType w:val="hybridMultilevel"/>
    <w:tmpl w:val="FD042C86"/>
    <w:lvl w:ilvl="0" w:tplc="C10EC5CE">
      <w:numFmt w:val="bullet"/>
      <w:lvlText w:val="-"/>
      <w:lvlJc w:val="left"/>
      <w:pPr>
        <w:ind w:left="403" w:hanging="12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6">
    <w:nsid w:val="45CC787D"/>
    <w:multiLevelType w:val="multilevel"/>
    <w:tmpl w:val="444478D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F320141"/>
    <w:multiLevelType w:val="hybridMultilevel"/>
    <w:tmpl w:val="1E4A7A2C"/>
    <w:lvl w:ilvl="0" w:tplc="E884919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47D004E"/>
    <w:multiLevelType w:val="hybridMultilevel"/>
    <w:tmpl w:val="CD1EB03C"/>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4002F5E"/>
    <w:multiLevelType w:val="hybridMultilevel"/>
    <w:tmpl w:val="E2CC5A60"/>
    <w:lvl w:ilvl="0" w:tplc="BA18B6F8">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5"/>
  </w:num>
  <w:num w:numId="6">
    <w:abstractNumId w:val="0"/>
  </w:num>
  <w:num w:numId="7">
    <w:abstractNumId w:val="7"/>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hideSpellingErrors/>
  <w:hideGrammaticalErrors/>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4758E7"/>
    <w:rsid w:val="00006990"/>
    <w:rsid w:val="00010763"/>
    <w:rsid w:val="0003602B"/>
    <w:rsid w:val="00036B0C"/>
    <w:rsid w:val="00043950"/>
    <w:rsid w:val="00046B91"/>
    <w:rsid w:val="00051831"/>
    <w:rsid w:val="00055515"/>
    <w:rsid w:val="00066499"/>
    <w:rsid w:val="0007580E"/>
    <w:rsid w:val="000901D6"/>
    <w:rsid w:val="000C0CC7"/>
    <w:rsid w:val="000C19B1"/>
    <w:rsid w:val="000C4989"/>
    <w:rsid w:val="000C6988"/>
    <w:rsid w:val="000C716D"/>
    <w:rsid w:val="000D6906"/>
    <w:rsid w:val="000D7A74"/>
    <w:rsid w:val="00100B38"/>
    <w:rsid w:val="00102DA3"/>
    <w:rsid w:val="00106A23"/>
    <w:rsid w:val="00110B6B"/>
    <w:rsid w:val="00112B7C"/>
    <w:rsid w:val="00116DEC"/>
    <w:rsid w:val="00121C90"/>
    <w:rsid w:val="00125677"/>
    <w:rsid w:val="00127AC4"/>
    <w:rsid w:val="00132223"/>
    <w:rsid w:val="001347CA"/>
    <w:rsid w:val="0014011A"/>
    <w:rsid w:val="00144ADA"/>
    <w:rsid w:val="001513B7"/>
    <w:rsid w:val="00151F9D"/>
    <w:rsid w:val="00175653"/>
    <w:rsid w:val="0017582F"/>
    <w:rsid w:val="0018128E"/>
    <w:rsid w:val="0018693F"/>
    <w:rsid w:val="00194433"/>
    <w:rsid w:val="001A19B5"/>
    <w:rsid w:val="001B2543"/>
    <w:rsid w:val="001B63B8"/>
    <w:rsid w:val="001C0FE9"/>
    <w:rsid w:val="001C39DA"/>
    <w:rsid w:val="001E0966"/>
    <w:rsid w:val="00211CC3"/>
    <w:rsid w:val="002276A7"/>
    <w:rsid w:val="002465BA"/>
    <w:rsid w:val="00246F96"/>
    <w:rsid w:val="00272BE5"/>
    <w:rsid w:val="002810E4"/>
    <w:rsid w:val="002838EA"/>
    <w:rsid w:val="002C2DBA"/>
    <w:rsid w:val="002C31A9"/>
    <w:rsid w:val="002D7677"/>
    <w:rsid w:val="002E483E"/>
    <w:rsid w:val="003213DE"/>
    <w:rsid w:val="0034447A"/>
    <w:rsid w:val="0036222C"/>
    <w:rsid w:val="00374CD5"/>
    <w:rsid w:val="00383B77"/>
    <w:rsid w:val="00384BA8"/>
    <w:rsid w:val="00385A5C"/>
    <w:rsid w:val="00385F41"/>
    <w:rsid w:val="003915F5"/>
    <w:rsid w:val="0039440C"/>
    <w:rsid w:val="00396A27"/>
    <w:rsid w:val="003A5B09"/>
    <w:rsid w:val="003E3CBA"/>
    <w:rsid w:val="0040309B"/>
    <w:rsid w:val="00406231"/>
    <w:rsid w:val="004205F9"/>
    <w:rsid w:val="00422990"/>
    <w:rsid w:val="00423FD0"/>
    <w:rsid w:val="004338AF"/>
    <w:rsid w:val="00434861"/>
    <w:rsid w:val="004472DC"/>
    <w:rsid w:val="00466CDF"/>
    <w:rsid w:val="004758E7"/>
    <w:rsid w:val="0048186E"/>
    <w:rsid w:val="00485D81"/>
    <w:rsid w:val="0049043A"/>
    <w:rsid w:val="004949A8"/>
    <w:rsid w:val="004A4195"/>
    <w:rsid w:val="004A4978"/>
    <w:rsid w:val="004C2C4D"/>
    <w:rsid w:val="004C5BC5"/>
    <w:rsid w:val="004E2A28"/>
    <w:rsid w:val="004E39EE"/>
    <w:rsid w:val="004F00D6"/>
    <w:rsid w:val="004F7813"/>
    <w:rsid w:val="004F7B0E"/>
    <w:rsid w:val="00512EB1"/>
    <w:rsid w:val="0053137B"/>
    <w:rsid w:val="00532A9F"/>
    <w:rsid w:val="0054112B"/>
    <w:rsid w:val="00564222"/>
    <w:rsid w:val="00566333"/>
    <w:rsid w:val="00566AAE"/>
    <w:rsid w:val="00572C38"/>
    <w:rsid w:val="005923B2"/>
    <w:rsid w:val="005A5E2E"/>
    <w:rsid w:val="005B2024"/>
    <w:rsid w:val="005B333B"/>
    <w:rsid w:val="005B6ACF"/>
    <w:rsid w:val="005E3368"/>
    <w:rsid w:val="005F1FB9"/>
    <w:rsid w:val="00602228"/>
    <w:rsid w:val="00603BF3"/>
    <w:rsid w:val="00607CEA"/>
    <w:rsid w:val="006103C3"/>
    <w:rsid w:val="00611715"/>
    <w:rsid w:val="00613944"/>
    <w:rsid w:val="00622DFA"/>
    <w:rsid w:val="00624924"/>
    <w:rsid w:val="00626DB7"/>
    <w:rsid w:val="00627BA3"/>
    <w:rsid w:val="006313CD"/>
    <w:rsid w:val="00652119"/>
    <w:rsid w:val="006522CC"/>
    <w:rsid w:val="00661DFC"/>
    <w:rsid w:val="006633EA"/>
    <w:rsid w:val="00665FE5"/>
    <w:rsid w:val="006A176B"/>
    <w:rsid w:val="006B4295"/>
    <w:rsid w:val="006B7C6D"/>
    <w:rsid w:val="006C7DFD"/>
    <w:rsid w:val="006D64D3"/>
    <w:rsid w:val="006F7C08"/>
    <w:rsid w:val="007048F1"/>
    <w:rsid w:val="007078D8"/>
    <w:rsid w:val="00724057"/>
    <w:rsid w:val="00735D3D"/>
    <w:rsid w:val="007557EF"/>
    <w:rsid w:val="007801C4"/>
    <w:rsid w:val="00780457"/>
    <w:rsid w:val="0078319C"/>
    <w:rsid w:val="00785678"/>
    <w:rsid w:val="00785DBE"/>
    <w:rsid w:val="00790DA5"/>
    <w:rsid w:val="007948D5"/>
    <w:rsid w:val="007A60A7"/>
    <w:rsid w:val="007B4F4F"/>
    <w:rsid w:val="007B5ACD"/>
    <w:rsid w:val="007B6047"/>
    <w:rsid w:val="007C4F23"/>
    <w:rsid w:val="007F4F6A"/>
    <w:rsid w:val="0080419F"/>
    <w:rsid w:val="00806730"/>
    <w:rsid w:val="00830E38"/>
    <w:rsid w:val="008465FA"/>
    <w:rsid w:val="0084685A"/>
    <w:rsid w:val="00862D97"/>
    <w:rsid w:val="0087262F"/>
    <w:rsid w:val="0088321E"/>
    <w:rsid w:val="008842A5"/>
    <w:rsid w:val="00895D5C"/>
    <w:rsid w:val="008B3B09"/>
    <w:rsid w:val="008E27FD"/>
    <w:rsid w:val="008F4CC2"/>
    <w:rsid w:val="009021E7"/>
    <w:rsid w:val="00912CB0"/>
    <w:rsid w:val="00937F93"/>
    <w:rsid w:val="00942361"/>
    <w:rsid w:val="0096579A"/>
    <w:rsid w:val="00971B29"/>
    <w:rsid w:val="009734AD"/>
    <w:rsid w:val="00984066"/>
    <w:rsid w:val="0099370D"/>
    <w:rsid w:val="009A191B"/>
    <w:rsid w:val="009B1777"/>
    <w:rsid w:val="009B753F"/>
    <w:rsid w:val="009C071C"/>
    <w:rsid w:val="009C7336"/>
    <w:rsid w:val="009E429F"/>
    <w:rsid w:val="009F1D5E"/>
    <w:rsid w:val="00A2007A"/>
    <w:rsid w:val="00A223C0"/>
    <w:rsid w:val="00A30B2C"/>
    <w:rsid w:val="00A54606"/>
    <w:rsid w:val="00A71BDC"/>
    <w:rsid w:val="00AA14BA"/>
    <w:rsid w:val="00AA30CB"/>
    <w:rsid w:val="00AA39B7"/>
    <w:rsid w:val="00AB01FD"/>
    <w:rsid w:val="00AB4A68"/>
    <w:rsid w:val="00AD1FA6"/>
    <w:rsid w:val="00AD3F20"/>
    <w:rsid w:val="00AE2B89"/>
    <w:rsid w:val="00B06C87"/>
    <w:rsid w:val="00B2739E"/>
    <w:rsid w:val="00B30661"/>
    <w:rsid w:val="00B34D04"/>
    <w:rsid w:val="00B71A62"/>
    <w:rsid w:val="00B75380"/>
    <w:rsid w:val="00B75ADB"/>
    <w:rsid w:val="00B92406"/>
    <w:rsid w:val="00BA1378"/>
    <w:rsid w:val="00BA15D5"/>
    <w:rsid w:val="00BB0A88"/>
    <w:rsid w:val="00BB0F57"/>
    <w:rsid w:val="00BB4000"/>
    <w:rsid w:val="00BC7CCD"/>
    <w:rsid w:val="00BD4253"/>
    <w:rsid w:val="00BE38CE"/>
    <w:rsid w:val="00BF2E23"/>
    <w:rsid w:val="00C07660"/>
    <w:rsid w:val="00C22F8D"/>
    <w:rsid w:val="00C25009"/>
    <w:rsid w:val="00C31724"/>
    <w:rsid w:val="00C4306C"/>
    <w:rsid w:val="00C4318A"/>
    <w:rsid w:val="00C47030"/>
    <w:rsid w:val="00C4784D"/>
    <w:rsid w:val="00C5179E"/>
    <w:rsid w:val="00C60CFF"/>
    <w:rsid w:val="00C66070"/>
    <w:rsid w:val="00C75955"/>
    <w:rsid w:val="00C902D7"/>
    <w:rsid w:val="00C916E5"/>
    <w:rsid w:val="00C92FE1"/>
    <w:rsid w:val="00C976E2"/>
    <w:rsid w:val="00CD7091"/>
    <w:rsid w:val="00CD7DAB"/>
    <w:rsid w:val="00CE34BB"/>
    <w:rsid w:val="00D1127B"/>
    <w:rsid w:val="00D34F94"/>
    <w:rsid w:val="00D52D85"/>
    <w:rsid w:val="00D54925"/>
    <w:rsid w:val="00D56FE7"/>
    <w:rsid w:val="00D86675"/>
    <w:rsid w:val="00D869E7"/>
    <w:rsid w:val="00D92D90"/>
    <w:rsid w:val="00D9452C"/>
    <w:rsid w:val="00DB07C7"/>
    <w:rsid w:val="00DB1EA0"/>
    <w:rsid w:val="00DB77BA"/>
    <w:rsid w:val="00DC3371"/>
    <w:rsid w:val="00DC7542"/>
    <w:rsid w:val="00DD2D23"/>
    <w:rsid w:val="00DD4BBE"/>
    <w:rsid w:val="00DF31AA"/>
    <w:rsid w:val="00E12877"/>
    <w:rsid w:val="00E1706F"/>
    <w:rsid w:val="00E2197E"/>
    <w:rsid w:val="00E25E75"/>
    <w:rsid w:val="00E34C34"/>
    <w:rsid w:val="00E47C23"/>
    <w:rsid w:val="00E52D2F"/>
    <w:rsid w:val="00E561C8"/>
    <w:rsid w:val="00E60E14"/>
    <w:rsid w:val="00E630D2"/>
    <w:rsid w:val="00E65B78"/>
    <w:rsid w:val="00E84CE2"/>
    <w:rsid w:val="00EA4898"/>
    <w:rsid w:val="00EB566C"/>
    <w:rsid w:val="00EC0B4F"/>
    <w:rsid w:val="00EC39F4"/>
    <w:rsid w:val="00EC5EF0"/>
    <w:rsid w:val="00EC63BB"/>
    <w:rsid w:val="00ED3E95"/>
    <w:rsid w:val="00EF27AD"/>
    <w:rsid w:val="00F60193"/>
    <w:rsid w:val="00F67049"/>
    <w:rsid w:val="00F81BEE"/>
    <w:rsid w:val="00F81F51"/>
    <w:rsid w:val="00F840A3"/>
    <w:rsid w:val="00FA0490"/>
    <w:rsid w:val="00FA1EAC"/>
    <w:rsid w:val="00FB2ACA"/>
    <w:rsid w:val="00FB3CAC"/>
    <w:rsid w:val="00FB57B4"/>
    <w:rsid w:val="00FD1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75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862D97"/>
    <w:pPr>
      <w:ind w:left="720"/>
      <w:contextualSpacing/>
    </w:pPr>
  </w:style>
  <w:style w:type="paragraph" w:styleId="Header">
    <w:name w:val="header"/>
    <w:basedOn w:val="Normal"/>
    <w:link w:val="HeaderChar"/>
    <w:uiPriority w:val="99"/>
    <w:unhideWhenUsed/>
    <w:rsid w:val="00E17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06F"/>
  </w:style>
  <w:style w:type="paragraph" w:styleId="Footer">
    <w:name w:val="footer"/>
    <w:basedOn w:val="Normal"/>
    <w:link w:val="FooterChar"/>
    <w:uiPriority w:val="99"/>
    <w:unhideWhenUsed/>
    <w:rsid w:val="00E17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06F"/>
  </w:style>
  <w:style w:type="character" w:styleId="Hyperlink">
    <w:name w:val="Hyperlink"/>
    <w:rsid w:val="002276A7"/>
    <w:rPr>
      <w:rFonts w:cs="Times New Roman"/>
      <w:color w:val="0000FF"/>
      <w:u w:val="single"/>
    </w:rPr>
  </w:style>
  <w:style w:type="paragraph" w:customStyle="1" w:styleId="tv213">
    <w:name w:val="tv213"/>
    <w:basedOn w:val="Normal"/>
    <w:rsid w:val="002276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276A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2276A7"/>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276A7"/>
    <w:rPr>
      <w:vertAlign w:val="superscript"/>
    </w:rPr>
  </w:style>
  <w:style w:type="paragraph" w:styleId="Title">
    <w:name w:val="Title"/>
    <w:basedOn w:val="Normal"/>
    <w:link w:val="TitleChar"/>
    <w:qFormat/>
    <w:rsid w:val="002276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76A7"/>
    <w:rPr>
      <w:rFonts w:ascii="Times New Roman" w:eastAsia="Times New Roman" w:hAnsi="Times New Roman" w:cs="Times New Roman"/>
      <w:b/>
      <w:bCs/>
      <w:sz w:val="24"/>
      <w:szCs w:val="24"/>
    </w:rPr>
  </w:style>
  <w:style w:type="paragraph" w:customStyle="1" w:styleId="Default">
    <w:name w:val="Default"/>
    <w:rsid w:val="002276A7"/>
    <w:pPr>
      <w:autoSpaceDE w:val="0"/>
      <w:autoSpaceDN w:val="0"/>
      <w:adjustRightInd w:val="0"/>
      <w:spacing w:after="0" w:line="240" w:lineRule="auto"/>
    </w:pPr>
    <w:rPr>
      <w:rFonts w:ascii="NMFNGA+TimesNewRoman,Bold" w:eastAsia="Times New Roman" w:hAnsi="NMFNGA+TimesNewRoman,Bold" w:cs="NMFNGA+TimesNewRoman,Bold"/>
      <w:color w:val="000000"/>
      <w:sz w:val="24"/>
      <w:szCs w:val="24"/>
      <w:lang w:eastAsia="lv-LV"/>
    </w:rPr>
  </w:style>
  <w:style w:type="paragraph" w:styleId="BalloonText">
    <w:name w:val="Balloon Text"/>
    <w:basedOn w:val="Normal"/>
    <w:link w:val="BalloonTextChar"/>
    <w:uiPriority w:val="99"/>
    <w:semiHidden/>
    <w:unhideWhenUsed/>
    <w:rsid w:val="00AD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20"/>
    <w:rPr>
      <w:rFonts w:ascii="Tahoma" w:hAnsi="Tahoma" w:cs="Tahoma"/>
      <w:sz w:val="16"/>
      <w:szCs w:val="16"/>
    </w:rPr>
  </w:style>
  <w:style w:type="character" w:styleId="CommentReference">
    <w:name w:val="annotation reference"/>
    <w:basedOn w:val="DefaultParagraphFont"/>
    <w:uiPriority w:val="99"/>
    <w:semiHidden/>
    <w:unhideWhenUsed/>
    <w:rsid w:val="00AD3F20"/>
    <w:rPr>
      <w:sz w:val="16"/>
      <w:szCs w:val="16"/>
    </w:rPr>
  </w:style>
  <w:style w:type="paragraph" w:styleId="CommentText">
    <w:name w:val="annotation text"/>
    <w:basedOn w:val="Normal"/>
    <w:link w:val="CommentTextChar"/>
    <w:uiPriority w:val="99"/>
    <w:semiHidden/>
    <w:unhideWhenUsed/>
    <w:rsid w:val="00AD3F20"/>
    <w:pPr>
      <w:spacing w:line="240" w:lineRule="auto"/>
    </w:pPr>
    <w:rPr>
      <w:sz w:val="20"/>
      <w:szCs w:val="20"/>
    </w:rPr>
  </w:style>
  <w:style w:type="character" w:customStyle="1" w:styleId="CommentTextChar">
    <w:name w:val="Comment Text Char"/>
    <w:basedOn w:val="DefaultParagraphFont"/>
    <w:link w:val="CommentText"/>
    <w:uiPriority w:val="99"/>
    <w:semiHidden/>
    <w:rsid w:val="00AD3F20"/>
    <w:rPr>
      <w:sz w:val="20"/>
      <w:szCs w:val="20"/>
    </w:rPr>
  </w:style>
  <w:style w:type="paragraph" w:styleId="CommentSubject">
    <w:name w:val="annotation subject"/>
    <w:basedOn w:val="CommentText"/>
    <w:next w:val="CommentText"/>
    <w:link w:val="CommentSubjectChar"/>
    <w:uiPriority w:val="99"/>
    <w:semiHidden/>
    <w:unhideWhenUsed/>
    <w:rsid w:val="00AD3F20"/>
    <w:rPr>
      <w:b/>
      <w:bCs/>
    </w:rPr>
  </w:style>
  <w:style w:type="character" w:customStyle="1" w:styleId="CommentSubjectChar">
    <w:name w:val="Comment Subject Char"/>
    <w:basedOn w:val="CommentTextChar"/>
    <w:link w:val="CommentSubject"/>
    <w:uiPriority w:val="99"/>
    <w:semiHidden/>
    <w:rsid w:val="00AD3F20"/>
    <w:rPr>
      <w:b/>
      <w:bCs/>
      <w:sz w:val="20"/>
      <w:szCs w:val="20"/>
    </w:rPr>
  </w:style>
</w:styles>
</file>

<file path=word/webSettings.xml><?xml version="1.0" encoding="utf-8"?>
<w:webSettings xmlns:r="http://schemas.openxmlformats.org/officeDocument/2006/relationships" xmlns:w="http://schemas.openxmlformats.org/wordprocessingml/2006/main">
  <w:divs>
    <w:div w:id="982347664">
      <w:bodyDiv w:val="1"/>
      <w:marLeft w:val="0"/>
      <w:marRight w:val="0"/>
      <w:marTop w:val="0"/>
      <w:marBottom w:val="0"/>
      <w:divBdr>
        <w:top w:val="none" w:sz="0" w:space="0" w:color="auto"/>
        <w:left w:val="none" w:sz="0" w:space="0" w:color="auto"/>
        <w:bottom w:val="none" w:sz="0" w:space="0" w:color="auto"/>
        <w:right w:val="none" w:sz="0" w:space="0" w:color="auto"/>
      </w:divBdr>
      <w:divsChild>
        <w:div w:id="1914461065">
          <w:marLeft w:val="0"/>
          <w:marRight w:val="0"/>
          <w:marTop w:val="0"/>
          <w:marBottom w:val="0"/>
          <w:divBdr>
            <w:top w:val="none" w:sz="0" w:space="0" w:color="auto"/>
            <w:left w:val="none" w:sz="0" w:space="0" w:color="auto"/>
            <w:bottom w:val="none" w:sz="0" w:space="0" w:color="auto"/>
            <w:right w:val="none" w:sz="0" w:space="0" w:color="auto"/>
          </w:divBdr>
          <w:divsChild>
            <w:div w:id="3248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761">
      <w:bodyDiv w:val="1"/>
      <w:marLeft w:val="0"/>
      <w:marRight w:val="0"/>
      <w:marTop w:val="0"/>
      <w:marBottom w:val="0"/>
      <w:divBdr>
        <w:top w:val="none" w:sz="0" w:space="0" w:color="auto"/>
        <w:left w:val="none" w:sz="0" w:space="0" w:color="auto"/>
        <w:bottom w:val="none" w:sz="0" w:space="0" w:color="auto"/>
        <w:right w:val="none" w:sz="0" w:space="0" w:color="auto"/>
      </w:divBdr>
      <w:divsChild>
        <w:div w:id="1059669527">
          <w:marLeft w:val="0"/>
          <w:marRight w:val="0"/>
          <w:marTop w:val="0"/>
          <w:marBottom w:val="0"/>
          <w:divBdr>
            <w:top w:val="none" w:sz="0" w:space="0" w:color="auto"/>
            <w:left w:val="none" w:sz="0" w:space="0" w:color="auto"/>
            <w:bottom w:val="none" w:sz="0" w:space="0" w:color="auto"/>
            <w:right w:val="none" w:sz="0" w:space="0" w:color="auto"/>
          </w:divBdr>
          <w:divsChild>
            <w:div w:id="1465661686">
              <w:marLeft w:val="0"/>
              <w:marRight w:val="0"/>
              <w:marTop w:val="0"/>
              <w:marBottom w:val="0"/>
              <w:divBdr>
                <w:top w:val="none" w:sz="0" w:space="0" w:color="auto"/>
                <w:left w:val="none" w:sz="0" w:space="0" w:color="auto"/>
                <w:bottom w:val="none" w:sz="0" w:space="0" w:color="auto"/>
                <w:right w:val="none" w:sz="0" w:space="0" w:color="auto"/>
              </w:divBdr>
              <w:divsChild>
                <w:div w:id="232549249">
                  <w:marLeft w:val="0"/>
                  <w:marRight w:val="0"/>
                  <w:marTop w:val="0"/>
                  <w:marBottom w:val="0"/>
                  <w:divBdr>
                    <w:top w:val="none" w:sz="0" w:space="0" w:color="auto"/>
                    <w:left w:val="none" w:sz="0" w:space="0" w:color="auto"/>
                    <w:bottom w:val="none" w:sz="0" w:space="0" w:color="auto"/>
                    <w:right w:val="none" w:sz="0" w:space="0" w:color="auto"/>
                  </w:divBdr>
                  <w:divsChild>
                    <w:div w:id="38631593">
                      <w:marLeft w:val="0"/>
                      <w:marRight w:val="0"/>
                      <w:marTop w:val="0"/>
                      <w:marBottom w:val="0"/>
                      <w:divBdr>
                        <w:top w:val="none" w:sz="0" w:space="0" w:color="auto"/>
                        <w:left w:val="none" w:sz="0" w:space="0" w:color="auto"/>
                        <w:bottom w:val="none" w:sz="0" w:space="0" w:color="auto"/>
                        <w:right w:val="none" w:sz="0" w:space="0" w:color="auto"/>
                      </w:divBdr>
                      <w:divsChild>
                        <w:div w:id="447965319">
                          <w:marLeft w:val="0"/>
                          <w:marRight w:val="0"/>
                          <w:marTop w:val="0"/>
                          <w:marBottom w:val="0"/>
                          <w:divBdr>
                            <w:top w:val="none" w:sz="0" w:space="0" w:color="auto"/>
                            <w:left w:val="none" w:sz="0" w:space="0" w:color="auto"/>
                            <w:bottom w:val="none" w:sz="0" w:space="0" w:color="auto"/>
                            <w:right w:val="none" w:sz="0" w:space="0" w:color="auto"/>
                          </w:divBdr>
                          <w:divsChild>
                            <w:div w:id="441657032">
                              <w:marLeft w:val="0"/>
                              <w:marRight w:val="0"/>
                              <w:marTop w:val="400"/>
                              <w:marBottom w:val="0"/>
                              <w:divBdr>
                                <w:top w:val="none" w:sz="0" w:space="0" w:color="auto"/>
                                <w:left w:val="none" w:sz="0" w:space="0" w:color="auto"/>
                                <w:bottom w:val="none" w:sz="0" w:space="0" w:color="auto"/>
                                <w:right w:val="none" w:sz="0" w:space="0" w:color="auto"/>
                              </w:divBdr>
                            </w:div>
                            <w:div w:id="1731538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vb.gov.lv/lv/avariju-risks/objektu-sarak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7CCE-849D-4746-B8E2-1E01F072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Jirgensone</dc:creator>
  <cp:lastModifiedBy>larisat</cp:lastModifiedBy>
  <cp:revision>2</cp:revision>
  <cp:lastPrinted>2015-12-03T07:02:00Z</cp:lastPrinted>
  <dcterms:created xsi:type="dcterms:W3CDTF">2015-12-14T10:23:00Z</dcterms:created>
  <dcterms:modified xsi:type="dcterms:W3CDTF">2015-12-14T10:23:00Z</dcterms:modified>
  <cp:contentStatus/>
</cp:coreProperties>
</file>