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17" w:rsidRPr="0061495F" w:rsidRDefault="004B59C6" w:rsidP="00297914">
      <w:pPr>
        <w:tabs>
          <w:tab w:val="left" w:pos="993"/>
        </w:tabs>
        <w:spacing w:after="0" w:line="240" w:lineRule="auto"/>
        <w:jc w:val="center"/>
        <w:rPr>
          <w:rFonts w:ascii="Times New Roman" w:eastAsia="Times New Roman" w:hAnsi="Times New Roman" w:cs="Times New Roman"/>
          <w:b/>
          <w:sz w:val="26"/>
          <w:szCs w:val="26"/>
          <w:lang w:eastAsia="lv-LV"/>
        </w:rPr>
      </w:pPr>
      <w:r w:rsidRPr="0061495F">
        <w:rPr>
          <w:rFonts w:ascii="Times New Roman" w:eastAsia="Times New Roman" w:hAnsi="Times New Roman" w:cs="Times New Roman"/>
          <w:b/>
          <w:sz w:val="26"/>
          <w:szCs w:val="26"/>
          <w:lang w:eastAsia="lv-LV"/>
        </w:rPr>
        <w:t>Likumprojekta</w:t>
      </w:r>
      <w:r w:rsidR="00117B67" w:rsidRPr="0061495F">
        <w:rPr>
          <w:rFonts w:ascii="Times New Roman" w:eastAsia="Times New Roman" w:hAnsi="Times New Roman" w:cs="Times New Roman"/>
          <w:b/>
          <w:sz w:val="26"/>
          <w:szCs w:val="26"/>
          <w:lang w:eastAsia="lv-LV"/>
        </w:rPr>
        <w:t xml:space="preserve"> „Grozījums</w:t>
      </w:r>
      <w:r w:rsidRPr="0061495F">
        <w:rPr>
          <w:rFonts w:ascii="Times New Roman" w:eastAsia="Times New Roman" w:hAnsi="Times New Roman" w:cs="Times New Roman"/>
          <w:b/>
          <w:sz w:val="26"/>
          <w:szCs w:val="26"/>
          <w:lang w:eastAsia="lv-LV"/>
        </w:rPr>
        <w:t xml:space="preserve"> </w:t>
      </w:r>
      <w:r w:rsidR="006C1DAB" w:rsidRPr="0061495F">
        <w:rPr>
          <w:rFonts w:ascii="Times New Roman" w:eastAsia="Times New Roman" w:hAnsi="Times New Roman" w:cs="Times New Roman"/>
          <w:b/>
          <w:sz w:val="26"/>
          <w:szCs w:val="26"/>
          <w:lang w:eastAsia="lv-LV"/>
        </w:rPr>
        <w:t>Reģionālās attīstības likumā</w:t>
      </w:r>
      <w:r w:rsidR="00297914" w:rsidRPr="0061495F">
        <w:rPr>
          <w:rFonts w:ascii="Times New Roman" w:eastAsia="Times New Roman" w:hAnsi="Times New Roman" w:cs="Times New Roman"/>
          <w:b/>
          <w:sz w:val="26"/>
          <w:szCs w:val="26"/>
          <w:lang w:eastAsia="lv-LV"/>
        </w:rPr>
        <w:t>”</w:t>
      </w:r>
      <w:r w:rsidR="00664417" w:rsidRPr="0061495F">
        <w:rPr>
          <w:rFonts w:ascii="Times New Roman" w:eastAsia="Times New Roman" w:hAnsi="Times New Roman" w:cs="Times New Roman"/>
          <w:b/>
          <w:sz w:val="26"/>
          <w:szCs w:val="26"/>
          <w:lang w:val="de-DE" w:eastAsia="lv-LV"/>
        </w:rPr>
        <w:t xml:space="preserve"> </w:t>
      </w:r>
      <w:r w:rsidR="00664417" w:rsidRPr="0061495F">
        <w:rPr>
          <w:rFonts w:ascii="Times New Roman" w:eastAsia="Times New Roman" w:hAnsi="Times New Roman" w:cs="Times New Roman"/>
          <w:b/>
          <w:bCs/>
          <w:sz w:val="26"/>
          <w:szCs w:val="26"/>
          <w:lang w:eastAsia="lv-LV"/>
        </w:rPr>
        <w:t>sākotnējās ietekmes novērtējuma ziņojums (anotācija)</w:t>
      </w:r>
    </w:p>
    <w:p w:rsidR="00664417" w:rsidRPr="0061495F" w:rsidRDefault="00664417" w:rsidP="00664417">
      <w:pPr>
        <w:spacing w:after="0" w:line="240" w:lineRule="auto"/>
        <w:jc w:val="center"/>
        <w:rPr>
          <w:rFonts w:ascii="Times New Roman" w:eastAsia="Times New Roman" w:hAnsi="Times New Roman" w:cs="Times New Roman"/>
          <w:sz w:val="26"/>
          <w:szCs w:val="26"/>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81"/>
        <w:gridCol w:w="1701"/>
        <w:gridCol w:w="7147"/>
      </w:tblGrid>
      <w:tr w:rsidR="00664417" w:rsidRPr="0061495F" w:rsidTr="00E93022">
        <w:trPr>
          <w:tblCellSpacing w:w="0" w:type="dxa"/>
        </w:trPr>
        <w:tc>
          <w:tcPr>
            <w:tcW w:w="9229" w:type="dxa"/>
            <w:gridSpan w:val="3"/>
            <w:tcBorders>
              <w:top w:val="outset" w:sz="6" w:space="0" w:color="auto"/>
              <w:left w:val="outset" w:sz="6" w:space="0" w:color="auto"/>
              <w:bottom w:val="outset" w:sz="6" w:space="0" w:color="auto"/>
              <w:right w:val="outset" w:sz="6" w:space="0" w:color="auto"/>
            </w:tcBorders>
            <w:vAlign w:val="center"/>
            <w:hideMark/>
          </w:tcPr>
          <w:p w:rsidR="00664417" w:rsidRPr="0061495F" w:rsidRDefault="00664417" w:rsidP="00664417">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b/>
                <w:bCs/>
                <w:sz w:val="26"/>
                <w:szCs w:val="26"/>
                <w:lang w:eastAsia="lv-LV"/>
              </w:rPr>
              <w:t>I. Tiesību akta projekta izstrādes nepieciešamība</w:t>
            </w:r>
          </w:p>
        </w:tc>
      </w:tr>
      <w:tr w:rsidR="00664417" w:rsidRPr="0061495F" w:rsidTr="00E93022">
        <w:trPr>
          <w:trHeight w:val="651"/>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 1.</w:t>
            </w:r>
          </w:p>
        </w:tc>
        <w:tc>
          <w:tcPr>
            <w:tcW w:w="1701" w:type="dxa"/>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Pamatojums</w:t>
            </w:r>
          </w:p>
        </w:tc>
        <w:tc>
          <w:tcPr>
            <w:tcW w:w="7147" w:type="dxa"/>
            <w:tcBorders>
              <w:top w:val="outset" w:sz="6" w:space="0" w:color="auto"/>
              <w:left w:val="outset" w:sz="6" w:space="0" w:color="auto"/>
              <w:bottom w:val="outset" w:sz="6" w:space="0" w:color="auto"/>
              <w:right w:val="outset" w:sz="6" w:space="0" w:color="auto"/>
            </w:tcBorders>
            <w:hideMark/>
          </w:tcPr>
          <w:p w:rsidR="00664417" w:rsidRPr="005532C3" w:rsidRDefault="00224D97" w:rsidP="005532C3">
            <w:pPr>
              <w:spacing w:after="0" w:line="240" w:lineRule="auto"/>
              <w:jc w:val="both"/>
              <w:outlineLvl w:val="0"/>
              <w:rPr>
                <w:rFonts w:ascii="Times New Roman" w:eastAsia="Times New Roman" w:hAnsi="Times New Roman" w:cs="Times New Roman"/>
                <w:sz w:val="26"/>
                <w:szCs w:val="26"/>
                <w:lang w:eastAsia="lv-LV"/>
              </w:rPr>
            </w:pPr>
            <w:r w:rsidRPr="005532C3">
              <w:rPr>
                <w:rFonts w:ascii="Times New Roman" w:eastAsia="Times New Roman" w:hAnsi="Times New Roman" w:cs="Times New Roman"/>
                <w:sz w:val="26"/>
                <w:szCs w:val="26"/>
              </w:rPr>
              <w:t xml:space="preserve">Likumprojekts </w:t>
            </w:r>
            <w:r w:rsidR="00A06DF0" w:rsidRPr="005532C3">
              <w:rPr>
                <w:rFonts w:ascii="Times New Roman" w:eastAsia="Times New Roman" w:hAnsi="Times New Roman" w:cs="Times New Roman"/>
                <w:sz w:val="26"/>
                <w:szCs w:val="26"/>
              </w:rPr>
              <w:t>„Grozījums Reģionālās attīstības likumā”</w:t>
            </w:r>
            <w:r w:rsidR="006B32D0" w:rsidRPr="005532C3">
              <w:rPr>
                <w:rFonts w:ascii="Times New Roman" w:eastAsia="Times New Roman" w:hAnsi="Times New Roman" w:cs="Times New Roman"/>
                <w:sz w:val="26"/>
                <w:szCs w:val="26"/>
              </w:rPr>
              <w:t xml:space="preserve"> (turpmāk –</w:t>
            </w:r>
            <w:r w:rsidR="00914D0E" w:rsidRPr="005532C3">
              <w:rPr>
                <w:rFonts w:ascii="Times New Roman" w:eastAsia="Times New Roman" w:hAnsi="Times New Roman" w:cs="Times New Roman"/>
                <w:sz w:val="26"/>
                <w:szCs w:val="26"/>
              </w:rPr>
              <w:t xml:space="preserve"> Likum</w:t>
            </w:r>
            <w:r w:rsidR="006B32D0" w:rsidRPr="005532C3">
              <w:rPr>
                <w:rFonts w:ascii="Times New Roman" w:eastAsia="Times New Roman" w:hAnsi="Times New Roman" w:cs="Times New Roman"/>
                <w:sz w:val="26"/>
                <w:szCs w:val="26"/>
              </w:rPr>
              <w:t>p</w:t>
            </w:r>
            <w:r w:rsidR="00914D0E" w:rsidRPr="005532C3">
              <w:rPr>
                <w:rFonts w:ascii="Times New Roman" w:eastAsia="Times New Roman" w:hAnsi="Times New Roman" w:cs="Times New Roman"/>
                <w:sz w:val="26"/>
                <w:szCs w:val="26"/>
              </w:rPr>
              <w:t>r</w:t>
            </w:r>
            <w:r w:rsidR="006B32D0" w:rsidRPr="005532C3">
              <w:rPr>
                <w:rFonts w:ascii="Times New Roman" w:eastAsia="Times New Roman" w:hAnsi="Times New Roman" w:cs="Times New Roman"/>
                <w:sz w:val="26"/>
                <w:szCs w:val="26"/>
              </w:rPr>
              <w:t>ojekts)</w:t>
            </w:r>
            <w:r w:rsidR="00A06DF0" w:rsidRPr="005532C3">
              <w:rPr>
                <w:rFonts w:ascii="Times New Roman" w:eastAsia="Times New Roman" w:hAnsi="Times New Roman" w:cs="Times New Roman"/>
                <w:sz w:val="26"/>
                <w:szCs w:val="26"/>
              </w:rPr>
              <w:t xml:space="preserve"> sagatavots pamatojoties uz </w:t>
            </w:r>
            <w:r w:rsidR="00276025" w:rsidRPr="005532C3">
              <w:rPr>
                <w:rFonts w:ascii="Times New Roman" w:eastAsia="Times New Roman" w:hAnsi="Times New Roman" w:cs="Times New Roman"/>
                <w:sz w:val="26"/>
                <w:szCs w:val="26"/>
              </w:rPr>
              <w:t>Ministru kabineta 2015.gada 4.augusta sēdes protokollēmuma (</w:t>
            </w:r>
            <w:r w:rsidR="00276025" w:rsidRPr="005532C3">
              <w:rPr>
                <w:rFonts w:ascii="Times New Roman" w:eastAsia="Times New Roman" w:hAnsi="Times New Roman" w:cs="Times New Roman"/>
                <w:sz w:val="26"/>
                <w:szCs w:val="26"/>
                <w:lang w:eastAsia="lv-LV"/>
              </w:rPr>
              <w:t xml:space="preserve">Nr.37, 42.§) </w:t>
            </w:r>
            <w:r w:rsidR="00A03C22">
              <w:rPr>
                <w:rFonts w:ascii="Times New Roman" w:eastAsia="Times New Roman" w:hAnsi="Times New Roman" w:cs="Times New Roman"/>
                <w:sz w:val="26"/>
                <w:szCs w:val="26"/>
                <w:lang w:eastAsia="lv-LV"/>
              </w:rPr>
              <w:t>„Informatīvais ziņojums “</w:t>
            </w:r>
            <w:r w:rsidR="00445091" w:rsidRPr="005532C3">
              <w:rPr>
                <w:rFonts w:ascii="Times New Roman" w:eastAsia="Times New Roman" w:hAnsi="Times New Roman" w:cs="Times New Roman"/>
                <w:sz w:val="26"/>
                <w:szCs w:val="26"/>
                <w:lang w:eastAsia="lv-LV"/>
              </w:rPr>
              <w:t>Par plānošanas reģionu darbības pilnveidošanu””</w:t>
            </w:r>
            <w:r w:rsidR="002D63DC" w:rsidRPr="005532C3">
              <w:rPr>
                <w:rFonts w:ascii="Times New Roman" w:eastAsia="Times New Roman" w:hAnsi="Times New Roman" w:cs="Times New Roman"/>
                <w:sz w:val="26"/>
                <w:szCs w:val="26"/>
                <w:lang w:eastAsia="lv-LV"/>
              </w:rPr>
              <w:t xml:space="preserve"> 4.punktu</w:t>
            </w:r>
            <w:r w:rsidR="005532C3">
              <w:rPr>
                <w:rFonts w:ascii="Times New Roman" w:eastAsia="Times New Roman" w:hAnsi="Times New Roman" w:cs="Times New Roman"/>
                <w:sz w:val="26"/>
                <w:szCs w:val="26"/>
                <w:lang w:eastAsia="lv-LV"/>
              </w:rPr>
              <w:t xml:space="preserve">, kur </w:t>
            </w:r>
            <w:r w:rsidR="00276025" w:rsidRPr="005532C3">
              <w:rPr>
                <w:rFonts w:ascii="Times New Roman" w:eastAsia="Times New Roman" w:hAnsi="Times New Roman" w:cs="Times New Roman"/>
                <w:sz w:val="26"/>
                <w:szCs w:val="26"/>
                <w:lang w:eastAsia="lv-LV"/>
              </w:rPr>
              <w:t>Vides aizsardzības un reģionālās attīstības ministrijai</w:t>
            </w:r>
            <w:r w:rsidR="00A06DF0" w:rsidRPr="005532C3">
              <w:rPr>
                <w:rFonts w:ascii="Times New Roman" w:eastAsia="Times New Roman" w:hAnsi="Times New Roman" w:cs="Times New Roman"/>
                <w:sz w:val="26"/>
                <w:szCs w:val="26"/>
                <w:lang w:eastAsia="lv-LV"/>
              </w:rPr>
              <w:t xml:space="preserve"> (turpmāk – </w:t>
            </w:r>
            <w:r w:rsidR="00DD4B1F" w:rsidRPr="005532C3">
              <w:rPr>
                <w:rFonts w:ascii="Times New Roman" w:eastAsia="Times New Roman" w:hAnsi="Times New Roman" w:cs="Times New Roman"/>
                <w:sz w:val="26"/>
                <w:szCs w:val="26"/>
                <w:lang w:eastAsia="lv-LV"/>
              </w:rPr>
              <w:t>ministrija</w:t>
            </w:r>
            <w:r w:rsidR="00A06DF0" w:rsidRPr="005532C3">
              <w:rPr>
                <w:rFonts w:ascii="Times New Roman" w:eastAsia="Times New Roman" w:hAnsi="Times New Roman" w:cs="Times New Roman"/>
                <w:sz w:val="26"/>
                <w:szCs w:val="26"/>
                <w:lang w:eastAsia="lv-LV"/>
              </w:rPr>
              <w:t>)</w:t>
            </w:r>
            <w:r w:rsidR="00276025" w:rsidRPr="005532C3">
              <w:rPr>
                <w:rFonts w:ascii="Times New Roman" w:eastAsia="Times New Roman" w:hAnsi="Times New Roman" w:cs="Times New Roman"/>
                <w:sz w:val="26"/>
                <w:szCs w:val="26"/>
                <w:lang w:eastAsia="lv-LV"/>
              </w:rPr>
              <w:t xml:space="preserve"> </w:t>
            </w:r>
            <w:r w:rsidR="00A06DF0" w:rsidRPr="005532C3">
              <w:rPr>
                <w:rFonts w:ascii="Times New Roman" w:eastAsia="Times New Roman" w:hAnsi="Times New Roman" w:cs="Times New Roman"/>
                <w:sz w:val="26"/>
                <w:szCs w:val="26"/>
                <w:lang w:eastAsia="lv-LV"/>
              </w:rPr>
              <w:t xml:space="preserve">uzdots </w:t>
            </w:r>
            <w:r w:rsidR="00276025" w:rsidRPr="005532C3">
              <w:rPr>
                <w:rFonts w:ascii="Times New Roman" w:eastAsia="Times New Roman" w:hAnsi="Times New Roman" w:cs="Times New Roman"/>
                <w:sz w:val="26"/>
                <w:szCs w:val="26"/>
                <w:lang w:eastAsia="lv-LV"/>
              </w:rPr>
              <w:t xml:space="preserve">līdz 2015.gada 31.decembrim sagatavot un iesniegt Ministru kabinetā grozījumu Reģionālās attīstības likumā, papildinot </w:t>
            </w:r>
            <w:r w:rsidR="00A06DF0" w:rsidRPr="005532C3">
              <w:rPr>
                <w:rFonts w:ascii="Times New Roman" w:eastAsia="Times New Roman" w:hAnsi="Times New Roman" w:cs="Times New Roman"/>
                <w:sz w:val="26"/>
                <w:szCs w:val="26"/>
                <w:lang w:eastAsia="lv-LV"/>
              </w:rPr>
              <w:t xml:space="preserve">likuma </w:t>
            </w:r>
            <w:r w:rsidR="00276025" w:rsidRPr="005532C3">
              <w:rPr>
                <w:rFonts w:ascii="Times New Roman" w:eastAsia="Times New Roman" w:hAnsi="Times New Roman" w:cs="Times New Roman"/>
                <w:sz w:val="26"/>
                <w:szCs w:val="26"/>
                <w:lang w:eastAsia="lv-LV"/>
              </w:rPr>
              <w:t>16.</w:t>
            </w:r>
            <w:r w:rsidR="00DD1F07" w:rsidRPr="005532C3">
              <w:rPr>
                <w:rFonts w:ascii="Times New Roman" w:eastAsia="Times New Roman" w:hAnsi="Times New Roman" w:cs="Times New Roman"/>
                <w:sz w:val="26"/>
                <w:szCs w:val="26"/>
                <w:vertAlign w:val="superscript"/>
                <w:lang w:eastAsia="lv-LV"/>
              </w:rPr>
              <w:t>1</w:t>
            </w:r>
            <w:r w:rsidR="00A06DF0" w:rsidRPr="005532C3">
              <w:rPr>
                <w:rFonts w:ascii="Times New Roman" w:eastAsia="Times New Roman" w:hAnsi="Times New Roman" w:cs="Times New Roman"/>
                <w:sz w:val="26"/>
                <w:szCs w:val="26"/>
                <w:lang w:eastAsia="lv-LV"/>
              </w:rPr>
              <w:t xml:space="preserve"> </w:t>
            </w:r>
            <w:r w:rsidR="00276025" w:rsidRPr="005532C3">
              <w:rPr>
                <w:rFonts w:ascii="Times New Roman" w:eastAsia="Times New Roman" w:hAnsi="Times New Roman" w:cs="Times New Roman"/>
                <w:sz w:val="26"/>
                <w:szCs w:val="26"/>
                <w:lang w:eastAsia="lv-LV"/>
              </w:rPr>
              <w:t xml:space="preserve">panta pirmo daļu ar </w:t>
            </w:r>
            <w:r w:rsidR="00A03C22">
              <w:rPr>
                <w:rFonts w:ascii="Times New Roman" w:eastAsia="Times New Roman" w:hAnsi="Times New Roman" w:cs="Times New Roman"/>
                <w:sz w:val="26"/>
                <w:szCs w:val="26"/>
                <w:lang w:eastAsia="lv-LV"/>
              </w:rPr>
              <w:t>11.punktu šādā redakcijā: “</w:t>
            </w:r>
            <w:r w:rsidR="00276025" w:rsidRPr="005532C3">
              <w:rPr>
                <w:rFonts w:ascii="Times New Roman" w:eastAsia="Times New Roman" w:hAnsi="Times New Roman" w:cs="Times New Roman"/>
                <w:sz w:val="26"/>
                <w:szCs w:val="26"/>
                <w:lang w:eastAsia="lv-LV"/>
              </w:rPr>
              <w:t>veicina uzņēmējdarbīb</w:t>
            </w:r>
            <w:r w:rsidR="00A03C22">
              <w:rPr>
                <w:rFonts w:ascii="Times New Roman" w:eastAsia="Times New Roman" w:hAnsi="Times New Roman" w:cs="Times New Roman"/>
                <w:sz w:val="26"/>
                <w:szCs w:val="26"/>
                <w:lang w:eastAsia="lv-LV"/>
              </w:rPr>
              <w:t>u plānošanas reģiona teritorijā”</w:t>
            </w:r>
            <w:r w:rsidR="00276025" w:rsidRPr="005532C3">
              <w:rPr>
                <w:rFonts w:ascii="Times New Roman" w:eastAsia="Times New Roman" w:hAnsi="Times New Roman" w:cs="Times New Roman"/>
                <w:sz w:val="26"/>
                <w:szCs w:val="26"/>
                <w:lang w:eastAsia="lv-LV"/>
              </w:rPr>
              <w:t>.</w:t>
            </w:r>
          </w:p>
        </w:tc>
      </w:tr>
      <w:tr w:rsidR="00664417" w:rsidRPr="0061495F" w:rsidTr="00E93022">
        <w:trPr>
          <w:trHeight w:val="472"/>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 2.</w:t>
            </w:r>
          </w:p>
        </w:tc>
        <w:tc>
          <w:tcPr>
            <w:tcW w:w="1701" w:type="dxa"/>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zh-TW"/>
              </w:rPr>
              <w:t>Pašreizējā situācija un problēmas, kuru risināšanai tiesību akta projekts izstrādāts, tiesiskā regulējuma mērķis un būtība</w:t>
            </w:r>
          </w:p>
        </w:tc>
        <w:tc>
          <w:tcPr>
            <w:tcW w:w="7147" w:type="dxa"/>
            <w:tcBorders>
              <w:top w:val="outset" w:sz="6" w:space="0" w:color="auto"/>
              <w:left w:val="outset" w:sz="6" w:space="0" w:color="auto"/>
              <w:bottom w:val="outset" w:sz="6" w:space="0" w:color="auto"/>
              <w:right w:val="outset" w:sz="6" w:space="0" w:color="auto"/>
            </w:tcBorders>
            <w:hideMark/>
          </w:tcPr>
          <w:p w:rsidR="00A43405" w:rsidRPr="005532C3" w:rsidRDefault="0005671D" w:rsidP="005532C3">
            <w:pPr>
              <w:spacing w:before="120" w:after="0" w:line="240" w:lineRule="auto"/>
              <w:jc w:val="both"/>
              <w:rPr>
                <w:rFonts w:ascii="Times New Roman" w:hAnsi="Times New Roman" w:cs="Times New Roman"/>
                <w:sz w:val="26"/>
                <w:szCs w:val="26"/>
              </w:rPr>
            </w:pPr>
            <w:r w:rsidRPr="005532C3">
              <w:rPr>
                <w:rFonts w:ascii="Times New Roman" w:hAnsi="Times New Roman" w:cs="Times New Roman"/>
                <w:sz w:val="26"/>
                <w:szCs w:val="26"/>
              </w:rPr>
              <w:t>Plānošanas reģioni (turpmāk – PR)</w:t>
            </w:r>
            <w:r w:rsidR="00A43405" w:rsidRPr="005532C3">
              <w:rPr>
                <w:rFonts w:ascii="Times New Roman" w:hAnsi="Times New Roman" w:cs="Times New Roman"/>
                <w:sz w:val="26"/>
                <w:szCs w:val="26"/>
              </w:rPr>
              <w:t xml:space="preserve"> saskaņā ar Reģionālās politikas pamatnostādnēs 2013.-2019.gadam  paredzēto uzdevumu un pasākumu plānu</w:t>
            </w:r>
            <w:r w:rsidR="00A43405" w:rsidRPr="005532C3">
              <w:rPr>
                <w:rStyle w:val="FootnoteReference"/>
                <w:rFonts w:ascii="Times New Roman" w:hAnsi="Times New Roman" w:cs="Times New Roman"/>
                <w:sz w:val="26"/>
                <w:szCs w:val="26"/>
              </w:rPr>
              <w:footnoteReference w:id="1"/>
            </w:r>
            <w:r w:rsidR="00A43405" w:rsidRPr="005532C3">
              <w:rPr>
                <w:rFonts w:ascii="Times New Roman" w:hAnsi="Times New Roman" w:cs="Times New Roman"/>
                <w:sz w:val="26"/>
                <w:szCs w:val="26"/>
              </w:rPr>
              <w:t xml:space="preserve"> ir noteikti kā iesaistītās institūcijas vairāku rīcības virzienu uzdevumu izpildē</w:t>
            </w:r>
            <w:r w:rsidR="00A43405" w:rsidRPr="005532C3">
              <w:rPr>
                <w:rStyle w:val="FootnoteReference"/>
                <w:rFonts w:ascii="Times New Roman" w:hAnsi="Times New Roman" w:cs="Times New Roman"/>
                <w:sz w:val="26"/>
                <w:szCs w:val="26"/>
              </w:rPr>
              <w:footnoteReference w:id="2"/>
            </w:r>
            <w:r w:rsidR="00A43405" w:rsidRPr="005532C3">
              <w:rPr>
                <w:rFonts w:ascii="Times New Roman" w:hAnsi="Times New Roman" w:cs="Times New Roman"/>
                <w:sz w:val="26"/>
                <w:szCs w:val="26"/>
              </w:rPr>
              <w:t>. Kā svarīgākā PR loma noteikta</w:t>
            </w:r>
            <w:r w:rsidR="006E04FD" w:rsidRPr="005532C3">
              <w:rPr>
                <w:rFonts w:ascii="Times New Roman" w:hAnsi="Times New Roman" w:cs="Times New Roman"/>
                <w:sz w:val="26"/>
                <w:szCs w:val="26"/>
              </w:rPr>
              <w:t xml:space="preserve"> šo pamatnostādņu</w:t>
            </w:r>
            <w:r w:rsidR="00A43405" w:rsidRPr="005532C3">
              <w:rPr>
                <w:rFonts w:ascii="Times New Roman" w:hAnsi="Times New Roman" w:cs="Times New Roman"/>
                <w:sz w:val="26"/>
                <w:szCs w:val="26"/>
              </w:rPr>
              <w:t xml:space="preserve"> 2.1. rīcības virzienā - paaugstināt pašvaldību un PR lomu uzņēmējdarbības veicināšanā un uzlabot uzņēmējdarbības vidi. </w:t>
            </w:r>
          </w:p>
          <w:p w:rsidR="00B32C69" w:rsidRPr="005532C3" w:rsidRDefault="000E1463" w:rsidP="005532C3">
            <w:pPr>
              <w:spacing w:before="120" w:after="0" w:line="240" w:lineRule="auto"/>
              <w:jc w:val="both"/>
              <w:rPr>
                <w:rFonts w:ascii="Times New Roman" w:hAnsi="Times New Roman" w:cs="Times New Roman"/>
                <w:bCs/>
                <w:sz w:val="26"/>
                <w:szCs w:val="26"/>
              </w:rPr>
            </w:pPr>
            <w:r w:rsidRPr="005532C3">
              <w:rPr>
                <w:rFonts w:ascii="Times New Roman" w:hAnsi="Times New Roman" w:cs="Times New Roman"/>
                <w:bCs/>
                <w:sz w:val="26"/>
                <w:szCs w:val="26"/>
              </w:rPr>
              <w:t>Ņ</w:t>
            </w:r>
            <w:r w:rsidR="00445091" w:rsidRPr="005532C3">
              <w:rPr>
                <w:rFonts w:ascii="Times New Roman" w:hAnsi="Times New Roman" w:cs="Times New Roman"/>
                <w:bCs/>
                <w:sz w:val="26"/>
                <w:szCs w:val="26"/>
              </w:rPr>
              <w:t>emot vērā Reģionālās politikas pamatnostādnēs noteiktos uzstādījumus attiecībā uz PR lomas stiprināšanu uzņēmējdarbības veicināšanā un investīciju piesaistē reģionā, kā arī balstoties uz veiksmīgajiem Latgales uzņēmējdarbības</w:t>
            </w:r>
            <w:r w:rsidR="006562A9" w:rsidRPr="005532C3">
              <w:rPr>
                <w:rFonts w:ascii="Times New Roman" w:hAnsi="Times New Roman" w:cs="Times New Roman"/>
                <w:bCs/>
                <w:sz w:val="26"/>
                <w:szCs w:val="26"/>
              </w:rPr>
              <w:t xml:space="preserve"> centra (turpmāk – LUC)</w:t>
            </w:r>
            <w:r w:rsidR="00445091" w:rsidRPr="005532C3">
              <w:rPr>
                <w:rFonts w:ascii="Times New Roman" w:hAnsi="Times New Roman" w:cs="Times New Roman"/>
                <w:bCs/>
                <w:sz w:val="26"/>
                <w:szCs w:val="26"/>
              </w:rPr>
              <w:t xml:space="preserve"> pilotprojekta rezultātiem, arī pārējos PR</w:t>
            </w:r>
            <w:r w:rsidR="0050383F" w:rsidRPr="005532C3">
              <w:rPr>
                <w:rFonts w:ascii="Times New Roman" w:hAnsi="Times New Roman" w:cs="Times New Roman"/>
                <w:bCs/>
                <w:sz w:val="26"/>
                <w:szCs w:val="26"/>
              </w:rPr>
              <w:t xml:space="preserve"> 2015.gada 2</w:t>
            </w:r>
            <w:r w:rsidR="0029097F" w:rsidRPr="005532C3">
              <w:rPr>
                <w:rFonts w:ascii="Times New Roman" w:hAnsi="Times New Roman" w:cs="Times New Roman"/>
                <w:bCs/>
                <w:sz w:val="26"/>
                <w:szCs w:val="26"/>
              </w:rPr>
              <w:t>.ceturksnī</w:t>
            </w:r>
            <w:r w:rsidR="00445091" w:rsidRPr="005532C3">
              <w:rPr>
                <w:rFonts w:ascii="Times New Roman" w:hAnsi="Times New Roman" w:cs="Times New Roman"/>
                <w:bCs/>
                <w:sz w:val="26"/>
                <w:szCs w:val="26"/>
              </w:rPr>
              <w:t xml:space="preserve"> </w:t>
            </w:r>
            <w:r w:rsidRPr="005532C3">
              <w:rPr>
                <w:rFonts w:ascii="Times New Roman" w:hAnsi="Times New Roman" w:cs="Times New Roman"/>
                <w:bCs/>
                <w:sz w:val="26"/>
                <w:szCs w:val="26"/>
              </w:rPr>
              <w:t>tika izveidoti uzņēmējdarbības centri</w:t>
            </w:r>
            <w:r w:rsidR="00445091" w:rsidRPr="005532C3">
              <w:rPr>
                <w:rFonts w:ascii="Times New Roman" w:hAnsi="Times New Roman" w:cs="Times New Roman"/>
                <w:bCs/>
                <w:sz w:val="26"/>
                <w:szCs w:val="26"/>
              </w:rPr>
              <w:t>, kuri</w:t>
            </w:r>
            <w:r w:rsidR="00B300F9" w:rsidRPr="005532C3">
              <w:rPr>
                <w:rFonts w:ascii="Times New Roman" w:hAnsi="Times New Roman" w:cs="Times New Roman"/>
                <w:bCs/>
                <w:sz w:val="26"/>
                <w:szCs w:val="26"/>
              </w:rPr>
              <w:t xml:space="preserve">em </w:t>
            </w:r>
            <w:r w:rsidR="0050383F" w:rsidRPr="005532C3">
              <w:rPr>
                <w:rFonts w:ascii="Times New Roman" w:hAnsi="Times New Roman" w:cs="Times New Roman"/>
                <w:sz w:val="26"/>
                <w:szCs w:val="26"/>
              </w:rPr>
              <w:t>ir koordinējošā loma reģionālajā līmenī starp valsts, pašvaldību un nevalstiskā sektora uzņēmējdarbību atbalstošajām institūcijām un uzņēmējdarbību atbalstošā joma.</w:t>
            </w:r>
          </w:p>
          <w:p w:rsidR="005532C3" w:rsidRPr="005532C3" w:rsidRDefault="0005671D" w:rsidP="005532C3">
            <w:pPr>
              <w:spacing w:before="120" w:after="0" w:line="240" w:lineRule="auto"/>
              <w:jc w:val="both"/>
              <w:rPr>
                <w:rFonts w:ascii="Times New Roman" w:hAnsi="Times New Roman" w:cs="Times New Roman"/>
                <w:sz w:val="26"/>
                <w:szCs w:val="26"/>
                <w:lang w:bidi="lo-LA"/>
              </w:rPr>
            </w:pPr>
            <w:r w:rsidRPr="005532C3">
              <w:rPr>
                <w:rFonts w:ascii="Times New Roman" w:hAnsi="Times New Roman" w:cs="Times New Roman"/>
                <w:sz w:val="26"/>
                <w:szCs w:val="26"/>
                <w:lang w:bidi="lo-LA"/>
              </w:rPr>
              <w:t xml:space="preserve">Uzņēmējdarbības atbalsta pasākumu ietvaros PR ir uzsākuši un turpinās īstenot </w:t>
            </w:r>
            <w:r w:rsidR="00B32C69" w:rsidRPr="005532C3">
              <w:rPr>
                <w:rFonts w:ascii="Times New Roman" w:hAnsi="Times New Roman" w:cs="Times New Roman"/>
                <w:sz w:val="26"/>
                <w:szCs w:val="26"/>
                <w:lang w:bidi="lo-LA"/>
              </w:rPr>
              <w:t>tādas aktivitātes - kā ārvalstu ekspertu vizīšu organizēšana, semināru un diskusiju organizēšana iesaistītajām pusēm, uzņēmējus pārstāvošo NVO vizītes uz kaimiņvalstīm savas produkcijas popularizēšanai, piedalīšanās investīciju forumos, investīciju kataloga izveidošana, uz investoriem orientētas interneta mājas lapas izveide, mārketinga pasākumu organizēšana, vietējo zīmolu izveide, mazā un vidējā biznesa ideju meklēšana un atbalsts tām</w:t>
            </w:r>
            <w:r w:rsidR="007E5C50" w:rsidRPr="005532C3">
              <w:rPr>
                <w:rFonts w:ascii="Times New Roman" w:hAnsi="Times New Roman" w:cs="Times New Roman"/>
                <w:sz w:val="26"/>
                <w:szCs w:val="26"/>
                <w:lang w:bidi="lo-LA"/>
              </w:rPr>
              <w:t xml:space="preserve"> (ieskaitot konsultācijas uzņēmējdarbības uzsākšanā</w:t>
            </w:r>
            <w:r w:rsidR="00494565" w:rsidRPr="005532C3">
              <w:rPr>
                <w:rFonts w:ascii="Times New Roman" w:hAnsi="Times New Roman" w:cs="Times New Roman"/>
                <w:sz w:val="26"/>
                <w:szCs w:val="26"/>
                <w:lang w:bidi="lo-LA"/>
              </w:rPr>
              <w:t>)</w:t>
            </w:r>
            <w:r w:rsidR="00B32C69" w:rsidRPr="005532C3">
              <w:rPr>
                <w:rFonts w:ascii="Times New Roman" w:hAnsi="Times New Roman" w:cs="Times New Roman"/>
                <w:sz w:val="26"/>
                <w:szCs w:val="26"/>
              </w:rPr>
              <w:t>.</w:t>
            </w:r>
            <w:r w:rsidR="00B32C69" w:rsidRPr="005532C3">
              <w:rPr>
                <w:rFonts w:ascii="Times New Roman" w:hAnsi="Times New Roman" w:cs="Times New Roman"/>
                <w:sz w:val="26"/>
                <w:szCs w:val="26"/>
                <w:lang w:bidi="lo-LA"/>
              </w:rPr>
              <w:t xml:space="preserve"> </w:t>
            </w:r>
          </w:p>
          <w:p w:rsidR="0050383F" w:rsidRPr="005532C3" w:rsidRDefault="0050383F" w:rsidP="005532C3">
            <w:pPr>
              <w:spacing w:before="120" w:after="0" w:line="240" w:lineRule="auto"/>
              <w:jc w:val="both"/>
              <w:rPr>
                <w:rFonts w:ascii="Times New Roman" w:hAnsi="Times New Roman" w:cs="Times New Roman"/>
                <w:sz w:val="26"/>
                <w:szCs w:val="26"/>
                <w:lang w:bidi="lo-LA"/>
              </w:rPr>
            </w:pPr>
            <w:r w:rsidRPr="005532C3">
              <w:rPr>
                <w:rFonts w:ascii="Times New Roman" w:hAnsi="Times New Roman" w:cs="Times New Roman"/>
                <w:sz w:val="26"/>
                <w:szCs w:val="26"/>
              </w:rPr>
              <w:t xml:space="preserve">Latgales PR pilotprojekta ietvaros veiksmīgi veic šīs aktivitātes, kuras </w:t>
            </w:r>
            <w:r w:rsidR="001C7188" w:rsidRPr="005532C3">
              <w:rPr>
                <w:rFonts w:ascii="Times New Roman" w:hAnsi="Times New Roman" w:cs="Times New Roman"/>
                <w:sz w:val="26"/>
                <w:szCs w:val="26"/>
              </w:rPr>
              <w:t>plānots īstenot ar</w:t>
            </w:r>
            <w:r w:rsidR="007273D5">
              <w:rPr>
                <w:rFonts w:ascii="Times New Roman" w:hAnsi="Times New Roman" w:cs="Times New Roman"/>
                <w:sz w:val="26"/>
                <w:szCs w:val="26"/>
              </w:rPr>
              <w:t>ī pārējos PR, kuri šobrīd esošā</w:t>
            </w:r>
            <w:r w:rsidRPr="005532C3">
              <w:rPr>
                <w:rFonts w:ascii="Times New Roman" w:hAnsi="Times New Roman" w:cs="Times New Roman"/>
                <w:sz w:val="26"/>
                <w:szCs w:val="26"/>
              </w:rPr>
              <w:t xml:space="preserve"> budžeta ietvaros</w:t>
            </w:r>
            <w:r w:rsidR="001C7188" w:rsidRPr="005532C3">
              <w:rPr>
                <w:rFonts w:ascii="Times New Roman" w:hAnsi="Times New Roman" w:cs="Times New Roman"/>
                <w:sz w:val="26"/>
                <w:szCs w:val="26"/>
              </w:rPr>
              <w:t xml:space="preserve"> pamatā</w:t>
            </w:r>
            <w:r w:rsidRPr="005532C3">
              <w:rPr>
                <w:rFonts w:ascii="Times New Roman" w:hAnsi="Times New Roman" w:cs="Times New Roman"/>
                <w:sz w:val="26"/>
                <w:szCs w:val="26"/>
              </w:rPr>
              <w:t xml:space="preserve"> strādā pie uzņēmēju konsultēšanas, semināru un pieredzes apmaiņas braucienu organizēšanas. </w:t>
            </w:r>
          </w:p>
          <w:p w:rsidR="00D56C14" w:rsidRPr="005532C3" w:rsidRDefault="00D56C14" w:rsidP="005532C3">
            <w:pPr>
              <w:widowControl w:val="0"/>
              <w:spacing w:before="120" w:after="0" w:line="240" w:lineRule="auto"/>
              <w:jc w:val="both"/>
              <w:rPr>
                <w:rFonts w:ascii="Times New Roman" w:hAnsi="Times New Roman" w:cs="Times New Roman"/>
                <w:bCs/>
                <w:sz w:val="26"/>
                <w:szCs w:val="26"/>
              </w:rPr>
            </w:pPr>
            <w:r w:rsidRPr="005532C3">
              <w:rPr>
                <w:rFonts w:ascii="Times New Roman" w:hAnsi="Times New Roman" w:cs="Times New Roman"/>
                <w:bCs/>
                <w:sz w:val="26"/>
                <w:szCs w:val="26"/>
              </w:rPr>
              <w:t>Norvēģijas finanšu instrumenta 2009.-2014.gada perioda programmas “Kapacitātes stiprināšana un institucionālā sadarbība starp Latvijas un Norvēģijas valsts institūcijām, vietējām un reģionālajām iestādēm” projekta “Reģionālās politikas aktivitāšu īstenošana Latvijā un reģionālās attīstības pasākumu izstrāde” ietvaros</w:t>
            </w:r>
            <w:r w:rsidR="007E5C50" w:rsidRPr="005532C3">
              <w:rPr>
                <w:rFonts w:ascii="Times New Roman" w:hAnsi="Times New Roman" w:cs="Times New Roman"/>
                <w:bCs/>
                <w:sz w:val="26"/>
                <w:szCs w:val="26"/>
              </w:rPr>
              <w:t xml:space="preserve"> ar PR iesaisti</w:t>
            </w:r>
            <w:r w:rsidRPr="005532C3">
              <w:rPr>
                <w:rFonts w:ascii="Times New Roman" w:hAnsi="Times New Roman" w:cs="Times New Roman"/>
                <w:bCs/>
                <w:sz w:val="26"/>
                <w:szCs w:val="26"/>
              </w:rPr>
              <w:t xml:space="preserve"> tiek īstenotas sekojošas aktivitātes:</w:t>
            </w:r>
          </w:p>
          <w:p w:rsidR="00D56C14" w:rsidRPr="005532C3" w:rsidRDefault="00525446" w:rsidP="005532C3">
            <w:pPr>
              <w:widowControl w:val="0"/>
              <w:numPr>
                <w:ilvl w:val="0"/>
                <w:numId w:val="5"/>
              </w:numPr>
              <w:spacing w:before="120" w:after="0" w:line="240" w:lineRule="auto"/>
              <w:ind w:left="0" w:firstLine="360"/>
              <w:jc w:val="both"/>
              <w:rPr>
                <w:rFonts w:ascii="Times New Roman" w:hAnsi="Times New Roman" w:cs="Times New Roman"/>
                <w:bCs/>
                <w:sz w:val="26"/>
                <w:szCs w:val="26"/>
              </w:rPr>
            </w:pPr>
            <w:r w:rsidRPr="005532C3">
              <w:rPr>
                <w:rFonts w:ascii="Times New Roman" w:hAnsi="Times New Roman" w:cs="Times New Roman"/>
                <w:bCs/>
                <w:sz w:val="26"/>
                <w:szCs w:val="26"/>
              </w:rPr>
              <w:t xml:space="preserve">Reģionālās </w:t>
            </w:r>
            <w:r w:rsidR="00D56C14" w:rsidRPr="005532C3">
              <w:rPr>
                <w:rFonts w:ascii="Times New Roman" w:hAnsi="Times New Roman" w:cs="Times New Roman"/>
                <w:bCs/>
                <w:sz w:val="26"/>
                <w:szCs w:val="26"/>
              </w:rPr>
              <w:t>uzņēmējdarbības un inovācijas sistēmas attīstība – semināri un diskusijas par uzņēmējdarbības inovāciju veicināšanu L</w:t>
            </w:r>
            <w:r w:rsidR="007E5C50" w:rsidRPr="005532C3">
              <w:rPr>
                <w:rFonts w:ascii="Times New Roman" w:hAnsi="Times New Roman" w:cs="Times New Roman"/>
                <w:bCs/>
                <w:sz w:val="26"/>
                <w:szCs w:val="26"/>
              </w:rPr>
              <w:t xml:space="preserve">atgales </w:t>
            </w:r>
            <w:r w:rsidR="00D56C14" w:rsidRPr="005532C3">
              <w:rPr>
                <w:rFonts w:ascii="Times New Roman" w:hAnsi="Times New Roman" w:cs="Times New Roman"/>
                <w:bCs/>
                <w:sz w:val="26"/>
                <w:szCs w:val="26"/>
              </w:rPr>
              <w:t>PR, pašvaldību un uzņēmēju pārstāvošo nevalstisko organizāciju vizītes uz kaimiņvalstīm, L</w:t>
            </w:r>
            <w:r w:rsidR="007E5C50" w:rsidRPr="005532C3">
              <w:rPr>
                <w:rFonts w:ascii="Times New Roman" w:hAnsi="Times New Roman" w:cs="Times New Roman"/>
                <w:bCs/>
                <w:sz w:val="26"/>
                <w:szCs w:val="26"/>
              </w:rPr>
              <w:t xml:space="preserve">atgales </w:t>
            </w:r>
            <w:r w:rsidR="00D56C14" w:rsidRPr="005532C3">
              <w:rPr>
                <w:rFonts w:ascii="Times New Roman" w:hAnsi="Times New Roman" w:cs="Times New Roman"/>
                <w:bCs/>
                <w:sz w:val="26"/>
                <w:szCs w:val="26"/>
              </w:rPr>
              <w:t>PR un pašvaldību dalība investīciju forumos, investīciju kataloga un jaunas tīmekļa vietnes (</w:t>
            </w:r>
            <w:hyperlink r:id="rId8" w:history="1">
              <w:r w:rsidR="00D56C14" w:rsidRPr="005532C3">
                <w:rPr>
                  <w:rStyle w:val="Hyperlink"/>
                  <w:rFonts w:ascii="Times New Roman" w:hAnsi="Times New Roman" w:cs="Times New Roman"/>
                  <w:bCs/>
                  <w:color w:val="auto"/>
                  <w:sz w:val="26"/>
                  <w:szCs w:val="26"/>
                </w:rPr>
                <w:t>www.invest.latgales.lv</w:t>
              </w:r>
            </w:hyperlink>
            <w:r w:rsidR="00D56C14" w:rsidRPr="005532C3">
              <w:rPr>
                <w:rFonts w:ascii="Times New Roman" w:hAnsi="Times New Roman" w:cs="Times New Roman"/>
                <w:bCs/>
                <w:sz w:val="26"/>
                <w:szCs w:val="26"/>
              </w:rPr>
              <w:t>) izstrāde Latgales reģionam, Latgales reģiona pārstāvniecības izveide Rīgā, L</w:t>
            </w:r>
            <w:r w:rsidR="007E5C50" w:rsidRPr="005532C3">
              <w:rPr>
                <w:rFonts w:ascii="Times New Roman" w:hAnsi="Times New Roman" w:cs="Times New Roman"/>
                <w:bCs/>
                <w:sz w:val="26"/>
                <w:szCs w:val="26"/>
              </w:rPr>
              <w:t xml:space="preserve">atgales </w:t>
            </w:r>
            <w:r w:rsidR="00D56C14" w:rsidRPr="005532C3">
              <w:rPr>
                <w:rFonts w:ascii="Times New Roman" w:hAnsi="Times New Roman" w:cs="Times New Roman"/>
                <w:bCs/>
                <w:sz w:val="26"/>
                <w:szCs w:val="26"/>
              </w:rPr>
              <w:t xml:space="preserve">PR pieredzes apmaiņa ar Norvēģijas iestādēm, Latgales dienu organizēšana Rīgā u.tml. </w:t>
            </w:r>
            <w:r w:rsidR="00D175B0" w:rsidRPr="005532C3">
              <w:rPr>
                <w:rFonts w:ascii="Times New Roman" w:hAnsi="Times New Roman" w:cs="Times New Roman"/>
                <w:bCs/>
                <w:sz w:val="26"/>
                <w:szCs w:val="26"/>
              </w:rPr>
              <w:t>Katrā reģionā 2015.gadā tika organizēti reģionālie konkursi inovatīvām biznesa idejām, ar mērķi sniegt inovatīvu biznesa ideju autoriem nepieciešamās zināšanas, attīstīt prasmes un motivēt tos pilnveidot idejas līdz pilnvērtīgiem biznesa plāniem, kuri tiktu īstenoti dzīvotspējīgos uzņēmumos Latvijā. Lai nodrošinātu nacionālajā līmenī sasniegtā atbalsta papildinātību un nepārklāšanos, konkursi tika rīkoti sadarbojoties ar Ekonomikas ministriju</w:t>
            </w:r>
            <w:r w:rsidRPr="005532C3">
              <w:rPr>
                <w:rFonts w:ascii="Times New Roman" w:hAnsi="Times New Roman" w:cs="Times New Roman"/>
                <w:sz w:val="26"/>
                <w:szCs w:val="26"/>
                <w:lang w:bidi="lo-LA"/>
              </w:rPr>
              <w:t>;</w:t>
            </w:r>
          </w:p>
          <w:p w:rsidR="00D56C14" w:rsidRPr="005532C3" w:rsidRDefault="00525446" w:rsidP="005532C3">
            <w:pPr>
              <w:widowControl w:val="0"/>
              <w:numPr>
                <w:ilvl w:val="0"/>
                <w:numId w:val="5"/>
              </w:numPr>
              <w:spacing w:before="120" w:after="0" w:line="240" w:lineRule="auto"/>
              <w:ind w:left="0" w:firstLine="360"/>
              <w:jc w:val="both"/>
              <w:rPr>
                <w:rFonts w:ascii="Times New Roman" w:hAnsi="Times New Roman" w:cs="Times New Roman"/>
                <w:bCs/>
                <w:sz w:val="26"/>
                <w:szCs w:val="26"/>
              </w:rPr>
            </w:pPr>
            <w:r w:rsidRPr="005532C3">
              <w:rPr>
                <w:rFonts w:ascii="Times New Roman" w:hAnsi="Times New Roman" w:cs="Times New Roman"/>
                <w:bCs/>
                <w:sz w:val="26"/>
                <w:szCs w:val="26"/>
              </w:rPr>
              <w:t xml:space="preserve">Vietējo </w:t>
            </w:r>
            <w:r w:rsidR="00D56C14" w:rsidRPr="005532C3">
              <w:rPr>
                <w:rFonts w:ascii="Times New Roman" w:hAnsi="Times New Roman" w:cs="Times New Roman"/>
                <w:bCs/>
                <w:sz w:val="26"/>
                <w:szCs w:val="26"/>
              </w:rPr>
              <w:t xml:space="preserve">pašvaldību lomas palielināšana uzņēmējdarbības veicināšanai – pieredzes apmaiņa ar Norvēģijas iestādēm, apmācību programmas “Zināšanu eņģeļi” īstenošana – apmācību semināri pašvaldību, </w:t>
            </w:r>
            <w:r w:rsidR="00A03C22">
              <w:rPr>
                <w:rFonts w:ascii="Times New Roman" w:hAnsi="Times New Roman" w:cs="Times New Roman"/>
                <w:bCs/>
                <w:sz w:val="26"/>
                <w:szCs w:val="26"/>
              </w:rPr>
              <w:t>PR</w:t>
            </w:r>
            <w:r w:rsidR="00D56C14" w:rsidRPr="005532C3">
              <w:rPr>
                <w:rFonts w:ascii="Times New Roman" w:hAnsi="Times New Roman" w:cs="Times New Roman"/>
                <w:bCs/>
                <w:sz w:val="26"/>
                <w:szCs w:val="26"/>
              </w:rPr>
              <w:t>, nevalstisko organizāciju darbiniekiem, pašvaldību investīciju piesaistes mārketinga materiālu izstrāde, pašvaldību investīciju piesaistes materiālu izstrāde, pašvaldību dalība starptautiskās izstādēs</w:t>
            </w:r>
            <w:r w:rsidRPr="005532C3">
              <w:rPr>
                <w:rFonts w:ascii="Times New Roman" w:hAnsi="Times New Roman" w:cs="Times New Roman"/>
                <w:bCs/>
                <w:sz w:val="26"/>
                <w:szCs w:val="26"/>
              </w:rPr>
              <w:t>;</w:t>
            </w:r>
          </w:p>
          <w:p w:rsidR="00D56C14" w:rsidRPr="005532C3" w:rsidRDefault="00525446" w:rsidP="005532C3">
            <w:pPr>
              <w:widowControl w:val="0"/>
              <w:numPr>
                <w:ilvl w:val="0"/>
                <w:numId w:val="5"/>
              </w:numPr>
              <w:spacing w:before="120" w:after="0" w:line="240" w:lineRule="auto"/>
              <w:ind w:left="0" w:firstLine="360"/>
              <w:jc w:val="both"/>
              <w:rPr>
                <w:rFonts w:ascii="Times New Roman" w:hAnsi="Times New Roman" w:cs="Times New Roman"/>
                <w:bCs/>
                <w:sz w:val="26"/>
                <w:szCs w:val="26"/>
              </w:rPr>
            </w:pPr>
            <w:r w:rsidRPr="005532C3">
              <w:rPr>
                <w:rFonts w:ascii="Times New Roman" w:hAnsi="Times New Roman" w:cs="Times New Roman"/>
                <w:bCs/>
                <w:sz w:val="26"/>
                <w:szCs w:val="26"/>
              </w:rPr>
              <w:t xml:space="preserve">Atbalsta </w:t>
            </w:r>
            <w:r w:rsidR="00D56C14" w:rsidRPr="005532C3">
              <w:rPr>
                <w:rFonts w:ascii="Times New Roman" w:hAnsi="Times New Roman" w:cs="Times New Roman"/>
                <w:bCs/>
                <w:sz w:val="26"/>
                <w:szCs w:val="26"/>
              </w:rPr>
              <w:t>pasākumu izstrāde attāliem un mazattīstītiem reģioniem kvalificēta darbaspēka un uzņēmēju piesaistei – pieredzes apmaiņa ar Norvēģijas iestādēm, pētījuma izstrāde par Norvēģijas labo praksi un diskusiju organizēšana starp Norvēģijas un Latvijas iestādēm.</w:t>
            </w:r>
          </w:p>
          <w:p w:rsidR="00D56C14" w:rsidRPr="005532C3" w:rsidRDefault="00D56C14" w:rsidP="005532C3">
            <w:pPr>
              <w:tabs>
                <w:tab w:val="left" w:pos="993"/>
              </w:tabs>
              <w:spacing w:before="120" w:after="0" w:line="240" w:lineRule="auto"/>
              <w:jc w:val="both"/>
              <w:rPr>
                <w:rFonts w:ascii="Times New Roman" w:hAnsi="Times New Roman" w:cs="Times New Roman"/>
                <w:bCs/>
                <w:sz w:val="26"/>
                <w:szCs w:val="26"/>
              </w:rPr>
            </w:pPr>
            <w:r w:rsidRPr="005532C3">
              <w:rPr>
                <w:rFonts w:ascii="Times New Roman" w:hAnsi="Times New Roman" w:cs="Times New Roman"/>
                <w:bCs/>
                <w:sz w:val="26"/>
                <w:szCs w:val="26"/>
              </w:rPr>
              <w:t xml:space="preserve">Ņemot vērā aktivitāšu saturu un to mērķa auditoriju, visi </w:t>
            </w:r>
            <w:r w:rsidR="00085ABE" w:rsidRPr="005532C3">
              <w:rPr>
                <w:rFonts w:ascii="Times New Roman" w:hAnsi="Times New Roman" w:cs="Times New Roman"/>
                <w:bCs/>
                <w:sz w:val="26"/>
                <w:szCs w:val="26"/>
              </w:rPr>
              <w:t xml:space="preserve">PR </w:t>
            </w:r>
            <w:r w:rsidRPr="005532C3">
              <w:rPr>
                <w:rFonts w:ascii="Times New Roman" w:hAnsi="Times New Roman" w:cs="Times New Roman"/>
                <w:bCs/>
                <w:sz w:val="26"/>
                <w:szCs w:val="26"/>
              </w:rPr>
              <w:t>ir iepriekšminētā projekta partneri.</w:t>
            </w:r>
          </w:p>
          <w:p w:rsidR="00DE3CDE" w:rsidRPr="005532C3" w:rsidRDefault="00B32C69" w:rsidP="005532C3">
            <w:pPr>
              <w:widowControl w:val="0"/>
              <w:spacing w:before="120" w:after="0" w:line="240" w:lineRule="auto"/>
              <w:jc w:val="both"/>
              <w:rPr>
                <w:rFonts w:ascii="Times New Roman" w:hAnsi="Times New Roman" w:cs="Times New Roman"/>
                <w:sz w:val="26"/>
                <w:szCs w:val="26"/>
              </w:rPr>
            </w:pPr>
            <w:r w:rsidRPr="005532C3">
              <w:rPr>
                <w:rFonts w:ascii="Times New Roman" w:hAnsi="Times New Roman" w:cs="Times New Roman"/>
                <w:sz w:val="26"/>
                <w:szCs w:val="26"/>
              </w:rPr>
              <w:t>Uzņēmējdarbības attīstības veicināšanai</w:t>
            </w:r>
            <w:r w:rsidR="001C7188" w:rsidRPr="005532C3">
              <w:rPr>
                <w:rFonts w:ascii="Times New Roman" w:hAnsi="Times New Roman" w:cs="Times New Roman"/>
                <w:sz w:val="26"/>
                <w:szCs w:val="26"/>
              </w:rPr>
              <w:t xml:space="preserve"> visos PR, balstoties uz LUC pozitīvo piemēru,</w:t>
            </w:r>
            <w:r w:rsidRPr="005532C3">
              <w:rPr>
                <w:rFonts w:ascii="Times New Roman" w:hAnsi="Times New Roman" w:cs="Times New Roman"/>
                <w:sz w:val="26"/>
                <w:szCs w:val="26"/>
              </w:rPr>
              <w:t xml:space="preserve"> nepieciešams koordinēts institucionāls atbalsts, t.sk. inovatīvas uzņēmējdarbības attīstības, kā arī investoru piesaistes sekmēšanai. Šobrīd PR teritorijā darbojas dažādas publiskā un nevalstiskā sektora institūcijas, kas sniedz atbalstu noteiktām uzņēmēju grupām un/vai tikai par atsevišķiem atbalsta pasākumiem. Tā, piemēram, </w:t>
            </w:r>
            <w:r w:rsidRPr="005532C3">
              <w:rPr>
                <w:rFonts w:ascii="Times New Roman" w:hAnsi="Times New Roman" w:cs="Times New Roman"/>
                <w:sz w:val="26"/>
                <w:szCs w:val="26"/>
                <w:lang w:eastAsia="lv-LV"/>
              </w:rPr>
              <w:t>akciju sabiedrība „Attīstības finanšu in</w:t>
            </w:r>
            <w:r w:rsidR="007273D5">
              <w:rPr>
                <w:rFonts w:ascii="Times New Roman" w:hAnsi="Times New Roman" w:cs="Times New Roman"/>
                <w:sz w:val="26"/>
                <w:szCs w:val="26"/>
                <w:lang w:eastAsia="lv-LV"/>
              </w:rPr>
              <w:t>stitūcija” (turpmāk - AFI), kas</w:t>
            </w:r>
            <w:r w:rsidRPr="005532C3">
              <w:rPr>
                <w:rFonts w:ascii="Times New Roman" w:hAnsi="Times New Roman" w:cs="Times New Roman"/>
                <w:sz w:val="26"/>
                <w:szCs w:val="26"/>
                <w:lang w:eastAsia="lv-LV"/>
              </w:rPr>
              <w:t xml:space="preserve"> kā vienotā</w:t>
            </w:r>
            <w:r w:rsidR="007273D5">
              <w:rPr>
                <w:rFonts w:ascii="Times New Roman" w:hAnsi="Times New Roman" w:cs="Times New Roman"/>
                <w:sz w:val="26"/>
                <w:szCs w:val="26"/>
                <w:lang w:eastAsia="lv-LV"/>
              </w:rPr>
              <w:t xml:space="preserve"> attīstības finanšu institūcija</w:t>
            </w:r>
            <w:r w:rsidRPr="005532C3">
              <w:rPr>
                <w:rStyle w:val="FootnoteReference"/>
                <w:rFonts w:ascii="Times New Roman" w:hAnsi="Times New Roman" w:cs="Times New Roman"/>
                <w:sz w:val="26"/>
                <w:szCs w:val="26"/>
                <w:lang w:eastAsia="lv-LV"/>
              </w:rPr>
              <w:footnoteReference w:id="3"/>
            </w:r>
            <w:r w:rsidRPr="005532C3">
              <w:rPr>
                <w:rFonts w:ascii="Times New Roman" w:hAnsi="Times New Roman" w:cs="Times New Roman"/>
                <w:sz w:val="26"/>
                <w:szCs w:val="26"/>
                <w:lang w:eastAsia="lv-LV"/>
              </w:rPr>
              <w:t xml:space="preserve"> darbojas kopš 2015.gada 1.marta, </w:t>
            </w:r>
            <w:r w:rsidRPr="005532C3">
              <w:rPr>
                <w:rFonts w:ascii="Times New Roman" w:hAnsi="Times New Roman" w:cs="Times New Roman"/>
                <w:sz w:val="26"/>
                <w:szCs w:val="26"/>
              </w:rPr>
              <w:t xml:space="preserve">nodrošina uzņēmējiem konsultācijas un valsts atbalsta programmas saistībā ar kreditēšanu. </w:t>
            </w:r>
            <w:r w:rsidR="00787103" w:rsidRPr="005532C3">
              <w:rPr>
                <w:rFonts w:ascii="Times New Roman" w:hAnsi="Times New Roman" w:cs="Times New Roman"/>
                <w:sz w:val="26"/>
                <w:szCs w:val="26"/>
              </w:rPr>
              <w:t>Latvijas Investīciju un attīstības aģentūras (turpmāk – LIAA), atbilstoši 2012.gada 11.decembra Ministru kabineta noteikumiem Nr.857 “Latvijas Investīciju un attīstības aģentūras nolikums” uzdevums cita starpā ir īstenot pasākumus, kas paredz veicināt uzņēmējdarbības uzsākšanu un attīstību visā Latvijā. LIAA kopš tā izveidošanas brīža ir darboj</w:t>
            </w:r>
            <w:r w:rsidR="007273D5">
              <w:rPr>
                <w:rFonts w:ascii="Times New Roman" w:hAnsi="Times New Roman" w:cs="Times New Roman"/>
                <w:sz w:val="26"/>
                <w:szCs w:val="26"/>
              </w:rPr>
              <w:t>us</w:t>
            </w:r>
            <w:r w:rsidR="00787103" w:rsidRPr="005532C3">
              <w:rPr>
                <w:rFonts w:ascii="Times New Roman" w:hAnsi="Times New Roman" w:cs="Times New Roman"/>
                <w:sz w:val="26"/>
                <w:szCs w:val="26"/>
              </w:rPr>
              <w:t xml:space="preserve">ies kā vienotais kontaktpunkts ikvienam vietējam vai ārvalstu uzņēmējam vai topošajam uzņēmējam, kas vēlas veikt darbību Latvijā, nodrošinot uzņēmējdarbībai nepieciešamo vidi, konsultatīvos pakalpojumus un finansējuma pieejamību. Latvijas reģionālo pārklājumu LIAA līdz šim ir nodrošinājusi ar biznesa inkubatoru palīdzību. Turpmāk minētais pakalpojums tiks nodrošināts ar LIAA filiāļu starpniecību (t.i., biznesa inkubācijas modelis ES fondu 2014.-2020.plānošanas periodā). Kā papildus instrumentu uzņēmējdarbības veicināšanai reģionālā pārklājuma veidošanai Ekonomikas ministrija saredz LIAA sadarbību ar </w:t>
            </w:r>
            <w:r w:rsidR="00A03C22">
              <w:rPr>
                <w:rFonts w:ascii="Times New Roman" w:hAnsi="Times New Roman" w:cs="Times New Roman"/>
                <w:sz w:val="26"/>
                <w:szCs w:val="26"/>
              </w:rPr>
              <w:t>PR</w:t>
            </w:r>
            <w:r w:rsidR="00787103" w:rsidRPr="005532C3">
              <w:rPr>
                <w:rFonts w:ascii="Times New Roman" w:hAnsi="Times New Roman" w:cs="Times New Roman"/>
                <w:sz w:val="26"/>
                <w:szCs w:val="26"/>
              </w:rPr>
              <w:t xml:space="preserve"> uzņēmējdarbības centriem.</w:t>
            </w:r>
          </w:p>
          <w:p w:rsidR="00B32C69" w:rsidRPr="00455F0A" w:rsidRDefault="00B32C69" w:rsidP="005532C3">
            <w:pPr>
              <w:spacing w:before="120" w:after="0" w:line="240" w:lineRule="auto"/>
              <w:jc w:val="both"/>
              <w:rPr>
                <w:rFonts w:ascii="Times New Roman" w:hAnsi="Times New Roman" w:cs="Times New Roman"/>
                <w:sz w:val="26"/>
                <w:szCs w:val="26"/>
              </w:rPr>
            </w:pPr>
            <w:r w:rsidRPr="005532C3">
              <w:rPr>
                <w:rFonts w:ascii="Times New Roman" w:hAnsi="Times New Roman" w:cs="Times New Roman"/>
                <w:sz w:val="26"/>
                <w:szCs w:val="26"/>
              </w:rPr>
              <w:t>Tāpat L</w:t>
            </w:r>
            <w:r w:rsidR="00085ABE" w:rsidRPr="005532C3">
              <w:rPr>
                <w:rFonts w:ascii="Times New Roman" w:hAnsi="Times New Roman" w:cs="Times New Roman"/>
                <w:sz w:val="26"/>
                <w:szCs w:val="26"/>
              </w:rPr>
              <w:t xml:space="preserve">atvijas Lauku </w:t>
            </w:r>
            <w:r w:rsidR="00153BBB" w:rsidRPr="005532C3">
              <w:rPr>
                <w:rFonts w:ascii="Times New Roman" w:hAnsi="Times New Roman" w:cs="Times New Roman"/>
                <w:sz w:val="26"/>
                <w:szCs w:val="26"/>
              </w:rPr>
              <w:t>k</w:t>
            </w:r>
            <w:r w:rsidR="00085ABE" w:rsidRPr="005532C3">
              <w:rPr>
                <w:rFonts w:ascii="Times New Roman" w:hAnsi="Times New Roman" w:cs="Times New Roman"/>
                <w:sz w:val="26"/>
                <w:szCs w:val="26"/>
              </w:rPr>
              <w:t>onsultāciju centrs</w:t>
            </w:r>
            <w:r w:rsidR="00DE79BA" w:rsidRPr="005532C3">
              <w:rPr>
                <w:rFonts w:ascii="Times New Roman" w:hAnsi="Times New Roman" w:cs="Times New Roman"/>
                <w:sz w:val="26"/>
                <w:szCs w:val="26"/>
              </w:rPr>
              <w:t xml:space="preserve"> (turpmāk – LLKC)</w:t>
            </w:r>
            <w:r w:rsidR="00153BBB" w:rsidRPr="005532C3">
              <w:rPr>
                <w:rFonts w:ascii="Times New Roman" w:hAnsi="Times New Roman" w:cs="Times New Roman"/>
                <w:sz w:val="26"/>
                <w:szCs w:val="26"/>
              </w:rPr>
              <w:t>, Latvijas Tirdzniecības un rūpniecības kamera un Latvijas Darba devēju konfederācija</w:t>
            </w:r>
            <w:r w:rsidR="005337B3">
              <w:rPr>
                <w:rFonts w:ascii="Times New Roman" w:hAnsi="Times New Roman" w:cs="Times New Roman"/>
                <w:sz w:val="26"/>
                <w:szCs w:val="26"/>
              </w:rPr>
              <w:t xml:space="preserve"> (turpmāk - LDDK)</w:t>
            </w:r>
            <w:r w:rsidR="00085ABE" w:rsidRPr="005532C3">
              <w:rPr>
                <w:rFonts w:ascii="Times New Roman" w:hAnsi="Times New Roman" w:cs="Times New Roman"/>
                <w:sz w:val="26"/>
                <w:szCs w:val="26"/>
              </w:rPr>
              <w:t xml:space="preserve"> </w:t>
            </w:r>
            <w:r w:rsidRPr="005532C3">
              <w:rPr>
                <w:rFonts w:ascii="Times New Roman" w:hAnsi="Times New Roman" w:cs="Times New Roman"/>
                <w:sz w:val="26"/>
                <w:szCs w:val="26"/>
              </w:rPr>
              <w:t>konsultē uzņēmējus noteiktās</w:t>
            </w:r>
            <w:r w:rsidR="00085ABE" w:rsidRPr="005532C3">
              <w:rPr>
                <w:rFonts w:ascii="Times New Roman" w:hAnsi="Times New Roman" w:cs="Times New Roman"/>
                <w:sz w:val="26"/>
                <w:szCs w:val="26"/>
              </w:rPr>
              <w:t xml:space="preserve"> kompetences ietvaros. </w:t>
            </w:r>
            <w:r w:rsidRPr="005532C3">
              <w:rPr>
                <w:rFonts w:ascii="Times New Roman" w:hAnsi="Times New Roman" w:cs="Times New Roman"/>
                <w:sz w:val="26"/>
                <w:szCs w:val="26"/>
              </w:rPr>
              <w:t>Vienlaikus ne visās pašvaldībās ir uzņēmējdarbības speciālisti, kas sniegtu konsultatīvi informatīvo atbalstu uzņēmējiem un investoriem.</w:t>
            </w:r>
            <w:r w:rsidR="0005671D" w:rsidRPr="005532C3">
              <w:rPr>
                <w:rFonts w:ascii="Times New Roman" w:hAnsi="Times New Roman" w:cs="Times New Roman"/>
                <w:sz w:val="26"/>
                <w:szCs w:val="26"/>
              </w:rPr>
              <w:t xml:space="preserve"> Līdz ar to PR uzņēmējdarbības centri ir kā </w:t>
            </w:r>
            <w:r w:rsidR="00D56C14" w:rsidRPr="005532C3">
              <w:rPr>
                <w:rFonts w:ascii="Times New Roman" w:hAnsi="Times New Roman" w:cs="Times New Roman"/>
                <w:sz w:val="26"/>
                <w:szCs w:val="26"/>
              </w:rPr>
              <w:t xml:space="preserve">reģionālas </w:t>
            </w:r>
            <w:r w:rsidR="00D56C14" w:rsidRPr="00455F0A">
              <w:rPr>
                <w:rFonts w:ascii="Times New Roman" w:hAnsi="Times New Roman" w:cs="Times New Roman"/>
                <w:sz w:val="26"/>
                <w:szCs w:val="26"/>
              </w:rPr>
              <w:t>pārnozaru uzņēmēju atbalsta institūcijas, kas var nodrošināt</w:t>
            </w:r>
            <w:r w:rsidRPr="00455F0A">
              <w:rPr>
                <w:rFonts w:ascii="Times New Roman" w:hAnsi="Times New Roman" w:cs="Times New Roman"/>
                <w:sz w:val="26"/>
                <w:szCs w:val="26"/>
              </w:rPr>
              <w:t xml:space="preserve"> koordinētu atbalstu uzņēmējdarbība</w:t>
            </w:r>
            <w:r w:rsidR="00D56C14" w:rsidRPr="00455F0A">
              <w:rPr>
                <w:rFonts w:ascii="Times New Roman" w:hAnsi="Times New Roman" w:cs="Times New Roman"/>
                <w:sz w:val="26"/>
                <w:szCs w:val="26"/>
              </w:rPr>
              <w:t>s</w:t>
            </w:r>
            <w:r w:rsidR="00F1342A" w:rsidRPr="00455F0A">
              <w:rPr>
                <w:rFonts w:ascii="Times New Roman" w:hAnsi="Times New Roman" w:cs="Times New Roman"/>
                <w:sz w:val="26"/>
                <w:szCs w:val="26"/>
              </w:rPr>
              <w:t xml:space="preserve"> uzsākšanai un</w:t>
            </w:r>
            <w:r w:rsidR="006B32D0" w:rsidRPr="00455F0A">
              <w:rPr>
                <w:rFonts w:ascii="Times New Roman" w:hAnsi="Times New Roman" w:cs="Times New Roman"/>
                <w:sz w:val="26"/>
                <w:szCs w:val="26"/>
              </w:rPr>
              <w:t xml:space="preserve"> </w:t>
            </w:r>
            <w:r w:rsidR="00D56C14" w:rsidRPr="00455F0A">
              <w:rPr>
                <w:rFonts w:ascii="Times New Roman" w:hAnsi="Times New Roman" w:cs="Times New Roman"/>
                <w:sz w:val="26"/>
                <w:szCs w:val="26"/>
              </w:rPr>
              <w:t>attīstībai reģionālajā līmenī.</w:t>
            </w:r>
            <w:r w:rsidRPr="00455F0A">
              <w:rPr>
                <w:rFonts w:ascii="Times New Roman" w:hAnsi="Times New Roman" w:cs="Times New Roman"/>
                <w:sz w:val="26"/>
                <w:szCs w:val="26"/>
              </w:rPr>
              <w:t xml:space="preserve"> </w:t>
            </w:r>
          </w:p>
          <w:p w:rsidR="00D56C14" w:rsidRPr="00455F0A" w:rsidRDefault="00D56C14" w:rsidP="005532C3">
            <w:pPr>
              <w:spacing w:before="120" w:after="0" w:line="240" w:lineRule="auto"/>
              <w:jc w:val="both"/>
              <w:rPr>
                <w:rFonts w:ascii="Times New Roman" w:hAnsi="Times New Roman" w:cs="Times New Roman"/>
                <w:sz w:val="26"/>
                <w:szCs w:val="26"/>
              </w:rPr>
            </w:pPr>
            <w:r w:rsidRPr="00455F0A">
              <w:rPr>
                <w:rFonts w:ascii="Times New Roman" w:hAnsi="Times New Roman" w:cs="Times New Roman"/>
                <w:sz w:val="26"/>
                <w:szCs w:val="26"/>
              </w:rPr>
              <w:t>Nākotnē PR būtiska loma varētu būt reģiona uzņēmēju sadarbības veicināšanā un uzņēmējdarbības, pētniecības un izglītības, kā arī publiskā sektora sadarbības veicināšanā (klāsteru veidošanā), lai aktivizētu reģiona inovāciju sistēmu un celtu reģionā radīto produktu pievienoto vērtību.</w:t>
            </w:r>
          </w:p>
          <w:p w:rsidR="00D56C14" w:rsidRPr="005532C3" w:rsidRDefault="00D56C14" w:rsidP="005532C3">
            <w:pPr>
              <w:pStyle w:val="ListParagraph"/>
              <w:spacing w:before="120" w:after="0" w:line="240" w:lineRule="auto"/>
              <w:ind w:left="0"/>
              <w:contextualSpacing w:val="0"/>
              <w:jc w:val="both"/>
              <w:rPr>
                <w:rFonts w:ascii="Times New Roman" w:hAnsi="Times New Roman" w:cs="Times New Roman"/>
                <w:sz w:val="26"/>
                <w:szCs w:val="26"/>
              </w:rPr>
            </w:pPr>
            <w:r w:rsidRPr="005532C3">
              <w:rPr>
                <w:rFonts w:ascii="Times New Roman" w:hAnsi="Times New Roman" w:cs="Times New Roman"/>
                <w:sz w:val="26"/>
                <w:szCs w:val="26"/>
              </w:rPr>
              <w:t>PR arī varētu piedāvāt “brokerus” – cilvēkus, kuri nodarbotos ar informācijas apkopošanu par uzņēmēju vajadzībām. Veicot šīs informācijas analīzi, PR sadarbībā ar pētniecības iestādēm varētu piedāvāt risinājumus uzņēmējiem, jo tiem nereti pietrūkst laika šādas informācijas ieguvei un apkopošanai, pat ja potenciāli sadarbība būtu abpusēji izdevīga.</w:t>
            </w:r>
          </w:p>
          <w:p w:rsidR="00D56C14" w:rsidRPr="005532C3" w:rsidRDefault="00D56C14" w:rsidP="005532C3">
            <w:pPr>
              <w:pStyle w:val="ListParagraph"/>
              <w:spacing w:before="120" w:after="0" w:line="240" w:lineRule="auto"/>
              <w:ind w:left="0"/>
              <w:contextualSpacing w:val="0"/>
              <w:jc w:val="both"/>
              <w:rPr>
                <w:rFonts w:ascii="Times New Roman" w:hAnsi="Times New Roman" w:cs="Times New Roman"/>
                <w:sz w:val="26"/>
                <w:szCs w:val="26"/>
              </w:rPr>
            </w:pPr>
            <w:r w:rsidRPr="005532C3">
              <w:rPr>
                <w:rFonts w:ascii="Times New Roman" w:hAnsi="Times New Roman" w:cs="Times New Roman"/>
                <w:sz w:val="26"/>
                <w:szCs w:val="26"/>
              </w:rPr>
              <w:t>Zviedrijas pieredze liecina, ka reģioni var spēlēt nozīmīgu lomu „zināšanu trijstūra” aktivizēšanā reģionos</w:t>
            </w:r>
            <w:r w:rsidRPr="005532C3">
              <w:rPr>
                <w:rStyle w:val="FootnoteReference"/>
                <w:rFonts w:ascii="Times New Roman" w:hAnsi="Times New Roman" w:cs="Times New Roman"/>
                <w:sz w:val="26"/>
                <w:szCs w:val="26"/>
              </w:rPr>
              <w:footnoteReference w:id="4"/>
            </w:r>
            <w:r w:rsidRPr="005532C3">
              <w:rPr>
                <w:rFonts w:ascii="Times New Roman" w:hAnsi="Times New Roman" w:cs="Times New Roman"/>
                <w:sz w:val="26"/>
                <w:szCs w:val="26"/>
              </w:rPr>
              <w:t xml:space="preserve">. </w:t>
            </w:r>
          </w:p>
          <w:p w:rsidR="00D56C14" w:rsidRPr="005532C3" w:rsidRDefault="00D56C14" w:rsidP="005532C3">
            <w:pPr>
              <w:pStyle w:val="ListParagraph"/>
              <w:spacing w:before="120" w:after="0" w:line="240" w:lineRule="auto"/>
              <w:ind w:left="0"/>
              <w:contextualSpacing w:val="0"/>
              <w:jc w:val="both"/>
              <w:rPr>
                <w:rFonts w:ascii="Times New Roman" w:hAnsi="Times New Roman" w:cs="Times New Roman"/>
                <w:sz w:val="26"/>
                <w:szCs w:val="26"/>
              </w:rPr>
            </w:pPr>
            <w:r w:rsidRPr="005532C3">
              <w:rPr>
                <w:rFonts w:ascii="Times New Roman" w:hAnsi="Times New Roman" w:cs="Times New Roman"/>
                <w:sz w:val="26"/>
                <w:szCs w:val="26"/>
              </w:rPr>
              <w:t xml:space="preserve">Augstāk minēto darbību rezultātā būtiski uzsvērt arī </w:t>
            </w:r>
            <w:r w:rsidR="006562A9" w:rsidRPr="005532C3">
              <w:rPr>
                <w:rFonts w:ascii="Times New Roman" w:hAnsi="Times New Roman" w:cs="Times New Roman"/>
                <w:sz w:val="26"/>
                <w:szCs w:val="26"/>
              </w:rPr>
              <w:t xml:space="preserve">PR </w:t>
            </w:r>
            <w:r w:rsidRPr="005532C3">
              <w:rPr>
                <w:rFonts w:ascii="Times New Roman" w:hAnsi="Times New Roman" w:cs="Times New Roman"/>
                <w:sz w:val="26"/>
                <w:szCs w:val="26"/>
              </w:rPr>
              <w:t>lomu investīciju piesaistē konkrētajam reģionam. Piemēram, Lielbritānijā veiktais pētījums apliecina, ka investīciju piesaistes centralizēšana no reģionālās attīstības aģentūrām uz Lielbritānijas Tirdzniecības un investīciju organizāciju (angl. UK Trade and Investment), ir novedusi pie augstākas ārvalstu investīciju koncentrēšanās Londonā un Dienvidanglijā, mazinot investīciju ieplūšanu reģionos.</w:t>
            </w:r>
            <w:r w:rsidRPr="005532C3">
              <w:rPr>
                <w:rStyle w:val="FootnoteReference"/>
                <w:rFonts w:ascii="Times New Roman" w:hAnsi="Times New Roman" w:cs="Times New Roman"/>
                <w:sz w:val="26"/>
                <w:szCs w:val="26"/>
              </w:rPr>
              <w:footnoteReference w:id="5"/>
            </w:r>
            <w:r w:rsidRPr="005532C3">
              <w:rPr>
                <w:rFonts w:ascii="Times New Roman" w:hAnsi="Times New Roman" w:cs="Times New Roman"/>
                <w:sz w:val="26"/>
                <w:szCs w:val="26"/>
              </w:rPr>
              <w:t xml:space="preserve"> Tātad investīciju piesaistes organizēšana reģionāla līmenī var palielināt iespēju, ka investori tiks piesaistīti reģionu teritorijām.</w:t>
            </w:r>
          </w:p>
          <w:p w:rsidR="00B32C69" w:rsidRPr="005532C3" w:rsidRDefault="00D56C14" w:rsidP="005532C3">
            <w:pPr>
              <w:pStyle w:val="ListParagraph"/>
              <w:spacing w:before="120" w:after="0" w:line="240" w:lineRule="auto"/>
              <w:ind w:left="0"/>
              <w:contextualSpacing w:val="0"/>
              <w:jc w:val="both"/>
              <w:rPr>
                <w:rFonts w:ascii="Times New Roman" w:hAnsi="Times New Roman" w:cs="Times New Roman"/>
                <w:sz w:val="26"/>
                <w:szCs w:val="26"/>
              </w:rPr>
            </w:pPr>
            <w:r w:rsidRPr="005532C3">
              <w:rPr>
                <w:rFonts w:ascii="Times New Roman" w:hAnsi="Times New Roman" w:cs="Times New Roman"/>
                <w:sz w:val="26"/>
                <w:szCs w:val="26"/>
              </w:rPr>
              <w:t xml:space="preserve">Uzņēmējdarbības atbalsta centri </w:t>
            </w:r>
            <w:r w:rsidR="00B657A6" w:rsidRPr="005532C3">
              <w:rPr>
                <w:rFonts w:ascii="Times New Roman" w:hAnsi="Times New Roman" w:cs="Times New Roman"/>
                <w:sz w:val="26"/>
                <w:szCs w:val="26"/>
              </w:rPr>
              <w:t>PR</w:t>
            </w:r>
            <w:r w:rsidRPr="005532C3">
              <w:rPr>
                <w:rFonts w:ascii="Times New Roman" w:hAnsi="Times New Roman" w:cs="Times New Roman"/>
                <w:sz w:val="26"/>
                <w:szCs w:val="26"/>
              </w:rPr>
              <w:t xml:space="preserve"> ir izveidoti uz E</w:t>
            </w:r>
            <w:r w:rsidR="00BC0AE0" w:rsidRPr="005532C3">
              <w:rPr>
                <w:rFonts w:ascii="Times New Roman" w:hAnsi="Times New Roman" w:cs="Times New Roman"/>
                <w:sz w:val="26"/>
                <w:szCs w:val="26"/>
              </w:rPr>
              <w:t xml:space="preserve">iropas Savienības </w:t>
            </w:r>
            <w:r w:rsidRPr="005532C3">
              <w:rPr>
                <w:rFonts w:ascii="Times New Roman" w:hAnsi="Times New Roman" w:cs="Times New Roman"/>
                <w:sz w:val="26"/>
                <w:szCs w:val="26"/>
              </w:rPr>
              <w:t>struktū</w:t>
            </w:r>
            <w:r w:rsidR="00B657A6" w:rsidRPr="005532C3">
              <w:rPr>
                <w:rFonts w:ascii="Times New Roman" w:hAnsi="Times New Roman" w:cs="Times New Roman"/>
                <w:sz w:val="26"/>
                <w:szCs w:val="26"/>
              </w:rPr>
              <w:t>r</w:t>
            </w:r>
            <w:r w:rsidRPr="005532C3">
              <w:rPr>
                <w:rFonts w:ascii="Times New Roman" w:hAnsi="Times New Roman" w:cs="Times New Roman"/>
                <w:sz w:val="26"/>
                <w:szCs w:val="26"/>
              </w:rPr>
              <w:t>fondu informācijas centru bāzes</w:t>
            </w:r>
            <w:r w:rsidR="00B657A6" w:rsidRPr="005532C3">
              <w:rPr>
                <w:rFonts w:ascii="Times New Roman" w:hAnsi="Times New Roman" w:cs="Times New Roman"/>
                <w:sz w:val="26"/>
                <w:szCs w:val="26"/>
              </w:rPr>
              <w:t xml:space="preserve"> (turpmāk -  RSIC</w:t>
            </w:r>
            <w:r w:rsidR="00085ABE" w:rsidRPr="005532C3">
              <w:rPr>
                <w:rFonts w:ascii="Times New Roman" w:hAnsi="Times New Roman" w:cs="Times New Roman"/>
                <w:sz w:val="26"/>
                <w:szCs w:val="26"/>
              </w:rPr>
              <w:t>)</w:t>
            </w:r>
            <w:r w:rsidR="00B657A6" w:rsidRPr="005532C3">
              <w:rPr>
                <w:rFonts w:ascii="Times New Roman" w:hAnsi="Times New Roman" w:cs="Times New Roman"/>
                <w:sz w:val="26"/>
                <w:szCs w:val="26"/>
              </w:rPr>
              <w:t>, i</w:t>
            </w:r>
            <w:r w:rsidR="00B32C69" w:rsidRPr="005532C3">
              <w:rPr>
                <w:rFonts w:ascii="Times New Roman" w:hAnsi="Times New Roman" w:cs="Times New Roman"/>
                <w:sz w:val="26"/>
                <w:szCs w:val="26"/>
              </w:rPr>
              <w:t>zmantojot jau esošo uzņēmējdarbības atbalsta institūciju tīklu reģionos un organizējot sadarbību ar AFI, LIAA, LLKC, pašvaldībām un citām inst</w:t>
            </w:r>
            <w:r w:rsidR="006029E7" w:rsidRPr="005532C3">
              <w:rPr>
                <w:rFonts w:ascii="Times New Roman" w:hAnsi="Times New Roman" w:cs="Times New Roman"/>
                <w:sz w:val="26"/>
                <w:szCs w:val="26"/>
              </w:rPr>
              <w:t xml:space="preserve">itūcijām. Ņemot vērā, </w:t>
            </w:r>
            <w:r w:rsidR="00B32C69" w:rsidRPr="005532C3">
              <w:rPr>
                <w:rFonts w:ascii="Times New Roman" w:hAnsi="Times New Roman" w:cs="Times New Roman"/>
                <w:sz w:val="26"/>
                <w:szCs w:val="26"/>
              </w:rPr>
              <w:t xml:space="preserve">ka </w:t>
            </w:r>
            <w:r w:rsidR="006029E7" w:rsidRPr="005532C3">
              <w:rPr>
                <w:rFonts w:ascii="Times New Roman" w:hAnsi="Times New Roman" w:cs="Times New Roman"/>
                <w:sz w:val="26"/>
                <w:szCs w:val="26"/>
              </w:rPr>
              <w:t xml:space="preserve"> </w:t>
            </w:r>
            <w:r w:rsidR="00B32C69" w:rsidRPr="005532C3">
              <w:rPr>
                <w:rFonts w:ascii="Times New Roman" w:hAnsi="Times New Roman" w:cs="Times New Roman"/>
                <w:sz w:val="26"/>
                <w:szCs w:val="26"/>
              </w:rPr>
              <w:t>uzņēmējdarbības centri</w:t>
            </w:r>
            <w:r w:rsidR="006029E7" w:rsidRPr="005532C3">
              <w:rPr>
                <w:rFonts w:ascii="Times New Roman" w:hAnsi="Times New Roman" w:cs="Times New Roman"/>
                <w:sz w:val="26"/>
                <w:szCs w:val="26"/>
              </w:rPr>
              <w:t xml:space="preserve"> pārējos četros PR</w:t>
            </w:r>
            <w:r w:rsidR="0050383F" w:rsidRPr="005532C3">
              <w:rPr>
                <w:rFonts w:ascii="Times New Roman" w:hAnsi="Times New Roman" w:cs="Times New Roman"/>
                <w:sz w:val="26"/>
                <w:szCs w:val="26"/>
              </w:rPr>
              <w:t xml:space="preserve"> ir izveidoti nesen (2015.gada 2</w:t>
            </w:r>
            <w:r w:rsidR="00B32C69" w:rsidRPr="005532C3">
              <w:rPr>
                <w:rFonts w:ascii="Times New Roman" w:hAnsi="Times New Roman" w:cs="Times New Roman"/>
                <w:sz w:val="26"/>
                <w:szCs w:val="26"/>
              </w:rPr>
              <w:t>.ceturksnī), tiek</w:t>
            </w:r>
            <w:r w:rsidR="00DE79BA" w:rsidRPr="005532C3">
              <w:rPr>
                <w:rFonts w:ascii="Times New Roman" w:hAnsi="Times New Roman" w:cs="Times New Roman"/>
                <w:sz w:val="26"/>
                <w:szCs w:val="26"/>
              </w:rPr>
              <w:t xml:space="preserve"> apgūta</w:t>
            </w:r>
            <w:r w:rsidR="006029E7" w:rsidRPr="005532C3">
              <w:rPr>
                <w:rFonts w:ascii="Times New Roman" w:hAnsi="Times New Roman" w:cs="Times New Roman"/>
                <w:sz w:val="26"/>
                <w:szCs w:val="26"/>
              </w:rPr>
              <w:t xml:space="preserve"> 2013.gadā izveidotā </w:t>
            </w:r>
            <w:r w:rsidR="006562A9" w:rsidRPr="005532C3">
              <w:rPr>
                <w:rFonts w:ascii="Times New Roman" w:hAnsi="Times New Roman" w:cs="Times New Roman"/>
                <w:sz w:val="26"/>
                <w:szCs w:val="26"/>
              </w:rPr>
              <w:t>LUC</w:t>
            </w:r>
            <w:r w:rsidR="008112BB" w:rsidRPr="005532C3">
              <w:rPr>
                <w:rFonts w:ascii="Times New Roman" w:hAnsi="Times New Roman" w:cs="Times New Roman"/>
                <w:sz w:val="26"/>
                <w:szCs w:val="26"/>
              </w:rPr>
              <w:t xml:space="preserve"> </w:t>
            </w:r>
            <w:r w:rsidR="00DE79BA" w:rsidRPr="005532C3">
              <w:rPr>
                <w:rFonts w:ascii="Times New Roman" w:hAnsi="Times New Roman" w:cs="Times New Roman"/>
                <w:sz w:val="26"/>
                <w:szCs w:val="26"/>
              </w:rPr>
              <w:t xml:space="preserve">pieredze, </w:t>
            </w:r>
            <w:r w:rsidR="00B32C69" w:rsidRPr="005532C3">
              <w:rPr>
                <w:rFonts w:ascii="Times New Roman" w:hAnsi="Times New Roman" w:cs="Times New Roman"/>
                <w:sz w:val="26"/>
                <w:szCs w:val="26"/>
              </w:rPr>
              <w:t xml:space="preserve"> noskaidrotas un meklētas labākās sadarbības formas ar valsts, pašvaldību un sociālajiem partneriem. </w:t>
            </w:r>
          </w:p>
          <w:p w:rsidR="00FC1491" w:rsidRPr="005532C3" w:rsidRDefault="00FC1491" w:rsidP="005532C3">
            <w:pPr>
              <w:spacing w:before="120" w:after="0" w:line="240" w:lineRule="auto"/>
              <w:jc w:val="both"/>
              <w:rPr>
                <w:rFonts w:ascii="Times New Roman" w:hAnsi="Times New Roman" w:cs="Times New Roman"/>
                <w:bCs/>
                <w:sz w:val="26"/>
                <w:szCs w:val="26"/>
              </w:rPr>
            </w:pPr>
            <w:r w:rsidRPr="005532C3">
              <w:rPr>
                <w:rFonts w:ascii="Times New Roman" w:hAnsi="Times New Roman" w:cs="Times New Roman"/>
                <w:sz w:val="26"/>
                <w:szCs w:val="26"/>
              </w:rPr>
              <w:t xml:space="preserve">Par priekšrocību RSIC izmantošanai, kā bāzei uzņēmējdarbības centru izveidei, ir uzskatāma to pieredze </w:t>
            </w:r>
            <w:r w:rsidR="001C7188" w:rsidRPr="005532C3">
              <w:rPr>
                <w:rFonts w:ascii="Times New Roman" w:hAnsi="Times New Roman" w:cs="Times New Roman"/>
                <w:sz w:val="26"/>
                <w:szCs w:val="26"/>
              </w:rPr>
              <w:t xml:space="preserve">komunikācijā ar uzņēmējiem par finanšu avotu pieejamību uzņēmējdarbībā, kā arī uzkrātā datu bāze ar uzņēmēju kontaktiem. </w:t>
            </w:r>
            <w:r w:rsidRPr="005532C3">
              <w:rPr>
                <w:rFonts w:ascii="Times New Roman" w:hAnsi="Times New Roman" w:cs="Times New Roman"/>
                <w:sz w:val="26"/>
                <w:szCs w:val="26"/>
              </w:rPr>
              <w:t>Tāpat par priekšrocību ir uzskatāma PR aktīvā dalība teritoriālās sadarbības programmās, kas dod iespēju piesaistīt papildus finansējumu uzņēmējdarbības atbalstam.</w:t>
            </w:r>
          </w:p>
          <w:p w:rsidR="00FC1491" w:rsidRPr="005532C3" w:rsidRDefault="00FC1491" w:rsidP="005337B3">
            <w:pPr>
              <w:pStyle w:val="NormalWeb"/>
              <w:spacing w:before="120" w:beforeAutospacing="0" w:after="0" w:afterAutospacing="0"/>
              <w:ind w:firstLine="0"/>
              <w:rPr>
                <w:rFonts w:ascii="Times New Roman" w:hAnsi="Times New Roman"/>
                <w:sz w:val="26"/>
                <w:szCs w:val="26"/>
              </w:rPr>
            </w:pPr>
            <w:r w:rsidRPr="005532C3">
              <w:rPr>
                <w:rFonts w:ascii="Times New Roman" w:hAnsi="Times New Roman"/>
                <w:sz w:val="26"/>
                <w:szCs w:val="26"/>
              </w:rPr>
              <w:t>Tādējādi būtiskākie jauninājumi salīdzinājumā ar līdz šim pastāvējušo RSIC darbību būs:</w:t>
            </w:r>
          </w:p>
          <w:p w:rsidR="00FC1491" w:rsidRPr="005532C3" w:rsidRDefault="0061495F" w:rsidP="005337B3">
            <w:pPr>
              <w:pStyle w:val="NormalWeb"/>
              <w:numPr>
                <w:ilvl w:val="0"/>
                <w:numId w:val="4"/>
              </w:numPr>
              <w:spacing w:before="120" w:beforeAutospacing="0" w:after="0" w:afterAutospacing="0"/>
              <w:ind w:left="612" w:hanging="284"/>
              <w:rPr>
                <w:rFonts w:ascii="Times New Roman" w:hAnsi="Times New Roman"/>
                <w:sz w:val="26"/>
                <w:szCs w:val="26"/>
              </w:rPr>
            </w:pPr>
            <w:r w:rsidRPr="005532C3">
              <w:rPr>
                <w:rFonts w:ascii="Times New Roman" w:hAnsi="Times New Roman"/>
                <w:sz w:val="26"/>
                <w:szCs w:val="26"/>
              </w:rPr>
              <w:t>līdz šim RSIC konsultēja uzņēmējus tikai par finanšu avotiem, turpmāk uzņēmējdarbības centri veiks līdzvērtīgas aktivitātes LUC</w:t>
            </w:r>
            <w:r w:rsidR="00FC1491" w:rsidRPr="005532C3">
              <w:rPr>
                <w:rFonts w:ascii="Times New Roman" w:eastAsia="Calibri" w:hAnsi="Times New Roman"/>
                <w:sz w:val="26"/>
                <w:szCs w:val="26"/>
              </w:rPr>
              <w:t xml:space="preserve">; </w:t>
            </w:r>
          </w:p>
          <w:p w:rsidR="00FC1491" w:rsidRPr="005532C3" w:rsidRDefault="00FC1491" w:rsidP="005337B3">
            <w:pPr>
              <w:pStyle w:val="NormalWeb"/>
              <w:numPr>
                <w:ilvl w:val="0"/>
                <w:numId w:val="4"/>
              </w:numPr>
              <w:spacing w:before="120" w:beforeAutospacing="0" w:after="0" w:afterAutospacing="0"/>
              <w:ind w:left="612" w:hanging="284"/>
              <w:rPr>
                <w:rFonts w:ascii="Times New Roman" w:hAnsi="Times New Roman"/>
                <w:sz w:val="26"/>
                <w:szCs w:val="26"/>
              </w:rPr>
            </w:pPr>
            <w:r w:rsidRPr="005532C3">
              <w:rPr>
                <w:rFonts w:ascii="Times New Roman" w:eastAsia="Calibri" w:hAnsi="Times New Roman"/>
                <w:sz w:val="26"/>
                <w:szCs w:val="26"/>
              </w:rPr>
              <w:t xml:space="preserve">koordinētas konsultācijas par valsts </w:t>
            </w:r>
            <w:r w:rsidR="007273D5" w:rsidRPr="005532C3">
              <w:rPr>
                <w:rFonts w:ascii="Times New Roman" w:eastAsia="Calibri" w:hAnsi="Times New Roman"/>
                <w:sz w:val="26"/>
                <w:szCs w:val="26"/>
              </w:rPr>
              <w:t xml:space="preserve">sniegtajiem </w:t>
            </w:r>
            <w:r w:rsidRPr="005532C3">
              <w:rPr>
                <w:rFonts w:ascii="Times New Roman" w:eastAsia="Calibri" w:hAnsi="Times New Roman"/>
                <w:sz w:val="26"/>
                <w:szCs w:val="26"/>
              </w:rPr>
              <w:t>administratīvajiem pakalpojumiem (sadarbībā ar Uzņēmumu reģistru, Valsts ieņēmumu dienestu, Pārtikas un veterināro dienestu u.c.), kas ietvers risinājumu meklēšanu problēmsituācijās (balstoties uz to analīzi, arī priekšlikumu sagatavošana normatīvā regulējuma pilnveidošanai);</w:t>
            </w:r>
          </w:p>
          <w:p w:rsidR="00FC1491" w:rsidRPr="005532C3" w:rsidRDefault="007273D5" w:rsidP="005337B3">
            <w:pPr>
              <w:pStyle w:val="NormalWeb"/>
              <w:numPr>
                <w:ilvl w:val="0"/>
                <w:numId w:val="4"/>
              </w:numPr>
              <w:spacing w:before="120" w:beforeAutospacing="0" w:after="0" w:afterAutospacing="0"/>
              <w:ind w:left="612" w:hanging="284"/>
              <w:rPr>
                <w:rFonts w:ascii="Times New Roman" w:hAnsi="Times New Roman"/>
                <w:sz w:val="26"/>
                <w:szCs w:val="26"/>
              </w:rPr>
            </w:pPr>
            <w:r>
              <w:rPr>
                <w:rFonts w:ascii="Times New Roman" w:eastAsia="Calibri" w:hAnsi="Times New Roman"/>
                <w:sz w:val="26"/>
                <w:szCs w:val="26"/>
              </w:rPr>
              <w:t>atbalsta pasākumi</w:t>
            </w:r>
            <w:r w:rsidR="00FC1491" w:rsidRPr="005532C3">
              <w:rPr>
                <w:rFonts w:ascii="Times New Roman" w:eastAsia="Calibri" w:hAnsi="Times New Roman"/>
                <w:sz w:val="26"/>
                <w:szCs w:val="26"/>
              </w:rPr>
              <w:t xml:space="preserve"> kā dalība izstādēs, tirdzniecības misiju organizēšana u.tml. pasākumi.</w:t>
            </w:r>
          </w:p>
          <w:p w:rsidR="00C574C3" w:rsidRPr="005532C3" w:rsidRDefault="00FC1491" w:rsidP="005532C3">
            <w:pPr>
              <w:pStyle w:val="NormalWeb"/>
              <w:spacing w:before="120" w:beforeAutospacing="0" w:after="0" w:afterAutospacing="0"/>
              <w:ind w:firstLine="0"/>
              <w:rPr>
                <w:rFonts w:ascii="Times New Roman" w:hAnsi="Times New Roman"/>
                <w:bCs/>
                <w:sz w:val="26"/>
                <w:szCs w:val="26"/>
              </w:rPr>
            </w:pPr>
            <w:r w:rsidRPr="005532C3">
              <w:rPr>
                <w:rFonts w:ascii="Times New Roman" w:hAnsi="Times New Roman"/>
                <w:sz w:val="26"/>
                <w:szCs w:val="26"/>
              </w:rPr>
              <w:t xml:space="preserve">Tāpat </w:t>
            </w:r>
            <w:r w:rsidR="008112BB" w:rsidRPr="005532C3">
              <w:rPr>
                <w:rFonts w:ascii="Times New Roman" w:hAnsi="Times New Roman"/>
                <w:sz w:val="26"/>
                <w:szCs w:val="26"/>
              </w:rPr>
              <w:t>PR</w:t>
            </w:r>
            <w:r w:rsidRPr="005532C3">
              <w:rPr>
                <w:rFonts w:ascii="Times New Roman" w:hAnsi="Times New Roman"/>
                <w:sz w:val="26"/>
                <w:szCs w:val="26"/>
              </w:rPr>
              <w:t xml:space="preserve"> s</w:t>
            </w:r>
            <w:r w:rsidR="00DF085F" w:rsidRPr="005532C3">
              <w:rPr>
                <w:rFonts w:ascii="Times New Roman" w:hAnsi="Times New Roman"/>
                <w:sz w:val="26"/>
                <w:szCs w:val="26"/>
              </w:rPr>
              <w:t>adarbībā ar pašvaldībām informē</w:t>
            </w:r>
            <w:r w:rsidRPr="005532C3">
              <w:rPr>
                <w:rFonts w:ascii="Times New Roman" w:hAnsi="Times New Roman"/>
                <w:sz w:val="26"/>
                <w:szCs w:val="26"/>
              </w:rPr>
              <w:t xml:space="preserve"> par finanšu pakalpojumu pieejamību reģionos, lai iedzīvotāji varētu izmantot sev nepieciešamos finanšu pakalpojumus (piemēram, naudas izņemšana, iemaksa, norēķinu jeb maksājumu veikšanas iespējas).</w:t>
            </w:r>
            <w:r w:rsidR="00F1342A" w:rsidRPr="005532C3">
              <w:rPr>
                <w:rFonts w:ascii="Times New Roman" w:hAnsi="Times New Roman"/>
                <w:sz w:val="26"/>
                <w:szCs w:val="26"/>
              </w:rPr>
              <w:t xml:space="preserve"> </w:t>
            </w:r>
            <w:r w:rsidRPr="005532C3">
              <w:rPr>
                <w:rFonts w:ascii="Times New Roman" w:hAnsi="Times New Roman"/>
                <w:sz w:val="26"/>
                <w:szCs w:val="26"/>
              </w:rPr>
              <w:t xml:space="preserve">Reģionālās politikas pamatnostādņu plānoto aktivitāšu ietvaros tiks veikta PR un pašvaldību kapacitātes attīstīšana darbā ar uzņēmējiem. Balstoties uz LUC pieredzi, viens no efektīvākajiem pasākumiem ir tirdzniecības misijas, kuras plānots finansēt gan no pārrobežu projektu finansējuma, gan no ERAF un Norvēģijas finanšu instrumenta finansējuma avotiem.  Šādas tirdzniecības misijas būtu organizējamas gan uz ārvalstu tirgiem kā kontaktu birža, gan Rīgā, popularizējot vietējo reģionu produkciju un organizējot „reģionu dienas”. Tāpat plānots turpināt </w:t>
            </w:r>
            <w:r w:rsidRPr="005532C3">
              <w:rPr>
                <w:rFonts w:ascii="Times New Roman" w:hAnsi="Times New Roman"/>
                <w:bCs/>
                <w:sz w:val="26"/>
                <w:szCs w:val="26"/>
              </w:rPr>
              <w:t xml:space="preserve">vietējā un reģionālā līmeņa speciālistu apmācības un konsultatīvo atbalstu uzņēmējdarbības attīstības </w:t>
            </w:r>
            <w:r w:rsidRPr="005532C3">
              <w:rPr>
                <w:rFonts w:ascii="Times New Roman" w:hAnsi="Times New Roman"/>
                <w:sz w:val="26"/>
                <w:szCs w:val="26"/>
              </w:rPr>
              <w:t xml:space="preserve">(t.sk. inovatīvas uzņēmējdarbības, kooperācijas attīstības, attālinātā darba sekmēšanas u.c.) </w:t>
            </w:r>
            <w:r w:rsidRPr="005532C3">
              <w:rPr>
                <w:rFonts w:ascii="Times New Roman" w:hAnsi="Times New Roman"/>
                <w:bCs/>
                <w:sz w:val="26"/>
                <w:szCs w:val="26"/>
              </w:rPr>
              <w:t>jautājumos</w:t>
            </w:r>
            <w:r w:rsidRPr="005532C3">
              <w:rPr>
                <w:rFonts w:ascii="Times New Roman" w:hAnsi="Times New Roman"/>
                <w:sz w:val="26"/>
                <w:szCs w:val="26"/>
              </w:rPr>
              <w:t>, nodrošinot ārvalstu ekspertu atbalstu un ārvalstu labās prakses apguvi.</w:t>
            </w:r>
            <w:r w:rsidRPr="005532C3">
              <w:rPr>
                <w:rStyle w:val="FootnoteReference"/>
                <w:rFonts w:ascii="Times New Roman" w:hAnsi="Times New Roman"/>
                <w:bCs/>
                <w:sz w:val="26"/>
                <w:szCs w:val="26"/>
              </w:rPr>
              <w:footnoteReference w:id="6"/>
            </w:r>
            <w:r w:rsidRPr="005532C3">
              <w:rPr>
                <w:rFonts w:ascii="Times New Roman" w:hAnsi="Times New Roman"/>
                <w:bCs/>
                <w:sz w:val="26"/>
                <w:szCs w:val="26"/>
              </w:rPr>
              <w:t xml:space="preserve"> </w:t>
            </w:r>
          </w:p>
          <w:p w:rsidR="0072544A" w:rsidRPr="005532C3" w:rsidRDefault="00787103" w:rsidP="005337B3">
            <w:pPr>
              <w:widowControl w:val="0"/>
              <w:spacing w:before="120" w:after="0" w:line="240" w:lineRule="auto"/>
              <w:jc w:val="both"/>
              <w:rPr>
                <w:rFonts w:ascii="Times New Roman" w:hAnsi="Times New Roman" w:cs="Times New Roman"/>
                <w:sz w:val="26"/>
                <w:szCs w:val="26"/>
              </w:rPr>
            </w:pPr>
            <w:r w:rsidRPr="005532C3">
              <w:rPr>
                <w:rFonts w:ascii="Times New Roman" w:hAnsi="Times New Roman" w:cs="Times New Roman"/>
                <w:sz w:val="26"/>
                <w:szCs w:val="26"/>
              </w:rPr>
              <w:t xml:space="preserve">Lai </w:t>
            </w:r>
            <w:r w:rsidR="00080639" w:rsidRPr="005532C3">
              <w:rPr>
                <w:rFonts w:ascii="Times New Roman" w:hAnsi="Times New Roman" w:cs="Times New Roman"/>
                <w:sz w:val="26"/>
                <w:szCs w:val="26"/>
              </w:rPr>
              <w:t>diskutētu par PR lomu uzņēmējdarbības atbalstam</w:t>
            </w:r>
            <w:r w:rsidRPr="005532C3">
              <w:rPr>
                <w:rFonts w:ascii="Times New Roman" w:hAnsi="Times New Roman" w:cs="Times New Roman"/>
                <w:sz w:val="26"/>
                <w:szCs w:val="26"/>
              </w:rPr>
              <w:t xml:space="preserve"> un PR uzņēmējdarbības centru funkciju nepārklāšanos ar citu uzņēmējdarbību atbalstošo institūciju funkcijām, bet, lai  nodrošinātu to savstarpējo papildinātību,  </w:t>
            </w:r>
            <w:r w:rsidR="00080639" w:rsidRPr="005532C3">
              <w:rPr>
                <w:rFonts w:ascii="Times New Roman" w:hAnsi="Times New Roman" w:cs="Times New Roman"/>
                <w:sz w:val="26"/>
                <w:szCs w:val="26"/>
              </w:rPr>
              <w:t xml:space="preserve">2016.gada 11.janvārī </w:t>
            </w:r>
            <w:r w:rsidR="00DD4B1F" w:rsidRPr="005532C3">
              <w:rPr>
                <w:rFonts w:ascii="Times New Roman" w:hAnsi="Times New Roman" w:cs="Times New Roman"/>
                <w:sz w:val="26"/>
                <w:szCs w:val="26"/>
              </w:rPr>
              <w:t>ministrija</w:t>
            </w:r>
            <w:r w:rsidR="00080639" w:rsidRPr="005532C3">
              <w:rPr>
                <w:rFonts w:ascii="Times New Roman" w:hAnsi="Times New Roman" w:cs="Times New Roman"/>
                <w:sz w:val="26"/>
                <w:szCs w:val="26"/>
              </w:rPr>
              <w:t xml:space="preserve"> organizēja sanāksmi, kurā piedalījās PR, Ekonomikas ministrijas</w:t>
            </w:r>
            <w:r w:rsidR="00F128B9" w:rsidRPr="005532C3">
              <w:rPr>
                <w:rFonts w:ascii="Times New Roman" w:hAnsi="Times New Roman" w:cs="Times New Roman"/>
                <w:sz w:val="26"/>
                <w:szCs w:val="26"/>
              </w:rPr>
              <w:t xml:space="preserve">, LIAA, LLKC, LDDK un </w:t>
            </w:r>
            <w:r w:rsidR="005337B3">
              <w:rPr>
                <w:rFonts w:ascii="Times New Roman" w:hAnsi="Times New Roman" w:cs="Times New Roman"/>
                <w:sz w:val="26"/>
                <w:szCs w:val="26"/>
              </w:rPr>
              <w:t>Latvijas Pašvaldību savienības</w:t>
            </w:r>
            <w:r w:rsidR="007273D5">
              <w:rPr>
                <w:rFonts w:ascii="Times New Roman" w:hAnsi="Times New Roman" w:cs="Times New Roman"/>
                <w:sz w:val="26"/>
                <w:szCs w:val="26"/>
              </w:rPr>
              <w:t xml:space="preserve"> pārstāvji.</w:t>
            </w:r>
            <w:r w:rsidR="00F128B9" w:rsidRPr="005532C3">
              <w:rPr>
                <w:rFonts w:ascii="Times New Roman" w:hAnsi="Times New Roman" w:cs="Times New Roman"/>
                <w:sz w:val="26"/>
                <w:szCs w:val="26"/>
              </w:rPr>
              <w:t xml:space="preserve"> Sanāksmes dalībnieki vienojās, ka PR veiks</w:t>
            </w:r>
            <w:r w:rsidR="00236C5C" w:rsidRPr="005532C3">
              <w:rPr>
                <w:rFonts w:ascii="Times New Roman" w:hAnsi="Times New Roman" w:cs="Times New Roman"/>
                <w:sz w:val="26"/>
                <w:szCs w:val="26"/>
              </w:rPr>
              <w:t xml:space="preserve"> uzņēmējdarbības atbalsta institūciju un</w:t>
            </w:r>
            <w:r w:rsidRPr="005532C3">
              <w:rPr>
                <w:rFonts w:ascii="Times New Roman" w:hAnsi="Times New Roman" w:cs="Times New Roman"/>
                <w:sz w:val="26"/>
                <w:szCs w:val="26"/>
              </w:rPr>
              <w:t xml:space="preserve"> to sniegto pakalpojumu izvērtējumu, saskaņā ar kuru </w:t>
            </w:r>
            <w:r w:rsidR="00153BBB" w:rsidRPr="005532C3">
              <w:rPr>
                <w:rFonts w:ascii="Times New Roman" w:hAnsi="Times New Roman" w:cs="Times New Roman"/>
                <w:sz w:val="26"/>
                <w:szCs w:val="26"/>
              </w:rPr>
              <w:t>nodrošinā</w:t>
            </w:r>
            <w:r w:rsidRPr="005532C3">
              <w:rPr>
                <w:rFonts w:ascii="Times New Roman" w:hAnsi="Times New Roman" w:cs="Times New Roman"/>
                <w:sz w:val="26"/>
                <w:szCs w:val="26"/>
              </w:rPr>
              <w:t>s pamatinformāciju topošajiem un esošajiem uzņēmējiem par</w:t>
            </w:r>
            <w:r w:rsidR="00153BBB" w:rsidRPr="005532C3">
              <w:rPr>
                <w:rFonts w:ascii="Times New Roman" w:hAnsi="Times New Roman" w:cs="Times New Roman"/>
                <w:sz w:val="26"/>
                <w:szCs w:val="26"/>
              </w:rPr>
              <w:t xml:space="preserve"> uzņēmējdarbību atbalstošo</w:t>
            </w:r>
            <w:r w:rsidRPr="005532C3">
              <w:rPr>
                <w:rFonts w:ascii="Times New Roman" w:hAnsi="Times New Roman" w:cs="Times New Roman"/>
                <w:sz w:val="26"/>
                <w:szCs w:val="26"/>
              </w:rPr>
              <w:t xml:space="preserve"> </w:t>
            </w:r>
            <w:r w:rsidR="00153BBB" w:rsidRPr="005532C3">
              <w:rPr>
                <w:rFonts w:ascii="Times New Roman" w:hAnsi="Times New Roman" w:cs="Times New Roman"/>
                <w:sz w:val="26"/>
                <w:szCs w:val="26"/>
              </w:rPr>
              <w:t xml:space="preserve">institūciju un to sniegto </w:t>
            </w:r>
            <w:r w:rsidRPr="005532C3">
              <w:rPr>
                <w:rFonts w:ascii="Times New Roman" w:hAnsi="Times New Roman" w:cs="Times New Roman"/>
                <w:sz w:val="26"/>
                <w:szCs w:val="26"/>
              </w:rPr>
              <w:t xml:space="preserve"> pakalpojumu pie</w:t>
            </w:r>
            <w:r w:rsidR="007273D5">
              <w:rPr>
                <w:rFonts w:ascii="Times New Roman" w:hAnsi="Times New Roman" w:cs="Times New Roman"/>
                <w:sz w:val="26"/>
                <w:szCs w:val="26"/>
              </w:rPr>
              <w:t xml:space="preserve">ejamību reģionā (darbosies kā pirmās </w:t>
            </w:r>
            <w:r w:rsidRPr="005532C3">
              <w:rPr>
                <w:rFonts w:ascii="Times New Roman" w:hAnsi="Times New Roman" w:cs="Times New Roman"/>
                <w:sz w:val="26"/>
                <w:szCs w:val="26"/>
              </w:rPr>
              <w:t>pieturas aģentūra). Savukārt PR pasākumi, kuri būs arī citu institūciju kompetencē, tie tiks koordinēti un PR nodrošinās to savstarpēju papildinātību, pirms tam ar attiecīgajām i</w:t>
            </w:r>
            <w:r w:rsidR="00E80560" w:rsidRPr="005532C3">
              <w:rPr>
                <w:rFonts w:ascii="Times New Roman" w:hAnsi="Times New Roman" w:cs="Times New Roman"/>
                <w:sz w:val="26"/>
                <w:szCs w:val="26"/>
              </w:rPr>
              <w:t>nstitūcijām noslēdzot sadarbība</w:t>
            </w:r>
            <w:r w:rsidRPr="005532C3">
              <w:rPr>
                <w:rFonts w:ascii="Times New Roman" w:hAnsi="Times New Roman" w:cs="Times New Roman"/>
                <w:sz w:val="26"/>
                <w:szCs w:val="26"/>
              </w:rPr>
              <w:t>s</w:t>
            </w:r>
            <w:r w:rsidR="00E80560" w:rsidRPr="005532C3">
              <w:rPr>
                <w:rFonts w:ascii="Times New Roman" w:hAnsi="Times New Roman" w:cs="Times New Roman"/>
                <w:sz w:val="26"/>
                <w:szCs w:val="26"/>
              </w:rPr>
              <w:t xml:space="preserve"> </w:t>
            </w:r>
            <w:r w:rsidR="00153BBB" w:rsidRPr="005532C3">
              <w:rPr>
                <w:rFonts w:ascii="Times New Roman" w:hAnsi="Times New Roman" w:cs="Times New Roman"/>
                <w:sz w:val="26"/>
                <w:szCs w:val="26"/>
              </w:rPr>
              <w:t>līgumus, tādējādi</w:t>
            </w:r>
            <w:r w:rsidRPr="005532C3">
              <w:rPr>
                <w:rFonts w:ascii="Times New Roman" w:hAnsi="Times New Roman" w:cs="Times New Roman"/>
                <w:sz w:val="26"/>
                <w:szCs w:val="26"/>
              </w:rPr>
              <w:t xml:space="preserve"> </w:t>
            </w:r>
            <w:r w:rsidR="00153BBB" w:rsidRPr="005532C3">
              <w:rPr>
                <w:rFonts w:ascii="Times New Roman" w:hAnsi="Times New Roman" w:cs="Times New Roman"/>
                <w:sz w:val="26"/>
                <w:szCs w:val="26"/>
              </w:rPr>
              <w:t xml:space="preserve">nodrošinot LIAA </w:t>
            </w:r>
            <w:r w:rsidR="002D3387" w:rsidRPr="005532C3">
              <w:rPr>
                <w:rFonts w:ascii="Times New Roman" w:hAnsi="Times New Roman" w:cs="Times New Roman"/>
                <w:sz w:val="26"/>
                <w:szCs w:val="26"/>
              </w:rPr>
              <w:t>u</w:t>
            </w:r>
            <w:r w:rsidR="00153BBB" w:rsidRPr="005532C3">
              <w:rPr>
                <w:rFonts w:ascii="Times New Roman" w:hAnsi="Times New Roman" w:cs="Times New Roman"/>
                <w:sz w:val="26"/>
                <w:szCs w:val="26"/>
              </w:rPr>
              <w:t>n PR uzņēmējdarbības centru funkciju nepārklāšanos.</w:t>
            </w:r>
          </w:p>
        </w:tc>
      </w:tr>
      <w:tr w:rsidR="00664417" w:rsidRPr="0061495F" w:rsidTr="00E93022">
        <w:trPr>
          <w:trHeight w:val="601"/>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 3.</w:t>
            </w:r>
          </w:p>
        </w:tc>
        <w:tc>
          <w:tcPr>
            <w:tcW w:w="1701" w:type="dxa"/>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Projekta izstrādē iesaistītās institūcijas</w:t>
            </w:r>
          </w:p>
        </w:tc>
        <w:tc>
          <w:tcPr>
            <w:tcW w:w="7147" w:type="dxa"/>
            <w:tcBorders>
              <w:top w:val="outset" w:sz="6" w:space="0" w:color="auto"/>
              <w:left w:val="outset" w:sz="6" w:space="0" w:color="auto"/>
              <w:bottom w:val="outset" w:sz="6" w:space="0" w:color="auto"/>
              <w:right w:val="outset" w:sz="6" w:space="0" w:color="auto"/>
            </w:tcBorders>
            <w:hideMark/>
          </w:tcPr>
          <w:p w:rsidR="00664417" w:rsidRPr="0061495F" w:rsidRDefault="00DD4B1F" w:rsidP="00A03C22">
            <w:pPr>
              <w:spacing w:before="100" w:beforeAutospacing="1" w:after="100" w:afterAutospacing="1"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ministrija</w:t>
            </w:r>
            <w:r w:rsidR="00A06DF0" w:rsidRPr="0061495F">
              <w:rPr>
                <w:rFonts w:ascii="Times New Roman" w:eastAsia="Times New Roman" w:hAnsi="Times New Roman" w:cs="Times New Roman"/>
                <w:sz w:val="26"/>
                <w:szCs w:val="26"/>
                <w:lang w:eastAsia="lv-LV"/>
              </w:rPr>
              <w:t xml:space="preserve">, </w:t>
            </w:r>
            <w:r w:rsidR="00A03C22">
              <w:rPr>
                <w:rFonts w:ascii="Times New Roman" w:eastAsia="Times New Roman" w:hAnsi="Times New Roman" w:cs="Times New Roman"/>
                <w:sz w:val="26"/>
                <w:szCs w:val="26"/>
                <w:lang w:eastAsia="lv-LV"/>
              </w:rPr>
              <w:t>PR</w:t>
            </w:r>
            <w:r w:rsidR="008E4189" w:rsidRPr="0061495F">
              <w:rPr>
                <w:rFonts w:ascii="Times New Roman" w:eastAsia="Times New Roman" w:hAnsi="Times New Roman" w:cs="Times New Roman"/>
                <w:sz w:val="26"/>
                <w:szCs w:val="26"/>
                <w:lang w:eastAsia="lv-LV"/>
              </w:rPr>
              <w:t>.</w:t>
            </w:r>
          </w:p>
        </w:tc>
      </w:tr>
      <w:tr w:rsidR="00664417" w:rsidRPr="0061495F" w:rsidTr="00E93022">
        <w:trPr>
          <w:trHeight w:val="384"/>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 4.</w:t>
            </w:r>
          </w:p>
        </w:tc>
        <w:tc>
          <w:tcPr>
            <w:tcW w:w="1701" w:type="dxa"/>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 Cita informācija</w:t>
            </w:r>
          </w:p>
        </w:tc>
        <w:tc>
          <w:tcPr>
            <w:tcW w:w="7147" w:type="dxa"/>
            <w:tcBorders>
              <w:top w:val="outset" w:sz="6" w:space="0" w:color="auto"/>
              <w:left w:val="outset" w:sz="6" w:space="0" w:color="auto"/>
              <w:bottom w:val="outset" w:sz="6" w:space="0" w:color="auto"/>
              <w:right w:val="outset" w:sz="6" w:space="0" w:color="auto"/>
            </w:tcBorders>
            <w:hideMark/>
          </w:tcPr>
          <w:p w:rsidR="00664417" w:rsidRPr="0061495F" w:rsidRDefault="00664417" w:rsidP="00003928">
            <w:pPr>
              <w:autoSpaceDE w:val="0"/>
              <w:autoSpaceDN w:val="0"/>
              <w:adjustRightInd w:val="0"/>
              <w:spacing w:after="0" w:line="240" w:lineRule="auto"/>
              <w:ind w:right="-15"/>
              <w:jc w:val="both"/>
              <w:rPr>
                <w:rFonts w:ascii="Times New Roman" w:eastAsia="Times New Roman" w:hAnsi="Times New Roman" w:cs="Times New Roman"/>
                <w:bCs/>
                <w:sz w:val="26"/>
                <w:szCs w:val="26"/>
                <w:lang w:eastAsia="zh-TW"/>
              </w:rPr>
            </w:pPr>
            <w:r w:rsidRPr="0061495F">
              <w:rPr>
                <w:rFonts w:ascii="Times New Roman" w:eastAsia="Times New Roman" w:hAnsi="Times New Roman" w:cs="Times New Roman"/>
                <w:bCs/>
                <w:sz w:val="26"/>
                <w:szCs w:val="26"/>
                <w:lang w:eastAsia="zh-TW"/>
              </w:rPr>
              <w:t>Nav.</w:t>
            </w:r>
          </w:p>
        </w:tc>
      </w:tr>
    </w:tbl>
    <w:p w:rsidR="00664417" w:rsidRPr="0061495F" w:rsidRDefault="00664417" w:rsidP="00664417">
      <w:pPr>
        <w:spacing w:after="0" w:line="240" w:lineRule="auto"/>
        <w:rPr>
          <w:rFonts w:ascii="Times New Roman" w:eastAsia="Times New Roman" w:hAnsi="Times New Roman" w:cs="Times New Roman"/>
          <w:sz w:val="26"/>
          <w:szCs w:val="26"/>
          <w:lang w:eastAsia="zh-TW"/>
        </w:rPr>
      </w:pPr>
    </w:p>
    <w:tbl>
      <w:tblPr>
        <w:tblW w:w="500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88"/>
        <w:gridCol w:w="1839"/>
        <w:gridCol w:w="6909"/>
      </w:tblGrid>
      <w:tr w:rsidR="00664417" w:rsidRPr="0061495F" w:rsidTr="004A2C38">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64417" w:rsidRPr="0061495F" w:rsidRDefault="00664417" w:rsidP="00664417">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61495F">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E93022" w:rsidRPr="0061495F" w:rsidTr="00393B78">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1.</w:t>
            </w:r>
          </w:p>
        </w:tc>
        <w:tc>
          <w:tcPr>
            <w:tcW w:w="986"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Sabiedrības mērķgrupas, kuras tiesiskais regulējums ietekmē vai varētu ietekmēt</w:t>
            </w:r>
          </w:p>
        </w:tc>
        <w:tc>
          <w:tcPr>
            <w:tcW w:w="3707" w:type="pct"/>
            <w:tcBorders>
              <w:top w:val="outset" w:sz="6" w:space="0" w:color="auto"/>
              <w:left w:val="outset" w:sz="6" w:space="0" w:color="auto"/>
              <w:bottom w:val="outset" w:sz="6" w:space="0" w:color="auto"/>
              <w:right w:val="outset" w:sz="6" w:space="0" w:color="auto"/>
            </w:tcBorders>
            <w:hideMark/>
          </w:tcPr>
          <w:p w:rsidR="00C574C3" w:rsidRPr="0061495F" w:rsidRDefault="00A06DF0" w:rsidP="00DF085F">
            <w:pPr>
              <w:spacing w:after="0" w:line="240" w:lineRule="auto"/>
              <w:jc w:val="both"/>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 xml:space="preserve">Vidējie un </w:t>
            </w:r>
            <w:r w:rsidR="001925D9" w:rsidRPr="0061495F">
              <w:rPr>
                <w:rFonts w:ascii="Times New Roman" w:eastAsia="Times New Roman" w:hAnsi="Times New Roman" w:cs="Times New Roman"/>
                <w:sz w:val="26"/>
                <w:szCs w:val="26"/>
                <w:lang w:eastAsia="lv-LV"/>
              </w:rPr>
              <w:t xml:space="preserve">mazie </w:t>
            </w:r>
            <w:r w:rsidRPr="0061495F">
              <w:rPr>
                <w:rFonts w:ascii="Times New Roman" w:eastAsia="Times New Roman" w:hAnsi="Times New Roman" w:cs="Times New Roman"/>
                <w:sz w:val="26"/>
                <w:szCs w:val="26"/>
                <w:lang w:eastAsia="lv-LV"/>
              </w:rPr>
              <w:t>uzņēmumi</w:t>
            </w:r>
            <w:r w:rsidR="00C05F7B" w:rsidRPr="0061495F">
              <w:rPr>
                <w:rFonts w:ascii="Times New Roman" w:eastAsia="Times New Roman" w:hAnsi="Times New Roman" w:cs="Times New Roman"/>
                <w:sz w:val="26"/>
                <w:szCs w:val="26"/>
                <w:lang w:eastAsia="lv-LV"/>
              </w:rPr>
              <w:t>, individuālie komersanti</w:t>
            </w:r>
            <w:r w:rsidR="00DF085F" w:rsidRPr="0061495F">
              <w:rPr>
                <w:rFonts w:ascii="Times New Roman" w:eastAsia="Times New Roman" w:hAnsi="Times New Roman" w:cs="Times New Roman"/>
                <w:sz w:val="26"/>
                <w:szCs w:val="26"/>
                <w:lang w:eastAsia="lv-LV"/>
              </w:rPr>
              <w:t xml:space="preserve">, </w:t>
            </w:r>
            <w:r w:rsidR="00C05F7B" w:rsidRPr="0061495F">
              <w:rPr>
                <w:rFonts w:ascii="Times New Roman" w:eastAsia="Times New Roman" w:hAnsi="Times New Roman" w:cs="Times New Roman"/>
                <w:sz w:val="26"/>
                <w:szCs w:val="26"/>
                <w:lang w:eastAsia="lv-LV"/>
              </w:rPr>
              <w:t xml:space="preserve"> </w:t>
            </w:r>
            <w:r w:rsidRPr="0061495F">
              <w:rPr>
                <w:rFonts w:ascii="Times New Roman" w:eastAsia="Times New Roman" w:hAnsi="Times New Roman" w:cs="Times New Roman"/>
                <w:sz w:val="26"/>
                <w:szCs w:val="26"/>
                <w:lang w:eastAsia="lv-LV"/>
              </w:rPr>
              <w:t>nevalstiskās organizācijas</w:t>
            </w:r>
            <w:r w:rsidR="00DF085F" w:rsidRPr="0061495F">
              <w:rPr>
                <w:rFonts w:ascii="Times New Roman" w:eastAsia="Times New Roman" w:hAnsi="Times New Roman" w:cs="Times New Roman"/>
                <w:sz w:val="26"/>
                <w:szCs w:val="26"/>
                <w:lang w:eastAsia="lv-LV"/>
              </w:rPr>
              <w:t xml:space="preserve">, kā arī </w:t>
            </w:r>
            <w:r w:rsidR="00DF085F" w:rsidRPr="0061495F">
              <w:rPr>
                <w:rFonts w:ascii="Times New Roman" w:hAnsi="Times New Roman" w:cs="Times New Roman"/>
                <w:sz w:val="26"/>
                <w:szCs w:val="26"/>
              </w:rPr>
              <w:t>personas, kuras vēlas kļūt par uzņēmējiem.</w:t>
            </w:r>
          </w:p>
        </w:tc>
      </w:tr>
      <w:tr w:rsidR="00E93022" w:rsidRPr="0061495F" w:rsidTr="00393B78">
        <w:trPr>
          <w:trHeight w:val="510"/>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664417" w:rsidRPr="0061495F" w:rsidRDefault="00664417" w:rsidP="00A06DF0">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2</w:t>
            </w:r>
            <w:r w:rsidR="00A06DF0" w:rsidRPr="0061495F">
              <w:rPr>
                <w:rFonts w:ascii="Times New Roman" w:eastAsia="Times New Roman" w:hAnsi="Times New Roman" w:cs="Times New Roman"/>
                <w:sz w:val="26"/>
                <w:szCs w:val="26"/>
                <w:lang w:eastAsia="lv-LV"/>
              </w:rPr>
              <w:t>.</w:t>
            </w:r>
          </w:p>
        </w:tc>
        <w:tc>
          <w:tcPr>
            <w:tcW w:w="986" w:type="pct"/>
            <w:tcBorders>
              <w:top w:val="outset" w:sz="6" w:space="0" w:color="auto"/>
              <w:left w:val="outset" w:sz="6" w:space="0" w:color="auto"/>
              <w:bottom w:val="outset" w:sz="6" w:space="0" w:color="auto"/>
              <w:right w:val="outset" w:sz="6" w:space="0" w:color="auto"/>
            </w:tcBorders>
            <w:hideMark/>
          </w:tcPr>
          <w:p w:rsidR="00787103" w:rsidRDefault="00664417" w:rsidP="00787103">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Tiesiskā regulējuma ietekme uz tautsaimniecību un administratīvo slogu</w:t>
            </w:r>
          </w:p>
        </w:tc>
        <w:tc>
          <w:tcPr>
            <w:tcW w:w="3707" w:type="pct"/>
            <w:tcBorders>
              <w:top w:val="outset" w:sz="6" w:space="0" w:color="auto"/>
              <w:left w:val="outset" w:sz="6" w:space="0" w:color="auto"/>
              <w:bottom w:val="outset" w:sz="6" w:space="0" w:color="auto"/>
              <w:right w:val="outset" w:sz="6" w:space="0" w:color="auto"/>
            </w:tcBorders>
            <w:hideMark/>
          </w:tcPr>
          <w:p w:rsidR="001925D9" w:rsidRPr="0061495F" w:rsidRDefault="001925D9" w:rsidP="00207953">
            <w:pPr>
              <w:spacing w:after="0" w:line="240" w:lineRule="auto"/>
              <w:jc w:val="both"/>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Ietekmi</w:t>
            </w:r>
            <w:r w:rsidR="00664417" w:rsidRPr="0061495F">
              <w:rPr>
                <w:rFonts w:ascii="Times New Roman" w:eastAsia="Times New Roman" w:hAnsi="Times New Roman" w:cs="Times New Roman"/>
                <w:sz w:val="26"/>
                <w:szCs w:val="26"/>
                <w:lang w:eastAsia="lv-LV"/>
              </w:rPr>
              <w:t xml:space="preserve"> uz tautsaimniecību</w:t>
            </w:r>
            <w:r w:rsidRPr="0061495F">
              <w:rPr>
                <w:rFonts w:ascii="Times New Roman" w:eastAsia="Times New Roman" w:hAnsi="Times New Roman" w:cs="Times New Roman"/>
                <w:sz w:val="26"/>
                <w:szCs w:val="26"/>
                <w:lang w:eastAsia="lv-LV"/>
              </w:rPr>
              <w:t xml:space="preserve"> var prognozēt, analizējot </w:t>
            </w:r>
            <w:r w:rsidR="00DF085F" w:rsidRPr="0061495F">
              <w:rPr>
                <w:rFonts w:ascii="Times New Roman" w:eastAsia="Times New Roman" w:hAnsi="Times New Roman" w:cs="Times New Roman"/>
                <w:sz w:val="26"/>
                <w:szCs w:val="26"/>
                <w:lang w:eastAsia="lv-LV"/>
              </w:rPr>
              <w:t>LUC</w:t>
            </w:r>
            <w:r w:rsidR="002B28BD" w:rsidRPr="0061495F">
              <w:rPr>
                <w:rFonts w:ascii="Times New Roman" w:eastAsia="Times New Roman" w:hAnsi="Times New Roman" w:cs="Times New Roman"/>
                <w:sz w:val="26"/>
                <w:szCs w:val="26"/>
                <w:lang w:eastAsia="lv-LV"/>
              </w:rPr>
              <w:t xml:space="preserve"> </w:t>
            </w:r>
            <w:r w:rsidR="004D3F41" w:rsidRPr="0061495F">
              <w:rPr>
                <w:rFonts w:ascii="Times New Roman" w:eastAsia="Times New Roman" w:hAnsi="Times New Roman" w:cs="Times New Roman"/>
                <w:sz w:val="26"/>
                <w:szCs w:val="26"/>
                <w:lang w:eastAsia="lv-LV"/>
              </w:rPr>
              <w:t>divu gadu darbības rezultātus.</w:t>
            </w:r>
          </w:p>
          <w:p w:rsidR="001925D9" w:rsidRPr="0061495F" w:rsidRDefault="001925D9" w:rsidP="00207953">
            <w:pPr>
              <w:spacing w:before="120" w:after="120" w:line="240" w:lineRule="auto"/>
              <w:jc w:val="both"/>
              <w:rPr>
                <w:rFonts w:ascii="Times New Roman" w:hAnsi="Times New Roman" w:cs="Times New Roman"/>
                <w:sz w:val="26"/>
                <w:szCs w:val="26"/>
              </w:rPr>
            </w:pPr>
            <w:r w:rsidRPr="0061495F">
              <w:rPr>
                <w:rFonts w:ascii="Times New Roman" w:hAnsi="Times New Roman" w:cs="Times New Roman"/>
                <w:sz w:val="26"/>
                <w:szCs w:val="26"/>
              </w:rPr>
              <w:t>LUC ekonomiskās ietekmes izvērtējums uz valsts budžetu veikts, pamatojoties uz LUC sniegto informāciju uz 2014.gada 31.decembri</w:t>
            </w:r>
            <w:r w:rsidR="00DF085F" w:rsidRPr="0061495F">
              <w:rPr>
                <w:rStyle w:val="FootnoteReference"/>
                <w:rFonts w:ascii="Times New Roman" w:hAnsi="Times New Roman" w:cs="Times New Roman"/>
                <w:sz w:val="26"/>
                <w:szCs w:val="26"/>
              </w:rPr>
              <w:footnoteReference w:id="7"/>
            </w:r>
            <w:r w:rsidRPr="0061495F">
              <w:rPr>
                <w:rFonts w:ascii="Times New Roman" w:hAnsi="Times New Roman" w:cs="Times New Roman"/>
                <w:sz w:val="26"/>
                <w:szCs w:val="26"/>
              </w:rPr>
              <w:t xml:space="preserve">: dibināti jauni 26 uzņēmumi (18 ar vienu darbinieku, 2 uzņēmumi ar diviem darbiniekiem, 2 uzņēmumi ar trīs darbiniekiem, 3 uzņēmumi ar 4 darbiniekiem, 1 uzņēmums ar 11 darbiniekiem). Līdz ar to jāsecina, kopš LUC ir uzsācis savu darbību, īstenojot dažādus atbalsta pasākumus reģionā esošajiem uzņēmējiem līdz 2014.gada 31.decembrim, radīta 51 darba vieta. Vienlaikus jāņem vērā, ka jaunu darbavietu veidošanos ir ietekmējuši virkne faktoru, tai skaitā ekonomiskās aktivitātes atgriešanās pirms krīzes līmenī. </w:t>
            </w:r>
          </w:p>
          <w:p w:rsidR="00C574C3" w:rsidRPr="0061495F" w:rsidRDefault="001925D9">
            <w:pPr>
              <w:spacing w:before="120" w:after="120" w:line="240" w:lineRule="auto"/>
              <w:jc w:val="both"/>
              <w:rPr>
                <w:rFonts w:ascii="Times New Roman" w:hAnsi="Times New Roman" w:cs="Times New Roman"/>
                <w:bCs/>
                <w:sz w:val="26"/>
                <w:szCs w:val="26"/>
              </w:rPr>
            </w:pPr>
            <w:r w:rsidRPr="0061495F">
              <w:rPr>
                <w:rFonts w:ascii="Times New Roman" w:hAnsi="Times New Roman" w:cs="Times New Roman"/>
                <w:bCs/>
                <w:sz w:val="26"/>
                <w:szCs w:val="26"/>
              </w:rPr>
              <w:t>Lai aprēķinātu jaunradīto darba vietu potenciālo ieguvumu, tika veikts izmaksu/ieguvumu aprēķins, kur tika izmantoti sekojoši dati:</w:t>
            </w:r>
          </w:p>
          <w:p w:rsidR="001925D9" w:rsidRPr="005337B3" w:rsidRDefault="001925D9" w:rsidP="005337B3">
            <w:pPr>
              <w:numPr>
                <w:ilvl w:val="0"/>
                <w:numId w:val="6"/>
              </w:numPr>
              <w:spacing w:before="120" w:after="120" w:line="240" w:lineRule="auto"/>
              <w:ind w:left="523" w:hanging="283"/>
              <w:jc w:val="both"/>
              <w:rPr>
                <w:rFonts w:ascii="Times New Roman" w:hAnsi="Times New Roman" w:cs="Times New Roman"/>
                <w:bCs/>
                <w:sz w:val="26"/>
                <w:szCs w:val="26"/>
              </w:rPr>
            </w:pPr>
            <w:r w:rsidRPr="005337B3">
              <w:rPr>
                <w:rFonts w:ascii="Times New Roman" w:hAnsi="Times New Roman" w:cs="Times New Roman"/>
                <w:sz w:val="26"/>
                <w:szCs w:val="26"/>
              </w:rPr>
              <w:t xml:space="preserve">LUC administratīvās izmaksas no valsts budžeta līdzekļiem ir nemainīgas 71 000 </w:t>
            </w:r>
            <w:r w:rsidRPr="005337B3">
              <w:rPr>
                <w:rFonts w:ascii="Times New Roman" w:hAnsi="Times New Roman" w:cs="Times New Roman"/>
                <w:i/>
                <w:sz w:val="26"/>
                <w:szCs w:val="26"/>
              </w:rPr>
              <w:t>euro</w:t>
            </w:r>
            <w:r w:rsidRPr="005337B3">
              <w:rPr>
                <w:rFonts w:ascii="Times New Roman" w:hAnsi="Times New Roman" w:cs="Times New Roman"/>
                <w:sz w:val="26"/>
                <w:szCs w:val="26"/>
              </w:rPr>
              <w:t>;</w:t>
            </w:r>
          </w:p>
          <w:p w:rsidR="001925D9" w:rsidRPr="005337B3" w:rsidRDefault="001925D9" w:rsidP="005337B3">
            <w:pPr>
              <w:numPr>
                <w:ilvl w:val="0"/>
                <w:numId w:val="6"/>
              </w:numPr>
              <w:spacing w:before="120" w:after="120" w:line="240" w:lineRule="auto"/>
              <w:ind w:left="523" w:hanging="283"/>
              <w:jc w:val="both"/>
              <w:rPr>
                <w:rFonts w:ascii="Times New Roman" w:hAnsi="Times New Roman" w:cs="Times New Roman"/>
                <w:bCs/>
                <w:sz w:val="26"/>
                <w:szCs w:val="26"/>
              </w:rPr>
            </w:pPr>
            <w:r w:rsidRPr="005337B3">
              <w:rPr>
                <w:rFonts w:ascii="Times New Roman" w:hAnsi="Times New Roman" w:cs="Times New Roman"/>
                <w:sz w:val="26"/>
                <w:szCs w:val="26"/>
              </w:rPr>
              <w:t xml:space="preserve">Bezdarbnieku pabalsti - vidējā izmaksātā bezdarbnieka pabalsta </w:t>
            </w:r>
            <w:r w:rsidR="005337B3">
              <w:rPr>
                <w:rFonts w:ascii="Times New Roman" w:hAnsi="Times New Roman" w:cs="Times New Roman"/>
                <w:sz w:val="26"/>
                <w:szCs w:val="26"/>
              </w:rPr>
              <w:t>apmērs Latgales reģionā - 2013.</w:t>
            </w:r>
            <w:r w:rsidRPr="005337B3">
              <w:rPr>
                <w:rFonts w:ascii="Times New Roman" w:hAnsi="Times New Roman" w:cs="Times New Roman"/>
                <w:sz w:val="26"/>
                <w:szCs w:val="26"/>
              </w:rPr>
              <w:t>gadā bij</w:t>
            </w:r>
            <w:r w:rsidR="005337B3">
              <w:rPr>
                <w:rFonts w:ascii="Times New Roman" w:hAnsi="Times New Roman" w:cs="Times New Roman"/>
                <w:sz w:val="26"/>
                <w:szCs w:val="26"/>
              </w:rPr>
              <w:t>a 197 EUR; (2013.</w:t>
            </w:r>
            <w:r w:rsidRPr="005337B3">
              <w:rPr>
                <w:rFonts w:ascii="Times New Roman" w:hAnsi="Times New Roman" w:cs="Times New Roman"/>
                <w:sz w:val="26"/>
                <w:szCs w:val="26"/>
              </w:rPr>
              <w:t xml:space="preserve">gada beigās reģistrēto bezdarbnieku skaits bija 93,3 tūkst., no tiem bezdarbnieka pabalstu saņēma 34,3 </w:t>
            </w:r>
            <w:r w:rsidR="005337B3">
              <w:rPr>
                <w:rFonts w:ascii="Times New Roman" w:hAnsi="Times New Roman" w:cs="Times New Roman"/>
                <w:sz w:val="26"/>
                <w:szCs w:val="26"/>
              </w:rPr>
              <w:t>tūkst. personu jeb 36,8% (2012.</w:t>
            </w:r>
            <w:r w:rsidRPr="005337B3">
              <w:rPr>
                <w:rFonts w:ascii="Times New Roman" w:hAnsi="Times New Roman" w:cs="Times New Roman"/>
                <w:sz w:val="26"/>
                <w:szCs w:val="26"/>
              </w:rPr>
              <w:t>gadā šis rādītājs bija 24,3%).</w:t>
            </w:r>
            <w:r w:rsidRPr="005337B3">
              <w:rPr>
                <w:rStyle w:val="FootnoteReference"/>
                <w:rFonts w:ascii="Times New Roman" w:hAnsi="Times New Roman" w:cs="Times New Roman"/>
                <w:sz w:val="26"/>
                <w:szCs w:val="26"/>
              </w:rPr>
              <w:footnoteReference w:id="8"/>
            </w:r>
          </w:p>
          <w:p w:rsidR="001925D9" w:rsidRPr="005337B3" w:rsidRDefault="001925D9" w:rsidP="005337B3">
            <w:pPr>
              <w:numPr>
                <w:ilvl w:val="0"/>
                <w:numId w:val="6"/>
              </w:numPr>
              <w:spacing w:before="120" w:after="120" w:line="240" w:lineRule="auto"/>
              <w:ind w:left="523" w:hanging="283"/>
              <w:jc w:val="both"/>
              <w:rPr>
                <w:rFonts w:ascii="Times New Roman" w:hAnsi="Times New Roman" w:cs="Times New Roman"/>
                <w:bCs/>
                <w:sz w:val="26"/>
                <w:szCs w:val="26"/>
              </w:rPr>
            </w:pPr>
            <w:r w:rsidRPr="005337B3">
              <w:rPr>
                <w:rFonts w:ascii="Times New Roman" w:hAnsi="Times New Roman" w:cs="Times New Roman"/>
                <w:bCs/>
                <w:sz w:val="26"/>
                <w:szCs w:val="26"/>
              </w:rPr>
              <w:t xml:space="preserve">Nodokļu un nodevu ieņēmumi no strādājošo mēneša vidējās darba samaksas Latgales reģionā (2014.gadā) – 272,4 </w:t>
            </w:r>
            <w:r w:rsidRPr="005337B3">
              <w:rPr>
                <w:rFonts w:ascii="Times New Roman" w:hAnsi="Times New Roman" w:cs="Times New Roman"/>
                <w:bCs/>
                <w:i/>
                <w:sz w:val="26"/>
                <w:szCs w:val="26"/>
              </w:rPr>
              <w:t>euro</w:t>
            </w:r>
            <w:r w:rsidRPr="005337B3">
              <w:rPr>
                <w:rStyle w:val="FootnoteReference"/>
                <w:rFonts w:ascii="Times New Roman" w:hAnsi="Times New Roman" w:cs="Times New Roman"/>
                <w:bCs/>
                <w:i/>
                <w:sz w:val="26"/>
                <w:szCs w:val="26"/>
              </w:rPr>
              <w:footnoteReference w:id="9"/>
            </w:r>
            <w:r w:rsidRPr="005337B3">
              <w:rPr>
                <w:rFonts w:ascii="Times New Roman" w:hAnsi="Times New Roman" w:cs="Times New Roman"/>
                <w:bCs/>
                <w:i/>
                <w:sz w:val="26"/>
                <w:szCs w:val="26"/>
              </w:rPr>
              <w:t>.</w:t>
            </w:r>
          </w:p>
          <w:p w:rsidR="00C574C3" w:rsidRPr="0061495F" w:rsidRDefault="001925D9">
            <w:pPr>
              <w:spacing w:before="120" w:after="120" w:line="240" w:lineRule="auto"/>
              <w:jc w:val="both"/>
              <w:rPr>
                <w:sz w:val="28"/>
                <w:szCs w:val="28"/>
              </w:rPr>
            </w:pPr>
            <w:r w:rsidRPr="0061495F">
              <w:rPr>
                <w:rFonts w:ascii="Times New Roman" w:hAnsi="Times New Roman" w:cs="Times New Roman"/>
                <w:sz w:val="26"/>
                <w:szCs w:val="26"/>
              </w:rPr>
              <w:t>Aprēķins balstīts uz LUC sniegtajiem datiem: 2013.gadā tika radītas 23 jaunas darba vietas, 2014.gadā - 28 darba vietas. Tādējādi tiek pieņemts, ka katrā nākamajā gadā tiks radīts par 5 jaunām darba vietām vairāk nekā iepriekšējā gadā, attiecīgi 2015.gadā - 33; 2016.gadā - 38; 2017.gadā – 43 un 2018.gada - 48 darba vietas.</w:t>
            </w:r>
            <w:r w:rsidR="00E26C15" w:rsidRPr="0061495F">
              <w:rPr>
                <w:rFonts w:ascii="Times New Roman" w:hAnsi="Times New Roman" w:cs="Times New Roman"/>
                <w:sz w:val="26"/>
                <w:szCs w:val="26"/>
              </w:rPr>
              <w:t xml:space="preserve"> </w:t>
            </w:r>
          </w:p>
          <w:p w:rsidR="00C574C3" w:rsidRPr="0061495F" w:rsidRDefault="001925D9">
            <w:pPr>
              <w:tabs>
                <w:tab w:val="left" w:pos="3660"/>
              </w:tabs>
              <w:spacing w:before="120" w:after="120" w:line="240" w:lineRule="auto"/>
              <w:jc w:val="both"/>
              <w:rPr>
                <w:rFonts w:ascii="Times New Roman" w:hAnsi="Times New Roman" w:cs="Times New Roman"/>
                <w:sz w:val="26"/>
                <w:szCs w:val="26"/>
              </w:rPr>
            </w:pPr>
            <w:r w:rsidRPr="0061495F">
              <w:rPr>
                <w:rFonts w:ascii="Times New Roman" w:hAnsi="Times New Roman" w:cs="Times New Roman"/>
                <w:sz w:val="26"/>
                <w:szCs w:val="26"/>
              </w:rPr>
              <w:t>Izanalizējot ekonomisko ietekmi uz valsts budžetu, tiek secināts, ka kopš LUC ir uzsācis darbību - Latgales reģionā ir samazinājies bezdarba līmenis un tiek prognozēts samazinājums arī turpmāk, kā arī tiek radīti jauni ieņēmum</w:t>
            </w:r>
            <w:r w:rsidR="00E26C15" w:rsidRPr="0061495F">
              <w:rPr>
                <w:rFonts w:ascii="Times New Roman" w:hAnsi="Times New Roman" w:cs="Times New Roman"/>
                <w:sz w:val="26"/>
                <w:szCs w:val="26"/>
              </w:rPr>
              <w:t xml:space="preserve">i valsts budžetā </w:t>
            </w:r>
            <w:r w:rsidRPr="0061495F">
              <w:rPr>
                <w:rFonts w:ascii="Times New Roman" w:hAnsi="Times New Roman" w:cs="Times New Roman"/>
                <w:sz w:val="26"/>
                <w:szCs w:val="26"/>
              </w:rPr>
              <w:t>.</w:t>
            </w:r>
          </w:p>
          <w:p w:rsidR="00C574C3" w:rsidRPr="0061495F" w:rsidRDefault="00E26C15">
            <w:pPr>
              <w:tabs>
                <w:tab w:val="left" w:pos="3660"/>
              </w:tabs>
              <w:spacing w:before="120" w:after="120" w:line="240" w:lineRule="auto"/>
              <w:jc w:val="both"/>
              <w:rPr>
                <w:rFonts w:ascii="Times New Roman" w:hAnsi="Times New Roman" w:cs="Times New Roman"/>
                <w:sz w:val="26"/>
                <w:szCs w:val="26"/>
              </w:rPr>
            </w:pPr>
            <w:r w:rsidRPr="0061495F">
              <w:rPr>
                <w:rFonts w:ascii="Times New Roman" w:hAnsi="Times New Roman" w:cs="Times New Roman"/>
                <w:sz w:val="26"/>
                <w:szCs w:val="26"/>
              </w:rPr>
              <w:t>Ekonomiskā ietekme tika aprēķināta par 2014.</w:t>
            </w:r>
            <w:r w:rsidR="002B28BD" w:rsidRPr="0061495F">
              <w:rPr>
                <w:rFonts w:ascii="Times New Roman" w:hAnsi="Times New Roman" w:cs="Times New Roman"/>
                <w:sz w:val="26"/>
                <w:szCs w:val="26"/>
              </w:rPr>
              <w:t xml:space="preserve">gadu </w:t>
            </w:r>
            <w:r w:rsidRPr="0061495F">
              <w:rPr>
                <w:rFonts w:ascii="Times New Roman" w:hAnsi="Times New Roman" w:cs="Times New Roman"/>
                <w:sz w:val="26"/>
                <w:szCs w:val="26"/>
              </w:rPr>
              <w:t>gadu un prognozes veiktas līdz 2018.gadam:</w:t>
            </w:r>
          </w:p>
          <w:tbl>
            <w:tblPr>
              <w:tblStyle w:val="TableGrid"/>
              <w:tblW w:w="5000" w:type="pct"/>
              <w:tblLayout w:type="fixed"/>
              <w:tblLook w:val="04A0"/>
            </w:tblPr>
            <w:tblGrid>
              <w:gridCol w:w="1546"/>
              <w:gridCol w:w="3720"/>
              <w:gridCol w:w="1498"/>
            </w:tblGrid>
            <w:tr w:rsidR="00E26C15" w:rsidRPr="005337B3" w:rsidTr="00E93022">
              <w:tc>
                <w:tcPr>
                  <w:tcW w:w="1143" w:type="pct"/>
                </w:tcPr>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Pr>
                      <w:rFonts w:ascii="Times New Roman" w:hAnsi="Times New Roman" w:cs="Times New Roman"/>
                      <w:sz w:val="20"/>
                      <w:szCs w:val="20"/>
                    </w:rPr>
                    <w:t>Gads</w:t>
                  </w:r>
                </w:p>
              </w:tc>
              <w:tc>
                <w:tcPr>
                  <w:tcW w:w="2750" w:type="pct"/>
                </w:tcPr>
                <w:p w:rsidR="00E26C15" w:rsidRPr="005337B3" w:rsidRDefault="00E26C15" w:rsidP="00085ABE">
                  <w:pPr>
                    <w:tabs>
                      <w:tab w:val="left" w:pos="3660"/>
                    </w:tabs>
                    <w:spacing w:before="120"/>
                    <w:ind w:firstLine="459"/>
                    <w:jc w:val="center"/>
                    <w:rPr>
                      <w:rFonts w:ascii="Times New Roman" w:hAnsi="Times New Roman" w:cs="Times New Roman"/>
                      <w:sz w:val="20"/>
                      <w:szCs w:val="20"/>
                    </w:rPr>
                  </w:pPr>
                  <w:r w:rsidRPr="005337B3">
                    <w:rPr>
                      <w:rFonts w:ascii="Times New Roman" w:hAnsi="Times New Roman" w:cs="Times New Roman"/>
                      <w:sz w:val="20"/>
                      <w:szCs w:val="20"/>
                    </w:rPr>
                    <w:t>Formulas aprēķins (Ietaupītais bezdarbnieku pabalsts+ papildu nodokļu ieņēmumi)-LUC administratīvās izmaksas</w:t>
                  </w:r>
                </w:p>
              </w:tc>
              <w:tc>
                <w:tcPr>
                  <w:tcW w:w="1107" w:type="pct"/>
                </w:tcPr>
                <w:p w:rsidR="00E26C15" w:rsidRPr="005337B3" w:rsidRDefault="00E26C15" w:rsidP="00085ABE">
                  <w:pPr>
                    <w:tabs>
                      <w:tab w:val="left" w:pos="3660"/>
                    </w:tabs>
                    <w:spacing w:before="120"/>
                    <w:ind w:firstLine="33"/>
                    <w:jc w:val="center"/>
                    <w:rPr>
                      <w:rFonts w:ascii="Times New Roman" w:hAnsi="Times New Roman" w:cs="Times New Roman"/>
                      <w:sz w:val="20"/>
                      <w:szCs w:val="20"/>
                    </w:rPr>
                  </w:pPr>
                  <w:r w:rsidRPr="005337B3">
                    <w:rPr>
                      <w:rFonts w:ascii="Times New Roman" w:hAnsi="Times New Roman" w:cs="Times New Roman"/>
                      <w:sz w:val="20"/>
                      <w:szCs w:val="20"/>
                    </w:rPr>
                    <w:t>Ekonomiskā ietekme</w:t>
                  </w:r>
                </w:p>
              </w:tc>
            </w:tr>
            <w:tr w:rsidR="00E26C15" w:rsidRPr="005337B3" w:rsidTr="00E93022">
              <w:tc>
                <w:tcPr>
                  <w:tcW w:w="1143" w:type="pct"/>
                </w:tcPr>
                <w:p w:rsidR="00E26C15" w:rsidRPr="005337B3" w:rsidRDefault="00E26C15" w:rsidP="00085ABE">
                  <w:pPr>
                    <w:tabs>
                      <w:tab w:val="left" w:pos="3660"/>
                    </w:tabs>
                    <w:jc w:val="center"/>
                    <w:rPr>
                      <w:rFonts w:ascii="Times New Roman" w:hAnsi="Times New Roman" w:cs="Times New Roman"/>
                      <w:sz w:val="20"/>
                      <w:szCs w:val="20"/>
                    </w:rPr>
                  </w:pPr>
                  <w:r w:rsidRPr="005337B3">
                    <w:rPr>
                      <w:rFonts w:ascii="Times New Roman" w:hAnsi="Times New Roman" w:cs="Times New Roman"/>
                      <w:sz w:val="20"/>
                      <w:szCs w:val="20"/>
                    </w:rPr>
                    <w:t>2013</w:t>
                  </w:r>
                </w:p>
              </w:tc>
              <w:tc>
                <w:tcPr>
                  <w:tcW w:w="2750" w:type="pct"/>
                </w:tcPr>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sidDel="00D005FD">
                    <w:rPr>
                      <w:rFonts w:ascii="Times New Roman" w:hAnsi="Times New Roman" w:cs="Times New Roman"/>
                      <w:sz w:val="20"/>
                      <w:szCs w:val="20"/>
                    </w:rPr>
                    <w:t xml:space="preserve"> </w:t>
                  </w:r>
                  <w:r w:rsidRPr="005337B3">
                    <w:rPr>
                      <w:rFonts w:ascii="Times New Roman" w:hAnsi="Times New Roman" w:cs="Times New Roman"/>
                      <w:sz w:val="20"/>
                      <w:szCs w:val="20"/>
                    </w:rPr>
                    <w:t>(20 009 + 72 202) – 71 000</w:t>
                  </w:r>
                </w:p>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Pr>
                      <w:rFonts w:ascii="Times New Roman" w:hAnsi="Times New Roman" w:cs="Times New Roman"/>
                      <w:sz w:val="20"/>
                      <w:szCs w:val="20"/>
                    </w:rPr>
                    <w:t>(23*12*197*0,368+23*12*261,6) -71 000</w:t>
                  </w:r>
                </w:p>
              </w:tc>
              <w:tc>
                <w:tcPr>
                  <w:tcW w:w="1107" w:type="pct"/>
                </w:tcPr>
                <w:p w:rsidR="00E26C15" w:rsidRPr="005337B3" w:rsidRDefault="00E26C15" w:rsidP="00085ABE">
                  <w:pPr>
                    <w:jc w:val="center"/>
                    <w:rPr>
                      <w:rFonts w:ascii="Times New Roman" w:eastAsia="Times New Roman" w:hAnsi="Times New Roman" w:cs="Times New Roman"/>
                      <w:b/>
                      <w:sz w:val="20"/>
                      <w:szCs w:val="20"/>
                      <w:lang w:eastAsia="lv-LV"/>
                    </w:rPr>
                  </w:pPr>
                </w:p>
                <w:p w:rsidR="00E26C15" w:rsidRPr="005337B3" w:rsidRDefault="00E26C15" w:rsidP="00085ABE">
                  <w:pPr>
                    <w:jc w:val="center"/>
                    <w:rPr>
                      <w:rFonts w:ascii="Times New Roman" w:hAnsi="Times New Roman" w:cs="Times New Roman"/>
                      <w:sz w:val="20"/>
                      <w:szCs w:val="20"/>
                      <w:lang w:eastAsia="lv-LV"/>
                    </w:rPr>
                  </w:pPr>
                  <w:r w:rsidRPr="005337B3">
                    <w:rPr>
                      <w:rFonts w:ascii="Times New Roman" w:eastAsia="Times New Roman" w:hAnsi="Times New Roman" w:cs="Times New Roman"/>
                      <w:b/>
                      <w:sz w:val="20"/>
                      <w:szCs w:val="20"/>
                      <w:lang w:eastAsia="lv-LV"/>
                    </w:rPr>
                    <w:t>21 211</w:t>
                  </w:r>
                </w:p>
              </w:tc>
            </w:tr>
            <w:tr w:rsidR="00E26C15" w:rsidRPr="005337B3" w:rsidTr="00E93022">
              <w:tc>
                <w:tcPr>
                  <w:tcW w:w="1143" w:type="pct"/>
                </w:tcPr>
                <w:p w:rsidR="00E26C15" w:rsidRPr="005337B3" w:rsidRDefault="00E26C15" w:rsidP="00085ABE">
                  <w:pPr>
                    <w:tabs>
                      <w:tab w:val="left" w:pos="3660"/>
                    </w:tabs>
                    <w:jc w:val="center"/>
                    <w:rPr>
                      <w:rFonts w:ascii="Times New Roman" w:hAnsi="Times New Roman" w:cs="Times New Roman"/>
                      <w:sz w:val="20"/>
                      <w:szCs w:val="20"/>
                    </w:rPr>
                  </w:pPr>
                  <w:r w:rsidRPr="005337B3">
                    <w:rPr>
                      <w:rFonts w:ascii="Times New Roman" w:hAnsi="Times New Roman" w:cs="Times New Roman"/>
                      <w:sz w:val="20"/>
                      <w:szCs w:val="20"/>
                    </w:rPr>
                    <w:t xml:space="preserve">2014 </w:t>
                  </w:r>
                </w:p>
              </w:tc>
              <w:tc>
                <w:tcPr>
                  <w:tcW w:w="2750" w:type="pct"/>
                </w:tcPr>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sidDel="005A2745">
                    <w:rPr>
                      <w:rFonts w:ascii="Times New Roman" w:hAnsi="Times New Roman" w:cs="Times New Roman"/>
                      <w:sz w:val="20"/>
                      <w:szCs w:val="20"/>
                    </w:rPr>
                    <w:t xml:space="preserve"> </w:t>
                  </w:r>
                  <w:r w:rsidRPr="005337B3">
                    <w:rPr>
                      <w:rFonts w:ascii="Times New Roman" w:hAnsi="Times New Roman" w:cs="Times New Roman"/>
                      <w:sz w:val="20"/>
                      <w:szCs w:val="20"/>
                    </w:rPr>
                    <w:t>(24 359 + 91 540) – 71 000</w:t>
                  </w:r>
                </w:p>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Pr>
                      <w:rFonts w:ascii="Times New Roman" w:hAnsi="Times New Roman" w:cs="Times New Roman"/>
                      <w:sz w:val="20"/>
                      <w:szCs w:val="20"/>
                    </w:rPr>
                    <w:t>(28*12*197*0,368+28*12*272,4) -71 000</w:t>
                  </w:r>
                </w:p>
              </w:tc>
              <w:tc>
                <w:tcPr>
                  <w:tcW w:w="1107" w:type="pct"/>
                </w:tcPr>
                <w:p w:rsidR="00E26C15" w:rsidRPr="005337B3" w:rsidRDefault="00E26C15" w:rsidP="00085ABE">
                  <w:pPr>
                    <w:tabs>
                      <w:tab w:val="left" w:pos="3660"/>
                    </w:tabs>
                    <w:spacing w:before="120"/>
                    <w:ind w:firstLine="33"/>
                    <w:jc w:val="center"/>
                    <w:rPr>
                      <w:rFonts w:ascii="Times New Roman" w:eastAsia="Times New Roman" w:hAnsi="Times New Roman" w:cs="Times New Roman"/>
                      <w:b/>
                      <w:sz w:val="20"/>
                      <w:szCs w:val="20"/>
                      <w:lang w:eastAsia="lv-LV"/>
                    </w:rPr>
                  </w:pPr>
                  <w:r w:rsidRPr="005337B3">
                    <w:rPr>
                      <w:rFonts w:ascii="Times New Roman" w:eastAsia="Times New Roman" w:hAnsi="Times New Roman" w:cs="Times New Roman"/>
                      <w:b/>
                      <w:sz w:val="20"/>
                      <w:szCs w:val="20"/>
                      <w:lang w:eastAsia="lv-LV"/>
                    </w:rPr>
                    <w:t> 44 899</w:t>
                  </w:r>
                </w:p>
                <w:p w:rsidR="00E26C15" w:rsidRPr="005337B3" w:rsidRDefault="00E26C15" w:rsidP="00085ABE">
                  <w:pPr>
                    <w:tabs>
                      <w:tab w:val="left" w:pos="3660"/>
                    </w:tabs>
                    <w:spacing w:before="120"/>
                    <w:rPr>
                      <w:rFonts w:ascii="Times New Roman" w:hAnsi="Times New Roman" w:cs="Times New Roman"/>
                      <w:b/>
                      <w:sz w:val="20"/>
                      <w:szCs w:val="20"/>
                    </w:rPr>
                  </w:pPr>
                </w:p>
              </w:tc>
            </w:tr>
            <w:tr w:rsidR="00E26C15" w:rsidRPr="005337B3" w:rsidTr="00E93022">
              <w:tc>
                <w:tcPr>
                  <w:tcW w:w="1143" w:type="pct"/>
                </w:tcPr>
                <w:p w:rsidR="00E26C15" w:rsidRPr="005337B3" w:rsidRDefault="00E26C15" w:rsidP="00085ABE">
                  <w:pPr>
                    <w:tabs>
                      <w:tab w:val="left" w:pos="3660"/>
                    </w:tabs>
                    <w:jc w:val="center"/>
                    <w:rPr>
                      <w:rFonts w:ascii="Times New Roman" w:hAnsi="Times New Roman" w:cs="Times New Roman"/>
                      <w:sz w:val="20"/>
                      <w:szCs w:val="20"/>
                    </w:rPr>
                  </w:pPr>
                  <w:r w:rsidRPr="005337B3">
                    <w:rPr>
                      <w:rFonts w:ascii="Times New Roman" w:hAnsi="Times New Roman" w:cs="Times New Roman"/>
                      <w:sz w:val="20"/>
                      <w:szCs w:val="20"/>
                    </w:rPr>
                    <w:t>2015 (Provizoriski)</w:t>
                  </w:r>
                </w:p>
              </w:tc>
              <w:tc>
                <w:tcPr>
                  <w:tcW w:w="2750" w:type="pct"/>
                </w:tcPr>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sidDel="005A2745">
                    <w:rPr>
                      <w:rFonts w:ascii="Times New Roman" w:hAnsi="Times New Roman" w:cs="Times New Roman"/>
                      <w:sz w:val="20"/>
                      <w:szCs w:val="20"/>
                    </w:rPr>
                    <w:t xml:space="preserve"> </w:t>
                  </w:r>
                  <w:r w:rsidRPr="005337B3">
                    <w:rPr>
                      <w:rFonts w:ascii="Times New Roman" w:hAnsi="Times New Roman" w:cs="Times New Roman"/>
                      <w:sz w:val="20"/>
                      <w:szCs w:val="20"/>
                    </w:rPr>
                    <w:t>(28 708 + 106 330) – 71 000</w:t>
                  </w:r>
                </w:p>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Pr>
                      <w:rFonts w:ascii="Times New Roman" w:hAnsi="Times New Roman" w:cs="Times New Roman"/>
                      <w:sz w:val="20"/>
                      <w:szCs w:val="20"/>
                    </w:rPr>
                    <w:t>(33*12*197*0,368+33*12*268,5) -71 000</w:t>
                  </w:r>
                </w:p>
              </w:tc>
              <w:tc>
                <w:tcPr>
                  <w:tcW w:w="1107" w:type="pct"/>
                </w:tcPr>
                <w:p w:rsidR="00E26C15" w:rsidRPr="005337B3" w:rsidRDefault="00E26C15" w:rsidP="00085ABE">
                  <w:pPr>
                    <w:tabs>
                      <w:tab w:val="left" w:pos="3660"/>
                    </w:tabs>
                    <w:spacing w:before="120"/>
                    <w:ind w:firstLine="33"/>
                    <w:jc w:val="center"/>
                    <w:rPr>
                      <w:rFonts w:ascii="Times New Roman" w:eastAsia="Times New Roman" w:hAnsi="Times New Roman" w:cs="Times New Roman"/>
                      <w:b/>
                      <w:sz w:val="20"/>
                      <w:szCs w:val="20"/>
                      <w:lang w:eastAsia="lv-LV"/>
                    </w:rPr>
                  </w:pPr>
                  <w:r w:rsidRPr="005337B3">
                    <w:rPr>
                      <w:rFonts w:ascii="Times New Roman" w:eastAsia="Times New Roman" w:hAnsi="Times New Roman" w:cs="Times New Roman"/>
                      <w:b/>
                      <w:sz w:val="20"/>
                      <w:szCs w:val="20"/>
                      <w:lang w:eastAsia="lv-LV"/>
                    </w:rPr>
                    <w:t> </w:t>
                  </w:r>
                </w:p>
                <w:p w:rsidR="00E26C15" w:rsidRPr="005337B3" w:rsidRDefault="00E26C15" w:rsidP="00085ABE">
                  <w:pPr>
                    <w:tabs>
                      <w:tab w:val="left" w:pos="3660"/>
                    </w:tabs>
                    <w:spacing w:before="120"/>
                    <w:ind w:firstLine="33"/>
                    <w:jc w:val="center"/>
                    <w:rPr>
                      <w:rFonts w:ascii="Times New Roman" w:hAnsi="Times New Roman" w:cs="Times New Roman"/>
                      <w:b/>
                      <w:sz w:val="20"/>
                      <w:szCs w:val="20"/>
                    </w:rPr>
                  </w:pPr>
                  <w:r w:rsidRPr="005337B3">
                    <w:rPr>
                      <w:rFonts w:ascii="Times New Roman" w:eastAsia="Times New Roman" w:hAnsi="Times New Roman" w:cs="Times New Roman"/>
                      <w:b/>
                      <w:sz w:val="20"/>
                      <w:szCs w:val="20"/>
                      <w:lang w:eastAsia="lv-LV"/>
                    </w:rPr>
                    <w:t>64 038</w:t>
                  </w:r>
                </w:p>
              </w:tc>
            </w:tr>
            <w:tr w:rsidR="00E26C15" w:rsidRPr="005337B3" w:rsidTr="00E93022">
              <w:tc>
                <w:tcPr>
                  <w:tcW w:w="1143" w:type="pct"/>
                </w:tcPr>
                <w:p w:rsidR="00E26C15" w:rsidRPr="005337B3" w:rsidRDefault="00E26C15" w:rsidP="00085ABE">
                  <w:pPr>
                    <w:tabs>
                      <w:tab w:val="left" w:pos="3660"/>
                    </w:tabs>
                    <w:jc w:val="center"/>
                    <w:rPr>
                      <w:rFonts w:ascii="Times New Roman" w:hAnsi="Times New Roman" w:cs="Times New Roman"/>
                      <w:sz w:val="20"/>
                      <w:szCs w:val="20"/>
                    </w:rPr>
                  </w:pPr>
                  <w:r w:rsidRPr="005337B3">
                    <w:rPr>
                      <w:rFonts w:ascii="Times New Roman" w:hAnsi="Times New Roman" w:cs="Times New Roman"/>
                      <w:sz w:val="20"/>
                      <w:szCs w:val="20"/>
                    </w:rPr>
                    <w:t>2016 (Provizoriski)</w:t>
                  </w:r>
                </w:p>
              </w:tc>
              <w:tc>
                <w:tcPr>
                  <w:tcW w:w="2750" w:type="pct"/>
                </w:tcPr>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sidDel="005A2745">
                    <w:rPr>
                      <w:rFonts w:ascii="Times New Roman" w:hAnsi="Times New Roman" w:cs="Times New Roman"/>
                      <w:sz w:val="20"/>
                      <w:szCs w:val="20"/>
                    </w:rPr>
                    <w:t xml:space="preserve"> </w:t>
                  </w:r>
                  <w:r w:rsidRPr="005337B3">
                    <w:rPr>
                      <w:rFonts w:ascii="Times New Roman" w:hAnsi="Times New Roman" w:cs="Times New Roman"/>
                      <w:sz w:val="20"/>
                      <w:szCs w:val="20"/>
                    </w:rPr>
                    <w:t>(33 058 + 120 653) – 71 000</w:t>
                  </w:r>
                </w:p>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Pr>
                      <w:rFonts w:ascii="Times New Roman" w:hAnsi="Times New Roman" w:cs="Times New Roman"/>
                      <w:sz w:val="20"/>
                      <w:szCs w:val="20"/>
                    </w:rPr>
                    <w:t>(38*12*197*0,368+38*12*264,6) -71 000</w:t>
                  </w:r>
                </w:p>
              </w:tc>
              <w:tc>
                <w:tcPr>
                  <w:tcW w:w="1107" w:type="pct"/>
                </w:tcPr>
                <w:p w:rsidR="00E26C15" w:rsidRPr="005337B3" w:rsidRDefault="00E26C15" w:rsidP="00085ABE">
                  <w:pPr>
                    <w:tabs>
                      <w:tab w:val="left" w:pos="3660"/>
                    </w:tabs>
                    <w:spacing w:before="120"/>
                    <w:ind w:firstLine="33"/>
                    <w:jc w:val="center"/>
                    <w:rPr>
                      <w:rFonts w:ascii="Times New Roman" w:eastAsia="Times New Roman" w:hAnsi="Times New Roman" w:cs="Times New Roman"/>
                      <w:b/>
                      <w:sz w:val="20"/>
                      <w:szCs w:val="20"/>
                      <w:lang w:eastAsia="lv-LV"/>
                    </w:rPr>
                  </w:pPr>
                  <w:r w:rsidRPr="005337B3">
                    <w:rPr>
                      <w:rFonts w:ascii="Times New Roman" w:eastAsia="Times New Roman" w:hAnsi="Times New Roman" w:cs="Times New Roman"/>
                      <w:b/>
                      <w:sz w:val="20"/>
                      <w:szCs w:val="20"/>
                      <w:lang w:eastAsia="lv-LV"/>
                    </w:rPr>
                    <w:t> 82 711</w:t>
                  </w:r>
                </w:p>
                <w:p w:rsidR="00E26C15" w:rsidRPr="005337B3" w:rsidRDefault="00E26C15" w:rsidP="00085ABE">
                  <w:pPr>
                    <w:tabs>
                      <w:tab w:val="left" w:pos="3660"/>
                    </w:tabs>
                    <w:spacing w:before="120"/>
                    <w:ind w:firstLine="33"/>
                    <w:jc w:val="center"/>
                    <w:rPr>
                      <w:rFonts w:ascii="Times New Roman" w:hAnsi="Times New Roman" w:cs="Times New Roman"/>
                      <w:b/>
                      <w:sz w:val="20"/>
                      <w:szCs w:val="20"/>
                    </w:rPr>
                  </w:pPr>
                </w:p>
              </w:tc>
            </w:tr>
            <w:tr w:rsidR="00E26C15" w:rsidRPr="005337B3" w:rsidTr="00E93022">
              <w:tc>
                <w:tcPr>
                  <w:tcW w:w="1143" w:type="pct"/>
                </w:tcPr>
                <w:p w:rsidR="00E26C15" w:rsidRPr="005337B3" w:rsidRDefault="00E26C15" w:rsidP="00085ABE">
                  <w:pPr>
                    <w:tabs>
                      <w:tab w:val="left" w:pos="3660"/>
                    </w:tabs>
                    <w:jc w:val="center"/>
                    <w:rPr>
                      <w:rFonts w:ascii="Times New Roman" w:hAnsi="Times New Roman" w:cs="Times New Roman"/>
                      <w:sz w:val="20"/>
                      <w:szCs w:val="20"/>
                    </w:rPr>
                  </w:pPr>
                  <w:r w:rsidRPr="005337B3">
                    <w:rPr>
                      <w:rFonts w:ascii="Times New Roman" w:hAnsi="Times New Roman" w:cs="Times New Roman"/>
                      <w:sz w:val="20"/>
                      <w:szCs w:val="20"/>
                    </w:rPr>
                    <w:t>2017 (Provizoriski)</w:t>
                  </w:r>
                </w:p>
              </w:tc>
              <w:tc>
                <w:tcPr>
                  <w:tcW w:w="2750" w:type="pct"/>
                </w:tcPr>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sidDel="005A2745">
                    <w:rPr>
                      <w:rFonts w:ascii="Times New Roman" w:hAnsi="Times New Roman" w:cs="Times New Roman"/>
                      <w:sz w:val="20"/>
                      <w:szCs w:val="20"/>
                    </w:rPr>
                    <w:t xml:space="preserve"> </w:t>
                  </w:r>
                  <w:r w:rsidRPr="005337B3">
                    <w:rPr>
                      <w:rFonts w:ascii="Times New Roman" w:hAnsi="Times New Roman" w:cs="Times New Roman"/>
                      <w:sz w:val="20"/>
                      <w:szCs w:val="20"/>
                    </w:rPr>
                    <w:t>(37 408 + 136 528) – 71 000</w:t>
                  </w:r>
                </w:p>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Pr>
                      <w:rFonts w:ascii="Times New Roman" w:hAnsi="Times New Roman" w:cs="Times New Roman"/>
                      <w:sz w:val="20"/>
                      <w:szCs w:val="20"/>
                    </w:rPr>
                    <w:t>(43*12*197*0,368+43*12*264,6) -71 000</w:t>
                  </w:r>
                </w:p>
              </w:tc>
              <w:tc>
                <w:tcPr>
                  <w:tcW w:w="1107" w:type="pct"/>
                  <w:vAlign w:val="center"/>
                </w:tcPr>
                <w:p w:rsidR="00E26C15" w:rsidRPr="005337B3" w:rsidRDefault="00E26C15" w:rsidP="00085ABE">
                  <w:pPr>
                    <w:jc w:val="center"/>
                    <w:rPr>
                      <w:rFonts w:ascii="Times New Roman" w:eastAsia="Times New Roman" w:hAnsi="Times New Roman" w:cs="Times New Roman"/>
                      <w:b/>
                      <w:sz w:val="20"/>
                      <w:szCs w:val="20"/>
                      <w:lang w:eastAsia="lv-LV"/>
                    </w:rPr>
                  </w:pPr>
                  <w:r w:rsidRPr="005337B3">
                    <w:rPr>
                      <w:rFonts w:ascii="Times New Roman" w:eastAsia="Times New Roman" w:hAnsi="Times New Roman" w:cs="Times New Roman"/>
                      <w:b/>
                      <w:sz w:val="20"/>
                      <w:szCs w:val="20"/>
                      <w:lang w:eastAsia="lv-LV"/>
                    </w:rPr>
                    <w:t>102 936</w:t>
                  </w:r>
                </w:p>
              </w:tc>
            </w:tr>
            <w:tr w:rsidR="00E26C15" w:rsidRPr="005337B3" w:rsidTr="00E93022">
              <w:tc>
                <w:tcPr>
                  <w:tcW w:w="1143" w:type="pct"/>
                </w:tcPr>
                <w:p w:rsidR="00E26C15" w:rsidRPr="005337B3" w:rsidRDefault="00E26C15" w:rsidP="00085ABE">
                  <w:pPr>
                    <w:tabs>
                      <w:tab w:val="left" w:pos="3660"/>
                    </w:tabs>
                    <w:jc w:val="center"/>
                    <w:rPr>
                      <w:rFonts w:ascii="Times New Roman" w:hAnsi="Times New Roman" w:cs="Times New Roman"/>
                      <w:sz w:val="20"/>
                      <w:szCs w:val="20"/>
                    </w:rPr>
                  </w:pPr>
                  <w:r w:rsidRPr="005337B3">
                    <w:rPr>
                      <w:rFonts w:ascii="Times New Roman" w:hAnsi="Times New Roman" w:cs="Times New Roman"/>
                      <w:sz w:val="20"/>
                      <w:szCs w:val="20"/>
                    </w:rPr>
                    <w:t>2018 (Provizoriski)</w:t>
                  </w:r>
                </w:p>
              </w:tc>
              <w:tc>
                <w:tcPr>
                  <w:tcW w:w="2750" w:type="pct"/>
                </w:tcPr>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sidDel="005A2745">
                    <w:rPr>
                      <w:rFonts w:ascii="Times New Roman" w:hAnsi="Times New Roman" w:cs="Times New Roman"/>
                      <w:sz w:val="20"/>
                      <w:szCs w:val="20"/>
                    </w:rPr>
                    <w:t xml:space="preserve"> </w:t>
                  </w:r>
                  <w:r w:rsidRPr="005337B3">
                    <w:rPr>
                      <w:rFonts w:ascii="Times New Roman" w:hAnsi="Times New Roman" w:cs="Times New Roman"/>
                      <w:sz w:val="20"/>
                      <w:szCs w:val="20"/>
                    </w:rPr>
                    <w:t>(41 758 + 152 404) – 71 000</w:t>
                  </w:r>
                </w:p>
                <w:p w:rsidR="00E26C15" w:rsidRPr="005337B3" w:rsidRDefault="00E26C15" w:rsidP="00085ABE">
                  <w:pPr>
                    <w:tabs>
                      <w:tab w:val="left" w:pos="3660"/>
                    </w:tabs>
                    <w:spacing w:before="120"/>
                    <w:jc w:val="center"/>
                    <w:rPr>
                      <w:rFonts w:ascii="Times New Roman" w:hAnsi="Times New Roman" w:cs="Times New Roman"/>
                      <w:sz w:val="20"/>
                      <w:szCs w:val="20"/>
                    </w:rPr>
                  </w:pPr>
                  <w:r w:rsidRPr="005337B3">
                    <w:rPr>
                      <w:rFonts w:ascii="Times New Roman" w:hAnsi="Times New Roman" w:cs="Times New Roman"/>
                      <w:sz w:val="20"/>
                      <w:szCs w:val="20"/>
                    </w:rPr>
                    <w:t>(48*12*197*0,368+48*12*264,6) -71 000</w:t>
                  </w:r>
                </w:p>
              </w:tc>
              <w:tc>
                <w:tcPr>
                  <w:tcW w:w="1107" w:type="pct"/>
                </w:tcPr>
                <w:p w:rsidR="00E26C15" w:rsidRPr="005337B3" w:rsidRDefault="00E26C15" w:rsidP="00085ABE">
                  <w:pPr>
                    <w:tabs>
                      <w:tab w:val="left" w:pos="3660"/>
                    </w:tabs>
                    <w:spacing w:before="120"/>
                    <w:ind w:firstLine="33"/>
                    <w:jc w:val="center"/>
                    <w:rPr>
                      <w:rFonts w:ascii="Times New Roman" w:eastAsia="Times New Roman" w:hAnsi="Times New Roman" w:cs="Times New Roman"/>
                      <w:b/>
                      <w:sz w:val="20"/>
                      <w:szCs w:val="20"/>
                      <w:lang w:eastAsia="lv-LV"/>
                    </w:rPr>
                  </w:pPr>
                  <w:r w:rsidRPr="005337B3">
                    <w:rPr>
                      <w:rFonts w:ascii="Times New Roman" w:eastAsia="Times New Roman" w:hAnsi="Times New Roman" w:cs="Times New Roman"/>
                      <w:b/>
                      <w:sz w:val="20"/>
                      <w:szCs w:val="20"/>
                      <w:lang w:eastAsia="lv-LV"/>
                    </w:rPr>
                    <w:t> </w:t>
                  </w:r>
                </w:p>
                <w:p w:rsidR="00E26C15" w:rsidRPr="005337B3" w:rsidRDefault="00E26C15" w:rsidP="00085ABE">
                  <w:pPr>
                    <w:tabs>
                      <w:tab w:val="left" w:pos="3660"/>
                    </w:tabs>
                    <w:spacing w:before="120"/>
                    <w:ind w:firstLine="33"/>
                    <w:jc w:val="center"/>
                    <w:rPr>
                      <w:rFonts w:ascii="Times New Roman" w:hAnsi="Times New Roman" w:cs="Times New Roman"/>
                      <w:b/>
                      <w:sz w:val="20"/>
                      <w:szCs w:val="20"/>
                    </w:rPr>
                  </w:pPr>
                  <w:r w:rsidRPr="005337B3">
                    <w:rPr>
                      <w:rFonts w:ascii="Times New Roman" w:eastAsia="Times New Roman" w:hAnsi="Times New Roman" w:cs="Times New Roman"/>
                      <w:b/>
                      <w:sz w:val="20"/>
                      <w:szCs w:val="20"/>
                      <w:lang w:eastAsia="lv-LV"/>
                    </w:rPr>
                    <w:t>123 162</w:t>
                  </w:r>
                </w:p>
              </w:tc>
            </w:tr>
          </w:tbl>
          <w:p w:rsidR="001925D9" w:rsidRPr="0061495F" w:rsidRDefault="00154A71" w:rsidP="001925D9">
            <w:pPr>
              <w:spacing w:after="0" w:line="240" w:lineRule="auto"/>
              <w:jc w:val="both"/>
              <w:rPr>
                <w:rFonts w:ascii="Times New Roman" w:hAnsi="Times New Roman" w:cs="Times New Roman"/>
                <w:sz w:val="26"/>
                <w:szCs w:val="26"/>
              </w:rPr>
            </w:pPr>
            <w:r w:rsidRPr="0061495F">
              <w:rPr>
                <w:rFonts w:ascii="Times New Roman" w:hAnsi="Times New Roman" w:cs="Times New Roman"/>
                <w:sz w:val="26"/>
                <w:szCs w:val="26"/>
              </w:rPr>
              <w:t xml:space="preserve">Kopējā ekonomiskā ietekme uz budžetu par periodu 2013.-2018.gadu būs </w:t>
            </w:r>
            <w:r w:rsidRPr="0061495F">
              <w:rPr>
                <w:rFonts w:ascii="Times New Roman" w:hAnsi="Times New Roman" w:cs="Times New Roman"/>
                <w:b/>
                <w:sz w:val="26"/>
                <w:szCs w:val="26"/>
              </w:rPr>
              <w:t>438 958</w:t>
            </w:r>
            <w:r w:rsidRPr="0061495F">
              <w:rPr>
                <w:rFonts w:ascii="Times New Roman" w:hAnsi="Times New Roman" w:cs="Times New Roman"/>
                <w:sz w:val="26"/>
                <w:szCs w:val="26"/>
              </w:rPr>
              <w:t xml:space="preserve"> euro - starpība, kas rodas no nodokļu ieņēmumiem un bezdarbnieku pabalstiem atņemot LUC administratīvās izmaksas:</w:t>
            </w:r>
          </w:p>
          <w:tbl>
            <w:tblPr>
              <w:tblStyle w:val="TableGrid"/>
              <w:tblW w:w="0" w:type="auto"/>
              <w:tblLayout w:type="fixed"/>
              <w:tblLook w:val="04A0"/>
            </w:tblPr>
            <w:tblGrid>
              <w:gridCol w:w="7376"/>
            </w:tblGrid>
            <w:tr w:rsidR="00154A71" w:rsidRPr="0061495F" w:rsidTr="00E93022">
              <w:tc>
                <w:tcPr>
                  <w:tcW w:w="7376" w:type="dxa"/>
                </w:tcPr>
                <w:p w:rsidR="00154A71" w:rsidRPr="0061495F" w:rsidRDefault="005337B3" w:rsidP="001925D9">
                  <w:pPr>
                    <w:jc w:val="both"/>
                    <w:rPr>
                      <w:rFonts w:ascii="Times New Roman" w:eastAsia="Times New Roman" w:hAnsi="Times New Roman" w:cs="Times New Roman"/>
                      <w:sz w:val="26"/>
                      <w:szCs w:val="26"/>
                      <w:lang w:eastAsia="lv-LV"/>
                    </w:rPr>
                  </w:pPr>
                  <w:r w:rsidRPr="0061495F">
                    <w:rPr>
                      <w:sz w:val="28"/>
                      <w:szCs w:val="28"/>
                    </w:rPr>
                    <w:object w:dxaOrig="8239"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5pt;height:224pt" o:ole="">
                        <v:imagedata r:id="rId9" o:title=""/>
                      </v:shape>
                      <o:OLEObject Type="Embed" ProgID="Excel.Sheet.12" ShapeID="_x0000_i1025" DrawAspect="Content" ObjectID="_1516004201" r:id="rId10"/>
                    </w:object>
                  </w:r>
                </w:p>
              </w:tc>
            </w:tr>
          </w:tbl>
          <w:p w:rsidR="00787103" w:rsidRDefault="00154A71" w:rsidP="00787103">
            <w:pPr>
              <w:spacing w:before="120" w:after="120" w:line="240" w:lineRule="auto"/>
              <w:jc w:val="both"/>
              <w:rPr>
                <w:rFonts w:ascii="Times New Roman" w:hAnsi="Times New Roman" w:cs="Times New Roman"/>
                <w:bCs/>
                <w:sz w:val="26"/>
                <w:szCs w:val="26"/>
              </w:rPr>
            </w:pPr>
            <w:r w:rsidRPr="0061495F">
              <w:rPr>
                <w:rFonts w:ascii="Times New Roman" w:hAnsi="Times New Roman" w:cs="Times New Roman"/>
                <w:bCs/>
                <w:sz w:val="26"/>
                <w:szCs w:val="26"/>
              </w:rPr>
              <w:t>LUC darbojas kā uzņēmējdarbības vides uzlabošanas instruments, kas veicina ekonomisko aktivitāti reģionā, kas ilgtermiņā sekmēs vietējo iedzīvotāju nodarbinātību, sociālās spriedzes mazināšanu, reģiona konkurētspējas paaugstināšanu, tādejādi saglabājot teritoriju dzīvotspēju kopumā.</w:t>
            </w:r>
          </w:p>
          <w:p w:rsidR="00664417" w:rsidRPr="0061495F" w:rsidRDefault="001925D9" w:rsidP="00393B78">
            <w:pPr>
              <w:spacing w:after="0" w:line="240" w:lineRule="auto"/>
              <w:jc w:val="both"/>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 xml:space="preserve">Ietekme uz </w:t>
            </w:r>
            <w:r w:rsidR="00246141" w:rsidRPr="0061495F">
              <w:rPr>
                <w:rFonts w:ascii="Times New Roman" w:eastAsia="Times New Roman" w:hAnsi="Times New Roman" w:cs="Times New Roman"/>
                <w:sz w:val="26"/>
                <w:szCs w:val="26"/>
                <w:lang w:eastAsia="lv-LV"/>
              </w:rPr>
              <w:t>administratīvo slogu</w:t>
            </w:r>
            <w:r w:rsidR="00664417" w:rsidRPr="0061495F">
              <w:rPr>
                <w:rFonts w:ascii="Times New Roman" w:eastAsia="Times New Roman" w:hAnsi="Times New Roman" w:cs="Times New Roman"/>
                <w:sz w:val="26"/>
                <w:szCs w:val="26"/>
                <w:lang w:eastAsia="lv-LV"/>
              </w:rPr>
              <w:t xml:space="preserve"> netiek prognozēta.</w:t>
            </w:r>
          </w:p>
        </w:tc>
      </w:tr>
      <w:tr w:rsidR="00E93022" w:rsidRPr="0061495F" w:rsidTr="00393B78">
        <w:trPr>
          <w:trHeight w:val="510"/>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3.</w:t>
            </w:r>
          </w:p>
        </w:tc>
        <w:tc>
          <w:tcPr>
            <w:tcW w:w="986"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Administratīv</w:t>
            </w:r>
            <w:r w:rsidR="00DD1F07" w:rsidRPr="0061495F">
              <w:rPr>
                <w:rFonts w:ascii="Times New Roman" w:eastAsia="Times New Roman" w:hAnsi="Times New Roman" w:cs="Times New Roman"/>
                <w:sz w:val="26"/>
                <w:szCs w:val="26"/>
                <w:lang w:eastAsia="lv-LV"/>
              </w:rPr>
              <w:t>o</w:t>
            </w:r>
            <w:r w:rsidRPr="0061495F">
              <w:rPr>
                <w:rFonts w:ascii="Times New Roman" w:eastAsia="Times New Roman" w:hAnsi="Times New Roman" w:cs="Times New Roman"/>
                <w:sz w:val="26"/>
                <w:szCs w:val="26"/>
                <w:lang w:eastAsia="lv-LV"/>
              </w:rPr>
              <w:t xml:space="preserve"> izmaksu monetārs novērtējums</w:t>
            </w:r>
          </w:p>
        </w:tc>
        <w:tc>
          <w:tcPr>
            <w:tcW w:w="3707" w:type="pct"/>
            <w:tcBorders>
              <w:top w:val="outset" w:sz="6" w:space="0" w:color="auto"/>
              <w:left w:val="outset" w:sz="6" w:space="0" w:color="auto"/>
              <w:bottom w:val="outset" w:sz="6" w:space="0" w:color="auto"/>
              <w:right w:val="outset" w:sz="6" w:space="0" w:color="auto"/>
            </w:tcBorders>
            <w:hideMark/>
          </w:tcPr>
          <w:p w:rsidR="00664417" w:rsidRPr="0061495F" w:rsidRDefault="00154A71" w:rsidP="00D13A6C">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zh-TW"/>
              </w:rPr>
              <w:t xml:space="preserve">Administratīvās izmaksas tiek plānotas </w:t>
            </w:r>
            <w:r w:rsidR="00D13A6C" w:rsidRPr="0061495F">
              <w:rPr>
                <w:rFonts w:ascii="Times New Roman" w:eastAsia="Times New Roman" w:hAnsi="Times New Roman" w:cs="Times New Roman"/>
                <w:sz w:val="26"/>
                <w:szCs w:val="26"/>
                <w:lang w:eastAsia="zh-TW"/>
              </w:rPr>
              <w:t>esošā finansējuma ietvaros.</w:t>
            </w:r>
          </w:p>
        </w:tc>
      </w:tr>
      <w:tr w:rsidR="00E93022" w:rsidRPr="0061495F" w:rsidTr="00393B78">
        <w:trPr>
          <w:trHeight w:val="34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4.</w:t>
            </w:r>
          </w:p>
        </w:tc>
        <w:tc>
          <w:tcPr>
            <w:tcW w:w="986"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Cita informācija</w:t>
            </w:r>
          </w:p>
        </w:tc>
        <w:tc>
          <w:tcPr>
            <w:tcW w:w="3707"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before="100" w:beforeAutospacing="1" w:after="100" w:afterAutospacing="1" w:line="36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Nav.</w:t>
            </w:r>
          </w:p>
        </w:tc>
      </w:tr>
    </w:tbl>
    <w:p w:rsidR="00664417" w:rsidRPr="0061495F" w:rsidRDefault="00664417" w:rsidP="00664417">
      <w:pPr>
        <w:spacing w:after="0" w:line="240" w:lineRule="auto"/>
        <w:rPr>
          <w:rFonts w:ascii="Times New Roman" w:eastAsia="Times New Roman" w:hAnsi="Times New Roman" w:cs="Times New Roman"/>
          <w:sz w:val="26"/>
          <w:szCs w:val="26"/>
          <w:lang w:eastAsia="lv-LV"/>
        </w:rPr>
      </w:pPr>
    </w:p>
    <w:tbl>
      <w:tblPr>
        <w:tblW w:w="4924"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75"/>
        <w:gridCol w:w="1035"/>
        <w:gridCol w:w="1356"/>
        <w:gridCol w:w="1236"/>
        <w:gridCol w:w="1183"/>
        <w:gridCol w:w="1896"/>
      </w:tblGrid>
      <w:tr w:rsidR="00CE0271" w:rsidRPr="0061495F" w:rsidTr="00B13279">
        <w:trPr>
          <w:trHeight w:val="360"/>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61495F">
              <w:rPr>
                <w:rFonts w:ascii="Times New Roman" w:eastAsia="Times New Roman" w:hAnsi="Times New Roman" w:cs="Times New Roman"/>
                <w:b/>
                <w:bCs/>
                <w:sz w:val="26"/>
                <w:szCs w:val="26"/>
                <w:lang w:eastAsia="lv-LV"/>
              </w:rPr>
              <w:t>III. Tiesību akta projekta ietekme uz valsts budžetu un pašvaldību budžetiem</w:t>
            </w:r>
          </w:p>
        </w:tc>
      </w:tr>
      <w:tr w:rsidR="00CE0271" w:rsidRPr="0061495F" w:rsidTr="00B13279">
        <w:trPr>
          <w:tblCellSpacing w:w="15" w:type="dxa"/>
        </w:trPr>
        <w:tc>
          <w:tcPr>
            <w:tcW w:w="1381" w:type="pct"/>
            <w:vMerge w:val="restar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61495F">
              <w:rPr>
                <w:rFonts w:ascii="Times New Roman" w:eastAsia="Times New Roman" w:hAnsi="Times New Roman" w:cs="Times New Roman"/>
                <w:b/>
                <w:bCs/>
                <w:sz w:val="26"/>
                <w:szCs w:val="26"/>
                <w:lang w:eastAsia="lv-LV"/>
              </w:rPr>
              <w:t>Rādītāji</w:t>
            </w:r>
          </w:p>
        </w:tc>
        <w:tc>
          <w:tcPr>
            <w:tcW w:w="127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E0271" w:rsidRPr="0061495F" w:rsidRDefault="00BF107D"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61495F">
              <w:rPr>
                <w:rFonts w:ascii="Times New Roman" w:eastAsia="Times New Roman" w:hAnsi="Times New Roman" w:cs="Times New Roman"/>
                <w:b/>
                <w:bCs/>
                <w:sz w:val="26"/>
                <w:szCs w:val="26"/>
                <w:lang w:eastAsia="lv-LV"/>
              </w:rPr>
              <w:t>201</w:t>
            </w:r>
            <w:r w:rsidR="00820360">
              <w:rPr>
                <w:rFonts w:ascii="Times New Roman" w:eastAsia="Times New Roman" w:hAnsi="Times New Roman" w:cs="Times New Roman"/>
                <w:b/>
                <w:bCs/>
                <w:sz w:val="26"/>
                <w:szCs w:val="26"/>
                <w:lang w:eastAsia="lv-LV"/>
              </w:rPr>
              <w:t>6</w:t>
            </w:r>
            <w:r w:rsidRPr="0061495F">
              <w:rPr>
                <w:rFonts w:ascii="Times New Roman" w:eastAsia="Times New Roman" w:hAnsi="Times New Roman" w:cs="Times New Roman"/>
                <w:b/>
                <w:bCs/>
                <w:sz w:val="26"/>
                <w:szCs w:val="26"/>
                <w:lang w:eastAsia="lv-LV"/>
              </w:rPr>
              <w:t>.</w:t>
            </w:r>
            <w:r w:rsidR="00CE0271" w:rsidRPr="0061495F">
              <w:rPr>
                <w:rFonts w:ascii="Times New Roman" w:eastAsia="Times New Roman" w:hAnsi="Times New Roman" w:cs="Times New Roman"/>
                <w:b/>
                <w:bCs/>
                <w:sz w:val="26"/>
                <w:szCs w:val="26"/>
                <w:lang w:eastAsia="lv-LV"/>
              </w:rPr>
              <w:t xml:space="preserve"> gads</w:t>
            </w:r>
          </w:p>
        </w:tc>
        <w:tc>
          <w:tcPr>
            <w:tcW w:w="2274" w:type="pct"/>
            <w:gridSpan w:val="3"/>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Turpmākie trīs gadi (</w:t>
            </w:r>
            <w:r w:rsidRPr="0061495F">
              <w:rPr>
                <w:rFonts w:ascii="Times New Roman" w:eastAsia="Times New Roman" w:hAnsi="Times New Roman" w:cs="Times New Roman"/>
                <w:i/>
                <w:iCs/>
                <w:sz w:val="26"/>
                <w:szCs w:val="26"/>
                <w:lang w:eastAsia="lv-LV"/>
              </w:rPr>
              <w:t>euro</w:t>
            </w:r>
            <w:r w:rsidRPr="0061495F">
              <w:rPr>
                <w:rFonts w:ascii="Times New Roman" w:eastAsia="Times New Roman" w:hAnsi="Times New Roman" w:cs="Times New Roman"/>
                <w:sz w:val="26"/>
                <w:szCs w:val="26"/>
                <w:lang w:eastAsia="lv-LV"/>
              </w:rPr>
              <w:t>)</w:t>
            </w:r>
          </w:p>
        </w:tc>
      </w:tr>
      <w:tr w:rsidR="00CE0271" w:rsidRPr="0061495F" w:rsidTr="00B13279">
        <w:trPr>
          <w:tblCellSpacing w:w="15" w:type="dxa"/>
        </w:trPr>
        <w:tc>
          <w:tcPr>
            <w:tcW w:w="1381" w:type="pct"/>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after="0" w:line="240" w:lineRule="auto"/>
              <w:rPr>
                <w:rFonts w:ascii="Times New Roman" w:eastAsia="Times New Roman" w:hAnsi="Times New Roman" w:cs="Times New Roman"/>
                <w:b/>
                <w:bCs/>
                <w:sz w:val="26"/>
                <w:szCs w:val="26"/>
                <w:lang w:eastAsia="lv-LV"/>
              </w:rPr>
            </w:pPr>
          </w:p>
        </w:tc>
        <w:tc>
          <w:tcPr>
            <w:tcW w:w="1278" w:type="pct"/>
            <w:gridSpan w:val="2"/>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after="0" w:line="240" w:lineRule="auto"/>
              <w:rPr>
                <w:rFonts w:ascii="Times New Roman" w:eastAsia="Times New Roman" w:hAnsi="Times New Roman" w:cs="Times New Roman"/>
                <w:b/>
                <w:bCs/>
                <w:sz w:val="26"/>
                <w:szCs w:val="26"/>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BF107D"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61495F">
              <w:rPr>
                <w:rFonts w:ascii="Times New Roman" w:eastAsia="Times New Roman" w:hAnsi="Times New Roman" w:cs="Times New Roman"/>
                <w:b/>
                <w:bCs/>
                <w:sz w:val="26"/>
                <w:szCs w:val="26"/>
                <w:lang w:eastAsia="lv-LV"/>
              </w:rPr>
              <w:t>201</w:t>
            </w:r>
            <w:r w:rsidR="00820360">
              <w:rPr>
                <w:rFonts w:ascii="Times New Roman" w:eastAsia="Times New Roman" w:hAnsi="Times New Roman" w:cs="Times New Roman"/>
                <w:b/>
                <w:bCs/>
                <w:sz w:val="26"/>
                <w:szCs w:val="26"/>
                <w:lang w:eastAsia="lv-LV"/>
              </w:rPr>
              <w:t>7</w:t>
            </w:r>
          </w:p>
        </w:tc>
        <w:tc>
          <w:tcPr>
            <w:tcW w:w="632"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BF107D"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61495F">
              <w:rPr>
                <w:rFonts w:ascii="Times New Roman" w:eastAsia="Times New Roman" w:hAnsi="Times New Roman" w:cs="Times New Roman"/>
                <w:b/>
                <w:bCs/>
                <w:sz w:val="26"/>
                <w:szCs w:val="26"/>
                <w:lang w:eastAsia="lv-LV"/>
              </w:rPr>
              <w:t>201</w:t>
            </w:r>
            <w:r w:rsidR="00820360">
              <w:rPr>
                <w:rFonts w:ascii="Times New Roman" w:eastAsia="Times New Roman" w:hAnsi="Times New Roman" w:cs="Times New Roman"/>
                <w:b/>
                <w:bCs/>
                <w:sz w:val="26"/>
                <w:szCs w:val="26"/>
                <w:lang w:eastAsia="lv-LV"/>
              </w:rPr>
              <w:t>8</w:t>
            </w:r>
          </w:p>
        </w:tc>
        <w:tc>
          <w:tcPr>
            <w:tcW w:w="948"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BF107D"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61495F">
              <w:rPr>
                <w:rFonts w:ascii="Times New Roman" w:eastAsia="Times New Roman" w:hAnsi="Times New Roman" w:cs="Times New Roman"/>
                <w:b/>
                <w:bCs/>
                <w:sz w:val="26"/>
                <w:szCs w:val="26"/>
                <w:lang w:eastAsia="lv-LV"/>
              </w:rPr>
              <w:t>201</w:t>
            </w:r>
            <w:r w:rsidR="00820360">
              <w:rPr>
                <w:rFonts w:ascii="Times New Roman" w:eastAsia="Times New Roman" w:hAnsi="Times New Roman" w:cs="Times New Roman"/>
                <w:b/>
                <w:bCs/>
                <w:sz w:val="26"/>
                <w:szCs w:val="26"/>
                <w:lang w:eastAsia="lv-LV"/>
              </w:rPr>
              <w:t>9</w:t>
            </w:r>
          </w:p>
        </w:tc>
      </w:tr>
      <w:tr w:rsidR="00CE0271" w:rsidRPr="0061495F" w:rsidTr="00B13279">
        <w:trPr>
          <w:tblCellSpacing w:w="15" w:type="dxa"/>
        </w:trPr>
        <w:tc>
          <w:tcPr>
            <w:tcW w:w="1381" w:type="pct"/>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after="0" w:line="240" w:lineRule="auto"/>
              <w:rPr>
                <w:rFonts w:ascii="Times New Roman" w:eastAsia="Times New Roman" w:hAnsi="Times New Roman" w:cs="Times New Roman"/>
                <w:b/>
                <w:bCs/>
                <w:sz w:val="26"/>
                <w:szCs w:val="26"/>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saskaņā ar valsts budžetu kārtējam gadam</w:t>
            </w:r>
          </w:p>
        </w:tc>
        <w:tc>
          <w:tcPr>
            <w:tcW w:w="711"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izmaiņas kārtējā gadā, salīdzinot ar valsts budžetu kārtējam gadam</w:t>
            </w:r>
          </w:p>
        </w:tc>
        <w:tc>
          <w:tcPr>
            <w:tcW w:w="661"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izmaiņas, salīdzinot ar kārtējo (n) gadu</w:t>
            </w:r>
          </w:p>
        </w:tc>
        <w:tc>
          <w:tcPr>
            <w:tcW w:w="632"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izmaiņas, salīdzinot ar kārtējo (n) gadu</w:t>
            </w:r>
          </w:p>
        </w:tc>
        <w:tc>
          <w:tcPr>
            <w:tcW w:w="948"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izmaiņas, salīdzinot ar kārtējo (n) gadu</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1</w:t>
            </w:r>
          </w:p>
        </w:tc>
        <w:tc>
          <w:tcPr>
            <w:tcW w:w="551"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2</w:t>
            </w:r>
          </w:p>
        </w:tc>
        <w:tc>
          <w:tcPr>
            <w:tcW w:w="711"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3</w:t>
            </w:r>
          </w:p>
        </w:tc>
        <w:tc>
          <w:tcPr>
            <w:tcW w:w="661"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4</w:t>
            </w:r>
          </w:p>
        </w:tc>
        <w:tc>
          <w:tcPr>
            <w:tcW w:w="632"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5</w:t>
            </w:r>
          </w:p>
        </w:tc>
        <w:tc>
          <w:tcPr>
            <w:tcW w:w="948"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6</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1. Budžeta ieņēmumi:</w:t>
            </w:r>
          </w:p>
        </w:tc>
        <w:tc>
          <w:tcPr>
            <w:tcW w:w="551" w:type="pct"/>
            <w:tcBorders>
              <w:top w:val="outset" w:sz="6" w:space="0" w:color="auto"/>
              <w:left w:val="outset" w:sz="6" w:space="0" w:color="auto"/>
              <w:bottom w:val="outset" w:sz="6" w:space="0" w:color="auto"/>
              <w:right w:val="outset" w:sz="6" w:space="0" w:color="auto"/>
            </w:tcBorders>
            <w:hideMark/>
          </w:tcPr>
          <w:p w:rsidR="00CE0271" w:rsidRPr="0061495F" w:rsidRDefault="003708CA"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286 100</w:t>
            </w:r>
            <w:r w:rsidR="003404CF">
              <w:rPr>
                <w:rFonts w:ascii="Times New Roman" w:eastAsia="Times New Roman" w:hAnsi="Times New Roman" w:cs="Times New Roman"/>
                <w:sz w:val="26"/>
                <w:szCs w:val="26"/>
                <w:lang w:eastAsia="lv-LV"/>
              </w:rPr>
              <w:t xml:space="preserve"> </w:t>
            </w: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1.1. valsts pamatbudžets, tai skaitā ieņēmumi no maksas pakalpojumiem un citi pašu ieņēmumi</w:t>
            </w:r>
          </w:p>
        </w:tc>
        <w:tc>
          <w:tcPr>
            <w:tcW w:w="551" w:type="pct"/>
            <w:tcBorders>
              <w:top w:val="outset" w:sz="6" w:space="0" w:color="auto"/>
              <w:left w:val="outset" w:sz="6" w:space="0" w:color="auto"/>
              <w:bottom w:val="outset" w:sz="6" w:space="0" w:color="auto"/>
              <w:right w:val="outset" w:sz="6" w:space="0" w:color="auto"/>
            </w:tcBorders>
            <w:hideMark/>
          </w:tcPr>
          <w:p w:rsidR="00CE0271" w:rsidRPr="0061495F" w:rsidRDefault="003708CA"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286 100</w:t>
            </w: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1.2. valsts speciālais budžets</w:t>
            </w:r>
          </w:p>
        </w:tc>
        <w:tc>
          <w:tcPr>
            <w:tcW w:w="55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1.3. pašvaldību budžets</w:t>
            </w:r>
          </w:p>
        </w:tc>
        <w:tc>
          <w:tcPr>
            <w:tcW w:w="55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2. Budžeta izdevumi:</w:t>
            </w:r>
          </w:p>
        </w:tc>
        <w:tc>
          <w:tcPr>
            <w:tcW w:w="551" w:type="pct"/>
            <w:tcBorders>
              <w:top w:val="outset" w:sz="6" w:space="0" w:color="auto"/>
              <w:left w:val="outset" w:sz="6" w:space="0" w:color="auto"/>
              <w:bottom w:val="outset" w:sz="6" w:space="0" w:color="auto"/>
              <w:right w:val="outset" w:sz="6" w:space="0" w:color="auto"/>
            </w:tcBorders>
            <w:hideMark/>
          </w:tcPr>
          <w:p w:rsidR="00CE0271" w:rsidRPr="0061495F" w:rsidRDefault="003708CA"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286 100</w:t>
            </w: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AE6F07"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AE6F07" w:rsidRPr="0061495F" w:rsidRDefault="00AE6F07"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2.1. valsts pamatbudžets</w:t>
            </w:r>
          </w:p>
        </w:tc>
        <w:tc>
          <w:tcPr>
            <w:tcW w:w="551" w:type="pct"/>
            <w:tcBorders>
              <w:top w:val="outset" w:sz="6" w:space="0" w:color="auto"/>
              <w:left w:val="outset" w:sz="6" w:space="0" w:color="auto"/>
              <w:bottom w:val="outset" w:sz="6" w:space="0" w:color="auto"/>
              <w:right w:val="outset" w:sz="6" w:space="0" w:color="auto"/>
            </w:tcBorders>
            <w:hideMark/>
          </w:tcPr>
          <w:p w:rsidR="00AE6F07" w:rsidRPr="0061495F" w:rsidRDefault="003708CA" w:rsidP="00085AB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286 100</w:t>
            </w:r>
          </w:p>
        </w:tc>
        <w:tc>
          <w:tcPr>
            <w:tcW w:w="711" w:type="pct"/>
            <w:tcBorders>
              <w:top w:val="outset" w:sz="6" w:space="0" w:color="auto"/>
              <w:left w:val="outset" w:sz="6" w:space="0" w:color="auto"/>
              <w:bottom w:val="outset" w:sz="6" w:space="0" w:color="auto"/>
              <w:right w:val="outset" w:sz="6" w:space="0" w:color="auto"/>
            </w:tcBorders>
            <w:hideMark/>
          </w:tcPr>
          <w:p w:rsidR="00AE6F07" w:rsidRPr="0061495F" w:rsidRDefault="00AE6F07" w:rsidP="00085ABE">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AE6F07" w:rsidRPr="0061495F" w:rsidRDefault="00D13A6C" w:rsidP="00085ABE">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AE6F07" w:rsidRPr="0061495F" w:rsidRDefault="00D13A6C" w:rsidP="00085ABE">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AE6F07" w:rsidRPr="0061495F" w:rsidRDefault="00D13A6C" w:rsidP="00085ABE">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2.2. valsts speciālais budžets</w:t>
            </w:r>
          </w:p>
        </w:tc>
        <w:tc>
          <w:tcPr>
            <w:tcW w:w="55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2.3. pašvaldību budžets</w:t>
            </w:r>
          </w:p>
        </w:tc>
        <w:tc>
          <w:tcPr>
            <w:tcW w:w="55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3. Finansiālā ietekme:</w:t>
            </w:r>
          </w:p>
        </w:tc>
        <w:tc>
          <w:tcPr>
            <w:tcW w:w="551" w:type="pct"/>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160821">
            <w:pPr>
              <w:spacing w:after="0" w:line="240" w:lineRule="auto"/>
              <w:jc w:val="center"/>
              <w:rPr>
                <w:rFonts w:ascii="Times New Roman" w:eastAsia="Times New Roman" w:hAnsi="Times New Roman" w:cs="Times New Roman"/>
                <w:sz w:val="26"/>
                <w:szCs w:val="26"/>
                <w:lang w:eastAsia="lv-LV"/>
              </w:rPr>
            </w:pP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21142"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21142" w:rsidRPr="0061495F" w:rsidRDefault="00C21142"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3.1. valsts pamatbudžets</w:t>
            </w:r>
          </w:p>
        </w:tc>
        <w:tc>
          <w:tcPr>
            <w:tcW w:w="551" w:type="pct"/>
            <w:tcBorders>
              <w:top w:val="outset" w:sz="6" w:space="0" w:color="auto"/>
              <w:left w:val="outset" w:sz="6" w:space="0" w:color="auto"/>
              <w:bottom w:val="outset" w:sz="6" w:space="0" w:color="auto"/>
              <w:right w:val="outset" w:sz="6" w:space="0" w:color="auto"/>
            </w:tcBorders>
            <w:hideMark/>
          </w:tcPr>
          <w:p w:rsidR="00C21142" w:rsidRPr="0061495F" w:rsidRDefault="00C21142" w:rsidP="00970CDF">
            <w:pPr>
              <w:spacing w:after="0" w:line="240" w:lineRule="auto"/>
              <w:jc w:val="center"/>
              <w:rPr>
                <w:rFonts w:ascii="Times New Roman" w:eastAsia="Times New Roman" w:hAnsi="Times New Roman" w:cs="Times New Roman"/>
                <w:sz w:val="26"/>
                <w:szCs w:val="26"/>
                <w:lang w:eastAsia="lv-LV"/>
              </w:rPr>
            </w:pPr>
          </w:p>
        </w:tc>
        <w:tc>
          <w:tcPr>
            <w:tcW w:w="711" w:type="pct"/>
            <w:tcBorders>
              <w:top w:val="outset" w:sz="6" w:space="0" w:color="auto"/>
              <w:left w:val="outset" w:sz="6" w:space="0" w:color="auto"/>
              <w:bottom w:val="outset" w:sz="6" w:space="0" w:color="auto"/>
              <w:right w:val="outset" w:sz="6" w:space="0" w:color="auto"/>
            </w:tcBorders>
            <w:hideMark/>
          </w:tcPr>
          <w:p w:rsidR="00C21142" w:rsidRPr="0061495F" w:rsidRDefault="00C21142" w:rsidP="00970CDF">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21142" w:rsidRPr="0061495F" w:rsidRDefault="00D13A6C" w:rsidP="00970CDF">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21142" w:rsidRPr="0061495F" w:rsidRDefault="00D13A6C" w:rsidP="00970CDF">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21142" w:rsidRPr="0061495F" w:rsidRDefault="00D13A6C" w:rsidP="00970CDF">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3.2. speciālais budžets</w:t>
            </w:r>
          </w:p>
        </w:tc>
        <w:tc>
          <w:tcPr>
            <w:tcW w:w="55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3.3. pašvaldību budžets</w:t>
            </w:r>
          </w:p>
        </w:tc>
        <w:tc>
          <w:tcPr>
            <w:tcW w:w="55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vMerge w:val="restar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551" w:type="pct"/>
            <w:vMerge w:val="restar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160821">
            <w:pPr>
              <w:spacing w:after="0" w:line="240" w:lineRule="auto"/>
              <w:jc w:val="center"/>
              <w:rPr>
                <w:rFonts w:ascii="Times New Roman" w:eastAsia="Times New Roman" w:hAnsi="Times New Roman" w:cs="Times New Roman"/>
                <w:sz w:val="26"/>
                <w:szCs w:val="26"/>
                <w:lang w:eastAsia="lv-LV"/>
              </w:rPr>
            </w:pP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160821">
            <w:pPr>
              <w:spacing w:after="0" w:line="240" w:lineRule="auto"/>
              <w:jc w:val="center"/>
              <w:rPr>
                <w:rFonts w:ascii="Times New Roman" w:eastAsia="Times New Roman" w:hAnsi="Times New Roman" w:cs="Times New Roman"/>
                <w:sz w:val="26"/>
                <w:szCs w:val="26"/>
                <w:lang w:eastAsia="lv-LV"/>
              </w:rPr>
            </w:pP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5. Precizēta finansiālā ietekme:</w:t>
            </w:r>
          </w:p>
        </w:tc>
        <w:tc>
          <w:tcPr>
            <w:tcW w:w="551" w:type="pct"/>
            <w:vMerge w:val="restart"/>
            <w:tcBorders>
              <w:top w:val="outset" w:sz="6" w:space="0" w:color="auto"/>
              <w:left w:val="outset" w:sz="6" w:space="0" w:color="auto"/>
              <w:bottom w:val="outset" w:sz="6" w:space="0" w:color="auto"/>
              <w:right w:val="outset" w:sz="6" w:space="0" w:color="auto"/>
            </w:tcBorders>
            <w:hideMark/>
          </w:tcPr>
          <w:p w:rsidR="00CE0271" w:rsidRPr="0061495F" w:rsidRDefault="007C27B1" w:rsidP="0016082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160821">
            <w:pPr>
              <w:spacing w:after="0" w:line="240" w:lineRule="auto"/>
              <w:jc w:val="center"/>
              <w:rPr>
                <w:rFonts w:ascii="Times New Roman" w:eastAsia="Times New Roman" w:hAnsi="Times New Roman" w:cs="Times New Roman"/>
                <w:sz w:val="26"/>
                <w:szCs w:val="26"/>
                <w:lang w:eastAsia="lv-LV"/>
              </w:rPr>
            </w:pP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160821">
            <w:pPr>
              <w:spacing w:after="0" w:line="240" w:lineRule="auto"/>
              <w:jc w:val="center"/>
              <w:rPr>
                <w:rFonts w:ascii="Times New Roman" w:eastAsia="Times New Roman" w:hAnsi="Times New Roman" w:cs="Times New Roman"/>
                <w:sz w:val="26"/>
                <w:szCs w:val="26"/>
                <w:lang w:eastAsia="lv-LV"/>
              </w:rPr>
            </w:pP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160821">
            <w:pPr>
              <w:spacing w:after="0" w:line="240" w:lineRule="auto"/>
              <w:jc w:val="center"/>
              <w:rPr>
                <w:rFonts w:ascii="Times New Roman" w:eastAsia="Times New Roman" w:hAnsi="Times New Roman" w:cs="Times New Roman"/>
                <w:sz w:val="26"/>
                <w:szCs w:val="26"/>
                <w:lang w:eastAsia="lv-LV"/>
              </w:rPr>
            </w:pPr>
          </w:p>
        </w:tc>
        <w:tc>
          <w:tcPr>
            <w:tcW w:w="71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61"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632"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c>
          <w:tcPr>
            <w:tcW w:w="948" w:type="pct"/>
            <w:tcBorders>
              <w:top w:val="outset" w:sz="6" w:space="0" w:color="auto"/>
              <w:left w:val="outset" w:sz="6" w:space="0" w:color="auto"/>
              <w:bottom w:val="outset" w:sz="6" w:space="0" w:color="auto"/>
              <w:right w:val="outset" w:sz="6" w:space="0" w:color="auto"/>
            </w:tcBorders>
            <w:hideMark/>
          </w:tcPr>
          <w:p w:rsidR="00CE0271" w:rsidRPr="0061495F" w:rsidRDefault="00160821" w:rsidP="00160821">
            <w:pPr>
              <w:spacing w:after="0" w:line="240" w:lineRule="auto"/>
              <w:jc w:val="center"/>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0</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569"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820360" w:rsidRPr="0061495F" w:rsidRDefault="00CE0271" w:rsidP="00820360">
            <w:pPr>
              <w:pStyle w:val="ListParagraph"/>
              <w:spacing w:after="0" w:line="240" w:lineRule="auto"/>
              <w:ind w:left="0"/>
              <w:jc w:val="both"/>
              <w:rPr>
                <w:rFonts w:ascii="Times New Roman" w:eastAsia="Times New Roman" w:hAnsi="Times New Roman" w:cs="Times New Roman"/>
                <w:bCs/>
                <w:sz w:val="26"/>
                <w:szCs w:val="26"/>
                <w:lang w:eastAsia="lv-LV"/>
              </w:rPr>
            </w:pPr>
            <w:r w:rsidRPr="0061495F">
              <w:rPr>
                <w:rFonts w:ascii="Times New Roman" w:eastAsia="Times New Roman" w:hAnsi="Times New Roman" w:cs="Times New Roman"/>
                <w:sz w:val="26"/>
                <w:szCs w:val="26"/>
                <w:lang w:eastAsia="lv-LV"/>
              </w:rPr>
              <w:t> </w:t>
            </w:r>
            <w:r w:rsidR="00820360" w:rsidRPr="0061495F">
              <w:rPr>
                <w:rFonts w:ascii="Times New Roman" w:eastAsia="Times New Roman" w:hAnsi="Times New Roman" w:cs="Times New Roman"/>
                <w:bCs/>
                <w:sz w:val="26"/>
                <w:szCs w:val="26"/>
                <w:lang w:eastAsia="lv-LV"/>
              </w:rPr>
              <w:t xml:space="preserve">PR uzņēmējdarbības atbalsta centri sākotnēji ir  izveidoti, un to darbības uzsākšana nodrošināta no PR piešķirtā valsts budžeta finansējuma 31.00.00 programmā „Atbalsts plānošanas reģioniem”: </w:t>
            </w:r>
          </w:p>
          <w:p w:rsidR="00820360" w:rsidRPr="0061495F" w:rsidRDefault="00820360" w:rsidP="00820360">
            <w:pPr>
              <w:pStyle w:val="ListParagraph"/>
              <w:spacing w:after="0" w:line="240" w:lineRule="auto"/>
              <w:ind w:left="0"/>
              <w:jc w:val="both"/>
              <w:rPr>
                <w:rFonts w:ascii="Times New Roman" w:eastAsia="Times New Roman" w:hAnsi="Times New Roman" w:cs="Times New Roman"/>
                <w:bCs/>
                <w:sz w:val="26"/>
                <w:szCs w:val="26"/>
                <w:lang w:eastAsia="lv-LV"/>
              </w:rPr>
            </w:pPr>
          </w:p>
          <w:tbl>
            <w:tblPr>
              <w:tblStyle w:val="TableGrid"/>
              <w:tblW w:w="0" w:type="auto"/>
              <w:tblInd w:w="122" w:type="dxa"/>
              <w:tblLook w:val="04A0"/>
            </w:tblPr>
            <w:tblGrid>
              <w:gridCol w:w="1844"/>
              <w:gridCol w:w="1164"/>
              <w:gridCol w:w="1164"/>
              <w:gridCol w:w="1164"/>
              <w:gridCol w:w="1103"/>
            </w:tblGrid>
            <w:tr w:rsidR="00820360" w:rsidRPr="005337B3" w:rsidTr="00CC5877">
              <w:trPr>
                <w:trHeight w:val="330"/>
              </w:trPr>
              <w:tc>
                <w:tcPr>
                  <w:tcW w:w="2138" w:type="dxa"/>
                  <w:vMerge w:val="restart"/>
                  <w:vAlign w:val="center"/>
                </w:tcPr>
                <w:p w:rsidR="00820360" w:rsidRPr="005337B3" w:rsidRDefault="00820360" w:rsidP="00CC5877">
                  <w:pPr>
                    <w:jc w:val="both"/>
                    <w:rPr>
                      <w:rFonts w:ascii="Times New Roman" w:eastAsia="Times New Roman" w:hAnsi="Times New Roman" w:cs="Times New Roman"/>
                      <w:b/>
                      <w:bCs/>
                      <w:lang w:eastAsia="lv-LV"/>
                    </w:rPr>
                  </w:pPr>
                  <w:r w:rsidRPr="005337B3">
                    <w:rPr>
                      <w:rFonts w:ascii="Times New Roman" w:eastAsia="Times New Roman" w:hAnsi="Times New Roman" w:cs="Times New Roman"/>
                      <w:b/>
                      <w:bCs/>
                      <w:lang w:eastAsia="lv-LV"/>
                    </w:rPr>
                    <w:t>Valsts</w:t>
                  </w:r>
                </w:p>
                <w:p w:rsidR="00820360" w:rsidRPr="005337B3" w:rsidRDefault="00820360" w:rsidP="00CC5877">
                  <w:pPr>
                    <w:jc w:val="both"/>
                    <w:rPr>
                      <w:rFonts w:ascii="Times New Roman" w:eastAsia="Times New Roman" w:hAnsi="Times New Roman" w:cs="Times New Roman"/>
                      <w:b/>
                      <w:bCs/>
                      <w:lang w:eastAsia="lv-LV"/>
                    </w:rPr>
                  </w:pPr>
                  <w:r w:rsidRPr="005337B3">
                    <w:rPr>
                      <w:rFonts w:ascii="Times New Roman" w:eastAsia="Times New Roman" w:hAnsi="Times New Roman" w:cs="Times New Roman"/>
                      <w:b/>
                      <w:bCs/>
                      <w:lang w:eastAsia="lv-LV"/>
                    </w:rPr>
                    <w:t xml:space="preserve"> budžeta finansējums (EUR) PR uzņēmējdarbības veicināšanai</w:t>
                  </w:r>
                  <w:r w:rsidRPr="005337B3">
                    <w:rPr>
                      <w:rStyle w:val="FootnoteReference"/>
                      <w:rFonts w:ascii="Times New Roman" w:eastAsia="Times New Roman" w:hAnsi="Times New Roman" w:cs="Times New Roman"/>
                      <w:b/>
                      <w:bCs/>
                      <w:lang w:eastAsia="lv-LV"/>
                    </w:rPr>
                    <w:footnoteReference w:id="10"/>
                  </w:r>
                  <w:r w:rsidRPr="005337B3">
                    <w:rPr>
                      <w:rFonts w:ascii="Times New Roman" w:eastAsia="Times New Roman" w:hAnsi="Times New Roman" w:cs="Times New Roman"/>
                      <w:b/>
                      <w:bCs/>
                      <w:lang w:eastAsia="lv-LV"/>
                    </w:rPr>
                    <w:t xml:space="preserve"> </w:t>
                  </w:r>
                </w:p>
              </w:tc>
              <w:tc>
                <w:tcPr>
                  <w:tcW w:w="1336" w:type="dxa"/>
                </w:tcPr>
                <w:p w:rsidR="00820360" w:rsidRPr="005337B3" w:rsidRDefault="00820360" w:rsidP="005337B3">
                  <w:pPr>
                    <w:jc w:val="center"/>
                    <w:rPr>
                      <w:rFonts w:ascii="Times New Roman" w:eastAsia="Times New Roman" w:hAnsi="Times New Roman" w:cs="Times New Roman"/>
                      <w:b/>
                      <w:lang w:eastAsia="lv-LV"/>
                    </w:rPr>
                  </w:pPr>
                  <w:r w:rsidRPr="005337B3">
                    <w:rPr>
                      <w:rFonts w:ascii="Times New Roman" w:eastAsia="Times New Roman" w:hAnsi="Times New Roman" w:cs="Times New Roman"/>
                      <w:b/>
                      <w:lang w:eastAsia="lv-LV"/>
                    </w:rPr>
                    <w:t>2015.gada</w:t>
                  </w:r>
                </w:p>
              </w:tc>
              <w:tc>
                <w:tcPr>
                  <w:tcW w:w="1336" w:type="dxa"/>
                </w:tcPr>
                <w:p w:rsidR="00820360" w:rsidRPr="005337B3" w:rsidRDefault="00820360" w:rsidP="007273D5">
                  <w:pPr>
                    <w:jc w:val="center"/>
                    <w:rPr>
                      <w:rFonts w:ascii="Times New Roman" w:eastAsia="Times New Roman" w:hAnsi="Times New Roman" w:cs="Times New Roman"/>
                      <w:b/>
                      <w:lang w:eastAsia="lv-LV"/>
                    </w:rPr>
                  </w:pPr>
                  <w:r w:rsidRPr="005337B3">
                    <w:rPr>
                      <w:rFonts w:ascii="Times New Roman" w:eastAsia="Times New Roman" w:hAnsi="Times New Roman" w:cs="Times New Roman"/>
                      <w:b/>
                      <w:lang w:eastAsia="lv-LV"/>
                    </w:rPr>
                    <w:t xml:space="preserve">2016.gada </w:t>
                  </w:r>
                </w:p>
              </w:tc>
              <w:tc>
                <w:tcPr>
                  <w:tcW w:w="1336" w:type="dxa"/>
                </w:tcPr>
                <w:p w:rsidR="00820360" w:rsidRPr="005337B3" w:rsidRDefault="00820360" w:rsidP="005337B3">
                  <w:pPr>
                    <w:jc w:val="center"/>
                    <w:rPr>
                      <w:rFonts w:ascii="Times New Roman" w:eastAsia="Times New Roman" w:hAnsi="Times New Roman" w:cs="Times New Roman"/>
                      <w:b/>
                      <w:lang w:eastAsia="lv-LV"/>
                    </w:rPr>
                  </w:pPr>
                  <w:r w:rsidRPr="005337B3">
                    <w:rPr>
                      <w:rFonts w:ascii="Times New Roman" w:eastAsia="Times New Roman" w:hAnsi="Times New Roman" w:cs="Times New Roman"/>
                      <w:b/>
                      <w:lang w:eastAsia="lv-LV"/>
                    </w:rPr>
                    <w:t>2017.gada projekts</w:t>
                  </w:r>
                </w:p>
              </w:tc>
              <w:tc>
                <w:tcPr>
                  <w:tcW w:w="1264" w:type="dxa"/>
                </w:tcPr>
                <w:p w:rsidR="00820360" w:rsidRPr="005337B3" w:rsidRDefault="00820360" w:rsidP="005337B3">
                  <w:pPr>
                    <w:jc w:val="center"/>
                    <w:rPr>
                      <w:rFonts w:ascii="Times New Roman" w:eastAsia="Times New Roman" w:hAnsi="Times New Roman" w:cs="Times New Roman"/>
                      <w:b/>
                      <w:lang w:eastAsia="lv-LV"/>
                    </w:rPr>
                  </w:pPr>
                  <w:r w:rsidRPr="005337B3">
                    <w:rPr>
                      <w:rFonts w:ascii="Times New Roman" w:eastAsia="Times New Roman" w:hAnsi="Times New Roman" w:cs="Times New Roman"/>
                      <w:b/>
                      <w:lang w:eastAsia="lv-LV"/>
                    </w:rPr>
                    <w:t>turpmāk, gadā</w:t>
                  </w:r>
                </w:p>
              </w:tc>
            </w:tr>
            <w:tr w:rsidR="00820360" w:rsidRPr="005337B3" w:rsidTr="00CC5877">
              <w:trPr>
                <w:trHeight w:val="285"/>
              </w:trPr>
              <w:tc>
                <w:tcPr>
                  <w:tcW w:w="2138" w:type="dxa"/>
                  <w:vMerge/>
                  <w:vAlign w:val="center"/>
                </w:tcPr>
                <w:p w:rsidR="00820360" w:rsidRPr="005337B3" w:rsidRDefault="00820360" w:rsidP="00CC5877">
                  <w:pPr>
                    <w:jc w:val="both"/>
                    <w:rPr>
                      <w:rFonts w:ascii="Times New Roman" w:eastAsia="Times New Roman" w:hAnsi="Times New Roman" w:cs="Times New Roman"/>
                      <w:b/>
                      <w:bCs/>
                      <w:lang w:eastAsia="lv-LV"/>
                    </w:rPr>
                  </w:pPr>
                </w:p>
              </w:tc>
              <w:tc>
                <w:tcPr>
                  <w:tcW w:w="1336" w:type="dxa"/>
                  <w:vAlign w:val="center"/>
                </w:tcPr>
                <w:p w:rsidR="00820360" w:rsidRPr="005337B3" w:rsidRDefault="00820360" w:rsidP="00CC5877">
                  <w:pPr>
                    <w:jc w:val="both"/>
                    <w:rPr>
                      <w:rFonts w:ascii="Times New Roman" w:eastAsia="Times New Roman" w:hAnsi="Times New Roman" w:cs="Times New Roman"/>
                      <w:b/>
                      <w:bCs/>
                      <w:lang w:eastAsia="lv-LV"/>
                    </w:rPr>
                  </w:pPr>
                  <w:r w:rsidRPr="005337B3">
                    <w:rPr>
                      <w:rFonts w:ascii="Times New Roman" w:eastAsia="Times New Roman" w:hAnsi="Times New Roman" w:cs="Times New Roman"/>
                      <w:b/>
                      <w:bCs/>
                      <w:lang w:eastAsia="lv-LV"/>
                    </w:rPr>
                    <w:t>222 316</w:t>
                  </w:r>
                </w:p>
              </w:tc>
              <w:tc>
                <w:tcPr>
                  <w:tcW w:w="1336" w:type="dxa"/>
                  <w:vAlign w:val="center"/>
                </w:tcPr>
                <w:p w:rsidR="00820360" w:rsidRPr="005337B3" w:rsidRDefault="00820360" w:rsidP="00CC5877">
                  <w:pPr>
                    <w:jc w:val="both"/>
                    <w:rPr>
                      <w:rFonts w:ascii="Times New Roman" w:eastAsia="Times New Roman" w:hAnsi="Times New Roman" w:cs="Times New Roman"/>
                      <w:b/>
                      <w:bCs/>
                      <w:lang w:eastAsia="lv-LV"/>
                    </w:rPr>
                  </w:pPr>
                  <w:r w:rsidRPr="005337B3">
                    <w:rPr>
                      <w:rFonts w:ascii="Times New Roman" w:eastAsia="Times New Roman" w:hAnsi="Times New Roman" w:cs="Times New Roman"/>
                      <w:b/>
                      <w:bCs/>
                      <w:lang w:eastAsia="lv-LV"/>
                    </w:rPr>
                    <w:t>264 711</w:t>
                  </w:r>
                </w:p>
              </w:tc>
              <w:tc>
                <w:tcPr>
                  <w:tcW w:w="1336" w:type="dxa"/>
                  <w:vAlign w:val="center"/>
                </w:tcPr>
                <w:p w:rsidR="00820360" w:rsidRPr="005337B3" w:rsidRDefault="00820360" w:rsidP="00CC5877">
                  <w:pPr>
                    <w:jc w:val="both"/>
                    <w:rPr>
                      <w:rFonts w:ascii="Times New Roman" w:eastAsia="Times New Roman" w:hAnsi="Times New Roman" w:cs="Times New Roman"/>
                      <w:b/>
                      <w:bCs/>
                      <w:lang w:eastAsia="lv-LV"/>
                    </w:rPr>
                  </w:pPr>
                  <w:r w:rsidRPr="005337B3">
                    <w:rPr>
                      <w:rFonts w:ascii="Times New Roman" w:eastAsia="Times New Roman" w:hAnsi="Times New Roman" w:cs="Times New Roman"/>
                      <w:b/>
                      <w:bCs/>
                      <w:lang w:eastAsia="lv-LV"/>
                    </w:rPr>
                    <w:t>264 711</w:t>
                  </w:r>
                </w:p>
              </w:tc>
              <w:tc>
                <w:tcPr>
                  <w:tcW w:w="1264" w:type="dxa"/>
                  <w:vAlign w:val="center"/>
                </w:tcPr>
                <w:p w:rsidR="00820360" w:rsidRPr="005337B3" w:rsidRDefault="00820360" w:rsidP="00CC5877">
                  <w:pPr>
                    <w:jc w:val="both"/>
                    <w:rPr>
                      <w:rFonts w:ascii="Times New Roman" w:eastAsia="Times New Roman" w:hAnsi="Times New Roman" w:cs="Times New Roman"/>
                      <w:b/>
                      <w:bCs/>
                      <w:lang w:eastAsia="lv-LV"/>
                    </w:rPr>
                  </w:pPr>
                  <w:r w:rsidRPr="005337B3">
                    <w:rPr>
                      <w:rFonts w:ascii="Times New Roman" w:eastAsia="Times New Roman" w:hAnsi="Times New Roman" w:cs="Times New Roman"/>
                      <w:b/>
                      <w:bCs/>
                      <w:lang w:eastAsia="lv-LV"/>
                    </w:rPr>
                    <w:t>264 711</w:t>
                  </w:r>
                </w:p>
              </w:tc>
            </w:tr>
            <w:tr w:rsidR="00820360" w:rsidRPr="005337B3" w:rsidTr="00CC5877">
              <w:trPr>
                <w:trHeight w:val="900"/>
              </w:trPr>
              <w:tc>
                <w:tcPr>
                  <w:tcW w:w="2138" w:type="dxa"/>
                  <w:vMerge/>
                  <w:vAlign w:val="center"/>
                </w:tcPr>
                <w:p w:rsidR="00820360" w:rsidRPr="005337B3" w:rsidRDefault="00820360" w:rsidP="00CC5877">
                  <w:pPr>
                    <w:jc w:val="both"/>
                    <w:rPr>
                      <w:rFonts w:ascii="Times New Roman" w:eastAsia="Times New Roman" w:hAnsi="Times New Roman" w:cs="Times New Roman"/>
                      <w:b/>
                      <w:bCs/>
                      <w:lang w:eastAsia="lv-LV"/>
                    </w:rPr>
                  </w:pPr>
                </w:p>
              </w:tc>
              <w:tc>
                <w:tcPr>
                  <w:tcW w:w="1336" w:type="dxa"/>
                  <w:vAlign w:val="center"/>
                </w:tcPr>
                <w:p w:rsidR="00820360" w:rsidRPr="005337B3" w:rsidRDefault="00820360" w:rsidP="00CC5877">
                  <w:pPr>
                    <w:jc w:val="both"/>
                    <w:rPr>
                      <w:rFonts w:ascii="Times New Roman" w:eastAsia="Times New Roman" w:hAnsi="Times New Roman" w:cs="Times New Roman"/>
                      <w:b/>
                      <w:bCs/>
                      <w:lang w:eastAsia="lv-LV"/>
                    </w:rPr>
                  </w:pPr>
                </w:p>
              </w:tc>
              <w:tc>
                <w:tcPr>
                  <w:tcW w:w="1336" w:type="dxa"/>
                  <w:vAlign w:val="center"/>
                </w:tcPr>
                <w:p w:rsidR="00820360" w:rsidRPr="005337B3" w:rsidRDefault="00820360" w:rsidP="00CC5877">
                  <w:pPr>
                    <w:jc w:val="both"/>
                    <w:rPr>
                      <w:rFonts w:ascii="Times New Roman" w:eastAsia="Times New Roman" w:hAnsi="Times New Roman" w:cs="Times New Roman"/>
                      <w:b/>
                      <w:bCs/>
                      <w:lang w:eastAsia="lv-LV"/>
                    </w:rPr>
                  </w:pPr>
                </w:p>
              </w:tc>
              <w:tc>
                <w:tcPr>
                  <w:tcW w:w="1336" w:type="dxa"/>
                  <w:vAlign w:val="center"/>
                </w:tcPr>
                <w:p w:rsidR="00820360" w:rsidRPr="005337B3" w:rsidRDefault="00820360" w:rsidP="00CC5877">
                  <w:pPr>
                    <w:jc w:val="both"/>
                    <w:rPr>
                      <w:rFonts w:ascii="Times New Roman" w:eastAsia="Times New Roman" w:hAnsi="Times New Roman" w:cs="Times New Roman"/>
                      <w:b/>
                      <w:bCs/>
                      <w:lang w:eastAsia="lv-LV"/>
                    </w:rPr>
                  </w:pPr>
                </w:p>
              </w:tc>
              <w:tc>
                <w:tcPr>
                  <w:tcW w:w="1264" w:type="dxa"/>
                  <w:vAlign w:val="center"/>
                </w:tcPr>
                <w:p w:rsidR="00820360" w:rsidRPr="005337B3" w:rsidRDefault="00820360" w:rsidP="00CC5877">
                  <w:pPr>
                    <w:jc w:val="both"/>
                    <w:rPr>
                      <w:rFonts w:ascii="Times New Roman" w:eastAsia="Times New Roman" w:hAnsi="Times New Roman" w:cs="Times New Roman"/>
                      <w:b/>
                      <w:bCs/>
                      <w:lang w:eastAsia="lv-LV"/>
                    </w:rPr>
                  </w:pPr>
                </w:p>
              </w:tc>
            </w:tr>
            <w:tr w:rsidR="00820360" w:rsidRPr="005337B3" w:rsidTr="00CC5877">
              <w:tc>
                <w:tcPr>
                  <w:tcW w:w="2138" w:type="dxa"/>
                  <w:vAlign w:val="center"/>
                </w:tcPr>
                <w:p w:rsidR="00820360" w:rsidRPr="005337B3" w:rsidRDefault="00820360" w:rsidP="00CC5877">
                  <w:pPr>
                    <w:jc w:val="both"/>
                    <w:rPr>
                      <w:rFonts w:ascii="Times New Roman" w:eastAsia="Times New Roman" w:hAnsi="Times New Roman" w:cs="Times New Roman"/>
                      <w:b/>
                      <w:bCs/>
                      <w:lang w:eastAsia="lv-LV"/>
                    </w:rPr>
                  </w:pPr>
                  <w:r w:rsidRPr="005337B3">
                    <w:rPr>
                      <w:rFonts w:ascii="Times New Roman" w:eastAsia="Times New Roman" w:hAnsi="Times New Roman" w:cs="Times New Roman"/>
                      <w:b/>
                      <w:bCs/>
                      <w:lang w:eastAsia="lv-LV"/>
                    </w:rPr>
                    <w:t>Latgales PR</w:t>
                  </w:r>
                </w:p>
              </w:tc>
              <w:tc>
                <w:tcPr>
                  <w:tcW w:w="1336" w:type="dxa"/>
                  <w:vAlign w:val="center"/>
                </w:tcPr>
                <w:p w:rsidR="00820360" w:rsidRPr="005337B3" w:rsidRDefault="00820360" w:rsidP="00CC5877">
                  <w:pPr>
                    <w:jc w:val="both"/>
                    <w:rPr>
                      <w:rFonts w:ascii="Times New Roman" w:eastAsia="Times New Roman" w:hAnsi="Times New Roman" w:cs="Times New Roman"/>
                      <w:lang w:eastAsia="lv-LV"/>
                    </w:rPr>
                  </w:pPr>
                  <w:r w:rsidRPr="005337B3">
                    <w:rPr>
                      <w:rFonts w:ascii="Times New Roman" w:eastAsia="Times New Roman" w:hAnsi="Times New Roman" w:cs="Times New Roman"/>
                      <w:lang w:eastAsia="lv-LV"/>
                    </w:rPr>
                    <w:t>101 992</w:t>
                  </w:r>
                </w:p>
              </w:tc>
              <w:tc>
                <w:tcPr>
                  <w:tcW w:w="1336" w:type="dxa"/>
                  <w:vAlign w:val="center"/>
                </w:tcPr>
                <w:p w:rsidR="00820360" w:rsidRPr="005337B3" w:rsidRDefault="00820360" w:rsidP="00CC5877">
                  <w:pPr>
                    <w:jc w:val="both"/>
                    <w:rPr>
                      <w:rFonts w:ascii="Times New Roman" w:eastAsia="Times New Roman" w:hAnsi="Times New Roman" w:cs="Times New Roman"/>
                      <w:lang w:eastAsia="lv-LV"/>
                    </w:rPr>
                  </w:pPr>
                  <w:r w:rsidRPr="005337B3">
                    <w:rPr>
                      <w:rFonts w:ascii="Times New Roman" w:eastAsia="Times New Roman" w:hAnsi="Times New Roman" w:cs="Times New Roman"/>
                      <w:lang w:eastAsia="lv-LV"/>
                    </w:rPr>
                    <w:t>144 387</w:t>
                  </w:r>
                </w:p>
              </w:tc>
              <w:tc>
                <w:tcPr>
                  <w:tcW w:w="1336" w:type="dxa"/>
                  <w:vAlign w:val="center"/>
                </w:tcPr>
                <w:p w:rsidR="00820360" w:rsidRPr="005337B3" w:rsidRDefault="00820360" w:rsidP="00CC5877">
                  <w:pPr>
                    <w:jc w:val="both"/>
                    <w:rPr>
                      <w:rFonts w:ascii="Times New Roman" w:eastAsia="Times New Roman" w:hAnsi="Times New Roman" w:cs="Times New Roman"/>
                      <w:lang w:eastAsia="lv-LV"/>
                    </w:rPr>
                  </w:pPr>
                  <w:r w:rsidRPr="005337B3">
                    <w:rPr>
                      <w:rFonts w:ascii="Times New Roman" w:eastAsia="Times New Roman" w:hAnsi="Times New Roman" w:cs="Times New Roman"/>
                      <w:lang w:eastAsia="lv-LV"/>
                    </w:rPr>
                    <w:t>144 387</w:t>
                  </w:r>
                </w:p>
              </w:tc>
              <w:tc>
                <w:tcPr>
                  <w:tcW w:w="1264" w:type="dxa"/>
                  <w:vAlign w:val="center"/>
                </w:tcPr>
                <w:p w:rsidR="00820360" w:rsidRPr="005337B3" w:rsidRDefault="00820360" w:rsidP="00CC5877">
                  <w:pPr>
                    <w:jc w:val="both"/>
                    <w:rPr>
                      <w:rFonts w:ascii="Times New Roman" w:eastAsia="Times New Roman" w:hAnsi="Times New Roman" w:cs="Times New Roman"/>
                      <w:lang w:eastAsia="lv-LV"/>
                    </w:rPr>
                  </w:pPr>
                  <w:r w:rsidRPr="005337B3">
                    <w:rPr>
                      <w:rFonts w:ascii="Times New Roman" w:eastAsia="Times New Roman" w:hAnsi="Times New Roman" w:cs="Times New Roman"/>
                      <w:lang w:eastAsia="lv-LV"/>
                    </w:rPr>
                    <w:t>144 387</w:t>
                  </w:r>
                </w:p>
              </w:tc>
            </w:tr>
            <w:tr w:rsidR="00820360" w:rsidRPr="005337B3" w:rsidTr="00CC5877">
              <w:tc>
                <w:tcPr>
                  <w:tcW w:w="2138" w:type="dxa"/>
                  <w:vAlign w:val="center"/>
                </w:tcPr>
                <w:p w:rsidR="00820360" w:rsidRPr="005337B3" w:rsidRDefault="00820360" w:rsidP="00CC5877">
                  <w:pPr>
                    <w:jc w:val="both"/>
                    <w:rPr>
                      <w:rFonts w:ascii="Times New Roman" w:eastAsia="Times New Roman" w:hAnsi="Times New Roman" w:cs="Times New Roman"/>
                      <w:b/>
                      <w:bCs/>
                      <w:lang w:eastAsia="lv-LV"/>
                    </w:rPr>
                  </w:pPr>
                  <w:r w:rsidRPr="005337B3">
                    <w:rPr>
                      <w:rFonts w:ascii="Times New Roman" w:eastAsia="Times New Roman" w:hAnsi="Times New Roman" w:cs="Times New Roman"/>
                      <w:b/>
                      <w:bCs/>
                      <w:lang w:eastAsia="lv-LV"/>
                    </w:rPr>
                    <w:t>Vidzemes PR</w:t>
                  </w:r>
                </w:p>
              </w:tc>
              <w:tc>
                <w:tcPr>
                  <w:tcW w:w="1336" w:type="dxa"/>
                  <w:vAlign w:val="center"/>
                </w:tcPr>
                <w:p w:rsidR="00820360" w:rsidRPr="005337B3" w:rsidRDefault="00820360" w:rsidP="00CC5877">
                  <w:pPr>
                    <w:jc w:val="both"/>
                    <w:rPr>
                      <w:rFonts w:ascii="Times New Roman" w:eastAsia="Times New Roman" w:hAnsi="Times New Roman" w:cs="Times New Roman"/>
                      <w:lang w:eastAsia="lv-LV"/>
                    </w:rPr>
                  </w:pPr>
                  <w:r w:rsidRPr="005337B3">
                    <w:rPr>
                      <w:rFonts w:ascii="Times New Roman" w:eastAsia="Times New Roman" w:hAnsi="Times New Roman" w:cs="Times New Roman"/>
                      <w:lang w:eastAsia="lv-LV"/>
                    </w:rPr>
                    <w:t>30 960</w:t>
                  </w:r>
                </w:p>
              </w:tc>
              <w:tc>
                <w:tcPr>
                  <w:tcW w:w="1336" w:type="dxa"/>
                </w:tcPr>
                <w:p w:rsidR="00820360" w:rsidRPr="005337B3" w:rsidRDefault="00820360" w:rsidP="00CC5877">
                  <w:r w:rsidRPr="005337B3">
                    <w:rPr>
                      <w:rFonts w:ascii="Times New Roman" w:eastAsia="Times New Roman" w:hAnsi="Times New Roman" w:cs="Times New Roman"/>
                      <w:lang w:eastAsia="lv-LV"/>
                    </w:rPr>
                    <w:t>30 960</w:t>
                  </w:r>
                </w:p>
              </w:tc>
              <w:tc>
                <w:tcPr>
                  <w:tcW w:w="1336" w:type="dxa"/>
                </w:tcPr>
                <w:p w:rsidR="00820360" w:rsidRPr="005337B3" w:rsidRDefault="00820360" w:rsidP="00CC5877">
                  <w:r w:rsidRPr="005337B3">
                    <w:rPr>
                      <w:rFonts w:ascii="Times New Roman" w:eastAsia="Times New Roman" w:hAnsi="Times New Roman" w:cs="Times New Roman"/>
                      <w:lang w:eastAsia="lv-LV"/>
                    </w:rPr>
                    <w:t>30 960</w:t>
                  </w:r>
                </w:p>
              </w:tc>
              <w:tc>
                <w:tcPr>
                  <w:tcW w:w="1264" w:type="dxa"/>
                </w:tcPr>
                <w:p w:rsidR="00820360" w:rsidRPr="005337B3" w:rsidRDefault="00820360" w:rsidP="00CC5877">
                  <w:r w:rsidRPr="005337B3">
                    <w:rPr>
                      <w:rFonts w:ascii="Times New Roman" w:eastAsia="Times New Roman" w:hAnsi="Times New Roman" w:cs="Times New Roman"/>
                      <w:lang w:eastAsia="lv-LV"/>
                    </w:rPr>
                    <w:t>30 960</w:t>
                  </w:r>
                </w:p>
              </w:tc>
            </w:tr>
            <w:tr w:rsidR="00820360" w:rsidRPr="005337B3" w:rsidTr="00CC5877">
              <w:tc>
                <w:tcPr>
                  <w:tcW w:w="2138" w:type="dxa"/>
                  <w:vAlign w:val="center"/>
                </w:tcPr>
                <w:p w:rsidR="00820360" w:rsidRPr="005337B3" w:rsidRDefault="00820360" w:rsidP="00CC5877">
                  <w:pPr>
                    <w:jc w:val="both"/>
                    <w:rPr>
                      <w:rFonts w:ascii="Times New Roman" w:eastAsia="Times New Roman" w:hAnsi="Times New Roman" w:cs="Times New Roman"/>
                      <w:b/>
                      <w:bCs/>
                      <w:lang w:eastAsia="lv-LV"/>
                    </w:rPr>
                  </w:pPr>
                  <w:r w:rsidRPr="005337B3">
                    <w:rPr>
                      <w:rFonts w:ascii="Times New Roman" w:eastAsia="Times New Roman" w:hAnsi="Times New Roman" w:cs="Times New Roman"/>
                      <w:b/>
                      <w:bCs/>
                      <w:lang w:eastAsia="lv-LV"/>
                    </w:rPr>
                    <w:t>Kurzemes PR</w:t>
                  </w:r>
                </w:p>
              </w:tc>
              <w:tc>
                <w:tcPr>
                  <w:tcW w:w="1336" w:type="dxa"/>
                  <w:vAlign w:val="center"/>
                </w:tcPr>
                <w:p w:rsidR="00820360" w:rsidRPr="005337B3" w:rsidRDefault="00820360" w:rsidP="00CC5877">
                  <w:pPr>
                    <w:jc w:val="both"/>
                    <w:rPr>
                      <w:rFonts w:ascii="Times New Roman" w:eastAsia="Times New Roman" w:hAnsi="Times New Roman" w:cs="Times New Roman"/>
                      <w:lang w:eastAsia="lv-LV"/>
                    </w:rPr>
                  </w:pPr>
                  <w:r w:rsidRPr="005337B3">
                    <w:rPr>
                      <w:rFonts w:ascii="Times New Roman" w:eastAsia="Times New Roman" w:hAnsi="Times New Roman" w:cs="Times New Roman"/>
                      <w:lang w:eastAsia="lv-LV"/>
                    </w:rPr>
                    <w:t>27 627</w:t>
                  </w:r>
                </w:p>
              </w:tc>
              <w:tc>
                <w:tcPr>
                  <w:tcW w:w="1336" w:type="dxa"/>
                </w:tcPr>
                <w:p w:rsidR="00820360" w:rsidRPr="005337B3" w:rsidRDefault="00820360" w:rsidP="00CC5877">
                  <w:r w:rsidRPr="005337B3">
                    <w:rPr>
                      <w:rFonts w:ascii="Times New Roman" w:eastAsia="Times New Roman" w:hAnsi="Times New Roman" w:cs="Times New Roman"/>
                      <w:lang w:eastAsia="lv-LV"/>
                    </w:rPr>
                    <w:t>27 627</w:t>
                  </w:r>
                </w:p>
              </w:tc>
              <w:tc>
                <w:tcPr>
                  <w:tcW w:w="1336" w:type="dxa"/>
                </w:tcPr>
                <w:p w:rsidR="00820360" w:rsidRPr="005337B3" w:rsidRDefault="00820360" w:rsidP="00CC5877">
                  <w:r w:rsidRPr="005337B3">
                    <w:rPr>
                      <w:rFonts w:ascii="Times New Roman" w:eastAsia="Times New Roman" w:hAnsi="Times New Roman" w:cs="Times New Roman"/>
                      <w:lang w:eastAsia="lv-LV"/>
                    </w:rPr>
                    <w:t>27 627</w:t>
                  </w:r>
                </w:p>
              </w:tc>
              <w:tc>
                <w:tcPr>
                  <w:tcW w:w="1264" w:type="dxa"/>
                </w:tcPr>
                <w:p w:rsidR="00820360" w:rsidRPr="005337B3" w:rsidRDefault="00820360" w:rsidP="00CC5877">
                  <w:r w:rsidRPr="005337B3">
                    <w:rPr>
                      <w:rFonts w:ascii="Times New Roman" w:eastAsia="Times New Roman" w:hAnsi="Times New Roman" w:cs="Times New Roman"/>
                      <w:lang w:eastAsia="lv-LV"/>
                    </w:rPr>
                    <w:t>27 627</w:t>
                  </w:r>
                </w:p>
              </w:tc>
            </w:tr>
            <w:tr w:rsidR="00820360" w:rsidRPr="005337B3" w:rsidTr="00CC5877">
              <w:trPr>
                <w:trHeight w:val="285"/>
              </w:trPr>
              <w:tc>
                <w:tcPr>
                  <w:tcW w:w="2138" w:type="dxa"/>
                  <w:vAlign w:val="center"/>
                </w:tcPr>
                <w:p w:rsidR="00820360" w:rsidRPr="005337B3" w:rsidRDefault="00820360" w:rsidP="00CC5877">
                  <w:pPr>
                    <w:jc w:val="both"/>
                    <w:rPr>
                      <w:rFonts w:ascii="Times New Roman" w:eastAsia="Times New Roman" w:hAnsi="Times New Roman" w:cs="Times New Roman"/>
                      <w:b/>
                      <w:bCs/>
                      <w:lang w:eastAsia="lv-LV"/>
                    </w:rPr>
                  </w:pPr>
                  <w:r w:rsidRPr="005337B3">
                    <w:rPr>
                      <w:rFonts w:ascii="Times New Roman" w:eastAsia="Times New Roman" w:hAnsi="Times New Roman" w:cs="Times New Roman"/>
                      <w:b/>
                      <w:bCs/>
                      <w:lang w:eastAsia="lv-LV"/>
                    </w:rPr>
                    <w:t>Zemgales PR</w:t>
                  </w:r>
                </w:p>
              </w:tc>
              <w:tc>
                <w:tcPr>
                  <w:tcW w:w="1336" w:type="dxa"/>
                  <w:vAlign w:val="center"/>
                </w:tcPr>
                <w:p w:rsidR="00820360" w:rsidRPr="005337B3" w:rsidRDefault="00820360" w:rsidP="00CC5877">
                  <w:pPr>
                    <w:jc w:val="both"/>
                    <w:rPr>
                      <w:rFonts w:ascii="Times New Roman" w:eastAsia="Times New Roman" w:hAnsi="Times New Roman" w:cs="Times New Roman"/>
                      <w:lang w:eastAsia="lv-LV"/>
                    </w:rPr>
                  </w:pPr>
                  <w:r w:rsidRPr="005337B3">
                    <w:rPr>
                      <w:rFonts w:ascii="Times New Roman" w:eastAsia="Times New Roman" w:hAnsi="Times New Roman" w:cs="Times New Roman"/>
                      <w:lang w:eastAsia="lv-LV"/>
                    </w:rPr>
                    <w:t>30 449</w:t>
                  </w:r>
                </w:p>
              </w:tc>
              <w:tc>
                <w:tcPr>
                  <w:tcW w:w="1336" w:type="dxa"/>
                </w:tcPr>
                <w:p w:rsidR="00820360" w:rsidRPr="005337B3" w:rsidRDefault="00820360" w:rsidP="00CC5877">
                  <w:r w:rsidRPr="005337B3">
                    <w:rPr>
                      <w:rFonts w:ascii="Times New Roman" w:eastAsia="Times New Roman" w:hAnsi="Times New Roman" w:cs="Times New Roman"/>
                      <w:lang w:eastAsia="lv-LV"/>
                    </w:rPr>
                    <w:t>30 449</w:t>
                  </w:r>
                </w:p>
              </w:tc>
              <w:tc>
                <w:tcPr>
                  <w:tcW w:w="1336" w:type="dxa"/>
                </w:tcPr>
                <w:p w:rsidR="00820360" w:rsidRPr="005337B3" w:rsidRDefault="00820360" w:rsidP="00CC5877">
                  <w:r w:rsidRPr="005337B3">
                    <w:rPr>
                      <w:rFonts w:ascii="Times New Roman" w:eastAsia="Times New Roman" w:hAnsi="Times New Roman" w:cs="Times New Roman"/>
                      <w:lang w:eastAsia="lv-LV"/>
                    </w:rPr>
                    <w:t>30 449</w:t>
                  </w:r>
                </w:p>
              </w:tc>
              <w:tc>
                <w:tcPr>
                  <w:tcW w:w="1264" w:type="dxa"/>
                </w:tcPr>
                <w:p w:rsidR="00820360" w:rsidRPr="005337B3" w:rsidRDefault="00820360" w:rsidP="00CC5877">
                  <w:r w:rsidRPr="005337B3">
                    <w:rPr>
                      <w:rFonts w:ascii="Times New Roman" w:eastAsia="Times New Roman" w:hAnsi="Times New Roman" w:cs="Times New Roman"/>
                      <w:lang w:eastAsia="lv-LV"/>
                    </w:rPr>
                    <w:t>30 449</w:t>
                  </w:r>
                </w:p>
              </w:tc>
            </w:tr>
            <w:tr w:rsidR="00820360" w:rsidRPr="005337B3" w:rsidTr="00CC5877">
              <w:trPr>
                <w:trHeight w:val="330"/>
              </w:trPr>
              <w:tc>
                <w:tcPr>
                  <w:tcW w:w="2138" w:type="dxa"/>
                  <w:vAlign w:val="center"/>
                </w:tcPr>
                <w:p w:rsidR="00820360" w:rsidRPr="005337B3" w:rsidRDefault="00820360" w:rsidP="00CC5877">
                  <w:pPr>
                    <w:jc w:val="both"/>
                    <w:rPr>
                      <w:rFonts w:ascii="Times New Roman" w:eastAsia="Times New Roman" w:hAnsi="Times New Roman" w:cs="Times New Roman"/>
                      <w:b/>
                      <w:bCs/>
                      <w:lang w:eastAsia="lv-LV"/>
                    </w:rPr>
                  </w:pPr>
                  <w:r w:rsidRPr="005337B3">
                    <w:rPr>
                      <w:rFonts w:ascii="Times New Roman" w:eastAsia="Times New Roman" w:hAnsi="Times New Roman" w:cs="Times New Roman"/>
                      <w:b/>
                      <w:bCs/>
                      <w:lang w:eastAsia="lv-LV"/>
                    </w:rPr>
                    <w:t>Rīgas PR</w:t>
                  </w:r>
                </w:p>
              </w:tc>
              <w:tc>
                <w:tcPr>
                  <w:tcW w:w="1336" w:type="dxa"/>
                  <w:vAlign w:val="center"/>
                </w:tcPr>
                <w:p w:rsidR="00820360" w:rsidRPr="005337B3" w:rsidRDefault="00820360" w:rsidP="00CC5877">
                  <w:pPr>
                    <w:jc w:val="both"/>
                    <w:rPr>
                      <w:rFonts w:ascii="Times New Roman" w:eastAsia="Times New Roman" w:hAnsi="Times New Roman" w:cs="Times New Roman"/>
                      <w:lang w:eastAsia="lv-LV"/>
                    </w:rPr>
                  </w:pPr>
                  <w:r w:rsidRPr="005337B3">
                    <w:rPr>
                      <w:rFonts w:ascii="Times New Roman" w:eastAsia="Times New Roman" w:hAnsi="Times New Roman" w:cs="Times New Roman"/>
                      <w:lang w:eastAsia="lv-LV"/>
                    </w:rPr>
                    <w:t>31 288</w:t>
                  </w:r>
                </w:p>
              </w:tc>
              <w:tc>
                <w:tcPr>
                  <w:tcW w:w="1336" w:type="dxa"/>
                </w:tcPr>
                <w:p w:rsidR="00820360" w:rsidRPr="005337B3" w:rsidRDefault="00820360" w:rsidP="00CC5877">
                  <w:r w:rsidRPr="005337B3">
                    <w:rPr>
                      <w:rFonts w:ascii="Times New Roman" w:eastAsia="Times New Roman" w:hAnsi="Times New Roman" w:cs="Times New Roman"/>
                      <w:lang w:eastAsia="lv-LV"/>
                    </w:rPr>
                    <w:t>31 288</w:t>
                  </w:r>
                </w:p>
              </w:tc>
              <w:tc>
                <w:tcPr>
                  <w:tcW w:w="1336" w:type="dxa"/>
                </w:tcPr>
                <w:p w:rsidR="00820360" w:rsidRPr="005337B3" w:rsidRDefault="00820360" w:rsidP="00CC5877">
                  <w:r w:rsidRPr="005337B3">
                    <w:rPr>
                      <w:rFonts w:ascii="Times New Roman" w:eastAsia="Times New Roman" w:hAnsi="Times New Roman" w:cs="Times New Roman"/>
                      <w:lang w:eastAsia="lv-LV"/>
                    </w:rPr>
                    <w:t>31 288</w:t>
                  </w:r>
                </w:p>
              </w:tc>
              <w:tc>
                <w:tcPr>
                  <w:tcW w:w="1264" w:type="dxa"/>
                </w:tcPr>
                <w:p w:rsidR="00820360" w:rsidRPr="005337B3" w:rsidRDefault="00820360" w:rsidP="00CC5877">
                  <w:r w:rsidRPr="005337B3">
                    <w:rPr>
                      <w:rFonts w:ascii="Times New Roman" w:eastAsia="Times New Roman" w:hAnsi="Times New Roman" w:cs="Times New Roman"/>
                      <w:lang w:eastAsia="lv-LV"/>
                    </w:rPr>
                    <w:t>31 288</w:t>
                  </w:r>
                </w:p>
              </w:tc>
            </w:tr>
          </w:tbl>
          <w:p w:rsidR="00CE0271" w:rsidRPr="0061495F" w:rsidRDefault="00820360" w:rsidP="005337B3">
            <w:pPr>
              <w:spacing w:after="0" w:line="240" w:lineRule="auto"/>
              <w:jc w:val="both"/>
              <w:rPr>
                <w:rFonts w:ascii="Times New Roman" w:eastAsia="Times New Roman" w:hAnsi="Times New Roman" w:cs="Times New Roman"/>
                <w:sz w:val="26"/>
                <w:szCs w:val="26"/>
                <w:lang w:eastAsia="lv-LV"/>
              </w:rPr>
            </w:pPr>
            <w:r w:rsidRPr="0061495F">
              <w:rPr>
                <w:rFonts w:ascii="Times New Roman" w:hAnsi="Times New Roman" w:cs="Times New Roman"/>
                <w:sz w:val="26"/>
                <w:szCs w:val="26"/>
              </w:rPr>
              <w:t xml:space="preserve">Vienlaicīgi jāatzīmē, ka tika rasts risinājums, sākot ar 2015.gadu novirzīt nelielu papildu finansējumu uzņēmējdarbības  veicināšanas pasākumiem Kurzemes PR, Rīgas PR, Vidzemes PR un Zemgales PR no  piešķirtā </w:t>
            </w:r>
            <w:r w:rsidR="00DD4B1F">
              <w:rPr>
                <w:rFonts w:ascii="Times New Roman" w:hAnsi="Times New Roman" w:cs="Times New Roman"/>
                <w:sz w:val="26"/>
                <w:szCs w:val="26"/>
              </w:rPr>
              <w:t>ministrijai</w:t>
            </w:r>
            <w:r w:rsidRPr="0061495F">
              <w:rPr>
                <w:rFonts w:ascii="Times New Roman" w:hAnsi="Times New Roman" w:cs="Times New Roman"/>
                <w:sz w:val="26"/>
                <w:szCs w:val="26"/>
              </w:rPr>
              <w:t xml:space="preserve"> jaunā politikas  iniciatīvā 2015.-2017.gadam pasākumā “Publisko pakalpojumu pieejamības nodrošināšana saskaņā ar vienas pieturas aģentūras principu” finansējuma, kas plānots </w:t>
            </w:r>
            <w:r w:rsidR="00DD4B1F">
              <w:rPr>
                <w:rFonts w:ascii="Times New Roman" w:hAnsi="Times New Roman" w:cs="Times New Roman"/>
                <w:sz w:val="26"/>
                <w:szCs w:val="26"/>
              </w:rPr>
              <w:t>ministrijas</w:t>
            </w:r>
            <w:r w:rsidRPr="0061495F">
              <w:rPr>
                <w:rFonts w:ascii="Times New Roman" w:hAnsi="Times New Roman" w:cs="Times New Roman"/>
                <w:sz w:val="26"/>
                <w:szCs w:val="26"/>
              </w:rPr>
              <w:t xml:space="preserve"> budžeta programmā 30.00.00 “Pašvaldību attīstības nacionālie atbalsta instrumenti”</w:t>
            </w:r>
            <w:r w:rsidRPr="0061495F" w:rsidDel="00895268">
              <w:rPr>
                <w:rFonts w:ascii="Times New Roman" w:hAnsi="Times New Roman" w:cs="Times New Roman"/>
                <w:sz w:val="26"/>
                <w:szCs w:val="26"/>
              </w:rPr>
              <w:t xml:space="preserve"> </w:t>
            </w:r>
            <w:r w:rsidRPr="0061495F">
              <w:rPr>
                <w:rFonts w:ascii="Times New Roman" w:hAnsi="Times New Roman" w:cs="Times New Roman"/>
                <w:sz w:val="26"/>
                <w:szCs w:val="26"/>
              </w:rPr>
              <w:t xml:space="preserve">sekojošā apjomā: 2015.gadā </w:t>
            </w:r>
            <w:r>
              <w:rPr>
                <w:rFonts w:ascii="Times New Roman" w:hAnsi="Times New Roman" w:cs="Times New Roman"/>
                <w:sz w:val="26"/>
                <w:szCs w:val="26"/>
              </w:rPr>
              <w:t>39</w:t>
            </w:r>
            <w:r w:rsidRPr="0061495F">
              <w:rPr>
                <w:rFonts w:ascii="Times New Roman" w:hAnsi="Times New Roman" w:cs="Times New Roman"/>
                <w:sz w:val="26"/>
                <w:szCs w:val="26"/>
              </w:rPr>
              <w:t xml:space="preserve"> 261 </w:t>
            </w:r>
            <w:r w:rsidRPr="0061495F">
              <w:rPr>
                <w:rFonts w:ascii="Times New Roman" w:hAnsi="Times New Roman" w:cs="Times New Roman"/>
                <w:i/>
                <w:sz w:val="26"/>
                <w:szCs w:val="26"/>
              </w:rPr>
              <w:t xml:space="preserve">euro, </w:t>
            </w:r>
            <w:r w:rsidRPr="0061495F">
              <w:rPr>
                <w:rFonts w:ascii="Times New Roman" w:hAnsi="Times New Roman" w:cs="Times New Roman"/>
                <w:sz w:val="26"/>
                <w:szCs w:val="26"/>
              </w:rPr>
              <w:t xml:space="preserve">2016.gadā 21 389 </w:t>
            </w:r>
            <w:r w:rsidRPr="0061495F">
              <w:rPr>
                <w:rFonts w:ascii="Times New Roman" w:hAnsi="Times New Roman" w:cs="Times New Roman"/>
                <w:i/>
                <w:sz w:val="26"/>
                <w:szCs w:val="26"/>
              </w:rPr>
              <w:t xml:space="preserve">euro, </w:t>
            </w:r>
            <w:r w:rsidRPr="0061495F">
              <w:rPr>
                <w:rFonts w:ascii="Times New Roman" w:hAnsi="Times New Roman" w:cs="Times New Roman"/>
                <w:sz w:val="26"/>
                <w:szCs w:val="26"/>
              </w:rPr>
              <w:t xml:space="preserve">2017.gadā un turpmākajos gados 18 606 </w:t>
            </w:r>
            <w:r w:rsidRPr="0061495F">
              <w:rPr>
                <w:rFonts w:ascii="Times New Roman" w:hAnsi="Times New Roman" w:cs="Times New Roman"/>
                <w:i/>
                <w:sz w:val="26"/>
                <w:szCs w:val="26"/>
              </w:rPr>
              <w:t xml:space="preserve">euro </w:t>
            </w:r>
            <w:r w:rsidRPr="0061495F">
              <w:rPr>
                <w:rFonts w:ascii="Times New Roman" w:hAnsi="Times New Roman" w:cs="Times New Roman"/>
                <w:sz w:val="26"/>
                <w:szCs w:val="26"/>
              </w:rPr>
              <w:t xml:space="preserve">apmērā. </w:t>
            </w:r>
            <w:r w:rsidRPr="0061495F">
              <w:rPr>
                <w:rFonts w:ascii="Times New Roman" w:hAnsi="Times New Roman" w:cs="Times New Roman"/>
                <w:i/>
                <w:sz w:val="26"/>
                <w:szCs w:val="26"/>
              </w:rPr>
              <w:t xml:space="preserve"> </w:t>
            </w: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6.1. detalizēts ieņēmumu aprēķins</w:t>
            </w:r>
          </w:p>
        </w:tc>
        <w:tc>
          <w:tcPr>
            <w:tcW w:w="3569" w:type="pct"/>
            <w:gridSpan w:val="5"/>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p>
        </w:tc>
      </w:tr>
      <w:tr w:rsidR="00CE0271" w:rsidRPr="0061495F" w:rsidTr="00B13279">
        <w:trPr>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6.2. detalizēts izdevumu aprēķins</w:t>
            </w:r>
          </w:p>
        </w:tc>
        <w:tc>
          <w:tcPr>
            <w:tcW w:w="3569" w:type="pct"/>
            <w:gridSpan w:val="5"/>
            <w:vMerge/>
            <w:tcBorders>
              <w:top w:val="outset" w:sz="6" w:space="0" w:color="auto"/>
              <w:left w:val="outset" w:sz="6" w:space="0" w:color="auto"/>
              <w:bottom w:val="outset" w:sz="6" w:space="0" w:color="auto"/>
              <w:right w:val="outset" w:sz="6" w:space="0" w:color="auto"/>
            </w:tcBorders>
            <w:vAlign w:val="center"/>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p>
        </w:tc>
      </w:tr>
      <w:tr w:rsidR="00CE0271" w:rsidRPr="0061495F" w:rsidTr="00B13279">
        <w:trPr>
          <w:trHeight w:val="555"/>
          <w:tblCellSpacing w:w="15" w:type="dxa"/>
        </w:trPr>
        <w:tc>
          <w:tcPr>
            <w:tcW w:w="1381" w:type="pct"/>
            <w:tcBorders>
              <w:top w:val="outset" w:sz="6" w:space="0" w:color="auto"/>
              <w:left w:val="outset" w:sz="6" w:space="0" w:color="auto"/>
              <w:bottom w:val="outset" w:sz="6" w:space="0" w:color="auto"/>
              <w:right w:val="outset" w:sz="6" w:space="0" w:color="auto"/>
            </w:tcBorders>
            <w:hideMark/>
          </w:tcPr>
          <w:p w:rsidR="00CE0271" w:rsidRPr="0061495F" w:rsidRDefault="00CE0271" w:rsidP="00CE0271">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7. Cita informācija</w:t>
            </w:r>
          </w:p>
        </w:tc>
        <w:tc>
          <w:tcPr>
            <w:tcW w:w="3569" w:type="pct"/>
            <w:gridSpan w:val="5"/>
            <w:tcBorders>
              <w:top w:val="outset" w:sz="6" w:space="0" w:color="auto"/>
              <w:left w:val="outset" w:sz="6" w:space="0" w:color="auto"/>
              <w:bottom w:val="outset" w:sz="6" w:space="0" w:color="auto"/>
              <w:right w:val="outset" w:sz="6" w:space="0" w:color="auto"/>
            </w:tcBorders>
            <w:hideMark/>
          </w:tcPr>
          <w:p w:rsidR="00CE0271" w:rsidRPr="0061495F" w:rsidRDefault="00D13A6C" w:rsidP="00333414">
            <w:pPr>
              <w:spacing w:before="100" w:beforeAutospacing="1" w:after="100" w:afterAutospacing="1" w:line="240" w:lineRule="auto"/>
              <w:jc w:val="both"/>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PR uzņēmējdarbības centri ir izveidoti un šobrīd darbojas piešķirtā valsts budžeta finansējuma ietvaros.</w:t>
            </w:r>
          </w:p>
        </w:tc>
      </w:tr>
    </w:tbl>
    <w:p w:rsidR="00CE0271" w:rsidRPr="0061495F" w:rsidRDefault="00CE0271" w:rsidP="00664417">
      <w:pPr>
        <w:spacing w:after="0" w:line="240" w:lineRule="auto"/>
        <w:rPr>
          <w:rFonts w:ascii="Times New Roman" w:eastAsia="Times New Roman" w:hAnsi="Times New Roman" w:cs="Times New Roman"/>
          <w:sz w:val="26"/>
          <w:szCs w:val="26"/>
          <w:lang w:eastAsia="lv-LV"/>
        </w:rPr>
      </w:pPr>
    </w:p>
    <w:tbl>
      <w:tblPr>
        <w:tblW w:w="4966" w:type="pct"/>
        <w:tblCellSpacing w:w="15" w:type="dxa"/>
        <w:tblInd w:w="6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58"/>
      </w:tblGrid>
      <w:tr w:rsidR="00681E96" w:rsidRPr="0061495F" w:rsidTr="008448E6">
        <w:trPr>
          <w:trHeight w:val="42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81E96" w:rsidRPr="0061495F" w:rsidRDefault="00681E96" w:rsidP="008448E6">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61495F">
              <w:rPr>
                <w:rFonts w:ascii="Times New Roman" w:eastAsia="Times New Roman" w:hAnsi="Times New Roman" w:cs="Times New Roman"/>
                <w:b/>
                <w:bCs/>
                <w:sz w:val="26"/>
                <w:szCs w:val="26"/>
                <w:lang w:eastAsia="lv-LV"/>
              </w:rPr>
              <w:t>IV. Tiesību akta projekta ietekme uz spēkā esošo tiesību normu sistēmu</w:t>
            </w:r>
          </w:p>
        </w:tc>
      </w:tr>
      <w:tr w:rsidR="00681E96" w:rsidRPr="0061495F" w:rsidTr="008448E6">
        <w:trPr>
          <w:trHeight w:val="42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81E96" w:rsidRPr="0061495F" w:rsidRDefault="004D3F41" w:rsidP="008448E6">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61495F">
              <w:rPr>
                <w:rFonts w:ascii="Times New Roman" w:hAnsi="Times New Roman" w:cs="Times New Roman"/>
                <w:sz w:val="26"/>
                <w:szCs w:val="26"/>
                <w:shd w:val="clear" w:color="auto" w:fill="FFFFFF"/>
              </w:rPr>
              <w:t>Projekts šo jomu neskar</w:t>
            </w:r>
          </w:p>
        </w:tc>
      </w:tr>
    </w:tbl>
    <w:p w:rsidR="00681E96" w:rsidRPr="0061495F" w:rsidRDefault="00681E96" w:rsidP="00664417">
      <w:pPr>
        <w:spacing w:after="0" w:line="240" w:lineRule="auto"/>
        <w:rPr>
          <w:rFonts w:ascii="Times New Roman" w:eastAsia="Times New Roman" w:hAnsi="Times New Roman" w:cs="Times New Roman"/>
          <w:sz w:val="26"/>
          <w:szCs w:val="26"/>
          <w:lang w:eastAsia="lv-LV"/>
        </w:rPr>
      </w:pPr>
    </w:p>
    <w:tbl>
      <w:tblPr>
        <w:tblW w:w="4966" w:type="pct"/>
        <w:tblCellSpacing w:w="15" w:type="dxa"/>
        <w:tblInd w:w="6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58"/>
      </w:tblGrid>
      <w:tr w:rsidR="00B52DEB" w:rsidRPr="0061495F" w:rsidTr="008448E6">
        <w:trPr>
          <w:trHeight w:val="79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B52DEB" w:rsidRPr="0061495F" w:rsidRDefault="00B52DEB" w:rsidP="008448E6">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61495F">
              <w:rPr>
                <w:rFonts w:ascii="Times New Roman" w:hAnsi="Times New Roman" w:cs="Times New Roman"/>
                <w:b/>
                <w:bCs/>
                <w:sz w:val="26"/>
                <w:szCs w:val="26"/>
              </w:rPr>
              <w:t>V. Tiesību akta projekta atbilstība Latvijas Republikas starptautiskajām saistībām</w:t>
            </w:r>
          </w:p>
        </w:tc>
      </w:tr>
      <w:tr w:rsidR="00B52DEB" w:rsidRPr="0061495F" w:rsidTr="008448E6">
        <w:trPr>
          <w:trHeight w:val="42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B52DEB" w:rsidRPr="0061495F" w:rsidRDefault="00B52DEB" w:rsidP="008448E6">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61495F">
              <w:rPr>
                <w:rFonts w:ascii="Times New Roman" w:hAnsi="Times New Roman" w:cs="Times New Roman"/>
                <w:sz w:val="26"/>
                <w:szCs w:val="26"/>
                <w:shd w:val="clear" w:color="auto" w:fill="FFFFFF"/>
              </w:rPr>
              <w:t>Projekts šo jomu neskar</w:t>
            </w:r>
          </w:p>
        </w:tc>
      </w:tr>
    </w:tbl>
    <w:p w:rsidR="00B52DEB" w:rsidRPr="0061495F" w:rsidRDefault="00B52DEB" w:rsidP="00664417">
      <w:pPr>
        <w:spacing w:after="0" w:line="240" w:lineRule="auto"/>
        <w:rPr>
          <w:rFonts w:ascii="Times New Roman" w:eastAsia="Times New Roman" w:hAnsi="Times New Roman" w:cs="Times New Roman"/>
          <w:sz w:val="26"/>
          <w:szCs w:val="26"/>
          <w:lang w:eastAsia="lv-LV"/>
        </w:rPr>
      </w:pPr>
    </w:p>
    <w:tbl>
      <w:tblPr>
        <w:tblW w:w="4966" w:type="pct"/>
        <w:tblCellSpacing w:w="15" w:type="dxa"/>
        <w:tblInd w:w="6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0"/>
        <w:gridCol w:w="1637"/>
        <w:gridCol w:w="7191"/>
      </w:tblGrid>
      <w:tr w:rsidR="00664417" w:rsidRPr="0061495F" w:rsidTr="00681E96">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64417" w:rsidRPr="0061495F" w:rsidRDefault="00664417" w:rsidP="00664417">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61495F">
              <w:rPr>
                <w:rFonts w:ascii="Times New Roman" w:eastAsia="Times New Roman" w:hAnsi="Times New Roman" w:cs="Times New Roman"/>
                <w:b/>
                <w:bCs/>
                <w:sz w:val="26"/>
                <w:szCs w:val="26"/>
                <w:lang w:eastAsia="lv-LV"/>
              </w:rPr>
              <w:t>VI. Sabiedrības līdzdalība un komunikācijas aktivitātes</w:t>
            </w:r>
          </w:p>
        </w:tc>
      </w:tr>
      <w:tr w:rsidR="00B52DEB" w:rsidRPr="0061495F" w:rsidTr="00B52DEB">
        <w:trPr>
          <w:trHeight w:val="540"/>
          <w:tblCellSpacing w:w="15" w:type="dxa"/>
        </w:trPr>
        <w:tc>
          <w:tcPr>
            <w:tcW w:w="156"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1.</w:t>
            </w:r>
          </w:p>
        </w:tc>
        <w:tc>
          <w:tcPr>
            <w:tcW w:w="877"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Plānotās sabiedrības līdzdalības un komunikācijas aktivitātes saistībā ar projektu</w:t>
            </w:r>
          </w:p>
        </w:tc>
        <w:tc>
          <w:tcPr>
            <w:tcW w:w="3902" w:type="pct"/>
            <w:tcBorders>
              <w:top w:val="outset" w:sz="6" w:space="0" w:color="auto"/>
              <w:left w:val="outset" w:sz="6" w:space="0" w:color="auto"/>
              <w:bottom w:val="outset" w:sz="6" w:space="0" w:color="auto"/>
              <w:right w:val="outset" w:sz="6" w:space="0" w:color="auto"/>
            </w:tcBorders>
            <w:hideMark/>
          </w:tcPr>
          <w:p w:rsidR="00664417" w:rsidRPr="005337B3" w:rsidRDefault="007208B8" w:rsidP="00333414">
            <w:pPr>
              <w:spacing w:after="0" w:line="240" w:lineRule="auto"/>
              <w:jc w:val="both"/>
              <w:rPr>
                <w:rFonts w:ascii="Times New Roman" w:eastAsia="Times New Roman" w:hAnsi="Times New Roman" w:cs="Times New Roman"/>
                <w:sz w:val="26"/>
                <w:szCs w:val="26"/>
                <w:lang w:eastAsia="lv-LV"/>
              </w:rPr>
            </w:pPr>
            <w:r w:rsidRPr="005337B3">
              <w:rPr>
                <w:rFonts w:ascii="Times New Roman" w:eastAsia="Times New Roman" w:hAnsi="Times New Roman" w:cs="Times New Roman"/>
                <w:sz w:val="26"/>
                <w:szCs w:val="26"/>
                <w:lang w:eastAsia="lv-LV"/>
              </w:rPr>
              <w:t xml:space="preserve">Paziņojums par Likumprojektu </w:t>
            </w:r>
            <w:r w:rsidR="00E92AF7" w:rsidRPr="005337B3">
              <w:rPr>
                <w:rFonts w:ascii="Times New Roman" w:eastAsia="Times New Roman" w:hAnsi="Times New Roman" w:cs="Times New Roman"/>
                <w:sz w:val="26"/>
                <w:szCs w:val="26"/>
                <w:lang w:eastAsia="lv-LV"/>
              </w:rPr>
              <w:t xml:space="preserve">un tā </w:t>
            </w:r>
            <w:r w:rsidRPr="005337B3">
              <w:rPr>
                <w:rFonts w:ascii="Times New Roman" w:eastAsia="Times New Roman" w:hAnsi="Times New Roman" w:cs="Times New Roman"/>
                <w:sz w:val="26"/>
                <w:szCs w:val="26"/>
                <w:lang w:eastAsia="lv-LV"/>
              </w:rPr>
              <w:t xml:space="preserve">anotāciju tika publicēts </w:t>
            </w:r>
            <w:r w:rsidR="00E92AF7" w:rsidRPr="005337B3">
              <w:rPr>
                <w:rFonts w:ascii="Times New Roman" w:eastAsia="Times New Roman" w:hAnsi="Times New Roman" w:cs="Times New Roman"/>
                <w:sz w:val="26"/>
                <w:szCs w:val="26"/>
                <w:lang w:eastAsia="lv-LV"/>
              </w:rPr>
              <w:t xml:space="preserve">ministrijas </w:t>
            </w:r>
            <w:r w:rsidRPr="005337B3">
              <w:rPr>
                <w:rFonts w:ascii="Times New Roman" w:eastAsia="Times New Roman" w:hAnsi="Times New Roman" w:cs="Times New Roman"/>
                <w:sz w:val="26"/>
                <w:szCs w:val="26"/>
                <w:lang w:eastAsia="lv-LV"/>
              </w:rPr>
              <w:t>tīmekļa vietnē</w:t>
            </w:r>
            <w:r w:rsidR="00E92AF7" w:rsidRPr="005337B3">
              <w:rPr>
                <w:rFonts w:ascii="Times New Roman" w:eastAsia="Times New Roman" w:hAnsi="Times New Roman" w:cs="Times New Roman"/>
                <w:sz w:val="26"/>
                <w:szCs w:val="26"/>
                <w:lang w:eastAsia="lv-LV"/>
              </w:rPr>
              <w:t xml:space="preserve"> </w:t>
            </w:r>
            <w:hyperlink r:id="rId11" w:history="1">
              <w:r w:rsidRPr="005337B3">
                <w:rPr>
                  <w:rStyle w:val="Hyperlink"/>
                  <w:rFonts w:ascii="Times New Roman" w:hAnsi="Times New Roman"/>
                  <w:color w:val="auto"/>
                  <w:sz w:val="26"/>
                  <w:szCs w:val="26"/>
                  <w:lang w:eastAsia="lv-LV"/>
                </w:rPr>
                <w:t>www.varam.gov.lv</w:t>
              </w:r>
            </w:hyperlink>
            <w:r w:rsidRPr="005337B3">
              <w:rPr>
                <w:sz w:val="26"/>
                <w:szCs w:val="26"/>
              </w:rPr>
              <w:t xml:space="preserve"> </w:t>
            </w:r>
            <w:r w:rsidR="00E92AF7" w:rsidRPr="005337B3">
              <w:rPr>
                <w:rFonts w:ascii="Times New Roman" w:eastAsia="Times New Roman" w:hAnsi="Times New Roman" w:cs="Times New Roman"/>
                <w:sz w:val="26"/>
                <w:szCs w:val="26"/>
                <w:lang w:eastAsia="lv-LV"/>
              </w:rPr>
              <w:t xml:space="preserve">sadaļā </w:t>
            </w:r>
            <w:r w:rsidR="00DD1F07" w:rsidRPr="005337B3">
              <w:rPr>
                <w:rFonts w:ascii="Times New Roman" w:eastAsia="Times New Roman" w:hAnsi="Times New Roman" w:cs="Times New Roman"/>
                <w:sz w:val="26"/>
                <w:szCs w:val="26"/>
                <w:lang w:eastAsia="lv-LV"/>
              </w:rPr>
              <w:t>„</w:t>
            </w:r>
            <w:r w:rsidR="00DD1F07" w:rsidRPr="005337B3">
              <w:rPr>
                <w:rFonts w:ascii="Times New Roman" w:hAnsi="Times New Roman" w:cs="Times New Roman"/>
                <w:bCs/>
                <w:sz w:val="26"/>
                <w:szCs w:val="26"/>
              </w:rPr>
              <w:t>Sabiedrības līdzdalība”</w:t>
            </w:r>
            <w:r w:rsidR="005337B3">
              <w:rPr>
                <w:rFonts w:ascii="Times New Roman" w:hAnsi="Times New Roman" w:cs="Times New Roman"/>
                <w:bCs/>
                <w:sz w:val="26"/>
                <w:szCs w:val="26"/>
              </w:rPr>
              <w:t>.</w:t>
            </w:r>
            <w:r w:rsidR="00E92AF7" w:rsidRPr="005337B3">
              <w:rPr>
                <w:rFonts w:ascii="Times New Roman" w:eastAsia="Times New Roman" w:hAnsi="Times New Roman" w:cs="Times New Roman"/>
                <w:sz w:val="26"/>
                <w:szCs w:val="26"/>
                <w:lang w:eastAsia="lv-LV"/>
              </w:rPr>
              <w:t xml:space="preserve"> </w:t>
            </w:r>
          </w:p>
        </w:tc>
      </w:tr>
      <w:tr w:rsidR="00B52DEB" w:rsidRPr="0061495F" w:rsidTr="00B52DEB">
        <w:trPr>
          <w:trHeight w:val="330"/>
          <w:tblCellSpacing w:w="15" w:type="dxa"/>
        </w:trPr>
        <w:tc>
          <w:tcPr>
            <w:tcW w:w="156" w:type="pct"/>
            <w:tcBorders>
              <w:top w:val="outset" w:sz="6" w:space="0" w:color="auto"/>
              <w:left w:val="outset" w:sz="6" w:space="0" w:color="auto"/>
              <w:bottom w:val="outset" w:sz="6" w:space="0" w:color="auto"/>
              <w:right w:val="outset" w:sz="6" w:space="0" w:color="auto"/>
            </w:tcBorders>
            <w:hideMark/>
          </w:tcPr>
          <w:p w:rsidR="00664417" w:rsidRPr="0061495F" w:rsidRDefault="00664417" w:rsidP="008635C6">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2</w:t>
            </w:r>
            <w:r w:rsidR="008635C6" w:rsidRPr="0061495F">
              <w:rPr>
                <w:rFonts w:ascii="Times New Roman" w:eastAsia="Times New Roman" w:hAnsi="Times New Roman" w:cs="Times New Roman"/>
                <w:sz w:val="26"/>
                <w:szCs w:val="26"/>
                <w:lang w:eastAsia="lv-LV"/>
              </w:rPr>
              <w:t>.</w:t>
            </w:r>
          </w:p>
        </w:tc>
        <w:tc>
          <w:tcPr>
            <w:tcW w:w="877"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Sabiedrības līdzdalība projekta izstrādē</w:t>
            </w:r>
          </w:p>
        </w:tc>
        <w:tc>
          <w:tcPr>
            <w:tcW w:w="3902" w:type="pct"/>
            <w:tcBorders>
              <w:top w:val="outset" w:sz="6" w:space="0" w:color="auto"/>
              <w:left w:val="outset" w:sz="6" w:space="0" w:color="auto"/>
              <w:bottom w:val="outset" w:sz="6" w:space="0" w:color="auto"/>
              <w:right w:val="outset" w:sz="6" w:space="0" w:color="auto"/>
            </w:tcBorders>
            <w:hideMark/>
          </w:tcPr>
          <w:p w:rsidR="00C05F7B" w:rsidRPr="005337B3" w:rsidRDefault="00854D8D" w:rsidP="005337B3">
            <w:pPr>
              <w:spacing w:after="0" w:line="240" w:lineRule="auto"/>
              <w:jc w:val="both"/>
              <w:rPr>
                <w:rFonts w:ascii="Times New Roman" w:hAnsi="Times New Roman" w:cs="Times New Roman"/>
                <w:sz w:val="26"/>
                <w:szCs w:val="26"/>
              </w:rPr>
            </w:pPr>
            <w:r w:rsidRPr="005337B3">
              <w:rPr>
                <w:rFonts w:ascii="Times New Roman" w:eastAsia="Times New Roman" w:hAnsi="Times New Roman" w:cs="Times New Roman"/>
                <w:sz w:val="26"/>
                <w:szCs w:val="26"/>
                <w:lang w:eastAsia="lv-LV"/>
              </w:rPr>
              <w:t xml:space="preserve">Likumprojekts un tā anotācija 2015.gada 20.novembrī </w:t>
            </w:r>
            <w:r w:rsidR="008635C6" w:rsidRPr="005337B3">
              <w:rPr>
                <w:rFonts w:ascii="Times New Roman" w:eastAsia="Times New Roman" w:hAnsi="Times New Roman" w:cs="Times New Roman"/>
                <w:sz w:val="26"/>
                <w:szCs w:val="26"/>
                <w:lang w:eastAsia="lv-LV"/>
              </w:rPr>
              <w:t xml:space="preserve">publicēts ministrijas tīmekļa vietnē </w:t>
            </w:r>
            <w:hyperlink r:id="rId12" w:history="1">
              <w:r w:rsidR="008635C6" w:rsidRPr="005337B3">
                <w:rPr>
                  <w:rStyle w:val="Hyperlink"/>
                  <w:rFonts w:ascii="Times New Roman" w:eastAsia="Times New Roman" w:hAnsi="Times New Roman" w:cs="Times New Roman"/>
                  <w:color w:val="auto"/>
                  <w:sz w:val="26"/>
                  <w:szCs w:val="26"/>
                  <w:lang w:eastAsia="lv-LV"/>
                </w:rPr>
                <w:t>www.varam.gov.lv</w:t>
              </w:r>
            </w:hyperlink>
            <w:r w:rsidR="008635C6" w:rsidRPr="005337B3">
              <w:rPr>
                <w:rFonts w:ascii="Times New Roman" w:eastAsia="Times New Roman" w:hAnsi="Times New Roman" w:cs="Times New Roman"/>
                <w:sz w:val="26"/>
                <w:szCs w:val="26"/>
                <w:lang w:eastAsia="lv-LV"/>
              </w:rPr>
              <w:t xml:space="preserve">, aicinot ieinteresētajām personām izteikt viedokli un sniegt priekšlikumus. </w:t>
            </w:r>
            <w:r w:rsidR="002327DE" w:rsidRPr="005337B3">
              <w:rPr>
                <w:rFonts w:ascii="Times New Roman" w:eastAsia="Times New Roman" w:hAnsi="Times New Roman" w:cs="Times New Roman"/>
                <w:sz w:val="26"/>
                <w:szCs w:val="26"/>
                <w:lang w:eastAsia="lv-LV"/>
              </w:rPr>
              <w:t xml:space="preserve">2015.gada 17.novembrī notika diskusija ar PR un Ekonomikas ministriju jautājumā </w:t>
            </w:r>
            <w:r w:rsidR="00787103" w:rsidRPr="005337B3">
              <w:rPr>
                <w:rFonts w:ascii="Times New Roman" w:hAnsi="Times New Roman" w:cs="Times New Roman"/>
                <w:sz w:val="26"/>
                <w:szCs w:val="26"/>
              </w:rPr>
              <w:t xml:space="preserve">par portāla latvija.lv uzņēmējdarbības sadaļas pilnveidi. </w:t>
            </w:r>
            <w:r w:rsidR="00F00806" w:rsidRPr="005337B3">
              <w:rPr>
                <w:rFonts w:ascii="Times New Roman" w:hAnsi="Times New Roman" w:cs="Times New Roman"/>
                <w:sz w:val="26"/>
                <w:szCs w:val="26"/>
              </w:rPr>
              <w:t>201</w:t>
            </w:r>
            <w:r w:rsidR="009E6FB6" w:rsidRPr="005337B3">
              <w:rPr>
                <w:rFonts w:ascii="Times New Roman" w:hAnsi="Times New Roman" w:cs="Times New Roman"/>
                <w:sz w:val="26"/>
                <w:szCs w:val="26"/>
              </w:rPr>
              <w:t xml:space="preserve">6.gada 12.janvārī </w:t>
            </w:r>
            <w:r w:rsidR="00DD4B1F" w:rsidRPr="005337B3">
              <w:rPr>
                <w:rFonts w:ascii="Times New Roman" w:hAnsi="Times New Roman" w:cs="Times New Roman"/>
                <w:sz w:val="26"/>
                <w:szCs w:val="26"/>
              </w:rPr>
              <w:t>ministrija</w:t>
            </w:r>
            <w:r w:rsidR="005337B3">
              <w:rPr>
                <w:rFonts w:ascii="Times New Roman" w:hAnsi="Times New Roman" w:cs="Times New Roman"/>
                <w:sz w:val="26"/>
                <w:szCs w:val="26"/>
              </w:rPr>
              <w:t xml:space="preserve"> un PR pārstāvji piedalījās Latvijas pašvaldību savienības</w:t>
            </w:r>
            <w:r w:rsidR="00787103" w:rsidRPr="005337B3">
              <w:rPr>
                <w:rFonts w:ascii="Times New Roman" w:hAnsi="Times New Roman" w:cs="Times New Roman"/>
                <w:sz w:val="26"/>
                <w:szCs w:val="26"/>
              </w:rPr>
              <w:t xml:space="preserve"> Reģionālās attīstības komitejas sēdē un informēja par grozījumu būtību un pamatoju</w:t>
            </w:r>
            <w:r w:rsidR="005337B3">
              <w:rPr>
                <w:rFonts w:ascii="Times New Roman" w:hAnsi="Times New Roman" w:cs="Times New Roman"/>
                <w:sz w:val="26"/>
                <w:szCs w:val="26"/>
              </w:rPr>
              <w:t xml:space="preserve">mu Reģionālās attīstības likumā, kā arī </w:t>
            </w:r>
            <w:r w:rsidR="00787103" w:rsidRPr="005337B3">
              <w:rPr>
                <w:rFonts w:ascii="Times New Roman" w:hAnsi="Times New Roman" w:cs="Times New Roman"/>
                <w:sz w:val="26"/>
                <w:szCs w:val="26"/>
              </w:rPr>
              <w:t>sniedza informāciju par reģionu uzņēmējdarbības centru paveikto un turpmāko darbību.</w:t>
            </w:r>
            <w:r w:rsidR="00F00806" w:rsidRPr="005337B3">
              <w:rPr>
                <w:sz w:val="26"/>
                <w:szCs w:val="26"/>
              </w:rPr>
              <w:t xml:space="preserve"> </w:t>
            </w:r>
          </w:p>
        </w:tc>
      </w:tr>
      <w:tr w:rsidR="00B52DEB" w:rsidRPr="0061495F" w:rsidTr="00B52DEB">
        <w:trPr>
          <w:trHeight w:val="465"/>
          <w:tblCellSpacing w:w="15" w:type="dxa"/>
        </w:trPr>
        <w:tc>
          <w:tcPr>
            <w:tcW w:w="156"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3.</w:t>
            </w:r>
          </w:p>
        </w:tc>
        <w:tc>
          <w:tcPr>
            <w:tcW w:w="877"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Sabiedrības līdzdalības rezultāti</w:t>
            </w:r>
          </w:p>
        </w:tc>
        <w:tc>
          <w:tcPr>
            <w:tcW w:w="3902" w:type="pct"/>
            <w:tcBorders>
              <w:top w:val="outset" w:sz="6" w:space="0" w:color="auto"/>
              <w:left w:val="outset" w:sz="6" w:space="0" w:color="auto"/>
              <w:bottom w:val="outset" w:sz="6" w:space="0" w:color="auto"/>
              <w:right w:val="outset" w:sz="6" w:space="0" w:color="auto"/>
            </w:tcBorders>
            <w:hideMark/>
          </w:tcPr>
          <w:p w:rsidR="00C574C3" w:rsidRPr="0061495F" w:rsidRDefault="00DD1F07">
            <w:pPr>
              <w:spacing w:after="0" w:line="240" w:lineRule="auto"/>
              <w:jc w:val="both"/>
              <w:rPr>
                <w:rFonts w:ascii="Times New Roman" w:hAnsi="Times New Roman" w:cs="Times New Roman"/>
                <w:sz w:val="26"/>
                <w:szCs w:val="26"/>
              </w:rPr>
            </w:pPr>
            <w:r w:rsidRPr="0061495F">
              <w:rPr>
                <w:rFonts w:ascii="Times New Roman" w:hAnsi="Times New Roman" w:cs="Times New Roman"/>
                <w:sz w:val="26"/>
                <w:szCs w:val="26"/>
              </w:rPr>
              <w:t xml:space="preserve">Saņemtie priekšlikumi pēc izvērtēšanas tiks iestrādāti </w:t>
            </w:r>
            <w:r w:rsidR="008635C6" w:rsidRPr="0061495F">
              <w:rPr>
                <w:rFonts w:ascii="Times New Roman" w:hAnsi="Times New Roman" w:cs="Times New Roman"/>
                <w:sz w:val="26"/>
                <w:szCs w:val="26"/>
              </w:rPr>
              <w:t xml:space="preserve">likumprojektā </w:t>
            </w:r>
            <w:r w:rsidRPr="0061495F">
              <w:rPr>
                <w:rFonts w:ascii="Times New Roman" w:hAnsi="Times New Roman" w:cs="Times New Roman"/>
                <w:sz w:val="26"/>
                <w:szCs w:val="26"/>
              </w:rPr>
              <w:t xml:space="preserve">vai arī tiks sniegts pamatojums, kāpēc sabiedrības priekšlikumi nav iekļaujami </w:t>
            </w:r>
            <w:r w:rsidR="008635C6" w:rsidRPr="0061495F">
              <w:rPr>
                <w:rFonts w:ascii="Times New Roman" w:hAnsi="Times New Roman" w:cs="Times New Roman"/>
                <w:sz w:val="26"/>
                <w:szCs w:val="26"/>
              </w:rPr>
              <w:t>likum</w:t>
            </w:r>
            <w:r w:rsidRPr="0061495F">
              <w:rPr>
                <w:rFonts w:ascii="Times New Roman" w:hAnsi="Times New Roman" w:cs="Times New Roman"/>
                <w:sz w:val="26"/>
                <w:szCs w:val="26"/>
              </w:rPr>
              <w:t>projektā</w:t>
            </w:r>
            <w:r w:rsidR="008635C6" w:rsidRPr="0061495F">
              <w:t>.</w:t>
            </w:r>
          </w:p>
        </w:tc>
      </w:tr>
      <w:tr w:rsidR="00B52DEB" w:rsidRPr="0061495F" w:rsidTr="00B52DEB">
        <w:trPr>
          <w:trHeight w:val="465"/>
          <w:tblCellSpacing w:w="15" w:type="dxa"/>
        </w:trPr>
        <w:tc>
          <w:tcPr>
            <w:tcW w:w="156"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4.</w:t>
            </w:r>
          </w:p>
        </w:tc>
        <w:tc>
          <w:tcPr>
            <w:tcW w:w="877"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Cita informācija</w:t>
            </w:r>
          </w:p>
        </w:tc>
        <w:tc>
          <w:tcPr>
            <w:tcW w:w="3902" w:type="pct"/>
            <w:tcBorders>
              <w:top w:val="outset" w:sz="6" w:space="0" w:color="auto"/>
              <w:left w:val="outset" w:sz="6" w:space="0" w:color="auto"/>
              <w:bottom w:val="outset" w:sz="6" w:space="0" w:color="auto"/>
              <w:right w:val="outset" w:sz="6" w:space="0" w:color="auto"/>
            </w:tcBorders>
            <w:hideMark/>
          </w:tcPr>
          <w:p w:rsidR="00664417" w:rsidRPr="0061495F" w:rsidRDefault="00E77CD4" w:rsidP="00B13279">
            <w:pPr>
              <w:spacing w:after="0" w:line="240" w:lineRule="auto"/>
              <w:jc w:val="both"/>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2015.gada 19.jūnija starpinstitūciju sanāksmē tika panākta vienošanās ar visām institūcijām</w:t>
            </w:r>
            <w:r w:rsidRPr="0061495F">
              <w:rPr>
                <w:rStyle w:val="FootnoteReference"/>
                <w:rFonts w:ascii="Times New Roman" w:eastAsia="Times New Roman" w:hAnsi="Times New Roman" w:cs="Times New Roman"/>
                <w:sz w:val="26"/>
                <w:szCs w:val="26"/>
                <w:lang w:eastAsia="lv-LV"/>
              </w:rPr>
              <w:footnoteReference w:id="11"/>
            </w:r>
            <w:r w:rsidRPr="0061495F">
              <w:rPr>
                <w:rFonts w:ascii="Times New Roman" w:eastAsia="Times New Roman" w:hAnsi="Times New Roman" w:cs="Times New Roman"/>
                <w:sz w:val="26"/>
                <w:szCs w:val="26"/>
                <w:lang w:eastAsia="lv-LV"/>
              </w:rPr>
              <w:t xml:space="preserve">, kuras bija sniegušas atzinumu par informatīvā ziņojuma „Par plānošanas reģionu darbības pilnveidošanu” un attiecīgā protokollēmuma projektu, kas paredzēja veikt grozījumus Reģionālās attīstības likumā, papildinot PR kompetenci ar uzņēmējdarbības veicināšanas funkciju reģionā.  </w:t>
            </w:r>
          </w:p>
        </w:tc>
      </w:tr>
    </w:tbl>
    <w:p w:rsidR="00664417" w:rsidRPr="0061495F" w:rsidRDefault="00664417" w:rsidP="00664417">
      <w:pPr>
        <w:spacing w:after="0" w:line="240" w:lineRule="auto"/>
        <w:rPr>
          <w:rFonts w:ascii="Times New Roman" w:eastAsia="Times New Roman" w:hAnsi="Times New Roman" w:cs="Times New Roman"/>
          <w:sz w:val="26"/>
          <w:szCs w:val="26"/>
          <w:lang w:eastAsia="lv-LV"/>
        </w:rPr>
      </w:pPr>
    </w:p>
    <w:tbl>
      <w:tblPr>
        <w:tblW w:w="4939"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5"/>
        <w:gridCol w:w="3059"/>
        <w:gridCol w:w="5555"/>
      </w:tblGrid>
      <w:tr w:rsidR="00664417" w:rsidRPr="0061495F" w:rsidTr="008A36DF">
        <w:trPr>
          <w:trHeight w:val="37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64417" w:rsidRPr="0061495F" w:rsidRDefault="00664417" w:rsidP="00664417">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61495F">
              <w:rPr>
                <w:rFonts w:ascii="Times New Roman" w:eastAsia="Times New Roman" w:hAnsi="Times New Roman" w:cs="Times New Roman"/>
                <w:b/>
                <w:bCs/>
                <w:sz w:val="26"/>
                <w:szCs w:val="26"/>
                <w:lang w:eastAsia="lv-LV"/>
              </w:rPr>
              <w:t>VII. Tiesību akta projekta izpildes nodrošināšana un tās ietekme uz institūcijām</w:t>
            </w:r>
          </w:p>
        </w:tc>
      </w:tr>
      <w:tr w:rsidR="00664417" w:rsidRPr="0061495F" w:rsidTr="008A36DF">
        <w:trPr>
          <w:trHeight w:val="420"/>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1.</w:t>
            </w:r>
          </w:p>
        </w:tc>
        <w:tc>
          <w:tcPr>
            <w:tcW w:w="1675"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Projekta izpildē iesaistītās institūcijas</w:t>
            </w:r>
          </w:p>
        </w:tc>
        <w:tc>
          <w:tcPr>
            <w:tcW w:w="3015" w:type="pct"/>
            <w:tcBorders>
              <w:top w:val="outset" w:sz="6" w:space="0" w:color="auto"/>
              <w:left w:val="outset" w:sz="6" w:space="0" w:color="auto"/>
              <w:bottom w:val="outset" w:sz="6" w:space="0" w:color="auto"/>
              <w:right w:val="outset" w:sz="6" w:space="0" w:color="auto"/>
            </w:tcBorders>
            <w:hideMark/>
          </w:tcPr>
          <w:p w:rsidR="00664417" w:rsidRPr="0061495F" w:rsidRDefault="00F35258" w:rsidP="0067519C">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Plānošanas reģioni</w:t>
            </w:r>
            <w:r w:rsidR="006D556C" w:rsidRPr="0061495F">
              <w:rPr>
                <w:rFonts w:ascii="Times New Roman" w:eastAsia="Times New Roman" w:hAnsi="Times New Roman" w:cs="Times New Roman"/>
                <w:sz w:val="26"/>
                <w:szCs w:val="26"/>
                <w:lang w:eastAsia="lv-LV"/>
              </w:rPr>
              <w:t>.</w:t>
            </w:r>
          </w:p>
        </w:tc>
      </w:tr>
      <w:tr w:rsidR="00664417" w:rsidRPr="0061495F" w:rsidTr="008A36DF">
        <w:trPr>
          <w:trHeight w:val="450"/>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2.</w:t>
            </w:r>
          </w:p>
        </w:tc>
        <w:tc>
          <w:tcPr>
            <w:tcW w:w="1675"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Projekta izpildes ietekme uz pārvaldes funkcijām un institucionālo struktūru</w:t>
            </w:r>
          </w:p>
          <w:p w:rsidR="00664417" w:rsidRPr="0061495F"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3015" w:type="pct"/>
            <w:tcBorders>
              <w:top w:val="outset" w:sz="6" w:space="0" w:color="auto"/>
              <w:left w:val="outset" w:sz="6" w:space="0" w:color="auto"/>
              <w:bottom w:val="outset" w:sz="6" w:space="0" w:color="auto"/>
              <w:right w:val="outset" w:sz="6" w:space="0" w:color="auto"/>
            </w:tcBorders>
            <w:hideMark/>
          </w:tcPr>
          <w:p w:rsidR="00C574C3" w:rsidRPr="0061495F" w:rsidRDefault="00402FE3">
            <w:pPr>
              <w:spacing w:after="0" w:line="240" w:lineRule="auto"/>
              <w:jc w:val="both"/>
              <w:rPr>
                <w:rFonts w:ascii="Times New Roman" w:eastAsia="Times New Roman" w:hAnsi="Times New Roman" w:cs="Times New Roman"/>
                <w:sz w:val="26"/>
                <w:szCs w:val="26"/>
                <w:lang w:eastAsia="zh-TW"/>
              </w:rPr>
            </w:pPr>
            <w:r w:rsidRPr="0061495F">
              <w:rPr>
                <w:rFonts w:ascii="Times New Roman" w:eastAsia="Times New Roman" w:hAnsi="Times New Roman" w:cs="Times New Roman"/>
                <w:sz w:val="26"/>
                <w:szCs w:val="26"/>
                <w:lang w:eastAsia="zh-TW"/>
              </w:rPr>
              <w:t>Likump</w:t>
            </w:r>
            <w:r w:rsidR="00664417" w:rsidRPr="0061495F">
              <w:rPr>
                <w:rFonts w:ascii="Times New Roman" w:eastAsia="Times New Roman" w:hAnsi="Times New Roman" w:cs="Times New Roman"/>
                <w:sz w:val="26"/>
                <w:szCs w:val="26"/>
                <w:lang w:eastAsia="zh-TW"/>
              </w:rPr>
              <w:t>rojekta izpilde neietekmēs pārvaldes funkcijas vai institucionālo struktūru.</w:t>
            </w:r>
          </w:p>
          <w:p w:rsidR="00C574C3" w:rsidRPr="0061495F" w:rsidRDefault="00C574C3">
            <w:pPr>
              <w:spacing w:after="0" w:line="240" w:lineRule="auto"/>
              <w:jc w:val="both"/>
              <w:rPr>
                <w:rFonts w:ascii="Times New Roman" w:eastAsia="Times New Roman" w:hAnsi="Times New Roman" w:cs="Times New Roman"/>
                <w:sz w:val="26"/>
                <w:szCs w:val="26"/>
                <w:lang w:eastAsia="zh-TW"/>
              </w:rPr>
            </w:pPr>
          </w:p>
          <w:p w:rsidR="00C574C3" w:rsidRPr="0061495F" w:rsidRDefault="00C574C3">
            <w:pPr>
              <w:spacing w:after="0" w:line="240" w:lineRule="auto"/>
              <w:jc w:val="both"/>
              <w:rPr>
                <w:rFonts w:ascii="Times New Roman" w:eastAsia="Times New Roman" w:hAnsi="Times New Roman" w:cs="Times New Roman"/>
                <w:sz w:val="26"/>
                <w:szCs w:val="26"/>
                <w:lang w:eastAsia="zh-TW"/>
              </w:rPr>
            </w:pPr>
          </w:p>
          <w:p w:rsidR="00C574C3" w:rsidRPr="0061495F" w:rsidRDefault="00664417">
            <w:pPr>
              <w:spacing w:after="0" w:line="240" w:lineRule="auto"/>
              <w:jc w:val="both"/>
              <w:rPr>
                <w:rFonts w:ascii="Times New Roman" w:eastAsia="Times New Roman" w:hAnsi="Times New Roman" w:cs="Times New Roman"/>
                <w:sz w:val="26"/>
                <w:szCs w:val="26"/>
                <w:lang w:eastAsia="zh-TW"/>
              </w:rPr>
            </w:pPr>
            <w:r w:rsidRPr="0061495F">
              <w:rPr>
                <w:rFonts w:ascii="Times New Roman" w:eastAsia="Times New Roman" w:hAnsi="Times New Roman" w:cs="Times New Roman"/>
                <w:sz w:val="26"/>
                <w:szCs w:val="26"/>
                <w:lang w:eastAsia="zh-TW"/>
              </w:rPr>
              <w:t xml:space="preserve">Saistībā ar </w:t>
            </w:r>
            <w:r w:rsidR="006A4C9D" w:rsidRPr="0061495F">
              <w:rPr>
                <w:rFonts w:ascii="Times New Roman" w:eastAsia="Times New Roman" w:hAnsi="Times New Roman" w:cs="Times New Roman"/>
                <w:sz w:val="26"/>
                <w:szCs w:val="26"/>
                <w:lang w:eastAsia="zh-TW"/>
              </w:rPr>
              <w:t>likum</w:t>
            </w:r>
            <w:r w:rsidRPr="0061495F">
              <w:rPr>
                <w:rFonts w:ascii="Times New Roman" w:eastAsia="Times New Roman" w:hAnsi="Times New Roman" w:cs="Times New Roman"/>
                <w:sz w:val="26"/>
                <w:szCs w:val="26"/>
                <w:lang w:eastAsia="zh-TW"/>
              </w:rPr>
              <w:t>projekta izpildi nav nepieciešams veidot jaunas institūcijas, likvidēt vai reorganizēt esošās.</w:t>
            </w:r>
          </w:p>
          <w:p w:rsidR="00C574C3" w:rsidRPr="0061495F" w:rsidRDefault="006A4C9D">
            <w:pPr>
              <w:spacing w:after="0" w:line="240" w:lineRule="auto"/>
              <w:jc w:val="both"/>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zh-TW"/>
              </w:rPr>
              <w:t>Likump</w:t>
            </w:r>
            <w:r w:rsidR="00664417" w:rsidRPr="0061495F">
              <w:rPr>
                <w:rFonts w:ascii="Times New Roman" w:eastAsia="Times New Roman" w:hAnsi="Times New Roman" w:cs="Times New Roman"/>
                <w:sz w:val="26"/>
                <w:szCs w:val="26"/>
                <w:lang w:eastAsia="zh-TW"/>
              </w:rPr>
              <w:t>rojekta izpilde neietekmēs institūcijai pieejamos cilvēkresursus.</w:t>
            </w:r>
          </w:p>
        </w:tc>
      </w:tr>
      <w:tr w:rsidR="00664417" w:rsidRPr="0061495F" w:rsidTr="008A36DF">
        <w:trPr>
          <w:trHeight w:val="390"/>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3.</w:t>
            </w:r>
          </w:p>
        </w:tc>
        <w:tc>
          <w:tcPr>
            <w:tcW w:w="1675"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Cita informācija</w:t>
            </w:r>
          </w:p>
        </w:tc>
        <w:tc>
          <w:tcPr>
            <w:tcW w:w="3015" w:type="pct"/>
            <w:tcBorders>
              <w:top w:val="outset" w:sz="6" w:space="0" w:color="auto"/>
              <w:left w:val="outset" w:sz="6" w:space="0" w:color="auto"/>
              <w:bottom w:val="outset" w:sz="6" w:space="0" w:color="auto"/>
              <w:right w:val="outset" w:sz="6" w:space="0" w:color="auto"/>
            </w:tcBorders>
            <w:hideMark/>
          </w:tcPr>
          <w:p w:rsidR="00664417" w:rsidRPr="0061495F" w:rsidRDefault="00664417" w:rsidP="00664417">
            <w:pPr>
              <w:spacing w:after="0" w:line="240" w:lineRule="auto"/>
              <w:rPr>
                <w:rFonts w:ascii="Times New Roman" w:eastAsia="Times New Roman" w:hAnsi="Times New Roman" w:cs="Times New Roman"/>
                <w:sz w:val="26"/>
                <w:szCs w:val="26"/>
                <w:lang w:eastAsia="lv-LV"/>
              </w:rPr>
            </w:pPr>
            <w:r w:rsidRPr="0061495F">
              <w:rPr>
                <w:rFonts w:ascii="Times New Roman" w:eastAsia="Times New Roman" w:hAnsi="Times New Roman" w:cs="Times New Roman"/>
                <w:sz w:val="26"/>
                <w:szCs w:val="26"/>
                <w:lang w:eastAsia="lv-LV"/>
              </w:rPr>
              <w:t>Nav.</w:t>
            </w:r>
          </w:p>
        </w:tc>
      </w:tr>
    </w:tbl>
    <w:p w:rsidR="00664417" w:rsidRPr="0061495F" w:rsidRDefault="00664417" w:rsidP="00664417">
      <w:pPr>
        <w:shd w:val="clear" w:color="auto" w:fill="FFFFFF"/>
        <w:tabs>
          <w:tab w:val="left" w:pos="7020"/>
        </w:tabs>
        <w:spacing w:after="0" w:line="324" w:lineRule="exact"/>
        <w:rPr>
          <w:rFonts w:ascii="Times New Roman" w:eastAsia="Times New Roman" w:hAnsi="Times New Roman" w:cs="Times New Roman"/>
          <w:sz w:val="26"/>
          <w:szCs w:val="26"/>
          <w:lang w:eastAsia="zh-TW"/>
        </w:rPr>
      </w:pPr>
    </w:p>
    <w:p w:rsidR="006C1DAB" w:rsidRPr="0061495F" w:rsidRDefault="006C1DAB" w:rsidP="006C1DAB">
      <w:pPr>
        <w:ind w:firstLine="720"/>
        <w:jc w:val="both"/>
        <w:rPr>
          <w:rFonts w:ascii="Times New Roman" w:hAnsi="Times New Roman" w:cs="Times New Roman"/>
          <w:sz w:val="26"/>
          <w:szCs w:val="26"/>
        </w:rPr>
      </w:pPr>
      <w:r w:rsidRPr="0061495F">
        <w:rPr>
          <w:rFonts w:ascii="Times New Roman" w:hAnsi="Times New Roman" w:cs="Times New Roman"/>
          <w:sz w:val="26"/>
          <w:szCs w:val="26"/>
        </w:rPr>
        <w:t xml:space="preserve">Iesniedzējs: </w:t>
      </w:r>
    </w:p>
    <w:p w:rsidR="006C1DAB" w:rsidRPr="0061495F" w:rsidRDefault="008658A5" w:rsidP="006C1DAB">
      <w:pPr>
        <w:tabs>
          <w:tab w:val="left" w:pos="6840"/>
        </w:tabs>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v</w:t>
      </w:r>
      <w:r w:rsidR="006C1DAB" w:rsidRPr="0061495F">
        <w:rPr>
          <w:rFonts w:ascii="Times New Roman" w:hAnsi="Times New Roman" w:cs="Times New Roman"/>
          <w:sz w:val="26"/>
          <w:szCs w:val="26"/>
        </w:rPr>
        <w:t>ides aizsardzības un</w:t>
      </w:r>
    </w:p>
    <w:p w:rsidR="006C1DAB" w:rsidRPr="0061495F" w:rsidRDefault="006C1DAB" w:rsidP="006C1DAB">
      <w:pPr>
        <w:tabs>
          <w:tab w:val="left" w:pos="6840"/>
        </w:tabs>
        <w:spacing w:after="0" w:line="240" w:lineRule="auto"/>
        <w:ind w:firstLine="720"/>
        <w:rPr>
          <w:rFonts w:ascii="Times New Roman" w:hAnsi="Times New Roman" w:cs="Times New Roman"/>
          <w:sz w:val="26"/>
          <w:szCs w:val="26"/>
        </w:rPr>
      </w:pPr>
      <w:r w:rsidRPr="0061495F">
        <w:rPr>
          <w:rFonts w:ascii="Times New Roman" w:hAnsi="Times New Roman" w:cs="Times New Roman"/>
          <w:sz w:val="26"/>
          <w:szCs w:val="26"/>
        </w:rPr>
        <w:t>reģionālās attīstības ministrs                                                       K.Gerhards</w:t>
      </w:r>
    </w:p>
    <w:p w:rsidR="006C1DAB" w:rsidRPr="0061495F" w:rsidRDefault="006C1DAB" w:rsidP="006C1DAB">
      <w:pPr>
        <w:tabs>
          <w:tab w:val="left" w:pos="3120"/>
        </w:tabs>
        <w:spacing w:after="0" w:line="240" w:lineRule="auto"/>
        <w:ind w:firstLine="720"/>
        <w:jc w:val="both"/>
        <w:rPr>
          <w:rFonts w:ascii="Times New Roman" w:hAnsi="Times New Roman" w:cs="Times New Roman"/>
          <w:sz w:val="26"/>
          <w:szCs w:val="26"/>
        </w:rPr>
      </w:pPr>
    </w:p>
    <w:p w:rsidR="00DD1F07" w:rsidRPr="0061495F" w:rsidRDefault="006C1DAB" w:rsidP="00DD1F07">
      <w:pPr>
        <w:tabs>
          <w:tab w:val="left" w:pos="709"/>
        </w:tabs>
        <w:autoSpaceDE w:val="0"/>
        <w:autoSpaceDN w:val="0"/>
        <w:adjustRightInd w:val="0"/>
        <w:spacing w:after="0" w:line="240" w:lineRule="auto"/>
        <w:rPr>
          <w:rFonts w:ascii="Times New Roman" w:hAnsi="Times New Roman" w:cs="Times New Roman"/>
          <w:sz w:val="26"/>
          <w:szCs w:val="26"/>
        </w:rPr>
      </w:pPr>
      <w:r w:rsidRPr="0061495F">
        <w:rPr>
          <w:rFonts w:ascii="Times New Roman" w:hAnsi="Times New Roman" w:cs="Times New Roman"/>
          <w:sz w:val="26"/>
          <w:szCs w:val="26"/>
        </w:rPr>
        <w:t xml:space="preserve">          Vīzē: </w:t>
      </w:r>
    </w:p>
    <w:p w:rsidR="00C0022F" w:rsidRDefault="00C0022F" w:rsidP="00C0022F">
      <w:pPr>
        <w:spacing w:after="0" w:line="240" w:lineRule="auto"/>
        <w:jc w:val="both"/>
        <w:rPr>
          <w:rFonts w:ascii="Times New Roman" w:eastAsia="Times New Roman" w:hAnsi="Times New Roman"/>
          <w:sz w:val="24"/>
          <w:szCs w:val="24"/>
          <w:lang w:eastAsia="lv-LV"/>
        </w:rPr>
      </w:pPr>
    </w:p>
    <w:p w:rsidR="005337B3" w:rsidRDefault="0099589F" w:rsidP="00C0022F">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5337B3">
        <w:rPr>
          <w:rFonts w:ascii="Times New Roman" w:eastAsia="Times New Roman" w:hAnsi="Times New Roman"/>
          <w:sz w:val="24"/>
          <w:szCs w:val="24"/>
          <w:lang w:eastAsia="lv-LV"/>
        </w:rPr>
        <w:t xml:space="preserve">alsts sekretāra </w:t>
      </w:r>
      <w:r w:rsidR="00D969C8">
        <w:rPr>
          <w:rFonts w:ascii="Times New Roman" w:eastAsia="Times New Roman" w:hAnsi="Times New Roman"/>
          <w:sz w:val="24"/>
          <w:szCs w:val="24"/>
          <w:lang w:eastAsia="lv-LV"/>
        </w:rPr>
        <w:t>p.i.</w:t>
      </w:r>
    </w:p>
    <w:p w:rsidR="00C0022F" w:rsidRDefault="00741760" w:rsidP="00C0022F">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5337B3">
        <w:rPr>
          <w:rFonts w:ascii="Times New Roman" w:eastAsia="Times New Roman" w:hAnsi="Times New Roman"/>
          <w:sz w:val="24"/>
          <w:szCs w:val="24"/>
          <w:lang w:eastAsia="lv-LV"/>
        </w:rPr>
        <w:t>alsts sekretāra vietniece</w:t>
      </w:r>
      <w:r w:rsidR="005337B3">
        <w:rPr>
          <w:rFonts w:ascii="Times New Roman" w:eastAsia="Times New Roman" w:hAnsi="Times New Roman"/>
          <w:sz w:val="24"/>
          <w:szCs w:val="24"/>
          <w:lang w:eastAsia="lv-LV"/>
        </w:rPr>
        <w:tab/>
      </w:r>
      <w:r w:rsidR="005337B3">
        <w:rPr>
          <w:rFonts w:ascii="Times New Roman" w:eastAsia="Times New Roman" w:hAnsi="Times New Roman"/>
          <w:sz w:val="24"/>
          <w:szCs w:val="24"/>
          <w:lang w:eastAsia="lv-LV"/>
        </w:rPr>
        <w:tab/>
      </w:r>
      <w:r w:rsidR="005337B3">
        <w:rPr>
          <w:rFonts w:ascii="Times New Roman" w:eastAsia="Times New Roman" w:hAnsi="Times New Roman"/>
          <w:sz w:val="24"/>
          <w:szCs w:val="24"/>
          <w:lang w:eastAsia="lv-LV"/>
        </w:rPr>
        <w:tab/>
      </w:r>
      <w:r w:rsidR="005337B3">
        <w:rPr>
          <w:rFonts w:ascii="Times New Roman" w:eastAsia="Times New Roman" w:hAnsi="Times New Roman"/>
          <w:sz w:val="24"/>
          <w:szCs w:val="24"/>
          <w:lang w:eastAsia="lv-LV"/>
        </w:rPr>
        <w:tab/>
      </w:r>
      <w:r w:rsidR="005337B3">
        <w:rPr>
          <w:rFonts w:ascii="Times New Roman" w:eastAsia="Times New Roman" w:hAnsi="Times New Roman"/>
          <w:sz w:val="24"/>
          <w:szCs w:val="24"/>
          <w:lang w:eastAsia="lv-LV"/>
        </w:rPr>
        <w:tab/>
      </w:r>
      <w:r w:rsidR="005337B3">
        <w:rPr>
          <w:rFonts w:ascii="Times New Roman" w:eastAsia="Times New Roman" w:hAnsi="Times New Roman"/>
          <w:sz w:val="24"/>
          <w:szCs w:val="24"/>
          <w:lang w:eastAsia="lv-LV"/>
        </w:rPr>
        <w:tab/>
      </w:r>
      <w:r w:rsidR="00C0022F">
        <w:rPr>
          <w:rFonts w:ascii="Times New Roman" w:eastAsia="Times New Roman" w:hAnsi="Times New Roman"/>
          <w:sz w:val="24"/>
          <w:szCs w:val="24"/>
          <w:lang w:eastAsia="lv-LV"/>
        </w:rPr>
        <w:t>E.Turka</w:t>
      </w:r>
    </w:p>
    <w:p w:rsidR="006C1DAB" w:rsidRPr="0061495F" w:rsidRDefault="00304B91" w:rsidP="006C1DAB">
      <w:pPr>
        <w:autoSpaceDE w:val="0"/>
        <w:autoSpaceDN w:val="0"/>
        <w:adjustRightInd w:val="0"/>
        <w:spacing w:after="0" w:line="240" w:lineRule="auto"/>
        <w:ind w:firstLine="720"/>
        <w:rPr>
          <w:rFonts w:ascii="Times New Roman" w:hAnsi="Times New Roman" w:cs="Times New Roman"/>
          <w:sz w:val="26"/>
          <w:szCs w:val="26"/>
        </w:rPr>
      </w:pPr>
      <w:r w:rsidRPr="0061495F">
        <w:rPr>
          <w:rFonts w:ascii="Times New Roman" w:hAnsi="Times New Roman" w:cs="Times New Roman"/>
          <w:sz w:val="26"/>
          <w:szCs w:val="26"/>
        </w:rPr>
        <w:tab/>
      </w:r>
      <w:r w:rsidRPr="0061495F">
        <w:rPr>
          <w:rFonts w:ascii="Times New Roman" w:hAnsi="Times New Roman" w:cs="Times New Roman"/>
          <w:sz w:val="26"/>
          <w:szCs w:val="26"/>
        </w:rPr>
        <w:tab/>
      </w:r>
      <w:r w:rsidRPr="0061495F">
        <w:rPr>
          <w:rFonts w:ascii="Times New Roman" w:hAnsi="Times New Roman" w:cs="Times New Roman"/>
          <w:sz w:val="26"/>
          <w:szCs w:val="26"/>
        </w:rPr>
        <w:tab/>
      </w:r>
      <w:r w:rsidRPr="0061495F">
        <w:rPr>
          <w:rFonts w:ascii="Times New Roman" w:hAnsi="Times New Roman" w:cs="Times New Roman"/>
          <w:sz w:val="26"/>
          <w:szCs w:val="26"/>
        </w:rPr>
        <w:tab/>
      </w:r>
      <w:r w:rsidRPr="0061495F">
        <w:rPr>
          <w:rFonts w:ascii="Times New Roman" w:hAnsi="Times New Roman" w:cs="Times New Roman"/>
          <w:sz w:val="26"/>
          <w:szCs w:val="26"/>
        </w:rPr>
        <w:tab/>
      </w:r>
    </w:p>
    <w:p w:rsidR="006C1DAB" w:rsidRPr="0061495F" w:rsidRDefault="006C1DAB" w:rsidP="006C1DAB">
      <w:pPr>
        <w:spacing w:after="0" w:line="240" w:lineRule="auto"/>
        <w:jc w:val="both"/>
        <w:rPr>
          <w:rFonts w:ascii="Times New Roman" w:hAnsi="Times New Roman" w:cs="Times New Roman"/>
          <w:sz w:val="26"/>
          <w:szCs w:val="26"/>
        </w:rPr>
      </w:pPr>
    </w:p>
    <w:p w:rsidR="006C1DAB" w:rsidRPr="0061495F" w:rsidRDefault="00741760" w:rsidP="00D13A6C">
      <w:pPr>
        <w:spacing w:after="0" w:line="240" w:lineRule="auto"/>
        <w:ind w:firstLine="720"/>
        <w:jc w:val="both"/>
        <w:rPr>
          <w:rFonts w:ascii="Times New Roman" w:hAnsi="Times New Roman"/>
          <w:sz w:val="20"/>
          <w:szCs w:val="20"/>
        </w:rPr>
      </w:pPr>
      <w:r>
        <w:rPr>
          <w:rFonts w:ascii="Times New Roman" w:hAnsi="Times New Roman"/>
          <w:sz w:val="20"/>
          <w:szCs w:val="20"/>
        </w:rPr>
        <w:t>21</w:t>
      </w:r>
      <w:r w:rsidR="006C1DAB" w:rsidRPr="0061495F">
        <w:rPr>
          <w:rFonts w:ascii="Times New Roman" w:hAnsi="Times New Roman"/>
          <w:sz w:val="20"/>
          <w:szCs w:val="20"/>
        </w:rPr>
        <w:t>.</w:t>
      </w:r>
      <w:r w:rsidR="009137E1">
        <w:rPr>
          <w:rFonts w:ascii="Times New Roman" w:hAnsi="Times New Roman"/>
          <w:sz w:val="20"/>
          <w:szCs w:val="20"/>
        </w:rPr>
        <w:t>01</w:t>
      </w:r>
      <w:r w:rsidR="00D13A6C" w:rsidRPr="0061495F">
        <w:rPr>
          <w:rFonts w:ascii="Times New Roman" w:hAnsi="Times New Roman"/>
          <w:sz w:val="20"/>
          <w:szCs w:val="20"/>
        </w:rPr>
        <w:t>.</w:t>
      </w:r>
      <w:r w:rsidR="006C1DAB" w:rsidRPr="0061495F">
        <w:rPr>
          <w:rFonts w:ascii="Times New Roman" w:hAnsi="Times New Roman"/>
          <w:sz w:val="20"/>
          <w:szCs w:val="20"/>
        </w:rPr>
        <w:t>201</w:t>
      </w:r>
      <w:r w:rsidR="009137E1">
        <w:rPr>
          <w:rFonts w:ascii="Times New Roman" w:hAnsi="Times New Roman"/>
          <w:sz w:val="20"/>
          <w:szCs w:val="20"/>
        </w:rPr>
        <w:t>6</w:t>
      </w:r>
      <w:r w:rsidR="00D13A6C" w:rsidRPr="0061495F">
        <w:rPr>
          <w:rFonts w:ascii="Times New Roman" w:hAnsi="Times New Roman"/>
          <w:sz w:val="20"/>
          <w:szCs w:val="20"/>
        </w:rPr>
        <w:t xml:space="preserve"> 12:20</w:t>
      </w:r>
    </w:p>
    <w:p w:rsidR="006C1DAB" w:rsidRPr="0061495F" w:rsidRDefault="00B13279" w:rsidP="006C1DAB">
      <w:pPr>
        <w:spacing w:after="0" w:line="240" w:lineRule="auto"/>
        <w:ind w:firstLine="720"/>
        <w:jc w:val="both"/>
        <w:rPr>
          <w:rFonts w:ascii="Times New Roman" w:hAnsi="Times New Roman"/>
          <w:sz w:val="20"/>
          <w:szCs w:val="20"/>
        </w:rPr>
      </w:pPr>
      <w:r>
        <w:rPr>
          <w:rFonts w:ascii="Times New Roman" w:hAnsi="Times New Roman"/>
          <w:sz w:val="20"/>
          <w:szCs w:val="20"/>
        </w:rPr>
        <w:t>2</w:t>
      </w:r>
      <w:r w:rsidR="007273D5">
        <w:rPr>
          <w:rFonts w:ascii="Times New Roman" w:hAnsi="Times New Roman"/>
          <w:sz w:val="20"/>
          <w:szCs w:val="20"/>
        </w:rPr>
        <w:t>856</w:t>
      </w:r>
      <w:bookmarkStart w:id="0" w:name="_GoBack"/>
      <w:bookmarkEnd w:id="0"/>
    </w:p>
    <w:p w:rsidR="006C1DAB" w:rsidRPr="0061495F" w:rsidRDefault="006C1DAB" w:rsidP="006C1DAB">
      <w:pPr>
        <w:spacing w:after="0" w:line="240" w:lineRule="auto"/>
        <w:ind w:firstLine="720"/>
        <w:jc w:val="both"/>
        <w:rPr>
          <w:rFonts w:ascii="Times New Roman" w:hAnsi="Times New Roman"/>
          <w:sz w:val="20"/>
          <w:szCs w:val="20"/>
        </w:rPr>
      </w:pPr>
      <w:r w:rsidRPr="0061495F">
        <w:rPr>
          <w:rFonts w:ascii="Times New Roman" w:hAnsi="Times New Roman"/>
          <w:sz w:val="20"/>
          <w:szCs w:val="20"/>
        </w:rPr>
        <w:t xml:space="preserve">V.Jurca </w:t>
      </w:r>
      <w:r w:rsidR="00EE53AC" w:rsidRPr="0061495F">
        <w:rPr>
          <w:rFonts w:ascii="Times New Roman" w:hAnsi="Times New Roman"/>
          <w:sz w:val="20"/>
          <w:szCs w:val="20"/>
        </w:rPr>
        <w:t xml:space="preserve"> 67026918</w:t>
      </w:r>
    </w:p>
    <w:p w:rsidR="00027CCF" w:rsidRPr="00B13279" w:rsidRDefault="006C1DAB" w:rsidP="00B13279">
      <w:pPr>
        <w:spacing w:after="0" w:line="240" w:lineRule="auto"/>
        <w:ind w:firstLine="720"/>
        <w:jc w:val="both"/>
        <w:rPr>
          <w:rFonts w:ascii="Times New Roman" w:hAnsi="Times New Roman"/>
          <w:sz w:val="20"/>
          <w:szCs w:val="20"/>
        </w:rPr>
      </w:pPr>
      <w:r w:rsidRPr="0061495F">
        <w:rPr>
          <w:rFonts w:ascii="Times New Roman" w:hAnsi="Times New Roman"/>
          <w:sz w:val="20"/>
          <w:szCs w:val="20"/>
        </w:rPr>
        <w:t>veronika.jurca@varam.gov.lv</w:t>
      </w:r>
    </w:p>
    <w:sectPr w:rsidR="00027CCF" w:rsidRPr="00B13279" w:rsidSect="00207953">
      <w:headerReference w:type="default" r:id="rId13"/>
      <w:footerReference w:type="default" r:id="rId14"/>
      <w:footerReference w:type="first" r:id="rId15"/>
      <w:pgSz w:w="11906" w:h="16838"/>
      <w:pgMar w:top="1418" w:right="1134"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C9" w:rsidRDefault="001E47C9">
      <w:pPr>
        <w:spacing w:after="0" w:line="240" w:lineRule="auto"/>
      </w:pPr>
      <w:r>
        <w:separator/>
      </w:r>
    </w:p>
  </w:endnote>
  <w:endnote w:type="continuationSeparator" w:id="0">
    <w:p w:rsidR="001E47C9" w:rsidRDefault="001E4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BB" w:rsidRPr="006C1DAB" w:rsidRDefault="00153BBB" w:rsidP="006C1DAB">
    <w:pPr>
      <w:pStyle w:val="Footer"/>
    </w:pPr>
    <w:r>
      <w:rPr>
        <w:rFonts w:ascii="Times New Roman" w:hAnsi="Times New Roman"/>
        <w:sz w:val="20"/>
      </w:rPr>
      <w:t>VARAManot_</w:t>
    </w:r>
    <w:r w:rsidR="00C0022F">
      <w:rPr>
        <w:rFonts w:ascii="Times New Roman" w:hAnsi="Times New Roman"/>
        <w:sz w:val="20"/>
      </w:rPr>
      <w:t>21</w:t>
    </w:r>
    <w:r w:rsidR="009137E1">
      <w:rPr>
        <w:rFonts w:ascii="Times New Roman" w:hAnsi="Times New Roman"/>
        <w:sz w:val="20"/>
      </w:rPr>
      <w:t>0</w:t>
    </w:r>
    <w:r>
      <w:rPr>
        <w:rFonts w:ascii="Times New Roman" w:hAnsi="Times New Roman"/>
        <w:sz w:val="20"/>
      </w:rPr>
      <w:t>11</w:t>
    </w:r>
    <w:r w:rsidR="009137E1">
      <w:rPr>
        <w:rFonts w:ascii="Times New Roman" w:hAnsi="Times New Roman"/>
        <w:sz w:val="20"/>
      </w:rPr>
      <w:t>6</w:t>
    </w:r>
    <w:r>
      <w:rPr>
        <w:rFonts w:ascii="Times New Roman" w:hAnsi="Times New Roman"/>
        <w:sz w:val="20"/>
      </w:rPr>
      <w:t>_RAL</w:t>
    </w:r>
    <w:r w:rsidR="00C05382">
      <w:rPr>
        <w:rFonts w:ascii="Times New Roman" w:hAnsi="Times New Roman"/>
        <w:sz w:val="20"/>
      </w:rPr>
      <w:t>groz</w:t>
    </w:r>
    <w:r>
      <w:rPr>
        <w:rFonts w:ascii="Times New Roman" w:hAnsi="Times New Roman"/>
        <w:sz w:val="20"/>
      </w:rPr>
      <w:t>; Likumprojekta „Grozījums Reģionālās attīstības  likumā”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BB" w:rsidRPr="00C635AD" w:rsidRDefault="005532C3" w:rsidP="00C635AD">
    <w:pPr>
      <w:tabs>
        <w:tab w:val="center" w:pos="4680"/>
        <w:tab w:val="right" w:pos="9360"/>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VARAManot_210116</w:t>
    </w:r>
    <w:r w:rsidR="00153BBB">
      <w:rPr>
        <w:rFonts w:ascii="Times New Roman" w:eastAsia="Times New Roman" w:hAnsi="Times New Roman" w:cs="Times New Roman"/>
        <w:sz w:val="20"/>
        <w:szCs w:val="20"/>
      </w:rPr>
      <w:t>_RAL</w:t>
    </w:r>
    <w:r>
      <w:rPr>
        <w:rFonts w:ascii="Times New Roman" w:eastAsia="Times New Roman" w:hAnsi="Times New Roman" w:cs="Times New Roman"/>
        <w:sz w:val="20"/>
        <w:szCs w:val="20"/>
      </w:rPr>
      <w:t>groz</w:t>
    </w:r>
    <w:r w:rsidR="00153BBB">
      <w:rPr>
        <w:rFonts w:ascii="Times New Roman" w:eastAsia="Times New Roman" w:hAnsi="Times New Roman" w:cs="Times New Roman"/>
        <w:sz w:val="20"/>
        <w:szCs w:val="20"/>
      </w:rPr>
      <w:t>; Likumprojekta „Grozījums Reģionālās attīstības likumā ”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C9" w:rsidRDefault="001E47C9">
      <w:pPr>
        <w:spacing w:after="0" w:line="240" w:lineRule="auto"/>
      </w:pPr>
      <w:r>
        <w:separator/>
      </w:r>
    </w:p>
  </w:footnote>
  <w:footnote w:type="continuationSeparator" w:id="0">
    <w:p w:rsidR="001E47C9" w:rsidRDefault="001E47C9">
      <w:pPr>
        <w:spacing w:after="0" w:line="240" w:lineRule="auto"/>
      </w:pPr>
      <w:r>
        <w:continuationSeparator/>
      </w:r>
    </w:p>
  </w:footnote>
  <w:footnote w:id="1">
    <w:p w:rsidR="00153BBB" w:rsidRPr="00493F28" w:rsidRDefault="00153BBB" w:rsidP="00A43405">
      <w:pPr>
        <w:pStyle w:val="FootnoteText"/>
        <w:rPr>
          <w:rFonts w:ascii="Times New Roman" w:hAnsi="Times New Roman"/>
        </w:rPr>
      </w:pPr>
      <w:r w:rsidRPr="00493F28">
        <w:rPr>
          <w:rStyle w:val="FootnoteReference"/>
          <w:rFonts w:ascii="Times New Roman" w:hAnsi="Times New Roman"/>
        </w:rPr>
        <w:footnoteRef/>
      </w:r>
      <w:r w:rsidRPr="00493F28">
        <w:rPr>
          <w:rFonts w:ascii="Times New Roman" w:hAnsi="Times New Roman"/>
        </w:rPr>
        <w:t xml:space="preserve"> Reģionālās politikas pamatnostādnes 2013.-2019.gadam 1.pielikums</w:t>
      </w:r>
    </w:p>
  </w:footnote>
  <w:footnote w:id="2">
    <w:p w:rsidR="00153BBB" w:rsidRPr="00167775" w:rsidRDefault="00153BBB" w:rsidP="00A43405">
      <w:pPr>
        <w:pStyle w:val="FootnoteText"/>
        <w:rPr>
          <w:sz w:val="24"/>
          <w:szCs w:val="24"/>
        </w:rPr>
      </w:pPr>
      <w:r w:rsidRPr="00493F28">
        <w:rPr>
          <w:rStyle w:val="FootnoteReference"/>
          <w:rFonts w:ascii="Times New Roman" w:hAnsi="Times New Roman"/>
        </w:rPr>
        <w:footnoteRef/>
      </w:r>
      <w:r w:rsidRPr="00493F28">
        <w:rPr>
          <w:rFonts w:ascii="Times New Roman" w:hAnsi="Times New Roman"/>
        </w:rPr>
        <w:t xml:space="preserve"> PR iesaistīti 29 uzdevumu izpildē</w:t>
      </w:r>
    </w:p>
  </w:footnote>
  <w:footnote w:id="3">
    <w:p w:rsidR="00153BBB" w:rsidRPr="00D94F46" w:rsidRDefault="00153BBB" w:rsidP="005337B3">
      <w:pPr>
        <w:pStyle w:val="FootnoteText"/>
        <w:jc w:val="both"/>
      </w:pPr>
      <w:r>
        <w:rPr>
          <w:rStyle w:val="FootnoteReference"/>
        </w:rPr>
        <w:footnoteRef/>
      </w:r>
      <w:r>
        <w:t xml:space="preserve"> </w:t>
      </w:r>
      <w:r w:rsidRPr="00D94F46">
        <w:rPr>
          <w:rFonts w:ascii="Times New Roman" w:hAnsi="Times New Roman"/>
        </w:rPr>
        <w:t>iz</w:t>
      </w:r>
      <w:r w:rsidRPr="00D94F46">
        <w:rPr>
          <w:rFonts w:ascii="Times New Roman" w:hAnsi="Times New Roman"/>
          <w:lang w:eastAsia="lv-LV"/>
        </w:rPr>
        <w:t>veidota kā holdinga sabiedrība, apvienojot valsts akciju sabiedrību „Latvijas Hipotēku un zemes banka” (kopš 2014.gada 1.janvāra valsts akciju sabiedrība „Attīstības finanšu institūcija „Altum””, sabiedrību ar ierobežotu atbildību  „Latvijas Garantiju aģentūra”, valsts akciju sabiedrību „Lauku attīstības fonds” ;</w:t>
      </w:r>
    </w:p>
  </w:footnote>
  <w:footnote w:id="4">
    <w:p w:rsidR="00153BBB" w:rsidRPr="00493F28" w:rsidRDefault="00153BBB" w:rsidP="005337B3">
      <w:pPr>
        <w:pStyle w:val="FootnoteText"/>
        <w:jc w:val="both"/>
        <w:rPr>
          <w:rFonts w:ascii="Times New Roman" w:hAnsi="Times New Roman"/>
        </w:rPr>
      </w:pPr>
      <w:r w:rsidRPr="00493F28">
        <w:rPr>
          <w:rStyle w:val="FootnoteReference"/>
          <w:rFonts w:ascii="Times New Roman" w:hAnsi="Times New Roman"/>
        </w:rPr>
        <w:footnoteRef/>
      </w:r>
      <w:r w:rsidRPr="00493F28">
        <w:rPr>
          <w:rFonts w:ascii="Times New Roman" w:hAnsi="Times New Roman"/>
        </w:rPr>
        <w:t xml:space="preserve"> Rakar F. &amp; Tallberg P. Ed. Developing reģions for Regional development – Towards a new Swedish model (2014). Reglab, Sweden.</w:t>
      </w:r>
    </w:p>
  </w:footnote>
  <w:footnote w:id="5">
    <w:p w:rsidR="00153BBB" w:rsidRPr="00493F28" w:rsidRDefault="00153BBB" w:rsidP="005337B3">
      <w:pPr>
        <w:pStyle w:val="FootnoteText"/>
        <w:jc w:val="both"/>
        <w:rPr>
          <w:rFonts w:ascii="Times New Roman" w:hAnsi="Times New Roman"/>
        </w:rPr>
      </w:pPr>
      <w:r w:rsidRPr="00493F28">
        <w:rPr>
          <w:rStyle w:val="FootnoteReference"/>
          <w:rFonts w:ascii="Times New Roman" w:hAnsi="Times New Roman"/>
        </w:rPr>
        <w:footnoteRef/>
      </w:r>
      <w:r w:rsidRPr="00493F28">
        <w:rPr>
          <w:rFonts w:ascii="Times New Roman" w:hAnsi="Times New Roman"/>
        </w:rPr>
        <w:t>Fisher B. The future of foregn direct investment in England (2011), Regions: Quarterly magazine of the Regional Studies Association No. 284</w:t>
      </w:r>
    </w:p>
  </w:footnote>
  <w:footnote w:id="6">
    <w:p w:rsidR="00153BBB" w:rsidRPr="0034756B" w:rsidRDefault="00153BBB" w:rsidP="00FC1491">
      <w:pPr>
        <w:pStyle w:val="FootnoteText"/>
        <w:rPr>
          <w:rFonts w:ascii="Times New Roman" w:hAnsi="Times New Roman"/>
        </w:rPr>
      </w:pPr>
      <w:r w:rsidRPr="0034756B">
        <w:rPr>
          <w:rFonts w:ascii="Times New Roman" w:hAnsi="Times New Roman"/>
        </w:rPr>
        <w:footnoteRef/>
      </w:r>
      <w:r w:rsidRPr="0034756B">
        <w:rPr>
          <w:rFonts w:ascii="Times New Roman" w:hAnsi="Times New Roman"/>
        </w:rPr>
        <w:t xml:space="preserve">  Reģionālās politikas pamatnostādnes 2013.-2019.gadam no 52. -57 lpp.,</w:t>
      </w:r>
    </w:p>
  </w:footnote>
  <w:footnote w:id="7">
    <w:p w:rsidR="00153BBB" w:rsidRPr="0061495F" w:rsidRDefault="00153BBB" w:rsidP="005337B3">
      <w:pPr>
        <w:pStyle w:val="FootnoteText"/>
        <w:jc w:val="both"/>
      </w:pPr>
      <w:r>
        <w:rPr>
          <w:rStyle w:val="FootnoteReference"/>
        </w:rPr>
        <w:footnoteRef/>
      </w:r>
      <w:r>
        <w:t xml:space="preserve"> </w:t>
      </w:r>
      <w:r w:rsidRPr="0061495F">
        <w:rPr>
          <w:rFonts w:ascii="Times New Roman" w:hAnsi="Times New Roman" w:cs="Times New Roman"/>
        </w:rPr>
        <w:t xml:space="preserve">LUC ekonomiskās ietekmes izvērtējums uz valsts budžetu atspoguļots </w:t>
      </w:r>
      <w:r w:rsidRPr="0061495F">
        <w:rPr>
          <w:rFonts w:ascii="Times New Roman" w:eastAsia="Times New Roman" w:hAnsi="Times New Roman" w:cs="Times New Roman"/>
          <w:lang w:eastAsia="lv-LV"/>
        </w:rPr>
        <w:t>informatīvajā ziņojumā  "Par plānošanas reģionu darbības pilnveidošanu” (</w:t>
      </w:r>
      <w:r w:rsidRPr="0061495F">
        <w:rPr>
          <w:rFonts w:ascii="Times New Roman" w:eastAsia="Times New Roman" w:hAnsi="Times New Roman" w:cs="Times New Roman"/>
        </w:rPr>
        <w:t xml:space="preserve">apstiprināts Ministru kabinetā  2015.gada 4.augustā,  protokollēmums </w:t>
      </w:r>
      <w:r w:rsidRPr="0061495F">
        <w:rPr>
          <w:rFonts w:ascii="Times New Roman" w:eastAsia="Times New Roman" w:hAnsi="Times New Roman" w:cs="Times New Roman"/>
          <w:lang w:eastAsia="lv-LV"/>
        </w:rPr>
        <w:t xml:space="preserve">Nr.37, 42.§) </w:t>
      </w:r>
    </w:p>
  </w:footnote>
  <w:footnote w:id="8">
    <w:p w:rsidR="00153BBB" w:rsidRPr="00354A1A" w:rsidRDefault="00153BBB" w:rsidP="005337B3">
      <w:pPr>
        <w:pStyle w:val="FootnoteText"/>
        <w:jc w:val="both"/>
        <w:rPr>
          <w:rFonts w:ascii="Times New Roman" w:hAnsi="Times New Roman"/>
        </w:rPr>
      </w:pPr>
      <w:r w:rsidRPr="00354A1A">
        <w:rPr>
          <w:rStyle w:val="FootnoteReference"/>
          <w:rFonts w:ascii="Times New Roman" w:hAnsi="Times New Roman"/>
        </w:rPr>
        <w:footnoteRef/>
      </w:r>
      <w:r w:rsidRPr="00354A1A">
        <w:rPr>
          <w:rFonts w:ascii="Times New Roman" w:hAnsi="Times New Roman"/>
        </w:rPr>
        <w:t xml:space="preserve"> VSAA P</w:t>
      </w:r>
      <w:r>
        <w:rPr>
          <w:rFonts w:ascii="Times New Roman" w:hAnsi="Times New Roman"/>
        </w:rPr>
        <w:t>ārskats</w:t>
      </w:r>
      <w:r w:rsidRPr="00354A1A">
        <w:rPr>
          <w:rFonts w:ascii="Times New Roman" w:hAnsi="Times New Roman"/>
        </w:rPr>
        <w:t xml:space="preserve"> </w:t>
      </w:r>
      <w:r>
        <w:rPr>
          <w:rFonts w:ascii="Times New Roman" w:hAnsi="Times New Roman"/>
        </w:rPr>
        <w:t>par</w:t>
      </w:r>
      <w:r w:rsidRPr="00354A1A">
        <w:rPr>
          <w:rFonts w:ascii="Times New Roman" w:hAnsi="Times New Roman"/>
        </w:rPr>
        <w:t xml:space="preserve"> </w:t>
      </w:r>
      <w:r>
        <w:rPr>
          <w:rFonts w:ascii="Times New Roman" w:hAnsi="Times New Roman"/>
        </w:rPr>
        <w:t>darbību</w:t>
      </w:r>
      <w:r w:rsidRPr="00354A1A">
        <w:rPr>
          <w:rFonts w:ascii="Times New Roman" w:hAnsi="Times New Roman"/>
        </w:rPr>
        <w:t xml:space="preserve"> 2013</w:t>
      </w:r>
      <w:r>
        <w:rPr>
          <w:rFonts w:ascii="Times New Roman" w:hAnsi="Times New Roman"/>
        </w:rPr>
        <w:t>.gadā</w:t>
      </w:r>
      <w:r w:rsidRPr="00354A1A">
        <w:rPr>
          <w:rFonts w:ascii="Times New Roman" w:hAnsi="Times New Roman"/>
        </w:rPr>
        <w:t>, http://www.vsaa.lv/media/uploads/UserFiles/budzetiem/vsaa/vsaa_publiskais_parskats_2014.pdf</w:t>
      </w:r>
    </w:p>
  </w:footnote>
  <w:footnote w:id="9">
    <w:p w:rsidR="00153BBB" w:rsidRPr="00487B82" w:rsidRDefault="00153BBB" w:rsidP="005337B3">
      <w:pPr>
        <w:jc w:val="both"/>
      </w:pPr>
      <w:r w:rsidRPr="00487B82">
        <w:rPr>
          <w:rStyle w:val="FootnoteReference"/>
          <w:sz w:val="20"/>
        </w:rPr>
        <w:footnoteRef/>
      </w:r>
      <w:r w:rsidRPr="00487B82">
        <w:rPr>
          <w:sz w:val="20"/>
        </w:rPr>
        <w:t xml:space="preserve"> </w:t>
      </w:r>
      <w:r w:rsidRPr="002B28BD">
        <w:rPr>
          <w:rFonts w:ascii="Times New Roman" w:hAnsi="Times New Roman" w:cs="Times New Roman"/>
          <w:sz w:val="20"/>
        </w:rPr>
        <w:t xml:space="preserve">Nodokļu un nodevu ieņēmumi </w:t>
      </w:r>
      <w:r w:rsidRPr="002B28BD">
        <w:rPr>
          <w:rFonts w:ascii="Times New Roman" w:hAnsi="Times New Roman" w:cs="Times New Roman"/>
          <w:sz w:val="20"/>
          <w:szCs w:val="18"/>
        </w:rPr>
        <w:t xml:space="preserve">- </w:t>
      </w:r>
      <w:r w:rsidRPr="002B28BD">
        <w:rPr>
          <w:rFonts w:ascii="Times New Roman" w:hAnsi="Times New Roman" w:cs="Times New Roman"/>
          <w:bCs/>
          <w:sz w:val="20"/>
          <w:szCs w:val="18"/>
        </w:rPr>
        <w:t>ieņēmumi no strādājošo mēneša vidējās darba samaksas Latgales reģionā par valsts sociālās</w:t>
      </w:r>
      <w:r w:rsidRPr="002B28BD">
        <w:rPr>
          <w:rFonts w:ascii="Times New Roman" w:hAnsi="Times New Roman" w:cs="Times New Roman"/>
          <w:bCs/>
        </w:rPr>
        <w:t xml:space="preserve"> </w:t>
      </w:r>
      <w:r w:rsidRPr="002B28BD">
        <w:rPr>
          <w:rFonts w:ascii="Times New Roman" w:hAnsi="Times New Roman" w:cs="Times New Roman"/>
          <w:bCs/>
          <w:sz w:val="20"/>
        </w:rPr>
        <w:t xml:space="preserve">apdrošināšanas obligātajām iemaksām, iedzīvotāju ienākuma nodokli un uzņēmējdarbības riska valsts nodevu. Aprēķins veikts izmantojot 2014.gada </w:t>
      </w:r>
      <w:r w:rsidRPr="002B28BD">
        <w:rPr>
          <w:rFonts w:ascii="Times New Roman" w:hAnsi="Times New Roman" w:cs="Times New Roman"/>
          <w:bCs/>
          <w:sz w:val="20"/>
          <w:szCs w:val="18"/>
        </w:rPr>
        <w:t xml:space="preserve">strādājošo mēneša vidējo darba samaksu Latgales reģionā </w:t>
      </w:r>
      <w:r w:rsidRPr="002B28BD">
        <w:rPr>
          <w:rFonts w:ascii="Times New Roman" w:hAnsi="Times New Roman" w:cs="Times New Roman"/>
          <w:bCs/>
          <w:sz w:val="20"/>
        </w:rPr>
        <w:t xml:space="preserve">(522 </w:t>
      </w:r>
      <w:r w:rsidRPr="002B28BD">
        <w:rPr>
          <w:rFonts w:ascii="Times New Roman" w:hAnsi="Times New Roman" w:cs="Times New Roman"/>
          <w:bCs/>
          <w:i/>
          <w:sz w:val="20"/>
        </w:rPr>
        <w:t>euro</w:t>
      </w:r>
      <w:r w:rsidRPr="002B28BD">
        <w:rPr>
          <w:rFonts w:ascii="Times New Roman" w:hAnsi="Times New Roman" w:cs="Times New Roman"/>
          <w:bCs/>
          <w:sz w:val="20"/>
        </w:rPr>
        <w:t>); darba devēja VSAOI likmi (23,59%); darba ņēmēja VSAOI likmi (10,50%) un riska nodevas apmēru (0,36).</w:t>
      </w:r>
    </w:p>
  </w:footnote>
  <w:footnote w:id="10">
    <w:p w:rsidR="00153BBB" w:rsidRDefault="00153BBB" w:rsidP="00820360">
      <w:pPr>
        <w:pStyle w:val="FootnoteText"/>
      </w:pPr>
      <w:r>
        <w:rPr>
          <w:rStyle w:val="FootnoteReference"/>
        </w:rPr>
        <w:footnoteRef/>
      </w:r>
      <w:r>
        <w:t xml:space="preserve"> </w:t>
      </w:r>
      <w:r w:rsidRPr="00694A00">
        <w:rPr>
          <w:rFonts w:ascii="Times New Roman" w:eastAsia="Times New Roman" w:hAnsi="Times New Roman" w:cs="Times New Roman"/>
          <w:iCs/>
          <w:lang w:eastAsia="lv-LV"/>
        </w:rPr>
        <w:t>2015.gadā t.sk.ES struktūrfondu informācijas centra darbības nodrošināšanas pabeigšana</w:t>
      </w:r>
    </w:p>
  </w:footnote>
  <w:footnote w:id="11">
    <w:p w:rsidR="00153BBB" w:rsidRDefault="00153BBB" w:rsidP="00085F6D">
      <w:pPr>
        <w:spacing w:after="0" w:line="240" w:lineRule="auto"/>
        <w:jc w:val="both"/>
      </w:pPr>
      <w:r>
        <w:rPr>
          <w:rStyle w:val="FootnoteReference"/>
        </w:rPr>
        <w:footnoteRef/>
      </w:r>
      <w:r>
        <w:t xml:space="preserve"> </w:t>
      </w:r>
      <w:r w:rsidRPr="003E3A1C">
        <w:rPr>
          <w:rFonts w:ascii="Times New Roman" w:hAnsi="Times New Roman" w:cs="Times New Roman"/>
          <w:sz w:val="20"/>
          <w:szCs w:val="20"/>
        </w:rPr>
        <w:t xml:space="preserve">Atzinumus bija sniegušas sekojošas institūcijas: </w:t>
      </w:r>
      <w:r w:rsidRPr="003E3A1C">
        <w:rPr>
          <w:rFonts w:ascii="Times New Roman" w:hAnsi="Times New Roman" w:cs="Times New Roman"/>
          <w:bCs/>
          <w:sz w:val="20"/>
          <w:szCs w:val="20"/>
        </w:rPr>
        <w:t xml:space="preserve">Tieslietu ministrija, Finanšu ministrija, Ekonomikas ministrija, </w:t>
      </w:r>
      <w:r w:rsidRPr="003E3A1C">
        <w:rPr>
          <w:rFonts w:ascii="Times New Roman" w:hAnsi="Times New Roman" w:cs="Times New Roman"/>
          <w:sz w:val="20"/>
          <w:szCs w:val="20"/>
        </w:rPr>
        <w:t>Izglītības un zinātnes ministrija, Kultūras ministrija, Labklājības ministrija, Satiksmes ministrija, Veselības ministrija, Valsts kanceleja, Pārresoru koordinācijas centrs, Valsts kontrole, Latvijas Pašvaldību savienība, Kurzemes plānošanas reģions, Latgales plānošanas reģions, Rīgas plānošanas reģions, Vidzemes plānošanas reģions un Zemgales plānošanas reģions.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8372"/>
      <w:docPartObj>
        <w:docPartGallery w:val="Page Numbers (Top of Page)"/>
        <w:docPartUnique/>
      </w:docPartObj>
    </w:sdtPr>
    <w:sdtEndPr>
      <w:rPr>
        <w:rFonts w:ascii="Times New Roman" w:hAnsi="Times New Roman"/>
        <w:noProof/>
        <w:sz w:val="26"/>
        <w:szCs w:val="26"/>
      </w:rPr>
    </w:sdtEndPr>
    <w:sdtContent>
      <w:p w:rsidR="00153BBB" w:rsidRPr="00A0087B" w:rsidRDefault="001830E6">
        <w:pPr>
          <w:pStyle w:val="Header"/>
          <w:jc w:val="center"/>
          <w:rPr>
            <w:rFonts w:ascii="Times New Roman" w:hAnsi="Times New Roman"/>
            <w:sz w:val="26"/>
            <w:szCs w:val="26"/>
          </w:rPr>
        </w:pPr>
        <w:r w:rsidRPr="00A0087B">
          <w:rPr>
            <w:rFonts w:ascii="Times New Roman" w:hAnsi="Times New Roman"/>
            <w:sz w:val="26"/>
            <w:szCs w:val="26"/>
          </w:rPr>
          <w:fldChar w:fldCharType="begin"/>
        </w:r>
        <w:r w:rsidR="00153BBB" w:rsidRPr="00A0087B">
          <w:rPr>
            <w:rFonts w:ascii="Times New Roman" w:hAnsi="Times New Roman"/>
            <w:sz w:val="26"/>
            <w:szCs w:val="26"/>
          </w:rPr>
          <w:instrText xml:space="preserve"> PAGE   \* MERGEFORMAT </w:instrText>
        </w:r>
        <w:r w:rsidRPr="00A0087B">
          <w:rPr>
            <w:rFonts w:ascii="Times New Roman" w:hAnsi="Times New Roman"/>
            <w:sz w:val="26"/>
            <w:szCs w:val="26"/>
          </w:rPr>
          <w:fldChar w:fldCharType="separate"/>
        </w:r>
        <w:r w:rsidR="00712CEB">
          <w:rPr>
            <w:rFonts w:ascii="Times New Roman" w:hAnsi="Times New Roman"/>
            <w:noProof/>
            <w:sz w:val="26"/>
            <w:szCs w:val="26"/>
          </w:rPr>
          <w:t>11</w:t>
        </w:r>
        <w:r w:rsidRPr="00A0087B">
          <w:rPr>
            <w:rFonts w:ascii="Times New Roman" w:hAnsi="Times New Roman"/>
            <w:noProof/>
            <w:sz w:val="26"/>
            <w:szCs w:val="26"/>
          </w:rPr>
          <w:fldChar w:fldCharType="end"/>
        </w:r>
      </w:p>
    </w:sdtContent>
  </w:sdt>
  <w:p w:rsidR="00153BBB" w:rsidRDefault="00153B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6D6C"/>
    <w:multiLevelType w:val="hybridMultilevel"/>
    <w:tmpl w:val="BEA8AC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C5052D"/>
    <w:multiLevelType w:val="hybridMultilevel"/>
    <w:tmpl w:val="0F7E9A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927D5A"/>
    <w:multiLevelType w:val="multilevel"/>
    <w:tmpl w:val="EC286B4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4CA802D0"/>
    <w:multiLevelType w:val="hybridMultilevel"/>
    <w:tmpl w:val="3620C770"/>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4">
    <w:nsid w:val="61AF41E6"/>
    <w:multiLevelType w:val="hybridMultilevel"/>
    <w:tmpl w:val="8DF8031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6C3E471C"/>
    <w:multiLevelType w:val="hybridMultilevel"/>
    <w:tmpl w:val="C6B6BD0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rsids>
    <w:rsidRoot w:val="00664417"/>
    <w:rsid w:val="000037F3"/>
    <w:rsid w:val="00003928"/>
    <w:rsid w:val="00006F94"/>
    <w:rsid w:val="00027CCF"/>
    <w:rsid w:val="000406B9"/>
    <w:rsid w:val="00051054"/>
    <w:rsid w:val="0005671D"/>
    <w:rsid w:val="00056D2B"/>
    <w:rsid w:val="00057F23"/>
    <w:rsid w:val="0007559E"/>
    <w:rsid w:val="00080639"/>
    <w:rsid w:val="00085ABE"/>
    <w:rsid w:val="00085F6D"/>
    <w:rsid w:val="00087F49"/>
    <w:rsid w:val="00090955"/>
    <w:rsid w:val="000952F8"/>
    <w:rsid w:val="0009609D"/>
    <w:rsid w:val="000A0F2B"/>
    <w:rsid w:val="000A1592"/>
    <w:rsid w:val="000C55D6"/>
    <w:rsid w:val="000E1463"/>
    <w:rsid w:val="000E3726"/>
    <w:rsid w:val="000E78A0"/>
    <w:rsid w:val="000F1F14"/>
    <w:rsid w:val="000F468A"/>
    <w:rsid w:val="000F599B"/>
    <w:rsid w:val="000F6391"/>
    <w:rsid w:val="001061FE"/>
    <w:rsid w:val="00117B67"/>
    <w:rsid w:val="00127E62"/>
    <w:rsid w:val="00132386"/>
    <w:rsid w:val="00147F1A"/>
    <w:rsid w:val="00152798"/>
    <w:rsid w:val="00153BBB"/>
    <w:rsid w:val="00154A71"/>
    <w:rsid w:val="00160821"/>
    <w:rsid w:val="001646A8"/>
    <w:rsid w:val="00175539"/>
    <w:rsid w:val="001830E6"/>
    <w:rsid w:val="0018585F"/>
    <w:rsid w:val="00190131"/>
    <w:rsid w:val="001925D9"/>
    <w:rsid w:val="001951AF"/>
    <w:rsid w:val="001A6844"/>
    <w:rsid w:val="001C18DA"/>
    <w:rsid w:val="001C7188"/>
    <w:rsid w:val="001E0690"/>
    <w:rsid w:val="001E47C9"/>
    <w:rsid w:val="001E6D62"/>
    <w:rsid w:val="001F13FA"/>
    <w:rsid w:val="001F4CD9"/>
    <w:rsid w:val="00207953"/>
    <w:rsid w:val="0021095A"/>
    <w:rsid w:val="002175C2"/>
    <w:rsid w:val="00224D97"/>
    <w:rsid w:val="00227F47"/>
    <w:rsid w:val="002313B1"/>
    <w:rsid w:val="002327DE"/>
    <w:rsid w:val="00232B75"/>
    <w:rsid w:val="00233E69"/>
    <w:rsid w:val="00236C5C"/>
    <w:rsid w:val="00246141"/>
    <w:rsid w:val="00264FD9"/>
    <w:rsid w:val="00276025"/>
    <w:rsid w:val="00280A22"/>
    <w:rsid w:val="002834BB"/>
    <w:rsid w:val="0029097F"/>
    <w:rsid w:val="0029294D"/>
    <w:rsid w:val="00297914"/>
    <w:rsid w:val="002B28BD"/>
    <w:rsid w:val="002B6E73"/>
    <w:rsid w:val="002B71F4"/>
    <w:rsid w:val="002D0547"/>
    <w:rsid w:val="002D3387"/>
    <w:rsid w:val="002D63DC"/>
    <w:rsid w:val="002E0405"/>
    <w:rsid w:val="002F3C5B"/>
    <w:rsid w:val="00304B91"/>
    <w:rsid w:val="0031008F"/>
    <w:rsid w:val="003107B7"/>
    <w:rsid w:val="003116BA"/>
    <w:rsid w:val="0032167F"/>
    <w:rsid w:val="00327EAB"/>
    <w:rsid w:val="00332BE0"/>
    <w:rsid w:val="00333414"/>
    <w:rsid w:val="003404CF"/>
    <w:rsid w:val="00344FB8"/>
    <w:rsid w:val="0034736E"/>
    <w:rsid w:val="003531BF"/>
    <w:rsid w:val="00354531"/>
    <w:rsid w:val="003708CA"/>
    <w:rsid w:val="00371DF7"/>
    <w:rsid w:val="00373A72"/>
    <w:rsid w:val="003763CA"/>
    <w:rsid w:val="00393B78"/>
    <w:rsid w:val="0039590D"/>
    <w:rsid w:val="003A2DC4"/>
    <w:rsid w:val="003C3F14"/>
    <w:rsid w:val="003D3316"/>
    <w:rsid w:val="003E0CF6"/>
    <w:rsid w:val="003E3A1C"/>
    <w:rsid w:val="003E6082"/>
    <w:rsid w:val="00400610"/>
    <w:rsid w:val="00402D48"/>
    <w:rsid w:val="00402FE3"/>
    <w:rsid w:val="0040354B"/>
    <w:rsid w:val="0040542A"/>
    <w:rsid w:val="0041641B"/>
    <w:rsid w:val="00417142"/>
    <w:rsid w:val="00417BDF"/>
    <w:rsid w:val="004216C8"/>
    <w:rsid w:val="004218BA"/>
    <w:rsid w:val="004272B0"/>
    <w:rsid w:val="00427332"/>
    <w:rsid w:val="00441495"/>
    <w:rsid w:val="00445091"/>
    <w:rsid w:val="00445BE4"/>
    <w:rsid w:val="00453F57"/>
    <w:rsid w:val="00455F0A"/>
    <w:rsid w:val="004623EC"/>
    <w:rsid w:val="00470DDA"/>
    <w:rsid w:val="0048394F"/>
    <w:rsid w:val="00490075"/>
    <w:rsid w:val="00494565"/>
    <w:rsid w:val="004A0902"/>
    <w:rsid w:val="004A2C38"/>
    <w:rsid w:val="004A5B00"/>
    <w:rsid w:val="004B59C6"/>
    <w:rsid w:val="004C75B2"/>
    <w:rsid w:val="004D3AC8"/>
    <w:rsid w:val="004D3F41"/>
    <w:rsid w:val="004D4BC5"/>
    <w:rsid w:val="004F37AB"/>
    <w:rsid w:val="004F4E67"/>
    <w:rsid w:val="004F6ACC"/>
    <w:rsid w:val="0050383F"/>
    <w:rsid w:val="00503939"/>
    <w:rsid w:val="005078D4"/>
    <w:rsid w:val="00525446"/>
    <w:rsid w:val="00527FCB"/>
    <w:rsid w:val="005337B3"/>
    <w:rsid w:val="005358DC"/>
    <w:rsid w:val="00536158"/>
    <w:rsid w:val="00550AA8"/>
    <w:rsid w:val="005519E3"/>
    <w:rsid w:val="005532C3"/>
    <w:rsid w:val="005552C0"/>
    <w:rsid w:val="00555C89"/>
    <w:rsid w:val="00562BEB"/>
    <w:rsid w:val="00562E8B"/>
    <w:rsid w:val="00570D5E"/>
    <w:rsid w:val="005748B8"/>
    <w:rsid w:val="0058290E"/>
    <w:rsid w:val="005855C0"/>
    <w:rsid w:val="00591EAC"/>
    <w:rsid w:val="005A2260"/>
    <w:rsid w:val="005B3F68"/>
    <w:rsid w:val="005D5CDB"/>
    <w:rsid w:val="005D7C66"/>
    <w:rsid w:val="005E4640"/>
    <w:rsid w:val="005F1B83"/>
    <w:rsid w:val="005F2DCB"/>
    <w:rsid w:val="005F75E3"/>
    <w:rsid w:val="006029E7"/>
    <w:rsid w:val="00607685"/>
    <w:rsid w:val="006117FB"/>
    <w:rsid w:val="0061207F"/>
    <w:rsid w:val="0061495F"/>
    <w:rsid w:val="0061584E"/>
    <w:rsid w:val="00623578"/>
    <w:rsid w:val="00624679"/>
    <w:rsid w:val="00645B1D"/>
    <w:rsid w:val="006562A9"/>
    <w:rsid w:val="00657226"/>
    <w:rsid w:val="00664353"/>
    <w:rsid w:val="00664417"/>
    <w:rsid w:val="0067519C"/>
    <w:rsid w:val="006775AC"/>
    <w:rsid w:val="00681E96"/>
    <w:rsid w:val="006822AA"/>
    <w:rsid w:val="006939B2"/>
    <w:rsid w:val="00694A00"/>
    <w:rsid w:val="006A066C"/>
    <w:rsid w:val="006A4C9D"/>
    <w:rsid w:val="006B1718"/>
    <w:rsid w:val="006B1F27"/>
    <w:rsid w:val="006B2BDF"/>
    <w:rsid w:val="006B32D0"/>
    <w:rsid w:val="006C1DAB"/>
    <w:rsid w:val="006D556C"/>
    <w:rsid w:val="006E04FD"/>
    <w:rsid w:val="006F17E5"/>
    <w:rsid w:val="006F4162"/>
    <w:rsid w:val="006F7103"/>
    <w:rsid w:val="0070563A"/>
    <w:rsid w:val="00712CEB"/>
    <w:rsid w:val="00716C74"/>
    <w:rsid w:val="007208B8"/>
    <w:rsid w:val="0072544A"/>
    <w:rsid w:val="007273D5"/>
    <w:rsid w:val="00727B61"/>
    <w:rsid w:val="00736FD1"/>
    <w:rsid w:val="00741760"/>
    <w:rsid w:val="00755FE1"/>
    <w:rsid w:val="007618E5"/>
    <w:rsid w:val="0076442E"/>
    <w:rsid w:val="00765839"/>
    <w:rsid w:val="00773679"/>
    <w:rsid w:val="00777985"/>
    <w:rsid w:val="0078025E"/>
    <w:rsid w:val="0078247F"/>
    <w:rsid w:val="0078696F"/>
    <w:rsid w:val="00787103"/>
    <w:rsid w:val="00791B4B"/>
    <w:rsid w:val="007B1658"/>
    <w:rsid w:val="007B3898"/>
    <w:rsid w:val="007B3C9C"/>
    <w:rsid w:val="007B5A9D"/>
    <w:rsid w:val="007B7666"/>
    <w:rsid w:val="007C27B1"/>
    <w:rsid w:val="007D015D"/>
    <w:rsid w:val="007D2411"/>
    <w:rsid w:val="007D4632"/>
    <w:rsid w:val="007D4DEA"/>
    <w:rsid w:val="007D6580"/>
    <w:rsid w:val="007E5C50"/>
    <w:rsid w:val="007E7CB5"/>
    <w:rsid w:val="007F498F"/>
    <w:rsid w:val="007F534A"/>
    <w:rsid w:val="0080117D"/>
    <w:rsid w:val="008112BB"/>
    <w:rsid w:val="008120B0"/>
    <w:rsid w:val="00814E13"/>
    <w:rsid w:val="00820360"/>
    <w:rsid w:val="008240BE"/>
    <w:rsid w:val="00835A74"/>
    <w:rsid w:val="0084302E"/>
    <w:rsid w:val="0084361D"/>
    <w:rsid w:val="008448E6"/>
    <w:rsid w:val="00844A1C"/>
    <w:rsid w:val="0085376A"/>
    <w:rsid w:val="00854AD3"/>
    <w:rsid w:val="00854D8D"/>
    <w:rsid w:val="00862CF6"/>
    <w:rsid w:val="008635C6"/>
    <w:rsid w:val="00863D5A"/>
    <w:rsid w:val="008658A5"/>
    <w:rsid w:val="008717E6"/>
    <w:rsid w:val="00882300"/>
    <w:rsid w:val="00892ABA"/>
    <w:rsid w:val="00893D09"/>
    <w:rsid w:val="008A36DF"/>
    <w:rsid w:val="008C5485"/>
    <w:rsid w:val="008D02D2"/>
    <w:rsid w:val="008E4189"/>
    <w:rsid w:val="008E45C8"/>
    <w:rsid w:val="008F2241"/>
    <w:rsid w:val="008F43FD"/>
    <w:rsid w:val="008F5698"/>
    <w:rsid w:val="009009DD"/>
    <w:rsid w:val="00911B42"/>
    <w:rsid w:val="009137E1"/>
    <w:rsid w:val="00914D0E"/>
    <w:rsid w:val="0091756A"/>
    <w:rsid w:val="009235CB"/>
    <w:rsid w:val="00923CE0"/>
    <w:rsid w:val="0094143C"/>
    <w:rsid w:val="00952EC9"/>
    <w:rsid w:val="00953B9B"/>
    <w:rsid w:val="00953E7F"/>
    <w:rsid w:val="009568F8"/>
    <w:rsid w:val="00957A53"/>
    <w:rsid w:val="00967855"/>
    <w:rsid w:val="00970CDF"/>
    <w:rsid w:val="00974C17"/>
    <w:rsid w:val="00980A14"/>
    <w:rsid w:val="00980F8B"/>
    <w:rsid w:val="00982B3C"/>
    <w:rsid w:val="00985D9C"/>
    <w:rsid w:val="0099589F"/>
    <w:rsid w:val="009A29FB"/>
    <w:rsid w:val="009B1A70"/>
    <w:rsid w:val="009B1BBA"/>
    <w:rsid w:val="009B39F7"/>
    <w:rsid w:val="009B4BC5"/>
    <w:rsid w:val="009B57E1"/>
    <w:rsid w:val="009B6571"/>
    <w:rsid w:val="009E6FB6"/>
    <w:rsid w:val="009F3638"/>
    <w:rsid w:val="009F466B"/>
    <w:rsid w:val="009F4966"/>
    <w:rsid w:val="00A0087B"/>
    <w:rsid w:val="00A03C22"/>
    <w:rsid w:val="00A06DF0"/>
    <w:rsid w:val="00A2005D"/>
    <w:rsid w:val="00A24AB9"/>
    <w:rsid w:val="00A3046F"/>
    <w:rsid w:val="00A34C3F"/>
    <w:rsid w:val="00A43405"/>
    <w:rsid w:val="00A50227"/>
    <w:rsid w:val="00A63090"/>
    <w:rsid w:val="00A656F7"/>
    <w:rsid w:val="00A67663"/>
    <w:rsid w:val="00A749D6"/>
    <w:rsid w:val="00A76493"/>
    <w:rsid w:val="00A81064"/>
    <w:rsid w:val="00AD0494"/>
    <w:rsid w:val="00AE605C"/>
    <w:rsid w:val="00AE6F07"/>
    <w:rsid w:val="00AE77C5"/>
    <w:rsid w:val="00AF5D28"/>
    <w:rsid w:val="00AF6C06"/>
    <w:rsid w:val="00B0004F"/>
    <w:rsid w:val="00B04501"/>
    <w:rsid w:val="00B12692"/>
    <w:rsid w:val="00B13279"/>
    <w:rsid w:val="00B170EC"/>
    <w:rsid w:val="00B21C35"/>
    <w:rsid w:val="00B2737E"/>
    <w:rsid w:val="00B300F9"/>
    <w:rsid w:val="00B32C69"/>
    <w:rsid w:val="00B36072"/>
    <w:rsid w:val="00B43552"/>
    <w:rsid w:val="00B46F39"/>
    <w:rsid w:val="00B52DEB"/>
    <w:rsid w:val="00B57DBA"/>
    <w:rsid w:val="00B657A6"/>
    <w:rsid w:val="00B86562"/>
    <w:rsid w:val="00BC0AE0"/>
    <w:rsid w:val="00BC3D69"/>
    <w:rsid w:val="00BC438D"/>
    <w:rsid w:val="00BD1583"/>
    <w:rsid w:val="00BE004A"/>
    <w:rsid w:val="00BE4867"/>
    <w:rsid w:val="00BE7F9A"/>
    <w:rsid w:val="00BF107D"/>
    <w:rsid w:val="00BF3628"/>
    <w:rsid w:val="00C0022F"/>
    <w:rsid w:val="00C05382"/>
    <w:rsid w:val="00C05F7B"/>
    <w:rsid w:val="00C21142"/>
    <w:rsid w:val="00C248D5"/>
    <w:rsid w:val="00C405B0"/>
    <w:rsid w:val="00C574C3"/>
    <w:rsid w:val="00C635AD"/>
    <w:rsid w:val="00C7631F"/>
    <w:rsid w:val="00C83E0B"/>
    <w:rsid w:val="00C86204"/>
    <w:rsid w:val="00CA29A6"/>
    <w:rsid w:val="00CA6003"/>
    <w:rsid w:val="00CA7F74"/>
    <w:rsid w:val="00CB2211"/>
    <w:rsid w:val="00CB56AB"/>
    <w:rsid w:val="00CC5877"/>
    <w:rsid w:val="00CC5EC7"/>
    <w:rsid w:val="00CD69A1"/>
    <w:rsid w:val="00CE0271"/>
    <w:rsid w:val="00CE61FD"/>
    <w:rsid w:val="00CF11FC"/>
    <w:rsid w:val="00CF1B64"/>
    <w:rsid w:val="00D0724D"/>
    <w:rsid w:val="00D11482"/>
    <w:rsid w:val="00D13A6C"/>
    <w:rsid w:val="00D175B0"/>
    <w:rsid w:val="00D24E56"/>
    <w:rsid w:val="00D313E9"/>
    <w:rsid w:val="00D36CF7"/>
    <w:rsid w:val="00D56449"/>
    <w:rsid w:val="00D56C14"/>
    <w:rsid w:val="00D633C6"/>
    <w:rsid w:val="00D72DE5"/>
    <w:rsid w:val="00D80117"/>
    <w:rsid w:val="00D82431"/>
    <w:rsid w:val="00D9618A"/>
    <w:rsid w:val="00D969C8"/>
    <w:rsid w:val="00DA79CB"/>
    <w:rsid w:val="00DB411A"/>
    <w:rsid w:val="00DB416D"/>
    <w:rsid w:val="00DB74B1"/>
    <w:rsid w:val="00DC0F4E"/>
    <w:rsid w:val="00DC6FDA"/>
    <w:rsid w:val="00DD1F07"/>
    <w:rsid w:val="00DD4B1F"/>
    <w:rsid w:val="00DE3CDE"/>
    <w:rsid w:val="00DE79BA"/>
    <w:rsid w:val="00DF085F"/>
    <w:rsid w:val="00E00ED0"/>
    <w:rsid w:val="00E03CF1"/>
    <w:rsid w:val="00E13D75"/>
    <w:rsid w:val="00E17099"/>
    <w:rsid w:val="00E21D5B"/>
    <w:rsid w:val="00E23D32"/>
    <w:rsid w:val="00E25AD3"/>
    <w:rsid w:val="00E26C15"/>
    <w:rsid w:val="00E3751A"/>
    <w:rsid w:val="00E47B00"/>
    <w:rsid w:val="00E51AFF"/>
    <w:rsid w:val="00E5641C"/>
    <w:rsid w:val="00E62315"/>
    <w:rsid w:val="00E66B7F"/>
    <w:rsid w:val="00E707AD"/>
    <w:rsid w:val="00E72F1E"/>
    <w:rsid w:val="00E74E51"/>
    <w:rsid w:val="00E765BF"/>
    <w:rsid w:val="00E77CD4"/>
    <w:rsid w:val="00E80560"/>
    <w:rsid w:val="00E834F2"/>
    <w:rsid w:val="00E92AF7"/>
    <w:rsid w:val="00E93022"/>
    <w:rsid w:val="00EA469B"/>
    <w:rsid w:val="00EA623B"/>
    <w:rsid w:val="00EB703E"/>
    <w:rsid w:val="00ED7C89"/>
    <w:rsid w:val="00EE53AC"/>
    <w:rsid w:val="00EE6DC0"/>
    <w:rsid w:val="00F00806"/>
    <w:rsid w:val="00F04162"/>
    <w:rsid w:val="00F07B2E"/>
    <w:rsid w:val="00F11613"/>
    <w:rsid w:val="00F122CC"/>
    <w:rsid w:val="00F128B9"/>
    <w:rsid w:val="00F1342A"/>
    <w:rsid w:val="00F30103"/>
    <w:rsid w:val="00F30435"/>
    <w:rsid w:val="00F35258"/>
    <w:rsid w:val="00F50E6A"/>
    <w:rsid w:val="00F569FF"/>
    <w:rsid w:val="00F66B24"/>
    <w:rsid w:val="00F86C7E"/>
    <w:rsid w:val="00F92D65"/>
    <w:rsid w:val="00FA1785"/>
    <w:rsid w:val="00FA6558"/>
    <w:rsid w:val="00FC1491"/>
    <w:rsid w:val="00FC4448"/>
    <w:rsid w:val="00FC5A9B"/>
    <w:rsid w:val="00FC77A2"/>
    <w:rsid w:val="00FD564D"/>
    <w:rsid w:val="00FE0963"/>
    <w:rsid w:val="00FE68D5"/>
    <w:rsid w:val="00FF1F80"/>
    <w:rsid w:val="00FF358A"/>
    <w:rsid w:val="00FF47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4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417"/>
  </w:style>
  <w:style w:type="paragraph" w:styleId="Footer">
    <w:name w:val="footer"/>
    <w:basedOn w:val="Normal"/>
    <w:link w:val="FooterChar"/>
    <w:uiPriority w:val="99"/>
    <w:unhideWhenUsed/>
    <w:rsid w:val="00664417"/>
    <w:pPr>
      <w:tabs>
        <w:tab w:val="center" w:pos="4153"/>
        <w:tab w:val="right" w:pos="8306"/>
      </w:tabs>
      <w:spacing w:after="0" w:line="240" w:lineRule="auto"/>
    </w:pPr>
    <w:rPr>
      <w:rFonts w:ascii="Dutch TL" w:eastAsia="Times New Roman" w:hAnsi="Dutch TL" w:cs="Times New Roman"/>
      <w:sz w:val="28"/>
      <w:szCs w:val="20"/>
      <w:lang w:eastAsia="zh-TW"/>
    </w:rPr>
  </w:style>
  <w:style w:type="character" w:customStyle="1" w:styleId="FooterChar">
    <w:name w:val="Footer Char"/>
    <w:basedOn w:val="DefaultParagraphFont"/>
    <w:link w:val="Footer"/>
    <w:uiPriority w:val="99"/>
    <w:rsid w:val="00664417"/>
    <w:rPr>
      <w:rFonts w:ascii="Dutch TL" w:eastAsia="Times New Roman" w:hAnsi="Dutch TL" w:cs="Times New Roman"/>
      <w:sz w:val="28"/>
      <w:szCs w:val="20"/>
      <w:lang w:eastAsia="zh-TW"/>
    </w:rPr>
  </w:style>
  <w:style w:type="paragraph" w:styleId="ListParagraph">
    <w:name w:val="List Paragraph"/>
    <w:aliases w:val="2"/>
    <w:basedOn w:val="Normal"/>
    <w:link w:val="ListParagraphChar"/>
    <w:uiPriority w:val="34"/>
    <w:qFormat/>
    <w:rsid w:val="00E707AD"/>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2544A"/>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2544A"/>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72544A"/>
    <w:rPr>
      <w:vertAlign w:val="superscript"/>
    </w:rPr>
  </w:style>
  <w:style w:type="character" w:styleId="Hyperlink">
    <w:name w:val="Hyperlink"/>
    <w:basedOn w:val="DefaultParagraphFont"/>
    <w:uiPriority w:val="99"/>
    <w:unhideWhenUsed/>
    <w:rsid w:val="00BE7F9A"/>
    <w:rPr>
      <w:color w:val="0000FF" w:themeColor="hyperlink"/>
      <w:u w:val="single"/>
    </w:rPr>
  </w:style>
  <w:style w:type="paragraph" w:styleId="BalloonText">
    <w:name w:val="Balloon Text"/>
    <w:basedOn w:val="Normal"/>
    <w:link w:val="BalloonTextChar"/>
    <w:uiPriority w:val="99"/>
    <w:semiHidden/>
    <w:unhideWhenUsed/>
    <w:rsid w:val="0029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14"/>
    <w:rPr>
      <w:rFonts w:ascii="Tahoma" w:hAnsi="Tahoma" w:cs="Tahoma"/>
      <w:sz w:val="16"/>
      <w:szCs w:val="16"/>
    </w:rPr>
  </w:style>
  <w:style w:type="paragraph" w:customStyle="1" w:styleId="CharCharCharChar">
    <w:name w:val="Char Char Char Char"/>
    <w:aliases w:val="Char2"/>
    <w:basedOn w:val="Normal"/>
    <w:next w:val="Normal"/>
    <w:link w:val="FootnoteReference"/>
    <w:uiPriority w:val="99"/>
    <w:rsid w:val="00445091"/>
    <w:pPr>
      <w:spacing w:after="160" w:line="240" w:lineRule="exact"/>
      <w:ind w:firstLine="720"/>
      <w:jc w:val="both"/>
      <w:textAlignment w:val="baseline"/>
    </w:pPr>
    <w:rPr>
      <w:vertAlign w:val="superscript"/>
    </w:rPr>
  </w:style>
  <w:style w:type="paragraph" w:styleId="NormalWeb">
    <w:name w:val="Normal (Web)"/>
    <w:basedOn w:val="Normal"/>
    <w:uiPriority w:val="99"/>
    <w:rsid w:val="007D6580"/>
    <w:pPr>
      <w:spacing w:before="100" w:beforeAutospacing="1" w:after="100" w:afterAutospacing="1" w:line="240" w:lineRule="auto"/>
      <w:ind w:firstLine="720"/>
      <w:jc w:val="both"/>
    </w:pPr>
    <w:rPr>
      <w:rFonts w:ascii="Verdana" w:eastAsia="Times New Roman" w:hAnsi="Verdana" w:cs="Times New Roman"/>
      <w:sz w:val="16"/>
      <w:szCs w:val="16"/>
      <w:lang w:eastAsia="lv-LV"/>
    </w:rPr>
  </w:style>
  <w:style w:type="character" w:customStyle="1" w:styleId="ListParagraphChar">
    <w:name w:val="List Paragraph Char"/>
    <w:aliases w:val="2 Char"/>
    <w:link w:val="ListParagraph"/>
    <w:uiPriority w:val="34"/>
    <w:rsid w:val="007D6580"/>
  </w:style>
  <w:style w:type="table" w:styleId="TableGrid">
    <w:name w:val="Table Grid"/>
    <w:basedOn w:val="TableNormal"/>
    <w:uiPriority w:val="59"/>
    <w:rsid w:val="002B6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4565"/>
    <w:rPr>
      <w:sz w:val="16"/>
      <w:szCs w:val="16"/>
    </w:rPr>
  </w:style>
  <w:style w:type="paragraph" w:styleId="CommentText">
    <w:name w:val="annotation text"/>
    <w:basedOn w:val="Normal"/>
    <w:link w:val="CommentTextChar"/>
    <w:uiPriority w:val="99"/>
    <w:unhideWhenUsed/>
    <w:rsid w:val="00494565"/>
    <w:pPr>
      <w:spacing w:line="240" w:lineRule="auto"/>
    </w:pPr>
    <w:rPr>
      <w:sz w:val="20"/>
      <w:szCs w:val="20"/>
    </w:rPr>
  </w:style>
  <w:style w:type="character" w:customStyle="1" w:styleId="CommentTextChar">
    <w:name w:val="Comment Text Char"/>
    <w:basedOn w:val="DefaultParagraphFont"/>
    <w:link w:val="CommentText"/>
    <w:uiPriority w:val="99"/>
    <w:rsid w:val="00494565"/>
    <w:rPr>
      <w:sz w:val="20"/>
      <w:szCs w:val="20"/>
    </w:rPr>
  </w:style>
  <w:style w:type="paragraph" w:styleId="CommentSubject">
    <w:name w:val="annotation subject"/>
    <w:basedOn w:val="CommentText"/>
    <w:next w:val="CommentText"/>
    <w:link w:val="CommentSubjectChar"/>
    <w:uiPriority w:val="99"/>
    <w:semiHidden/>
    <w:unhideWhenUsed/>
    <w:rsid w:val="00494565"/>
    <w:rPr>
      <w:b/>
      <w:bCs/>
    </w:rPr>
  </w:style>
  <w:style w:type="character" w:customStyle="1" w:styleId="CommentSubjectChar">
    <w:name w:val="Comment Subject Char"/>
    <w:basedOn w:val="CommentTextChar"/>
    <w:link w:val="CommentSubject"/>
    <w:uiPriority w:val="99"/>
    <w:semiHidden/>
    <w:rsid w:val="00494565"/>
    <w:rPr>
      <w:b/>
      <w:bCs/>
      <w:sz w:val="20"/>
      <w:szCs w:val="20"/>
    </w:rPr>
  </w:style>
</w:styles>
</file>

<file path=word/webSettings.xml><?xml version="1.0" encoding="utf-8"?>
<w:webSettings xmlns:r="http://schemas.openxmlformats.org/officeDocument/2006/relationships" xmlns:w="http://schemas.openxmlformats.org/wordprocessingml/2006/main">
  <w:divs>
    <w:div w:id="132908720">
      <w:bodyDiv w:val="1"/>
      <w:marLeft w:val="0"/>
      <w:marRight w:val="0"/>
      <w:marTop w:val="0"/>
      <w:marBottom w:val="0"/>
      <w:divBdr>
        <w:top w:val="none" w:sz="0" w:space="0" w:color="auto"/>
        <w:left w:val="none" w:sz="0" w:space="0" w:color="auto"/>
        <w:bottom w:val="none" w:sz="0" w:space="0" w:color="auto"/>
        <w:right w:val="none" w:sz="0" w:space="0" w:color="auto"/>
      </w:divBdr>
    </w:div>
    <w:div w:id="995649678">
      <w:bodyDiv w:val="1"/>
      <w:marLeft w:val="0"/>
      <w:marRight w:val="0"/>
      <w:marTop w:val="0"/>
      <w:marBottom w:val="0"/>
      <w:divBdr>
        <w:top w:val="none" w:sz="0" w:space="0" w:color="auto"/>
        <w:left w:val="none" w:sz="0" w:space="0" w:color="auto"/>
        <w:bottom w:val="none" w:sz="0" w:space="0" w:color="auto"/>
        <w:right w:val="none" w:sz="0" w:space="0" w:color="auto"/>
      </w:divBdr>
      <w:divsChild>
        <w:div w:id="1991666790">
          <w:marLeft w:val="0"/>
          <w:marRight w:val="0"/>
          <w:marTop w:val="0"/>
          <w:marBottom w:val="0"/>
          <w:divBdr>
            <w:top w:val="none" w:sz="0" w:space="0" w:color="auto"/>
            <w:left w:val="none" w:sz="0" w:space="0" w:color="auto"/>
            <w:bottom w:val="none" w:sz="0" w:space="0" w:color="auto"/>
            <w:right w:val="none" w:sz="0" w:space="0" w:color="auto"/>
          </w:divBdr>
          <w:divsChild>
            <w:div w:id="2080786957">
              <w:marLeft w:val="0"/>
              <w:marRight w:val="0"/>
              <w:marTop w:val="0"/>
              <w:marBottom w:val="0"/>
              <w:divBdr>
                <w:top w:val="none" w:sz="0" w:space="0" w:color="auto"/>
                <w:left w:val="none" w:sz="0" w:space="0" w:color="auto"/>
                <w:bottom w:val="none" w:sz="0" w:space="0" w:color="auto"/>
                <w:right w:val="none" w:sz="0" w:space="0" w:color="auto"/>
              </w:divBdr>
              <w:divsChild>
                <w:div w:id="1768771526">
                  <w:marLeft w:val="0"/>
                  <w:marRight w:val="0"/>
                  <w:marTop w:val="0"/>
                  <w:marBottom w:val="0"/>
                  <w:divBdr>
                    <w:top w:val="none" w:sz="0" w:space="0" w:color="auto"/>
                    <w:left w:val="none" w:sz="0" w:space="0" w:color="auto"/>
                    <w:bottom w:val="none" w:sz="0" w:space="0" w:color="auto"/>
                    <w:right w:val="none" w:sz="0" w:space="0" w:color="auto"/>
                  </w:divBdr>
                  <w:divsChild>
                    <w:div w:id="557788439">
                      <w:marLeft w:val="0"/>
                      <w:marRight w:val="0"/>
                      <w:marTop w:val="0"/>
                      <w:marBottom w:val="0"/>
                      <w:divBdr>
                        <w:top w:val="none" w:sz="0" w:space="0" w:color="auto"/>
                        <w:left w:val="none" w:sz="0" w:space="0" w:color="auto"/>
                        <w:bottom w:val="none" w:sz="0" w:space="0" w:color="auto"/>
                        <w:right w:val="none" w:sz="0" w:space="0" w:color="auto"/>
                      </w:divBdr>
                      <w:divsChild>
                        <w:div w:id="1460151956">
                          <w:marLeft w:val="0"/>
                          <w:marRight w:val="0"/>
                          <w:marTop w:val="0"/>
                          <w:marBottom w:val="0"/>
                          <w:divBdr>
                            <w:top w:val="none" w:sz="0" w:space="0" w:color="auto"/>
                            <w:left w:val="none" w:sz="0" w:space="0" w:color="auto"/>
                            <w:bottom w:val="none" w:sz="0" w:space="0" w:color="auto"/>
                            <w:right w:val="none" w:sz="0" w:space="0" w:color="auto"/>
                          </w:divBdr>
                          <w:divsChild>
                            <w:div w:id="5558969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67330">
      <w:bodyDiv w:val="1"/>
      <w:marLeft w:val="0"/>
      <w:marRight w:val="0"/>
      <w:marTop w:val="0"/>
      <w:marBottom w:val="0"/>
      <w:divBdr>
        <w:top w:val="none" w:sz="0" w:space="0" w:color="auto"/>
        <w:left w:val="none" w:sz="0" w:space="0" w:color="auto"/>
        <w:bottom w:val="none" w:sz="0" w:space="0" w:color="auto"/>
        <w:right w:val="none" w:sz="0" w:space="0" w:color="auto"/>
      </w:divBdr>
    </w:div>
    <w:div w:id="1221550046">
      <w:bodyDiv w:val="1"/>
      <w:marLeft w:val="0"/>
      <w:marRight w:val="0"/>
      <w:marTop w:val="0"/>
      <w:marBottom w:val="0"/>
      <w:divBdr>
        <w:top w:val="none" w:sz="0" w:space="0" w:color="auto"/>
        <w:left w:val="none" w:sz="0" w:space="0" w:color="auto"/>
        <w:bottom w:val="none" w:sz="0" w:space="0" w:color="auto"/>
        <w:right w:val="none" w:sz="0" w:space="0" w:color="auto"/>
      </w:divBdr>
    </w:div>
    <w:div w:id="1320112486">
      <w:bodyDiv w:val="1"/>
      <w:marLeft w:val="0"/>
      <w:marRight w:val="0"/>
      <w:marTop w:val="0"/>
      <w:marBottom w:val="0"/>
      <w:divBdr>
        <w:top w:val="none" w:sz="0" w:space="0" w:color="auto"/>
        <w:left w:val="none" w:sz="0" w:space="0" w:color="auto"/>
        <w:bottom w:val="none" w:sz="0" w:space="0" w:color="auto"/>
        <w:right w:val="none" w:sz="0" w:space="0" w:color="auto"/>
      </w:divBdr>
    </w:div>
    <w:div w:id="1556233353">
      <w:bodyDiv w:val="1"/>
      <w:marLeft w:val="0"/>
      <w:marRight w:val="0"/>
      <w:marTop w:val="0"/>
      <w:marBottom w:val="0"/>
      <w:divBdr>
        <w:top w:val="none" w:sz="0" w:space="0" w:color="auto"/>
        <w:left w:val="none" w:sz="0" w:space="0" w:color="auto"/>
        <w:bottom w:val="none" w:sz="0" w:space="0" w:color="auto"/>
        <w:right w:val="none" w:sz="0" w:space="0" w:color="auto"/>
      </w:divBdr>
      <w:divsChild>
        <w:div w:id="511649303">
          <w:marLeft w:val="0"/>
          <w:marRight w:val="0"/>
          <w:marTop w:val="0"/>
          <w:marBottom w:val="0"/>
          <w:divBdr>
            <w:top w:val="none" w:sz="0" w:space="0" w:color="auto"/>
            <w:left w:val="none" w:sz="0" w:space="0" w:color="auto"/>
            <w:bottom w:val="none" w:sz="0" w:space="0" w:color="auto"/>
            <w:right w:val="none" w:sz="0" w:space="0" w:color="auto"/>
          </w:divBdr>
          <w:divsChild>
            <w:div w:id="1204637305">
              <w:marLeft w:val="0"/>
              <w:marRight w:val="0"/>
              <w:marTop w:val="0"/>
              <w:marBottom w:val="0"/>
              <w:divBdr>
                <w:top w:val="none" w:sz="0" w:space="0" w:color="auto"/>
                <w:left w:val="none" w:sz="0" w:space="0" w:color="auto"/>
                <w:bottom w:val="none" w:sz="0" w:space="0" w:color="auto"/>
                <w:right w:val="none" w:sz="0" w:space="0" w:color="auto"/>
              </w:divBdr>
              <w:divsChild>
                <w:div w:id="216940954">
                  <w:marLeft w:val="0"/>
                  <w:marRight w:val="0"/>
                  <w:marTop w:val="0"/>
                  <w:marBottom w:val="0"/>
                  <w:divBdr>
                    <w:top w:val="none" w:sz="0" w:space="0" w:color="auto"/>
                    <w:left w:val="none" w:sz="0" w:space="0" w:color="auto"/>
                    <w:bottom w:val="none" w:sz="0" w:space="0" w:color="auto"/>
                    <w:right w:val="none" w:sz="0" w:space="0" w:color="auto"/>
                  </w:divBdr>
                  <w:divsChild>
                    <w:div w:id="923412793">
                      <w:marLeft w:val="0"/>
                      <w:marRight w:val="0"/>
                      <w:marTop w:val="0"/>
                      <w:marBottom w:val="0"/>
                      <w:divBdr>
                        <w:top w:val="none" w:sz="0" w:space="0" w:color="auto"/>
                        <w:left w:val="none" w:sz="0" w:space="0" w:color="auto"/>
                        <w:bottom w:val="none" w:sz="0" w:space="0" w:color="auto"/>
                        <w:right w:val="none" w:sz="0" w:space="0" w:color="auto"/>
                      </w:divBdr>
                      <w:divsChild>
                        <w:div w:id="1744179826">
                          <w:marLeft w:val="0"/>
                          <w:marRight w:val="0"/>
                          <w:marTop w:val="0"/>
                          <w:marBottom w:val="0"/>
                          <w:divBdr>
                            <w:top w:val="none" w:sz="0" w:space="0" w:color="auto"/>
                            <w:left w:val="none" w:sz="0" w:space="0" w:color="auto"/>
                            <w:bottom w:val="none" w:sz="0" w:space="0" w:color="auto"/>
                            <w:right w:val="none" w:sz="0" w:space="0" w:color="auto"/>
                          </w:divBdr>
                          <w:divsChild>
                            <w:div w:id="8111018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90115">
      <w:bodyDiv w:val="1"/>
      <w:marLeft w:val="0"/>
      <w:marRight w:val="0"/>
      <w:marTop w:val="0"/>
      <w:marBottom w:val="0"/>
      <w:divBdr>
        <w:top w:val="none" w:sz="0" w:space="0" w:color="auto"/>
        <w:left w:val="none" w:sz="0" w:space="0" w:color="auto"/>
        <w:bottom w:val="none" w:sz="0" w:space="0" w:color="auto"/>
        <w:right w:val="none" w:sz="0" w:space="0" w:color="auto"/>
      </w:divBdr>
      <w:divsChild>
        <w:div w:id="2090542072">
          <w:marLeft w:val="0"/>
          <w:marRight w:val="0"/>
          <w:marTop w:val="0"/>
          <w:marBottom w:val="0"/>
          <w:divBdr>
            <w:top w:val="none" w:sz="0" w:space="0" w:color="auto"/>
            <w:left w:val="none" w:sz="0" w:space="0" w:color="auto"/>
            <w:bottom w:val="none" w:sz="0" w:space="0" w:color="auto"/>
            <w:right w:val="none" w:sz="0" w:space="0" w:color="auto"/>
          </w:divBdr>
          <w:divsChild>
            <w:div w:id="1700428752">
              <w:marLeft w:val="0"/>
              <w:marRight w:val="0"/>
              <w:marTop w:val="0"/>
              <w:marBottom w:val="0"/>
              <w:divBdr>
                <w:top w:val="none" w:sz="0" w:space="0" w:color="auto"/>
                <w:left w:val="none" w:sz="0" w:space="0" w:color="auto"/>
                <w:bottom w:val="none" w:sz="0" w:space="0" w:color="auto"/>
                <w:right w:val="none" w:sz="0" w:space="0" w:color="auto"/>
              </w:divBdr>
              <w:divsChild>
                <w:div w:id="1783961324">
                  <w:marLeft w:val="0"/>
                  <w:marRight w:val="0"/>
                  <w:marTop w:val="0"/>
                  <w:marBottom w:val="0"/>
                  <w:divBdr>
                    <w:top w:val="none" w:sz="0" w:space="0" w:color="auto"/>
                    <w:left w:val="none" w:sz="0" w:space="0" w:color="auto"/>
                    <w:bottom w:val="none" w:sz="0" w:space="0" w:color="auto"/>
                    <w:right w:val="none" w:sz="0" w:space="0" w:color="auto"/>
                  </w:divBdr>
                  <w:divsChild>
                    <w:div w:id="1892885970">
                      <w:marLeft w:val="0"/>
                      <w:marRight w:val="0"/>
                      <w:marTop w:val="0"/>
                      <w:marBottom w:val="0"/>
                      <w:divBdr>
                        <w:top w:val="none" w:sz="0" w:space="0" w:color="auto"/>
                        <w:left w:val="none" w:sz="0" w:space="0" w:color="auto"/>
                        <w:bottom w:val="none" w:sz="0" w:space="0" w:color="auto"/>
                        <w:right w:val="none" w:sz="0" w:space="0" w:color="auto"/>
                      </w:divBdr>
                      <w:divsChild>
                        <w:div w:id="1115559730">
                          <w:marLeft w:val="0"/>
                          <w:marRight w:val="0"/>
                          <w:marTop w:val="0"/>
                          <w:marBottom w:val="0"/>
                          <w:divBdr>
                            <w:top w:val="none" w:sz="0" w:space="0" w:color="auto"/>
                            <w:left w:val="none" w:sz="0" w:space="0" w:color="auto"/>
                            <w:bottom w:val="none" w:sz="0" w:space="0" w:color="auto"/>
                            <w:right w:val="none" w:sz="0" w:space="0" w:color="auto"/>
                          </w:divBdr>
                          <w:divsChild>
                            <w:div w:id="15093716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latgale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23B5-23F0-4E9E-B790-21702EEE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Aļošina</dc:creator>
  <cp:lastModifiedBy>larisat</cp:lastModifiedBy>
  <cp:revision>2</cp:revision>
  <cp:lastPrinted>2015-11-13T11:38:00Z</cp:lastPrinted>
  <dcterms:created xsi:type="dcterms:W3CDTF">2016-02-03T09:30:00Z</dcterms:created>
  <dcterms:modified xsi:type="dcterms:W3CDTF">2016-02-03T09:30:00Z</dcterms:modified>
  <cp:contentStatus/>
</cp:coreProperties>
</file>