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2B" w:rsidRDefault="00B7762B" w:rsidP="002801F4">
      <w:pPr>
        <w:pStyle w:val="Header"/>
        <w:ind w:left="4536"/>
        <w:jc w:val="right"/>
        <w:rPr>
          <w:sz w:val="22"/>
          <w:szCs w:val="22"/>
        </w:rPr>
      </w:pPr>
      <w:r w:rsidRPr="00B62F81">
        <w:rPr>
          <w:b/>
          <w:sz w:val="22"/>
          <w:szCs w:val="22"/>
        </w:rPr>
        <w:t xml:space="preserve">Pielikums </w:t>
      </w:r>
    </w:p>
    <w:p w:rsidR="00B7762B" w:rsidRPr="00B62F81" w:rsidRDefault="00B7762B" w:rsidP="002801F4">
      <w:pPr>
        <w:pStyle w:val="Header"/>
        <w:ind w:left="4536"/>
        <w:jc w:val="right"/>
        <w:rPr>
          <w:sz w:val="22"/>
          <w:szCs w:val="22"/>
        </w:rPr>
      </w:pPr>
      <w:r w:rsidRPr="00B62F81">
        <w:rPr>
          <w:sz w:val="22"/>
          <w:szCs w:val="22"/>
        </w:rPr>
        <w:t>Ministru kabineta noteikumu projekta</w:t>
      </w:r>
      <w:r>
        <w:rPr>
          <w:sz w:val="22"/>
          <w:szCs w:val="22"/>
        </w:rPr>
        <w:t xml:space="preserve"> </w:t>
      </w:r>
      <w:r w:rsidRPr="00B62F81">
        <w:rPr>
          <w:sz w:val="22"/>
          <w:szCs w:val="22"/>
        </w:rPr>
        <w:t xml:space="preserve">„Darbības programmas </w:t>
      </w:r>
      <w:r w:rsidR="002801F4">
        <w:rPr>
          <w:sz w:val="22"/>
          <w:szCs w:val="22"/>
        </w:rPr>
        <w:t>“</w:t>
      </w:r>
      <w:r w:rsidRPr="00B62F81">
        <w:rPr>
          <w:sz w:val="22"/>
          <w:szCs w:val="22"/>
        </w:rPr>
        <w:t>Izaugsme un nodarbinātība</w:t>
      </w:r>
      <w:r w:rsidR="002801F4">
        <w:rPr>
          <w:sz w:val="22"/>
          <w:szCs w:val="22"/>
        </w:rPr>
        <w:t>”</w:t>
      </w:r>
      <w:r w:rsidRPr="00B62F81">
        <w:rPr>
          <w:sz w:val="22"/>
          <w:szCs w:val="22"/>
        </w:rPr>
        <w:t xml:space="preserve"> 5.4.2. specifiskā atbalsta mērķa </w:t>
      </w:r>
      <w:r w:rsidR="002801F4">
        <w:rPr>
          <w:sz w:val="22"/>
          <w:szCs w:val="22"/>
        </w:rPr>
        <w:t>“</w:t>
      </w:r>
      <w:r w:rsidRPr="00B62F81">
        <w:rPr>
          <w:sz w:val="22"/>
          <w:szCs w:val="22"/>
        </w:rPr>
        <w:t>Nodrošināt vides monitoringa un kontroles sistēmas attīstību un savlaicīgu vides risku novēršanu, kā arī sabiedrības līdzdalību vides pārvaldībā” 5.4.2.1. pasākuma „Bioloģiskās daudzveidības saglabāšanas un ekosistēmu aizsardzības priekšnoteikumi” īstenošanas noteikumu”</w:t>
      </w:r>
    </w:p>
    <w:p w:rsidR="00B7762B" w:rsidRPr="00B62F81" w:rsidRDefault="00B7762B" w:rsidP="002801F4">
      <w:pPr>
        <w:pStyle w:val="Header"/>
        <w:ind w:left="4536"/>
        <w:jc w:val="right"/>
        <w:rPr>
          <w:sz w:val="22"/>
          <w:szCs w:val="22"/>
        </w:rPr>
      </w:pPr>
      <w:r w:rsidRPr="00B62F81">
        <w:rPr>
          <w:sz w:val="22"/>
          <w:szCs w:val="22"/>
        </w:rPr>
        <w:t xml:space="preserve"> sākotnēj</w:t>
      </w:r>
      <w:r>
        <w:rPr>
          <w:sz w:val="22"/>
          <w:szCs w:val="22"/>
        </w:rPr>
        <w:t>ās ietekmes novērtējuma ziņojumam</w:t>
      </w:r>
      <w:r w:rsidRPr="00B62F81">
        <w:rPr>
          <w:sz w:val="22"/>
          <w:szCs w:val="22"/>
        </w:rPr>
        <w:t xml:space="preserve"> </w:t>
      </w:r>
    </w:p>
    <w:p w:rsidR="00B7762B" w:rsidRPr="00B62F81" w:rsidRDefault="00B7762B" w:rsidP="00B7762B">
      <w:pPr>
        <w:pStyle w:val="Header"/>
        <w:tabs>
          <w:tab w:val="clear" w:pos="4153"/>
          <w:tab w:val="clear" w:pos="8306"/>
        </w:tabs>
        <w:ind w:left="4395"/>
        <w:jc w:val="right"/>
        <w:rPr>
          <w:sz w:val="22"/>
          <w:szCs w:val="22"/>
        </w:rPr>
      </w:pPr>
    </w:p>
    <w:p w:rsidR="00B7762B" w:rsidRDefault="00B7762B" w:rsidP="00B7762B">
      <w:pPr>
        <w:pStyle w:val="Header"/>
        <w:tabs>
          <w:tab w:val="clear" w:pos="4153"/>
          <w:tab w:val="clear" w:pos="8306"/>
        </w:tabs>
        <w:jc w:val="right"/>
        <w:rPr>
          <w:b/>
        </w:rPr>
      </w:pPr>
    </w:p>
    <w:p w:rsidR="00B7762B" w:rsidRPr="00C63DAD" w:rsidRDefault="00B7762B" w:rsidP="00B7762B">
      <w:pPr>
        <w:pStyle w:val="Default"/>
        <w:spacing w:before="120"/>
        <w:jc w:val="center"/>
        <w:rPr>
          <w:b/>
          <w:color w:val="auto"/>
          <w:sz w:val="28"/>
          <w:szCs w:val="28"/>
          <w:lang w:val="lv-LV"/>
        </w:rPr>
      </w:pPr>
      <w:r w:rsidRPr="00C63DAD">
        <w:rPr>
          <w:b/>
          <w:color w:val="auto"/>
          <w:sz w:val="28"/>
          <w:szCs w:val="28"/>
          <w:lang w:val="lv-LV"/>
        </w:rPr>
        <w:t>5.4.2.1. pasākuma „Bioloģiskās daudzveidības saglabāšanas un ekosistēmu aizsardzības priekšnoteikumi” nepieciešamības pamatojums un plānotā ietekme</w:t>
      </w:r>
    </w:p>
    <w:p w:rsidR="00317EC5" w:rsidRDefault="00317EC5" w:rsidP="00B7762B">
      <w:pPr>
        <w:pStyle w:val="Default"/>
        <w:spacing w:before="120"/>
        <w:jc w:val="center"/>
        <w:rPr>
          <w:b/>
          <w:color w:val="auto"/>
          <w:lang w:val="lv-LV"/>
        </w:rPr>
      </w:pPr>
    </w:p>
    <w:p w:rsidR="00B7762B" w:rsidRPr="00317EC5" w:rsidRDefault="00B7762B" w:rsidP="00B7762B">
      <w:pPr>
        <w:pStyle w:val="Default"/>
        <w:spacing w:before="120"/>
        <w:jc w:val="center"/>
        <w:rPr>
          <w:b/>
          <w:color w:val="auto"/>
          <w:lang w:val="lv-LV"/>
        </w:rPr>
      </w:pPr>
      <w:r w:rsidRPr="00317EC5">
        <w:rPr>
          <w:b/>
          <w:color w:val="auto"/>
          <w:lang w:val="lv-LV"/>
        </w:rPr>
        <w:t>I Pašreizējā situācija un nepieciešamie risinājumi</w:t>
      </w:r>
    </w:p>
    <w:p w:rsidR="00A32509" w:rsidRDefault="00A32509" w:rsidP="002801F4">
      <w:pPr>
        <w:pStyle w:val="Default"/>
        <w:ind w:firstLine="709"/>
        <w:jc w:val="both"/>
        <w:rPr>
          <w:lang w:val="lv-LV"/>
        </w:rPr>
      </w:pPr>
    </w:p>
    <w:p w:rsidR="00B7762B" w:rsidRPr="00BC13A3" w:rsidRDefault="00B7762B" w:rsidP="002801F4">
      <w:pPr>
        <w:pStyle w:val="Default"/>
        <w:ind w:firstLine="709"/>
        <w:jc w:val="both"/>
        <w:rPr>
          <w:lang w:val="lv-LV"/>
        </w:rPr>
      </w:pPr>
      <w:r w:rsidRPr="002801F4">
        <w:rPr>
          <w:lang w:val="lv-LV"/>
        </w:rPr>
        <w:t>Eiropas Pad</w:t>
      </w:r>
      <w:r w:rsidR="0040413D">
        <w:rPr>
          <w:lang w:val="lv-LV"/>
        </w:rPr>
        <w:t>omes direktīva 92/43/EEK (1992.gada 21.</w:t>
      </w:r>
      <w:r w:rsidRPr="002801F4">
        <w:rPr>
          <w:lang w:val="lv-LV"/>
        </w:rPr>
        <w:t xml:space="preserve">maijs) par dabisko dzīvotņu, savvaļas faunas un floras aizsardzību </w:t>
      </w:r>
      <w:r w:rsidR="00A32509" w:rsidRPr="00A32509">
        <w:rPr>
          <w:lang w:val="lv-LV"/>
        </w:rPr>
        <w:t>(turpmāk – direktīva 92/43/EEK)</w:t>
      </w:r>
      <w:r w:rsidR="00A32509">
        <w:rPr>
          <w:lang w:val="lv-LV"/>
        </w:rPr>
        <w:t xml:space="preserve"> </w:t>
      </w:r>
      <w:r w:rsidRPr="002801F4">
        <w:rPr>
          <w:lang w:val="lv-LV"/>
        </w:rPr>
        <w:t>un Padom</w:t>
      </w:r>
      <w:r w:rsidR="0040413D">
        <w:rPr>
          <w:lang w:val="lv-LV"/>
        </w:rPr>
        <w:t>es direktīva 2009/147/EK (2009.gada 30.</w:t>
      </w:r>
      <w:r w:rsidRPr="002801F4">
        <w:rPr>
          <w:lang w:val="lv-LV"/>
        </w:rPr>
        <w:t xml:space="preserve">novembris) par savvaļas putnu </w:t>
      </w:r>
      <w:r w:rsidRPr="00BC13A3">
        <w:rPr>
          <w:lang w:val="lv-LV"/>
        </w:rPr>
        <w:t>aizsardzību</w:t>
      </w:r>
      <w:r w:rsidR="00A32509" w:rsidRPr="00BC13A3">
        <w:rPr>
          <w:lang w:val="lv-LV"/>
        </w:rPr>
        <w:t xml:space="preserve"> (turpmāk – direktīva 2009/147/EK)</w:t>
      </w:r>
      <w:r w:rsidRPr="00BC13A3">
        <w:rPr>
          <w:lang w:val="lv-LV"/>
        </w:rPr>
        <w:t xml:space="preserve"> paredz sugām un biotopiem nodrošināt labvēlīgu aizsardzības statusu. Atbilstoši labvēlīga biotopu aizsardzības statusa koncepcijai labvēlīgs aizsardzības statuss ir būtisks priekšnosacījums aizsargājamo sugu un biotopu ilglaicīgas pastāvēšanas un funkcionēšanas nodrošināšanai. </w:t>
      </w:r>
    </w:p>
    <w:p w:rsidR="000E2B96" w:rsidRPr="00BC13A3" w:rsidRDefault="00B7762B" w:rsidP="002801F4">
      <w:pPr>
        <w:autoSpaceDE w:val="0"/>
        <w:ind w:firstLine="709"/>
        <w:jc w:val="both"/>
        <w:rPr>
          <w:lang w:eastAsia="en-US"/>
        </w:rPr>
      </w:pPr>
      <w:r w:rsidRPr="00BC13A3">
        <w:t>Latvijai kā Eiropas Savienības (turpmāk – ES) dalībvalstij ir jānodrošina atbilstība direktīvu 2009/147/EK un 92/43/EEK prasībām, apliecin</w:t>
      </w:r>
      <w:r w:rsidR="00C17482" w:rsidRPr="00BC13A3">
        <w:t>ot</w:t>
      </w:r>
      <w:r w:rsidRPr="00BC13A3">
        <w:t xml:space="preserve"> Latvijas valsts gatavību nodrošināt tās bioloģiskās daudzveidības saglabāšanu un spēju nodrošināt ilgtspējīgu attīstību. </w:t>
      </w:r>
      <w:r w:rsidR="00C17482" w:rsidRPr="00BC13A3">
        <w:rPr>
          <w:bCs/>
        </w:rPr>
        <w:t xml:space="preserve">Direktīvu </w:t>
      </w:r>
      <w:r w:rsidR="000E2B96" w:rsidRPr="00BC13A3">
        <w:rPr>
          <w:bCs/>
        </w:rPr>
        <w:t xml:space="preserve">prasību neievērošana var izraisīt pārkāpumu procedūru ierosināšanu pret valsti.  </w:t>
      </w:r>
    </w:p>
    <w:p w:rsidR="00AD1210" w:rsidRPr="00BC13A3" w:rsidRDefault="00B7762B" w:rsidP="002801F4">
      <w:pPr>
        <w:ind w:firstLine="709"/>
        <w:jc w:val="both"/>
        <w:rPr>
          <w:bCs/>
          <w:lang w:eastAsia="en-US"/>
        </w:rPr>
      </w:pPr>
      <w:r w:rsidRPr="00BC13A3">
        <w:t>Lai sasniegtu atbilstību direktīvai 92/43/EEK, Latvijai vēl ir jāiegulda būtisks darbs – s</w:t>
      </w:r>
      <w:r w:rsidR="0040413D">
        <w:t>askaņā ar Latvijas valsts 2012.</w:t>
      </w:r>
      <w:r w:rsidRPr="00BC13A3">
        <w:t xml:space="preserve">gada ziņojumu par Biotopu direktīvas ieviešanu, kas sagatavots atbilstoši Eiropas Komisijas apstiprinātajai vienotajai metodikai, </w:t>
      </w:r>
      <w:r w:rsidRPr="00BC13A3">
        <w:rPr>
          <w:rFonts w:eastAsia="Times New Roman"/>
          <w:bCs/>
        </w:rPr>
        <w:t xml:space="preserve">izvērtējot valstī esošo biotopu platības un to kvalitātes kritērijus, konstatēts, ka </w:t>
      </w:r>
      <w:r w:rsidRPr="00BC13A3">
        <w:t xml:space="preserve">tikai 13% Latvijā sastopamo ES nozīmes biotopu un 28% ES nozīmes sugu ir labvēlīgs aizsardzības statuss (skat. </w:t>
      </w:r>
      <w:r w:rsidRPr="00BC13A3">
        <w:rPr>
          <w:bCs/>
        </w:rPr>
        <w:t>ziņojumu Eiropas</w:t>
      </w:r>
      <w:r w:rsidRPr="002801F4">
        <w:rPr>
          <w:bCs/>
        </w:rPr>
        <w:t xml:space="preserve"> Komisijai par biotopu (dzīvotņu) un sugu aizsardzības stāvokli Latvij</w:t>
      </w:r>
      <w:r w:rsidR="0040413D">
        <w:rPr>
          <w:bCs/>
        </w:rPr>
        <w:t>ā – novērtējums par 2007.-2012.</w:t>
      </w:r>
      <w:r w:rsidRPr="002801F4">
        <w:rPr>
          <w:bCs/>
        </w:rPr>
        <w:t>gada periodu</w:t>
      </w:r>
      <w:r w:rsidRPr="002801F4">
        <w:t xml:space="preserve">: </w:t>
      </w:r>
      <w:hyperlink r:id="rId8" w:history="1">
        <w:r w:rsidRPr="002801F4">
          <w:rPr>
            <w:rStyle w:val="Hyperlink"/>
            <w:rFonts w:eastAsia="Times New Roman"/>
            <w:bCs/>
          </w:rPr>
          <w:t>http://daba.gov.lv/public/lat/dati1/zinojumi_eiropas_komisijai/</w:t>
        </w:r>
      </w:hyperlink>
      <w:r w:rsidRPr="002801F4">
        <w:rPr>
          <w:rFonts w:eastAsia="Times New Roman"/>
          <w:bCs/>
        </w:rPr>
        <w:t>).</w:t>
      </w:r>
      <w:r w:rsidRPr="002801F4">
        <w:rPr>
          <w:rFonts w:eastAsia="Times New Roman"/>
          <w:bCs/>
          <w:color w:val="365F91"/>
        </w:rPr>
        <w:t xml:space="preserve"> </w:t>
      </w:r>
      <w:r w:rsidRPr="002801F4">
        <w:t>Ievērojamai daļai biotopu galvenais cēlonis stāvokļa vērtēju</w:t>
      </w:r>
      <w:r w:rsidR="0040413D">
        <w:t>mu atšķirībai laikā starp 2013.gada ziņojumu un 2007.</w:t>
      </w:r>
      <w:r w:rsidRPr="002801F4">
        <w:t>gada ziņojumu par Biotopu direktīvas ieviešanu 2001.–</w:t>
      </w:r>
      <w:r w:rsidR="0040413D">
        <w:t>2006.</w:t>
      </w:r>
      <w:r w:rsidRPr="00BC13A3">
        <w:t xml:space="preserve">gadā, ir precīzāku novērtēšanas vadlīniju lietošana. Tas nozīmē, ka jaunākais 2013.gada ziņojums ne tik daudz liecina par krasām negatīvām pārmaiņām dabā, bet gan par atšķirībām novērtēšanas metodēs un </w:t>
      </w:r>
      <w:r w:rsidR="000E2B96" w:rsidRPr="00BC13A3">
        <w:t>nepieciešamo datu trūkumu</w:t>
      </w:r>
      <w:r w:rsidR="00546E8B" w:rsidRPr="00BC13A3">
        <w:t>; z</w:t>
      </w:r>
      <w:r w:rsidR="0040413D">
        <w:rPr>
          <w:rFonts w:eastAsia="Times New Roman"/>
          <w:bCs/>
        </w:rPr>
        <w:t>iņojumā par 2007.-2012.</w:t>
      </w:r>
      <w:r w:rsidR="00546E8B" w:rsidRPr="00BC13A3">
        <w:rPr>
          <w:rFonts w:eastAsia="Times New Roman"/>
          <w:bCs/>
        </w:rPr>
        <w:t>gadu 75% biotopu vērtējumu ir veidoti, veicot ekstrapolāciju no daļējā inventarizācijā iegūtiem datiem</w:t>
      </w:r>
      <w:r w:rsidRPr="00BC13A3">
        <w:t>.</w:t>
      </w:r>
      <w:r w:rsidR="000E2B96" w:rsidRPr="00BC13A3">
        <w:t xml:space="preserve"> </w:t>
      </w:r>
      <w:r w:rsidR="00F92D70" w:rsidRPr="00BC13A3">
        <w:t xml:space="preserve">Detalizētāku </w:t>
      </w:r>
      <w:r w:rsidR="000E2B96" w:rsidRPr="00BC13A3">
        <w:t>informāciju par aizsardzības stāvokļa vērtēšanu ES nozīmes sugām un biotopiem</w:t>
      </w:r>
      <w:r w:rsidR="00AD1210" w:rsidRPr="00BC13A3">
        <w:t xml:space="preserve"> sniedz i</w:t>
      </w:r>
      <w:r w:rsidR="00AD1210" w:rsidRPr="00BC13A3">
        <w:rPr>
          <w:bCs/>
        </w:rPr>
        <w:t>nformatīvais ziņojums “Par pasākumiem aizsargājamo biotopu izplatības un kvalitātes apzināšanai”, ko Ministru kabinets</w:t>
      </w:r>
      <w:r w:rsidR="00F92D70" w:rsidRPr="00BC13A3">
        <w:rPr>
          <w:bCs/>
        </w:rPr>
        <w:t xml:space="preserve"> (turpmāk – MK) ir</w:t>
      </w:r>
      <w:r w:rsidR="00AD1210" w:rsidRPr="00BC13A3">
        <w:rPr>
          <w:bCs/>
        </w:rPr>
        <w:t xml:space="preserve"> pieņēmis zināšanai saskaņā ar </w:t>
      </w:r>
      <w:r w:rsidR="00AD1210" w:rsidRPr="00BC13A3">
        <w:t>2015.gada 3.novembra protokollēmumu “Informatīvais ziņojums “Par pasākumiem aizsargājamo biotopu izplatības un kvalitātes apzināšanai”” (prot. Nr.57, 59.§) (turpmāk – protokollēmums Nr.57, 59.§) (turpmāk – informatīvais ziņojums “Par pasākumiem aizsargājamo biotopu izplatības un kvalitātes apzināšanai”)</w:t>
      </w:r>
      <w:r w:rsidR="00F92D70" w:rsidRPr="00BC13A3">
        <w:t>.</w:t>
      </w:r>
    </w:p>
    <w:p w:rsidR="00B7762B" w:rsidRPr="002801F4" w:rsidRDefault="00B7762B" w:rsidP="002801F4">
      <w:pPr>
        <w:ind w:firstLine="709"/>
        <w:jc w:val="both"/>
        <w:rPr>
          <w:lang w:eastAsia="en-US"/>
        </w:rPr>
      </w:pPr>
      <w:r w:rsidRPr="00BC13A3">
        <w:t>Lielāko apdraudējumu sugām un biotopiem rada nepiemērotas saimnieciskās</w:t>
      </w:r>
      <w:r w:rsidRPr="002801F4">
        <w:t xml:space="preserve"> darbības stratēģijas, radot nelabvēlīgus apstākļus biotopu ilgtermiņa pastāvēšanai. Kā citi galvenie apdraudējuma </w:t>
      </w:r>
      <w:r w:rsidRPr="00722937">
        <w:t>avoti</w:t>
      </w:r>
      <w:r w:rsidRPr="002801F4">
        <w:t xml:space="preserve"> </w:t>
      </w:r>
      <w:r w:rsidR="00546E8B" w:rsidRPr="002801F4">
        <w:t xml:space="preserve">pēc ekspertu vērtējuma ir </w:t>
      </w:r>
      <w:r w:rsidRPr="002801F4">
        <w:t xml:space="preserve">gaisa piesārņojums, hidroloģiskā režīma izmaiņas, invazīvo sugu izplatība, biotopu fragmentācija, tieša neatgriezeniska ietekme (apbūve), nekontrolēta sugu izmantošana (netiek plānota ilglaicīga populāciju apsaimniekošana), noplicinoša saimnieciskā darbība, </w:t>
      </w:r>
      <w:r w:rsidRPr="00722937">
        <w:t>kur</w:t>
      </w:r>
      <w:r w:rsidR="009F6F14" w:rsidRPr="00722937">
        <w:t>u</w:t>
      </w:r>
      <w:r w:rsidRPr="00722937">
        <w:t>s</w:t>
      </w:r>
      <w:r w:rsidRPr="002801F4">
        <w:t xml:space="preserve"> bieži izraisa tādi sociāli ekonomiskie procesi kā zemes lietojum</w:t>
      </w:r>
      <w:r w:rsidR="00C17482">
        <w:t xml:space="preserve">a </w:t>
      </w:r>
      <w:r w:rsidRPr="002801F4">
        <w:t xml:space="preserve">veida maiņa vai klimata pārmaiņas. </w:t>
      </w:r>
    </w:p>
    <w:p w:rsidR="00B7762B" w:rsidRPr="002801F4" w:rsidRDefault="00B7762B" w:rsidP="002801F4">
      <w:pPr>
        <w:autoSpaceDE w:val="0"/>
        <w:autoSpaceDN w:val="0"/>
        <w:ind w:firstLine="709"/>
        <w:jc w:val="both"/>
        <w:rPr>
          <w:rFonts w:eastAsia="Times New Roman"/>
        </w:rPr>
      </w:pPr>
      <w:r w:rsidRPr="002801F4">
        <w:rPr>
          <w:rFonts w:eastAsia="Times New Roman"/>
          <w:bCs/>
        </w:rPr>
        <w:t xml:space="preserve">Eiropas Savienībā ir veikti </w:t>
      </w:r>
      <w:r w:rsidR="00C17482">
        <w:rPr>
          <w:rFonts w:eastAsia="Times New Roman"/>
          <w:bCs/>
        </w:rPr>
        <w:t xml:space="preserve">atsevišķi </w:t>
      </w:r>
      <w:r w:rsidRPr="002801F4">
        <w:rPr>
          <w:rFonts w:eastAsia="Times New Roman"/>
          <w:bCs/>
        </w:rPr>
        <w:t xml:space="preserve">pētījumi par ekosistēmu pakalpojumu ekonomiskās vērtības novērtēšanu un ieguvumiem no bioloģiskās daudzveidības saglabāšanas (skat., piemēram, Eiropas Vides politikas institūta (angļu val. – </w:t>
      </w:r>
      <w:r w:rsidRPr="002801F4">
        <w:rPr>
          <w:rFonts w:eastAsia="Times New Roman"/>
          <w:bCs/>
          <w:i/>
        </w:rPr>
        <w:t>Institute for European Environmental Policy</w:t>
      </w:r>
      <w:r w:rsidRPr="002801F4">
        <w:rPr>
          <w:rFonts w:eastAsia="Times New Roman"/>
          <w:bCs/>
        </w:rPr>
        <w:t xml:space="preserve">) veiktos pētījumus, t.sk., par ieguvumiem no </w:t>
      </w:r>
      <w:r w:rsidRPr="006513E5">
        <w:rPr>
          <w:rFonts w:eastAsia="Times New Roman"/>
          <w:bCs/>
          <w:i/>
        </w:rPr>
        <w:t>Natura 2000</w:t>
      </w:r>
      <w:r w:rsidRPr="002801F4">
        <w:rPr>
          <w:rFonts w:eastAsia="Times New Roman"/>
          <w:bCs/>
        </w:rPr>
        <w:t xml:space="preserve"> teritoriju tīkla</w:t>
      </w:r>
      <w:r w:rsidRPr="002801F4">
        <w:rPr>
          <w:rFonts w:eastAsia="Times New Roman"/>
          <w:bCs/>
          <w:color w:val="7030A0"/>
        </w:rPr>
        <w:t xml:space="preserve"> </w:t>
      </w:r>
      <w:hyperlink r:id="rId9" w:history="1">
        <w:r w:rsidRPr="002801F4">
          <w:rPr>
            <w:rStyle w:val="Hyperlink"/>
            <w:rFonts w:eastAsia="Times New Roman"/>
            <w:bCs/>
          </w:rPr>
          <w:t>http://www.ieep.eu/publications/</w:t>
        </w:r>
      </w:hyperlink>
      <w:r w:rsidRPr="002801F4">
        <w:rPr>
          <w:rFonts w:eastAsia="Times New Roman"/>
          <w:bCs/>
        </w:rPr>
        <w:t xml:space="preserve">), bet Latvijā līdz šim nav izstrādāta vienota metodika un līdz ar to </w:t>
      </w:r>
      <w:r w:rsidRPr="002801F4">
        <w:rPr>
          <w:rFonts w:eastAsia="Times New Roman"/>
        </w:rPr>
        <w:t xml:space="preserve">nav veikti </w:t>
      </w:r>
      <w:r w:rsidRPr="002801F4">
        <w:rPr>
          <w:rFonts w:eastAsia="Times New Roman"/>
          <w:bCs/>
        </w:rPr>
        <w:t xml:space="preserve">aprēķini par ekosistēmu pakalpojumiem visas valsts mērogā. Tomēr atsevišķu projektu rezultāti un zinātniski pētījumi apstiprina to būtisko lomu, piemēram, </w:t>
      </w:r>
      <w:r w:rsidRPr="002801F4">
        <w:rPr>
          <w:rFonts w:eastAsia="Times New Roman"/>
        </w:rPr>
        <w:t>Ķemeru Nacionālā parka ilgtspējīga tūrisma stratēģija un rīcības plāns</w:t>
      </w:r>
      <w:r w:rsidRPr="002801F4">
        <w:t xml:space="preserve"> (skat. </w:t>
      </w:r>
      <w:hyperlink r:id="rId10" w:history="1">
        <w:r w:rsidRPr="002801F4">
          <w:rPr>
            <w:rStyle w:val="Hyperlink"/>
          </w:rPr>
          <w:t>http://www.daba.gov.lv/upload/File/DOC/KNP_tursma_strat_12.pdf</w:t>
        </w:r>
      </w:hyperlink>
      <w:r w:rsidRPr="006E7F26">
        <w:t xml:space="preserve">). </w:t>
      </w:r>
      <w:r w:rsidR="009F6F14" w:rsidRPr="006E7F26">
        <w:t>Tas</w:t>
      </w:r>
      <w:r w:rsidRPr="006E7F26">
        <w:rPr>
          <w:bCs/>
        </w:rPr>
        <w:t xml:space="preserve"> </w:t>
      </w:r>
      <w:r w:rsidRPr="002801F4">
        <w:rPr>
          <w:bCs/>
        </w:rPr>
        <w:t>apliecina nepieciešamību neatliekami veikt vērtīgo biotopu kartēšanu valsts teritorijā, lai, cita starpā, būtu iespējams fiksēt atskaites punktu jeb bāzes stāvokli, pēc kura varēs precīzāk konstatēt pozitīvas vai negatīvas izmaiņas nākotnē un veikt aprēķinus par ekosistēmu pakalpojumiem.</w:t>
      </w:r>
    </w:p>
    <w:p w:rsidR="00B7762B" w:rsidRPr="002801F4" w:rsidRDefault="00B7762B" w:rsidP="002801F4">
      <w:pPr>
        <w:pStyle w:val="Default"/>
        <w:ind w:firstLine="709"/>
        <w:jc w:val="both"/>
        <w:rPr>
          <w:lang w:val="lv-LV"/>
        </w:rPr>
      </w:pPr>
      <w:r w:rsidRPr="002801F4">
        <w:rPr>
          <w:rFonts w:eastAsia="Times New Roman"/>
          <w:bCs/>
          <w:lang w:val="lv-LV"/>
        </w:rPr>
        <w:t>„Vides politikas pamatnostādnēs 2014.</w:t>
      </w:r>
      <w:r w:rsidRPr="002801F4">
        <w:rPr>
          <w:lang w:val="lv-LV"/>
        </w:rPr>
        <w:t>–</w:t>
      </w:r>
      <w:r w:rsidRPr="002801F4">
        <w:rPr>
          <w:rFonts w:eastAsia="Times New Roman"/>
          <w:bCs/>
          <w:lang w:val="lv-LV"/>
        </w:rPr>
        <w:t xml:space="preserve">2020.gadam” </w:t>
      </w:r>
      <w:r w:rsidR="00F92D70">
        <w:rPr>
          <w:rFonts w:eastAsia="Times New Roman"/>
          <w:bCs/>
          <w:lang w:val="lv-LV"/>
        </w:rPr>
        <w:t xml:space="preserve">ir </w:t>
      </w:r>
      <w:r w:rsidRPr="002801F4">
        <w:rPr>
          <w:rFonts w:eastAsia="Times New Roman"/>
          <w:bCs/>
          <w:lang w:val="lv-LV"/>
        </w:rPr>
        <w:t>norādīts, ka „</w:t>
      </w:r>
      <w:r w:rsidRPr="002801F4">
        <w:rPr>
          <w:lang w:val="lv-LV"/>
        </w:rPr>
        <w:t xml:space="preserve">nepietiekoša vai nepilnīga informācija par īpaši aizsargājamo sugu un biotopu izplatību, to aizsardzības mērķiem, kā arī atsevišķos gadījumos par sugu un biotopu ekoloģiskām prasībām, kavē dabas aizsardzības prasību integrēšanu un ievērošanu citu nozaru attīstības plānos, līdzsvarojot dabas aizsardzības un sociāli ekonomiskās attīstības vajadzības.” </w:t>
      </w:r>
    </w:p>
    <w:p w:rsidR="00712233" w:rsidRPr="002801F4" w:rsidRDefault="00F63345" w:rsidP="002801F4">
      <w:pPr>
        <w:shd w:val="clear" w:color="auto" w:fill="FFFFFF"/>
        <w:ind w:firstLine="709"/>
        <w:jc w:val="both"/>
        <w:rPr>
          <w:lang w:eastAsia="en-US"/>
        </w:rPr>
      </w:pPr>
      <w:r w:rsidRPr="002801F4">
        <w:t>Būtisk</w:t>
      </w:r>
      <w:r w:rsidR="009F6F14">
        <w:t>ā</w:t>
      </w:r>
      <w:r w:rsidRPr="002801F4">
        <w:t xml:space="preserve"> </w:t>
      </w:r>
      <w:r w:rsidR="00B7762B" w:rsidRPr="002801F4">
        <w:t>nacionālās situācijas neatbilstība direktīvas 92/43/EEK prasībām ir saistīta arī ar finansiālo līdzekļu samazinājumu dabas aizsardzībai Latvijā ekonomiskās lejupslīdes laikā, kas ir radījis ietekmi uz dabas aizsardzības efektivitāti un iegūtās dabas aizsardzības informācijas kvalitāti –</w:t>
      </w:r>
      <w:r w:rsidR="00B7762B" w:rsidRPr="002801F4">
        <w:rPr>
          <w:color w:val="7030A0"/>
        </w:rPr>
        <w:t xml:space="preserve"> </w:t>
      </w:r>
      <w:r w:rsidR="00B7762B" w:rsidRPr="002801F4">
        <w:t>piemēram, līdzekļu un kapacitātes trūkuma</w:t>
      </w:r>
      <w:r>
        <w:t xml:space="preserve"> dēļ</w:t>
      </w:r>
      <w:r w:rsidR="00B7762B" w:rsidRPr="002801F4">
        <w:t xml:space="preserve"> līdz šim nav bijis iespējams veikt visaptverošu un kvalitatīvu datu apkopošanu un analīzi par esošo situāciju bioloģiskās daudzveidības jomā Latvijā, kā arī nodrošināt pietiekamu atbalstu esošās infrastruktūras un monitoringa tīkla uzturēšanai un atjaunošanai. </w:t>
      </w:r>
      <w:r w:rsidR="00712233" w:rsidRPr="002801F4">
        <w:t>Salīdzinājumam, mūsu kaimiņvalstīs Lietuvā un Igaunijā īpaši aizsargājamo biotopu kartēšana ir jau veikta. Pēc Lietuvas Vides ministrijas sniegtās informācijas, veicot vispārēju ES nozīmes biotopu kart</w:t>
      </w:r>
      <w:r w:rsidR="0040413D">
        <w:t>ēšanu valsts mērogā 2011.-2014.</w:t>
      </w:r>
      <w:r w:rsidR="00712233" w:rsidRPr="002801F4">
        <w:t xml:space="preserve">gadā, īpaši aizsargājamie biotopi konstatēti 6,68% valsts teritorijas. </w:t>
      </w:r>
    </w:p>
    <w:p w:rsidR="00B7762B" w:rsidRPr="002801F4" w:rsidRDefault="00B7762B" w:rsidP="002801F4">
      <w:pPr>
        <w:shd w:val="clear" w:color="auto" w:fill="FFFFFF"/>
        <w:ind w:firstLine="709"/>
        <w:jc w:val="both"/>
        <w:rPr>
          <w:rStyle w:val="Noklusjumarindkopasfonts1"/>
          <w:bCs/>
        </w:rPr>
      </w:pPr>
      <w:r w:rsidRPr="002801F4">
        <w:rPr>
          <w:rStyle w:val="ListParagraphChar"/>
          <w:rFonts w:eastAsia="Calibri"/>
          <w:bCs/>
        </w:rPr>
        <w:t xml:space="preserve">Ņemot vērā valsts budžeta finansējuma nepietiekamību, pēdējo gadu laikā neatliekamākie bioloģiskās daudzveidības saglabāšanas jautājumi tikuši risināti, iespēju robežās piesaistot finansējumu no dažādiem finanšu instrumentiem. Piemēram, </w:t>
      </w:r>
      <w:r w:rsidRPr="002801F4">
        <w:rPr>
          <w:rStyle w:val="Noklusjumarindkopasfonts1"/>
          <w:bCs/>
        </w:rPr>
        <w:t>pēdējo piecu gadu laikā ES fondu un citu finanšu instrumentu ieguldījums sugu un biotopu aizsardzībā, ko īstenoj</w:t>
      </w:r>
      <w:r w:rsidR="00F63345">
        <w:rPr>
          <w:rStyle w:val="Noklusjumarindkopasfonts1"/>
          <w:bCs/>
        </w:rPr>
        <w:t>usi</w:t>
      </w:r>
      <w:r w:rsidRPr="002801F4">
        <w:rPr>
          <w:rStyle w:val="Noklusjumarindkopasfonts1"/>
          <w:bCs/>
        </w:rPr>
        <w:t xml:space="preserve"> </w:t>
      </w:r>
      <w:r w:rsidR="00F63345">
        <w:rPr>
          <w:rStyle w:val="Noklusjumarindkopasfonts1"/>
          <w:bCs/>
        </w:rPr>
        <w:t xml:space="preserve">Dabas aizsardzības pārvalde (turpmāk – </w:t>
      </w:r>
      <w:r w:rsidRPr="002801F4">
        <w:rPr>
          <w:rStyle w:val="Noklusjumarindkopasfonts1"/>
          <w:bCs/>
        </w:rPr>
        <w:t>DAP</w:t>
      </w:r>
      <w:r w:rsidR="00F63345">
        <w:rPr>
          <w:rStyle w:val="Noklusjumarindkopasfonts1"/>
          <w:bCs/>
        </w:rPr>
        <w:t>)</w:t>
      </w:r>
      <w:r w:rsidR="0040413D">
        <w:rPr>
          <w:rStyle w:val="Noklusjumarindkopasfonts1"/>
          <w:bCs/>
        </w:rPr>
        <w:t>, laika periodā līdz 2014.</w:t>
      </w:r>
      <w:r w:rsidRPr="002801F4">
        <w:rPr>
          <w:rStyle w:val="Noklusjumarindkopasfonts1"/>
          <w:bCs/>
        </w:rPr>
        <w:t xml:space="preserve">gadam bijis sekojošs: LIFE+ programma – 2 006 822 </w:t>
      </w:r>
      <w:r w:rsidRPr="006E7F26">
        <w:rPr>
          <w:rStyle w:val="Noklusjumarindkopasfonts1"/>
          <w:bCs/>
          <w:i/>
        </w:rPr>
        <w:t>euro</w:t>
      </w:r>
      <w:r w:rsidRPr="002801F4">
        <w:rPr>
          <w:rStyle w:val="Noklusjumarindkopasfonts1"/>
          <w:bCs/>
        </w:rPr>
        <w:t>, Eiropas Re</w:t>
      </w:r>
      <w:r w:rsidR="009F6F14">
        <w:rPr>
          <w:rStyle w:val="Noklusjumarindkopasfonts1"/>
          <w:bCs/>
        </w:rPr>
        <w:t>ģionālās</w:t>
      </w:r>
      <w:r w:rsidRPr="002801F4">
        <w:rPr>
          <w:rStyle w:val="Noklusjumarindkopasfonts1"/>
          <w:bCs/>
        </w:rPr>
        <w:t xml:space="preserve"> attīstības fonda projekti – 356 595 </w:t>
      </w:r>
      <w:r w:rsidRPr="006E7F26">
        <w:rPr>
          <w:rStyle w:val="Noklusjumarindkopasfonts1"/>
          <w:bCs/>
          <w:i/>
        </w:rPr>
        <w:t>euro</w:t>
      </w:r>
      <w:r w:rsidRPr="002801F4">
        <w:rPr>
          <w:rStyle w:val="Noklusjumarindkopasfonts1"/>
          <w:bCs/>
        </w:rPr>
        <w:t>,</w:t>
      </w:r>
      <w:r w:rsidRPr="002801F4">
        <w:t xml:space="preserve"> </w:t>
      </w:r>
      <w:r w:rsidRPr="002801F4">
        <w:rPr>
          <w:rStyle w:val="Noklusjumarindkopasfonts1"/>
          <w:bCs/>
        </w:rPr>
        <w:t xml:space="preserve">3.mērķa </w:t>
      </w:r>
      <w:r w:rsidR="00F63345">
        <w:rPr>
          <w:rStyle w:val="Noklusjumarindkopasfonts1"/>
          <w:bCs/>
        </w:rPr>
        <w:t>“</w:t>
      </w:r>
      <w:r w:rsidRPr="002801F4">
        <w:rPr>
          <w:rStyle w:val="Noklusjumarindkopasfonts1"/>
          <w:bCs/>
        </w:rPr>
        <w:t>Eiropas teritoriālā sadarbība</w:t>
      </w:r>
      <w:r w:rsidR="00F63345">
        <w:rPr>
          <w:rStyle w:val="Noklusjumarindkopasfonts1"/>
          <w:bCs/>
        </w:rPr>
        <w:t>”</w:t>
      </w:r>
      <w:r w:rsidRPr="002801F4">
        <w:rPr>
          <w:rStyle w:val="Noklusjumarindkopasfonts1"/>
          <w:bCs/>
        </w:rPr>
        <w:t xml:space="preserve"> pārrobežu sadarbības programma – 960 786 </w:t>
      </w:r>
      <w:r w:rsidRPr="006E7F26">
        <w:rPr>
          <w:rStyle w:val="Noklusjumarindkopasfonts1"/>
          <w:bCs/>
          <w:i/>
        </w:rPr>
        <w:t>euro</w:t>
      </w:r>
      <w:r w:rsidRPr="002801F4">
        <w:rPr>
          <w:rStyle w:val="Noklusjumarindkopasfonts1"/>
          <w:bCs/>
        </w:rPr>
        <w:t xml:space="preserve">, Latvijas </w:t>
      </w:r>
      <w:r w:rsidR="00F92D70">
        <w:rPr>
          <w:rStyle w:val="Noklusjumarindkopasfonts1"/>
          <w:bCs/>
        </w:rPr>
        <w:t>v</w:t>
      </w:r>
      <w:r w:rsidR="00F63345" w:rsidRPr="002801F4">
        <w:rPr>
          <w:rStyle w:val="Noklusjumarindkopasfonts1"/>
          <w:bCs/>
        </w:rPr>
        <w:t xml:space="preserve">ides </w:t>
      </w:r>
      <w:r w:rsidRPr="002801F4">
        <w:rPr>
          <w:rStyle w:val="Noklusjumarindkopasfonts1"/>
          <w:bCs/>
        </w:rPr>
        <w:t xml:space="preserve">aizsardzības fonds – 237 396, savukārt </w:t>
      </w:r>
      <w:r w:rsidRPr="002801F4">
        <w:rPr>
          <w:bCs/>
        </w:rPr>
        <w:t>Eiropas Lauksaimniecības fonda lauku attīstībai (turpmāk – ELFLA)</w:t>
      </w:r>
      <w:r w:rsidRPr="002801F4">
        <w:rPr>
          <w:rStyle w:val="Noklusjumarindkopasfonts1"/>
          <w:bCs/>
        </w:rPr>
        <w:t xml:space="preserve"> pasākumu ietvaros piesaistīti 421 102 </w:t>
      </w:r>
      <w:r w:rsidRPr="006E7F26">
        <w:rPr>
          <w:rStyle w:val="Noklusjumarindkopasfonts1"/>
          <w:bCs/>
          <w:i/>
        </w:rPr>
        <w:t>euro</w:t>
      </w:r>
      <w:r w:rsidRPr="002801F4">
        <w:rPr>
          <w:rStyle w:val="Noklusjumarindkopasfonts1"/>
          <w:bCs/>
        </w:rPr>
        <w:t xml:space="preserve">. Vienlaikus svarīgi atzīmēt, ka iepriekš norādītais ārējais finansiālais atbalsts pārsvarā ir bijis pieejams atsevišķiem, konkrētiem objektiem vai lokālām (nevis nacionāla mēroga) darbībām (piemēram, pieejamie līdzekļi novirzīti </w:t>
      </w:r>
      <w:r w:rsidR="006F4239">
        <w:rPr>
          <w:rStyle w:val="Noklusjumarindkopasfonts1"/>
          <w:bCs/>
        </w:rPr>
        <w:t xml:space="preserve">īpaši aizsargājamo dabas teritoriju (turpmāk </w:t>
      </w:r>
      <w:r w:rsidR="006F4239" w:rsidRPr="006F4239">
        <w:rPr>
          <w:rStyle w:val="Noklusjumarindkopasfonts1"/>
          <w:bCs/>
        </w:rPr>
        <w:t xml:space="preserve">– </w:t>
      </w:r>
      <w:r w:rsidRPr="006F4239">
        <w:rPr>
          <w:rStyle w:val="Noklusjumarindkopasfonts1"/>
          <w:bCs/>
        </w:rPr>
        <w:t>ĪADT</w:t>
      </w:r>
      <w:r w:rsidR="006F4239" w:rsidRPr="006F4239">
        <w:rPr>
          <w:rStyle w:val="Noklusjumarindkopasfonts1"/>
          <w:bCs/>
        </w:rPr>
        <w:t>)</w:t>
      </w:r>
      <w:r w:rsidRPr="002801F4">
        <w:rPr>
          <w:rStyle w:val="Noklusjumarindkopasfonts1"/>
          <w:bCs/>
        </w:rPr>
        <w:t xml:space="preserve"> aizsardzības un apsaimniekošanas pasākumu elektronizācijai, DAP darbinieku profesionālās apmācības programmām, mitrāju aizsardzībai Ķemeru Nacionālajā parkā, kā arī atsevišķu teritoriju dabas aizsardzības plānu izstrādei (LIFE programma) u.c. darbībām), un šāda fragmentāra, uz individuāliem projektiem balstīta pieeja nevar aizstāt mērķtiecīgu, efektīvu un visaptverošu valsts politiku ar atbilstošu finansiālu nodrošinājumu.</w:t>
      </w:r>
    </w:p>
    <w:p w:rsidR="00B7762B" w:rsidRPr="00BC13A3" w:rsidRDefault="00B7762B" w:rsidP="002801F4">
      <w:pPr>
        <w:shd w:val="clear" w:color="auto" w:fill="FFFFFF" w:themeFill="background1"/>
        <w:ind w:firstLine="709"/>
        <w:jc w:val="both"/>
        <w:rPr>
          <w:rStyle w:val="Noklusjumarindkopasfonts1"/>
          <w:bCs/>
        </w:rPr>
      </w:pPr>
      <w:r w:rsidRPr="002801F4">
        <w:t xml:space="preserve">Lai sekmīgi risinātu </w:t>
      </w:r>
      <w:r w:rsidRPr="00BC13A3">
        <w:t>iepriekšminētās problēmas un samazinātu apdraudējumu bioloģiskajai daudzveidībai Latvijā, būtiskākais priekšnosacījums efektīviem un mērķtiecīgiem turpmākajiem ieguldījumiem ir kvalitatīvas un precīzas bāzes informācijas pieejamība par esošo situāciju bioloģiskās daudzveidības jomā, tāpēc prioritāri ir nepieciešams veikt ES nozīmes īpaši aizsargājamo biotopu inventarizāciju un kartēšanu,</w:t>
      </w:r>
      <w:r w:rsidR="00F66757" w:rsidRPr="00BC13A3">
        <w:t xml:space="preserve"> kas realizējama saskaņā ar </w:t>
      </w:r>
      <w:r w:rsidR="009C67B5" w:rsidRPr="00BC13A3">
        <w:t xml:space="preserve">MK </w:t>
      </w:r>
      <w:r w:rsidR="00712233" w:rsidRPr="00BC13A3">
        <w:t>protokollēmum</w:t>
      </w:r>
      <w:r w:rsidR="009F6F14" w:rsidRPr="00BC13A3">
        <w:t>ā</w:t>
      </w:r>
      <w:r w:rsidR="00712233" w:rsidRPr="00BC13A3">
        <w:t xml:space="preserve"> Nr.57, 59.§ </w:t>
      </w:r>
      <w:r w:rsidR="00F66757" w:rsidRPr="00BC13A3">
        <w:t>noteiktajiem principiem,</w:t>
      </w:r>
      <w:r w:rsidRPr="00BC13A3">
        <w:t xml:space="preserve"> un nodrošināt ĪADT dabas aizsardzības un sugu aizsardzības plānu</w:t>
      </w:r>
      <w:r w:rsidR="009F6F14" w:rsidRPr="00BC13A3">
        <w:t xml:space="preserve"> izstrādi</w:t>
      </w:r>
      <w:r w:rsidRPr="00BC13A3">
        <w:t>.</w:t>
      </w:r>
      <w:r w:rsidRPr="00BC13A3">
        <w:rPr>
          <w:rStyle w:val="Noklusjumarindkopasfonts1"/>
          <w:bCs/>
        </w:rPr>
        <w:t xml:space="preserve"> </w:t>
      </w:r>
      <w:r w:rsidRPr="00BC13A3">
        <w:rPr>
          <w:bCs/>
        </w:rPr>
        <w:t xml:space="preserve">Dabas aizsardzības plāna mērķis </w:t>
      </w:r>
      <w:r w:rsidRPr="00BC13A3">
        <w:t xml:space="preserve">saskaņā ar likumu “Par īpaši aizsargājamām dabas teritorijām” </w:t>
      </w:r>
      <w:r w:rsidRPr="00BC13A3">
        <w:rPr>
          <w:bCs/>
        </w:rPr>
        <w:t xml:space="preserve">ir </w:t>
      </w:r>
      <w:r w:rsidRPr="00BC13A3">
        <w:t xml:space="preserve">sabalansēt dabas, kultūrvēsturiskā mantojuma, ainavas, </w:t>
      </w:r>
      <w:r w:rsidR="00363F6B" w:rsidRPr="00BC13A3">
        <w:t xml:space="preserve">kā arī </w:t>
      </w:r>
      <w:r w:rsidRPr="00BC13A3">
        <w:t>sociālekonomiskās intereses, tādejādi veicinot ĪADT ilgtspējīgu attīstību.</w:t>
      </w:r>
      <w:r w:rsidRPr="00BC13A3">
        <w:rPr>
          <w:bCs/>
        </w:rPr>
        <w:t xml:space="preserve"> (skat. </w:t>
      </w:r>
      <w:hyperlink r:id="rId11" w:anchor="DA_plans" w:tooltip="http://www.daba.gov.lv/public/lat/iadt/dabas_aizsardzibas_plani/#DA_plans" w:history="1">
        <w:r w:rsidRPr="00BC13A3">
          <w:rPr>
            <w:rStyle w:val="Hyperlink"/>
            <w:bCs/>
          </w:rPr>
          <w:t>http://www.daba.gov.lv/public/lat/iadt/dabas_aizsardzibas_plani/#DA_plans</w:t>
        </w:r>
      </w:hyperlink>
      <w:r w:rsidRPr="00BC13A3">
        <w:rPr>
          <w:bCs/>
        </w:rPr>
        <w:t>). Patlaban aptuveni 30% no ĪADT ir izstrādāti dabas aizsardzības plāni un uzsāk</w:t>
      </w:r>
      <w:r w:rsidR="0040413D">
        <w:rPr>
          <w:bCs/>
        </w:rPr>
        <w:t>ta to ieviešana. Vēl līdz 2016.</w:t>
      </w:r>
      <w:r w:rsidRPr="00BC13A3">
        <w:rPr>
          <w:bCs/>
        </w:rPr>
        <w:t>gada beigām vairākās ĪADT ar dažādu finanšu instrumentu palīdzību, to starp, Eiropas Ekonomikas zonas un Norvēģijas finanšu instrumenta finansētās programmas „</w:t>
      </w:r>
      <w:hyperlink r:id="rId12" w:tgtFrame="_blank" w:history="1">
        <w:r w:rsidRPr="00BC13A3">
          <w:rPr>
            <w:rStyle w:val="Hyperlink"/>
            <w:bCs/>
            <w:color w:val="auto"/>
            <w:u w:val="none"/>
          </w:rPr>
          <w:t>Kapacitātes stiprināšana un institucionālā sadarbība starp Latvijas un Norvēģijas valsts institūcijām, vietējām un reģionālām iestādēm</w:t>
        </w:r>
      </w:hyperlink>
      <w:r w:rsidRPr="00BC13A3">
        <w:rPr>
          <w:bCs/>
        </w:rPr>
        <w:t xml:space="preserve">” ietvaros, paredzēta jaunu vai aktualizētu dabas aizsardzības plānu izstrāde. </w:t>
      </w:r>
      <w:r w:rsidR="00030EAD" w:rsidRPr="00BC13A3">
        <w:rPr>
          <w:bCs/>
        </w:rPr>
        <w:t>Lai gan ne visām ĪADT ir nepieciešams prioritāri izstrādāt dabas aizsardzības plānus, stāvoklis attiecībā uz katras konkrētās ĪADT plāna izstādes nepieciešamību ir mainīgs.</w:t>
      </w:r>
    </w:p>
    <w:p w:rsidR="00B7762B" w:rsidRPr="002801F4" w:rsidRDefault="00B7762B" w:rsidP="002801F4">
      <w:pPr>
        <w:shd w:val="clear" w:color="auto" w:fill="FFFFFF" w:themeFill="background1"/>
        <w:ind w:firstLine="709"/>
        <w:jc w:val="both"/>
        <w:rPr>
          <w:bCs/>
        </w:rPr>
      </w:pPr>
      <w:r w:rsidRPr="002801F4">
        <w:rPr>
          <w:bCs/>
        </w:rPr>
        <w:t xml:space="preserve">Savukārt attiecībā uz biotopu kartēšanu jānorāda, ka uz šo brīdi tikai aptuveni 10% no Latvijas teritorijas (pārsvarā ĪADT) ir inventarizēta, un, balstoties uz šo inventarizāciju datiem, ir sagatavotas ES nozīmes aizsargājamo biotopu izplatības kartes. </w:t>
      </w:r>
      <w:r w:rsidR="00712233" w:rsidRPr="002801F4">
        <w:rPr>
          <w:bCs/>
        </w:rPr>
        <w:t>Ar Zemkopības ministrijas atbalstu Lauku attīstības programmas pasākumu ievie</w:t>
      </w:r>
      <w:r w:rsidR="0040413D">
        <w:rPr>
          <w:bCs/>
        </w:rPr>
        <w:t>šanas vajadzībām 2013. un 2014.</w:t>
      </w:r>
      <w:r w:rsidR="00712233" w:rsidRPr="002801F4">
        <w:rPr>
          <w:bCs/>
        </w:rPr>
        <w:t>gadā ir apsekoti un uzkartēti vairāki tūkstoši hektāru bioloģiski vērtīgo zālāju, kas vienlaikus ir ES nozīmes īpaši aizsargājamie biotopi. Šie dati tiek izmantoti Lauku atbalsta programmas atbalsta maksājumu administrēšanā pasākumā “Bioloģiskās daudzveidības uzturēšana zālājos”</w:t>
      </w:r>
      <w:r w:rsidRPr="002801F4">
        <w:rPr>
          <w:bCs/>
        </w:rPr>
        <w:t xml:space="preserve">. Neraugoties uz iepriekš periodiski veiktajiem biotopu kartēšanas pasākumiem atsevišķās ĪADT, tomēr daļa šo kartējumu ir jāpārskata, jo pēdējos gados ir pilnveidota ES nozīmes biotopu noteikšanas metodika (skat. </w:t>
      </w:r>
      <w:hyperlink r:id="rId13" w:history="1">
        <w:r w:rsidRPr="002801F4">
          <w:rPr>
            <w:rStyle w:val="Hyperlink"/>
            <w:bCs/>
          </w:rPr>
          <w:t>http://varam.gov.lv/lat/publ/publikacijas/dabas_aizsardzibas_joma/?doc=10539</w:t>
        </w:r>
      </w:hyperlink>
      <w:r w:rsidRPr="002801F4">
        <w:rPr>
          <w:bCs/>
        </w:rPr>
        <w:t>), līdz ar to par aktuāliem var uzskatīt tos biotopu kartēj</w:t>
      </w:r>
      <w:r w:rsidR="0040413D">
        <w:rPr>
          <w:bCs/>
        </w:rPr>
        <w:t>uma datus, kas iegūti pēc 2012.</w:t>
      </w:r>
      <w:r w:rsidRPr="002801F4">
        <w:rPr>
          <w:bCs/>
        </w:rPr>
        <w:t>gada. Lai sniegtu EK pilnvērtīgu ES nozīmes īpaši aizsargājamo biotopu stāvokļa izvērtējumu, par ko dalībvalstīm jāziņo vienreiz sešos gados, ir nepieciešams apkopot informāciju par biotop</w:t>
      </w:r>
      <w:r w:rsidR="009F6F14">
        <w:rPr>
          <w:bCs/>
        </w:rPr>
        <w:t>u</w:t>
      </w:r>
      <w:r w:rsidRPr="002801F4">
        <w:rPr>
          <w:bCs/>
        </w:rPr>
        <w:t xml:space="preserve"> kopplatību valstī, t</w:t>
      </w:r>
      <w:r w:rsidR="009F6F14">
        <w:rPr>
          <w:bCs/>
        </w:rPr>
        <w:t>o</w:t>
      </w:r>
      <w:r w:rsidRPr="002801F4">
        <w:rPr>
          <w:bCs/>
        </w:rPr>
        <w:t xml:space="preserve"> kvalitāti gan ĪADT, gan ārpus tām, un aizsardzības stāvokli.</w:t>
      </w:r>
    </w:p>
    <w:p w:rsidR="00B7762B" w:rsidRPr="002801F4" w:rsidRDefault="00B7762B" w:rsidP="002801F4">
      <w:pPr>
        <w:pStyle w:val="Default"/>
        <w:ind w:firstLine="709"/>
        <w:jc w:val="both"/>
        <w:rPr>
          <w:lang w:val="lv-LV"/>
        </w:rPr>
      </w:pPr>
    </w:p>
    <w:p w:rsidR="00ED5699" w:rsidRDefault="00ED5699" w:rsidP="00ED5699">
      <w:pPr>
        <w:autoSpaceDE w:val="0"/>
        <w:spacing w:before="120"/>
        <w:jc w:val="center"/>
        <w:rPr>
          <w:b/>
          <w:lang w:eastAsia="en-US"/>
        </w:rPr>
      </w:pPr>
      <w:r>
        <w:rPr>
          <w:b/>
        </w:rPr>
        <w:t xml:space="preserve">II 5.4.2.1. pasākuma </w:t>
      </w:r>
      <w:r w:rsidR="00735B41" w:rsidRPr="00735B41">
        <w:rPr>
          <w:b/>
        </w:rPr>
        <w:t xml:space="preserve">„Bioloģiskās daudzveidības saglabāšanas un ekosistēmu aizsardzības priekšnoteikumi” </w:t>
      </w:r>
      <w:r>
        <w:rPr>
          <w:b/>
        </w:rPr>
        <w:t>sociālekonomiskie ieguvumi</w:t>
      </w:r>
    </w:p>
    <w:p w:rsidR="00C50688" w:rsidRDefault="00C50688" w:rsidP="00363F6B">
      <w:pPr>
        <w:pStyle w:val="Default"/>
        <w:ind w:firstLine="709"/>
        <w:jc w:val="both"/>
        <w:rPr>
          <w:lang w:val="lv-LV"/>
        </w:rPr>
      </w:pPr>
    </w:p>
    <w:p w:rsidR="00B7762B" w:rsidRPr="00BC13A3" w:rsidRDefault="00B7762B" w:rsidP="00363F6B">
      <w:pPr>
        <w:pStyle w:val="Default"/>
        <w:ind w:firstLine="709"/>
        <w:jc w:val="both"/>
        <w:rPr>
          <w:color w:val="auto"/>
          <w:lang w:val="lv-LV"/>
        </w:rPr>
      </w:pPr>
      <w:r>
        <w:rPr>
          <w:lang w:val="lv-LV"/>
        </w:rPr>
        <w:t xml:space="preserve">Ņemot vērā iespējamos ieguvumus un zaudējumus Latvijai </w:t>
      </w:r>
      <w:r w:rsidRPr="00BC13A3">
        <w:rPr>
          <w:lang w:val="lv-LV"/>
        </w:rPr>
        <w:t xml:space="preserve">ilgtermiņā, ir svarīgi, lai Latvija efektīvi izmantotu 2014.-2020. gada plānošanas periodā pieejamo ES fondu finansējumu, veicot nepieciešamos sagatavošanās darbus sugu un biotopu aizsardzības statusa uzlabošanai, tas ir, dabas aizsardzības un sugu aizsardzības plānu sagatavošanu un visas valsts teritorijas </w:t>
      </w:r>
      <w:r w:rsidR="006303DD" w:rsidRPr="00BC13A3">
        <w:rPr>
          <w:lang w:val="lv-LV"/>
        </w:rPr>
        <w:t xml:space="preserve">biotopu </w:t>
      </w:r>
      <w:r w:rsidRPr="00BC13A3">
        <w:rPr>
          <w:lang w:val="lv-LV"/>
        </w:rPr>
        <w:t>inventarizāciju, ko ir plānots īstenot 5.4.2.1. pasākuma</w:t>
      </w:r>
      <w:r w:rsidR="00735B41" w:rsidRPr="00BC13A3">
        <w:rPr>
          <w:lang w:val="lv-LV"/>
        </w:rPr>
        <w:t xml:space="preserve"> „Bioloģiskās daudzveidības saglabāšanas un ekosistēmu aizsardzības priekšnoteikumi” (turpmāk – 5.4.2.1. pasākums)</w:t>
      </w:r>
      <w:r w:rsidRPr="00BC13A3">
        <w:rPr>
          <w:lang w:val="lv-LV"/>
        </w:rPr>
        <w:t xml:space="preserve"> ietvaros, lai nokartētu ES nozīmes īpaši aizsargājamos biotopus, gan arī pēc šīm darbībām atbilstoši veicot biotopu atjaunošanu</w:t>
      </w:r>
      <w:r w:rsidRPr="00BC13A3">
        <w:rPr>
          <w:color w:val="auto"/>
          <w:lang w:val="lv-LV"/>
        </w:rPr>
        <w:t xml:space="preserve">, kā arī, lai nodrošinātu mērķtiecīgu un pārdomātu ieguldījumu koncentrāciju un rezultātu ilgtspēju.  </w:t>
      </w:r>
    </w:p>
    <w:p w:rsidR="00B7762B" w:rsidRPr="00BC13A3" w:rsidRDefault="00B7762B" w:rsidP="00363F6B">
      <w:pPr>
        <w:pStyle w:val="Default"/>
        <w:ind w:firstLine="709"/>
        <w:jc w:val="both"/>
        <w:rPr>
          <w:lang w:val="lv-LV"/>
        </w:rPr>
      </w:pPr>
      <w:r w:rsidRPr="00BC13A3">
        <w:rPr>
          <w:lang w:val="lv-LV"/>
        </w:rPr>
        <w:t>Kaut arī 5.4.2.1. pasākuma ietvaros tiešā veidā netiks veikti ieguldījumi infrastruktūrā</w:t>
      </w:r>
      <w:r w:rsidR="008A2585" w:rsidRPr="00BC13A3">
        <w:rPr>
          <w:lang w:val="lv-LV"/>
        </w:rPr>
        <w:t xml:space="preserve"> vai aizsargājamo biotopu atjaunošanā</w:t>
      </w:r>
      <w:r w:rsidRPr="00BC13A3">
        <w:rPr>
          <w:lang w:val="lv-LV"/>
        </w:rPr>
        <w:t>, ir svarīgi apzināties 5.4.2.1. pasākuma rezultāt</w:t>
      </w:r>
      <w:r w:rsidR="008A2585" w:rsidRPr="00BC13A3">
        <w:rPr>
          <w:lang w:val="lv-LV"/>
        </w:rPr>
        <w:t>a</w:t>
      </w:r>
      <w:r w:rsidRPr="00BC13A3">
        <w:rPr>
          <w:lang w:val="lv-LV"/>
        </w:rPr>
        <w:t xml:space="preserve"> </w:t>
      </w:r>
      <w:r w:rsidR="008A2585" w:rsidRPr="00BC13A3">
        <w:rPr>
          <w:lang w:val="lv-LV"/>
        </w:rPr>
        <w:t>netiešo</w:t>
      </w:r>
      <w:r w:rsidRPr="00BC13A3">
        <w:rPr>
          <w:lang w:val="lv-LV"/>
        </w:rPr>
        <w:t xml:space="preserve"> ietekmi uz tautsaimniecības attīstību ilgtermiņā, kas </w:t>
      </w:r>
      <w:r w:rsidR="008A2585" w:rsidRPr="00BC13A3">
        <w:rPr>
          <w:lang w:val="lv-LV"/>
        </w:rPr>
        <w:t>kopumā būs pozitīva</w:t>
      </w:r>
      <w:r w:rsidRPr="00BC13A3">
        <w:rPr>
          <w:lang w:val="lv-LV"/>
        </w:rPr>
        <w:t>, pateicoties zemāk norādītajiem ieguvumiem</w:t>
      </w:r>
      <w:r w:rsidR="00C52DF3" w:rsidRPr="00BC13A3">
        <w:rPr>
          <w:lang w:val="lv-LV"/>
        </w:rPr>
        <w:t xml:space="preserve"> (skat</w:t>
      </w:r>
      <w:r w:rsidR="006303DD" w:rsidRPr="00BC13A3">
        <w:rPr>
          <w:lang w:val="lv-LV"/>
        </w:rPr>
        <w:t>.</w:t>
      </w:r>
      <w:r w:rsidR="00C52DF3" w:rsidRPr="00BC13A3">
        <w:rPr>
          <w:lang w:val="lv-LV"/>
        </w:rPr>
        <w:t xml:space="preserve"> arī tabulu Nr.1)</w:t>
      </w:r>
      <w:r w:rsidRPr="00BC13A3">
        <w:rPr>
          <w:lang w:val="lv-LV"/>
        </w:rPr>
        <w:t>:</w:t>
      </w:r>
    </w:p>
    <w:p w:rsidR="00A072B2" w:rsidRDefault="00A072B2" w:rsidP="006303DD">
      <w:pPr>
        <w:numPr>
          <w:ilvl w:val="0"/>
          <w:numId w:val="2"/>
        </w:numPr>
        <w:suppressAutoHyphens/>
        <w:autoSpaceDE w:val="0"/>
        <w:autoSpaceDN w:val="0"/>
        <w:ind w:firstLine="556"/>
        <w:jc w:val="both"/>
        <w:rPr>
          <w:lang w:eastAsia="en-US"/>
        </w:rPr>
      </w:pPr>
      <w:r>
        <w:t xml:space="preserve">precīzu kartogrāfisko materiālu esamība visas valsts mērogā ilgtermiņā sniegs pilnīgu informāciju par īpaši aizsargājamo sugu un biotopu sastopamību valstī, kas atvieglos dažādu ekonomisko aktivitāšu plānošanu un ieviešanu, samazinot administratīvo slogu un laika resursu patēriņu dažādu atļauju un saskaņojumu sagatavošanā un sniegšanā; </w:t>
      </w:r>
    </w:p>
    <w:p w:rsidR="00A072B2" w:rsidRDefault="00A072B2" w:rsidP="006303DD">
      <w:pPr>
        <w:numPr>
          <w:ilvl w:val="0"/>
          <w:numId w:val="2"/>
        </w:numPr>
        <w:suppressAutoHyphens/>
        <w:autoSpaceDE w:val="0"/>
        <w:autoSpaceDN w:val="0"/>
        <w:ind w:firstLine="556"/>
        <w:jc w:val="both"/>
        <w:rPr>
          <w:rFonts w:ascii="Calibri" w:hAnsi="Calibri" w:cs="Arial"/>
          <w:sz w:val="22"/>
          <w:szCs w:val="22"/>
        </w:rPr>
      </w:pPr>
      <w:r>
        <w:t xml:space="preserve">minētie ieguvumi attieksies arī uz sākotnējo ietekmes uz vidi novērtējuma, ietekmes uz vidi novērtējuma (turpmāk – IVN) procedūrām, gan samazinot nepieciešamos laika resursus novērtējumam (piemēram, Lietuvas pieredze rāda, ka pēc aizsargājamo biotopu kartēšanas pabeigšanas atsevišķos gadījumos IVN procedūra no 2 gadiem ir sarukusi uz 4 mēnešiem), gan nodrošinot informāciju, lai izvērtētu paredzētās darbības ietekmi uz aizsargājamo biotopu stāvokli valsts kontekstā. </w:t>
      </w:r>
      <w:r>
        <w:rPr>
          <w:rFonts w:eastAsia="PMingLiU"/>
        </w:rPr>
        <w:t xml:space="preserve">Atbilstoši IVN likumdošanas prasībām, ietekme uz aizsargājamiem biotopiem ir vērtējama ne tikai </w:t>
      </w:r>
      <w:r>
        <w:rPr>
          <w:rFonts w:eastAsia="PMingLiU"/>
          <w:i/>
        </w:rPr>
        <w:t>Natura 2000</w:t>
      </w:r>
      <w:r>
        <w:rPr>
          <w:rFonts w:eastAsia="PMingLiU"/>
        </w:rPr>
        <w:t xml:space="preserve"> teritorijās, bet visā valsts teritorijā. Līdz šim informācija par aizsargājamiem biotopiem tika iegūta katras konkrētās paredzētās darbības IVN procesā un par šīs informācijas iegūšanu maksā paredzētās darbības pieteicējs; </w:t>
      </w:r>
    </w:p>
    <w:p w:rsidR="00A072B2" w:rsidRDefault="00A072B2" w:rsidP="006303DD">
      <w:pPr>
        <w:numPr>
          <w:ilvl w:val="0"/>
          <w:numId w:val="2"/>
        </w:numPr>
        <w:suppressAutoHyphens/>
        <w:autoSpaceDE w:val="0"/>
        <w:autoSpaceDN w:val="0"/>
        <w:ind w:firstLine="556"/>
        <w:jc w:val="both"/>
      </w:pPr>
      <w:r>
        <w:t>līdzšinējā prakse IVN procesā liecina, ka nereti projekta attīstītājiem un valsts institūcijām nav pieejama visa normatīvajos aktos pieprasītā informācija IVN veikšanai, līdz ar to nepieciešams algot sugu un biotopu ekspertus informācijas iegūšanai, kuru var veikt tikai veģetācijas sezonas laikā (maksimāli laika posmā aprīlis – oktobris). Laika ietaupījums IVN procedūrā veidojas, jo gan projektu attīstītājiem, gan IVN dokumentācijas izstrādātājiem, gan valsts institūcijām būs pieejama aktuālā informācija par dabas vērtībām paredzētās darbības teritorijā un nebūs nepieciešams sagaidīt veģetācijas sezonu, lai novērtētu dabas vērtības paredzētās darbības vietā;</w:t>
      </w:r>
    </w:p>
    <w:p w:rsidR="00A072B2" w:rsidRDefault="00A072B2" w:rsidP="006303DD">
      <w:pPr>
        <w:numPr>
          <w:ilvl w:val="0"/>
          <w:numId w:val="2"/>
        </w:numPr>
        <w:suppressAutoHyphens/>
        <w:autoSpaceDE w:val="0"/>
        <w:autoSpaceDN w:val="0"/>
        <w:ind w:firstLine="556"/>
        <w:jc w:val="both"/>
        <w:rPr>
          <w:bCs/>
        </w:rPr>
      </w:pPr>
      <w:r>
        <w:rPr>
          <w:bCs/>
        </w:rPr>
        <w:t xml:space="preserve">biotopu kartes būs izmantojamas arī pašvaldību teritorijas attīstības plānošanas dokumentu izstrādē un pilnveidošanā, piemēram, tās palīdzēs pieņemt atbilstošu lēmumu attiecībā uz attīstības plānošanu teritorijās, kur dabas aizsardzības apsvērumu dēļ attīstības plānošana varētu būt ierobežota, jo jāatrod kompromiss starp dabas aizsardzības un sociālekonomiskām interesēm. Tādējādi, veicot visu līmeņu teritorijas plānošanu, būs pieejama pamatinformācija par dabas vērtībām teritoriālā griezumā, kā rezultātā tiks ietaupīti laika un finanšu resursi, kas varētu tikt iztērēti plānošanas, IVN u.c. procedūrām; </w:t>
      </w:r>
    </w:p>
    <w:p w:rsidR="00A072B2" w:rsidRDefault="00A072B2" w:rsidP="006303DD">
      <w:pPr>
        <w:numPr>
          <w:ilvl w:val="0"/>
          <w:numId w:val="2"/>
        </w:numPr>
        <w:suppressAutoHyphens/>
        <w:autoSpaceDE w:val="0"/>
        <w:autoSpaceDN w:val="0"/>
        <w:ind w:firstLine="556"/>
        <w:jc w:val="both"/>
      </w:pPr>
      <w:r>
        <w:t>precīzu un aktuālu datu pieejamība kalpos par pamatu ar dabas aizsardzību saistīto lauku atbalsta maksājumu aprēķināšanai zemes īpašniekiem, t.sk., par bioloģiski vērtīgo zālāju apsaimniekošanu;</w:t>
      </w:r>
    </w:p>
    <w:p w:rsidR="00A072B2" w:rsidRDefault="00A072B2" w:rsidP="006303DD">
      <w:pPr>
        <w:numPr>
          <w:ilvl w:val="0"/>
          <w:numId w:val="2"/>
        </w:numPr>
        <w:suppressAutoHyphens/>
        <w:autoSpaceDE w:val="0"/>
        <w:autoSpaceDN w:val="0"/>
        <w:ind w:firstLine="556"/>
        <w:jc w:val="both"/>
        <w:rPr>
          <w:rFonts w:ascii="Calibri" w:hAnsi="Calibri" w:cs="Arial"/>
          <w:sz w:val="22"/>
          <w:szCs w:val="22"/>
        </w:rPr>
      </w:pPr>
      <w:r>
        <w:t>precīza informācija par aizsargājamo dabas vērtību izplatību ļaus ilgtermiņā plānot mežsaimniecisko darbību, kas attiecas gan uz koksnes ieguvi, kā arī ievērot biomasas drošas izcelsmes nosacījumus</w:t>
      </w:r>
      <w:r>
        <w:rPr>
          <w:rStyle w:val="FootnoteReference"/>
        </w:rPr>
        <w:footnoteReference w:id="1"/>
      </w:r>
      <w:r>
        <w:t>, tai skaitā izmantot šos datus koksnes granulu un mēbeļu ražotāju sertifikācijā;</w:t>
      </w:r>
    </w:p>
    <w:p w:rsidR="00A072B2" w:rsidRDefault="00A072B2" w:rsidP="006303DD">
      <w:pPr>
        <w:numPr>
          <w:ilvl w:val="0"/>
          <w:numId w:val="2"/>
        </w:numPr>
        <w:suppressAutoHyphens/>
        <w:autoSpaceDE w:val="0"/>
        <w:autoSpaceDN w:val="0"/>
        <w:ind w:firstLine="556"/>
        <w:jc w:val="both"/>
      </w:pPr>
      <w:r>
        <w:t>ņemot vērā pieaugošo interesi par kūdras resursu izmantošanu, informācija par purvu biotopu izplatību un kvalitāti ļaus noteikt tās purvu platības, kuru saimnieciska izmantošana būtiski neietekmē labvēlīga aizsardzības stāvokļa nodrošināšanu purvu biotopiem;</w:t>
      </w:r>
    </w:p>
    <w:p w:rsidR="00A072B2" w:rsidRDefault="00A072B2" w:rsidP="006303DD">
      <w:pPr>
        <w:numPr>
          <w:ilvl w:val="0"/>
          <w:numId w:val="2"/>
        </w:numPr>
        <w:suppressAutoHyphens/>
        <w:autoSpaceDE w:val="0"/>
        <w:autoSpaceDN w:val="0"/>
        <w:ind w:firstLine="556"/>
        <w:jc w:val="both"/>
      </w:pPr>
      <w:r>
        <w:t xml:space="preserve">aktuāls, kvalitatīvs īpaši aizsargājamo sugu atradņu un biotopu kartējums būs izmantojams arī zinātniska pamatojuma sagatavošanā, pilnveidojot </w:t>
      </w:r>
      <w:r w:rsidRPr="00A072B2">
        <w:rPr>
          <w:i/>
        </w:rPr>
        <w:t>Natura 2000</w:t>
      </w:r>
      <w:r>
        <w:t xml:space="preserve"> tīklu un tā efektivitāti sugu un biotopu aizsardzības nodrošināšanā, lai sugu un biotopu aizsardzība valstiskā līmenī būtu kompleksa un tiktu ņemtas vērā jaunākās ekoloģiskās atziņas</w:t>
      </w:r>
      <w:r w:rsidR="006D50D9">
        <w:t>;</w:t>
      </w:r>
    </w:p>
    <w:p w:rsidR="00B7762B" w:rsidRDefault="00A072B2" w:rsidP="006303DD">
      <w:pPr>
        <w:numPr>
          <w:ilvl w:val="0"/>
          <w:numId w:val="2"/>
        </w:numPr>
        <w:suppressAutoHyphens/>
        <w:autoSpaceDE w:val="0"/>
        <w:autoSpaceDN w:val="0"/>
        <w:ind w:firstLine="556"/>
        <w:jc w:val="both"/>
      </w:pPr>
      <w:r w:rsidRPr="00A072B2">
        <w:t>d</w:t>
      </w:r>
      <w:r w:rsidR="00B7762B" w:rsidRPr="00A072B2">
        <w:t xml:space="preserve">abas aizsardzības plāni </w:t>
      </w:r>
      <w:r w:rsidRPr="00A072B2">
        <w:t xml:space="preserve">un no tiem izrietošs funkcionālais zonējums, diferencējot aizsardzības un apsaimniekošanas režīmu, </w:t>
      </w:r>
      <w:r w:rsidR="00B7762B" w:rsidRPr="00A072B2">
        <w:t xml:space="preserve">var atvieglot </w:t>
      </w:r>
      <w:r w:rsidRPr="00A072B2">
        <w:t>saimniecisko darbību</w:t>
      </w:r>
      <w:r w:rsidR="00B7762B" w:rsidRPr="00A072B2">
        <w:t xml:space="preserve"> ĪADT teritorijās, un galvenā to funkcija un uzdevums ir sabalansēt dabas un sociālekonomiskās intereses, tādejādi veicinot ilgtspējīgu attīstību.</w:t>
      </w:r>
    </w:p>
    <w:p w:rsidR="006D50D9" w:rsidRPr="00A072B2" w:rsidRDefault="006D50D9" w:rsidP="006F4239">
      <w:pPr>
        <w:suppressAutoHyphens/>
        <w:autoSpaceDE w:val="0"/>
        <w:autoSpaceDN w:val="0"/>
        <w:ind w:left="1276"/>
        <w:jc w:val="both"/>
      </w:pPr>
    </w:p>
    <w:p w:rsidR="00C52DF3" w:rsidRPr="00C52DF3" w:rsidRDefault="00C52DF3" w:rsidP="00C52DF3">
      <w:pPr>
        <w:rPr>
          <w:b/>
          <w:bCs/>
          <w:color w:val="000000"/>
          <w:lang w:eastAsia="en-GB"/>
        </w:rPr>
      </w:pPr>
      <w:r w:rsidRPr="00C52DF3">
        <w:rPr>
          <w:b/>
          <w:bCs/>
          <w:color w:val="000000"/>
          <w:lang w:eastAsia="en-GB"/>
        </w:rPr>
        <w:t xml:space="preserve">Tabula Nr.1 </w:t>
      </w:r>
    </w:p>
    <w:p w:rsidR="00C52DF3" w:rsidRPr="00C52DF3" w:rsidRDefault="00C52DF3" w:rsidP="00C52DF3">
      <w:pPr>
        <w:jc w:val="center"/>
      </w:pPr>
      <w:r w:rsidRPr="00C52DF3">
        <w:rPr>
          <w:b/>
          <w:bCs/>
          <w:color w:val="000000"/>
          <w:lang w:eastAsia="en-GB"/>
        </w:rPr>
        <w:t>Ieguvumi no 5.4.2.1. pasākuma</w:t>
      </w:r>
      <w:r w:rsidRPr="00C52DF3">
        <w:rPr>
          <w:b/>
        </w:rPr>
        <w:t>, kas izsakāmi skaitliskā izteiksmē</w:t>
      </w:r>
    </w:p>
    <w:tbl>
      <w:tblPr>
        <w:tblpPr w:leftFromText="180" w:rightFromText="180" w:vertAnchor="text" w:tblpY="1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2"/>
        <w:gridCol w:w="2098"/>
        <w:gridCol w:w="1417"/>
        <w:gridCol w:w="851"/>
        <w:gridCol w:w="992"/>
        <w:gridCol w:w="1559"/>
        <w:gridCol w:w="2297"/>
      </w:tblGrid>
      <w:tr w:rsidR="00C52DF3" w:rsidRPr="00F25CFF" w:rsidTr="00321982">
        <w:trPr>
          <w:trHeight w:val="498"/>
          <w:tblHeader/>
        </w:trPr>
        <w:tc>
          <w:tcPr>
            <w:tcW w:w="562" w:type="dxa"/>
            <w:tcMar>
              <w:top w:w="0" w:type="dxa"/>
              <w:left w:w="108" w:type="dxa"/>
              <w:bottom w:w="0" w:type="dxa"/>
              <w:right w:w="108" w:type="dxa"/>
            </w:tcMar>
            <w:vAlign w:val="center"/>
            <w:hideMark/>
          </w:tcPr>
          <w:p w:rsidR="00F90A9E" w:rsidRDefault="00C52DF3" w:rsidP="00321982">
            <w:pPr>
              <w:jc w:val="center"/>
              <w:rPr>
                <w:b/>
                <w:bCs/>
                <w:color w:val="000000"/>
                <w:lang w:eastAsia="en-GB"/>
              </w:rPr>
            </w:pPr>
            <w:r w:rsidRPr="006D50D9">
              <w:rPr>
                <w:b/>
                <w:bCs/>
                <w:color w:val="000000"/>
                <w:sz w:val="22"/>
                <w:szCs w:val="22"/>
                <w:lang w:eastAsia="en-GB"/>
              </w:rPr>
              <w:t>Nr.p.</w:t>
            </w:r>
          </w:p>
          <w:p w:rsidR="00C52DF3" w:rsidRPr="006D50D9" w:rsidRDefault="00C52DF3" w:rsidP="00321982">
            <w:pPr>
              <w:jc w:val="center"/>
              <w:rPr>
                <w:b/>
                <w:bCs/>
                <w:color w:val="000000"/>
                <w:lang w:eastAsia="en-GB"/>
              </w:rPr>
            </w:pPr>
            <w:r w:rsidRPr="006D50D9">
              <w:rPr>
                <w:b/>
                <w:bCs/>
                <w:color w:val="000000"/>
                <w:sz w:val="22"/>
                <w:szCs w:val="22"/>
                <w:lang w:eastAsia="en-GB"/>
              </w:rPr>
              <w:t>k</w:t>
            </w:r>
            <w:r w:rsidR="00F90A9E">
              <w:rPr>
                <w:b/>
                <w:bCs/>
                <w:color w:val="000000"/>
                <w:sz w:val="22"/>
                <w:szCs w:val="22"/>
                <w:lang w:eastAsia="en-GB"/>
              </w:rPr>
              <w:t>.</w:t>
            </w:r>
          </w:p>
        </w:tc>
        <w:tc>
          <w:tcPr>
            <w:tcW w:w="2098" w:type="dxa"/>
            <w:tcMar>
              <w:top w:w="0" w:type="dxa"/>
              <w:left w:w="108" w:type="dxa"/>
              <w:bottom w:w="0" w:type="dxa"/>
              <w:right w:w="108" w:type="dxa"/>
            </w:tcMar>
            <w:vAlign w:val="center"/>
            <w:hideMark/>
          </w:tcPr>
          <w:p w:rsidR="00C52DF3" w:rsidRPr="006D50D9" w:rsidRDefault="00C52DF3" w:rsidP="00321982">
            <w:pPr>
              <w:jc w:val="center"/>
              <w:rPr>
                <w:b/>
                <w:bCs/>
                <w:color w:val="000000"/>
                <w:lang w:eastAsia="en-GB"/>
              </w:rPr>
            </w:pPr>
            <w:r w:rsidRPr="006D50D9">
              <w:rPr>
                <w:b/>
                <w:bCs/>
                <w:color w:val="000000"/>
                <w:sz w:val="22"/>
                <w:szCs w:val="22"/>
                <w:lang w:eastAsia="en-GB"/>
              </w:rPr>
              <w:t>Ieguvums no 5.4.2.1. pasākuma realizācijas</w:t>
            </w:r>
          </w:p>
        </w:tc>
        <w:tc>
          <w:tcPr>
            <w:tcW w:w="1417" w:type="dxa"/>
            <w:tcMar>
              <w:top w:w="0" w:type="dxa"/>
              <w:left w:w="108" w:type="dxa"/>
              <w:bottom w:w="0" w:type="dxa"/>
              <w:right w:w="108" w:type="dxa"/>
            </w:tcMar>
            <w:vAlign w:val="center"/>
            <w:hideMark/>
          </w:tcPr>
          <w:p w:rsidR="00C52DF3" w:rsidRPr="006D50D9" w:rsidRDefault="00C52DF3" w:rsidP="00321982">
            <w:pPr>
              <w:jc w:val="center"/>
              <w:rPr>
                <w:b/>
                <w:bCs/>
                <w:color w:val="000000"/>
                <w:lang w:eastAsia="en-GB"/>
              </w:rPr>
            </w:pPr>
            <w:r w:rsidRPr="006D50D9">
              <w:rPr>
                <w:b/>
                <w:bCs/>
                <w:color w:val="000000"/>
                <w:sz w:val="22"/>
                <w:szCs w:val="22"/>
                <w:lang w:eastAsia="en-GB"/>
              </w:rPr>
              <w:t>Rādītājs,</w:t>
            </w:r>
          </w:p>
          <w:p w:rsidR="00C52DF3" w:rsidRPr="006D50D9" w:rsidRDefault="00C52DF3" w:rsidP="00321982">
            <w:pPr>
              <w:jc w:val="center"/>
              <w:rPr>
                <w:b/>
                <w:bCs/>
                <w:color w:val="000000"/>
                <w:lang w:eastAsia="en-GB"/>
              </w:rPr>
            </w:pPr>
            <w:r w:rsidRPr="006D50D9">
              <w:rPr>
                <w:b/>
                <w:bCs/>
                <w:color w:val="000000"/>
                <w:sz w:val="22"/>
                <w:szCs w:val="22"/>
                <w:lang w:eastAsia="en-GB"/>
              </w:rPr>
              <w:t>mērvienība</w:t>
            </w:r>
          </w:p>
        </w:tc>
        <w:tc>
          <w:tcPr>
            <w:tcW w:w="851" w:type="dxa"/>
            <w:tcMar>
              <w:top w:w="0" w:type="dxa"/>
              <w:left w:w="108" w:type="dxa"/>
              <w:bottom w:w="0" w:type="dxa"/>
              <w:right w:w="108" w:type="dxa"/>
            </w:tcMar>
            <w:vAlign w:val="center"/>
            <w:hideMark/>
          </w:tcPr>
          <w:p w:rsidR="00C52DF3" w:rsidRPr="006D50D9" w:rsidRDefault="00C52DF3" w:rsidP="00321982">
            <w:pPr>
              <w:jc w:val="center"/>
              <w:rPr>
                <w:b/>
                <w:bCs/>
                <w:color w:val="000000"/>
                <w:lang w:eastAsia="en-GB"/>
              </w:rPr>
            </w:pPr>
            <w:r w:rsidRPr="006D50D9">
              <w:rPr>
                <w:b/>
                <w:bCs/>
                <w:color w:val="000000"/>
                <w:sz w:val="22"/>
                <w:szCs w:val="22"/>
                <w:lang w:eastAsia="en-GB"/>
              </w:rPr>
              <w:t>2014.gadā</w:t>
            </w:r>
          </w:p>
        </w:tc>
        <w:tc>
          <w:tcPr>
            <w:tcW w:w="992" w:type="dxa"/>
            <w:tcMar>
              <w:top w:w="0" w:type="dxa"/>
              <w:left w:w="108" w:type="dxa"/>
              <w:bottom w:w="0" w:type="dxa"/>
              <w:right w:w="108" w:type="dxa"/>
            </w:tcMar>
            <w:vAlign w:val="center"/>
            <w:hideMark/>
          </w:tcPr>
          <w:p w:rsidR="00C52DF3" w:rsidRPr="006D50D9" w:rsidRDefault="00C52DF3" w:rsidP="00321982">
            <w:pPr>
              <w:jc w:val="center"/>
              <w:rPr>
                <w:b/>
                <w:bCs/>
                <w:color w:val="000000"/>
                <w:lang w:eastAsia="en-GB"/>
              </w:rPr>
            </w:pPr>
            <w:r w:rsidRPr="006D50D9">
              <w:rPr>
                <w:b/>
                <w:bCs/>
                <w:color w:val="000000"/>
                <w:sz w:val="22"/>
                <w:szCs w:val="22"/>
                <w:lang w:eastAsia="en-GB"/>
              </w:rPr>
              <w:t>Indika</w:t>
            </w:r>
          </w:p>
          <w:p w:rsidR="00C52DF3" w:rsidRPr="006D50D9" w:rsidRDefault="00C52DF3" w:rsidP="00321982">
            <w:pPr>
              <w:jc w:val="center"/>
              <w:rPr>
                <w:b/>
                <w:bCs/>
                <w:color w:val="000000"/>
                <w:lang w:eastAsia="en-GB"/>
              </w:rPr>
            </w:pPr>
            <w:r w:rsidRPr="006D50D9">
              <w:rPr>
                <w:b/>
                <w:bCs/>
                <w:color w:val="000000"/>
                <w:sz w:val="22"/>
                <w:szCs w:val="22"/>
                <w:lang w:eastAsia="en-GB"/>
              </w:rPr>
              <w:t>tīvi 2021. gadā</w:t>
            </w:r>
          </w:p>
        </w:tc>
        <w:tc>
          <w:tcPr>
            <w:tcW w:w="1559" w:type="dxa"/>
            <w:tcMar>
              <w:top w:w="0" w:type="dxa"/>
              <w:left w:w="108" w:type="dxa"/>
              <w:bottom w:w="0" w:type="dxa"/>
              <w:right w:w="108" w:type="dxa"/>
            </w:tcMar>
            <w:vAlign w:val="center"/>
            <w:hideMark/>
          </w:tcPr>
          <w:p w:rsidR="00C52DF3" w:rsidRPr="006D50D9" w:rsidRDefault="00C52DF3" w:rsidP="00321982">
            <w:pPr>
              <w:jc w:val="center"/>
              <w:rPr>
                <w:b/>
                <w:bCs/>
                <w:color w:val="000000"/>
                <w:lang w:eastAsia="en-GB"/>
              </w:rPr>
            </w:pPr>
            <w:r w:rsidRPr="006D50D9">
              <w:rPr>
                <w:b/>
                <w:bCs/>
                <w:color w:val="000000"/>
                <w:sz w:val="22"/>
                <w:szCs w:val="22"/>
                <w:lang w:eastAsia="en-GB"/>
              </w:rPr>
              <w:t>Informācijas avots</w:t>
            </w:r>
          </w:p>
        </w:tc>
        <w:tc>
          <w:tcPr>
            <w:tcW w:w="2297" w:type="dxa"/>
            <w:tcMar>
              <w:top w:w="0" w:type="dxa"/>
              <w:left w:w="108" w:type="dxa"/>
              <w:bottom w:w="0" w:type="dxa"/>
              <w:right w:w="108" w:type="dxa"/>
            </w:tcMar>
            <w:vAlign w:val="center"/>
            <w:hideMark/>
          </w:tcPr>
          <w:p w:rsidR="00C52DF3" w:rsidRPr="006D50D9" w:rsidRDefault="00C52DF3" w:rsidP="00321982">
            <w:pPr>
              <w:jc w:val="center"/>
              <w:rPr>
                <w:b/>
                <w:bCs/>
                <w:color w:val="000000"/>
                <w:lang w:eastAsia="en-GB"/>
              </w:rPr>
            </w:pPr>
            <w:r w:rsidRPr="006D50D9">
              <w:rPr>
                <w:b/>
                <w:bCs/>
                <w:color w:val="000000"/>
                <w:sz w:val="22"/>
                <w:szCs w:val="22"/>
                <w:lang w:eastAsia="en-GB"/>
              </w:rPr>
              <w:t>Piezīmes</w:t>
            </w:r>
          </w:p>
        </w:tc>
      </w:tr>
      <w:tr w:rsidR="00C52DF3" w:rsidRPr="00972AB8" w:rsidTr="00F90A9E">
        <w:trPr>
          <w:trHeight w:val="881"/>
        </w:trPr>
        <w:tc>
          <w:tcPr>
            <w:tcW w:w="562"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1</w:t>
            </w:r>
            <w:r w:rsidR="00F90A9E">
              <w:rPr>
                <w:color w:val="000000"/>
                <w:sz w:val="22"/>
                <w:szCs w:val="22"/>
                <w:lang w:eastAsia="en-GB"/>
              </w:rPr>
              <w:t>.</w:t>
            </w:r>
          </w:p>
        </w:tc>
        <w:tc>
          <w:tcPr>
            <w:tcW w:w="2098"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Samazināts ietekmes uz vidi novērtējuma (IVN) izstrādes laiks</w:t>
            </w:r>
          </w:p>
        </w:tc>
        <w:tc>
          <w:tcPr>
            <w:tcW w:w="1417"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IVN izstrādes laiks mēnešos</w:t>
            </w:r>
          </w:p>
        </w:tc>
        <w:tc>
          <w:tcPr>
            <w:tcW w:w="851"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 xml:space="preserve">6 – 24 </w:t>
            </w:r>
          </w:p>
        </w:tc>
        <w:tc>
          <w:tcPr>
            <w:tcW w:w="992"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4 – 21</w:t>
            </w:r>
          </w:p>
        </w:tc>
        <w:tc>
          <w:tcPr>
            <w:tcW w:w="1559"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 xml:space="preserve">VPVB biroja mājaslapa: </w:t>
            </w:r>
            <w:hyperlink r:id="rId14" w:history="1">
              <w:r w:rsidRPr="006D50D9">
                <w:rPr>
                  <w:rStyle w:val="Hyperlink"/>
                  <w:sz w:val="22"/>
                  <w:szCs w:val="22"/>
                  <w:lang w:eastAsia="en-GB"/>
                </w:rPr>
                <w:t>www.vpvb.gov.lv</w:t>
              </w:r>
            </w:hyperlink>
          </w:p>
        </w:tc>
        <w:tc>
          <w:tcPr>
            <w:tcW w:w="2297"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rPr>
              <w:t> </w:t>
            </w:r>
          </w:p>
        </w:tc>
      </w:tr>
      <w:tr w:rsidR="00C52DF3" w:rsidRPr="00972AB8" w:rsidTr="00F90A9E">
        <w:trPr>
          <w:trHeight w:val="605"/>
        </w:trPr>
        <w:tc>
          <w:tcPr>
            <w:tcW w:w="562"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2</w:t>
            </w:r>
            <w:r w:rsidR="00F90A9E">
              <w:rPr>
                <w:color w:val="000000"/>
                <w:sz w:val="22"/>
                <w:szCs w:val="22"/>
                <w:lang w:eastAsia="en-GB"/>
              </w:rPr>
              <w:t>.</w:t>
            </w:r>
          </w:p>
        </w:tc>
        <w:tc>
          <w:tcPr>
            <w:tcW w:w="2098"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Samazinātas IVN izstrādes izmaksas, ja IVN programmā norādīts, ka nepieciešams dabas eksperta slēdziens</w:t>
            </w:r>
          </w:p>
        </w:tc>
        <w:tc>
          <w:tcPr>
            <w:tcW w:w="1417" w:type="dxa"/>
            <w:tcMar>
              <w:top w:w="0" w:type="dxa"/>
              <w:left w:w="108" w:type="dxa"/>
              <w:bottom w:w="0" w:type="dxa"/>
              <w:right w:w="108" w:type="dxa"/>
            </w:tcMar>
            <w:hideMark/>
          </w:tcPr>
          <w:p w:rsidR="00C52DF3" w:rsidRPr="006D50D9" w:rsidRDefault="00C52DF3" w:rsidP="006D50D9">
            <w:pPr>
              <w:jc w:val="both"/>
              <w:rPr>
                <w:iCs/>
                <w:color w:val="000000"/>
                <w:lang w:eastAsia="en-GB"/>
              </w:rPr>
            </w:pPr>
            <w:r w:rsidRPr="006D50D9">
              <w:rPr>
                <w:iCs/>
                <w:color w:val="000000"/>
                <w:sz w:val="22"/>
                <w:szCs w:val="22"/>
                <w:lang w:eastAsia="en-GB"/>
              </w:rPr>
              <w:t xml:space="preserve">Aizsargājamo biotopu apzināšanas izmaksas IVN procedūrā </w:t>
            </w:r>
            <w:r w:rsidRPr="006D50D9">
              <w:rPr>
                <w:i/>
                <w:iCs/>
                <w:color w:val="000000"/>
                <w:sz w:val="22"/>
                <w:szCs w:val="22"/>
                <w:lang w:eastAsia="en-GB"/>
              </w:rPr>
              <w:t>euro</w:t>
            </w:r>
            <w:r w:rsidRPr="006D50D9">
              <w:rPr>
                <w:iCs/>
                <w:color w:val="000000"/>
                <w:sz w:val="22"/>
                <w:szCs w:val="22"/>
                <w:lang w:eastAsia="en-GB"/>
              </w:rPr>
              <w:t xml:space="preserve"> uz 1 ha</w:t>
            </w:r>
          </w:p>
        </w:tc>
        <w:tc>
          <w:tcPr>
            <w:tcW w:w="851" w:type="dxa"/>
            <w:tcMar>
              <w:top w:w="0" w:type="dxa"/>
              <w:left w:w="108" w:type="dxa"/>
              <w:bottom w:w="0" w:type="dxa"/>
              <w:right w:w="108" w:type="dxa"/>
            </w:tcMar>
            <w:hideMark/>
          </w:tcPr>
          <w:p w:rsidR="00C52DF3" w:rsidRPr="006D50D9" w:rsidRDefault="00C52DF3" w:rsidP="006D50D9">
            <w:pPr>
              <w:jc w:val="both"/>
              <w:rPr>
                <w:iCs/>
                <w:color w:val="000000"/>
                <w:lang w:eastAsia="en-GB"/>
              </w:rPr>
            </w:pPr>
            <w:r w:rsidRPr="006D50D9">
              <w:rPr>
                <w:iCs/>
                <w:color w:val="000000"/>
                <w:sz w:val="22"/>
                <w:szCs w:val="22"/>
                <w:lang w:eastAsia="en-GB"/>
              </w:rPr>
              <w:t>6,40</w:t>
            </w:r>
          </w:p>
        </w:tc>
        <w:tc>
          <w:tcPr>
            <w:tcW w:w="992" w:type="dxa"/>
            <w:tcMar>
              <w:top w:w="0" w:type="dxa"/>
              <w:left w:w="108" w:type="dxa"/>
              <w:bottom w:w="0" w:type="dxa"/>
              <w:right w:w="108" w:type="dxa"/>
            </w:tcMar>
            <w:hideMark/>
          </w:tcPr>
          <w:p w:rsidR="00C52DF3" w:rsidRPr="006D50D9" w:rsidRDefault="00C52DF3" w:rsidP="006D50D9">
            <w:pPr>
              <w:jc w:val="both"/>
              <w:rPr>
                <w:iCs/>
                <w:color w:val="000000"/>
                <w:lang w:eastAsia="en-GB"/>
              </w:rPr>
            </w:pPr>
            <w:r w:rsidRPr="006D50D9">
              <w:rPr>
                <w:iCs/>
                <w:color w:val="000000"/>
                <w:sz w:val="22"/>
                <w:szCs w:val="22"/>
                <w:lang w:eastAsia="en-GB"/>
              </w:rPr>
              <w:t>0</w:t>
            </w:r>
          </w:p>
        </w:tc>
        <w:tc>
          <w:tcPr>
            <w:tcW w:w="1559"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DAP dati</w:t>
            </w:r>
          </w:p>
        </w:tc>
        <w:tc>
          <w:tcPr>
            <w:tcW w:w="2297"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IVN izstrādes izmaksu samazinājums tiek aprēķināts kā BVZ apsekošanas izmaksas uz 1 ha samazinājums</w:t>
            </w:r>
          </w:p>
        </w:tc>
      </w:tr>
      <w:tr w:rsidR="00C52DF3" w:rsidRPr="00972AB8" w:rsidTr="00F90A9E">
        <w:trPr>
          <w:trHeight w:val="1545"/>
        </w:trPr>
        <w:tc>
          <w:tcPr>
            <w:tcW w:w="562"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3</w:t>
            </w:r>
            <w:r w:rsidR="00F90A9E">
              <w:rPr>
                <w:color w:val="000000"/>
                <w:sz w:val="22"/>
                <w:szCs w:val="22"/>
                <w:lang w:eastAsia="en-GB"/>
              </w:rPr>
              <w:t>.</w:t>
            </w:r>
          </w:p>
        </w:tc>
        <w:tc>
          <w:tcPr>
            <w:tcW w:w="2098"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Palielināta platība, par kādu pieejama informācija sabiedrībai par īpaši aizsargājamo biotopu izvietojumu</w:t>
            </w:r>
          </w:p>
        </w:tc>
        <w:tc>
          <w:tcPr>
            <w:tcW w:w="1417"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Platība no valsts teritorijas procentos</w:t>
            </w:r>
          </w:p>
        </w:tc>
        <w:tc>
          <w:tcPr>
            <w:tcW w:w="851"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10</w:t>
            </w:r>
          </w:p>
        </w:tc>
        <w:tc>
          <w:tcPr>
            <w:tcW w:w="992"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100</w:t>
            </w:r>
          </w:p>
        </w:tc>
        <w:tc>
          <w:tcPr>
            <w:tcW w:w="1559"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Dabas datu informācijas sistēma “Ozols” un citas datu informācijas sistēmas</w:t>
            </w:r>
          </w:p>
        </w:tc>
        <w:tc>
          <w:tcPr>
            <w:tcW w:w="2297"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Informācijas izmantojama:</w:t>
            </w:r>
          </w:p>
          <w:p w:rsidR="00C52DF3" w:rsidRPr="006D50D9" w:rsidRDefault="00C52DF3" w:rsidP="006D50D9">
            <w:pPr>
              <w:numPr>
                <w:ilvl w:val="0"/>
                <w:numId w:val="4"/>
              </w:numPr>
              <w:ind w:left="314" w:hanging="284"/>
              <w:jc w:val="both"/>
              <w:rPr>
                <w:color w:val="000000"/>
                <w:lang w:eastAsia="en-GB"/>
              </w:rPr>
            </w:pPr>
            <w:r w:rsidRPr="006D50D9">
              <w:rPr>
                <w:color w:val="000000"/>
                <w:sz w:val="22"/>
                <w:szCs w:val="22"/>
                <w:lang w:eastAsia="en-GB"/>
              </w:rPr>
              <w:t>teritorijas attīstības plānošanā,</w:t>
            </w:r>
          </w:p>
          <w:p w:rsidR="00C52DF3" w:rsidRPr="006D50D9" w:rsidRDefault="00C52DF3" w:rsidP="006D50D9">
            <w:pPr>
              <w:numPr>
                <w:ilvl w:val="0"/>
                <w:numId w:val="4"/>
              </w:numPr>
              <w:ind w:left="314" w:hanging="284"/>
              <w:jc w:val="both"/>
              <w:rPr>
                <w:color w:val="000000"/>
                <w:lang w:eastAsia="en-GB"/>
              </w:rPr>
            </w:pPr>
            <w:r w:rsidRPr="006D50D9">
              <w:rPr>
                <w:color w:val="000000"/>
                <w:sz w:val="22"/>
                <w:szCs w:val="22"/>
                <w:lang w:eastAsia="en-GB"/>
              </w:rPr>
              <w:t>attīstības projektu plānošanā, it īpaši IVN un SIVN procedūrā</w:t>
            </w:r>
          </w:p>
          <w:p w:rsidR="00C52DF3" w:rsidRPr="006D50D9" w:rsidRDefault="00C52DF3" w:rsidP="006D50D9">
            <w:pPr>
              <w:numPr>
                <w:ilvl w:val="0"/>
                <w:numId w:val="4"/>
              </w:numPr>
              <w:ind w:left="314" w:hanging="284"/>
              <w:jc w:val="both"/>
              <w:rPr>
                <w:color w:val="000000"/>
                <w:lang w:eastAsia="en-GB"/>
              </w:rPr>
            </w:pPr>
            <w:r w:rsidRPr="006D50D9">
              <w:rPr>
                <w:color w:val="000000"/>
                <w:sz w:val="22"/>
                <w:szCs w:val="22"/>
                <w:lang w:eastAsia="en-GB"/>
              </w:rPr>
              <w:t xml:space="preserve">kompensācijas pasākumu lauku atbalsta maksājumu aprēķināšanai zemes īpašniekiem, </w:t>
            </w:r>
          </w:p>
          <w:p w:rsidR="00C52DF3" w:rsidRPr="006D50D9" w:rsidRDefault="00C52DF3" w:rsidP="006D50D9">
            <w:pPr>
              <w:numPr>
                <w:ilvl w:val="0"/>
                <w:numId w:val="4"/>
              </w:numPr>
              <w:ind w:left="314" w:hanging="284"/>
              <w:jc w:val="both"/>
              <w:rPr>
                <w:color w:val="000000"/>
                <w:lang w:eastAsia="en-GB"/>
              </w:rPr>
            </w:pPr>
            <w:r w:rsidRPr="006D50D9">
              <w:rPr>
                <w:color w:val="000000"/>
                <w:sz w:val="22"/>
                <w:szCs w:val="22"/>
                <w:lang w:eastAsia="en-GB"/>
              </w:rPr>
              <w:t>ES direktīvu ziņojumu izstrādē, u.c.</w:t>
            </w:r>
          </w:p>
        </w:tc>
      </w:tr>
      <w:tr w:rsidR="00C52DF3" w:rsidRPr="00972AB8" w:rsidTr="00F90A9E">
        <w:trPr>
          <w:trHeight w:val="2492"/>
        </w:trPr>
        <w:tc>
          <w:tcPr>
            <w:tcW w:w="562" w:type="dxa"/>
            <w:tcMar>
              <w:top w:w="0" w:type="dxa"/>
              <w:left w:w="108" w:type="dxa"/>
              <w:bottom w:w="0" w:type="dxa"/>
              <w:right w:w="108" w:type="dxa"/>
            </w:tcMar>
            <w:hideMark/>
          </w:tcPr>
          <w:p w:rsidR="00C52DF3" w:rsidRPr="006D50D9" w:rsidRDefault="00C52DF3" w:rsidP="006D50D9">
            <w:pPr>
              <w:jc w:val="both"/>
              <w:rPr>
                <w:color w:val="000000"/>
                <w:lang w:eastAsia="en-GB"/>
              </w:rPr>
            </w:pPr>
            <w:r w:rsidRPr="006D50D9">
              <w:rPr>
                <w:color w:val="000000"/>
                <w:sz w:val="22"/>
                <w:szCs w:val="22"/>
                <w:lang w:eastAsia="en-GB"/>
              </w:rPr>
              <w:t>4</w:t>
            </w:r>
            <w:r w:rsidR="00F90A9E">
              <w:rPr>
                <w:color w:val="000000"/>
                <w:sz w:val="22"/>
                <w:szCs w:val="22"/>
                <w:lang w:eastAsia="en-GB"/>
              </w:rPr>
              <w:t>.</w:t>
            </w:r>
          </w:p>
        </w:tc>
        <w:tc>
          <w:tcPr>
            <w:tcW w:w="2098" w:type="dxa"/>
            <w:tcMar>
              <w:top w:w="0" w:type="dxa"/>
              <w:left w:w="108" w:type="dxa"/>
              <w:bottom w:w="0" w:type="dxa"/>
              <w:right w:w="108" w:type="dxa"/>
            </w:tcMar>
            <w:hideMark/>
          </w:tcPr>
          <w:p w:rsidR="00C52DF3" w:rsidRPr="006D50D9" w:rsidRDefault="00C52DF3" w:rsidP="006D50D9">
            <w:pPr>
              <w:jc w:val="both"/>
              <w:rPr>
                <w:color w:val="000000"/>
              </w:rPr>
            </w:pPr>
            <w:r w:rsidRPr="006D50D9">
              <w:rPr>
                <w:color w:val="000000"/>
                <w:sz w:val="22"/>
                <w:szCs w:val="22"/>
              </w:rPr>
              <w:t xml:space="preserve">Palielināts Dabas datu informācijas sistēmas nodrošināto ģeoproduktu klāsts </w:t>
            </w:r>
          </w:p>
        </w:tc>
        <w:tc>
          <w:tcPr>
            <w:tcW w:w="1417" w:type="dxa"/>
            <w:tcMar>
              <w:top w:w="0" w:type="dxa"/>
              <w:left w:w="108" w:type="dxa"/>
              <w:bottom w:w="0" w:type="dxa"/>
              <w:right w:w="108" w:type="dxa"/>
            </w:tcMar>
            <w:hideMark/>
          </w:tcPr>
          <w:p w:rsidR="00C52DF3" w:rsidRPr="006D50D9" w:rsidRDefault="00C52DF3" w:rsidP="009F6F14">
            <w:pPr>
              <w:jc w:val="both"/>
              <w:rPr>
                <w:color w:val="000000"/>
              </w:rPr>
            </w:pPr>
            <w:r w:rsidRPr="006D50D9">
              <w:rPr>
                <w:color w:val="000000"/>
                <w:sz w:val="22"/>
                <w:szCs w:val="22"/>
              </w:rPr>
              <w:t xml:space="preserve">Ģeoproduktu, kuru uzturētājs ir DAP, skaits </w:t>
            </w:r>
          </w:p>
        </w:tc>
        <w:tc>
          <w:tcPr>
            <w:tcW w:w="851" w:type="dxa"/>
            <w:tcMar>
              <w:top w:w="0" w:type="dxa"/>
              <w:left w:w="108" w:type="dxa"/>
              <w:bottom w:w="0" w:type="dxa"/>
              <w:right w:w="108" w:type="dxa"/>
            </w:tcMar>
            <w:hideMark/>
          </w:tcPr>
          <w:p w:rsidR="00C52DF3" w:rsidRPr="006D50D9" w:rsidRDefault="00C52DF3" w:rsidP="006D50D9">
            <w:pPr>
              <w:jc w:val="both"/>
              <w:rPr>
                <w:color w:val="000000"/>
              </w:rPr>
            </w:pPr>
            <w:r w:rsidRPr="006D50D9">
              <w:rPr>
                <w:color w:val="000000"/>
                <w:sz w:val="22"/>
                <w:szCs w:val="22"/>
              </w:rPr>
              <w:t> 1</w:t>
            </w:r>
          </w:p>
        </w:tc>
        <w:tc>
          <w:tcPr>
            <w:tcW w:w="992" w:type="dxa"/>
            <w:tcMar>
              <w:top w:w="0" w:type="dxa"/>
              <w:left w:w="108" w:type="dxa"/>
              <w:bottom w:w="0" w:type="dxa"/>
              <w:right w:w="108" w:type="dxa"/>
            </w:tcMar>
            <w:hideMark/>
          </w:tcPr>
          <w:p w:rsidR="00C52DF3" w:rsidRPr="006D50D9" w:rsidRDefault="00C52DF3" w:rsidP="006D50D9">
            <w:pPr>
              <w:jc w:val="both"/>
              <w:rPr>
                <w:color w:val="000000"/>
              </w:rPr>
            </w:pPr>
            <w:r w:rsidRPr="006D50D9">
              <w:rPr>
                <w:color w:val="000000"/>
                <w:sz w:val="22"/>
                <w:szCs w:val="22"/>
              </w:rPr>
              <w:t> Vismaz 2</w:t>
            </w:r>
          </w:p>
        </w:tc>
        <w:tc>
          <w:tcPr>
            <w:tcW w:w="1559" w:type="dxa"/>
            <w:tcMar>
              <w:top w:w="0" w:type="dxa"/>
              <w:left w:w="108" w:type="dxa"/>
              <w:bottom w:w="0" w:type="dxa"/>
              <w:right w:w="108" w:type="dxa"/>
            </w:tcMar>
            <w:hideMark/>
          </w:tcPr>
          <w:p w:rsidR="00C52DF3" w:rsidRPr="006D50D9" w:rsidRDefault="00C52DF3" w:rsidP="006D50D9">
            <w:pPr>
              <w:jc w:val="both"/>
              <w:rPr>
                <w:color w:val="000000"/>
              </w:rPr>
            </w:pPr>
            <w:r w:rsidRPr="006D50D9">
              <w:rPr>
                <w:color w:val="000000"/>
                <w:sz w:val="22"/>
                <w:szCs w:val="22"/>
              </w:rPr>
              <w:t xml:space="preserve">Portāls </w:t>
            </w:r>
            <w:r w:rsidRPr="006D50D9">
              <w:rPr>
                <w:color w:val="000000"/>
                <w:sz w:val="22"/>
                <w:szCs w:val="22"/>
                <w:u w:val="single"/>
              </w:rPr>
              <w:t>geolatvija.lv</w:t>
            </w:r>
            <w:r w:rsidRPr="006D50D9">
              <w:rPr>
                <w:color w:val="000000"/>
                <w:sz w:val="22"/>
                <w:szCs w:val="22"/>
              </w:rPr>
              <w:t>, kur apskatāmi un lejuplādējami ģeoprodukti, t.sk. tie, ko nodrošina DAP</w:t>
            </w:r>
          </w:p>
        </w:tc>
        <w:tc>
          <w:tcPr>
            <w:tcW w:w="2297" w:type="dxa"/>
            <w:tcMar>
              <w:top w:w="0" w:type="dxa"/>
              <w:left w:w="108" w:type="dxa"/>
              <w:bottom w:w="0" w:type="dxa"/>
              <w:right w:w="108" w:type="dxa"/>
            </w:tcMar>
            <w:hideMark/>
          </w:tcPr>
          <w:p w:rsidR="00C52DF3" w:rsidRPr="006D50D9" w:rsidRDefault="00C52DF3" w:rsidP="006D50D9">
            <w:pPr>
              <w:jc w:val="both"/>
              <w:rPr>
                <w:color w:val="000000"/>
              </w:rPr>
            </w:pPr>
            <w:r w:rsidRPr="006D50D9">
              <w:rPr>
                <w:color w:val="000000"/>
                <w:sz w:val="22"/>
                <w:szCs w:val="22"/>
              </w:rPr>
              <w:t xml:space="preserve">Šobrīd ģeoportālā ir pieejams viens DAP uzturēts produkts – “Īpaši aizsargājamās dabas teritorijas” (ĪADT dati, tai skaitā dižkoki, mikroliegumi). Pēc projekta tiks nodrošināts jauns produkts “ES nozīmes aizsargājamie biotopi”. </w:t>
            </w:r>
          </w:p>
        </w:tc>
      </w:tr>
    </w:tbl>
    <w:p w:rsidR="00C52DF3" w:rsidRPr="00972AB8" w:rsidRDefault="00C52DF3" w:rsidP="00C52DF3">
      <w:pPr>
        <w:rPr>
          <w:b/>
          <w:bCs/>
          <w:color w:val="000000"/>
          <w:sz w:val="22"/>
          <w:szCs w:val="22"/>
          <w:lang w:eastAsia="en-GB"/>
        </w:rPr>
      </w:pPr>
    </w:p>
    <w:p w:rsidR="00B7762B" w:rsidRDefault="00B7762B" w:rsidP="006F4239">
      <w:pPr>
        <w:shd w:val="clear" w:color="auto" w:fill="FFFFFF"/>
        <w:ind w:firstLine="709"/>
        <w:jc w:val="both"/>
      </w:pPr>
      <w:r w:rsidRPr="00DD44D9">
        <w:t>Ņemot vērā iepriekš</w:t>
      </w:r>
      <w:r w:rsidR="009C67B5">
        <w:t xml:space="preserve"> </w:t>
      </w:r>
      <w:r w:rsidRPr="00DD44D9">
        <w:t>minēto, informācija par ES nozīmes īpaši aizsargājamo biotopu izplatību un kvalitāti, ko iegūs kartēšanas laik</w:t>
      </w:r>
      <w:r w:rsidR="00C52DF3">
        <w:t xml:space="preserve">ā, un dabas aizsardzības plāni </w:t>
      </w:r>
      <w:r w:rsidRPr="00DD44D9">
        <w:t xml:space="preserve">kopumā atvieglos uzņēmējiem un teritoriju attīstītājiem turpmāko darbību plānošanu, ņemot vērā ES nozīmes īpaši aizsargājamo biotopu izplatību. Dabas aizsardzības un sugu aizsardzības plānu pieejamība palīdzēs precīzāk identificēt teritorijas, kurām būtu novirzāms ES fondu un citu finanšu instrumentu ietvaros pieejamais atbalsts infrastruktūras izveidei. </w:t>
      </w:r>
    </w:p>
    <w:p w:rsidR="00854491" w:rsidRPr="000C4680" w:rsidRDefault="00854491" w:rsidP="00032931">
      <w:pPr>
        <w:ind w:firstLine="709"/>
        <w:jc w:val="both"/>
        <w:rPr>
          <w:rFonts w:eastAsiaTheme="minorHAnsi"/>
          <w:b/>
          <w:lang w:eastAsia="en-US"/>
        </w:rPr>
      </w:pPr>
      <w:r>
        <w:t xml:space="preserve">Aizsargājamo biotopu </w:t>
      </w:r>
      <w:r w:rsidRPr="000C4680">
        <w:t xml:space="preserve">kartējuma un dabas </w:t>
      </w:r>
      <w:r w:rsidR="00735B41" w:rsidRPr="00BC13A3">
        <w:t xml:space="preserve">aizsardzības </w:t>
      </w:r>
      <w:r w:rsidRPr="00BC13A3">
        <w:t xml:space="preserve">plānu izstrādei ir netieša ietekme uz juridiskām un fiziskām personām, jo dabas aizsardzības plāniem ir tikai </w:t>
      </w:r>
      <w:r w:rsidRPr="00BC13A3">
        <w:rPr>
          <w:bCs/>
        </w:rPr>
        <w:t xml:space="preserve">rekomendējošs raksturs un </w:t>
      </w:r>
      <w:r w:rsidR="00735B41" w:rsidRPr="00BC13A3">
        <w:rPr>
          <w:bCs/>
        </w:rPr>
        <w:t xml:space="preserve">tie </w:t>
      </w:r>
      <w:r w:rsidRPr="00BC13A3">
        <w:rPr>
          <w:bCs/>
        </w:rPr>
        <w:t>nemaina ĪADT aizsardzības režīmu – teritorijas aizsardzības un izmantošanas noteikumus</w:t>
      </w:r>
      <w:r w:rsidR="00735B41" w:rsidRPr="00BC13A3">
        <w:rPr>
          <w:bCs/>
        </w:rPr>
        <w:t xml:space="preserve">. Dabas aizsardzības </w:t>
      </w:r>
      <w:r w:rsidRPr="00BC13A3">
        <w:rPr>
          <w:bCs/>
        </w:rPr>
        <w:t xml:space="preserve">plānā ietvertā informācija </w:t>
      </w:r>
      <w:r w:rsidR="00735B41" w:rsidRPr="00BC13A3">
        <w:rPr>
          <w:bCs/>
        </w:rPr>
        <w:t>tiek izmantota</w:t>
      </w:r>
      <w:r w:rsidRPr="00BC13A3">
        <w:rPr>
          <w:bCs/>
        </w:rPr>
        <w:t xml:space="preserve"> ĪADT zonējuma noteikšanai (ja tāds vēl nav) vai tā izmaiņām, taču </w:t>
      </w:r>
      <w:r w:rsidRPr="00BC13A3">
        <w:t>ĪADT zonējuma, aizsardzības un apsaimniekošanas noteikumu izmaiņas var tikt noteiktas tikai ar MK noteikumiem</w:t>
      </w:r>
      <w:r w:rsidR="00627484" w:rsidRPr="00BC13A3">
        <w:t xml:space="preserve">, tos saskaņojot </w:t>
      </w:r>
      <w:r w:rsidR="00627484" w:rsidRPr="001375EE">
        <w:t>Ministru kabineta 2009.gada 7.aprīļa noteikumos Nr.300 “Ministru kabineta kārtības rullis” noteiktajā kārtībā</w:t>
      </w:r>
      <w:r w:rsidRPr="001375EE">
        <w:t>.</w:t>
      </w:r>
      <w:r w:rsidR="000C4680" w:rsidRPr="001375EE">
        <w:rPr>
          <w:sz w:val="20"/>
          <w:szCs w:val="20"/>
        </w:rPr>
        <w:t xml:space="preserve"> </w:t>
      </w:r>
      <w:r w:rsidR="000C4680" w:rsidRPr="001375EE">
        <w:t>ĪADT soc</w:t>
      </w:r>
      <w:r w:rsidR="00671834" w:rsidRPr="001375EE">
        <w:t>iāl</w:t>
      </w:r>
      <w:r w:rsidR="000C4680" w:rsidRPr="001375EE">
        <w:t>ekonomiskie apstākļi tiek ņemti vērā</w:t>
      </w:r>
      <w:r w:rsidR="00735B41" w:rsidRPr="001375EE">
        <w:t>,</w:t>
      </w:r>
      <w:r w:rsidR="000C4680" w:rsidRPr="001375EE">
        <w:t xml:space="preserve"> izstrādājot dabas aizsardzības plānu, t.sk. sagatavojot funkcionālā zonējuma priekšlikumus</w:t>
      </w:r>
      <w:r w:rsidR="000C4680" w:rsidRPr="001375EE">
        <w:rPr>
          <w:bCs/>
        </w:rPr>
        <w:t>. Līdz ar to zem</w:t>
      </w:r>
      <w:r w:rsidR="00F917B6" w:rsidRPr="001375EE">
        <w:rPr>
          <w:bCs/>
        </w:rPr>
        <w:t>ju</w:t>
      </w:r>
      <w:r w:rsidR="000C4680" w:rsidRPr="001375EE">
        <w:rPr>
          <w:bCs/>
        </w:rPr>
        <w:t xml:space="preserve"> īpašniekiem</w:t>
      </w:r>
      <w:r w:rsidR="00F917B6" w:rsidRPr="001375EE">
        <w:rPr>
          <w:bCs/>
        </w:rPr>
        <w:t xml:space="preserve"> vairumā gadījumu tiek atviegloti teritorijas aizsardzības un apsaimniekošanas noteikumi, bet stingrāki ierobežojumi </w:t>
      </w:r>
      <w:r w:rsidR="00735B41" w:rsidRPr="001375EE">
        <w:rPr>
          <w:bCs/>
        </w:rPr>
        <w:t>tiek</w:t>
      </w:r>
      <w:r w:rsidR="00735B41">
        <w:rPr>
          <w:bCs/>
        </w:rPr>
        <w:t xml:space="preserve"> </w:t>
      </w:r>
      <w:r w:rsidR="00F917B6" w:rsidRPr="00F917B6">
        <w:rPr>
          <w:bCs/>
        </w:rPr>
        <w:t>noteikti tikai tajās platībā</w:t>
      </w:r>
      <w:r w:rsidR="00032931">
        <w:rPr>
          <w:bCs/>
        </w:rPr>
        <w:t>s</w:t>
      </w:r>
      <w:r w:rsidR="00F917B6" w:rsidRPr="00F917B6">
        <w:rPr>
          <w:bCs/>
        </w:rPr>
        <w:t>, kur tas ir zinātniski pamatots un nepieciešams</w:t>
      </w:r>
      <w:r w:rsidR="00882AD6">
        <w:rPr>
          <w:bCs/>
        </w:rPr>
        <w:t xml:space="preserve"> (par šiem saimnieciskās darbības ierobežojumiem zemju īpašnieki saņem </w:t>
      </w:r>
      <w:r w:rsidR="00735B41">
        <w:rPr>
          <w:bCs/>
        </w:rPr>
        <w:t xml:space="preserve">kompensācijas </w:t>
      </w:r>
      <w:r w:rsidR="00882AD6">
        <w:rPr>
          <w:bCs/>
        </w:rPr>
        <w:t>likumā noteiktajā kārtībā)</w:t>
      </w:r>
      <w:r w:rsidR="00F917B6" w:rsidRPr="00F917B6">
        <w:rPr>
          <w:bCs/>
        </w:rPr>
        <w:t>.</w:t>
      </w:r>
    </w:p>
    <w:p w:rsidR="00B7762B" w:rsidRPr="00317EC5" w:rsidRDefault="00B7762B" w:rsidP="00B7762B">
      <w:pPr>
        <w:pStyle w:val="Default"/>
        <w:spacing w:before="120"/>
        <w:jc w:val="both"/>
        <w:rPr>
          <w:rFonts w:eastAsia="Times New Roman"/>
          <w:b/>
          <w:color w:val="auto"/>
          <w:lang w:val="lv-LV"/>
        </w:rPr>
      </w:pPr>
    </w:p>
    <w:p w:rsidR="00B7762B" w:rsidRPr="00317EC5" w:rsidRDefault="00B7762B" w:rsidP="00B7762B">
      <w:pPr>
        <w:pStyle w:val="Default"/>
        <w:spacing w:before="120"/>
        <w:jc w:val="center"/>
        <w:rPr>
          <w:b/>
          <w:color w:val="auto"/>
          <w:lang w:val="lv-LV"/>
        </w:rPr>
      </w:pPr>
      <w:r w:rsidRPr="00317EC5">
        <w:rPr>
          <w:rFonts w:eastAsia="Times New Roman"/>
          <w:b/>
          <w:color w:val="auto"/>
          <w:lang w:val="lv-LV"/>
        </w:rPr>
        <w:t>I</w:t>
      </w:r>
      <w:r w:rsidR="00ED5699" w:rsidRPr="00317EC5">
        <w:rPr>
          <w:rFonts w:eastAsia="Times New Roman"/>
          <w:b/>
          <w:color w:val="auto"/>
          <w:lang w:val="lv-LV"/>
        </w:rPr>
        <w:t>I</w:t>
      </w:r>
      <w:r w:rsidRPr="00317EC5">
        <w:rPr>
          <w:rFonts w:eastAsia="Times New Roman"/>
          <w:b/>
          <w:color w:val="auto"/>
          <w:lang w:val="lv-LV"/>
        </w:rPr>
        <w:t>I Investīciju savstarpējā sasaiste un ieviešanas mehānisms</w:t>
      </w:r>
    </w:p>
    <w:p w:rsidR="00B7762B" w:rsidRPr="00BC13A3" w:rsidRDefault="00B7762B" w:rsidP="0020796E">
      <w:pPr>
        <w:pStyle w:val="Default"/>
        <w:ind w:firstLine="709"/>
        <w:jc w:val="both"/>
        <w:rPr>
          <w:iCs/>
          <w:color w:val="000000" w:themeColor="text1"/>
          <w:lang w:val="lv-LV"/>
        </w:rPr>
      </w:pPr>
      <w:r w:rsidRPr="00BC13A3">
        <w:rPr>
          <w:iCs/>
          <w:color w:val="000000" w:themeColor="text1"/>
          <w:lang w:val="lv-LV"/>
        </w:rPr>
        <w:t xml:space="preserve">Saskaņā ar darbības programmu “Izaugsme un nodarbinātība” 2014.-2020. gada plānošanas perioda ietvaros Latvijai ir jāīsteno pasākumi direktīvas 2009/147/EK un 92/43/EEK prasību izpildei, lai nodrošinātu, ka vismaz 60% ES nozīmes biotopiem un sugām Latvijā tiks nodrošināts labvēlīgs aizsardzības statuss. </w:t>
      </w:r>
    </w:p>
    <w:p w:rsidR="00B7762B" w:rsidRPr="0020796E" w:rsidRDefault="00B7762B" w:rsidP="0020796E">
      <w:pPr>
        <w:pStyle w:val="Default"/>
        <w:ind w:firstLine="709"/>
        <w:jc w:val="both"/>
        <w:rPr>
          <w:color w:val="000000" w:themeColor="text1"/>
          <w:lang w:val="lv-LV"/>
        </w:rPr>
      </w:pPr>
      <w:r w:rsidRPr="00BC13A3">
        <w:rPr>
          <w:iCs/>
          <w:color w:val="000000" w:themeColor="text1"/>
          <w:lang w:val="lv-LV"/>
        </w:rPr>
        <w:t>Lai sasniegt</w:t>
      </w:r>
      <w:r w:rsidR="00BC333B" w:rsidRPr="00BC13A3">
        <w:rPr>
          <w:iCs/>
          <w:color w:val="000000" w:themeColor="text1"/>
          <w:lang w:val="lv-LV"/>
        </w:rPr>
        <w:t>u</w:t>
      </w:r>
      <w:r w:rsidRPr="00BC13A3">
        <w:rPr>
          <w:iCs/>
          <w:color w:val="000000" w:themeColor="text1"/>
          <w:lang w:val="lv-LV"/>
        </w:rPr>
        <w:t xml:space="preserve"> šo mērķi</w:t>
      </w:r>
      <w:r w:rsidRPr="0020796E">
        <w:rPr>
          <w:iCs/>
          <w:color w:val="000000" w:themeColor="text1"/>
          <w:lang w:val="lv-LV"/>
        </w:rPr>
        <w:t>, pieejamā finansējuma ietvaros 2014.-2020. gada plānošanas periodā Latvijā tiks secīgi īstenoti vairāki pasākumi</w:t>
      </w:r>
      <w:r w:rsidRPr="0020796E">
        <w:rPr>
          <w:color w:val="000000" w:themeColor="text1"/>
          <w:lang w:val="lv-LV"/>
        </w:rPr>
        <w:t xml:space="preserve"> – zemāk tekstā sniegts apraksts par plānoto pasākumu savstarpējo sasaisti un loģiku atbilstoši darbības programmā “Izaugsme un nodarbinātība” noteiktajam:</w:t>
      </w:r>
    </w:p>
    <w:p w:rsidR="00B7762B" w:rsidRPr="0020796E" w:rsidRDefault="00B7762B" w:rsidP="0020796E">
      <w:pPr>
        <w:suppressAutoHyphens/>
        <w:autoSpaceDN w:val="0"/>
        <w:ind w:firstLine="709"/>
        <w:jc w:val="both"/>
        <w:textAlignment w:val="baseline"/>
        <w:rPr>
          <w:b/>
          <w:color w:val="000000" w:themeColor="text1"/>
        </w:rPr>
      </w:pPr>
      <w:r w:rsidRPr="0020796E">
        <w:rPr>
          <w:rFonts w:ascii="Times New Roman Bold" w:hAnsi="Times New Roman Bold"/>
          <w:b/>
          <w:caps/>
          <w:color w:val="000000" w:themeColor="text1"/>
          <w:u w:val="single"/>
        </w:rPr>
        <w:t>1.posms (</w:t>
      </w:r>
      <w:r w:rsidRPr="00A01E53">
        <w:rPr>
          <w:rFonts w:ascii="Times New Roman Bold" w:hAnsi="Times New Roman Bold"/>
          <w:b/>
          <w:color w:val="000000" w:themeColor="text1"/>
          <w:u w:val="single"/>
        </w:rPr>
        <w:t>priekšnosacījumi investīcijām</w:t>
      </w:r>
      <w:r w:rsidRPr="0020796E">
        <w:rPr>
          <w:rFonts w:ascii="Times New Roman Bold" w:hAnsi="Times New Roman Bold"/>
          <w:b/>
          <w:caps/>
          <w:color w:val="000000" w:themeColor="text1"/>
          <w:u w:val="single"/>
        </w:rPr>
        <w:t>)</w:t>
      </w:r>
      <w:r w:rsidRPr="0020796E">
        <w:rPr>
          <w:b/>
          <w:color w:val="000000" w:themeColor="text1"/>
        </w:rPr>
        <w:t xml:space="preserve"> – biotopu kartēšana, </w:t>
      </w:r>
      <w:r w:rsidR="008D7565" w:rsidRPr="0020796E">
        <w:rPr>
          <w:b/>
          <w:color w:val="000000" w:themeColor="text1"/>
        </w:rPr>
        <w:t xml:space="preserve">ĪADT </w:t>
      </w:r>
      <w:r w:rsidRPr="0020796E">
        <w:rPr>
          <w:b/>
          <w:color w:val="000000" w:themeColor="text1"/>
        </w:rPr>
        <w:t xml:space="preserve">dabas aizsardzības plānu un </w:t>
      </w:r>
      <w:r w:rsidR="008D7565" w:rsidRPr="0020796E">
        <w:rPr>
          <w:b/>
          <w:color w:val="000000" w:themeColor="text1"/>
        </w:rPr>
        <w:t xml:space="preserve">aizsargājamo </w:t>
      </w:r>
      <w:r w:rsidRPr="0020796E">
        <w:rPr>
          <w:b/>
          <w:color w:val="000000" w:themeColor="text1"/>
        </w:rPr>
        <w:t xml:space="preserve">sugu aizsardzības plānu izstrāde </w:t>
      </w:r>
    </w:p>
    <w:p w:rsidR="00B7762B" w:rsidRPr="0020796E" w:rsidRDefault="00B7762B" w:rsidP="0020796E">
      <w:pPr>
        <w:suppressAutoHyphens/>
        <w:autoSpaceDN w:val="0"/>
        <w:ind w:firstLine="709"/>
        <w:jc w:val="both"/>
        <w:textAlignment w:val="baseline"/>
        <w:rPr>
          <w:color w:val="000000" w:themeColor="text1"/>
        </w:rPr>
      </w:pPr>
      <w:r w:rsidRPr="0020796E">
        <w:rPr>
          <w:iCs/>
          <w:color w:val="000000" w:themeColor="text1"/>
        </w:rPr>
        <w:t xml:space="preserve">5.4.2. specifiskā atbalsta mērķa </w:t>
      </w:r>
      <w:r w:rsidR="0016225D">
        <w:rPr>
          <w:iCs/>
          <w:color w:val="000000" w:themeColor="text1"/>
        </w:rPr>
        <w:t>“</w:t>
      </w:r>
      <w:r w:rsidRPr="0020796E">
        <w:rPr>
          <w:iCs/>
          <w:color w:val="000000" w:themeColor="text1"/>
        </w:rPr>
        <w:t>Nodrošināt vides monitoringa un kontroles sistēmas attīstību un savlaicīgu vides risku novēršanu, kā arī sabiedrības līdzdalību vides pārvaldībā”</w:t>
      </w:r>
      <w:r w:rsidR="00BC333B">
        <w:rPr>
          <w:iCs/>
          <w:color w:val="000000" w:themeColor="text1"/>
        </w:rPr>
        <w:t xml:space="preserve"> </w:t>
      </w:r>
      <w:r w:rsidR="00BC333B" w:rsidRPr="00732940">
        <w:rPr>
          <w:color w:val="000000" w:themeColor="text1"/>
          <w:shd w:val="clear" w:color="auto" w:fill="FFFFFF"/>
        </w:rPr>
        <w:t>(</w:t>
      </w:r>
      <w:r w:rsidR="00BC333B" w:rsidRPr="0057411B">
        <w:rPr>
          <w:color w:val="000000" w:themeColor="text1"/>
        </w:rPr>
        <w:t>turpmāk – SAM 5.4.2</w:t>
      </w:r>
      <w:r w:rsidR="00BC333B" w:rsidRPr="00BC13A3">
        <w:rPr>
          <w:color w:val="000000" w:themeColor="text1"/>
        </w:rPr>
        <w:t>.)</w:t>
      </w:r>
      <w:r w:rsidRPr="00BC13A3">
        <w:rPr>
          <w:iCs/>
          <w:color w:val="000000" w:themeColor="text1"/>
        </w:rPr>
        <w:t xml:space="preserve"> 5.4.2.1. pasākuma, kas ir šī noteikumu projekta subjekts, ietvaros kā priekšnosacījums efektīviem investīciju ieguldījumiem tiks pilnveidota </w:t>
      </w:r>
      <w:r w:rsidRPr="00BC13A3">
        <w:rPr>
          <w:color w:val="000000" w:themeColor="text1"/>
        </w:rPr>
        <w:t xml:space="preserve">informatīvā bāze par sugu un biotopu izplatību, veicot ES nozīmes biotopu inventarizāciju un kartēšanu, apzinot biotopu aizņemtās platības un kvalitāti, kā arī </w:t>
      </w:r>
      <w:r w:rsidR="009F0490" w:rsidRPr="00BC13A3">
        <w:rPr>
          <w:color w:val="000000" w:themeColor="text1"/>
        </w:rPr>
        <w:t xml:space="preserve">veicot </w:t>
      </w:r>
      <w:r w:rsidR="008D7565" w:rsidRPr="00BC13A3">
        <w:rPr>
          <w:color w:val="000000" w:themeColor="text1"/>
        </w:rPr>
        <w:t xml:space="preserve">ĪADT </w:t>
      </w:r>
      <w:r w:rsidRPr="00BC13A3">
        <w:rPr>
          <w:color w:val="000000" w:themeColor="text1"/>
        </w:rPr>
        <w:t>dabas aizsardzības plānu un sugu aizsardzības plānu izstrādi, lai nodrošinātu nepieciešamo informāciju, pamatojumu un plānojumus turpmāko bioloģiskās</w:t>
      </w:r>
      <w:r w:rsidRPr="0020796E">
        <w:rPr>
          <w:color w:val="000000" w:themeColor="text1"/>
        </w:rPr>
        <w:t xml:space="preserve"> daudzveidības saglabāšanas pasākumu realizācijai</w:t>
      </w:r>
      <w:r w:rsidR="008D7565" w:rsidRPr="0020796E">
        <w:rPr>
          <w:color w:val="000000" w:themeColor="text1"/>
        </w:rPr>
        <w:t>.</w:t>
      </w:r>
    </w:p>
    <w:p w:rsidR="00B7762B" w:rsidRPr="0020796E" w:rsidRDefault="00B7762B" w:rsidP="0020796E">
      <w:pPr>
        <w:suppressAutoHyphens/>
        <w:autoSpaceDN w:val="0"/>
        <w:ind w:firstLine="709"/>
        <w:jc w:val="both"/>
        <w:textAlignment w:val="baseline"/>
        <w:rPr>
          <w:b/>
          <w:color w:val="000000" w:themeColor="text1"/>
        </w:rPr>
      </w:pPr>
      <w:r w:rsidRPr="0020796E">
        <w:rPr>
          <w:rFonts w:ascii="Times New Roman Bold" w:hAnsi="Times New Roman Bold"/>
          <w:b/>
          <w:caps/>
          <w:color w:val="000000" w:themeColor="text1"/>
          <w:u w:val="single"/>
        </w:rPr>
        <w:t>2.posms (</w:t>
      </w:r>
      <w:r w:rsidRPr="00A01E53">
        <w:rPr>
          <w:rFonts w:ascii="Times New Roman Bold" w:hAnsi="Times New Roman Bold"/>
          <w:b/>
          <w:color w:val="000000" w:themeColor="text1"/>
          <w:u w:val="single"/>
        </w:rPr>
        <w:t>praktiskās investīcijas</w:t>
      </w:r>
      <w:r w:rsidRPr="0020796E">
        <w:rPr>
          <w:rFonts w:ascii="Times New Roman Bold" w:hAnsi="Times New Roman Bold"/>
          <w:b/>
          <w:caps/>
          <w:color w:val="000000" w:themeColor="text1"/>
          <w:u w:val="single"/>
        </w:rPr>
        <w:t>)</w:t>
      </w:r>
      <w:r w:rsidRPr="0020796E">
        <w:rPr>
          <w:b/>
          <w:color w:val="000000" w:themeColor="text1"/>
        </w:rPr>
        <w:t xml:space="preserve"> - īpaši aizsargājamo sugu populāciju un/vai īpaši aizsargājamo biotopu atjaunošana un antropogēno slodzi mazinošas infrastruktūras izveide, t.sk., esošās infrastruktūras rekonstrukcija </w:t>
      </w:r>
      <w:r w:rsidRPr="006513E5">
        <w:rPr>
          <w:b/>
          <w:i/>
          <w:color w:val="000000" w:themeColor="text1"/>
        </w:rPr>
        <w:t>Natura 2000</w:t>
      </w:r>
      <w:r w:rsidRPr="0020796E">
        <w:rPr>
          <w:b/>
          <w:color w:val="000000" w:themeColor="text1"/>
        </w:rPr>
        <w:t xml:space="preserve"> teritorijās un to funkcionālajās teritorijās</w:t>
      </w:r>
      <w:r w:rsidR="00BC333B">
        <w:rPr>
          <w:b/>
          <w:color w:val="000000" w:themeColor="text1"/>
        </w:rPr>
        <w:t>.</w:t>
      </w:r>
    </w:p>
    <w:p w:rsidR="00B7762B" w:rsidRPr="001375EE" w:rsidRDefault="0085280D" w:rsidP="0020796E">
      <w:pPr>
        <w:suppressAutoHyphens/>
        <w:autoSpaceDN w:val="0"/>
        <w:ind w:firstLine="709"/>
        <w:jc w:val="both"/>
        <w:textAlignment w:val="baseline"/>
        <w:rPr>
          <w:color w:val="000000" w:themeColor="text1"/>
        </w:rPr>
      </w:pPr>
      <w:r w:rsidRPr="0020796E">
        <w:rPr>
          <w:iCs/>
          <w:color w:val="000000" w:themeColor="text1"/>
        </w:rPr>
        <w:t>T</w:t>
      </w:r>
      <w:r w:rsidR="00B7762B" w:rsidRPr="0020796E">
        <w:rPr>
          <w:iCs/>
          <w:color w:val="000000" w:themeColor="text1"/>
        </w:rPr>
        <w:t xml:space="preserve">iks veikti praktiski pasākumi </w:t>
      </w:r>
      <w:r w:rsidR="00B7762B" w:rsidRPr="001375EE">
        <w:rPr>
          <w:iCs/>
          <w:color w:val="000000" w:themeColor="text1"/>
        </w:rPr>
        <w:t>ES nozīmes aizsargājamo biotopu atjaunošanai dabā</w:t>
      </w:r>
      <w:r w:rsidRPr="001375EE">
        <w:rPr>
          <w:iCs/>
          <w:color w:val="000000" w:themeColor="text1"/>
        </w:rPr>
        <w:t xml:space="preserve"> </w:t>
      </w:r>
      <w:r w:rsidRPr="001375EE">
        <w:rPr>
          <w:color w:val="000000" w:themeColor="text1"/>
        </w:rPr>
        <w:t xml:space="preserve">5.4.1. specifiskā atbalsta mērķa „Saglabāt un atjaunot bioloģisko daudzveidību un aizsargāt ekosistēmas” </w:t>
      </w:r>
      <w:r w:rsidRPr="001375EE">
        <w:rPr>
          <w:iCs/>
          <w:color w:val="000000" w:themeColor="text1"/>
        </w:rPr>
        <w:t>ietvaros</w:t>
      </w:r>
      <w:r w:rsidR="00B7762B" w:rsidRPr="001375EE">
        <w:rPr>
          <w:iCs/>
          <w:color w:val="000000" w:themeColor="text1"/>
        </w:rPr>
        <w:t xml:space="preserve">, kā arī </w:t>
      </w:r>
      <w:r w:rsidR="00B7762B" w:rsidRPr="001375EE">
        <w:rPr>
          <w:color w:val="000000" w:themeColor="text1"/>
        </w:rPr>
        <w:t xml:space="preserve">antropogēno (cilvēka radīto) slodzi mazinošas infrastruktūras izbūve un rekonstrukcija </w:t>
      </w:r>
      <w:r w:rsidR="00B7762B" w:rsidRPr="001375EE">
        <w:rPr>
          <w:i/>
          <w:color w:val="000000" w:themeColor="text1"/>
        </w:rPr>
        <w:t>Natura 2000</w:t>
      </w:r>
      <w:r w:rsidR="00B7762B" w:rsidRPr="001375EE">
        <w:rPr>
          <w:color w:val="000000" w:themeColor="text1"/>
        </w:rPr>
        <w:t xml:space="preserve"> teritorijās, lai mazinātu tūristu </w:t>
      </w:r>
      <w:r w:rsidR="00671834" w:rsidRPr="001375EE">
        <w:rPr>
          <w:color w:val="000000" w:themeColor="text1"/>
        </w:rPr>
        <w:t xml:space="preserve">plūsmas </w:t>
      </w:r>
      <w:r w:rsidR="00B7762B" w:rsidRPr="001375EE">
        <w:rPr>
          <w:color w:val="000000" w:themeColor="text1"/>
        </w:rPr>
        <w:t>negatīvo ietekmi uz apdraudētajām sugām un biotopiem, tādējādi līdzsvarojot sociāli ekonomiskās un dabas aizsardzības intereses:</w:t>
      </w:r>
    </w:p>
    <w:p w:rsidR="00B7762B" w:rsidRPr="001375EE" w:rsidRDefault="00B7762B" w:rsidP="0020796E">
      <w:pPr>
        <w:pStyle w:val="ListParagraph"/>
        <w:numPr>
          <w:ilvl w:val="1"/>
          <w:numId w:val="1"/>
        </w:numPr>
        <w:suppressAutoHyphens/>
        <w:autoSpaceDN w:val="0"/>
        <w:ind w:left="357" w:firstLine="709"/>
        <w:contextualSpacing w:val="0"/>
        <w:jc w:val="both"/>
        <w:textAlignment w:val="baseline"/>
        <w:rPr>
          <w:rFonts w:eastAsia="Calibri"/>
          <w:color w:val="000000" w:themeColor="text1"/>
          <w:sz w:val="24"/>
          <w:szCs w:val="24"/>
        </w:rPr>
      </w:pPr>
      <w:r w:rsidRPr="001375EE">
        <w:rPr>
          <w:rFonts w:eastAsia="Calibri"/>
          <w:color w:val="000000" w:themeColor="text1"/>
          <w:sz w:val="24"/>
          <w:szCs w:val="24"/>
        </w:rPr>
        <w:t xml:space="preserve">īpaši aizsargājamo sugu populāciju un/vai īpaši aizsargājamo biotopu atjaunošana – </w:t>
      </w:r>
      <w:r w:rsidR="0085280D" w:rsidRPr="001375EE">
        <w:rPr>
          <w:rFonts w:eastAsia="Calibri"/>
          <w:color w:val="000000" w:themeColor="text1"/>
          <w:sz w:val="24"/>
          <w:szCs w:val="24"/>
        </w:rPr>
        <w:t>sākot no</w:t>
      </w:r>
      <w:r w:rsidRPr="001375EE">
        <w:rPr>
          <w:rFonts w:eastAsia="Calibri"/>
          <w:color w:val="000000" w:themeColor="text1"/>
          <w:sz w:val="24"/>
          <w:szCs w:val="24"/>
        </w:rPr>
        <w:t xml:space="preserve"> 201</w:t>
      </w:r>
      <w:r w:rsidR="0085280D" w:rsidRPr="001375EE">
        <w:rPr>
          <w:rFonts w:eastAsia="Calibri"/>
          <w:color w:val="000000" w:themeColor="text1"/>
          <w:sz w:val="24"/>
          <w:szCs w:val="24"/>
        </w:rPr>
        <w:t>8</w:t>
      </w:r>
      <w:r w:rsidRPr="001375EE">
        <w:rPr>
          <w:rFonts w:eastAsia="Calibri"/>
          <w:color w:val="000000" w:themeColor="text1"/>
          <w:sz w:val="24"/>
          <w:szCs w:val="24"/>
        </w:rPr>
        <w:t xml:space="preserve">. gada atbilstoši </w:t>
      </w:r>
      <w:r w:rsidRPr="001375EE">
        <w:rPr>
          <w:rFonts w:eastAsia="Calibri"/>
          <w:sz w:val="24"/>
          <w:szCs w:val="24"/>
        </w:rPr>
        <w:t>izstrādātajai</w:t>
      </w:r>
      <w:r w:rsidR="0020796E" w:rsidRPr="001375EE">
        <w:rPr>
          <w:rFonts w:eastAsia="Calibri"/>
          <w:sz w:val="24"/>
          <w:szCs w:val="24"/>
        </w:rPr>
        <w:t xml:space="preserve"> </w:t>
      </w:r>
      <w:r w:rsidRPr="001375EE">
        <w:rPr>
          <w:rFonts w:eastAsia="Calibri"/>
          <w:i/>
          <w:sz w:val="24"/>
          <w:szCs w:val="24"/>
        </w:rPr>
        <w:t>Natura 2000</w:t>
      </w:r>
      <w:r w:rsidRPr="001375EE">
        <w:rPr>
          <w:rFonts w:eastAsia="Calibri"/>
          <w:sz w:val="24"/>
          <w:szCs w:val="24"/>
        </w:rPr>
        <w:t xml:space="preserve"> teritoriju </w:t>
      </w:r>
      <w:r w:rsidRPr="001375EE">
        <w:rPr>
          <w:rFonts w:eastAsia="Calibri"/>
          <w:color w:val="000000" w:themeColor="text1"/>
          <w:sz w:val="24"/>
          <w:szCs w:val="24"/>
        </w:rPr>
        <w:t xml:space="preserve">aizsardzības un apsaimniekošanas nacionālajai programmai. Sugu/biotopu atjaunošanas prioritātes tiks noteiktas DAP ieviestā LIFE+ projektā </w:t>
      </w:r>
      <w:r w:rsidRPr="001375EE">
        <w:rPr>
          <w:color w:val="000000" w:themeColor="text1"/>
          <w:sz w:val="24"/>
          <w:szCs w:val="24"/>
        </w:rPr>
        <w:t xml:space="preserve">LIFE11 NAT/LV/000371 - </w:t>
      </w:r>
      <w:r w:rsidRPr="001375EE">
        <w:rPr>
          <w:rStyle w:val="Strong"/>
          <w:b w:val="0"/>
          <w:color w:val="000000" w:themeColor="text1"/>
          <w:sz w:val="24"/>
          <w:szCs w:val="24"/>
        </w:rPr>
        <w:t>NAT-PROGRAMME</w:t>
      </w:r>
      <w:r w:rsidRPr="001375EE">
        <w:rPr>
          <w:rStyle w:val="Strong"/>
          <w:color w:val="000000" w:themeColor="text1"/>
          <w:sz w:val="24"/>
          <w:szCs w:val="24"/>
        </w:rPr>
        <w:t xml:space="preserve"> „</w:t>
      </w:r>
      <w:r w:rsidRPr="001375EE">
        <w:rPr>
          <w:i/>
          <w:color w:val="000000" w:themeColor="text1"/>
          <w:sz w:val="24"/>
          <w:szCs w:val="24"/>
        </w:rPr>
        <w:t>Natura 2000</w:t>
      </w:r>
      <w:r w:rsidRPr="001375EE">
        <w:rPr>
          <w:color w:val="000000" w:themeColor="text1"/>
          <w:sz w:val="24"/>
          <w:szCs w:val="24"/>
        </w:rPr>
        <w:t xml:space="preserve"> teritoriju nacionālā aizsardzības un apsaimniekošanas programma” ietvaros. </w:t>
      </w:r>
      <w:r w:rsidR="0085280D" w:rsidRPr="001375EE">
        <w:rPr>
          <w:color w:val="000000" w:themeColor="text1"/>
          <w:sz w:val="24"/>
          <w:szCs w:val="24"/>
        </w:rPr>
        <w:t>Savukārt, lai noteiktu teritorijas, kur primāri nepieciešams veikt aizsargājamo biotopu atjaunošanas darbības, tiks</w:t>
      </w:r>
      <w:r w:rsidRPr="001375EE">
        <w:rPr>
          <w:color w:val="000000" w:themeColor="text1"/>
          <w:sz w:val="24"/>
          <w:szCs w:val="24"/>
        </w:rPr>
        <w:t xml:space="preserve"> izmanto</w:t>
      </w:r>
      <w:r w:rsidR="0085280D" w:rsidRPr="001375EE">
        <w:rPr>
          <w:color w:val="000000" w:themeColor="text1"/>
          <w:sz w:val="24"/>
          <w:szCs w:val="24"/>
        </w:rPr>
        <w:t>ti</w:t>
      </w:r>
      <w:r w:rsidRPr="001375EE">
        <w:rPr>
          <w:color w:val="000000" w:themeColor="text1"/>
          <w:sz w:val="24"/>
          <w:szCs w:val="24"/>
        </w:rPr>
        <w:t xml:space="preserve"> šā 5.4.2.1.</w:t>
      </w:r>
      <w:r w:rsidR="0040413D" w:rsidRPr="001375EE">
        <w:rPr>
          <w:color w:val="000000" w:themeColor="text1"/>
          <w:sz w:val="24"/>
          <w:szCs w:val="24"/>
        </w:rPr>
        <w:t xml:space="preserve"> </w:t>
      </w:r>
      <w:r w:rsidRPr="001375EE">
        <w:rPr>
          <w:color w:val="000000" w:themeColor="text1"/>
          <w:sz w:val="24"/>
          <w:szCs w:val="24"/>
        </w:rPr>
        <w:t>pasākuma ietvaros izstrādātie dabas aizsardzības plāni un ES nozīmes īpaši aizsargājamo biotopu kartējums (kvalitatīvie rādītāji)</w:t>
      </w:r>
      <w:r w:rsidR="0085280D" w:rsidRPr="001375EE">
        <w:rPr>
          <w:color w:val="000000" w:themeColor="text1"/>
          <w:sz w:val="24"/>
          <w:szCs w:val="24"/>
        </w:rPr>
        <w:t>.</w:t>
      </w:r>
    </w:p>
    <w:p w:rsidR="00B7762B" w:rsidRPr="0057411B" w:rsidRDefault="00B7762B" w:rsidP="0020796E">
      <w:pPr>
        <w:pStyle w:val="ListParagraph"/>
        <w:numPr>
          <w:ilvl w:val="1"/>
          <w:numId w:val="1"/>
        </w:numPr>
        <w:suppressAutoHyphens/>
        <w:autoSpaceDN w:val="0"/>
        <w:ind w:left="356" w:firstLine="709"/>
        <w:jc w:val="both"/>
        <w:textAlignment w:val="baseline"/>
        <w:rPr>
          <w:rFonts w:eastAsia="Calibri"/>
          <w:color w:val="000000" w:themeColor="text1"/>
          <w:sz w:val="24"/>
          <w:szCs w:val="24"/>
        </w:rPr>
      </w:pPr>
      <w:r w:rsidRPr="001375EE">
        <w:rPr>
          <w:rFonts w:eastAsia="Calibri"/>
          <w:color w:val="000000" w:themeColor="text1"/>
          <w:sz w:val="24"/>
          <w:szCs w:val="24"/>
        </w:rPr>
        <w:t xml:space="preserve">antropogēno slodzi mazinošas infrastruktūras izveide un esošās infrastruktūras rekonstrukcija </w:t>
      </w:r>
      <w:r w:rsidRPr="001375EE">
        <w:rPr>
          <w:rFonts w:eastAsia="Calibri"/>
          <w:i/>
          <w:color w:val="000000" w:themeColor="text1"/>
          <w:sz w:val="24"/>
          <w:szCs w:val="24"/>
        </w:rPr>
        <w:t>Natura 2000</w:t>
      </w:r>
      <w:r w:rsidRPr="001375EE">
        <w:rPr>
          <w:rFonts w:eastAsia="Calibri"/>
          <w:color w:val="000000" w:themeColor="text1"/>
          <w:sz w:val="24"/>
          <w:szCs w:val="24"/>
        </w:rPr>
        <w:t xml:space="preserve"> teritorijās un to funkcionālajās teritorijās. Infrastruktūra tiks veidota</w:t>
      </w:r>
      <w:r w:rsidR="0057411B" w:rsidRPr="001375EE">
        <w:rPr>
          <w:rFonts w:eastAsia="Calibri"/>
          <w:color w:val="000000" w:themeColor="text1"/>
          <w:sz w:val="24"/>
          <w:szCs w:val="24"/>
        </w:rPr>
        <w:t xml:space="preserve"> </w:t>
      </w:r>
      <w:r w:rsidRPr="001375EE">
        <w:rPr>
          <w:rFonts w:eastAsia="Calibri"/>
          <w:color w:val="000000" w:themeColor="text1"/>
          <w:sz w:val="24"/>
          <w:szCs w:val="24"/>
        </w:rPr>
        <w:t>tikai ĪADT ar spēkā esošu dabas aizsardzības plānu (</w:t>
      </w:r>
      <w:r w:rsidRPr="001375EE">
        <w:rPr>
          <w:rFonts w:eastAsia="Calibri"/>
          <w:bCs/>
          <w:color w:val="000000" w:themeColor="text1"/>
          <w:sz w:val="24"/>
          <w:szCs w:val="24"/>
        </w:rPr>
        <w:t>jau šobrīd</w:t>
      </w:r>
      <w:r w:rsidRPr="0057411B">
        <w:rPr>
          <w:rFonts w:eastAsia="Calibri"/>
          <w:bCs/>
          <w:color w:val="000000" w:themeColor="text1"/>
          <w:sz w:val="24"/>
          <w:szCs w:val="24"/>
        </w:rPr>
        <w:t xml:space="preserve"> 30% ĪADT ir izstrādāti dabas aizsardzības plāni, saskaņā ar kuriem potenciāli būs iespējams rīkot SAM 5.4.1. </w:t>
      </w:r>
      <w:r w:rsidR="00082319" w:rsidRPr="0057411B">
        <w:rPr>
          <w:rFonts w:eastAsia="Calibri"/>
          <w:bCs/>
          <w:color w:val="000000" w:themeColor="text1"/>
          <w:sz w:val="24"/>
          <w:szCs w:val="24"/>
        </w:rPr>
        <w:t xml:space="preserve">projektu atlases </w:t>
      </w:r>
      <w:r w:rsidRPr="0057411B">
        <w:rPr>
          <w:rFonts w:eastAsia="Calibri"/>
          <w:bCs/>
          <w:color w:val="000000" w:themeColor="text1"/>
          <w:sz w:val="24"/>
          <w:szCs w:val="24"/>
        </w:rPr>
        <w:t>konkursu pašvaldībām infrastruktūras izveidošanai</w:t>
      </w:r>
      <w:r w:rsidRPr="0057411B">
        <w:rPr>
          <w:rFonts w:eastAsia="Calibri"/>
          <w:color w:val="000000" w:themeColor="text1"/>
          <w:sz w:val="24"/>
          <w:szCs w:val="24"/>
        </w:rPr>
        <w:t>)</w:t>
      </w:r>
      <w:r w:rsidR="0057411B">
        <w:rPr>
          <w:rFonts w:eastAsia="Calibri"/>
          <w:color w:val="000000" w:themeColor="text1"/>
          <w:sz w:val="24"/>
          <w:szCs w:val="24"/>
        </w:rPr>
        <w:t>, kā arī</w:t>
      </w:r>
      <w:r w:rsidRPr="0057411B">
        <w:rPr>
          <w:rFonts w:eastAsia="Calibri"/>
          <w:color w:val="000000" w:themeColor="text1"/>
          <w:sz w:val="24"/>
          <w:szCs w:val="24"/>
        </w:rPr>
        <w:t xml:space="preserve"> izvērtējot izveidojamās infrastruktūras ekonomisko pienesumu pašvaldību attīstībai. </w:t>
      </w:r>
    </w:p>
    <w:p w:rsidR="00B7762B" w:rsidRPr="0057411B" w:rsidRDefault="00B7762B" w:rsidP="0020796E">
      <w:pPr>
        <w:pStyle w:val="Default"/>
        <w:ind w:firstLine="709"/>
        <w:jc w:val="both"/>
        <w:rPr>
          <w:rFonts w:eastAsia="Times New Roman"/>
          <w:color w:val="000000" w:themeColor="text1"/>
          <w:lang w:val="lv-LV"/>
        </w:rPr>
      </w:pPr>
      <w:r w:rsidRPr="00732940">
        <w:rPr>
          <w:rFonts w:eastAsia="Times New Roman"/>
          <w:color w:val="000000" w:themeColor="text1"/>
          <w:lang w:val="lv-LV"/>
        </w:rPr>
        <w:t>Papildus, lai sniegtu pilnīg</w:t>
      </w:r>
      <w:r w:rsidR="008E5B80" w:rsidRPr="00732940">
        <w:rPr>
          <w:rFonts w:eastAsia="Times New Roman"/>
          <w:color w:val="000000" w:themeColor="text1"/>
          <w:lang w:val="lv-LV"/>
        </w:rPr>
        <w:t>āku</w:t>
      </w:r>
      <w:r w:rsidRPr="00732940">
        <w:rPr>
          <w:rFonts w:eastAsia="Times New Roman"/>
          <w:color w:val="000000" w:themeColor="text1"/>
          <w:lang w:val="lv-LV"/>
        </w:rPr>
        <w:t xml:space="preserve"> izpratni par </w:t>
      </w:r>
      <w:r w:rsidR="00936F79" w:rsidRPr="0057411B">
        <w:rPr>
          <w:color w:val="000000" w:themeColor="text1"/>
          <w:lang w:val="lv-LV"/>
        </w:rPr>
        <w:t>SAM</w:t>
      </w:r>
      <w:r w:rsidRPr="0057411B">
        <w:rPr>
          <w:color w:val="000000" w:themeColor="text1"/>
          <w:lang w:val="lv-LV"/>
        </w:rPr>
        <w:t xml:space="preserve"> 5.4.2., zemāk sniegta izvērsta informācija par </w:t>
      </w:r>
      <w:r w:rsidR="00936F79">
        <w:rPr>
          <w:color w:val="000000" w:themeColor="text1"/>
          <w:lang w:val="lv-LV"/>
        </w:rPr>
        <w:t xml:space="preserve">SAM </w:t>
      </w:r>
      <w:r w:rsidRPr="0057411B">
        <w:rPr>
          <w:color w:val="000000" w:themeColor="text1"/>
          <w:lang w:val="lv-LV"/>
        </w:rPr>
        <w:t xml:space="preserve">5.4.2. ietvaros plānoto otru pasākumu, t.i., 5.4.2.2. </w:t>
      </w:r>
      <w:r w:rsidRPr="00BC13A3">
        <w:rPr>
          <w:color w:val="000000" w:themeColor="text1"/>
          <w:lang w:val="lv-LV"/>
        </w:rPr>
        <w:t xml:space="preserve">pasākuma „Vides monitoringa un kontroles sistēmas attīstība savlaicīgai vides risku novēršanai un sabiedrības līdzdalības veicināšana vides pārvaldībā” </w:t>
      </w:r>
      <w:r w:rsidR="00936F79" w:rsidRPr="00BC13A3">
        <w:rPr>
          <w:color w:val="000000" w:themeColor="text1"/>
          <w:lang w:val="lv-LV"/>
        </w:rPr>
        <w:t xml:space="preserve">(turpmāk – 5.4.2.2. pasākums) </w:t>
      </w:r>
      <w:r w:rsidRPr="00BC13A3">
        <w:rPr>
          <w:color w:val="000000" w:themeColor="text1"/>
          <w:lang w:val="lv-LV"/>
        </w:rPr>
        <w:t>un tā sasaisti ar 5.4.2.1. pasākumu</w:t>
      </w:r>
      <w:r w:rsidR="00487EDD" w:rsidRPr="0057411B">
        <w:rPr>
          <w:color w:val="000000" w:themeColor="text1"/>
          <w:lang w:val="lv-LV"/>
        </w:rPr>
        <w:t>, kā arī koordinācija ar specifisko atbalsta mērķi 5.5.1. „Saglabāt, aizsargāt un attīstīt nozīmīgu kultūras un dabas mantojumu, kā arī attīstīt ar to saistītos pakalpojumus” (turpmāk – SAM 5.5.1)</w:t>
      </w:r>
      <w:r w:rsidRPr="0057411B">
        <w:rPr>
          <w:color w:val="000000" w:themeColor="text1"/>
          <w:lang w:val="lv-LV"/>
        </w:rPr>
        <w:t>.</w:t>
      </w:r>
    </w:p>
    <w:p w:rsidR="00B7762B" w:rsidRPr="0057411B" w:rsidRDefault="00B7762B" w:rsidP="0020796E">
      <w:pPr>
        <w:widowControl w:val="0"/>
        <w:tabs>
          <w:tab w:val="left" w:pos="501"/>
        </w:tabs>
        <w:autoSpaceDE w:val="0"/>
        <w:autoSpaceDN w:val="0"/>
        <w:adjustRightInd w:val="0"/>
        <w:ind w:firstLine="709"/>
        <w:jc w:val="both"/>
        <w:rPr>
          <w:color w:val="000000" w:themeColor="text1"/>
        </w:rPr>
      </w:pPr>
      <w:r w:rsidRPr="0057411B">
        <w:rPr>
          <w:color w:val="000000" w:themeColor="text1"/>
        </w:rPr>
        <w:t xml:space="preserve">5.4.2.2. pasākuma ietvaros paredzēts pilnveidot vides monitoringa un kontroles sistēmu, t.sk., bioloģiskās daudzveidības monitoringa sistēmu ņemot vērā arī 5.4.2.1. pasākuma rezultātā iegūtos datus (tehniskā nodrošinājuma iegāde, </w:t>
      </w:r>
      <w:r w:rsidR="00E479B9" w:rsidRPr="0057411B">
        <w:rPr>
          <w:color w:val="000000" w:themeColor="text1"/>
        </w:rPr>
        <w:t>infrastruktūras attīstība utt.)</w:t>
      </w:r>
      <w:r w:rsidRPr="0057411B">
        <w:rPr>
          <w:color w:val="000000" w:themeColor="text1"/>
        </w:rPr>
        <w:t xml:space="preserve">. </w:t>
      </w:r>
      <w:r w:rsidR="00E479B9" w:rsidRPr="0057411B">
        <w:rPr>
          <w:color w:val="000000" w:themeColor="text1"/>
        </w:rPr>
        <w:t>Realizējot 5.4.2.2. pasākumu</w:t>
      </w:r>
      <w:r w:rsidR="00BC333B">
        <w:rPr>
          <w:color w:val="000000" w:themeColor="text1"/>
        </w:rPr>
        <w:t>,</w:t>
      </w:r>
      <w:r w:rsidR="00E479B9" w:rsidRPr="0057411B">
        <w:rPr>
          <w:color w:val="000000" w:themeColor="text1"/>
        </w:rPr>
        <w:t xml:space="preserve"> tiks veicināta precīzas informācijas par vides stāvokli iegūšana, kas ļaus arī precīzāk noteikt iemeslus ekosistēmu izmaiņām</w:t>
      </w:r>
      <w:r w:rsidR="00C6404B" w:rsidRPr="0057411B">
        <w:rPr>
          <w:color w:val="000000" w:themeColor="text1"/>
        </w:rPr>
        <w:t>.</w:t>
      </w:r>
      <w:r w:rsidR="00E479B9" w:rsidRPr="0057411B">
        <w:rPr>
          <w:color w:val="000000" w:themeColor="text1"/>
        </w:rPr>
        <w:t xml:space="preserve"> </w:t>
      </w:r>
      <w:r w:rsidRPr="0057411B">
        <w:rPr>
          <w:color w:val="000000" w:themeColor="text1"/>
        </w:rPr>
        <w:t>Papildus 5.4.2.2. pasākuma ietvaros paredzēts veikt nacionālas nozīmes vides informācijas un izglītības centru pilnveidošanu, lai nodrošinātu nepieciešamo infrastruktūru informācijas pieejamībai un veicinātu sabiedrības līdzdalību un informētību.</w:t>
      </w:r>
    </w:p>
    <w:p w:rsidR="00B7762B" w:rsidRPr="0057411B" w:rsidRDefault="00B7762B" w:rsidP="0058538D">
      <w:pPr>
        <w:pStyle w:val="PlainText"/>
        <w:ind w:firstLine="709"/>
        <w:jc w:val="both"/>
        <w:rPr>
          <w:rFonts w:ascii="Times New Roman" w:hAnsi="Times New Roman"/>
          <w:color w:val="000000" w:themeColor="text1"/>
          <w:sz w:val="24"/>
          <w:szCs w:val="24"/>
          <w:lang w:val="lv-LV"/>
        </w:rPr>
      </w:pPr>
      <w:r w:rsidRPr="0057411B">
        <w:rPr>
          <w:rFonts w:ascii="Times New Roman" w:hAnsi="Times New Roman"/>
          <w:color w:val="000000" w:themeColor="text1"/>
          <w:sz w:val="24"/>
          <w:szCs w:val="24"/>
          <w:lang w:val="lv-LV"/>
        </w:rPr>
        <w:t>5.4.2.1. pasākuma projektu atlasi ir plānots izsludināt 201</w:t>
      </w:r>
      <w:r w:rsidR="00082319" w:rsidRPr="0057411B">
        <w:rPr>
          <w:rFonts w:ascii="Times New Roman" w:hAnsi="Times New Roman"/>
          <w:color w:val="000000" w:themeColor="text1"/>
          <w:sz w:val="24"/>
          <w:szCs w:val="24"/>
          <w:lang w:val="lv-LV"/>
        </w:rPr>
        <w:t>6</w:t>
      </w:r>
      <w:r w:rsidR="0040413D">
        <w:rPr>
          <w:rFonts w:ascii="Times New Roman" w:hAnsi="Times New Roman"/>
          <w:color w:val="000000" w:themeColor="text1"/>
          <w:sz w:val="24"/>
          <w:szCs w:val="24"/>
          <w:lang w:val="lv-LV"/>
        </w:rPr>
        <w:t>.</w:t>
      </w:r>
      <w:r w:rsidRPr="0057411B">
        <w:rPr>
          <w:rFonts w:ascii="Times New Roman" w:hAnsi="Times New Roman"/>
          <w:color w:val="000000" w:themeColor="text1"/>
          <w:sz w:val="24"/>
          <w:szCs w:val="24"/>
          <w:lang w:val="lv-LV"/>
        </w:rPr>
        <w:t xml:space="preserve">gada I ceturksnī. Savukārt 5.4.2.2. pasākuma kritēriju komplekta iesniegšana Uzraudzības komitejas apakškomitejā </w:t>
      </w:r>
      <w:r w:rsidR="00082319" w:rsidRPr="0057411B">
        <w:rPr>
          <w:rFonts w:ascii="Times New Roman" w:hAnsi="Times New Roman"/>
          <w:color w:val="000000" w:themeColor="text1"/>
          <w:sz w:val="24"/>
          <w:szCs w:val="24"/>
          <w:lang w:val="lv-LV"/>
        </w:rPr>
        <w:t xml:space="preserve">indikatīvi </w:t>
      </w:r>
      <w:r w:rsidRPr="0057411B">
        <w:rPr>
          <w:rFonts w:ascii="Times New Roman" w:hAnsi="Times New Roman"/>
          <w:color w:val="000000" w:themeColor="text1"/>
          <w:sz w:val="24"/>
          <w:szCs w:val="24"/>
          <w:lang w:val="lv-LV"/>
        </w:rPr>
        <w:t>paredzēta 201</w:t>
      </w:r>
      <w:r w:rsidR="00082319" w:rsidRPr="0057411B">
        <w:rPr>
          <w:rFonts w:ascii="Times New Roman" w:hAnsi="Times New Roman"/>
          <w:color w:val="000000" w:themeColor="text1"/>
          <w:sz w:val="24"/>
          <w:szCs w:val="24"/>
          <w:lang w:val="lv-LV"/>
        </w:rPr>
        <w:t>6</w:t>
      </w:r>
      <w:r w:rsidRPr="0057411B">
        <w:rPr>
          <w:rFonts w:ascii="Times New Roman" w:hAnsi="Times New Roman"/>
          <w:color w:val="000000" w:themeColor="text1"/>
          <w:sz w:val="24"/>
          <w:szCs w:val="24"/>
          <w:lang w:val="lv-LV"/>
        </w:rPr>
        <w:t>.gada II ceturksnī, MK noteikumu izsludināšana Valsts sekretāru sanāksmē – 201</w:t>
      </w:r>
      <w:r w:rsidR="00082319" w:rsidRPr="0057411B">
        <w:rPr>
          <w:rFonts w:ascii="Times New Roman" w:hAnsi="Times New Roman"/>
          <w:color w:val="000000" w:themeColor="text1"/>
          <w:sz w:val="24"/>
          <w:szCs w:val="24"/>
          <w:lang w:val="lv-LV"/>
        </w:rPr>
        <w:t>6</w:t>
      </w:r>
      <w:r w:rsidRPr="0057411B">
        <w:rPr>
          <w:rFonts w:ascii="Times New Roman" w:hAnsi="Times New Roman"/>
          <w:color w:val="000000" w:themeColor="text1"/>
          <w:sz w:val="24"/>
          <w:szCs w:val="24"/>
          <w:lang w:val="lv-LV"/>
        </w:rPr>
        <w:t>.gada III ceturksnī, bet projektu atlases uzsākšana – 201</w:t>
      </w:r>
      <w:r w:rsidR="00082319" w:rsidRPr="0057411B">
        <w:rPr>
          <w:rFonts w:ascii="Times New Roman" w:hAnsi="Times New Roman"/>
          <w:color w:val="000000" w:themeColor="text1"/>
          <w:sz w:val="24"/>
          <w:szCs w:val="24"/>
          <w:lang w:val="lv-LV"/>
        </w:rPr>
        <w:t>6</w:t>
      </w:r>
      <w:r w:rsidRPr="0057411B">
        <w:rPr>
          <w:rFonts w:ascii="Times New Roman" w:hAnsi="Times New Roman"/>
          <w:color w:val="000000" w:themeColor="text1"/>
          <w:sz w:val="24"/>
          <w:szCs w:val="24"/>
          <w:lang w:val="lv-LV"/>
        </w:rPr>
        <w:t xml:space="preserve">.gada IV ceturksnī.  </w:t>
      </w:r>
    </w:p>
    <w:p w:rsidR="00487EDD" w:rsidRPr="00732940" w:rsidRDefault="00487EDD" w:rsidP="0058538D">
      <w:pPr>
        <w:ind w:firstLine="709"/>
        <w:jc w:val="both"/>
        <w:rPr>
          <w:color w:val="000000" w:themeColor="text1"/>
        </w:rPr>
      </w:pPr>
      <w:r w:rsidRPr="0057411B">
        <w:rPr>
          <w:color w:val="000000" w:themeColor="text1"/>
        </w:rPr>
        <w:t>5.4.2.1. pasākuma ietvaros veicamās darbības un attiecināmās izmaksas nepārklājas ar SAM 5.5.1. un tiešā veidā 5.4.2.1.</w:t>
      </w:r>
      <w:r w:rsidR="0040413D">
        <w:rPr>
          <w:color w:val="000000" w:themeColor="text1"/>
        </w:rPr>
        <w:t xml:space="preserve"> </w:t>
      </w:r>
      <w:r w:rsidR="0090080F" w:rsidRPr="0057411B">
        <w:rPr>
          <w:color w:val="000000" w:themeColor="text1"/>
        </w:rPr>
        <w:t xml:space="preserve">pasākums </w:t>
      </w:r>
      <w:r w:rsidRPr="0057411B">
        <w:rPr>
          <w:color w:val="000000" w:themeColor="text1"/>
        </w:rPr>
        <w:t>n</w:t>
      </w:r>
      <w:r w:rsidR="0090080F" w:rsidRPr="0057411B">
        <w:rPr>
          <w:color w:val="000000" w:themeColor="text1"/>
        </w:rPr>
        <w:t xml:space="preserve">eietekmēs SAM 5.5.1. īstenošanu. </w:t>
      </w:r>
      <w:r w:rsidR="004E0C88" w:rsidRPr="0057411B">
        <w:rPr>
          <w:color w:val="000000" w:themeColor="text1"/>
        </w:rPr>
        <w:t xml:space="preserve">Ja </w:t>
      </w:r>
      <w:r w:rsidRPr="0057411B">
        <w:rPr>
          <w:color w:val="000000" w:themeColor="text1"/>
        </w:rPr>
        <w:t>SAM 5.5.1.</w:t>
      </w:r>
      <w:r w:rsidR="0090080F" w:rsidRPr="0057411B">
        <w:rPr>
          <w:color w:val="000000" w:themeColor="text1"/>
        </w:rPr>
        <w:t xml:space="preserve"> ietvaros </w:t>
      </w:r>
      <w:r w:rsidR="004E0C88" w:rsidRPr="0057411B">
        <w:rPr>
          <w:color w:val="000000" w:themeColor="text1"/>
        </w:rPr>
        <w:t>tiks</w:t>
      </w:r>
      <w:r w:rsidR="0090080F" w:rsidRPr="0057411B">
        <w:rPr>
          <w:color w:val="000000" w:themeColor="text1"/>
        </w:rPr>
        <w:t xml:space="preserve"> veiktas darbības</w:t>
      </w:r>
      <w:r w:rsidRPr="0057411B">
        <w:rPr>
          <w:color w:val="000000" w:themeColor="text1"/>
        </w:rPr>
        <w:t xml:space="preserve"> </w:t>
      </w:r>
      <w:r w:rsidR="0090080F" w:rsidRPr="0057411B">
        <w:rPr>
          <w:color w:val="000000" w:themeColor="text1"/>
        </w:rPr>
        <w:t>ĪADT</w:t>
      </w:r>
      <w:r w:rsidR="004E0C88" w:rsidRPr="0057411B">
        <w:rPr>
          <w:color w:val="000000" w:themeColor="text1"/>
        </w:rPr>
        <w:t xml:space="preserve">, tad </w:t>
      </w:r>
      <w:r w:rsidR="0090080F" w:rsidRPr="0057411B">
        <w:rPr>
          <w:color w:val="000000" w:themeColor="text1"/>
        </w:rPr>
        <w:t>tās</w:t>
      </w:r>
      <w:r w:rsidRPr="0057411B">
        <w:rPr>
          <w:color w:val="000000" w:themeColor="text1"/>
        </w:rPr>
        <w:t xml:space="preserve"> ir jāveic saskaņā ar </w:t>
      </w:r>
      <w:r w:rsidR="004E0C88" w:rsidRPr="0057411B">
        <w:rPr>
          <w:color w:val="000000" w:themeColor="text1"/>
        </w:rPr>
        <w:t xml:space="preserve">izstrādātajiem </w:t>
      </w:r>
      <w:r w:rsidRPr="0057411B">
        <w:rPr>
          <w:color w:val="000000" w:themeColor="text1"/>
        </w:rPr>
        <w:t>dabas aizsardzības plāniem</w:t>
      </w:r>
      <w:r w:rsidR="0090080F" w:rsidRPr="0057411B">
        <w:rPr>
          <w:color w:val="000000" w:themeColor="text1"/>
        </w:rPr>
        <w:t>.</w:t>
      </w:r>
      <w:r w:rsidR="004E0C88" w:rsidRPr="0057411B">
        <w:rPr>
          <w:color w:val="000000" w:themeColor="text1"/>
        </w:rPr>
        <w:t xml:space="preserve"> Savukārt, g</w:t>
      </w:r>
      <w:r w:rsidRPr="0057411B">
        <w:rPr>
          <w:color w:val="000000" w:themeColor="text1"/>
        </w:rPr>
        <w:t xml:space="preserve">adījumos, kad dabas aizsardzības plāni nav izstrādāti un apstiprināti, pirms investīciju </w:t>
      </w:r>
      <w:r w:rsidR="004E0C88" w:rsidRPr="0057411B">
        <w:rPr>
          <w:color w:val="000000" w:themeColor="text1"/>
        </w:rPr>
        <w:t>uzsākšanas</w:t>
      </w:r>
      <w:r w:rsidR="0090080F" w:rsidRPr="0057411B">
        <w:rPr>
          <w:color w:val="000000" w:themeColor="text1"/>
        </w:rPr>
        <w:t xml:space="preserve"> ir jāveic</w:t>
      </w:r>
      <w:r w:rsidRPr="0057411B">
        <w:rPr>
          <w:color w:val="000000" w:themeColor="text1"/>
        </w:rPr>
        <w:t xml:space="preserve"> </w:t>
      </w:r>
      <w:r w:rsidR="0090080F" w:rsidRPr="0057411B">
        <w:rPr>
          <w:color w:val="000000" w:themeColor="text1"/>
        </w:rPr>
        <w:t xml:space="preserve">procedūras, kas noteiktas likumā </w:t>
      </w:r>
      <w:r w:rsidR="004E0C88" w:rsidRPr="0057411B">
        <w:rPr>
          <w:color w:val="000000" w:themeColor="text1"/>
        </w:rPr>
        <w:t>„</w:t>
      </w:r>
      <w:r w:rsidR="0090080F" w:rsidRPr="0057411B">
        <w:rPr>
          <w:color w:val="000000" w:themeColor="text1"/>
        </w:rPr>
        <w:t>Par ietekmes uz vidi novērtējumu</w:t>
      </w:r>
      <w:r w:rsidR="004E0C88" w:rsidRPr="0057411B">
        <w:rPr>
          <w:color w:val="000000" w:themeColor="text1"/>
        </w:rPr>
        <w:t>”</w:t>
      </w:r>
      <w:r w:rsidR="0090080F" w:rsidRPr="0057411B">
        <w:rPr>
          <w:color w:val="000000" w:themeColor="text1"/>
        </w:rPr>
        <w:t xml:space="preserve"> un </w:t>
      </w:r>
      <w:r w:rsidR="0090080F" w:rsidRPr="00732940">
        <w:rPr>
          <w:color w:val="000000" w:themeColor="text1"/>
        </w:rPr>
        <w:t xml:space="preserve">MK </w:t>
      </w:r>
      <w:r w:rsidR="00732940" w:rsidRPr="00732940">
        <w:rPr>
          <w:color w:val="000000" w:themeColor="text1"/>
        </w:rPr>
        <w:t xml:space="preserve">2011.gada 19.aprīļa </w:t>
      </w:r>
      <w:r w:rsidR="0090080F" w:rsidRPr="00732940">
        <w:rPr>
          <w:color w:val="000000" w:themeColor="text1"/>
        </w:rPr>
        <w:t>noteikumos Nr.300 „</w:t>
      </w:r>
      <w:hyperlink r:id="rId15" w:tgtFrame="_blank" w:history="1">
        <w:r w:rsidR="0090080F" w:rsidRPr="00732940">
          <w:rPr>
            <w:color w:val="000000" w:themeColor="text1"/>
          </w:rPr>
          <w:t>Kārtība, kādā novērtējama ietekme uz Eiropas nozīmes īpaši aizsargājamo dabas teritoriju (</w:t>
        </w:r>
        <w:r w:rsidR="0090080F" w:rsidRPr="00732940">
          <w:rPr>
            <w:i/>
            <w:color w:val="000000" w:themeColor="text1"/>
          </w:rPr>
          <w:t>Natura 2000</w:t>
        </w:r>
        <w:r w:rsidR="0090080F" w:rsidRPr="00732940">
          <w:rPr>
            <w:color w:val="000000" w:themeColor="text1"/>
          </w:rPr>
          <w:t>)</w:t>
        </w:r>
      </w:hyperlink>
      <w:r w:rsidR="0090080F" w:rsidRPr="00732940">
        <w:rPr>
          <w:color w:val="000000" w:themeColor="text1"/>
        </w:rPr>
        <w:t>”.</w:t>
      </w:r>
    </w:p>
    <w:p w:rsidR="00B7762B" w:rsidRPr="00732940" w:rsidRDefault="00B7762B" w:rsidP="0058538D">
      <w:pPr>
        <w:shd w:val="clear" w:color="auto" w:fill="FFFFFF"/>
        <w:ind w:firstLine="709"/>
        <w:jc w:val="both"/>
        <w:rPr>
          <w:color w:val="000000" w:themeColor="text1"/>
        </w:rPr>
      </w:pPr>
    </w:p>
    <w:p w:rsidR="00B7762B" w:rsidRPr="00946460" w:rsidRDefault="00B7762B" w:rsidP="00B7762B">
      <w:pPr>
        <w:shd w:val="clear" w:color="auto" w:fill="FFFFFF"/>
        <w:jc w:val="both"/>
        <w:rPr>
          <w:b/>
          <w:u w:val="single"/>
          <w:lang w:eastAsia="en-US"/>
        </w:rPr>
      </w:pPr>
      <w:r w:rsidRPr="00946460">
        <w:rPr>
          <w:b/>
          <w:u w:val="single"/>
        </w:rPr>
        <w:t>5.4.2.1. pasākuma ieviešanas mehānisms</w:t>
      </w:r>
    </w:p>
    <w:p w:rsidR="00B7762B" w:rsidRPr="001375EE" w:rsidRDefault="00B7762B" w:rsidP="00732940">
      <w:pPr>
        <w:ind w:firstLine="709"/>
        <w:jc w:val="both"/>
        <w:rPr>
          <w:rFonts w:eastAsia="Times New Roman"/>
          <w:bCs/>
          <w:lang w:eastAsia="en-US"/>
        </w:rPr>
      </w:pPr>
      <w:r w:rsidRPr="00860943">
        <w:rPr>
          <w:rFonts w:eastAsia="Times New Roman"/>
          <w:bCs/>
          <w:lang w:eastAsia="en-US"/>
        </w:rPr>
        <w:t>5.4.2.1.</w:t>
      </w:r>
      <w:r>
        <w:rPr>
          <w:bCs/>
        </w:rPr>
        <w:t xml:space="preserve"> pasākums tiks </w:t>
      </w:r>
      <w:r>
        <w:rPr>
          <w:rFonts w:eastAsia="Times New Roman"/>
          <w:bCs/>
          <w:lang w:eastAsia="en-US"/>
        </w:rPr>
        <w:t>īstenots</w:t>
      </w:r>
      <w:r w:rsidRPr="00860943">
        <w:rPr>
          <w:rFonts w:eastAsia="Times New Roman"/>
          <w:bCs/>
          <w:lang w:eastAsia="en-US"/>
        </w:rPr>
        <w:t xml:space="preserve"> ierobež</w:t>
      </w:r>
      <w:r>
        <w:rPr>
          <w:rFonts w:eastAsia="Times New Roman"/>
          <w:bCs/>
          <w:lang w:eastAsia="en-US"/>
        </w:rPr>
        <w:t>otas projektu iesniegumu atlases veidā</w:t>
      </w:r>
      <w:r w:rsidRPr="00860943">
        <w:rPr>
          <w:rFonts w:eastAsia="Times New Roman"/>
          <w:bCs/>
          <w:lang w:eastAsia="en-US"/>
        </w:rPr>
        <w:t xml:space="preserve">, jo plānots tikai viens projekta iesniedzējs – </w:t>
      </w:r>
      <w:r>
        <w:rPr>
          <w:rFonts w:eastAsia="Times New Roman"/>
          <w:bCs/>
          <w:lang w:eastAsia="en-US"/>
        </w:rPr>
        <w:t xml:space="preserve">DAP, ņemot vērā DAP deleģētās funkcijas nodrošināt </w:t>
      </w:r>
      <w:r w:rsidRPr="007D100E">
        <w:rPr>
          <w:rFonts w:eastAsia="Times New Roman"/>
          <w:bCs/>
          <w:lang w:eastAsia="en-US"/>
        </w:rPr>
        <w:t xml:space="preserve">efektīvu Latvijas </w:t>
      </w:r>
      <w:r>
        <w:rPr>
          <w:rFonts w:eastAsia="Times New Roman"/>
          <w:bCs/>
          <w:lang w:eastAsia="en-US"/>
        </w:rPr>
        <w:t>ĪADT</w:t>
      </w:r>
      <w:r w:rsidRPr="007D100E">
        <w:rPr>
          <w:rFonts w:eastAsia="Times New Roman"/>
          <w:bCs/>
          <w:lang w:eastAsia="en-US"/>
        </w:rPr>
        <w:t xml:space="preserve"> </w:t>
      </w:r>
      <w:r w:rsidRPr="001375EE">
        <w:rPr>
          <w:rFonts w:eastAsia="Times New Roman"/>
          <w:bCs/>
          <w:lang w:eastAsia="en-US"/>
        </w:rPr>
        <w:t xml:space="preserve">apsaimniekošanu un pārvaldīšanu. </w:t>
      </w:r>
    </w:p>
    <w:p w:rsidR="00B7762B" w:rsidRPr="001375EE" w:rsidRDefault="00B7762B" w:rsidP="00732940">
      <w:pPr>
        <w:autoSpaceDE w:val="0"/>
        <w:autoSpaceDN w:val="0"/>
        <w:adjustRightInd w:val="0"/>
        <w:ind w:firstLine="709"/>
        <w:jc w:val="both"/>
        <w:rPr>
          <w:rFonts w:eastAsia="Times New Roman"/>
          <w:bCs/>
          <w:lang w:eastAsia="en-US"/>
        </w:rPr>
      </w:pPr>
      <w:r w:rsidRPr="001375EE">
        <w:rPr>
          <w:rFonts w:eastAsia="Times New Roman"/>
          <w:bCs/>
          <w:lang w:eastAsia="en-US"/>
        </w:rPr>
        <w:t xml:space="preserve">Kā norādīts iepriekš, galvenās 5.4.2.1. pasākuma atbalstāmās darbības ir biotopu inventarizācija un kartēšana, </w:t>
      </w:r>
      <w:r w:rsidR="00E939A7" w:rsidRPr="001375EE">
        <w:rPr>
          <w:rFonts w:eastAsia="Times New Roman"/>
          <w:bCs/>
          <w:lang w:eastAsia="en-US"/>
        </w:rPr>
        <w:t xml:space="preserve">ĪADT </w:t>
      </w:r>
      <w:r w:rsidRPr="001375EE">
        <w:rPr>
          <w:rFonts w:eastAsia="Times New Roman"/>
          <w:bCs/>
          <w:lang w:eastAsia="en-US"/>
        </w:rPr>
        <w:t xml:space="preserve">dabas aizsardzības plānu un īpaši aizsargājamo sugu aizsardzības plānu izstrāde. </w:t>
      </w:r>
    </w:p>
    <w:p w:rsidR="00B7762B" w:rsidRDefault="00B7762B" w:rsidP="00744614">
      <w:pPr>
        <w:autoSpaceDE w:val="0"/>
        <w:autoSpaceDN w:val="0"/>
        <w:adjustRightInd w:val="0"/>
        <w:ind w:firstLine="709"/>
        <w:jc w:val="both"/>
        <w:rPr>
          <w:rFonts w:eastAsia="Times New Roman"/>
          <w:bCs/>
          <w:lang w:eastAsia="en-US"/>
        </w:rPr>
      </w:pPr>
      <w:r w:rsidRPr="00216CC9">
        <w:rPr>
          <w:rFonts w:eastAsia="Times New Roman"/>
          <w:bCs/>
          <w:lang w:eastAsia="en-US"/>
        </w:rPr>
        <w:t>Latvijā jau ir uzkrāta ilgstoša pieredze ĪADT dabas aizsardzības un sugu aizsardzības plānu izstrādē un valstī ir skaidrs regulējums šajā jomā – dabas aizsardzības plānu izstrāde tiks veikta atbilstoši MK 2</w:t>
      </w:r>
      <w:r w:rsidR="0040413D">
        <w:rPr>
          <w:rFonts w:eastAsia="Times New Roman"/>
          <w:bCs/>
          <w:lang w:eastAsia="en-US"/>
        </w:rPr>
        <w:t>007.</w:t>
      </w:r>
      <w:r w:rsidRPr="00216CC9">
        <w:rPr>
          <w:rFonts w:eastAsia="Times New Roman"/>
          <w:bCs/>
          <w:lang w:eastAsia="en-US"/>
        </w:rPr>
        <w:t>gada 9. oktobra noteikumos Nr. 686 „Noteikumi par īpaši aizsargājamās dabas teritorijas dabas aizsardzības plāna saturu un izstrādes kārtību” noteiktajai kārtībai</w:t>
      </w:r>
      <w:r w:rsidR="003E459D">
        <w:rPr>
          <w:rFonts w:eastAsia="Times New Roman"/>
          <w:bCs/>
          <w:lang w:eastAsia="en-US"/>
        </w:rPr>
        <w:t>,</w:t>
      </w:r>
      <w:r w:rsidRPr="00216CC9">
        <w:rPr>
          <w:rFonts w:eastAsia="Times New Roman"/>
          <w:bCs/>
          <w:lang w:eastAsia="en-US"/>
        </w:rPr>
        <w:t xml:space="preserve"> saskaņā ar Sugu un biotopu aizsardzības likuma  5. panta 4. punktu</w:t>
      </w:r>
      <w:r w:rsidR="003E459D">
        <w:rPr>
          <w:rFonts w:eastAsia="Times New Roman"/>
          <w:bCs/>
          <w:lang w:eastAsia="en-US"/>
        </w:rPr>
        <w:t xml:space="preserve">, kā arī </w:t>
      </w:r>
      <w:r w:rsidR="00744614">
        <w:rPr>
          <w:rFonts w:eastAsia="Times New Roman"/>
          <w:bCs/>
          <w:lang w:eastAsia="en-US"/>
        </w:rPr>
        <w:t xml:space="preserve">Vides aizsardzības un reģionālās attīstības ministrijas (turpmāk – </w:t>
      </w:r>
      <w:r w:rsidR="003E459D" w:rsidRPr="00744614">
        <w:t>VARAM</w:t>
      </w:r>
      <w:r w:rsidR="00744614">
        <w:t>)</w:t>
      </w:r>
      <w:r w:rsidR="003E459D" w:rsidRPr="006F4C6C">
        <w:t xml:space="preserve"> 2015.gada 11.maija rīkojum</w:t>
      </w:r>
      <w:r w:rsidR="003E459D">
        <w:t>u</w:t>
      </w:r>
      <w:r w:rsidR="003E459D" w:rsidRPr="006F4C6C">
        <w:t xml:space="preserve"> N</w:t>
      </w:r>
      <w:r w:rsidR="003E459D">
        <w:t>r</w:t>
      </w:r>
      <w:r w:rsidR="003E459D" w:rsidRPr="006F4C6C">
        <w:t>.127 </w:t>
      </w:r>
      <w:r w:rsidR="00C97192">
        <w:t>“</w:t>
      </w:r>
      <w:r w:rsidR="003E459D" w:rsidRPr="006F4C6C">
        <w:t>Par sugu un biotopu aizsardzības plānu izstrādāšanas kārtību</w:t>
      </w:r>
      <w:r w:rsidR="00C97192">
        <w:t>”</w:t>
      </w:r>
      <w:r w:rsidRPr="00216CC9">
        <w:rPr>
          <w:rFonts w:eastAsia="Times New Roman"/>
          <w:bCs/>
          <w:lang w:eastAsia="en-US"/>
        </w:rPr>
        <w:t>.</w:t>
      </w:r>
      <w:r>
        <w:rPr>
          <w:rFonts w:eastAsia="Times New Roman"/>
          <w:bCs/>
          <w:lang w:eastAsia="en-US"/>
        </w:rPr>
        <w:t xml:space="preserve"> </w:t>
      </w:r>
    </w:p>
    <w:p w:rsidR="003E459D" w:rsidRPr="00BC13A3" w:rsidRDefault="00B7762B" w:rsidP="006513E5">
      <w:pPr>
        <w:shd w:val="clear" w:color="auto" w:fill="FFFFFF"/>
        <w:suppressAutoHyphens/>
        <w:autoSpaceDN w:val="0"/>
        <w:ind w:firstLine="709"/>
        <w:jc w:val="both"/>
        <w:rPr>
          <w:color w:val="000000" w:themeColor="text1"/>
        </w:rPr>
      </w:pPr>
      <w:r w:rsidRPr="003E459D">
        <w:rPr>
          <w:rFonts w:eastAsia="Times New Roman"/>
          <w:bCs/>
          <w:lang w:eastAsia="en-US"/>
        </w:rPr>
        <w:t xml:space="preserve">Savukārt </w:t>
      </w:r>
      <w:r w:rsidRPr="001B22C1">
        <w:t>E</w:t>
      </w:r>
      <w:r>
        <w:t>S</w:t>
      </w:r>
      <w:r w:rsidRPr="001B22C1">
        <w:t xml:space="preserve"> nozīmes īpaši aizsargājamo biotopu kartēšana valsts mērogā līdz šim </w:t>
      </w:r>
      <w:r w:rsidR="00C97192" w:rsidRPr="001B22C1">
        <w:t xml:space="preserve">vēl </w:t>
      </w:r>
      <w:r w:rsidRPr="001B22C1">
        <w:t>nav veikta, tādēļ</w:t>
      </w:r>
      <w:r w:rsidR="00E939A7">
        <w:t xml:space="preserve"> ir veikti apjomīgi priekšdarbi sekmīgai biotopu kartēšanas nodrošināšanai; p</w:t>
      </w:r>
      <w:r w:rsidR="003E459D" w:rsidRPr="003E459D">
        <w:t xml:space="preserve">amatojoties uz ES aizsargājamo biotopu noteikšanas metodiku </w:t>
      </w:r>
      <w:r w:rsidR="003E459D">
        <w:t xml:space="preserve">(apstiprināta </w:t>
      </w:r>
      <w:r w:rsidR="003E459D" w:rsidRPr="00984F96">
        <w:t>ar VARAM</w:t>
      </w:r>
      <w:r w:rsidR="003E459D">
        <w:t xml:space="preserve"> </w:t>
      </w:r>
      <w:r w:rsidR="0040413D">
        <w:t>2010.gada 15.marta rīkojumu Nr.</w:t>
      </w:r>
      <w:r w:rsidR="003E459D">
        <w:t xml:space="preserve">93) </w:t>
      </w:r>
      <w:r w:rsidR="003E459D" w:rsidRPr="003E459D">
        <w:t>un tajā iekļauto informāciju par katru biotopu raksturojošiem vides faktoriem, procesiem ar funkcionālu nozīmi, raksturojošām sugām, minimālās kvalitātes prasībām, kā arī struktūras un funkciju indikatoriem</w:t>
      </w:r>
      <w:r w:rsidR="003E459D" w:rsidRPr="00984F96">
        <w:t>, D</w:t>
      </w:r>
      <w:r w:rsidR="00936F79" w:rsidRPr="00984F96">
        <w:t>AP</w:t>
      </w:r>
      <w:r w:rsidR="003E459D" w:rsidRPr="003E459D">
        <w:t xml:space="preserve"> ir izstrādājusi biotopu inventarizācijas anketas</w:t>
      </w:r>
      <w:r w:rsidR="00E939A7">
        <w:t xml:space="preserve"> un</w:t>
      </w:r>
      <w:r w:rsidR="003E459D">
        <w:t xml:space="preserve"> aizsargājamo biotopu izplatības un kvalitātes apzināšanas darbu organizācijas metodikas projekt</w:t>
      </w:r>
      <w:r w:rsidR="00E939A7">
        <w:t>u</w:t>
      </w:r>
      <w:r w:rsidR="003E459D">
        <w:t>, kas ietver arī  zemes īpašnieku informēšanas kārtību, kā arī biotopu izplatības un kvalitātes apzināšanas rezultātu kvalitātes pārbaudes kārtību. Lai pilnveidotu aizsargājamo biotopu izplatības un kvalitātes apzināšanas darbu organizāciju un precīzāk novērtētu aizsargājamo biotopu izplatības un kvalitātes apzināšanai nepieciešamos cilvēku</w:t>
      </w:r>
      <w:r w:rsidR="0040413D">
        <w:t xml:space="preserve"> un finansiālos resursus, 2015.</w:t>
      </w:r>
      <w:r w:rsidR="003E459D">
        <w:t>gadā ti</w:t>
      </w:r>
      <w:r w:rsidR="00B934B9">
        <w:t>ka</w:t>
      </w:r>
      <w:r w:rsidR="003E459D">
        <w:t xml:space="preserve"> veikta aizsargājamo biotopu izplatības un kvalitātes apzināšanas darbu organizācijas metodikas aprobācija, pilotprojektā veicot aizsargājamo biotopu izplatības un kvalitātes inventarizāciju</w:t>
      </w:r>
      <w:r w:rsidR="00F24B21">
        <w:t xml:space="preserve"> pilotteritorijā</w:t>
      </w:r>
      <w:r w:rsidR="003E459D">
        <w:t xml:space="preserve"> </w:t>
      </w:r>
      <w:r w:rsidR="00F24B21" w:rsidRPr="00F24B21">
        <w:t xml:space="preserve">- </w:t>
      </w:r>
      <w:r w:rsidR="003E459D" w:rsidRPr="00F24B21">
        <w:t>4 kvadrātos</w:t>
      </w:r>
      <w:r w:rsidR="00F24B21" w:rsidRPr="00F24B21">
        <w:t xml:space="preserve"> (visa Latvijas teritorija, lai atvieglotu kartēšanas darbu pārskatāmību, ir sadalīta 12.5 km x</w:t>
      </w:r>
      <w:r w:rsidR="00F24B21">
        <w:t xml:space="preserve"> 12,5 km kvadrātos)</w:t>
      </w:r>
      <w:r w:rsidR="003E459D">
        <w:t xml:space="preserve">. Aizsargājamo biotopu izplatības un kvalitātes apzināšanas </w:t>
      </w:r>
      <w:r w:rsidR="00F24B21">
        <w:t xml:space="preserve">un </w:t>
      </w:r>
      <w:r w:rsidR="003E459D">
        <w:t xml:space="preserve">darbu organizācijas metodikas projekts ir </w:t>
      </w:r>
      <w:r w:rsidR="00E939A7">
        <w:t xml:space="preserve">bijis </w:t>
      </w:r>
      <w:r w:rsidR="003E459D">
        <w:t>izsūtīt</w:t>
      </w:r>
      <w:r w:rsidR="00E939A7">
        <w:t>s</w:t>
      </w:r>
      <w:r w:rsidR="003E459D">
        <w:t xml:space="preserve"> sociālajiem partneriem (LPS, LTRK, LDDK, LDF, LOB, VKP, Ceļu būvētāju biedrība, ZS, LOSP</w:t>
      </w:r>
      <w:r w:rsidR="003E459D">
        <w:rPr>
          <w:rStyle w:val="FootnoteReference"/>
        </w:rPr>
        <w:footnoteReference w:id="2"/>
      </w:r>
      <w:r w:rsidR="00E939A7">
        <w:t>) komentēšanai, kā arī paredzēts ieinteresētās puses arī turpmāk iesaistīt izstrādes procesā</w:t>
      </w:r>
      <w:r w:rsidR="003E459D">
        <w:t>.</w:t>
      </w:r>
      <w:r w:rsidRPr="00860943">
        <w:rPr>
          <w:sz w:val="22"/>
        </w:rPr>
        <w:t xml:space="preserve"> </w:t>
      </w:r>
      <w:r w:rsidR="00610545" w:rsidRPr="006513E5">
        <w:rPr>
          <w:color w:val="000000" w:themeColor="text1"/>
        </w:rPr>
        <w:t xml:space="preserve">Metodikas izstrādē tiks ņemti </w:t>
      </w:r>
      <w:r w:rsidR="00610545" w:rsidRPr="00BC13A3">
        <w:rPr>
          <w:color w:val="000000" w:themeColor="text1"/>
        </w:rPr>
        <w:t xml:space="preserve">vērā </w:t>
      </w:r>
      <w:r w:rsidR="00FE12F8" w:rsidRPr="00BC13A3">
        <w:rPr>
          <w:color w:val="000000" w:themeColor="text1"/>
        </w:rPr>
        <w:t xml:space="preserve">protokollēmumā Nr.57, 59.§ noteiktie </w:t>
      </w:r>
      <w:r w:rsidR="00610545" w:rsidRPr="00BC13A3">
        <w:rPr>
          <w:color w:val="000000" w:themeColor="text1"/>
        </w:rPr>
        <w:t>aizsargājamo biotopu izplatības un kvalit</w:t>
      </w:r>
      <w:r w:rsidR="00E939A7" w:rsidRPr="00BC13A3">
        <w:rPr>
          <w:color w:val="000000" w:themeColor="text1"/>
        </w:rPr>
        <w:t>ātes apzināšanas pamatprincipi:</w:t>
      </w:r>
    </w:p>
    <w:p w:rsidR="002B7A62" w:rsidRPr="00BC13A3" w:rsidRDefault="002B7A62" w:rsidP="00C50688">
      <w:pPr>
        <w:pStyle w:val="ListParagraph"/>
        <w:numPr>
          <w:ilvl w:val="0"/>
          <w:numId w:val="14"/>
        </w:numPr>
        <w:shd w:val="clear" w:color="auto" w:fill="FFFFFF"/>
        <w:spacing w:after="120"/>
        <w:jc w:val="both"/>
        <w:rPr>
          <w:rFonts w:asciiTheme="majorBidi" w:eastAsia="Calibri" w:hAnsiTheme="majorBidi" w:cstheme="majorBidi"/>
          <w:color w:val="000000" w:themeColor="text1"/>
          <w:sz w:val="24"/>
          <w:szCs w:val="24"/>
        </w:rPr>
      </w:pPr>
      <w:r w:rsidRPr="00BC13A3">
        <w:rPr>
          <w:color w:val="000000" w:themeColor="text1"/>
          <w:sz w:val="24"/>
          <w:szCs w:val="24"/>
        </w:rPr>
        <w:t>Lai nodrošinātu objektīvas informācijas iegūšanu, a</w:t>
      </w:r>
      <w:r w:rsidRPr="00BC13A3">
        <w:rPr>
          <w:rFonts w:asciiTheme="majorBidi" w:eastAsia="Calibri" w:hAnsiTheme="majorBidi" w:cstheme="majorBidi"/>
          <w:color w:val="000000" w:themeColor="text1"/>
          <w:sz w:val="24"/>
          <w:szCs w:val="24"/>
        </w:rPr>
        <w:t xml:space="preserve">izsargājamo biotopu izplatības un </w:t>
      </w:r>
      <w:r w:rsidR="00C50688" w:rsidRPr="00BC13A3">
        <w:rPr>
          <w:rFonts w:asciiTheme="majorBidi" w:hAnsiTheme="majorBidi" w:cstheme="majorBidi"/>
          <w:color w:val="000000" w:themeColor="text1"/>
          <w:sz w:val="24"/>
          <w:szCs w:val="24"/>
        </w:rPr>
        <w:t xml:space="preserve"> </w:t>
      </w:r>
      <w:r w:rsidRPr="00BC13A3">
        <w:rPr>
          <w:rFonts w:asciiTheme="majorBidi" w:eastAsia="Calibri" w:hAnsiTheme="majorBidi" w:cstheme="majorBidi"/>
          <w:color w:val="000000" w:themeColor="text1"/>
          <w:sz w:val="24"/>
          <w:szCs w:val="24"/>
        </w:rPr>
        <w:t>kvalitātes apzināšana tiek veikta vi</w:t>
      </w:r>
      <w:r w:rsidR="0040413D">
        <w:rPr>
          <w:rFonts w:asciiTheme="majorBidi" w:eastAsia="Calibri" w:hAnsiTheme="majorBidi" w:cstheme="majorBidi"/>
          <w:color w:val="000000" w:themeColor="text1"/>
          <w:sz w:val="24"/>
          <w:szCs w:val="24"/>
        </w:rPr>
        <w:t>sā valsts teritorijā līdz 2019.</w:t>
      </w:r>
      <w:r w:rsidRPr="00BC13A3">
        <w:rPr>
          <w:rFonts w:asciiTheme="majorBidi" w:eastAsia="Calibri" w:hAnsiTheme="majorBidi" w:cstheme="majorBidi"/>
          <w:color w:val="000000" w:themeColor="text1"/>
          <w:sz w:val="24"/>
          <w:szCs w:val="24"/>
        </w:rPr>
        <w:t>gadam</w:t>
      </w:r>
      <w:r w:rsidR="00C97192" w:rsidRPr="00BC13A3">
        <w:rPr>
          <w:rFonts w:asciiTheme="majorBidi" w:eastAsia="Calibri" w:hAnsiTheme="majorBidi" w:cstheme="majorBidi"/>
          <w:color w:val="000000" w:themeColor="text1"/>
          <w:sz w:val="24"/>
          <w:szCs w:val="24"/>
        </w:rPr>
        <w:t>;</w:t>
      </w:r>
    </w:p>
    <w:p w:rsidR="002B7A62" w:rsidRPr="00BC13A3" w:rsidRDefault="002B7A62" w:rsidP="002B7A62">
      <w:pPr>
        <w:pStyle w:val="ListParagraph"/>
        <w:numPr>
          <w:ilvl w:val="0"/>
          <w:numId w:val="14"/>
        </w:numPr>
        <w:shd w:val="clear" w:color="auto" w:fill="FFFFFF"/>
        <w:spacing w:after="120"/>
        <w:jc w:val="both"/>
        <w:rPr>
          <w:rFonts w:asciiTheme="majorBidi" w:eastAsia="Calibri" w:hAnsiTheme="majorBidi" w:cstheme="majorBidi"/>
          <w:color w:val="000000" w:themeColor="text1"/>
          <w:sz w:val="24"/>
          <w:szCs w:val="24"/>
        </w:rPr>
      </w:pPr>
      <w:r w:rsidRPr="00BC13A3">
        <w:rPr>
          <w:color w:val="000000" w:themeColor="text1"/>
          <w:sz w:val="24"/>
          <w:szCs w:val="24"/>
        </w:rPr>
        <w:t>A</w:t>
      </w:r>
      <w:r w:rsidRPr="00BC13A3">
        <w:rPr>
          <w:rFonts w:asciiTheme="majorBidi" w:eastAsia="Calibri" w:hAnsiTheme="majorBidi" w:cstheme="majorBidi"/>
          <w:color w:val="000000" w:themeColor="text1"/>
          <w:sz w:val="24"/>
          <w:szCs w:val="24"/>
        </w:rPr>
        <w:t>izsargājamo biotopu izplatības un kvalitātes apzināšana tiek veikta pēc zinātniski pamatotiem kritērijiem</w:t>
      </w:r>
      <w:r w:rsidR="00C97192" w:rsidRPr="00BC13A3">
        <w:rPr>
          <w:rFonts w:asciiTheme="majorBidi" w:eastAsia="Calibri" w:hAnsiTheme="majorBidi" w:cstheme="majorBidi"/>
          <w:color w:val="000000" w:themeColor="text1"/>
          <w:sz w:val="24"/>
          <w:szCs w:val="24"/>
        </w:rPr>
        <w:t>;</w:t>
      </w:r>
    </w:p>
    <w:p w:rsidR="002B7A62" w:rsidRPr="00BC13A3" w:rsidRDefault="006513E5" w:rsidP="002B7A62">
      <w:pPr>
        <w:pStyle w:val="ListParagraph"/>
        <w:numPr>
          <w:ilvl w:val="0"/>
          <w:numId w:val="14"/>
        </w:numPr>
        <w:shd w:val="clear" w:color="auto" w:fill="FFFFFF"/>
        <w:spacing w:after="120"/>
        <w:jc w:val="both"/>
        <w:rPr>
          <w:rFonts w:asciiTheme="majorBidi" w:eastAsia="Calibri" w:hAnsiTheme="majorBidi" w:cstheme="majorBidi"/>
          <w:color w:val="000000" w:themeColor="text1"/>
          <w:sz w:val="24"/>
          <w:szCs w:val="24"/>
        </w:rPr>
      </w:pPr>
      <w:r w:rsidRPr="00BC13A3">
        <w:rPr>
          <w:rFonts w:asciiTheme="majorBidi" w:hAnsiTheme="majorBidi" w:cstheme="majorBidi"/>
          <w:sz w:val="24"/>
          <w:szCs w:val="24"/>
        </w:rPr>
        <w:t>VARAM</w:t>
      </w:r>
      <w:r w:rsidR="002B7A62" w:rsidRPr="00BC13A3">
        <w:rPr>
          <w:rFonts w:asciiTheme="majorBidi" w:eastAsia="Calibri" w:hAnsiTheme="majorBidi" w:cstheme="majorBidi"/>
          <w:color w:val="000000" w:themeColor="text1"/>
          <w:sz w:val="24"/>
          <w:szCs w:val="24"/>
        </w:rPr>
        <w:t xml:space="preserve"> nodrošina </w:t>
      </w:r>
      <w:r w:rsidR="002B7A62" w:rsidRPr="00BC13A3">
        <w:rPr>
          <w:rFonts w:asciiTheme="majorBidi" w:eastAsia="Calibri" w:hAnsiTheme="majorBidi" w:cstheme="majorBidi"/>
          <w:bCs/>
          <w:color w:val="000000" w:themeColor="text1"/>
          <w:sz w:val="24"/>
          <w:szCs w:val="24"/>
        </w:rPr>
        <w:t>katra</w:t>
      </w:r>
      <w:r w:rsidR="002B7A62" w:rsidRPr="00BC13A3">
        <w:rPr>
          <w:rFonts w:asciiTheme="majorBidi" w:eastAsia="Calibri" w:hAnsiTheme="majorBidi" w:cstheme="majorBidi"/>
          <w:color w:val="000000" w:themeColor="text1"/>
          <w:sz w:val="24"/>
          <w:szCs w:val="24"/>
        </w:rPr>
        <w:t xml:space="preserve"> zemes īpašnieka (tiesiskā valdītāja) informēšanu par aizsargājamo biotopu izplatības un kvalitātes apzināšanas uzsākšanu un iegūtajiem rezultātiem</w:t>
      </w:r>
      <w:r w:rsidR="00C97192" w:rsidRPr="00BC13A3">
        <w:rPr>
          <w:rFonts w:asciiTheme="majorBidi" w:eastAsia="Calibri" w:hAnsiTheme="majorBidi" w:cstheme="majorBidi"/>
          <w:color w:val="000000" w:themeColor="text1"/>
          <w:sz w:val="24"/>
          <w:szCs w:val="24"/>
        </w:rPr>
        <w:t>;</w:t>
      </w:r>
    </w:p>
    <w:p w:rsidR="002B7A62" w:rsidRPr="00BC13A3" w:rsidRDefault="002B7A62" w:rsidP="002B7A62">
      <w:pPr>
        <w:pStyle w:val="ListParagraph"/>
        <w:numPr>
          <w:ilvl w:val="0"/>
          <w:numId w:val="14"/>
        </w:numPr>
        <w:shd w:val="clear" w:color="auto" w:fill="FFFFFF"/>
        <w:spacing w:after="120"/>
        <w:jc w:val="both"/>
        <w:rPr>
          <w:rFonts w:asciiTheme="majorBidi" w:eastAsia="Calibri" w:hAnsiTheme="majorBidi" w:cstheme="majorBidi"/>
          <w:color w:val="000000" w:themeColor="text1"/>
          <w:sz w:val="24"/>
          <w:szCs w:val="24"/>
        </w:rPr>
      </w:pPr>
      <w:r w:rsidRPr="00BC13A3">
        <w:rPr>
          <w:color w:val="000000" w:themeColor="text1"/>
          <w:sz w:val="24"/>
          <w:szCs w:val="24"/>
        </w:rPr>
        <w:t>A</w:t>
      </w:r>
      <w:r w:rsidRPr="00BC13A3">
        <w:rPr>
          <w:rFonts w:asciiTheme="majorBidi" w:eastAsia="Calibri" w:hAnsiTheme="majorBidi" w:cstheme="majorBidi"/>
          <w:color w:val="000000" w:themeColor="text1"/>
          <w:sz w:val="24"/>
          <w:szCs w:val="24"/>
        </w:rPr>
        <w:t>izsargājamo biotopu izplatības un kvalitātes apzināšanas darbu organizēšanai tiek izmantota visa valsts institūcijās un uzņēmumos uzkrātā informācija par zemes izmantošanas veidiem</w:t>
      </w:r>
      <w:r w:rsidR="00C97192" w:rsidRPr="00BC13A3">
        <w:rPr>
          <w:rFonts w:asciiTheme="majorBidi" w:eastAsia="Calibri" w:hAnsiTheme="majorBidi" w:cstheme="majorBidi"/>
          <w:color w:val="000000" w:themeColor="text1"/>
          <w:sz w:val="24"/>
          <w:szCs w:val="24"/>
        </w:rPr>
        <w:t>;</w:t>
      </w:r>
      <w:r w:rsidRPr="00BC13A3">
        <w:rPr>
          <w:rFonts w:asciiTheme="majorBidi" w:eastAsia="Calibri" w:hAnsiTheme="majorBidi" w:cstheme="majorBidi"/>
          <w:color w:val="000000" w:themeColor="text1"/>
          <w:sz w:val="24"/>
          <w:szCs w:val="24"/>
        </w:rPr>
        <w:t xml:space="preserve"> </w:t>
      </w:r>
    </w:p>
    <w:p w:rsidR="002B7A62" w:rsidRPr="00BC13A3" w:rsidRDefault="002B7A62" w:rsidP="002B7A62">
      <w:pPr>
        <w:pStyle w:val="ListParagraph"/>
        <w:numPr>
          <w:ilvl w:val="0"/>
          <w:numId w:val="14"/>
        </w:numPr>
        <w:shd w:val="clear" w:color="auto" w:fill="FFFFFF"/>
        <w:spacing w:after="120"/>
        <w:jc w:val="both"/>
        <w:rPr>
          <w:rFonts w:asciiTheme="majorBidi" w:eastAsia="Calibri" w:hAnsiTheme="majorBidi" w:cstheme="majorBidi"/>
          <w:color w:val="000000" w:themeColor="text1"/>
          <w:sz w:val="24"/>
          <w:szCs w:val="24"/>
        </w:rPr>
      </w:pPr>
      <w:r w:rsidRPr="00BC13A3">
        <w:rPr>
          <w:color w:val="000000" w:themeColor="text1"/>
          <w:sz w:val="24"/>
          <w:szCs w:val="24"/>
        </w:rPr>
        <w:t>A</w:t>
      </w:r>
      <w:r w:rsidRPr="00BC13A3">
        <w:rPr>
          <w:rFonts w:asciiTheme="majorBidi" w:eastAsia="Calibri" w:hAnsiTheme="majorBidi" w:cstheme="majorBidi"/>
          <w:color w:val="000000" w:themeColor="text1"/>
          <w:sz w:val="24"/>
          <w:szCs w:val="24"/>
        </w:rPr>
        <w:t>izsargājamo biotopu izplatības un kvalitātes apzināšanā obligāti jāapseko informatīvā ziņojuma 1. pielikumā uzskaitītās teritorijas</w:t>
      </w:r>
      <w:r w:rsidR="00C50688" w:rsidRPr="00BC13A3">
        <w:rPr>
          <w:rFonts w:asciiTheme="majorBidi" w:eastAsia="Calibri" w:hAnsiTheme="majorBidi" w:cstheme="majorBidi"/>
          <w:color w:val="000000" w:themeColor="text1"/>
          <w:sz w:val="24"/>
          <w:szCs w:val="24"/>
        </w:rPr>
        <w:t xml:space="preserve"> (sk. dokumenta beigās sarakstu)</w:t>
      </w:r>
      <w:r w:rsidR="00C97192" w:rsidRPr="00BC13A3">
        <w:rPr>
          <w:rFonts w:asciiTheme="majorBidi" w:eastAsia="Calibri" w:hAnsiTheme="majorBidi" w:cstheme="majorBidi"/>
          <w:color w:val="000000" w:themeColor="text1"/>
          <w:sz w:val="24"/>
          <w:szCs w:val="24"/>
        </w:rPr>
        <w:t>;</w:t>
      </w:r>
    </w:p>
    <w:p w:rsidR="002B7A62" w:rsidRPr="00BC13A3" w:rsidRDefault="002B7A62" w:rsidP="002B7A62">
      <w:pPr>
        <w:pStyle w:val="ListParagraph"/>
        <w:numPr>
          <w:ilvl w:val="0"/>
          <w:numId w:val="14"/>
        </w:numPr>
        <w:shd w:val="clear" w:color="auto" w:fill="FFFFFF"/>
        <w:spacing w:after="120"/>
        <w:jc w:val="both"/>
        <w:rPr>
          <w:rFonts w:asciiTheme="majorBidi" w:eastAsia="Calibri" w:hAnsiTheme="majorBidi" w:cstheme="majorBidi"/>
          <w:color w:val="000000" w:themeColor="text1"/>
          <w:sz w:val="24"/>
          <w:szCs w:val="24"/>
        </w:rPr>
      </w:pPr>
      <w:r w:rsidRPr="00BC13A3">
        <w:rPr>
          <w:color w:val="000000" w:themeColor="text1"/>
          <w:sz w:val="24"/>
          <w:szCs w:val="24"/>
        </w:rPr>
        <w:t>A</w:t>
      </w:r>
      <w:r w:rsidRPr="00BC13A3">
        <w:rPr>
          <w:rFonts w:asciiTheme="majorBidi" w:eastAsia="Calibri" w:hAnsiTheme="majorBidi" w:cstheme="majorBidi"/>
          <w:color w:val="000000" w:themeColor="text1"/>
          <w:sz w:val="24"/>
          <w:szCs w:val="24"/>
        </w:rPr>
        <w:t>izsargājamo biotopu izplatības un kvalitātes apzināšanā netiek veikta informatīvā ziņojuma 2. pielikumā uzskaitītajās teritorijās</w:t>
      </w:r>
      <w:r w:rsidR="00C50688" w:rsidRPr="00BC13A3">
        <w:rPr>
          <w:rFonts w:asciiTheme="majorBidi" w:eastAsia="Calibri" w:hAnsiTheme="majorBidi" w:cstheme="majorBidi"/>
          <w:color w:val="000000" w:themeColor="text1"/>
          <w:sz w:val="24"/>
          <w:szCs w:val="24"/>
        </w:rPr>
        <w:t xml:space="preserve"> (sk. dokumenta beigās sarakstu)</w:t>
      </w:r>
      <w:r w:rsidR="00C97192" w:rsidRPr="00BC13A3">
        <w:rPr>
          <w:rFonts w:asciiTheme="majorBidi" w:eastAsia="Calibri" w:hAnsiTheme="majorBidi" w:cstheme="majorBidi"/>
          <w:color w:val="000000" w:themeColor="text1"/>
          <w:sz w:val="24"/>
          <w:szCs w:val="24"/>
        </w:rPr>
        <w:t>;</w:t>
      </w:r>
    </w:p>
    <w:p w:rsidR="002B7A62" w:rsidRPr="00BC13A3" w:rsidRDefault="002B7A62" w:rsidP="00C50688">
      <w:pPr>
        <w:pStyle w:val="ListParagraph"/>
        <w:numPr>
          <w:ilvl w:val="0"/>
          <w:numId w:val="14"/>
        </w:numPr>
        <w:shd w:val="clear" w:color="auto" w:fill="FFFFFF"/>
        <w:spacing w:after="120"/>
        <w:jc w:val="both"/>
        <w:rPr>
          <w:rFonts w:asciiTheme="majorBidi" w:eastAsia="Calibri" w:hAnsiTheme="majorBidi" w:cstheme="majorBidi"/>
          <w:color w:val="000000" w:themeColor="text1"/>
          <w:sz w:val="24"/>
          <w:szCs w:val="24"/>
        </w:rPr>
      </w:pPr>
      <w:r w:rsidRPr="00BC13A3">
        <w:rPr>
          <w:rFonts w:asciiTheme="majorBidi" w:eastAsia="Calibri" w:hAnsiTheme="majorBidi" w:cstheme="majorBidi"/>
          <w:bCs/>
          <w:color w:val="000000" w:themeColor="text1"/>
          <w:sz w:val="24"/>
          <w:szCs w:val="24"/>
        </w:rPr>
        <w:t>Labvēlīgas aizsardzības nodrošināšanai nepieciešamā</w:t>
      </w:r>
      <w:r w:rsidRPr="00BC13A3">
        <w:rPr>
          <w:bCs/>
          <w:color w:val="000000" w:themeColor="text1"/>
          <w:sz w:val="24"/>
          <w:szCs w:val="24"/>
        </w:rPr>
        <w:t xml:space="preserve"> platība tiek noteikta a</w:t>
      </w:r>
      <w:r w:rsidRPr="00BC13A3">
        <w:rPr>
          <w:rFonts w:eastAsia="PMingLiU"/>
          <w:bCs/>
          <w:color w:val="000000" w:themeColor="text1"/>
          <w:sz w:val="24"/>
          <w:szCs w:val="24"/>
        </w:rPr>
        <w:t xml:space="preserve">tbilstoši </w:t>
      </w:r>
      <w:r w:rsidR="0040413D">
        <w:rPr>
          <w:rFonts w:eastAsia="PMingLiU"/>
          <w:bCs/>
          <w:color w:val="000000" w:themeColor="text1"/>
          <w:sz w:val="24"/>
          <w:szCs w:val="24"/>
        </w:rPr>
        <w:t>Eiropas Komisijas 1997.gada 18.</w:t>
      </w:r>
      <w:r w:rsidRPr="00BC13A3">
        <w:rPr>
          <w:rFonts w:eastAsia="PMingLiU"/>
          <w:bCs/>
          <w:color w:val="000000" w:themeColor="text1"/>
          <w:sz w:val="24"/>
          <w:szCs w:val="24"/>
        </w:rPr>
        <w:t>novembra vadlīnijās Hab.97/2, rev.4 minētajiem principiem.</w:t>
      </w:r>
      <w:r w:rsidRPr="00BC13A3">
        <w:rPr>
          <w:rFonts w:eastAsia="PMingLiU"/>
          <w:color w:val="000000" w:themeColor="text1"/>
          <w:sz w:val="24"/>
          <w:szCs w:val="24"/>
        </w:rPr>
        <w:t xml:space="preserve"> </w:t>
      </w:r>
      <w:r w:rsidRPr="00BC13A3">
        <w:rPr>
          <w:color w:val="000000" w:themeColor="text1"/>
          <w:sz w:val="24"/>
          <w:szCs w:val="24"/>
        </w:rPr>
        <w:t xml:space="preserve"> </w:t>
      </w:r>
      <w:r w:rsidRPr="00BC13A3">
        <w:rPr>
          <w:rFonts w:asciiTheme="majorBidi" w:eastAsia="Calibri" w:hAnsiTheme="majorBidi" w:cstheme="majorBidi"/>
          <w:color w:val="000000" w:themeColor="text1"/>
          <w:sz w:val="24"/>
          <w:szCs w:val="24"/>
        </w:rPr>
        <w:t xml:space="preserve"> Saimnieciskās darbības ierobežojumi tiek noteikti tikai saskaņā </w:t>
      </w:r>
      <w:r w:rsidR="00C97192" w:rsidRPr="00BC13A3">
        <w:rPr>
          <w:rFonts w:asciiTheme="majorBidi" w:eastAsia="Calibri" w:hAnsiTheme="majorBidi" w:cstheme="majorBidi"/>
          <w:color w:val="000000" w:themeColor="text1"/>
          <w:sz w:val="24"/>
          <w:szCs w:val="24"/>
        </w:rPr>
        <w:t xml:space="preserve">ar </w:t>
      </w:r>
      <w:r w:rsidRPr="00BC13A3">
        <w:rPr>
          <w:rFonts w:asciiTheme="majorBidi" w:eastAsia="Calibri" w:hAnsiTheme="majorBidi" w:cstheme="majorBidi"/>
          <w:color w:val="000000" w:themeColor="text1"/>
          <w:sz w:val="24"/>
          <w:szCs w:val="24"/>
        </w:rPr>
        <w:t>normatīvajiem aktiem par īpaši aizsargājamo dabas teritoriju vai mikroliegumu izveidošanu</w:t>
      </w:r>
      <w:r w:rsidRPr="00BC13A3">
        <w:rPr>
          <w:color w:val="000000" w:themeColor="text1"/>
          <w:sz w:val="24"/>
          <w:szCs w:val="24"/>
        </w:rPr>
        <w:t xml:space="preserve"> atbilstoši biotopu aizsardzības mērķiem un to ekoloģiskām prasībām</w:t>
      </w:r>
      <w:r w:rsidRPr="00BC13A3">
        <w:rPr>
          <w:rFonts w:asciiTheme="majorBidi" w:eastAsia="Calibri" w:hAnsiTheme="majorBidi" w:cstheme="majorBidi"/>
          <w:color w:val="000000" w:themeColor="text1"/>
          <w:sz w:val="24"/>
          <w:szCs w:val="24"/>
        </w:rPr>
        <w:t>;</w:t>
      </w:r>
    </w:p>
    <w:p w:rsidR="002B7A62" w:rsidRPr="00BC13A3" w:rsidRDefault="002B7A62" w:rsidP="00C50688">
      <w:pPr>
        <w:pStyle w:val="ListParagraph"/>
        <w:numPr>
          <w:ilvl w:val="0"/>
          <w:numId w:val="14"/>
        </w:numPr>
        <w:shd w:val="clear" w:color="auto" w:fill="FFFFFF"/>
        <w:spacing w:after="120"/>
        <w:jc w:val="both"/>
        <w:rPr>
          <w:rFonts w:eastAsia="Calibri"/>
          <w:color w:val="000000" w:themeColor="text1"/>
          <w:sz w:val="24"/>
          <w:szCs w:val="24"/>
        </w:rPr>
      </w:pPr>
      <w:r w:rsidRPr="00BC13A3">
        <w:rPr>
          <w:bCs/>
          <w:color w:val="000000" w:themeColor="text1"/>
          <w:sz w:val="24"/>
          <w:szCs w:val="24"/>
        </w:rPr>
        <w:t>Informācija par aizsargājamiem biotopiem tiek ievietota dabas datu pārvaldības sistēmā un ir pieejama zemes īpašniekiem (tiesiskajiem valdītājiem) un citu valsts informācijas sistēmu lietotājiem saskaņā ar normatīvajiem aktiem par valsts informācijas sistēmu izveidošanu un datu apmaiņu starp tām</w:t>
      </w:r>
      <w:r w:rsidRPr="00BC13A3">
        <w:rPr>
          <w:color w:val="000000" w:themeColor="text1"/>
          <w:sz w:val="24"/>
          <w:szCs w:val="24"/>
        </w:rPr>
        <w:t>.</w:t>
      </w:r>
      <w:r w:rsidRPr="00BC13A3">
        <w:rPr>
          <w:rFonts w:eastAsia="Calibri"/>
          <w:color w:val="000000" w:themeColor="text1"/>
          <w:sz w:val="24"/>
          <w:szCs w:val="24"/>
        </w:rPr>
        <w:t xml:space="preserve"> </w:t>
      </w:r>
    </w:p>
    <w:p w:rsidR="00B934B9" w:rsidRPr="001375EE" w:rsidRDefault="00B55CC8" w:rsidP="00B934B9">
      <w:pPr>
        <w:jc w:val="both"/>
      </w:pPr>
      <w:r w:rsidRPr="001375EE">
        <w:rPr>
          <w:color w:val="000000" w:themeColor="text1"/>
        </w:rPr>
        <w:t>A</w:t>
      </w:r>
      <w:r w:rsidRPr="001375EE">
        <w:rPr>
          <w:rFonts w:eastAsia="Times New Roman"/>
          <w:color w:val="000000" w:themeColor="text1"/>
          <w:lang w:eastAsia="en-GB"/>
        </w:rPr>
        <w:t>izsargājamo biotopu izplatības un kvalitātes apzināšanas darbu organizēšanai tiks izmantota visa valsts institūciju un uzņēmumu datu bāzēs uzkrātā informācija par zemes izmantošanas veidiem.</w:t>
      </w:r>
      <w:r w:rsidR="00E939A7" w:rsidRPr="001375EE">
        <w:rPr>
          <w:rFonts w:eastAsia="Times New Roman"/>
          <w:color w:val="000000" w:themeColor="text1"/>
          <w:lang w:eastAsia="en-GB"/>
        </w:rPr>
        <w:t xml:space="preserve"> </w:t>
      </w:r>
      <w:r w:rsidR="00B7762B" w:rsidRPr="001375EE">
        <w:rPr>
          <w:color w:val="000000" w:themeColor="text1"/>
        </w:rPr>
        <w:t xml:space="preserve">Saskaņā ar </w:t>
      </w:r>
      <w:r w:rsidR="00C6404B" w:rsidRPr="001375EE">
        <w:rPr>
          <w:rFonts w:eastAsia="Times New Roman"/>
          <w:color w:val="000000" w:themeColor="text1"/>
          <w:lang w:eastAsia="en-GB"/>
        </w:rPr>
        <w:t xml:space="preserve">biotopu izplatības un kvalitātes apzināšanas darbu organizēšanas </w:t>
      </w:r>
      <w:r w:rsidR="00B7762B" w:rsidRPr="001375EE">
        <w:rPr>
          <w:color w:val="000000" w:themeColor="text1"/>
        </w:rPr>
        <w:t xml:space="preserve">metodiku </w:t>
      </w:r>
      <w:r w:rsidR="00B7762B" w:rsidRPr="001375EE">
        <w:rPr>
          <w:rFonts w:eastAsia="Times New Roman"/>
          <w:color w:val="000000" w:themeColor="text1"/>
          <w:lang w:eastAsia="en-US"/>
        </w:rPr>
        <w:t>eksperts, ejot dabā, izmantos karti, uz kuras būs norādīt</w:t>
      </w:r>
      <w:r w:rsidR="008314D6" w:rsidRPr="001375EE">
        <w:rPr>
          <w:rFonts w:eastAsia="Times New Roman"/>
          <w:color w:val="000000" w:themeColor="text1"/>
          <w:lang w:eastAsia="en-US"/>
        </w:rPr>
        <w:t>a</w:t>
      </w:r>
      <w:r w:rsidR="00B7762B" w:rsidRPr="001375EE">
        <w:rPr>
          <w:rFonts w:eastAsia="Times New Roman"/>
          <w:color w:val="000000" w:themeColor="text1"/>
          <w:lang w:eastAsia="en-US"/>
        </w:rPr>
        <w:t xml:space="preserve">s obligāti apsekojamās teritorijas un teritorijas, kuru apsekošana nav obligāta. </w:t>
      </w:r>
      <w:r w:rsidR="00C6404B" w:rsidRPr="001375EE">
        <w:rPr>
          <w:rFonts w:eastAsia="Times New Roman"/>
          <w:color w:val="000000" w:themeColor="text1"/>
          <w:lang w:eastAsia="en-US"/>
        </w:rPr>
        <w:t>Biotopu</w:t>
      </w:r>
      <w:r w:rsidR="00C6404B" w:rsidRPr="001375EE">
        <w:rPr>
          <w:rFonts w:eastAsia="Times New Roman"/>
          <w:color w:val="000000" w:themeColor="text1"/>
          <w:lang w:eastAsia="en-GB"/>
        </w:rPr>
        <w:t xml:space="preserve"> izplatības un kvalitātes apzināšanas</w:t>
      </w:r>
      <w:r w:rsidR="00C6404B" w:rsidRPr="001375EE">
        <w:rPr>
          <w:rFonts w:eastAsia="Times New Roman"/>
          <w:color w:val="000000" w:themeColor="text1"/>
          <w:lang w:eastAsia="en-US"/>
        </w:rPr>
        <w:t xml:space="preserve"> o</w:t>
      </w:r>
      <w:r w:rsidR="00B7762B" w:rsidRPr="001375EE">
        <w:rPr>
          <w:rFonts w:eastAsia="Times New Roman"/>
          <w:color w:val="000000" w:themeColor="text1"/>
          <w:lang w:eastAsia="en-US"/>
        </w:rPr>
        <w:t>bligāti apsekojam</w:t>
      </w:r>
      <w:r w:rsidR="00C6404B" w:rsidRPr="001375EE">
        <w:rPr>
          <w:rFonts w:eastAsia="Times New Roman"/>
          <w:color w:val="000000" w:themeColor="text1"/>
          <w:lang w:eastAsia="en-US"/>
        </w:rPr>
        <w:t>ās</w:t>
      </w:r>
      <w:r w:rsidR="00B7762B" w:rsidRPr="001375EE">
        <w:rPr>
          <w:rFonts w:eastAsia="Times New Roman"/>
          <w:color w:val="000000" w:themeColor="text1"/>
          <w:lang w:eastAsia="en-US"/>
        </w:rPr>
        <w:t xml:space="preserve"> teritorij</w:t>
      </w:r>
      <w:r w:rsidR="00C6404B" w:rsidRPr="001375EE">
        <w:rPr>
          <w:rFonts w:eastAsia="Times New Roman"/>
          <w:color w:val="000000" w:themeColor="text1"/>
          <w:lang w:eastAsia="en-US"/>
        </w:rPr>
        <w:t>as, k</w:t>
      </w:r>
      <w:r w:rsidR="006C35F3" w:rsidRPr="001375EE">
        <w:rPr>
          <w:rFonts w:eastAsia="Times New Roman"/>
          <w:color w:val="000000" w:themeColor="text1"/>
          <w:lang w:eastAsia="en-US"/>
        </w:rPr>
        <w:t>ā arī neapsekojamās teritorijas</w:t>
      </w:r>
      <w:r w:rsidR="00C6404B" w:rsidRPr="001375EE">
        <w:rPr>
          <w:rFonts w:eastAsia="Times New Roman"/>
          <w:color w:val="000000" w:themeColor="text1"/>
          <w:lang w:eastAsia="en-US"/>
        </w:rPr>
        <w:t xml:space="preserve"> ir norādītas šī dokumenta beigās. Kā datu avoti minēto teritoriju noteikšanai kalpos </w:t>
      </w:r>
      <w:r w:rsidR="00C06870" w:rsidRPr="001375EE">
        <w:rPr>
          <w:color w:val="000000" w:themeColor="text1"/>
        </w:rPr>
        <w:t xml:space="preserve">AS </w:t>
      </w:r>
      <w:r w:rsidR="008314D6" w:rsidRPr="001375EE">
        <w:rPr>
          <w:color w:val="000000" w:themeColor="text1"/>
        </w:rPr>
        <w:t>“</w:t>
      </w:r>
      <w:r w:rsidR="00C06870" w:rsidRPr="001375EE">
        <w:rPr>
          <w:color w:val="000000" w:themeColor="text1"/>
        </w:rPr>
        <w:t>Latvijas Valsts ceļi</w:t>
      </w:r>
      <w:r w:rsidR="008314D6" w:rsidRPr="001375EE">
        <w:rPr>
          <w:color w:val="000000" w:themeColor="text1"/>
        </w:rPr>
        <w:t>”</w:t>
      </w:r>
      <w:r w:rsidR="00C06870" w:rsidRPr="001375EE">
        <w:rPr>
          <w:color w:val="000000" w:themeColor="text1"/>
        </w:rPr>
        <w:t xml:space="preserve">, </w:t>
      </w:r>
      <w:r w:rsidR="00A26C98" w:rsidRPr="001375EE">
        <w:rPr>
          <w:color w:val="000000" w:themeColor="text1"/>
        </w:rPr>
        <w:t>valsts SIA “</w:t>
      </w:r>
      <w:r w:rsidR="00C06870" w:rsidRPr="001375EE">
        <w:rPr>
          <w:color w:val="000000" w:themeColor="text1"/>
        </w:rPr>
        <w:t xml:space="preserve">Zemkopības ministrijas </w:t>
      </w:r>
      <w:r w:rsidR="00A26C98" w:rsidRPr="001375EE">
        <w:rPr>
          <w:color w:val="000000" w:themeColor="text1"/>
        </w:rPr>
        <w:t>n</w:t>
      </w:r>
      <w:r w:rsidR="00C06870" w:rsidRPr="001375EE">
        <w:rPr>
          <w:color w:val="000000" w:themeColor="text1"/>
        </w:rPr>
        <w:t>ekustamie īpašumi</w:t>
      </w:r>
      <w:r w:rsidR="00A26C98" w:rsidRPr="001375EE">
        <w:rPr>
          <w:color w:val="000000" w:themeColor="text1"/>
        </w:rPr>
        <w:t>”</w:t>
      </w:r>
      <w:r w:rsidR="00C06870" w:rsidRPr="001375EE">
        <w:rPr>
          <w:color w:val="000000" w:themeColor="text1"/>
        </w:rPr>
        <w:t xml:space="preserve">, Vides pārraudzības valsts biroja, </w:t>
      </w:r>
      <w:r w:rsidR="006C35F3" w:rsidRPr="001375EE">
        <w:rPr>
          <w:color w:val="000000" w:themeColor="text1"/>
        </w:rPr>
        <w:t>Valsts vides dienesta</w:t>
      </w:r>
      <w:r w:rsidR="00C06870" w:rsidRPr="001375EE">
        <w:rPr>
          <w:color w:val="000000" w:themeColor="text1"/>
        </w:rPr>
        <w:t xml:space="preserve"> u.c. valsts institūciju datu bāzes.</w:t>
      </w:r>
      <w:r w:rsidR="00B934B9" w:rsidRPr="001375EE">
        <w:t xml:space="preserve"> Provizoriskais biotopu kartēšanas darbu organizācijas laika grafiks paredz 2016. gadā veikt biotopu kartēšanu tajos kvadrātos, kur atrodas tās ĪADT, kurām 5.4.2.1. pasākuma ietvaros tiks izstrādāti dabas aizsardzības plāni. </w:t>
      </w:r>
    </w:p>
    <w:p w:rsidR="00C6404B" w:rsidRPr="00BC13A3" w:rsidRDefault="00C6404B" w:rsidP="006513E5">
      <w:pPr>
        <w:autoSpaceDE w:val="0"/>
        <w:autoSpaceDN w:val="0"/>
        <w:adjustRightInd w:val="0"/>
        <w:ind w:firstLine="709"/>
        <w:jc w:val="both"/>
        <w:rPr>
          <w:color w:val="000000" w:themeColor="text1"/>
        </w:rPr>
      </w:pPr>
    </w:p>
    <w:p w:rsidR="002B7A62" w:rsidRDefault="002B7A62" w:rsidP="006513E5">
      <w:pPr>
        <w:ind w:firstLine="709"/>
        <w:jc w:val="both"/>
        <w:rPr>
          <w:bCs/>
        </w:rPr>
      </w:pPr>
      <w:r w:rsidRPr="00BC13A3">
        <w:rPr>
          <w:bCs/>
          <w:color w:val="000000" w:themeColor="text1"/>
        </w:rPr>
        <w:t xml:space="preserve">Lai nodrošinātu biotopu kartēšanas rezultātu kvalitātes kontroli, paredzēts, ka finansējuma saņēmējs vismaz 10% no teritorijas platības, kurā veikta aizsargājamo biotopu inventarizēšana, veiks pārbaudi atbilstoši metodikai, lai salīdzinātu savus iegūtos rezultātus ar pakalpojuma sniedzēja iesniegtajiem datiem un neatbilstības gadījumā uzdotu novērst nepilnības vai veikt biotopu kartēšanas precizēšanu, kā arī veiktu preventīvas darbības. Vismaz 10% slieksnis datu pārbaudei ir noteikts, apkopojot citu </w:t>
      </w:r>
      <w:r w:rsidRPr="00BC13A3">
        <w:rPr>
          <w:bCs/>
        </w:rPr>
        <w:t xml:space="preserve">valstu pieredzi, kas jau veikušas pilnu aizsargājamo biotopu kartējumu savā teritorijā. Pārbaudāmās teritorijas tiks izvēlētas gan pēc nejaušības principa, gan sekojot, lai visu ekspertu darbs tiktu pārbaudīts, gan arī tiks pārbaudītas tās teritorijas, kur būs radušās aizdomas par datu neprecizitāti, salīdzinot iesniegto pakalpojumu sniedzēja informāciju ar citiem </w:t>
      </w:r>
      <w:r w:rsidRPr="001375EE">
        <w:rPr>
          <w:bCs/>
        </w:rPr>
        <w:t xml:space="preserve">datu avotiem (skat., piemēram, </w:t>
      </w:r>
      <w:hyperlink r:id="rId16" w:history="1">
        <w:r w:rsidRPr="001375EE">
          <w:rPr>
            <w:rStyle w:val="Hyperlink"/>
            <w:bCs/>
            <w:color w:val="auto"/>
          </w:rPr>
          <w:t>http://www.eea.europa.eu/publications/terrestrial-habitat-mapping-in-europe</w:t>
        </w:r>
      </w:hyperlink>
      <w:r w:rsidRPr="001375EE">
        <w:rPr>
          <w:bCs/>
        </w:rPr>
        <w:t>).</w:t>
      </w:r>
      <w:r w:rsidRPr="001375EE">
        <w:rPr>
          <w:bCs/>
          <w:sz w:val="22"/>
        </w:rPr>
        <w:t xml:space="preserve"> </w:t>
      </w:r>
      <w:r w:rsidRPr="001375EE">
        <w:rPr>
          <w:bCs/>
        </w:rPr>
        <w:t>Precīzāk</w:t>
      </w:r>
      <w:r w:rsidR="002053E2" w:rsidRPr="001375EE">
        <w:rPr>
          <w:bCs/>
        </w:rPr>
        <w:t>a</w:t>
      </w:r>
      <w:r w:rsidRPr="001375EE">
        <w:rPr>
          <w:bCs/>
        </w:rPr>
        <w:t xml:space="preserve"> kvalitātes kontroles nodrošināšanas kārtība tiks aprakstīta aizsargājamo biotopu izplatības un kvalitātes apzināšanas un darbu organizācijas metodikā, k</w:t>
      </w:r>
      <w:r w:rsidR="0040413D" w:rsidRPr="001375EE">
        <w:rPr>
          <w:bCs/>
        </w:rPr>
        <w:t>uras aprobācija ir veikta 2</w:t>
      </w:r>
      <w:r w:rsidR="0040413D">
        <w:rPr>
          <w:bCs/>
        </w:rPr>
        <w:t>015.</w:t>
      </w:r>
      <w:r w:rsidRPr="00A01E53">
        <w:rPr>
          <w:bCs/>
        </w:rPr>
        <w:t>gadā, pilotprojektā veicot aizsargājamo biotopu izplatības un kvalitātes inventarizāciju 4 kvadrātos. Pilotteritorijas</w:t>
      </w:r>
      <w:r w:rsidRPr="007329D0">
        <w:rPr>
          <w:bCs/>
        </w:rPr>
        <w:t xml:space="preserve"> </w:t>
      </w:r>
      <w:r w:rsidR="00C50688">
        <w:rPr>
          <w:bCs/>
        </w:rPr>
        <w:t xml:space="preserve">tika </w:t>
      </w:r>
      <w:r w:rsidRPr="007329D0">
        <w:rPr>
          <w:bCs/>
        </w:rPr>
        <w:t>izvēlētas tā, lai tajās tiktu pārstāvēti iespējami daudz biotopu veidu, kā arī lai tajās vienmērīgi tiktu pārstāvētas gan īpaši aizsargājamās dabas teritorijas, gan platības ārpus tām.</w:t>
      </w:r>
    </w:p>
    <w:p w:rsidR="002B7A62" w:rsidRPr="00C06870" w:rsidRDefault="002B7A62" w:rsidP="006513E5">
      <w:pPr>
        <w:ind w:firstLine="709"/>
        <w:jc w:val="both"/>
        <w:rPr>
          <w:b/>
          <w:bCs/>
        </w:rPr>
      </w:pPr>
      <w:r w:rsidRPr="00BC13A3">
        <w:rPr>
          <w:bCs/>
        </w:rPr>
        <w:t xml:space="preserve">Lai nodrošinātu zemes </w:t>
      </w:r>
      <w:r w:rsidRPr="001375EE">
        <w:rPr>
          <w:bCs/>
        </w:rPr>
        <w:t>īpašnieku</w:t>
      </w:r>
      <w:r w:rsidR="00BC13A3" w:rsidRPr="001375EE">
        <w:rPr>
          <w:bCs/>
        </w:rPr>
        <w:t xml:space="preserve"> un pašvaldību</w:t>
      </w:r>
      <w:r w:rsidRPr="001375EE">
        <w:rPr>
          <w:bCs/>
        </w:rPr>
        <w:t xml:space="preserve"> informēšanu par aizsargājamo biotopu izplatības un kvalitātes apzināšanu un iegūtajiem rezultātiem, iepriekš minētā metodika iekļaus arī zemes īpašnieku</w:t>
      </w:r>
      <w:r w:rsidR="00BC13A3" w:rsidRPr="001375EE">
        <w:rPr>
          <w:bCs/>
        </w:rPr>
        <w:t xml:space="preserve"> un pašvaldību</w:t>
      </w:r>
      <w:r w:rsidRPr="001375EE">
        <w:rPr>
          <w:bCs/>
        </w:rPr>
        <w:t xml:space="preserve"> informēšanas</w:t>
      </w:r>
      <w:r w:rsidRPr="00BC13A3">
        <w:rPr>
          <w:bCs/>
        </w:rPr>
        <w:t xml:space="preserve"> kārtību, tai skaitā arī procedūru, kādā zemes īpašnieki varēs piedalīties aizsargājamo biotopu izplatības un kvalitātes apzināšanas pasākumos.</w:t>
      </w:r>
      <w:r w:rsidRPr="00C06870">
        <w:rPr>
          <w:b/>
          <w:bCs/>
        </w:rPr>
        <w:t xml:space="preserve"> </w:t>
      </w:r>
    </w:p>
    <w:p w:rsidR="00B7762B" w:rsidRPr="00BC13A3" w:rsidRDefault="00B7762B" w:rsidP="006513E5">
      <w:pPr>
        <w:autoSpaceDE w:val="0"/>
        <w:autoSpaceDN w:val="0"/>
        <w:adjustRightInd w:val="0"/>
        <w:ind w:firstLine="709"/>
        <w:jc w:val="both"/>
      </w:pPr>
      <w:r w:rsidRPr="00BC13A3">
        <w:t xml:space="preserve">Prioritārais saraksts ar ĪADT, kurām jāizstrādā dabas aizsardzības plāni, tiks veidots atbilstoši </w:t>
      </w:r>
      <w:r w:rsidR="0040413D">
        <w:rPr>
          <w:rFonts w:eastAsia="Times New Roman"/>
          <w:bCs/>
          <w:lang w:eastAsia="en-US"/>
        </w:rPr>
        <w:t>MK 2007.gada 9.</w:t>
      </w:r>
      <w:r w:rsidRPr="00BC13A3">
        <w:rPr>
          <w:rFonts w:eastAsia="Times New Roman"/>
          <w:bCs/>
          <w:lang w:eastAsia="en-US"/>
        </w:rPr>
        <w:t>oktobra noteikumos Nr. 686 „Noteikumi par īpaši aizsargājamās dabas teritorijas dabas aizsardzības plāna saturu un izstrādes kārtību” noteiktajai kārtībai</w:t>
      </w:r>
      <w:r w:rsidRPr="00BC13A3">
        <w:t>, ņemot vērā Latvijas dabas aizsardzības nozares Prioritāro rīc</w:t>
      </w:r>
      <w:r w:rsidR="0040413D">
        <w:t>ību ietvarprogrammu 2014.-2020.</w:t>
      </w:r>
      <w:r w:rsidRPr="00BC13A3">
        <w:t xml:space="preserve">gadam (angļu val. – </w:t>
      </w:r>
      <w:r w:rsidRPr="00BC13A3">
        <w:rPr>
          <w:i/>
        </w:rPr>
        <w:t>Prioritised Action Framework for Latvia</w:t>
      </w:r>
      <w:r w:rsidRPr="00BC13A3">
        <w:t xml:space="preserve">). ĪADT, kam prioritāri izstrādājami dabas aizsardzības plāni, būs apskatāmas DAP mājas lapā: </w:t>
      </w:r>
      <w:hyperlink r:id="rId17" w:history="1">
        <w:r w:rsidRPr="00BC13A3">
          <w:rPr>
            <w:rStyle w:val="Hyperlink"/>
          </w:rPr>
          <w:t>www.daba.gov.lv</w:t>
        </w:r>
      </w:hyperlink>
      <w:r w:rsidRPr="00BC13A3">
        <w:t xml:space="preserve"> .</w:t>
      </w:r>
    </w:p>
    <w:p w:rsidR="00B7762B" w:rsidRPr="00BC13A3" w:rsidRDefault="00B7762B" w:rsidP="006513E5">
      <w:pPr>
        <w:ind w:firstLine="709"/>
        <w:jc w:val="both"/>
        <w:rPr>
          <w:rFonts w:eastAsia="Times New Roman"/>
          <w:color w:val="0000FF"/>
          <w:u w:val="single"/>
          <w:lang w:eastAsia="en-US"/>
        </w:rPr>
      </w:pPr>
      <w:r w:rsidRPr="00BC13A3">
        <w:t>Ī</w:t>
      </w:r>
      <w:r w:rsidRPr="00BC13A3">
        <w:rPr>
          <w:rFonts w:eastAsia="Times New Roman"/>
          <w:color w:val="000000"/>
          <w:lang w:eastAsia="en-US"/>
        </w:rPr>
        <w:t xml:space="preserve">paši aizsargājamo sugu saraksts, kam jāizstrādā plāni, tiks veidots atbilstoši VARAM </w:t>
      </w:r>
      <w:r w:rsidR="0040413D">
        <w:rPr>
          <w:rFonts w:eastAsia="Times New Roman"/>
          <w:color w:val="000000"/>
          <w:lang w:eastAsia="en-US"/>
        </w:rPr>
        <w:t>2015.gada 11.</w:t>
      </w:r>
      <w:r w:rsidR="00C06870" w:rsidRPr="00BC13A3">
        <w:rPr>
          <w:rFonts w:eastAsia="Times New Roman"/>
          <w:color w:val="000000"/>
          <w:lang w:eastAsia="en-US"/>
        </w:rPr>
        <w:t>maijā apstiprinātā</w:t>
      </w:r>
      <w:r w:rsidRPr="00BC13A3">
        <w:rPr>
          <w:rFonts w:eastAsia="Times New Roman"/>
          <w:color w:val="000000"/>
          <w:lang w:eastAsia="en-US"/>
        </w:rPr>
        <w:t xml:space="preserve"> rīkojuma</w:t>
      </w:r>
      <w:r w:rsidRPr="00BC13A3">
        <w:rPr>
          <w:rFonts w:eastAsia="Times New Roman"/>
          <w:bCs/>
          <w:lang w:eastAsia="en-US"/>
        </w:rPr>
        <w:t xml:space="preserve"> </w:t>
      </w:r>
      <w:r w:rsidR="00C06870" w:rsidRPr="00BC13A3">
        <w:rPr>
          <w:rFonts w:eastAsia="Times New Roman"/>
          <w:bCs/>
          <w:lang w:eastAsia="en-US"/>
        </w:rPr>
        <w:t xml:space="preserve">Nr.127 </w:t>
      </w:r>
      <w:r w:rsidR="00A26C98" w:rsidRPr="00BC13A3">
        <w:rPr>
          <w:rFonts w:eastAsia="Times New Roman"/>
          <w:bCs/>
          <w:lang w:eastAsia="en-US"/>
        </w:rPr>
        <w:t>“</w:t>
      </w:r>
      <w:r w:rsidRPr="00BC13A3">
        <w:rPr>
          <w:rFonts w:eastAsia="Times New Roman"/>
          <w:bCs/>
          <w:lang w:eastAsia="en-US"/>
        </w:rPr>
        <w:t>Par sugu un biotopu aizsardzības plānu izstrādāšanas kārtību</w:t>
      </w:r>
      <w:r w:rsidR="00A26C98" w:rsidRPr="00BC13A3">
        <w:rPr>
          <w:rFonts w:eastAsia="Times New Roman"/>
          <w:bCs/>
          <w:lang w:eastAsia="en-US"/>
        </w:rPr>
        <w:t>”</w:t>
      </w:r>
      <w:r w:rsidRPr="00BC13A3">
        <w:rPr>
          <w:rFonts w:eastAsia="Times New Roman"/>
          <w:bCs/>
          <w:lang w:eastAsia="en-US"/>
        </w:rPr>
        <w:t xml:space="preserve"> kārtībai un noteiktajiem kritērijiem</w:t>
      </w:r>
      <w:r w:rsidR="00C06870" w:rsidRPr="00BC13A3">
        <w:rPr>
          <w:rFonts w:eastAsia="Times New Roman"/>
          <w:bCs/>
          <w:lang w:eastAsia="en-US"/>
        </w:rPr>
        <w:t xml:space="preserve">. </w:t>
      </w:r>
    </w:p>
    <w:p w:rsidR="00B7762B" w:rsidRDefault="00B7762B" w:rsidP="006513E5">
      <w:pPr>
        <w:ind w:firstLine="709"/>
        <w:jc w:val="both"/>
        <w:rPr>
          <w:rFonts w:eastAsia="Times New Roman"/>
          <w:color w:val="000000"/>
          <w:lang w:eastAsia="en-US"/>
        </w:rPr>
      </w:pPr>
      <w:r w:rsidRPr="00C63409">
        <w:rPr>
          <w:rFonts w:eastAsia="Times New Roman"/>
          <w:u w:val="single"/>
          <w:lang w:eastAsia="en-US"/>
        </w:rPr>
        <w:t>Ī</w:t>
      </w:r>
      <w:r w:rsidRPr="00C63409">
        <w:rPr>
          <w:rFonts w:eastAsia="Times New Roman"/>
          <w:lang w:eastAsia="en-US"/>
        </w:rPr>
        <w:t>paši a</w:t>
      </w:r>
      <w:r w:rsidRPr="00DA1985">
        <w:rPr>
          <w:rFonts w:eastAsia="Times New Roman"/>
          <w:color w:val="000000"/>
          <w:lang w:eastAsia="en-US"/>
        </w:rPr>
        <w:t>izsargājam</w:t>
      </w:r>
      <w:r>
        <w:rPr>
          <w:rFonts w:eastAsia="Times New Roman"/>
          <w:color w:val="000000"/>
          <w:lang w:eastAsia="en-US"/>
        </w:rPr>
        <w:t>o</w:t>
      </w:r>
      <w:r w:rsidRPr="00DA1985">
        <w:rPr>
          <w:rFonts w:eastAsia="Times New Roman"/>
          <w:color w:val="000000"/>
          <w:lang w:eastAsia="en-US"/>
        </w:rPr>
        <w:t xml:space="preserve"> sug</w:t>
      </w:r>
      <w:r>
        <w:rPr>
          <w:rFonts w:eastAsia="Times New Roman"/>
          <w:color w:val="000000"/>
          <w:lang w:eastAsia="en-US"/>
        </w:rPr>
        <w:t>u saraksts, kam prioritāri izstr</w:t>
      </w:r>
      <w:r w:rsidRPr="00DA1985">
        <w:rPr>
          <w:rFonts w:eastAsia="Times New Roman"/>
          <w:color w:val="000000"/>
          <w:lang w:eastAsia="en-US"/>
        </w:rPr>
        <w:t>ā</w:t>
      </w:r>
      <w:r>
        <w:rPr>
          <w:rFonts w:eastAsia="Times New Roman"/>
          <w:color w:val="000000"/>
          <w:lang w:eastAsia="en-US"/>
        </w:rPr>
        <w:t>dājami aizsardzības plāni, būs apskatāms šeit</w:t>
      </w:r>
      <w:r w:rsidRPr="00DA1985">
        <w:rPr>
          <w:rFonts w:eastAsia="Times New Roman"/>
          <w:color w:val="000000"/>
          <w:lang w:eastAsia="en-US"/>
        </w:rPr>
        <w:t>:</w:t>
      </w:r>
      <w:r>
        <w:rPr>
          <w:rFonts w:eastAsia="Times New Roman"/>
          <w:color w:val="000000"/>
          <w:lang w:eastAsia="en-US"/>
        </w:rPr>
        <w:t xml:space="preserve"> </w:t>
      </w:r>
      <w:hyperlink r:id="rId18" w:tooltip="http://www.daba.gov.lv/public/lat/dati1/petijumu_prioritates/" w:history="1">
        <w:r w:rsidRPr="00DA1985">
          <w:rPr>
            <w:rFonts w:eastAsia="Times New Roman"/>
            <w:color w:val="0000FF"/>
            <w:u w:val="single"/>
            <w:lang w:eastAsia="en-US"/>
          </w:rPr>
          <w:t>http://www.daba.gov.lv/public/lat/dati1/petijumu_prioritates/</w:t>
        </w:r>
      </w:hyperlink>
      <w:r>
        <w:rPr>
          <w:rFonts w:eastAsia="Times New Roman"/>
          <w:color w:val="0000FF"/>
          <w:u w:val="single"/>
          <w:lang w:eastAsia="en-US"/>
        </w:rPr>
        <w:t>.</w:t>
      </w:r>
      <w:r>
        <w:rPr>
          <w:rFonts w:eastAsia="Times New Roman"/>
          <w:color w:val="000000"/>
          <w:lang w:eastAsia="en-US"/>
        </w:rPr>
        <w:t xml:space="preserve"> </w:t>
      </w:r>
    </w:p>
    <w:p w:rsidR="00B7762B" w:rsidRDefault="00880ECE" w:rsidP="00880ECE">
      <w:pPr>
        <w:shd w:val="clear" w:color="auto" w:fill="FFFFFF"/>
        <w:jc w:val="both"/>
      </w:pPr>
      <w:r>
        <w:rPr>
          <w:color w:val="FFFFFF"/>
        </w:rPr>
        <w:t>A</w:t>
      </w:r>
      <w:r w:rsidRPr="00880ECE">
        <w:t>A</w:t>
      </w:r>
      <w:r w:rsidR="00B7762B" w:rsidRPr="00880ECE">
        <w:t>i</w:t>
      </w:r>
      <w:r w:rsidR="00B7762B" w:rsidRPr="00677827">
        <w:t xml:space="preserve">zsargājamo sugu sarakstā, kam prioritāri izstrādājami plāni, kas </w:t>
      </w:r>
      <w:r w:rsidR="00B7762B">
        <w:t xml:space="preserve">tiks </w:t>
      </w:r>
      <w:r w:rsidR="00B7762B" w:rsidRPr="001375EE">
        <w:t>izveidots atbilstoši VARAM rīkojumā noteiktajiem prioritātes kritērijiem, tiks iekļautas vairāk īpaši aizsargājamās sugas, nekā plānots izstrādāt sugu aizsardzības plānus, jo jāņem vērā, ka laikā</w:t>
      </w:r>
      <w:r w:rsidR="00B7762B" w:rsidRPr="007968BA">
        <w:t xml:space="preserve"> līdz projekta iesniegšanai atsevišķu plānu izstrādei varētu būt atrasts cits finanšu instruments</w:t>
      </w:r>
      <w:r w:rsidR="00B7762B">
        <w:t>, kā arī jāņem vērā specifisku</w:t>
      </w:r>
      <w:r w:rsidR="00B7762B" w:rsidRPr="007968BA">
        <w:t xml:space="preserve"> ekspertu </w:t>
      </w:r>
      <w:r w:rsidR="00B7762B">
        <w:t>ierobežotā</w:t>
      </w:r>
      <w:r w:rsidR="00B7762B" w:rsidRPr="007968BA">
        <w:t xml:space="preserve"> pieejamība.</w:t>
      </w:r>
    </w:p>
    <w:p w:rsidR="002B7A62" w:rsidRDefault="002B7A62" w:rsidP="00C06870">
      <w:pPr>
        <w:shd w:val="clear" w:color="auto" w:fill="FFFFFF"/>
        <w:spacing w:after="120"/>
        <w:jc w:val="both"/>
      </w:pPr>
    </w:p>
    <w:p w:rsidR="00B7762B" w:rsidRPr="007968BA" w:rsidRDefault="00B7762B" w:rsidP="00B7762B">
      <w:pPr>
        <w:spacing w:before="120" w:after="120"/>
        <w:jc w:val="both"/>
        <w:rPr>
          <w:b/>
          <w:u w:val="single"/>
        </w:rPr>
      </w:pPr>
      <w:r w:rsidRPr="007968BA">
        <w:rPr>
          <w:b/>
          <w:u w:val="single"/>
        </w:rPr>
        <w:t>Datu uzkrāšana un tālākā izmantojamība</w:t>
      </w:r>
    </w:p>
    <w:p w:rsidR="00B7762B" w:rsidRPr="001375EE" w:rsidRDefault="00B7762B" w:rsidP="00A92A80">
      <w:pPr>
        <w:ind w:firstLine="709"/>
        <w:jc w:val="both"/>
        <w:rPr>
          <w:bCs/>
        </w:rPr>
      </w:pPr>
      <w:r w:rsidRPr="007968BA">
        <w:rPr>
          <w:bCs/>
        </w:rPr>
        <w:t xml:space="preserve">5.4.2.1. pasākuma īstenošanas rezultātā iegūtie dati un informācija, t.sk., gan biotopu kartēšanas, gan ĪADT dabas aizsardzības un sugu aizsardzības plānu izstrādes rezultāti </w:t>
      </w:r>
      <w:r>
        <w:rPr>
          <w:bCs/>
        </w:rPr>
        <w:t>MK</w:t>
      </w:r>
      <w:r w:rsidRPr="007968BA">
        <w:rPr>
          <w:bCs/>
        </w:rPr>
        <w:t xml:space="preserve"> 201</w:t>
      </w:r>
      <w:r w:rsidR="0040413D">
        <w:rPr>
          <w:bCs/>
        </w:rPr>
        <w:t>4.gada 9.jūnija noteikumu Nr.</w:t>
      </w:r>
      <w:r w:rsidRPr="007968BA">
        <w:rPr>
          <w:bCs/>
        </w:rPr>
        <w:t xml:space="preserve">293 “Dabas datu pārvaldības sistēmas uzturēšanas, datu aktualizācijas un informācijas aprites kārtība” noteiktajā kārtībā tiks ievietoti dabas datu pārvaldības sistēmā “Ozols”, kurā tiek </w:t>
      </w:r>
      <w:r w:rsidRPr="007968BA">
        <w:t>uzkrāti un ir pieejami ģeotelpiski dati par dabas vērtībām no dabas aizsardzības plāniem, monitoringa un dažādiem citiem projektiem</w:t>
      </w:r>
      <w:r w:rsidRPr="007968BA">
        <w:rPr>
          <w:bCs/>
        </w:rPr>
        <w:t xml:space="preserve">, un </w:t>
      </w:r>
      <w:r w:rsidRPr="007968BA">
        <w:t xml:space="preserve">kuru šim nolūkam būs nepieciešams pilnveidot, paredzot </w:t>
      </w:r>
      <w:r w:rsidRPr="001375EE">
        <w:t>atbilstošas jaudas serverus un nepieciešamās lietotāju licences.</w:t>
      </w:r>
      <w:r w:rsidRPr="001375EE">
        <w:rPr>
          <w:bCs/>
        </w:rPr>
        <w:t xml:space="preserve"> </w:t>
      </w:r>
    </w:p>
    <w:p w:rsidR="00B7762B" w:rsidRPr="007968BA" w:rsidRDefault="00B7762B" w:rsidP="00A92A80">
      <w:pPr>
        <w:ind w:firstLine="709"/>
        <w:jc w:val="both"/>
        <w:rPr>
          <w:bCs/>
        </w:rPr>
      </w:pPr>
      <w:r w:rsidRPr="001375EE">
        <w:rPr>
          <w:bCs/>
        </w:rPr>
        <w:t>Projekta rezultātā iegūtos datus, tāpat kā citus dabas datu pārvaldības sistēmā reģistrētos datus citas iestādes un organizācijas varēs iegūt, izmantojot valsts vienotajā ģeotelpiskās informācijas portāla jeb ģeoportāla (</w:t>
      </w:r>
      <w:hyperlink r:id="rId19" w:history="1">
        <w:r w:rsidRPr="001375EE">
          <w:rPr>
            <w:rStyle w:val="Hyperlink"/>
            <w:bCs/>
          </w:rPr>
          <w:t>www.geolatvija.lv</w:t>
        </w:r>
      </w:hyperlink>
      <w:r w:rsidRPr="001375EE">
        <w:rPr>
          <w:bCs/>
        </w:rPr>
        <w:t>) pakalpojumus</w:t>
      </w:r>
      <w:r w:rsidRPr="007968BA">
        <w:rPr>
          <w:bCs/>
        </w:rPr>
        <w:t xml:space="preserve">. Saskaņā ar </w:t>
      </w:r>
      <w:r>
        <w:rPr>
          <w:bCs/>
        </w:rPr>
        <w:t xml:space="preserve">MK </w:t>
      </w:r>
      <w:r w:rsidRPr="007968BA">
        <w:rPr>
          <w:bCs/>
        </w:rPr>
        <w:t>2011.</w:t>
      </w:r>
      <w:r w:rsidR="0040413D">
        <w:rPr>
          <w:bCs/>
        </w:rPr>
        <w:t>gada 30.</w:t>
      </w:r>
      <w:r>
        <w:rPr>
          <w:bCs/>
        </w:rPr>
        <w:t>augusta</w:t>
      </w:r>
      <w:r w:rsidRPr="007968BA">
        <w:rPr>
          <w:bCs/>
        </w:rPr>
        <w:t xml:space="preserve"> noteikumiem Nr.668 “Valsts vienotā ģeotelpiskās informācijas portāla noteikumi” aizsargājamas teritorijas dzīvotnes un biotopi un sugu izplatība ir ģeoportālā ietveramo datu temati. Saskaņā ar </w:t>
      </w:r>
      <w:r>
        <w:rPr>
          <w:bCs/>
        </w:rPr>
        <w:t>MK</w:t>
      </w:r>
      <w:r w:rsidRPr="007968BA">
        <w:rPr>
          <w:bCs/>
        </w:rPr>
        <w:t xml:space="preserve"> </w:t>
      </w:r>
      <w:r w:rsidR="0040413D">
        <w:rPr>
          <w:bCs/>
        </w:rPr>
        <w:t>2014.gada</w:t>
      </w:r>
      <w:r>
        <w:rPr>
          <w:bCs/>
        </w:rPr>
        <w:t xml:space="preserve">9. jūnija </w:t>
      </w:r>
      <w:r w:rsidRPr="007968BA">
        <w:rPr>
          <w:bCs/>
        </w:rPr>
        <w:t>noteikumiem Nr.293</w:t>
      </w:r>
      <w:r>
        <w:rPr>
          <w:bCs/>
        </w:rPr>
        <w:t xml:space="preserve"> “</w:t>
      </w:r>
      <w:r w:rsidRPr="00DF020D">
        <w:rPr>
          <w:bCs/>
        </w:rPr>
        <w:t>Dabas datu pārvaldības sistēmas uzturēšanas, datu aktualizācijas un informācijas aprites kārtība</w:t>
      </w:r>
      <w:r>
        <w:rPr>
          <w:bCs/>
        </w:rPr>
        <w:t>”</w:t>
      </w:r>
      <w:r w:rsidRPr="007968BA">
        <w:rPr>
          <w:bCs/>
        </w:rPr>
        <w:t xml:space="preserve"> DAP nodrošina datu publisku pieejamību tīmeklī</w:t>
      </w:r>
      <w:r>
        <w:rPr>
          <w:bCs/>
        </w:rPr>
        <w:t>, to</w:t>
      </w:r>
      <w:r w:rsidRPr="007968BA">
        <w:rPr>
          <w:bCs/>
        </w:rPr>
        <w:t xml:space="preserve"> izmantošanu un izsniegšanu bez maksas. Minētie noteikumi paredz atsevišķos gadījumos rakstisku vienošanos noslēgšanu ar DAP par sistēmas datu sagatavošanas un izsniegšanas kārtību.</w:t>
      </w:r>
    </w:p>
    <w:p w:rsidR="00FC40DD" w:rsidRPr="00FC40DD" w:rsidRDefault="00FC40DD" w:rsidP="00A92A80">
      <w:pPr>
        <w:ind w:firstLine="709"/>
        <w:jc w:val="both"/>
      </w:pPr>
      <w:r w:rsidRPr="00FC40DD">
        <w:t>Ģeoportālā datus iespējams iegūt gan kā skatīšanās, gan lejupielādes pakalpojumu, kur organizāciju vai iestāžu darbinieki, lejupielādējot strukturētus datus par aizsargājamām teritorijām, var tos tālāk izmantot savās iekšējās IS vai savietot ar citiem viņu rīcībā esošajiem datiem</w:t>
      </w:r>
      <w:r w:rsidR="00596BCD">
        <w:t>,</w:t>
      </w:r>
      <w:r w:rsidRPr="00FC40DD">
        <w:t xml:space="preserve"> izmantojot ĢIS programmatūru</w:t>
      </w:r>
      <w:r w:rsidR="00596BCD">
        <w:t>,</w:t>
      </w:r>
      <w:r w:rsidRPr="00FC40DD">
        <w:t xml:space="preserve"> un tālāk jau veikt telpiskos aprēķinus vai jebkādas citas manipulācijas ar šiem datiem (šķelt, apvienot, papildināt u.c.) savā pusē.</w:t>
      </w:r>
    </w:p>
    <w:p w:rsidR="00FC40DD" w:rsidRPr="00FC40DD" w:rsidRDefault="00FC40DD" w:rsidP="00A92A80">
      <w:pPr>
        <w:ind w:firstLine="709"/>
        <w:jc w:val="both"/>
      </w:pPr>
      <w:r w:rsidRPr="00FC40DD">
        <w:t xml:space="preserve">DAP jau šobrīd ir noslēgtas vai tiek aktualizētas starpresoru vienošanās par datu nodošanu digitālā veidā ar Lauku atbalsta dienestu, Valsts zemes dienestu, Valsts meža dienestu, VAS „Latvijas Valsts meži”, u.c. iestādēm, kurām lēmumu pieņemšanā nepieciešams izmantot informāciju par ĪADT, aizsargājamām sugām, biotopiem u.c. dabas jautājumiem, to starp, attiecībā uz Teritorijas attīstības plānošanas sistēmu (TAPIS) un Apgrūtināto teritoriju informācijas sistēmu (ATIS), kurām tāpat kā </w:t>
      </w:r>
      <w:r w:rsidR="00113C7F">
        <w:t>ģ</w:t>
      </w:r>
      <w:r w:rsidRPr="00FC40DD">
        <w:t>eoportālam informācija no dabas datu pārvaldības sistēmas “Ozols” tiek padota tiešsaistē, izmantojot ĢDS (ģeotelpisko datu savietotāju), kas nodrošina nepieciešamo datu aktualitāti lēmumu pieņemšanai.</w:t>
      </w:r>
    </w:p>
    <w:p w:rsidR="00FC40DD" w:rsidRDefault="00FC40DD" w:rsidP="00A92A80">
      <w:pPr>
        <w:ind w:firstLine="709"/>
        <w:jc w:val="both"/>
      </w:pPr>
      <w:r w:rsidRPr="00FC40DD">
        <w:t xml:space="preserve">Paralēli </w:t>
      </w:r>
      <w:r w:rsidR="00113C7F">
        <w:t>ģ</w:t>
      </w:r>
      <w:r w:rsidRPr="00FC40DD">
        <w:t>eoportālam un TAPIS, DAP iestāžu un organizāciju vajadzībām, ja tās izrādījušas interesi, dod piekļuvi dabas datu pārvaldības sistēmai “Ozols” kā reģistrētam lietotājam, kurā šo dabas datus iespējams savietot un pārlūkot kontekstā ar citām datu kopām, piem</w:t>
      </w:r>
      <w:r w:rsidR="00596BCD">
        <w:t>ēram,</w:t>
      </w:r>
      <w:r w:rsidRPr="00FC40DD">
        <w:t xml:space="preserve"> kadastru, ortofoto utml. Jau šobrīd vienošanās ar </w:t>
      </w:r>
      <w:r w:rsidR="00596BCD" w:rsidRPr="00FC40DD">
        <w:t>Lauku atbalsta dienestu</w:t>
      </w:r>
      <w:r w:rsidRPr="00FC40DD">
        <w:t xml:space="preserve"> paredz, ka DAP regulāri nodot bioloģiski vērtīgu zālāju aktualizēto informāciju, kas tiek izmantota atbalsta</w:t>
      </w:r>
      <w:r>
        <w:t xml:space="preserve"> maksājumu administrēšanā. Līdzīga sadarbība tiek veidota gan ar Valsts zemes dienestu, gan Valsts reģionālā attīstības aģentūru. </w:t>
      </w:r>
    </w:p>
    <w:p w:rsidR="00C50688" w:rsidRDefault="00C50688" w:rsidP="00FC40DD">
      <w:pPr>
        <w:spacing w:after="120"/>
        <w:jc w:val="both"/>
        <w:rPr>
          <w:highlight w:val="yellow"/>
        </w:rPr>
      </w:pPr>
    </w:p>
    <w:p w:rsidR="00B7762B" w:rsidRPr="00CE2E6C" w:rsidRDefault="00B7762B" w:rsidP="00B7762B">
      <w:pPr>
        <w:spacing w:after="120"/>
        <w:jc w:val="both"/>
        <w:rPr>
          <w:b/>
          <w:bCs/>
          <w:u w:val="single"/>
        </w:rPr>
      </w:pPr>
      <w:r w:rsidRPr="00CE2E6C">
        <w:rPr>
          <w:b/>
          <w:bCs/>
          <w:u w:val="single"/>
        </w:rPr>
        <w:t>Cita informācija par 5.4.2.1. pasākumu</w:t>
      </w:r>
    </w:p>
    <w:p w:rsidR="00B7762B" w:rsidRPr="008D7565" w:rsidRDefault="00B7762B" w:rsidP="00A92A80">
      <w:pPr>
        <w:ind w:firstLine="567"/>
        <w:jc w:val="both"/>
        <w:rPr>
          <w:b/>
        </w:rPr>
      </w:pPr>
      <w:r>
        <w:t>5.4.2.1. p</w:t>
      </w:r>
      <w:r w:rsidRPr="007968BA">
        <w:t>asākuma īstenošanu plānots uzsākt 201</w:t>
      </w:r>
      <w:r w:rsidR="00C04C98">
        <w:t>6</w:t>
      </w:r>
      <w:r w:rsidRPr="007968BA">
        <w:t>.gadā: 201</w:t>
      </w:r>
      <w:r w:rsidR="00C04C98">
        <w:t>6</w:t>
      </w:r>
      <w:r w:rsidRPr="007968BA">
        <w:t xml:space="preserve">.gada </w:t>
      </w:r>
      <w:r w:rsidR="00C04C98">
        <w:t>pirmajā</w:t>
      </w:r>
      <w:r w:rsidRPr="007968BA">
        <w:t xml:space="preserve"> ceturksnī plānota projektu atlases izsludināšana, </w:t>
      </w:r>
      <w:r w:rsidR="0040413D">
        <w:t>2016.</w:t>
      </w:r>
      <w:r w:rsidR="00C04C98">
        <w:t xml:space="preserve">gada otrajā </w:t>
      </w:r>
      <w:r w:rsidR="0080448F">
        <w:t xml:space="preserve">un trešajā </w:t>
      </w:r>
      <w:r w:rsidR="00C04C98">
        <w:t xml:space="preserve">ceturksnī - </w:t>
      </w:r>
      <w:r w:rsidRPr="007968BA">
        <w:t>projektu iesniegšana un vērtēšana. 201</w:t>
      </w:r>
      <w:r w:rsidR="00C04C98">
        <w:t xml:space="preserve">6. gada </w:t>
      </w:r>
      <w:r w:rsidR="0080448F">
        <w:t>trešā ceturksnī</w:t>
      </w:r>
      <w:r w:rsidRPr="007968BA">
        <w:t xml:space="preserve"> plānots pieņemt lēmumu par</w:t>
      </w:r>
      <w:r>
        <w:t xml:space="preserve"> izvērtēto</w:t>
      </w:r>
      <w:r w:rsidRPr="007968BA">
        <w:t xml:space="preserve"> projekt</w:t>
      </w:r>
      <w:r>
        <w:t>a iesniegum</w:t>
      </w:r>
      <w:r w:rsidRPr="007968BA">
        <w:t>u</w:t>
      </w:r>
      <w:r w:rsidR="0080448F">
        <w:t xml:space="preserve"> un</w:t>
      </w:r>
      <w:r>
        <w:t xml:space="preserve"> </w:t>
      </w:r>
      <w:r w:rsidRPr="007968BA">
        <w:t>pozitīva lēmuma gadījumā noslēgt vienošanos par projekta īstenošanu.</w:t>
      </w:r>
      <w:r w:rsidR="0080448F">
        <w:t xml:space="preserve"> </w:t>
      </w:r>
    </w:p>
    <w:p w:rsidR="00B7762B" w:rsidRPr="007968BA" w:rsidRDefault="00B7762B" w:rsidP="00A92A80">
      <w:pPr>
        <w:ind w:firstLine="567"/>
        <w:jc w:val="both"/>
      </w:pPr>
      <w:r w:rsidRPr="007968BA">
        <w:t xml:space="preserve">Projektu </w:t>
      </w:r>
      <w:r>
        <w:t>paredzēts</w:t>
      </w:r>
      <w:r w:rsidRPr="007968BA">
        <w:t xml:space="preserve"> īsteno</w:t>
      </w:r>
      <w:r>
        <w:t>t</w:t>
      </w:r>
      <w:r w:rsidRPr="007968BA">
        <w:t xml:space="preserve"> ne ilgāk kā </w:t>
      </w:r>
      <w:r w:rsidR="008D7565">
        <w:t>četru</w:t>
      </w:r>
      <w:r w:rsidRPr="007968BA">
        <w:t xml:space="preserve"> gadu laikā no vienošanās par projekta īstenošanu parakstīšanas. Salīdzinoši garais projekta īstenošanas laiks </w:t>
      </w:r>
      <w:r>
        <w:t>saistīts ar</w:t>
      </w:r>
      <w:r w:rsidRPr="007968BA">
        <w:t xml:space="preserve"> projekta aktivitāšu sezonalitāti, </w:t>
      </w:r>
      <w:r>
        <w:t>normatīvos aktos noteikto procedūru ievērošanu</w:t>
      </w:r>
      <w:r w:rsidRPr="007968BA">
        <w:t>,</w:t>
      </w:r>
      <w:r>
        <w:t xml:space="preserve"> it sevišķi attiecībā uz sabiedriskās apspriešanas nodrošināšanu dabas aizsardzības plāniem,</w:t>
      </w:r>
      <w:r w:rsidRPr="007968BA">
        <w:t xml:space="preserve"> </w:t>
      </w:r>
      <w:r>
        <w:t>kas, cita starpā, ietver informācijas izsludināšanu un sanāksmes rīkošanu par plāna izstrādes uzsākšanu</w:t>
      </w:r>
      <w:r w:rsidRPr="001375EE">
        <w:t>, plāna izstrādes uzraudzības grupas izveidi, plāna projekta sabiedrisko apspriešanu, saskaņošanu ar attiecīgo pašvaldību</w:t>
      </w:r>
      <w:r>
        <w:t xml:space="preserve"> un plāna apstiprināšanu (skat. </w:t>
      </w:r>
      <w:hyperlink r:id="rId20" w:history="1">
        <w:r w:rsidRPr="00F6788B">
          <w:rPr>
            <w:rStyle w:val="Hyperlink"/>
          </w:rPr>
          <w:t>http://likumi.lv/doc.php?id=164588</w:t>
        </w:r>
      </w:hyperlink>
      <w:r>
        <w:t xml:space="preserve">), kā arī </w:t>
      </w:r>
      <w:r w:rsidRPr="007968BA">
        <w:t>ierobežoto ekspertu skaitu un biotopu inventarizā</w:t>
      </w:r>
      <w:r>
        <w:t>cijai, kartēšanai un datu apstrādei, pārbaudei un ievadei</w:t>
      </w:r>
      <w:r w:rsidRPr="007968BA">
        <w:t xml:space="preserve"> sis</w:t>
      </w:r>
      <w:r>
        <w:t>tēmā nepieciešamajiem laika resursiem</w:t>
      </w:r>
      <w:r w:rsidRPr="007968BA">
        <w:t>.</w:t>
      </w:r>
    </w:p>
    <w:p w:rsidR="00B7762B" w:rsidRPr="00C63409" w:rsidRDefault="00B7762B" w:rsidP="00A92A80">
      <w:pPr>
        <w:pStyle w:val="PlainText"/>
        <w:ind w:firstLine="567"/>
        <w:jc w:val="both"/>
        <w:rPr>
          <w:rFonts w:ascii="Times New Roman" w:hAnsi="Times New Roman"/>
          <w:sz w:val="24"/>
          <w:szCs w:val="24"/>
          <w:lang w:val="lv-LV"/>
        </w:rPr>
      </w:pPr>
      <w:r w:rsidRPr="002174E1">
        <w:rPr>
          <w:rFonts w:ascii="Times New Roman" w:hAnsi="Times New Roman"/>
          <w:sz w:val="24"/>
          <w:szCs w:val="24"/>
          <w:lang w:val="lv-LV"/>
        </w:rPr>
        <w:t>5.4.2.1. pasākumam pieejamais kopējais attiecināmais finansējums ir 9 500 000 euro, tai skaitā K</w:t>
      </w:r>
      <w:r w:rsidR="00596BCD">
        <w:rPr>
          <w:rFonts w:ascii="Times New Roman" w:hAnsi="Times New Roman"/>
          <w:sz w:val="24"/>
          <w:szCs w:val="24"/>
          <w:lang w:val="lv-LV"/>
        </w:rPr>
        <w:t>ohēzijas fonda</w:t>
      </w:r>
      <w:r w:rsidRPr="002174E1">
        <w:rPr>
          <w:rFonts w:ascii="Times New Roman" w:hAnsi="Times New Roman"/>
          <w:sz w:val="24"/>
          <w:szCs w:val="24"/>
          <w:lang w:val="lv-LV"/>
        </w:rPr>
        <w:t xml:space="preserve"> finansējums – 8 075 000 euro</w:t>
      </w:r>
      <w:r w:rsidRPr="002174E1">
        <w:rPr>
          <w:rFonts w:ascii="Times New Roman" w:hAnsi="Times New Roman"/>
          <w:i/>
          <w:sz w:val="24"/>
          <w:szCs w:val="24"/>
          <w:lang w:val="lv-LV"/>
        </w:rPr>
        <w:t>.</w:t>
      </w:r>
      <w:r w:rsidRPr="002174E1">
        <w:rPr>
          <w:rStyle w:val="Noklusjumarindkopasfonts1"/>
          <w:rFonts w:ascii="Times New Roman" w:hAnsi="Times New Roman"/>
          <w:sz w:val="24"/>
          <w:szCs w:val="24"/>
          <w:lang w:val="lv-LV"/>
        </w:rPr>
        <w:t xml:space="preserve"> </w:t>
      </w:r>
    </w:p>
    <w:p w:rsidR="00B7762B" w:rsidRPr="007968BA" w:rsidRDefault="00B7762B" w:rsidP="00A92A80">
      <w:pPr>
        <w:shd w:val="clear" w:color="auto" w:fill="FFFFFF"/>
        <w:ind w:firstLine="567"/>
        <w:jc w:val="both"/>
      </w:pPr>
      <w:r>
        <w:t xml:space="preserve">Kā norādīts anotācijā, </w:t>
      </w:r>
      <w:r w:rsidR="0040413D">
        <w:t xml:space="preserve">5.4.2.1. </w:t>
      </w:r>
      <w:r w:rsidRPr="007968BA">
        <w:t>pasākuma finansējuma saņēmēj</w:t>
      </w:r>
      <w:r>
        <w:t>s būs valsts pārvaldes iestāde (DAP), un</w:t>
      </w:r>
      <w:r w:rsidRPr="007968BA">
        <w:t xml:space="preserve"> paredzētā finansējuma piešķiršana 5.4.2.1.</w:t>
      </w:r>
      <w:r w:rsidR="0040413D">
        <w:t xml:space="preserve"> </w:t>
      </w:r>
      <w:r w:rsidRPr="007968BA">
        <w:t>pasākumam nav uzskat</w:t>
      </w:r>
      <w:r>
        <w:t>āma par atbalstu komercdarbībai, kā arī</w:t>
      </w:r>
      <w:r w:rsidRPr="007968BA">
        <w:t xml:space="preserve"> 5.4.2.1.</w:t>
      </w:r>
      <w:r w:rsidR="0040413D">
        <w:t xml:space="preserve"> </w:t>
      </w:r>
      <w:r w:rsidRPr="007968BA">
        <w:t>pasākumam nav paredzama tieša ietekme uz makroekonomisko vidi un nav paredzama negatīva ietekme uz konkurenci un tirdzniecību.</w:t>
      </w:r>
    </w:p>
    <w:p w:rsidR="00B7762B" w:rsidRDefault="00B7762B" w:rsidP="00A92A80">
      <w:pPr>
        <w:tabs>
          <w:tab w:val="left" w:pos="460"/>
        </w:tabs>
        <w:ind w:firstLine="567"/>
        <w:jc w:val="both"/>
      </w:pPr>
      <w:r>
        <w:rPr>
          <w:bCs/>
        </w:rPr>
        <w:t>P</w:t>
      </w:r>
      <w:r w:rsidRPr="007968BA">
        <w:rPr>
          <w:bCs/>
        </w:rPr>
        <w:t xml:space="preserve">aredzams, ka </w:t>
      </w:r>
      <w:r w:rsidRPr="007968BA">
        <w:t>5.4.2.1.</w:t>
      </w:r>
      <w:r w:rsidR="0040413D">
        <w:t xml:space="preserve"> </w:t>
      </w:r>
      <w:r w:rsidRPr="007968BA">
        <w:rPr>
          <w:bCs/>
        </w:rPr>
        <w:t xml:space="preserve">pasākuma īstenošanai </w:t>
      </w:r>
      <w:r>
        <w:rPr>
          <w:bCs/>
        </w:rPr>
        <w:t>ne</w:t>
      </w:r>
      <w:r w:rsidRPr="007968BA">
        <w:rPr>
          <w:bCs/>
        </w:rPr>
        <w:t xml:space="preserve">būs tieša ietekme uz </w:t>
      </w:r>
      <w:r w:rsidRPr="007968BA">
        <w:t>sociālo sfēru,</w:t>
      </w:r>
      <w:r w:rsidRPr="007968BA">
        <w:rPr>
          <w:bCs/>
        </w:rPr>
        <w:t xml:space="preserve"> pārvaldes iestā</w:t>
      </w:r>
      <w:r>
        <w:rPr>
          <w:bCs/>
        </w:rPr>
        <w:t>žu funkcijām un cilvēkresursiem</w:t>
      </w:r>
      <w:r w:rsidRPr="007968BA">
        <w:rPr>
          <w:bCs/>
        </w:rPr>
        <w:t xml:space="preserve">. Pasākums neietekmēs spēkā esošo tiesību normu sistēmu. </w:t>
      </w:r>
      <w:r w:rsidRPr="007968BA">
        <w:t>Vērtējot pasākuma īstenošanas ietekmi uz administratīvajām procedūrām un to izmaksām, nav identificēts administratīvā sloga palielinājums ne potenciālajam finansējuma saņēmējam, ne fondu vadībā iesaistītajām institūcijām. Tieši pretēji – projekta ietvaros iegūtā informācija par aizsargājamo sugu un biotopu atrašanās vietu un stāv</w:t>
      </w:r>
      <w:r>
        <w:t xml:space="preserve">okli, atvieglos valsts iestāžu </w:t>
      </w:r>
      <w:r w:rsidRPr="007968BA">
        <w:t>darbību un pašvaldības institūciju pienākumu un funkciju izpildi, novērsīs esošos vai potenciālos konfliktus starp dažādām interešu grupām.</w:t>
      </w:r>
    </w:p>
    <w:p w:rsidR="00B7762B" w:rsidRDefault="00B7762B" w:rsidP="00A92A80">
      <w:pPr>
        <w:pStyle w:val="Header"/>
        <w:tabs>
          <w:tab w:val="clear" w:pos="4153"/>
          <w:tab w:val="clear" w:pos="8306"/>
        </w:tabs>
        <w:ind w:firstLine="567"/>
      </w:pPr>
    </w:p>
    <w:p w:rsidR="00ED5699" w:rsidRPr="00860943" w:rsidRDefault="00ED5699" w:rsidP="00A92A80">
      <w:pPr>
        <w:pStyle w:val="Header"/>
        <w:tabs>
          <w:tab w:val="clear" w:pos="4153"/>
          <w:tab w:val="clear" w:pos="8306"/>
        </w:tabs>
        <w:ind w:firstLine="567"/>
      </w:pPr>
    </w:p>
    <w:p w:rsidR="00C6404B" w:rsidRPr="00D16D7C" w:rsidRDefault="00C6404B" w:rsidP="00A92A80">
      <w:pPr>
        <w:ind w:firstLine="567"/>
      </w:pPr>
    </w:p>
    <w:p w:rsidR="00C6404B" w:rsidRPr="00790289" w:rsidRDefault="00C6404B" w:rsidP="00C6404B">
      <w:pPr>
        <w:pStyle w:val="Heading3"/>
        <w:rPr>
          <w:rFonts w:ascii="Times New Roman" w:hAnsi="Times New Roman" w:cs="Times New Roman"/>
          <w:b/>
          <w:color w:val="auto"/>
        </w:rPr>
      </w:pPr>
      <w:r w:rsidRPr="00EF798B">
        <w:rPr>
          <w:rFonts w:ascii="Times New Roman" w:hAnsi="Times New Roman" w:cs="Times New Roman"/>
          <w:b/>
          <w:color w:val="auto"/>
        </w:rPr>
        <w:t xml:space="preserve">Obligāti </w:t>
      </w:r>
      <w:r w:rsidRPr="00790289">
        <w:rPr>
          <w:rFonts w:ascii="Times New Roman" w:hAnsi="Times New Roman" w:cs="Times New Roman"/>
          <w:b/>
          <w:color w:val="auto"/>
        </w:rPr>
        <w:t xml:space="preserve">apsekojamās </w:t>
      </w:r>
      <w:r w:rsidR="00790289">
        <w:rPr>
          <w:rFonts w:ascii="Times New Roman" w:hAnsi="Times New Roman" w:cs="Times New Roman"/>
          <w:b/>
          <w:color w:val="auto"/>
        </w:rPr>
        <w:t xml:space="preserve">un neapsekojamās </w:t>
      </w:r>
      <w:r w:rsidRPr="00790289">
        <w:rPr>
          <w:rFonts w:ascii="Times New Roman" w:hAnsi="Times New Roman" w:cs="Times New Roman"/>
          <w:b/>
          <w:color w:val="auto"/>
        </w:rPr>
        <w:t>teritorijas</w:t>
      </w:r>
      <w:r w:rsidR="00C06870" w:rsidRPr="00790289">
        <w:rPr>
          <w:rFonts w:ascii="Times New Roman" w:hAnsi="Times New Roman" w:cs="Times New Roman"/>
          <w:b/>
          <w:color w:val="auto"/>
        </w:rPr>
        <w:t>, veicot</w:t>
      </w:r>
      <w:r w:rsidR="00C06870" w:rsidRPr="00790289">
        <w:rPr>
          <w:rFonts w:ascii="Times New Roman" w:hAnsi="Times New Roman" w:cs="Times New Roman"/>
          <w:b/>
          <w:bCs/>
          <w:color w:val="auto"/>
        </w:rPr>
        <w:t xml:space="preserve"> aizsargājamo biotopu izplatības un kvalitātes apzināšanu saskaņā ar </w:t>
      </w:r>
      <w:r w:rsidR="00790289" w:rsidRPr="00790289">
        <w:rPr>
          <w:rFonts w:ascii="Times New Roman" w:hAnsi="Times New Roman" w:cs="Times New Roman"/>
          <w:b/>
          <w:color w:val="auto"/>
        </w:rPr>
        <w:t>Ministru kabineta 2015.gada 3.novembra protokollēmumu “Informatīvais ziņojums “Par pasākumiem aizsargājamo biotopu izplatības un kvalitātes apzināšanai”” (prot. Nr.57, 59.§)</w:t>
      </w:r>
    </w:p>
    <w:p w:rsidR="00C6404B" w:rsidRDefault="00C6404B" w:rsidP="00C6404B"/>
    <w:p w:rsidR="00790289" w:rsidRPr="00790289" w:rsidRDefault="00790289" w:rsidP="00C6404B">
      <w:r w:rsidRPr="00EF798B">
        <w:rPr>
          <w:b/>
        </w:rPr>
        <w:t xml:space="preserve">Obligāti </w:t>
      </w:r>
      <w:r w:rsidRPr="00790289">
        <w:rPr>
          <w:b/>
        </w:rPr>
        <w:t>apsekojamās teritorijas</w:t>
      </w:r>
      <w:r>
        <w:rPr>
          <w:b/>
        </w:rPr>
        <w:t>:</w:t>
      </w:r>
    </w:p>
    <w:p w:rsidR="00C6404B" w:rsidRPr="00EF798B" w:rsidRDefault="00C6404B" w:rsidP="00C6404B">
      <w:pPr>
        <w:pStyle w:val="Heading3"/>
        <w:rPr>
          <w:rFonts w:ascii="Times New Roman" w:hAnsi="Times New Roman" w:cs="Times New Roman"/>
          <w:b/>
          <w:color w:val="auto"/>
        </w:rPr>
      </w:pPr>
      <w:r w:rsidRPr="00EF798B">
        <w:rPr>
          <w:rFonts w:ascii="Times New Roman" w:hAnsi="Times New Roman" w:cs="Times New Roman"/>
          <w:b/>
          <w:color w:val="auto"/>
        </w:rPr>
        <w:t>I. Mežaudzes:</w:t>
      </w:r>
    </w:p>
    <w:p w:rsidR="00C6404B" w:rsidRPr="00D16D7C" w:rsidRDefault="00C6404B" w:rsidP="00C6404B">
      <w:pPr>
        <w:pStyle w:val="ListParagraph"/>
        <w:ind w:left="284" w:hanging="142"/>
        <w:jc w:val="both"/>
        <w:rPr>
          <w:sz w:val="24"/>
          <w:szCs w:val="24"/>
        </w:rPr>
      </w:pPr>
      <w:r w:rsidRPr="00D16D7C">
        <w:rPr>
          <w:sz w:val="24"/>
          <w:szCs w:val="24"/>
        </w:rPr>
        <w:t xml:space="preserve">1.Ģeotelpisko datu slānis, kura atribūtu datos norādāmi dati, kas atlasīti pēc 1., 2. un 3. tabulā minētajiem kritērijiem, un nogabalus aprakstošie dati: </w:t>
      </w:r>
    </w:p>
    <w:p w:rsidR="00C6404B" w:rsidRPr="00D16D7C" w:rsidRDefault="00C6404B" w:rsidP="00C6404B">
      <w:pPr>
        <w:ind w:left="1418" w:hanging="425"/>
        <w:jc w:val="both"/>
        <w:rPr>
          <w:i/>
        </w:rPr>
      </w:pPr>
      <w:r w:rsidRPr="00D16D7C">
        <w:t>1.1. nogabala raksturojošā īpatnība - speciālā informācija - atzīme par vides un dabas resursu aizsargjoslām, bioloģiski nozīmīgiem meža struktūras elementiem – mežaudzēm ezeru salās, mežaudzēm purvu salās, meža puduriem, mežaudzēm ūdens teču un ūdenstilpju palienēs, ģeoloģiskiem un ģeomorfoloģiskiem veidojumiem (gravām, kritenēm, noslīdeņiem, iežu atsegumiem), avotiem, avoksnājiem un bioloģiski vērtīgām mežaudzēm (īpaši aizsargājamiem meža iecirkņiem);</w:t>
      </w:r>
    </w:p>
    <w:p w:rsidR="00C6404B" w:rsidRPr="00D16D7C" w:rsidRDefault="00C6404B" w:rsidP="00C6404B">
      <w:pPr>
        <w:ind w:left="1418" w:hanging="425"/>
        <w:jc w:val="both"/>
      </w:pPr>
      <w:r w:rsidRPr="00D16D7C">
        <w:t>1.2. mežaudzes izcelsmes veids;</w:t>
      </w:r>
    </w:p>
    <w:p w:rsidR="00C6404B" w:rsidRPr="00D16D7C" w:rsidRDefault="00C6404B" w:rsidP="00C6404B">
      <w:pPr>
        <w:ind w:left="1418" w:hanging="425"/>
        <w:jc w:val="both"/>
      </w:pPr>
      <w:r w:rsidRPr="00D16D7C">
        <w:t>1.3. mežaudzes sastāvs, mežaudzes vecums, meža tips;</w:t>
      </w:r>
    </w:p>
    <w:p w:rsidR="00C6404B" w:rsidRPr="00D16D7C" w:rsidRDefault="00C6404B" w:rsidP="00C6404B">
      <w:pPr>
        <w:ind w:left="1418" w:hanging="425"/>
        <w:jc w:val="both"/>
      </w:pPr>
      <w:r w:rsidRPr="00D16D7C">
        <w:t>1.4. meža inventarizācijas gads.</w:t>
      </w:r>
    </w:p>
    <w:p w:rsidR="00C6404B" w:rsidRPr="00D16D7C" w:rsidRDefault="00C6404B" w:rsidP="00CE6A45">
      <w:pPr>
        <w:spacing w:line="276" w:lineRule="auto"/>
        <w:ind w:left="142" w:hanging="142"/>
        <w:jc w:val="both"/>
        <w:rPr>
          <w:i/>
        </w:rPr>
      </w:pPr>
      <w:bookmarkStart w:id="0" w:name="_Toc465742517"/>
      <w:r w:rsidRPr="00D16D7C">
        <w:t xml:space="preserve">2. ģeotelpiskais slānis ar informāciju par meža ugunsgrēkiem kopš 2007. gada. Atribūtdatos – gads, nogabalu aprakstošie </w:t>
      </w:r>
      <w:r w:rsidRPr="00CE6A45">
        <w:t>lauki.</w:t>
      </w:r>
    </w:p>
    <w:p w:rsidR="00C6404B" w:rsidRPr="00D16D7C" w:rsidRDefault="00C6404B" w:rsidP="00CE6A45">
      <w:pPr>
        <w:pStyle w:val="ListParagraph"/>
        <w:ind w:left="1418" w:hanging="425"/>
        <w:jc w:val="both"/>
        <w:rPr>
          <w:rFonts w:eastAsia="Calibri"/>
          <w:sz w:val="24"/>
          <w:szCs w:val="24"/>
        </w:rPr>
      </w:pPr>
      <w:r w:rsidRPr="00D16D7C">
        <w:rPr>
          <w:rFonts w:eastAsia="Calibri"/>
          <w:sz w:val="24"/>
          <w:szCs w:val="24"/>
        </w:rPr>
        <w:t>2.1. Mežaudzes, kur sastāva formulā „plusos” (&lt;5%) ir P, Oz &gt; 140 gadiem (+nogabalu aprakstošie lauki).</w:t>
      </w:r>
    </w:p>
    <w:p w:rsidR="00C6404B" w:rsidRPr="00D16D7C" w:rsidRDefault="00C6404B" w:rsidP="00CE6A45">
      <w:pPr>
        <w:ind w:left="1418" w:hanging="425"/>
        <w:jc w:val="both"/>
      </w:pPr>
      <w:r w:rsidRPr="00D16D7C">
        <w:t xml:space="preserve">2.2. egle pirmajā stāvā sastāda </w:t>
      </w:r>
      <w:r w:rsidRPr="00D16D7C">
        <w:rPr>
          <w:u w:val="single"/>
        </w:rPr>
        <w:t>&gt;</w:t>
      </w:r>
      <w:r w:rsidRPr="00D16D7C">
        <w:t xml:space="preserve"> 4 un vecums ir </w:t>
      </w:r>
      <w:r w:rsidRPr="00D16D7C">
        <w:rPr>
          <w:u w:val="single"/>
        </w:rPr>
        <w:t>&gt;</w:t>
      </w:r>
      <w:r w:rsidRPr="00D16D7C">
        <w:t xml:space="preserve"> 60 gadiem. (+nogabalu aprakstošie lauki). Meža tips: vēris, gārša, damaksnis, platlapju ārenis, platlapju kūdrenis, slapjā gārša, slapjais vēris, dumbrājs.</w:t>
      </w:r>
    </w:p>
    <w:p w:rsidR="00C6404B" w:rsidRPr="00D16D7C" w:rsidRDefault="00C6404B" w:rsidP="00CE6A45">
      <w:pPr>
        <w:keepNext/>
        <w:ind w:left="1418" w:hanging="425"/>
        <w:jc w:val="both"/>
        <w:rPr>
          <w:rFonts w:eastAsia="Times New Roman"/>
        </w:rPr>
      </w:pPr>
      <w:r w:rsidRPr="00D16D7C">
        <w:rPr>
          <w:rFonts w:eastAsia="Times New Roman"/>
        </w:rPr>
        <w:t>2.3. Purvi – sūnu, zāļu, pārejas (meža zemes veidi – 21, 22, 23).</w:t>
      </w:r>
    </w:p>
    <w:p w:rsidR="00C6404B" w:rsidRPr="00D16D7C" w:rsidRDefault="00C6404B" w:rsidP="00CE6A45">
      <w:pPr>
        <w:ind w:left="1418" w:hanging="425"/>
        <w:jc w:val="both"/>
      </w:pPr>
      <w:r w:rsidRPr="00D16D7C">
        <w:t>2.4. Valsts meža dienesta slānis par dabiskajiem meža biotopiem (MKT) un 10 gadus vecie, neaktualizētie atribūtdati).</w:t>
      </w:r>
    </w:p>
    <w:p w:rsidR="00C6404B" w:rsidRPr="00D16D7C" w:rsidRDefault="00C6404B" w:rsidP="00CE6A45">
      <w:pPr>
        <w:ind w:left="1418" w:hanging="425"/>
        <w:jc w:val="both"/>
      </w:pPr>
      <w:r w:rsidRPr="00D16D7C">
        <w:t>2.5. Īpaši aizsargājamie meža iecirkņi (no tekstuālās bāzes) – aizsargājams augs (aizsardzības atzīme 99010086)</w:t>
      </w:r>
    </w:p>
    <w:p w:rsidR="00BE3182" w:rsidRDefault="00C6404B" w:rsidP="00CE6A45">
      <w:pPr>
        <w:ind w:left="1418" w:hanging="425"/>
        <w:jc w:val="both"/>
      </w:pPr>
      <w:r w:rsidRPr="00D16D7C">
        <w:t>2.6. Ģeotelpisko datu slānis, kas ietver informāciju par dabiskajiem meža biotopiem (turpmāk – DMB) un potenciālajiem dabiskajiem meža biotopiem (turpmāk – pDMB), norādot atribūtu datos DMB vai pDMB veidu – skuju koku mežs (SKUJ), mistrots skuju-lapu koku mežs (MIS), platlapju mežs (PLAT), apšu mežs (APS), cits lapu koku mežs (LAP), slapjš melnalkšņu mežs (MELN), egļu un mistrots slapjš egļu mežs (SLAP-EGL), slapjie priežu un bērzu mežs (SLAP-PRIE), slapjš platlapju mežs (SLAP-PLA), gravas mežs (GRAV), nogāzes mežs (NOGĀZ), krastmalas mežs (KRAST), avotains mežs (AVOT), kaļķains skuju koku mežs (KAĻĶ-SKUJ), kaļķains zāļu purvs vai pļava (ZĀĻ-PURV), purva un meža mozaīka (MOZA), biokoks (KOKS), biol</w:t>
      </w:r>
      <w:r w:rsidR="00BE3182">
        <w:t>oģiski nozīmīga bebraine (BEBR);</w:t>
      </w:r>
    </w:p>
    <w:p w:rsidR="00C6404B" w:rsidRDefault="00BE3182" w:rsidP="00CE6A45">
      <w:pPr>
        <w:ind w:left="1418" w:hanging="425"/>
        <w:jc w:val="both"/>
      </w:pPr>
      <w:r>
        <w:t xml:space="preserve">2.7. </w:t>
      </w:r>
      <w:r w:rsidRPr="00D16D7C">
        <w:t>Ģeotelpisko datu slānis, kas ietver informāciju par medņu riestu vietām (poligoni bez atribūtu datiem).</w:t>
      </w:r>
    </w:p>
    <w:p w:rsidR="00CE6A45" w:rsidRPr="00D16D7C" w:rsidRDefault="00CE6A45" w:rsidP="00CE6A45">
      <w:pPr>
        <w:ind w:left="1418" w:hanging="425"/>
        <w:jc w:val="both"/>
      </w:pPr>
    </w:p>
    <w:bookmarkEnd w:id="0"/>
    <w:p w:rsidR="00C6404B" w:rsidRPr="004D51AD" w:rsidRDefault="00732940" w:rsidP="00C6404B">
      <w:pPr>
        <w:pStyle w:val="ListParagraph"/>
        <w:spacing w:after="200" w:line="276" w:lineRule="auto"/>
        <w:rPr>
          <w:rFonts w:eastAsia="Calibri"/>
          <w:b/>
          <w:sz w:val="24"/>
          <w:szCs w:val="24"/>
        </w:rPr>
      </w:pPr>
      <w:r>
        <w:rPr>
          <w:rFonts w:eastAsia="Calibri"/>
          <w:sz w:val="24"/>
          <w:szCs w:val="24"/>
        </w:rPr>
        <w:t xml:space="preserve">Tabula. </w:t>
      </w:r>
      <w:r w:rsidR="00C6404B" w:rsidRPr="004D51AD">
        <w:rPr>
          <w:rFonts w:eastAsia="Calibri"/>
          <w:b/>
          <w:sz w:val="24"/>
          <w:szCs w:val="24"/>
        </w:rPr>
        <w:t>Visi mežu tipi</w:t>
      </w:r>
    </w:p>
    <w:tbl>
      <w:tblPr>
        <w:tblW w:w="0" w:type="auto"/>
        <w:tblInd w:w="534" w:type="dxa"/>
        <w:tblLayout w:type="fixed"/>
        <w:tblLook w:val="0000"/>
      </w:tblPr>
      <w:tblGrid>
        <w:gridCol w:w="3118"/>
        <w:gridCol w:w="1559"/>
        <w:gridCol w:w="1701"/>
      </w:tblGrid>
      <w:tr w:rsidR="00C6404B" w:rsidRPr="00D16D7C" w:rsidTr="00447EB4">
        <w:tc>
          <w:tcPr>
            <w:tcW w:w="3118" w:type="dxa"/>
            <w:tcBorders>
              <w:top w:val="double" w:sz="6" w:space="0" w:color="auto"/>
              <w:left w:val="double" w:sz="6" w:space="0" w:color="auto"/>
              <w:bottom w:val="double" w:sz="6" w:space="0" w:color="auto"/>
            </w:tcBorders>
          </w:tcPr>
          <w:p w:rsidR="00C6404B" w:rsidRPr="00D16D7C" w:rsidRDefault="00C6404B" w:rsidP="00447EB4">
            <w:pPr>
              <w:jc w:val="both"/>
              <w:rPr>
                <w:rFonts w:eastAsia="Times New Roman"/>
                <w:i/>
              </w:rPr>
            </w:pPr>
            <w:r w:rsidRPr="00D16D7C">
              <w:rPr>
                <w:rFonts w:eastAsia="Times New Roman"/>
                <w:i/>
              </w:rPr>
              <w:t>Suga</w:t>
            </w:r>
          </w:p>
        </w:tc>
        <w:tc>
          <w:tcPr>
            <w:tcW w:w="1559" w:type="dxa"/>
            <w:tcBorders>
              <w:top w:val="double" w:sz="6" w:space="0" w:color="auto"/>
              <w:left w:val="double" w:sz="6" w:space="0" w:color="auto"/>
              <w:bottom w:val="double" w:sz="6" w:space="0" w:color="auto"/>
              <w:right w:val="double" w:sz="6" w:space="0" w:color="auto"/>
            </w:tcBorders>
          </w:tcPr>
          <w:p w:rsidR="00C6404B" w:rsidRPr="00D16D7C" w:rsidRDefault="00C6404B" w:rsidP="00447EB4">
            <w:pPr>
              <w:jc w:val="both"/>
              <w:rPr>
                <w:rFonts w:eastAsia="Times New Roman"/>
                <w:i/>
              </w:rPr>
            </w:pPr>
            <w:r w:rsidRPr="00D16D7C">
              <w:rPr>
                <w:rFonts w:eastAsia="Times New Roman"/>
                <w:i/>
              </w:rPr>
              <w:t>Vecums no:</w:t>
            </w:r>
          </w:p>
        </w:tc>
        <w:tc>
          <w:tcPr>
            <w:tcW w:w="1701" w:type="dxa"/>
            <w:tcBorders>
              <w:top w:val="double" w:sz="6" w:space="0" w:color="auto"/>
              <w:left w:val="nil"/>
              <w:bottom w:val="double" w:sz="6" w:space="0" w:color="auto"/>
              <w:right w:val="double" w:sz="6" w:space="0" w:color="auto"/>
            </w:tcBorders>
          </w:tcPr>
          <w:p w:rsidR="00C6404B" w:rsidRPr="00D16D7C" w:rsidRDefault="00C6404B" w:rsidP="00447EB4">
            <w:pPr>
              <w:jc w:val="both"/>
              <w:rPr>
                <w:rFonts w:eastAsia="Times New Roman"/>
                <w:i/>
              </w:rPr>
            </w:pPr>
            <w:r w:rsidRPr="00D16D7C">
              <w:rPr>
                <w:rFonts w:eastAsia="Times New Roman"/>
                <w:i/>
              </w:rPr>
              <w:t>% sastāvs audzē sākot no:</w:t>
            </w:r>
          </w:p>
        </w:tc>
      </w:tr>
      <w:tr w:rsidR="00C6404B" w:rsidRPr="00D16D7C" w:rsidTr="00447EB4">
        <w:tc>
          <w:tcPr>
            <w:tcW w:w="3118" w:type="dxa"/>
            <w:tcBorders>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 xml:space="preserve">Priede </w:t>
            </w:r>
          </w:p>
        </w:tc>
        <w:tc>
          <w:tcPr>
            <w:tcW w:w="1559" w:type="dxa"/>
            <w:tcBorders>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111</w:t>
            </w:r>
          </w:p>
        </w:tc>
        <w:tc>
          <w:tcPr>
            <w:tcW w:w="1701" w:type="dxa"/>
            <w:tcBorders>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30</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Egle</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91</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50</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Ozols</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101</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10</w:t>
            </w:r>
          </w:p>
        </w:tc>
      </w:tr>
      <w:tr w:rsidR="00C6404B" w:rsidRPr="00D16D7C" w:rsidTr="00447EB4">
        <w:trPr>
          <w:trHeight w:val="217"/>
        </w:trPr>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Bērzs</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81</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50</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Melnalksnis</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61</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30</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Osis</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61</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20</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Liepa</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61</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Goba, Vīksna</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61</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Kļava</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61</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Baltalksnis</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51</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50</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Blīgzna</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51</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10</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Apse</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51</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20</w:t>
            </w:r>
          </w:p>
        </w:tc>
      </w:tr>
      <w:tr w:rsidR="00C6404B" w:rsidRPr="00D16D7C" w:rsidTr="00447EB4">
        <w:tc>
          <w:tcPr>
            <w:tcW w:w="3118" w:type="dxa"/>
            <w:tcBorders>
              <w:top w:val="single" w:sz="6" w:space="0" w:color="auto"/>
              <w:left w:val="double" w:sz="6" w:space="0" w:color="auto"/>
              <w:bottom w:val="double" w:sz="6" w:space="0" w:color="auto"/>
            </w:tcBorders>
          </w:tcPr>
          <w:p w:rsidR="00C6404B" w:rsidRPr="00D16D7C" w:rsidRDefault="00C6404B" w:rsidP="00447EB4">
            <w:pPr>
              <w:jc w:val="both"/>
              <w:rPr>
                <w:rFonts w:eastAsia="Times New Roman"/>
              </w:rPr>
            </w:pPr>
            <w:r w:rsidRPr="00D16D7C">
              <w:rPr>
                <w:rFonts w:eastAsia="Times New Roman"/>
              </w:rPr>
              <w:t>Ozols, kļava, liepa, osis goba, vīksna (savstarpēji mistrojumā)</w:t>
            </w:r>
          </w:p>
        </w:tc>
        <w:tc>
          <w:tcPr>
            <w:tcW w:w="1559" w:type="dxa"/>
            <w:tcBorders>
              <w:top w:val="single" w:sz="6" w:space="0" w:color="auto"/>
              <w:left w:val="double" w:sz="6" w:space="0" w:color="auto"/>
              <w:bottom w:val="doub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61</w:t>
            </w:r>
          </w:p>
        </w:tc>
        <w:tc>
          <w:tcPr>
            <w:tcW w:w="1701" w:type="dxa"/>
            <w:tcBorders>
              <w:top w:val="single" w:sz="6" w:space="0" w:color="auto"/>
              <w:left w:val="nil"/>
              <w:bottom w:val="doub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10</w:t>
            </w:r>
          </w:p>
        </w:tc>
      </w:tr>
    </w:tbl>
    <w:p w:rsidR="00732940" w:rsidRPr="00581B71" w:rsidRDefault="00732940" w:rsidP="00C6404B">
      <w:pPr>
        <w:keepNext/>
        <w:jc w:val="both"/>
        <w:rPr>
          <w:rFonts w:eastAsia="Times New Roman"/>
          <w:sz w:val="18"/>
        </w:rPr>
      </w:pPr>
    </w:p>
    <w:p w:rsidR="00C6404B" w:rsidRPr="00D16D7C" w:rsidRDefault="00732940" w:rsidP="00732940">
      <w:pPr>
        <w:keepNext/>
        <w:jc w:val="both"/>
      </w:pPr>
      <w:r>
        <w:rPr>
          <w:rFonts w:eastAsia="Times New Roman"/>
        </w:rPr>
        <w:t>T</w:t>
      </w:r>
      <w:r w:rsidR="00C6404B" w:rsidRPr="00D16D7C">
        <w:rPr>
          <w:rFonts w:eastAsia="Times New Roman"/>
        </w:rPr>
        <w:t>abula</w:t>
      </w:r>
      <w:r>
        <w:rPr>
          <w:rFonts w:eastAsia="Times New Roman"/>
        </w:rPr>
        <w:t xml:space="preserve">. </w:t>
      </w:r>
      <w:r w:rsidR="00C6404B" w:rsidRPr="00D16D7C">
        <w:t>Tikai Am; Ap; As; Km; Kp; Ks; Gr; Mrs; Dms; Vrs meža tipos</w:t>
      </w:r>
    </w:p>
    <w:tbl>
      <w:tblPr>
        <w:tblW w:w="0" w:type="auto"/>
        <w:tblInd w:w="534" w:type="dxa"/>
        <w:tblLayout w:type="fixed"/>
        <w:tblLook w:val="0000"/>
      </w:tblPr>
      <w:tblGrid>
        <w:gridCol w:w="3118"/>
        <w:gridCol w:w="1559"/>
        <w:gridCol w:w="1701"/>
      </w:tblGrid>
      <w:tr w:rsidR="00C6404B" w:rsidRPr="00D16D7C" w:rsidTr="00447EB4">
        <w:tc>
          <w:tcPr>
            <w:tcW w:w="3118" w:type="dxa"/>
            <w:tcBorders>
              <w:top w:val="double" w:sz="6" w:space="0" w:color="auto"/>
              <w:left w:val="double" w:sz="6" w:space="0" w:color="auto"/>
              <w:bottom w:val="double" w:sz="6" w:space="0" w:color="auto"/>
            </w:tcBorders>
          </w:tcPr>
          <w:p w:rsidR="00C6404B" w:rsidRPr="00D16D7C" w:rsidRDefault="00C6404B" w:rsidP="00447EB4">
            <w:pPr>
              <w:jc w:val="both"/>
              <w:rPr>
                <w:rFonts w:eastAsia="Times New Roman"/>
                <w:i/>
              </w:rPr>
            </w:pPr>
            <w:r w:rsidRPr="00D16D7C">
              <w:rPr>
                <w:rFonts w:eastAsia="Times New Roman"/>
                <w:i/>
              </w:rPr>
              <w:t>Suga</w:t>
            </w:r>
          </w:p>
        </w:tc>
        <w:tc>
          <w:tcPr>
            <w:tcW w:w="1559" w:type="dxa"/>
            <w:tcBorders>
              <w:top w:val="double" w:sz="6" w:space="0" w:color="auto"/>
              <w:left w:val="double" w:sz="6" w:space="0" w:color="auto"/>
              <w:bottom w:val="double" w:sz="6" w:space="0" w:color="auto"/>
              <w:right w:val="double" w:sz="6" w:space="0" w:color="auto"/>
            </w:tcBorders>
          </w:tcPr>
          <w:p w:rsidR="00C6404B" w:rsidRPr="00D16D7C" w:rsidRDefault="00C6404B" w:rsidP="00447EB4">
            <w:pPr>
              <w:jc w:val="both"/>
              <w:rPr>
                <w:rFonts w:eastAsia="Times New Roman"/>
                <w:i/>
              </w:rPr>
            </w:pPr>
            <w:r w:rsidRPr="00D16D7C">
              <w:rPr>
                <w:rFonts w:eastAsia="Times New Roman"/>
                <w:i/>
              </w:rPr>
              <w:t>Vecums</w:t>
            </w:r>
          </w:p>
        </w:tc>
        <w:tc>
          <w:tcPr>
            <w:tcW w:w="1701" w:type="dxa"/>
            <w:tcBorders>
              <w:top w:val="double" w:sz="6" w:space="0" w:color="auto"/>
              <w:left w:val="nil"/>
              <w:bottom w:val="double" w:sz="6" w:space="0" w:color="auto"/>
              <w:right w:val="double" w:sz="6" w:space="0" w:color="auto"/>
            </w:tcBorders>
          </w:tcPr>
          <w:p w:rsidR="00C6404B" w:rsidRPr="00D16D7C" w:rsidRDefault="00C6404B" w:rsidP="00447EB4">
            <w:pPr>
              <w:jc w:val="both"/>
              <w:rPr>
                <w:rFonts w:eastAsia="Times New Roman"/>
                <w:i/>
              </w:rPr>
            </w:pPr>
            <w:r w:rsidRPr="00D16D7C">
              <w:rPr>
                <w:rFonts w:eastAsia="Times New Roman"/>
                <w:i/>
              </w:rPr>
              <w:t>% sastāvs audzē sākot no:</w:t>
            </w:r>
          </w:p>
        </w:tc>
      </w:tr>
      <w:tr w:rsidR="00C6404B" w:rsidRPr="00D16D7C" w:rsidTr="00447EB4">
        <w:tc>
          <w:tcPr>
            <w:tcW w:w="3118" w:type="dxa"/>
            <w:tcBorders>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Priede</w:t>
            </w:r>
          </w:p>
        </w:tc>
        <w:tc>
          <w:tcPr>
            <w:tcW w:w="1559" w:type="dxa"/>
            <w:tcBorders>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111</w:t>
            </w:r>
          </w:p>
        </w:tc>
        <w:tc>
          <w:tcPr>
            <w:tcW w:w="1701" w:type="dxa"/>
            <w:tcBorders>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30</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Egle</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90</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50</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Ozols</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90</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10</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Bērzs</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80</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50</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Melnalksnis</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50</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30</w:t>
            </w:r>
          </w:p>
        </w:tc>
      </w:tr>
      <w:tr w:rsidR="00C6404B" w:rsidRPr="00D16D7C" w:rsidTr="00447EB4">
        <w:tc>
          <w:tcPr>
            <w:tcW w:w="3118" w:type="dxa"/>
            <w:tcBorders>
              <w:top w:val="single" w:sz="6" w:space="0" w:color="auto"/>
              <w:left w:val="double" w:sz="6" w:space="0" w:color="auto"/>
              <w:bottom w:val="single" w:sz="6" w:space="0" w:color="auto"/>
            </w:tcBorders>
          </w:tcPr>
          <w:p w:rsidR="00C6404B" w:rsidRPr="00D16D7C" w:rsidRDefault="00C6404B" w:rsidP="00447EB4">
            <w:pPr>
              <w:jc w:val="both"/>
              <w:rPr>
                <w:rFonts w:eastAsia="Times New Roman"/>
              </w:rPr>
            </w:pPr>
            <w:r w:rsidRPr="00D16D7C">
              <w:rPr>
                <w:rFonts w:eastAsia="Times New Roman"/>
              </w:rPr>
              <w:t>Liepa</w:t>
            </w:r>
          </w:p>
        </w:tc>
        <w:tc>
          <w:tcPr>
            <w:tcW w:w="1559" w:type="dxa"/>
            <w:tcBorders>
              <w:top w:val="single" w:sz="6" w:space="0" w:color="auto"/>
              <w:left w:val="double" w:sz="6" w:space="0" w:color="auto"/>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51</w:t>
            </w:r>
          </w:p>
        </w:tc>
        <w:tc>
          <w:tcPr>
            <w:tcW w:w="1701" w:type="dxa"/>
            <w:tcBorders>
              <w:top w:val="single" w:sz="6" w:space="0" w:color="auto"/>
              <w:left w:val="nil"/>
              <w:bottom w:val="sing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20</w:t>
            </w:r>
          </w:p>
        </w:tc>
      </w:tr>
      <w:tr w:rsidR="00C6404B" w:rsidRPr="00D16D7C" w:rsidTr="00447EB4">
        <w:tc>
          <w:tcPr>
            <w:tcW w:w="3118" w:type="dxa"/>
            <w:tcBorders>
              <w:top w:val="single" w:sz="6" w:space="0" w:color="auto"/>
              <w:left w:val="double" w:sz="6" w:space="0" w:color="auto"/>
            </w:tcBorders>
          </w:tcPr>
          <w:p w:rsidR="00C6404B" w:rsidRPr="00D16D7C" w:rsidRDefault="00C6404B" w:rsidP="00447EB4">
            <w:pPr>
              <w:jc w:val="both"/>
              <w:rPr>
                <w:rFonts w:eastAsia="Times New Roman"/>
              </w:rPr>
            </w:pPr>
            <w:r w:rsidRPr="00D16D7C">
              <w:rPr>
                <w:rFonts w:eastAsia="Times New Roman"/>
              </w:rPr>
              <w:t>Goba, Vīksna</w:t>
            </w:r>
          </w:p>
        </w:tc>
        <w:tc>
          <w:tcPr>
            <w:tcW w:w="1559" w:type="dxa"/>
            <w:tcBorders>
              <w:top w:val="single" w:sz="6" w:space="0" w:color="auto"/>
              <w:left w:val="doub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51</w:t>
            </w:r>
          </w:p>
        </w:tc>
        <w:tc>
          <w:tcPr>
            <w:tcW w:w="1701" w:type="dxa"/>
            <w:tcBorders>
              <w:top w:val="single" w:sz="6" w:space="0" w:color="auto"/>
              <w:left w:val="nil"/>
              <w:right w:val="double" w:sz="6" w:space="0" w:color="auto"/>
            </w:tcBorders>
          </w:tcPr>
          <w:p w:rsidR="00C6404B" w:rsidRPr="00D16D7C" w:rsidRDefault="00C6404B" w:rsidP="00447EB4">
            <w:pPr>
              <w:jc w:val="center"/>
              <w:rPr>
                <w:rFonts w:eastAsia="Times New Roman"/>
              </w:rPr>
            </w:pPr>
            <w:r w:rsidRPr="00D16D7C">
              <w:rPr>
                <w:rFonts w:eastAsia="Times New Roman"/>
              </w:rPr>
              <w:t>20</w:t>
            </w:r>
          </w:p>
        </w:tc>
      </w:tr>
      <w:tr w:rsidR="00C6404B" w:rsidRPr="00D16D7C" w:rsidTr="00447EB4">
        <w:tc>
          <w:tcPr>
            <w:tcW w:w="3118" w:type="dxa"/>
            <w:tcBorders>
              <w:top w:val="single" w:sz="6" w:space="0" w:color="auto"/>
              <w:left w:val="double" w:sz="6" w:space="0" w:color="auto"/>
              <w:bottom w:val="double" w:sz="6" w:space="0" w:color="auto"/>
            </w:tcBorders>
          </w:tcPr>
          <w:p w:rsidR="00C6404B" w:rsidRPr="00D16D7C" w:rsidRDefault="00C6404B" w:rsidP="00447EB4">
            <w:pPr>
              <w:jc w:val="both"/>
              <w:rPr>
                <w:rFonts w:eastAsia="Times New Roman"/>
              </w:rPr>
            </w:pPr>
            <w:r w:rsidRPr="00D16D7C">
              <w:rPr>
                <w:rFonts w:eastAsia="Times New Roman"/>
              </w:rPr>
              <w:t>Kļava</w:t>
            </w:r>
          </w:p>
        </w:tc>
        <w:tc>
          <w:tcPr>
            <w:tcW w:w="1559" w:type="dxa"/>
            <w:tcBorders>
              <w:top w:val="single" w:sz="6" w:space="0" w:color="auto"/>
              <w:left w:val="double" w:sz="6" w:space="0" w:color="auto"/>
              <w:bottom w:val="doub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51</w:t>
            </w:r>
          </w:p>
        </w:tc>
        <w:tc>
          <w:tcPr>
            <w:tcW w:w="1701" w:type="dxa"/>
            <w:tcBorders>
              <w:top w:val="single" w:sz="6" w:space="0" w:color="auto"/>
              <w:left w:val="nil"/>
              <w:bottom w:val="double" w:sz="6" w:space="0" w:color="auto"/>
              <w:right w:val="double" w:sz="6" w:space="0" w:color="auto"/>
            </w:tcBorders>
          </w:tcPr>
          <w:p w:rsidR="00C6404B" w:rsidRPr="00D16D7C" w:rsidRDefault="00C6404B" w:rsidP="00447EB4">
            <w:pPr>
              <w:jc w:val="center"/>
              <w:rPr>
                <w:rFonts w:eastAsia="Times New Roman"/>
              </w:rPr>
            </w:pPr>
            <w:r w:rsidRPr="00D16D7C">
              <w:rPr>
                <w:rFonts w:eastAsia="Times New Roman"/>
              </w:rPr>
              <w:t>20</w:t>
            </w:r>
          </w:p>
        </w:tc>
      </w:tr>
    </w:tbl>
    <w:p w:rsidR="00C6404B" w:rsidRPr="00D16D7C" w:rsidRDefault="00732940" w:rsidP="00732940">
      <w:pPr>
        <w:keepNext/>
        <w:tabs>
          <w:tab w:val="left" w:pos="2010"/>
        </w:tabs>
        <w:spacing w:before="240" w:after="120"/>
        <w:jc w:val="both"/>
      </w:pPr>
      <w:r>
        <w:rPr>
          <w:rFonts w:eastAsia="Times New Roman"/>
        </w:rPr>
        <w:t>T</w:t>
      </w:r>
      <w:r w:rsidR="00C6404B" w:rsidRPr="00D16D7C">
        <w:rPr>
          <w:rFonts w:eastAsia="Times New Roman"/>
        </w:rPr>
        <w:t>abula</w:t>
      </w:r>
      <w:r>
        <w:rPr>
          <w:rFonts w:eastAsia="Times New Roman"/>
        </w:rPr>
        <w:t xml:space="preserve">. </w:t>
      </w:r>
      <w:r w:rsidR="00C6404B" w:rsidRPr="00D16D7C">
        <w:t>Tikai Nd, Db, Gr, Gs, Grs, Lk meža tipā</w:t>
      </w: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tblPr>
      <w:tblGrid>
        <w:gridCol w:w="3118"/>
        <w:gridCol w:w="1559"/>
        <w:gridCol w:w="1701"/>
      </w:tblGrid>
      <w:tr w:rsidR="00C6404B" w:rsidRPr="00D16D7C" w:rsidTr="00447EB4">
        <w:tc>
          <w:tcPr>
            <w:tcW w:w="3118" w:type="dxa"/>
          </w:tcPr>
          <w:p w:rsidR="00C6404B" w:rsidRPr="00D16D7C" w:rsidRDefault="00C6404B" w:rsidP="00447EB4">
            <w:pPr>
              <w:jc w:val="both"/>
              <w:rPr>
                <w:rFonts w:eastAsia="Times New Roman"/>
                <w:i/>
              </w:rPr>
            </w:pPr>
            <w:r w:rsidRPr="00D16D7C">
              <w:rPr>
                <w:rFonts w:eastAsia="Times New Roman"/>
                <w:i/>
              </w:rPr>
              <w:t>Suga</w:t>
            </w:r>
          </w:p>
        </w:tc>
        <w:tc>
          <w:tcPr>
            <w:tcW w:w="1559" w:type="dxa"/>
          </w:tcPr>
          <w:p w:rsidR="00C6404B" w:rsidRPr="00D16D7C" w:rsidRDefault="00C6404B" w:rsidP="00447EB4">
            <w:pPr>
              <w:jc w:val="both"/>
              <w:rPr>
                <w:rFonts w:eastAsia="Times New Roman"/>
                <w:i/>
              </w:rPr>
            </w:pPr>
            <w:r w:rsidRPr="00D16D7C">
              <w:rPr>
                <w:rFonts w:eastAsia="Times New Roman"/>
                <w:i/>
              </w:rPr>
              <w:t>Vecums</w:t>
            </w:r>
          </w:p>
        </w:tc>
        <w:tc>
          <w:tcPr>
            <w:tcW w:w="1701" w:type="dxa"/>
          </w:tcPr>
          <w:p w:rsidR="00C6404B" w:rsidRPr="00D16D7C" w:rsidRDefault="00C6404B" w:rsidP="00447EB4">
            <w:pPr>
              <w:jc w:val="both"/>
              <w:rPr>
                <w:rFonts w:eastAsia="Times New Roman"/>
                <w:i/>
              </w:rPr>
            </w:pPr>
            <w:r w:rsidRPr="00D16D7C">
              <w:rPr>
                <w:rFonts w:eastAsia="Times New Roman"/>
                <w:i/>
              </w:rPr>
              <w:t>% sastāvs audzē sākot no :</w:t>
            </w:r>
          </w:p>
        </w:tc>
      </w:tr>
      <w:tr w:rsidR="00C6404B" w:rsidRPr="00D16D7C" w:rsidTr="00447EB4">
        <w:tc>
          <w:tcPr>
            <w:tcW w:w="3118" w:type="dxa"/>
          </w:tcPr>
          <w:p w:rsidR="00C6404B" w:rsidRPr="00D16D7C" w:rsidRDefault="00C6404B" w:rsidP="00447EB4">
            <w:pPr>
              <w:jc w:val="both"/>
              <w:rPr>
                <w:rFonts w:eastAsia="Times New Roman"/>
              </w:rPr>
            </w:pPr>
            <w:r w:rsidRPr="00D16D7C">
              <w:rPr>
                <w:rFonts w:eastAsia="Times New Roman"/>
              </w:rPr>
              <w:t>Egle</w:t>
            </w:r>
          </w:p>
        </w:tc>
        <w:tc>
          <w:tcPr>
            <w:tcW w:w="1559" w:type="dxa"/>
          </w:tcPr>
          <w:p w:rsidR="00C6404B" w:rsidRPr="00D16D7C" w:rsidRDefault="00C6404B" w:rsidP="00447EB4">
            <w:pPr>
              <w:jc w:val="center"/>
              <w:rPr>
                <w:rFonts w:eastAsia="Times New Roman"/>
              </w:rPr>
            </w:pPr>
            <w:r w:rsidRPr="00D16D7C">
              <w:rPr>
                <w:rFonts w:eastAsia="Times New Roman"/>
              </w:rPr>
              <w:t>80</w:t>
            </w:r>
          </w:p>
        </w:tc>
        <w:tc>
          <w:tcPr>
            <w:tcW w:w="1701" w:type="dxa"/>
          </w:tcPr>
          <w:p w:rsidR="00C6404B" w:rsidRPr="00D16D7C" w:rsidRDefault="00C6404B" w:rsidP="00447EB4">
            <w:pPr>
              <w:jc w:val="center"/>
              <w:rPr>
                <w:rFonts w:eastAsia="Times New Roman"/>
              </w:rPr>
            </w:pPr>
            <w:r w:rsidRPr="00D16D7C">
              <w:rPr>
                <w:rFonts w:eastAsia="Times New Roman"/>
              </w:rPr>
              <w:t>50</w:t>
            </w:r>
          </w:p>
        </w:tc>
      </w:tr>
      <w:tr w:rsidR="00C6404B" w:rsidRPr="00D16D7C" w:rsidTr="00447EB4">
        <w:tc>
          <w:tcPr>
            <w:tcW w:w="3118" w:type="dxa"/>
          </w:tcPr>
          <w:p w:rsidR="00C6404B" w:rsidRPr="00D16D7C" w:rsidRDefault="00C6404B" w:rsidP="00447EB4">
            <w:pPr>
              <w:jc w:val="both"/>
              <w:rPr>
                <w:rFonts w:eastAsia="Times New Roman"/>
              </w:rPr>
            </w:pPr>
            <w:r w:rsidRPr="00D16D7C">
              <w:rPr>
                <w:rFonts w:eastAsia="Times New Roman"/>
              </w:rPr>
              <w:t>Bērzs</w:t>
            </w:r>
          </w:p>
        </w:tc>
        <w:tc>
          <w:tcPr>
            <w:tcW w:w="1559" w:type="dxa"/>
          </w:tcPr>
          <w:p w:rsidR="00C6404B" w:rsidRPr="00D16D7C" w:rsidRDefault="00C6404B" w:rsidP="00447EB4">
            <w:pPr>
              <w:jc w:val="center"/>
              <w:rPr>
                <w:rFonts w:eastAsia="Times New Roman"/>
              </w:rPr>
            </w:pPr>
            <w:r w:rsidRPr="00D16D7C">
              <w:rPr>
                <w:rFonts w:eastAsia="Times New Roman"/>
              </w:rPr>
              <w:t>70</w:t>
            </w:r>
          </w:p>
        </w:tc>
        <w:tc>
          <w:tcPr>
            <w:tcW w:w="1701" w:type="dxa"/>
          </w:tcPr>
          <w:p w:rsidR="00C6404B" w:rsidRPr="00D16D7C" w:rsidRDefault="00C6404B" w:rsidP="00447EB4">
            <w:pPr>
              <w:jc w:val="center"/>
              <w:rPr>
                <w:rFonts w:eastAsia="Times New Roman"/>
              </w:rPr>
            </w:pPr>
            <w:r w:rsidRPr="00D16D7C">
              <w:rPr>
                <w:rFonts w:eastAsia="Times New Roman"/>
              </w:rPr>
              <w:t>50</w:t>
            </w:r>
          </w:p>
        </w:tc>
      </w:tr>
      <w:tr w:rsidR="00C6404B" w:rsidRPr="00D16D7C" w:rsidTr="00447EB4">
        <w:tc>
          <w:tcPr>
            <w:tcW w:w="3118" w:type="dxa"/>
          </w:tcPr>
          <w:p w:rsidR="00C6404B" w:rsidRPr="00D16D7C" w:rsidRDefault="00C6404B" w:rsidP="00447EB4">
            <w:pPr>
              <w:jc w:val="both"/>
            </w:pPr>
            <w:r w:rsidRPr="00D16D7C">
              <w:t>Priede</w:t>
            </w:r>
          </w:p>
        </w:tc>
        <w:tc>
          <w:tcPr>
            <w:tcW w:w="1559" w:type="dxa"/>
          </w:tcPr>
          <w:p w:rsidR="00C6404B" w:rsidRPr="00D16D7C" w:rsidRDefault="00C6404B" w:rsidP="00447EB4">
            <w:pPr>
              <w:jc w:val="center"/>
            </w:pPr>
            <w:r w:rsidRPr="00D16D7C">
              <w:t>30</w:t>
            </w:r>
          </w:p>
        </w:tc>
        <w:tc>
          <w:tcPr>
            <w:tcW w:w="1701" w:type="dxa"/>
          </w:tcPr>
          <w:p w:rsidR="00C6404B" w:rsidRPr="00D16D7C" w:rsidRDefault="00C6404B" w:rsidP="00447EB4">
            <w:pPr>
              <w:jc w:val="center"/>
            </w:pPr>
            <w:r w:rsidRPr="00D16D7C">
              <w:t>50</w:t>
            </w:r>
          </w:p>
        </w:tc>
      </w:tr>
      <w:tr w:rsidR="00C6404B" w:rsidRPr="00D16D7C" w:rsidTr="00447EB4">
        <w:tc>
          <w:tcPr>
            <w:tcW w:w="3118" w:type="dxa"/>
          </w:tcPr>
          <w:p w:rsidR="00C6404B" w:rsidRPr="00D16D7C" w:rsidRDefault="00C6404B" w:rsidP="00447EB4">
            <w:pPr>
              <w:jc w:val="both"/>
            </w:pPr>
            <w:r w:rsidRPr="00D16D7C">
              <w:t>M</w:t>
            </w:r>
            <w:r w:rsidRPr="00D16D7C">
              <w:rPr>
                <w:rFonts w:eastAsia="Times New Roman"/>
              </w:rPr>
              <w:t>elnalksnis</w:t>
            </w:r>
          </w:p>
        </w:tc>
        <w:tc>
          <w:tcPr>
            <w:tcW w:w="1559" w:type="dxa"/>
          </w:tcPr>
          <w:p w:rsidR="00C6404B" w:rsidRPr="00D16D7C" w:rsidRDefault="00C6404B" w:rsidP="00447EB4">
            <w:pPr>
              <w:jc w:val="center"/>
            </w:pPr>
            <w:r w:rsidRPr="00D16D7C">
              <w:t>30</w:t>
            </w:r>
          </w:p>
        </w:tc>
        <w:tc>
          <w:tcPr>
            <w:tcW w:w="1701" w:type="dxa"/>
          </w:tcPr>
          <w:p w:rsidR="00C6404B" w:rsidRPr="00D16D7C" w:rsidRDefault="00C6404B" w:rsidP="00447EB4">
            <w:pPr>
              <w:jc w:val="center"/>
            </w:pPr>
            <w:r w:rsidRPr="00D16D7C">
              <w:t>50</w:t>
            </w:r>
          </w:p>
        </w:tc>
      </w:tr>
    </w:tbl>
    <w:p w:rsidR="00C6404B" w:rsidRPr="00D16D7C" w:rsidRDefault="00C6404B" w:rsidP="00C6404B">
      <w:pPr>
        <w:spacing w:after="200" w:line="276" w:lineRule="auto"/>
        <w:ind w:left="1080" w:hanging="938"/>
      </w:pPr>
      <w:r w:rsidRPr="00D16D7C">
        <w:t>Datu avots</w:t>
      </w:r>
      <w:r w:rsidR="002D5F10">
        <w:t>:</w:t>
      </w:r>
      <w:r w:rsidRPr="00D16D7C">
        <w:t xml:space="preserve"> Valsts meža dienests; AS “Latvijas Valsts meži”</w:t>
      </w:r>
    </w:p>
    <w:p w:rsidR="00C6404B" w:rsidRDefault="00C6404B" w:rsidP="00C6404B">
      <w:pPr>
        <w:pStyle w:val="Heading3"/>
        <w:rPr>
          <w:rFonts w:ascii="Times New Roman" w:eastAsia="Calibri" w:hAnsi="Times New Roman" w:cs="Times New Roman"/>
          <w:b/>
          <w:color w:val="auto"/>
          <w:lang w:eastAsia="lv-LV"/>
        </w:rPr>
      </w:pPr>
      <w:bookmarkStart w:id="1" w:name="_Toc426099715"/>
      <w:bookmarkStart w:id="2" w:name="_Toc426112327"/>
      <w:r w:rsidRPr="00EF798B">
        <w:rPr>
          <w:rFonts w:ascii="Times New Roman" w:eastAsia="Calibri" w:hAnsi="Times New Roman" w:cs="Times New Roman"/>
          <w:b/>
          <w:color w:val="auto"/>
          <w:lang w:eastAsia="lv-LV"/>
        </w:rPr>
        <w:t>II Lauksaimniecības zemes:</w:t>
      </w:r>
      <w:bookmarkEnd w:id="1"/>
      <w:bookmarkEnd w:id="2"/>
      <w:r w:rsidRPr="00EF798B">
        <w:rPr>
          <w:rFonts w:ascii="Times New Roman" w:eastAsia="Calibri" w:hAnsi="Times New Roman" w:cs="Times New Roman"/>
          <w:b/>
          <w:color w:val="auto"/>
          <w:lang w:eastAsia="lv-LV"/>
        </w:rPr>
        <w:t xml:space="preserve"> </w:t>
      </w:r>
    </w:p>
    <w:p w:rsidR="00C6404B" w:rsidRPr="001142F2" w:rsidRDefault="00C6404B" w:rsidP="0052504F"/>
    <w:p w:rsidR="00C6404B" w:rsidRPr="001375EE" w:rsidRDefault="00C6404B" w:rsidP="0052504F">
      <w:pPr>
        <w:ind w:left="142"/>
        <w:jc w:val="both"/>
      </w:pPr>
      <w:r w:rsidRPr="00D16D7C">
        <w:t>1</w:t>
      </w:r>
      <w:r w:rsidRPr="001375EE">
        <w:t>.Lauksaimniecības zemes, kas atbilst kultūraugu un zemes izmantošanas veida kodam Lauku atbalsta dienesta datubāzē “710 – ilggadīgs zālājs”;</w:t>
      </w:r>
    </w:p>
    <w:p w:rsidR="00C6404B" w:rsidRPr="001375EE" w:rsidRDefault="00C6404B" w:rsidP="0052504F">
      <w:pPr>
        <w:ind w:left="142"/>
      </w:pPr>
      <w:r w:rsidRPr="001375EE">
        <w:t xml:space="preserve">2. Bioloģiski vērtīgi zālāji, kas noteikti līdz 2013.gadam </w:t>
      </w:r>
    </w:p>
    <w:p w:rsidR="00C6404B" w:rsidRPr="00D16D7C" w:rsidRDefault="00C6404B" w:rsidP="0052504F">
      <w:pPr>
        <w:ind w:left="142"/>
        <w:jc w:val="both"/>
      </w:pPr>
      <w:r w:rsidRPr="001375EE">
        <w:t>Datu avots</w:t>
      </w:r>
      <w:r w:rsidR="002D5F10" w:rsidRPr="001375EE">
        <w:t>:</w:t>
      </w:r>
      <w:r w:rsidRPr="001375EE">
        <w:t xml:space="preserve"> Lauku atbalsta dienests, Latvijas Dabas fonds, Dabas aizsardzības pārvalde, Valsts zemes dienests</w:t>
      </w:r>
      <w:r w:rsidRPr="00D16D7C">
        <w:t>.</w:t>
      </w:r>
    </w:p>
    <w:p w:rsidR="00C6404B" w:rsidRPr="00EF798B" w:rsidRDefault="00C6404B" w:rsidP="00C6404B">
      <w:pPr>
        <w:pStyle w:val="Heading3"/>
        <w:rPr>
          <w:rFonts w:ascii="Times New Roman" w:eastAsia="Calibri" w:hAnsi="Times New Roman" w:cs="Times New Roman"/>
          <w:b/>
          <w:color w:val="auto"/>
          <w:lang w:eastAsia="lv-LV"/>
        </w:rPr>
      </w:pPr>
      <w:bookmarkStart w:id="3" w:name="_Toc426099716"/>
      <w:bookmarkStart w:id="4" w:name="_Toc426112328"/>
      <w:r w:rsidRPr="00EF798B">
        <w:rPr>
          <w:rFonts w:ascii="Times New Roman" w:eastAsia="Calibri" w:hAnsi="Times New Roman" w:cs="Times New Roman"/>
          <w:b/>
          <w:color w:val="auto"/>
          <w:lang w:eastAsia="lv-LV"/>
        </w:rPr>
        <w:t>III Cits:</w:t>
      </w:r>
      <w:bookmarkEnd w:id="3"/>
      <w:bookmarkEnd w:id="4"/>
    </w:p>
    <w:p w:rsidR="00C6404B" w:rsidRPr="00D16D7C" w:rsidRDefault="00C6404B" w:rsidP="00C6404B">
      <w:pPr>
        <w:pStyle w:val="ListParagraph"/>
        <w:numPr>
          <w:ilvl w:val="0"/>
          <w:numId w:val="7"/>
        </w:numPr>
        <w:spacing w:after="200" w:line="276" w:lineRule="auto"/>
        <w:jc w:val="both"/>
        <w:rPr>
          <w:rFonts w:eastAsia="Calibri"/>
          <w:sz w:val="24"/>
          <w:szCs w:val="24"/>
        </w:rPr>
      </w:pPr>
      <w:r w:rsidRPr="00D16D7C">
        <w:rPr>
          <w:rFonts w:eastAsia="Calibri"/>
          <w:sz w:val="24"/>
          <w:szCs w:val="24"/>
        </w:rPr>
        <w:t>Informācija par īpaši aizsargājamiem biotopiem, sugu atradnēm, mikroliegumiem;</w:t>
      </w:r>
    </w:p>
    <w:p w:rsidR="00C6404B" w:rsidRPr="00D16D7C" w:rsidRDefault="00C6404B" w:rsidP="00C6404B">
      <w:pPr>
        <w:pStyle w:val="ListParagraph"/>
        <w:numPr>
          <w:ilvl w:val="0"/>
          <w:numId w:val="7"/>
        </w:numPr>
        <w:spacing w:after="200" w:line="276" w:lineRule="auto"/>
        <w:jc w:val="both"/>
        <w:rPr>
          <w:rFonts w:eastAsia="Calibri"/>
          <w:sz w:val="24"/>
          <w:szCs w:val="24"/>
        </w:rPr>
      </w:pPr>
      <w:r w:rsidRPr="00D16D7C">
        <w:rPr>
          <w:rFonts w:eastAsia="Calibri"/>
          <w:sz w:val="24"/>
          <w:szCs w:val="24"/>
        </w:rPr>
        <w:t>Ģeomorfoloģiskā informācija par osu un iekšzemes kāpu izplatību, topogrāfiskā informācija;</w:t>
      </w:r>
    </w:p>
    <w:p w:rsidR="00C6404B" w:rsidRPr="00D16D7C" w:rsidRDefault="00C6404B" w:rsidP="00C6404B">
      <w:pPr>
        <w:pStyle w:val="ListParagraph"/>
        <w:numPr>
          <w:ilvl w:val="0"/>
          <w:numId w:val="7"/>
        </w:numPr>
        <w:spacing w:after="200" w:line="276" w:lineRule="auto"/>
        <w:rPr>
          <w:rFonts w:eastAsia="Calibri"/>
          <w:sz w:val="24"/>
          <w:szCs w:val="24"/>
        </w:rPr>
      </w:pPr>
      <w:r w:rsidRPr="00D16D7C">
        <w:rPr>
          <w:rFonts w:eastAsia="Calibri"/>
          <w:sz w:val="24"/>
          <w:szCs w:val="24"/>
        </w:rPr>
        <w:t>Upes un ezeri.</w:t>
      </w:r>
    </w:p>
    <w:p w:rsidR="00C06870" w:rsidRPr="00D16D7C" w:rsidRDefault="00C6404B" w:rsidP="00581B71">
      <w:pPr>
        <w:spacing w:after="120"/>
        <w:jc w:val="both"/>
      </w:pPr>
      <w:r w:rsidRPr="00D16D7C">
        <w:t>Datu avots</w:t>
      </w:r>
      <w:r w:rsidR="00447EB4">
        <w:t>:</w:t>
      </w:r>
      <w:r w:rsidRPr="00D16D7C">
        <w:t xml:space="preserve"> Dabas aizsardzības pārvalde, </w:t>
      </w:r>
      <w:r w:rsidR="002D5F10">
        <w:t>valsts SIA “</w:t>
      </w:r>
      <w:r w:rsidRPr="00D16D7C">
        <w:t>Latvijas Vides</w:t>
      </w:r>
      <w:r>
        <w:t>, ģ</w:t>
      </w:r>
      <w:r w:rsidRPr="00D16D7C">
        <w:t xml:space="preserve">eoloģijas un </w:t>
      </w:r>
      <w:r>
        <w:t>meteoroloģijas centrs</w:t>
      </w:r>
      <w:r w:rsidR="002D5F10">
        <w:t>”</w:t>
      </w:r>
      <w:r>
        <w:t>, Latvijas Ģeotelpiskās i</w:t>
      </w:r>
      <w:r w:rsidRPr="00D16D7C">
        <w:t xml:space="preserve">nformācijas </w:t>
      </w:r>
      <w:r>
        <w:t>a</w:t>
      </w:r>
      <w:r w:rsidRPr="00D16D7C">
        <w:t>ģentūra</w:t>
      </w:r>
    </w:p>
    <w:p w:rsidR="00C6404B" w:rsidRPr="00C44E35" w:rsidRDefault="00C6404B" w:rsidP="00581B71">
      <w:pPr>
        <w:spacing w:after="120"/>
        <w:rPr>
          <w:rFonts w:asciiTheme="majorBidi" w:hAnsiTheme="majorBidi" w:cstheme="majorBidi"/>
          <w:b/>
        </w:rPr>
      </w:pPr>
      <w:r w:rsidRPr="00C44E35">
        <w:rPr>
          <w:rFonts w:asciiTheme="majorBidi" w:hAnsiTheme="majorBidi" w:cstheme="majorBidi"/>
          <w:b/>
        </w:rPr>
        <w:t>Neapsekojamās teritorijas</w:t>
      </w:r>
      <w:r w:rsidR="00790289">
        <w:rPr>
          <w:rFonts w:asciiTheme="majorBidi" w:hAnsiTheme="majorBidi" w:cstheme="majorBidi"/>
          <w:b/>
        </w:rPr>
        <w:t>:</w:t>
      </w:r>
    </w:p>
    <w:p w:rsidR="00C6404B" w:rsidRPr="00C44E35" w:rsidRDefault="00C6404B" w:rsidP="00C6404B">
      <w:pPr>
        <w:pStyle w:val="Heading3"/>
        <w:rPr>
          <w:rFonts w:ascii="Times New Roman" w:hAnsi="Times New Roman" w:cs="Times New Roman"/>
          <w:b/>
          <w:color w:val="auto"/>
        </w:rPr>
      </w:pPr>
      <w:bookmarkStart w:id="5" w:name="_Toc426099718"/>
      <w:bookmarkStart w:id="6" w:name="_Toc426112330"/>
      <w:r w:rsidRPr="00C44E35">
        <w:rPr>
          <w:rFonts w:ascii="Times New Roman" w:hAnsi="Times New Roman" w:cs="Times New Roman"/>
          <w:b/>
          <w:color w:val="auto"/>
        </w:rPr>
        <w:t>I Mežaudzes:</w:t>
      </w:r>
      <w:bookmarkEnd w:id="5"/>
      <w:bookmarkEnd w:id="6"/>
    </w:p>
    <w:p w:rsidR="00C6404B" w:rsidRPr="007C52B9" w:rsidRDefault="00C6404B" w:rsidP="00C6404B">
      <w:pPr>
        <w:pStyle w:val="ListParagraph"/>
        <w:numPr>
          <w:ilvl w:val="1"/>
          <w:numId w:val="9"/>
        </w:numPr>
        <w:spacing w:after="160" w:line="259" w:lineRule="auto"/>
        <w:jc w:val="both"/>
        <w:rPr>
          <w:sz w:val="24"/>
          <w:szCs w:val="24"/>
        </w:rPr>
      </w:pPr>
      <w:r w:rsidRPr="007C52B9">
        <w:rPr>
          <w:sz w:val="24"/>
          <w:szCs w:val="24"/>
        </w:rPr>
        <w:t xml:space="preserve"> meža zemes veids, kods – 33, 34;</w:t>
      </w:r>
    </w:p>
    <w:p w:rsidR="00C6404B" w:rsidRPr="007C52B9" w:rsidRDefault="00C6404B" w:rsidP="00C6404B">
      <w:pPr>
        <w:pStyle w:val="ListParagraph"/>
        <w:numPr>
          <w:ilvl w:val="1"/>
          <w:numId w:val="9"/>
        </w:numPr>
        <w:spacing w:after="160" w:line="259" w:lineRule="auto"/>
        <w:jc w:val="both"/>
        <w:rPr>
          <w:sz w:val="24"/>
          <w:szCs w:val="24"/>
        </w:rPr>
      </w:pPr>
      <w:r w:rsidRPr="007C52B9">
        <w:rPr>
          <w:sz w:val="24"/>
          <w:szCs w:val="24"/>
        </w:rPr>
        <w:t xml:space="preserve"> izcirtumi;</w:t>
      </w:r>
    </w:p>
    <w:p w:rsidR="00C6404B" w:rsidRPr="001375EE" w:rsidRDefault="00C6404B" w:rsidP="00C6404B">
      <w:pPr>
        <w:pStyle w:val="ListParagraph"/>
        <w:numPr>
          <w:ilvl w:val="1"/>
          <w:numId w:val="9"/>
        </w:numPr>
        <w:jc w:val="both"/>
        <w:rPr>
          <w:sz w:val="24"/>
          <w:szCs w:val="24"/>
        </w:rPr>
      </w:pPr>
      <w:r w:rsidRPr="007C52B9">
        <w:rPr>
          <w:sz w:val="24"/>
          <w:szCs w:val="24"/>
        </w:rPr>
        <w:t xml:space="preserve"> </w:t>
      </w:r>
      <w:r w:rsidRPr="00A01E53">
        <w:rPr>
          <w:sz w:val="24"/>
          <w:szCs w:val="24"/>
        </w:rPr>
        <w:t xml:space="preserve">mežaudzes, kas jaunākas par 50 </w:t>
      </w:r>
      <w:r w:rsidRPr="001375EE">
        <w:rPr>
          <w:sz w:val="24"/>
          <w:szCs w:val="24"/>
        </w:rPr>
        <w:t xml:space="preserve">gadiem, izņemot obligāti apsekojamās teritorijas; </w:t>
      </w:r>
    </w:p>
    <w:p w:rsidR="00C6404B" w:rsidRPr="00A01E53" w:rsidRDefault="00C6404B" w:rsidP="00C6404B">
      <w:pPr>
        <w:numPr>
          <w:ilvl w:val="1"/>
          <w:numId w:val="9"/>
        </w:numPr>
        <w:jc w:val="both"/>
      </w:pPr>
      <w:r w:rsidRPr="001375EE">
        <w:t xml:space="preserve"> AS “Latvijas Valsts meži” apsaimniekotajos mežos</w:t>
      </w:r>
      <w:r w:rsidRPr="00A01E53">
        <w:t xml:space="preserve"> mežizstrādei sagatavotās cirsmas, izcirtumi un mežu platības, kur veikta biotopu kartēšana pēdējo 18 mēnešu laikā pirms informācijas apkopošanas;</w:t>
      </w:r>
    </w:p>
    <w:p w:rsidR="00C6404B" w:rsidRPr="00A01E53" w:rsidRDefault="00C6404B" w:rsidP="00C6404B">
      <w:pPr>
        <w:numPr>
          <w:ilvl w:val="1"/>
          <w:numId w:val="9"/>
        </w:numPr>
        <w:jc w:val="both"/>
      </w:pPr>
      <w:r w:rsidRPr="00A01E53">
        <w:t>ES un Latvijas nozīmes īpaši aizsargājamie biotopi, kas kartēti AS “Latvijas Valsts meži” valdījumā un īpašumā esošajā teritorijā kopš 2011.gada;</w:t>
      </w:r>
    </w:p>
    <w:p w:rsidR="00C6404B" w:rsidRPr="00A01E53" w:rsidRDefault="00C6404B" w:rsidP="00C6404B">
      <w:pPr>
        <w:numPr>
          <w:ilvl w:val="1"/>
          <w:numId w:val="9"/>
        </w:numPr>
        <w:jc w:val="both"/>
      </w:pPr>
      <w:r w:rsidRPr="00A01E53">
        <w:t xml:space="preserve"> purvu nogabali, par kuriem AS “Latvijas Valsts meži” ir noslēdzis līgumus par zemes izmantošanu lauksaimnieciskai darbībai (kultivēto ogu audzēšana).</w:t>
      </w:r>
    </w:p>
    <w:p w:rsidR="00C6404B" w:rsidRPr="001375EE" w:rsidRDefault="00C6404B" w:rsidP="00CE6A45">
      <w:pPr>
        <w:ind w:left="360"/>
        <w:jc w:val="both"/>
      </w:pPr>
      <w:r w:rsidRPr="00A01E53">
        <w:t>Datu avots</w:t>
      </w:r>
      <w:r w:rsidR="00960515" w:rsidRPr="00A01E53">
        <w:t>:</w:t>
      </w:r>
      <w:r w:rsidRPr="00A01E53">
        <w:t xml:space="preserve"> Valsts meža dienests, AS </w:t>
      </w:r>
      <w:r w:rsidR="00927FE4" w:rsidRPr="00A01E53">
        <w:t>“</w:t>
      </w:r>
      <w:r w:rsidRPr="00A01E53">
        <w:t>Latvijas Valsts meži</w:t>
      </w:r>
      <w:r w:rsidR="00927FE4" w:rsidRPr="00A01E53">
        <w:t>”</w:t>
      </w:r>
      <w:r w:rsidRPr="00A01E53">
        <w:t xml:space="preserve">, Dabas aizsardzības pārvalde, Vides pārraudzības valsts birojs, Valsts </w:t>
      </w:r>
      <w:r w:rsidR="00927FE4" w:rsidRPr="00A01E53">
        <w:t xml:space="preserve">vides </w:t>
      </w:r>
      <w:r w:rsidRPr="00A01E53">
        <w:t xml:space="preserve">dienests, Kūdras ražotāju </w:t>
      </w:r>
      <w:r w:rsidRPr="001375EE">
        <w:t>asociācija, citi.</w:t>
      </w:r>
    </w:p>
    <w:p w:rsidR="00C6404B" w:rsidRPr="00581B71" w:rsidRDefault="00C6404B" w:rsidP="00C6404B">
      <w:pPr>
        <w:ind w:left="720"/>
        <w:jc w:val="both"/>
        <w:rPr>
          <w:sz w:val="14"/>
        </w:rPr>
      </w:pPr>
    </w:p>
    <w:p w:rsidR="00C6404B" w:rsidRPr="00A01E53" w:rsidRDefault="00C6404B" w:rsidP="00C6404B">
      <w:pPr>
        <w:pStyle w:val="Heading3"/>
        <w:rPr>
          <w:rFonts w:ascii="Times New Roman" w:hAnsi="Times New Roman" w:cs="Times New Roman"/>
          <w:b/>
          <w:color w:val="auto"/>
        </w:rPr>
      </w:pPr>
      <w:bookmarkStart w:id="7" w:name="_Toc426099719"/>
      <w:bookmarkStart w:id="8" w:name="_Toc426112331"/>
      <w:r w:rsidRPr="00A01E53">
        <w:rPr>
          <w:rFonts w:ascii="Times New Roman" w:hAnsi="Times New Roman" w:cs="Times New Roman"/>
          <w:b/>
          <w:color w:val="auto"/>
        </w:rPr>
        <w:t>II Lauksaimniecības zeme:</w:t>
      </w:r>
      <w:bookmarkEnd w:id="7"/>
      <w:bookmarkEnd w:id="8"/>
    </w:p>
    <w:p w:rsidR="00C6404B" w:rsidRPr="001375EE" w:rsidRDefault="00C6404B" w:rsidP="00C6404B">
      <w:pPr>
        <w:pStyle w:val="ListParagraph"/>
        <w:jc w:val="both"/>
        <w:rPr>
          <w:sz w:val="24"/>
          <w:szCs w:val="24"/>
        </w:rPr>
      </w:pPr>
      <w:r w:rsidRPr="001375EE">
        <w:rPr>
          <w:sz w:val="24"/>
          <w:szCs w:val="24"/>
        </w:rPr>
        <w:t xml:space="preserve">Lauksaimniecības zeme, kas nav minēta </w:t>
      </w:r>
      <w:r w:rsidR="006A007E" w:rsidRPr="001375EE">
        <w:rPr>
          <w:sz w:val="24"/>
          <w:szCs w:val="24"/>
        </w:rPr>
        <w:t xml:space="preserve">kā </w:t>
      </w:r>
      <w:r w:rsidR="00A01E53" w:rsidRPr="001375EE">
        <w:rPr>
          <w:sz w:val="24"/>
          <w:szCs w:val="24"/>
        </w:rPr>
        <w:t>obligāti apsekojamā teritorij</w:t>
      </w:r>
      <w:r w:rsidR="006A007E" w:rsidRPr="001375EE">
        <w:rPr>
          <w:sz w:val="24"/>
          <w:szCs w:val="24"/>
        </w:rPr>
        <w:t>a</w:t>
      </w:r>
      <w:r w:rsidR="00A01E53" w:rsidRPr="001375EE">
        <w:rPr>
          <w:sz w:val="24"/>
          <w:szCs w:val="24"/>
        </w:rPr>
        <w:t>.</w:t>
      </w:r>
    </w:p>
    <w:p w:rsidR="00C6404B" w:rsidRPr="001375EE" w:rsidRDefault="00C6404B" w:rsidP="00C6404B">
      <w:pPr>
        <w:pStyle w:val="ListParagraph"/>
        <w:jc w:val="both"/>
        <w:rPr>
          <w:sz w:val="24"/>
          <w:szCs w:val="24"/>
        </w:rPr>
      </w:pPr>
      <w:r w:rsidRPr="001375EE">
        <w:rPr>
          <w:sz w:val="24"/>
          <w:szCs w:val="24"/>
        </w:rPr>
        <w:t>Datu avots</w:t>
      </w:r>
      <w:r w:rsidR="00447EB4" w:rsidRPr="001375EE">
        <w:rPr>
          <w:sz w:val="24"/>
          <w:szCs w:val="24"/>
        </w:rPr>
        <w:t>:</w:t>
      </w:r>
      <w:r w:rsidRPr="001375EE">
        <w:rPr>
          <w:sz w:val="24"/>
          <w:szCs w:val="24"/>
        </w:rPr>
        <w:t xml:space="preserve"> Lauku atbalsta dienests, Valsts zemes dienests.</w:t>
      </w:r>
    </w:p>
    <w:p w:rsidR="00C6404B" w:rsidRPr="00581B71" w:rsidRDefault="00C6404B" w:rsidP="00C6404B">
      <w:pPr>
        <w:pStyle w:val="ListParagraph"/>
        <w:jc w:val="both"/>
        <w:rPr>
          <w:sz w:val="14"/>
          <w:szCs w:val="24"/>
        </w:rPr>
      </w:pPr>
    </w:p>
    <w:p w:rsidR="00C6404B" w:rsidRPr="006A007E" w:rsidRDefault="00C6404B" w:rsidP="00C6404B">
      <w:pPr>
        <w:pStyle w:val="Heading3"/>
        <w:rPr>
          <w:rFonts w:ascii="Times New Roman" w:hAnsi="Times New Roman" w:cs="Times New Roman"/>
          <w:b/>
          <w:color w:val="auto"/>
        </w:rPr>
      </w:pPr>
      <w:bookmarkStart w:id="9" w:name="_Toc426099720"/>
      <w:bookmarkStart w:id="10" w:name="_Toc426112332"/>
      <w:r w:rsidRPr="006A007E">
        <w:rPr>
          <w:rFonts w:ascii="Times New Roman" w:hAnsi="Times New Roman" w:cs="Times New Roman"/>
          <w:b/>
          <w:color w:val="auto"/>
        </w:rPr>
        <w:t>III Cits:</w:t>
      </w:r>
      <w:bookmarkEnd w:id="9"/>
      <w:bookmarkEnd w:id="10"/>
    </w:p>
    <w:p w:rsidR="00C6404B" w:rsidRPr="001375EE" w:rsidRDefault="00C6404B" w:rsidP="00C6404B">
      <w:pPr>
        <w:pStyle w:val="ListParagraph"/>
        <w:numPr>
          <w:ilvl w:val="0"/>
          <w:numId w:val="10"/>
        </w:numPr>
        <w:spacing w:after="160" w:line="259" w:lineRule="auto"/>
        <w:jc w:val="both"/>
        <w:rPr>
          <w:sz w:val="24"/>
          <w:szCs w:val="24"/>
        </w:rPr>
      </w:pPr>
      <w:r w:rsidRPr="001375EE">
        <w:rPr>
          <w:sz w:val="24"/>
          <w:szCs w:val="24"/>
        </w:rPr>
        <w:t>Valsts un pašvaldības nozīmes transporta (tostarp autoceļu un dzelzceļa) un sakaru infrastruktūras nodalījuma un aizsargjoslas, ja vien nepārklājas ar norādītām obligāti apsekojamām teritorijām;</w:t>
      </w:r>
    </w:p>
    <w:p w:rsidR="00C6404B" w:rsidRPr="001375EE" w:rsidRDefault="00C6404B" w:rsidP="00C6404B">
      <w:pPr>
        <w:pStyle w:val="ListParagraph"/>
        <w:numPr>
          <w:ilvl w:val="0"/>
          <w:numId w:val="10"/>
        </w:numPr>
        <w:spacing w:after="160" w:line="259" w:lineRule="auto"/>
        <w:jc w:val="both"/>
        <w:rPr>
          <w:sz w:val="24"/>
          <w:szCs w:val="24"/>
        </w:rPr>
      </w:pPr>
      <w:r w:rsidRPr="001375EE">
        <w:rPr>
          <w:sz w:val="24"/>
          <w:szCs w:val="24"/>
        </w:rPr>
        <w:t>Meliorācijas sistēmas un to ietekmētās teritorijas ārpus īpaši aizsargājamām dabas teritorijām un mikroliegumiem, ja vien nepārklājas ar obligāti apsekojamām teritorijām;</w:t>
      </w:r>
    </w:p>
    <w:p w:rsidR="00C6404B" w:rsidRPr="001375EE" w:rsidRDefault="00C6404B" w:rsidP="00C6404B">
      <w:pPr>
        <w:pStyle w:val="ListParagraph"/>
        <w:numPr>
          <w:ilvl w:val="0"/>
          <w:numId w:val="10"/>
        </w:numPr>
        <w:spacing w:after="160" w:line="259" w:lineRule="auto"/>
        <w:jc w:val="both"/>
        <w:rPr>
          <w:sz w:val="24"/>
          <w:szCs w:val="24"/>
        </w:rPr>
      </w:pPr>
      <w:r w:rsidRPr="001375EE">
        <w:rPr>
          <w:sz w:val="24"/>
          <w:szCs w:val="24"/>
        </w:rPr>
        <w:t>Teritorijas, kurām pēdējo 3 gadu laikā ierosināti vai noslēgušies ietekmes uz vidi novērtējumi un/vai izsniegtas atļaujas darbību veikšanai;</w:t>
      </w:r>
    </w:p>
    <w:p w:rsidR="00C6404B" w:rsidRPr="001375EE" w:rsidRDefault="00C6404B" w:rsidP="00C6404B">
      <w:pPr>
        <w:pStyle w:val="ListParagraph"/>
        <w:numPr>
          <w:ilvl w:val="0"/>
          <w:numId w:val="10"/>
        </w:numPr>
        <w:spacing w:after="160" w:line="259" w:lineRule="auto"/>
        <w:jc w:val="both"/>
        <w:rPr>
          <w:sz w:val="24"/>
          <w:szCs w:val="24"/>
        </w:rPr>
      </w:pPr>
      <w:r w:rsidRPr="001375EE">
        <w:rPr>
          <w:sz w:val="24"/>
          <w:szCs w:val="24"/>
        </w:rPr>
        <w:t xml:space="preserve">Teritorijas pilsētās un ciemos, izņemot teritorijas, kas norādītas </w:t>
      </w:r>
      <w:r w:rsidR="006A007E" w:rsidRPr="001375EE">
        <w:rPr>
          <w:sz w:val="24"/>
          <w:szCs w:val="24"/>
        </w:rPr>
        <w:t xml:space="preserve">kā </w:t>
      </w:r>
      <w:r w:rsidR="00A01E53" w:rsidRPr="001375EE">
        <w:rPr>
          <w:sz w:val="24"/>
          <w:szCs w:val="24"/>
        </w:rPr>
        <w:t xml:space="preserve">obligāti apsekojamās </w:t>
      </w:r>
      <w:r w:rsidR="006A007E" w:rsidRPr="001375EE">
        <w:rPr>
          <w:sz w:val="24"/>
          <w:szCs w:val="24"/>
        </w:rPr>
        <w:t>teritorija</w:t>
      </w:r>
      <w:r w:rsidR="00A01E53" w:rsidRPr="001375EE">
        <w:rPr>
          <w:sz w:val="24"/>
          <w:szCs w:val="24"/>
        </w:rPr>
        <w:t>s</w:t>
      </w:r>
      <w:r w:rsidRPr="001375EE">
        <w:rPr>
          <w:sz w:val="24"/>
          <w:szCs w:val="24"/>
        </w:rPr>
        <w:t xml:space="preserve">; </w:t>
      </w:r>
    </w:p>
    <w:p w:rsidR="00C6404B" w:rsidRPr="007C52B9" w:rsidRDefault="00C6404B" w:rsidP="00C6404B">
      <w:pPr>
        <w:pStyle w:val="ListParagraph"/>
        <w:numPr>
          <w:ilvl w:val="0"/>
          <w:numId w:val="10"/>
        </w:numPr>
        <w:spacing w:after="160" w:line="259" w:lineRule="auto"/>
        <w:jc w:val="both"/>
        <w:rPr>
          <w:sz w:val="24"/>
          <w:szCs w:val="24"/>
        </w:rPr>
      </w:pPr>
      <w:r w:rsidRPr="001375EE">
        <w:rPr>
          <w:sz w:val="24"/>
          <w:szCs w:val="24"/>
        </w:rPr>
        <w:t>Īpaši aizsargājamās dabas</w:t>
      </w:r>
      <w:r w:rsidRPr="006A007E">
        <w:rPr>
          <w:sz w:val="24"/>
          <w:szCs w:val="24"/>
        </w:rPr>
        <w:t xml:space="preserve"> teritorijās, kurām pēdējo 3 gadu laikā ir izstrādāts</w:t>
      </w:r>
      <w:r w:rsidRPr="007C52B9">
        <w:rPr>
          <w:sz w:val="24"/>
          <w:szCs w:val="24"/>
        </w:rPr>
        <w:t xml:space="preserve"> dabas aizsardzības plāns.</w:t>
      </w:r>
    </w:p>
    <w:p w:rsidR="00C6404B" w:rsidRDefault="00C6404B" w:rsidP="00CE6A45">
      <w:pPr>
        <w:jc w:val="both"/>
      </w:pPr>
      <w:r w:rsidRPr="007C52B9">
        <w:t>Datu avo</w:t>
      </w:r>
      <w:r>
        <w:t>ts</w:t>
      </w:r>
      <w:r w:rsidR="00CE6A45">
        <w:t xml:space="preserve">: </w:t>
      </w:r>
      <w:r>
        <w:t xml:space="preserve">AS </w:t>
      </w:r>
      <w:r w:rsidR="00927FE4">
        <w:t>“</w:t>
      </w:r>
      <w:r>
        <w:t>Latvijas Valsts ceļi</w:t>
      </w:r>
      <w:r w:rsidR="00927FE4">
        <w:t>”</w:t>
      </w:r>
      <w:r>
        <w:t xml:space="preserve">, </w:t>
      </w:r>
      <w:r w:rsidR="00927FE4">
        <w:t>valsts SIA “</w:t>
      </w:r>
      <w:r>
        <w:t>Zemkopības ministrijas</w:t>
      </w:r>
      <w:r w:rsidRPr="007C52B9">
        <w:t xml:space="preserve"> </w:t>
      </w:r>
      <w:r w:rsidR="00927FE4">
        <w:t>n</w:t>
      </w:r>
      <w:r w:rsidRPr="007C52B9">
        <w:t>ekustamie īpašumi</w:t>
      </w:r>
      <w:r w:rsidR="00927FE4">
        <w:t>”</w:t>
      </w:r>
      <w:r w:rsidRPr="007C52B9">
        <w:t xml:space="preserve">, Vides pārraudzības valsts birojs, Valsts </w:t>
      </w:r>
      <w:r w:rsidR="002801F4">
        <w:t>v</w:t>
      </w:r>
      <w:r w:rsidRPr="007C52B9">
        <w:t>ides dienests, citi.</w:t>
      </w:r>
    </w:p>
    <w:p w:rsidR="00581B71" w:rsidRDefault="00581B71" w:rsidP="00CE6A45">
      <w:pPr>
        <w:jc w:val="both"/>
      </w:pPr>
    </w:p>
    <w:p w:rsidR="0040413D" w:rsidRDefault="0040413D" w:rsidP="00CE6A45">
      <w:pPr>
        <w:jc w:val="both"/>
      </w:pPr>
    </w:p>
    <w:p w:rsidR="00581B71" w:rsidRDefault="00581B71" w:rsidP="00581B71">
      <w:pPr>
        <w:jc w:val="both"/>
      </w:pPr>
    </w:p>
    <w:p w:rsidR="00581B71" w:rsidRPr="00DB79CC" w:rsidRDefault="00581B71" w:rsidP="00581B71">
      <w:pPr>
        <w:ind w:firstLine="720"/>
        <w:jc w:val="both"/>
      </w:pPr>
      <w:r w:rsidRPr="00DB79CC">
        <w:t>Vides aizsardzības un reģionālās</w:t>
      </w:r>
    </w:p>
    <w:p w:rsidR="00581B71" w:rsidRPr="00DB79CC" w:rsidRDefault="00581B71" w:rsidP="00581B71">
      <w:pPr>
        <w:ind w:firstLine="720"/>
        <w:jc w:val="both"/>
      </w:pPr>
      <w:r w:rsidRPr="00DB79CC">
        <w:t>attīstības ministrs</w:t>
      </w:r>
      <w:r w:rsidRPr="00DB79CC">
        <w:tab/>
      </w:r>
      <w:r w:rsidRPr="00DB79CC">
        <w:tab/>
      </w:r>
      <w:r w:rsidRPr="00DB79CC">
        <w:tab/>
      </w:r>
      <w:r w:rsidRPr="00DB79CC">
        <w:tab/>
      </w:r>
      <w:r w:rsidRPr="00DB79CC">
        <w:tab/>
      </w:r>
      <w:r w:rsidRPr="00DB79CC">
        <w:tab/>
      </w:r>
      <w:r w:rsidRPr="00DB79CC">
        <w:tab/>
      </w:r>
      <w:r w:rsidRPr="00DB79CC">
        <w:tab/>
        <w:t>K.Gerhards</w:t>
      </w:r>
    </w:p>
    <w:p w:rsidR="00581B71" w:rsidRPr="00DB79CC" w:rsidRDefault="00581B71" w:rsidP="00581B71">
      <w:pPr>
        <w:jc w:val="both"/>
      </w:pPr>
    </w:p>
    <w:p w:rsidR="00581B71" w:rsidRPr="00DB79CC" w:rsidRDefault="00581B71" w:rsidP="00581B71">
      <w:pPr>
        <w:ind w:firstLine="720"/>
        <w:jc w:val="both"/>
      </w:pPr>
      <w:r w:rsidRPr="00DB79CC">
        <w:t>Vīza:</w:t>
      </w:r>
    </w:p>
    <w:p w:rsidR="00581B71" w:rsidRPr="00DB79CC" w:rsidRDefault="00581B71" w:rsidP="00581B71">
      <w:pPr>
        <w:ind w:firstLine="720"/>
        <w:jc w:val="both"/>
      </w:pPr>
      <w:r w:rsidRPr="00DB79CC">
        <w:t>valsts sekretār</w:t>
      </w:r>
      <w:r w:rsidR="00976B24">
        <w:t xml:space="preserve">s                   </w:t>
      </w:r>
      <w:r w:rsidRPr="00DB79CC">
        <w:tab/>
      </w:r>
      <w:r w:rsidRPr="00DB79CC">
        <w:tab/>
      </w:r>
      <w:r w:rsidRPr="00DB79CC">
        <w:tab/>
      </w:r>
      <w:r w:rsidRPr="00DB79CC">
        <w:tab/>
      </w:r>
      <w:r w:rsidRPr="00DB79CC">
        <w:tab/>
      </w:r>
      <w:r w:rsidRPr="00DB79CC">
        <w:tab/>
      </w:r>
      <w:r w:rsidRPr="00DB79CC">
        <w:tab/>
      </w:r>
      <w:r w:rsidR="00976B24">
        <w:t>R.Muciņš</w:t>
      </w:r>
    </w:p>
    <w:p w:rsidR="00581B71" w:rsidRPr="00DB79CC" w:rsidRDefault="00581B71" w:rsidP="00581B71">
      <w:pPr>
        <w:jc w:val="both"/>
      </w:pPr>
    </w:p>
    <w:p w:rsidR="00581B71" w:rsidRPr="004924FC" w:rsidRDefault="0040413D" w:rsidP="00581B71">
      <w:pPr>
        <w:ind w:firstLine="720"/>
        <w:jc w:val="both"/>
        <w:rPr>
          <w:sz w:val="20"/>
          <w:szCs w:val="20"/>
        </w:rPr>
      </w:pPr>
      <w:r>
        <w:rPr>
          <w:sz w:val="20"/>
          <w:szCs w:val="20"/>
        </w:rPr>
        <w:t>0</w:t>
      </w:r>
      <w:r w:rsidR="001375EE">
        <w:rPr>
          <w:sz w:val="20"/>
          <w:szCs w:val="20"/>
        </w:rPr>
        <w:t>9</w:t>
      </w:r>
      <w:r>
        <w:rPr>
          <w:sz w:val="20"/>
          <w:szCs w:val="20"/>
        </w:rPr>
        <w:t>.02</w:t>
      </w:r>
      <w:r w:rsidR="00581B71" w:rsidRPr="004924FC">
        <w:rPr>
          <w:sz w:val="20"/>
          <w:szCs w:val="20"/>
        </w:rPr>
        <w:t>.201</w:t>
      </w:r>
      <w:r w:rsidR="00DF42E4" w:rsidRPr="004924FC">
        <w:rPr>
          <w:sz w:val="20"/>
          <w:szCs w:val="20"/>
        </w:rPr>
        <w:t>6</w:t>
      </w:r>
      <w:r w:rsidR="00581B71" w:rsidRPr="004924FC">
        <w:rPr>
          <w:sz w:val="20"/>
          <w:szCs w:val="20"/>
        </w:rPr>
        <w:t xml:space="preserve">. </w:t>
      </w:r>
      <w:r w:rsidR="004924FC" w:rsidRPr="004924FC">
        <w:rPr>
          <w:sz w:val="20"/>
          <w:szCs w:val="20"/>
        </w:rPr>
        <w:t>15</w:t>
      </w:r>
      <w:r w:rsidR="00581B71" w:rsidRPr="004924FC">
        <w:rPr>
          <w:sz w:val="20"/>
          <w:szCs w:val="20"/>
        </w:rPr>
        <w:t>:</w:t>
      </w:r>
      <w:r w:rsidR="00F40800" w:rsidRPr="004924FC">
        <w:rPr>
          <w:sz w:val="20"/>
          <w:szCs w:val="20"/>
        </w:rPr>
        <w:t>40</w:t>
      </w:r>
    </w:p>
    <w:p w:rsidR="00581B71" w:rsidRPr="004924FC" w:rsidRDefault="00581B71" w:rsidP="00581B71">
      <w:pPr>
        <w:ind w:firstLine="720"/>
        <w:jc w:val="both"/>
        <w:rPr>
          <w:sz w:val="20"/>
          <w:szCs w:val="20"/>
        </w:rPr>
      </w:pPr>
      <w:r w:rsidRPr="004924FC">
        <w:rPr>
          <w:sz w:val="20"/>
          <w:szCs w:val="20"/>
        </w:rPr>
        <w:t>56</w:t>
      </w:r>
      <w:r w:rsidR="0040413D">
        <w:rPr>
          <w:sz w:val="20"/>
          <w:szCs w:val="20"/>
        </w:rPr>
        <w:t>09</w:t>
      </w:r>
    </w:p>
    <w:p w:rsidR="00581B71" w:rsidRPr="00DB79CC" w:rsidRDefault="00581B71" w:rsidP="00581B71">
      <w:pPr>
        <w:pStyle w:val="Header"/>
        <w:tabs>
          <w:tab w:val="clear" w:pos="4153"/>
          <w:tab w:val="clear" w:pos="8306"/>
        </w:tabs>
        <w:ind w:firstLine="720"/>
        <w:rPr>
          <w:sz w:val="20"/>
          <w:szCs w:val="20"/>
        </w:rPr>
      </w:pPr>
      <w:r w:rsidRPr="004924FC">
        <w:rPr>
          <w:sz w:val="20"/>
          <w:szCs w:val="20"/>
        </w:rPr>
        <w:t>I.Kukle</w:t>
      </w:r>
    </w:p>
    <w:p w:rsidR="00581B71" w:rsidRPr="00DB79CC" w:rsidRDefault="00581B71" w:rsidP="00581B71">
      <w:pPr>
        <w:pStyle w:val="Header"/>
        <w:tabs>
          <w:tab w:val="clear" w:pos="4153"/>
          <w:tab w:val="clear" w:pos="8306"/>
        </w:tabs>
        <w:ind w:firstLine="720"/>
        <w:rPr>
          <w:sz w:val="20"/>
          <w:szCs w:val="20"/>
        </w:rPr>
      </w:pPr>
      <w:r w:rsidRPr="00DB79CC">
        <w:rPr>
          <w:sz w:val="20"/>
          <w:szCs w:val="20"/>
        </w:rPr>
        <w:t>6</w:t>
      </w:r>
      <w:r>
        <w:rPr>
          <w:sz w:val="20"/>
          <w:szCs w:val="20"/>
        </w:rPr>
        <w:t>7026946</w:t>
      </w:r>
    </w:p>
    <w:p w:rsidR="00581B71" w:rsidRDefault="00C620EF" w:rsidP="00581B71">
      <w:pPr>
        <w:pStyle w:val="Header"/>
        <w:tabs>
          <w:tab w:val="clear" w:pos="4153"/>
          <w:tab w:val="clear" w:pos="8306"/>
        </w:tabs>
        <w:ind w:firstLine="720"/>
        <w:rPr>
          <w:rStyle w:val="Hyperlink"/>
          <w:sz w:val="20"/>
          <w:szCs w:val="20"/>
        </w:rPr>
      </w:pPr>
      <w:hyperlink r:id="rId21" w:history="1">
        <w:r w:rsidR="00581B71" w:rsidRPr="00DB79CC">
          <w:rPr>
            <w:rStyle w:val="Hyperlink"/>
            <w:sz w:val="20"/>
            <w:szCs w:val="20"/>
          </w:rPr>
          <w:t>Inese.Kukle@varam.gov.lv</w:t>
        </w:r>
      </w:hyperlink>
    </w:p>
    <w:p w:rsidR="001850A1" w:rsidRDefault="001850A1" w:rsidP="00581B71">
      <w:pPr>
        <w:pStyle w:val="Header"/>
        <w:tabs>
          <w:tab w:val="clear" w:pos="4153"/>
          <w:tab w:val="clear" w:pos="8306"/>
        </w:tabs>
        <w:ind w:firstLine="720"/>
        <w:rPr>
          <w:rStyle w:val="Hyperlink"/>
          <w:sz w:val="20"/>
          <w:szCs w:val="20"/>
        </w:rPr>
      </w:pPr>
    </w:p>
    <w:p w:rsidR="001850A1" w:rsidRDefault="001850A1" w:rsidP="00581B71">
      <w:pPr>
        <w:pStyle w:val="Header"/>
        <w:tabs>
          <w:tab w:val="clear" w:pos="4153"/>
          <w:tab w:val="clear" w:pos="8306"/>
        </w:tabs>
        <w:ind w:firstLine="720"/>
        <w:rPr>
          <w:rStyle w:val="Hyperlink"/>
          <w:sz w:val="20"/>
          <w:szCs w:val="20"/>
        </w:rPr>
      </w:pPr>
    </w:p>
    <w:p w:rsidR="001850A1" w:rsidRDefault="001850A1" w:rsidP="00581B71">
      <w:pPr>
        <w:pStyle w:val="Header"/>
        <w:tabs>
          <w:tab w:val="clear" w:pos="4153"/>
          <w:tab w:val="clear" w:pos="8306"/>
        </w:tabs>
        <w:ind w:firstLine="720"/>
      </w:pPr>
      <w:bookmarkStart w:id="11" w:name="_GoBack"/>
      <w:bookmarkEnd w:id="11"/>
    </w:p>
    <w:sectPr w:rsidR="001850A1" w:rsidSect="002801F4">
      <w:headerReference w:type="default" r:id="rId22"/>
      <w:footerReference w:type="even" r:id="rId23"/>
      <w:footerReference w:type="default" r:id="rId24"/>
      <w:footerReference w:type="first" r:id="rId25"/>
      <w:pgSz w:w="11906" w:h="16838"/>
      <w:pgMar w:top="1134" w:right="1134" w:bottom="1134" w:left="1134" w:header="425"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68" w:rsidRDefault="00BA1468" w:rsidP="00B7762B">
      <w:r>
        <w:separator/>
      </w:r>
    </w:p>
  </w:endnote>
  <w:endnote w:type="continuationSeparator" w:id="0">
    <w:p w:rsidR="00BA1468" w:rsidRDefault="00BA1468" w:rsidP="00B776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B4" w:rsidRPr="00186C21" w:rsidRDefault="00447EB4" w:rsidP="00487EDD">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B4" w:rsidRPr="006F5659" w:rsidRDefault="00447EB4" w:rsidP="009E4E34">
    <w:pPr>
      <w:ind w:right="-427"/>
      <w:jc w:val="both"/>
      <w:rPr>
        <w:sz w:val="20"/>
        <w:szCs w:val="20"/>
      </w:rPr>
    </w:pPr>
    <w:r w:rsidRPr="006F5659">
      <w:rPr>
        <w:bCs/>
        <w:sz w:val="20"/>
        <w:szCs w:val="20"/>
      </w:rPr>
      <w:t>VARAMAnot_</w:t>
    </w:r>
    <w:r>
      <w:rPr>
        <w:bCs/>
        <w:sz w:val="20"/>
        <w:szCs w:val="20"/>
      </w:rPr>
      <w:t>piel_</w:t>
    </w:r>
    <w:r w:rsidR="00E24613">
      <w:rPr>
        <w:bCs/>
        <w:sz w:val="20"/>
        <w:szCs w:val="20"/>
      </w:rPr>
      <w:t>VSS_224</w:t>
    </w:r>
    <w:r>
      <w:rPr>
        <w:bCs/>
        <w:sz w:val="20"/>
        <w:szCs w:val="20"/>
      </w:rPr>
      <w:t>_</w:t>
    </w:r>
    <w:r w:rsidR="008369F0">
      <w:rPr>
        <w:bCs/>
        <w:sz w:val="20"/>
        <w:szCs w:val="20"/>
      </w:rPr>
      <w:t>0</w:t>
    </w:r>
    <w:r w:rsidR="001375EE">
      <w:rPr>
        <w:bCs/>
        <w:sz w:val="20"/>
        <w:szCs w:val="20"/>
      </w:rPr>
      <w:t>9</w:t>
    </w:r>
    <w:r w:rsidR="008369F0">
      <w:rPr>
        <w:bCs/>
        <w:sz w:val="20"/>
        <w:szCs w:val="20"/>
      </w:rPr>
      <w:t>02</w:t>
    </w:r>
    <w:r>
      <w:rPr>
        <w:bCs/>
        <w:sz w:val="20"/>
        <w:szCs w:val="20"/>
      </w:rPr>
      <w:t>201</w:t>
    </w:r>
    <w:r w:rsidR="00DF42E4">
      <w:rPr>
        <w:bCs/>
        <w:sz w:val="20"/>
        <w:szCs w:val="20"/>
      </w:rPr>
      <w:t>6</w:t>
    </w:r>
    <w:r w:rsidRPr="006F5659">
      <w:rPr>
        <w:bCs/>
        <w:sz w:val="20"/>
        <w:szCs w:val="20"/>
      </w:rPr>
      <w:t xml:space="preserve">; </w:t>
    </w:r>
    <w:bookmarkStart w:id="12" w:name="OLE_LINK15"/>
    <w:bookmarkStart w:id="13" w:name="OLE_LINK16"/>
    <w:r w:rsidRPr="006F5659">
      <w:rPr>
        <w:sz w:val="20"/>
        <w:szCs w:val="20"/>
      </w:rPr>
      <w:t>Ministru kabineta noteikumu projekta</w:t>
    </w:r>
    <w:r>
      <w:rPr>
        <w:sz w:val="20"/>
        <w:szCs w:val="20"/>
      </w:rPr>
      <w:t xml:space="preserve"> </w:t>
    </w:r>
    <w:r w:rsidRPr="006F5659">
      <w:rPr>
        <w:sz w:val="20"/>
        <w:szCs w:val="20"/>
      </w:rPr>
      <w:t>„</w:t>
    </w:r>
    <w:r>
      <w:rPr>
        <w:sz w:val="20"/>
        <w:szCs w:val="20"/>
      </w:rPr>
      <w:t>D</w:t>
    </w:r>
    <w:r w:rsidRPr="006F5659">
      <w:rPr>
        <w:sz w:val="20"/>
        <w:szCs w:val="20"/>
      </w:rPr>
      <w:t xml:space="preserve">arbības programmas </w:t>
    </w:r>
    <w:r>
      <w:rPr>
        <w:sz w:val="20"/>
        <w:szCs w:val="20"/>
      </w:rPr>
      <w:t>“</w:t>
    </w:r>
    <w:r w:rsidRPr="006F5659">
      <w:rPr>
        <w:sz w:val="20"/>
        <w:szCs w:val="20"/>
      </w:rPr>
      <w:t>Izaugsme un nodarbinātība</w:t>
    </w:r>
    <w:r>
      <w:rPr>
        <w:sz w:val="20"/>
        <w:szCs w:val="20"/>
      </w:rPr>
      <w:t>”</w:t>
    </w:r>
    <w:r w:rsidRPr="006F5659">
      <w:rPr>
        <w:sz w:val="20"/>
        <w:szCs w:val="20"/>
      </w:rPr>
      <w:t xml:space="preserve"> 5.4.2. specifiskā atbalsta mērķa </w:t>
    </w:r>
    <w:r>
      <w:rPr>
        <w:sz w:val="20"/>
        <w:szCs w:val="20"/>
      </w:rPr>
      <w:t>“</w:t>
    </w:r>
    <w:r w:rsidRPr="006F5659">
      <w:rPr>
        <w:sz w:val="20"/>
        <w:szCs w:val="20"/>
      </w:rPr>
      <w:t>Nodrošināt vides monitoringa un kontroles sistēmas attīstību un savlaicīgu vides risku novēršanu, kā arī sabiedrības līdzdalību vides pārvaldībā” 5.4.2.1. pasākuma „Bioloģiskās daudzveidības saglabāšanas un ekosistēmu aizsardzības priekšnoteikumi” īstenošan</w:t>
    </w:r>
    <w:r>
      <w:rPr>
        <w:sz w:val="20"/>
        <w:szCs w:val="20"/>
      </w:rPr>
      <w:t>as noteikumu</w:t>
    </w:r>
    <w:r w:rsidRPr="006F5659">
      <w:rPr>
        <w:sz w:val="20"/>
        <w:szCs w:val="20"/>
      </w:rPr>
      <w:t>”</w:t>
    </w:r>
    <w:r>
      <w:rPr>
        <w:sz w:val="20"/>
        <w:szCs w:val="20"/>
      </w:rPr>
      <w:t xml:space="preserve"> </w:t>
    </w:r>
    <w:r w:rsidRPr="006F5659">
      <w:rPr>
        <w:sz w:val="20"/>
        <w:szCs w:val="20"/>
      </w:rPr>
      <w:t>sākotnējās ietekmes novērtējuma ziņojums (anotācija)</w:t>
    </w:r>
  </w:p>
  <w:bookmarkEnd w:id="12"/>
  <w:bookmarkEnd w:id="13"/>
  <w:p w:rsidR="00447EB4" w:rsidRPr="006F5659" w:rsidRDefault="00447EB4" w:rsidP="00487EDD">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B4" w:rsidRPr="006F5659" w:rsidRDefault="00447EB4" w:rsidP="00F173E0">
    <w:pPr>
      <w:jc w:val="both"/>
      <w:rPr>
        <w:sz w:val="20"/>
        <w:szCs w:val="20"/>
      </w:rPr>
    </w:pPr>
    <w:r w:rsidRPr="006F5659">
      <w:rPr>
        <w:bCs/>
        <w:sz w:val="20"/>
        <w:szCs w:val="20"/>
      </w:rPr>
      <w:t>VARAMAnot</w:t>
    </w:r>
    <w:r>
      <w:rPr>
        <w:bCs/>
        <w:sz w:val="20"/>
        <w:szCs w:val="20"/>
      </w:rPr>
      <w:t>_piel</w:t>
    </w:r>
    <w:r w:rsidRPr="006F5659">
      <w:rPr>
        <w:bCs/>
        <w:sz w:val="20"/>
        <w:szCs w:val="20"/>
      </w:rPr>
      <w:t>_</w:t>
    </w:r>
    <w:r w:rsidR="00E24613">
      <w:rPr>
        <w:bCs/>
        <w:sz w:val="20"/>
        <w:szCs w:val="20"/>
      </w:rPr>
      <w:t>VSS_224</w:t>
    </w:r>
    <w:r w:rsidR="00086C55">
      <w:rPr>
        <w:bCs/>
        <w:sz w:val="20"/>
        <w:szCs w:val="20"/>
      </w:rPr>
      <w:t>_</w:t>
    </w:r>
    <w:r w:rsidR="008369F0">
      <w:rPr>
        <w:bCs/>
        <w:sz w:val="20"/>
        <w:szCs w:val="20"/>
      </w:rPr>
      <w:t>0</w:t>
    </w:r>
    <w:r w:rsidR="001375EE">
      <w:rPr>
        <w:bCs/>
        <w:sz w:val="20"/>
        <w:szCs w:val="20"/>
      </w:rPr>
      <w:t>9</w:t>
    </w:r>
    <w:r w:rsidR="008369F0">
      <w:rPr>
        <w:bCs/>
        <w:sz w:val="20"/>
        <w:szCs w:val="20"/>
      </w:rPr>
      <w:t>02</w:t>
    </w:r>
    <w:r>
      <w:rPr>
        <w:bCs/>
        <w:sz w:val="20"/>
        <w:szCs w:val="20"/>
      </w:rPr>
      <w:t>20</w:t>
    </w:r>
    <w:r w:rsidRPr="006F5659">
      <w:rPr>
        <w:bCs/>
        <w:sz w:val="20"/>
        <w:szCs w:val="20"/>
      </w:rPr>
      <w:t>1</w:t>
    </w:r>
    <w:r w:rsidR="00DF42E4">
      <w:rPr>
        <w:bCs/>
        <w:sz w:val="20"/>
        <w:szCs w:val="20"/>
      </w:rPr>
      <w:t>6</w:t>
    </w:r>
    <w:r w:rsidRPr="006F5659">
      <w:rPr>
        <w:bCs/>
        <w:sz w:val="20"/>
        <w:szCs w:val="20"/>
      </w:rPr>
      <w:t xml:space="preserve">; </w:t>
    </w:r>
    <w:r w:rsidRPr="006F5659">
      <w:rPr>
        <w:sz w:val="20"/>
        <w:szCs w:val="20"/>
      </w:rPr>
      <w:t>Ministru kabineta noteikumu projekta</w:t>
    </w:r>
    <w:r>
      <w:rPr>
        <w:sz w:val="20"/>
        <w:szCs w:val="20"/>
      </w:rPr>
      <w:t xml:space="preserve"> </w:t>
    </w:r>
    <w:r w:rsidRPr="006F5659">
      <w:rPr>
        <w:sz w:val="20"/>
        <w:szCs w:val="20"/>
      </w:rPr>
      <w:t>„</w:t>
    </w:r>
    <w:r>
      <w:rPr>
        <w:sz w:val="20"/>
        <w:szCs w:val="20"/>
      </w:rPr>
      <w:t>D</w:t>
    </w:r>
    <w:r w:rsidRPr="006F5659">
      <w:rPr>
        <w:sz w:val="20"/>
        <w:szCs w:val="20"/>
      </w:rPr>
      <w:t xml:space="preserve">arbības programmas </w:t>
    </w:r>
    <w:r w:rsidR="00086C55">
      <w:rPr>
        <w:sz w:val="20"/>
        <w:szCs w:val="20"/>
      </w:rPr>
      <w:t>“</w:t>
    </w:r>
    <w:r w:rsidRPr="006F5659">
      <w:rPr>
        <w:sz w:val="20"/>
        <w:szCs w:val="20"/>
      </w:rPr>
      <w:t>Izaugsme un nodarbinātība</w:t>
    </w:r>
    <w:r w:rsidR="00086C55">
      <w:rPr>
        <w:sz w:val="20"/>
        <w:szCs w:val="20"/>
      </w:rPr>
      <w:t>”</w:t>
    </w:r>
    <w:r w:rsidRPr="006F5659">
      <w:rPr>
        <w:sz w:val="20"/>
        <w:szCs w:val="20"/>
      </w:rPr>
      <w:t xml:space="preserve"> 5.4.2. specifiskā atbalsta mērķa </w:t>
    </w:r>
    <w:r w:rsidR="00086C55">
      <w:rPr>
        <w:sz w:val="20"/>
        <w:szCs w:val="20"/>
      </w:rPr>
      <w:t>“</w:t>
    </w:r>
    <w:r w:rsidRPr="006F5659">
      <w:rPr>
        <w:sz w:val="20"/>
        <w:szCs w:val="20"/>
      </w:rPr>
      <w:t>Nodrošināt vides monitoringa un kontroles sistēmas attīstību un savlaicīgu vides risku novēršanu, kā arī sabiedrības līdzdalību vides pārvaldībā” 5.4.2.1. pasākuma „Bioloģiskās daudzveidības saglabāšanas un ekosistēmu aizsardzības priekšnoteikumi” īstenošan</w:t>
    </w:r>
    <w:r>
      <w:rPr>
        <w:sz w:val="20"/>
        <w:szCs w:val="20"/>
      </w:rPr>
      <w:t>as noteikumu</w:t>
    </w:r>
    <w:r w:rsidRPr="006F5659">
      <w:rPr>
        <w:sz w:val="20"/>
        <w:szCs w:val="20"/>
      </w:rPr>
      <w:t>” sākotnējās ietekmes novērtējuma ziņojums (anotācija)</w:t>
    </w:r>
  </w:p>
  <w:p w:rsidR="00447EB4" w:rsidRPr="00330635" w:rsidRDefault="00447EB4" w:rsidP="00487EDD">
    <w:pPr>
      <w:jc w:val="both"/>
      <w:rPr>
        <w:b/>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68" w:rsidRDefault="00BA1468" w:rsidP="00B7762B">
      <w:r>
        <w:separator/>
      </w:r>
    </w:p>
  </w:footnote>
  <w:footnote w:type="continuationSeparator" w:id="0">
    <w:p w:rsidR="00BA1468" w:rsidRDefault="00BA1468" w:rsidP="00B7762B">
      <w:r>
        <w:continuationSeparator/>
      </w:r>
    </w:p>
  </w:footnote>
  <w:footnote w:id="1">
    <w:p w:rsidR="00447EB4" w:rsidRDefault="00447EB4" w:rsidP="00A072B2">
      <w:pPr>
        <w:pStyle w:val="FootnoteText"/>
        <w:jc w:val="both"/>
      </w:pPr>
      <w:r>
        <w:rPr>
          <w:rStyle w:val="FootnoteReference"/>
        </w:rPr>
        <w:footnoteRef/>
      </w:r>
      <w:r>
        <w:t xml:space="preserve"> Komisijas Regula (ES) Nr. 1307/2014 (2014. gada 8. decembris ) par zālāju ar augstu bioloģisko daudzveidību kritēriju un ģeogrāfisko apgabalu definēšanu, kas vajadzīga, lai izpildītu Eiropas Parlamenta un Padomes Direktīvas 98/70/EK, kas attiecas uz benzīna un dīzeļdegvielu kvalitāti, 7.b panta 3. punkta c) apakšpunktu un Eiropas Parlamenta un Padomes Direktīvas 2009/28/EK par atjaunojamo energoresursu izmantošanas veicināšanu 17. panta 3. punkta c) apakšpunktu</w:t>
      </w:r>
    </w:p>
    <w:p w:rsidR="00447EB4" w:rsidRDefault="00447EB4" w:rsidP="00A072B2">
      <w:pPr>
        <w:pStyle w:val="FootnoteText"/>
        <w:jc w:val="both"/>
      </w:pPr>
    </w:p>
  </w:footnote>
  <w:footnote w:id="2">
    <w:p w:rsidR="00447EB4" w:rsidRDefault="00447EB4" w:rsidP="003E459D">
      <w:pPr>
        <w:pStyle w:val="FootnoteText"/>
      </w:pPr>
      <w:r>
        <w:rPr>
          <w:rStyle w:val="FootnoteReference"/>
        </w:rPr>
        <w:footnoteRef/>
      </w:r>
      <w:r>
        <w:rPr>
          <w:sz w:val="16"/>
          <w:szCs w:val="16"/>
        </w:rPr>
        <w:t xml:space="preserve"> </w:t>
      </w:r>
      <w:r>
        <w:t>LPS – Latvijas Pašvaldību savienība, LTRK – Latvijas Tirdzniecības un rūpniecības kamera, LDDK – Latvijas Darba devēju konfederācija, LDF – Latvijas Dabas fonds, LOB- Latvijas Ornitoloģijas biedrība,  VKP – Vides konsultatīvā padome, ZS – Zemnieku Saeima, LOSP – Lauksaimnieku organizāciju sadarbības padome</w:t>
      </w:r>
    </w:p>
    <w:p w:rsidR="00447EB4" w:rsidRDefault="00447EB4" w:rsidP="003E459D">
      <w:pPr>
        <w:pStyle w:val="FootnoteText"/>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B4" w:rsidRDefault="00C620EF" w:rsidP="00487EDD">
    <w:pPr>
      <w:pStyle w:val="Header"/>
      <w:framePr w:wrap="auto" w:vAnchor="text" w:hAnchor="margin" w:xAlign="center" w:y="1"/>
      <w:rPr>
        <w:rStyle w:val="PageNumber"/>
      </w:rPr>
    </w:pPr>
    <w:r>
      <w:rPr>
        <w:rStyle w:val="PageNumber"/>
      </w:rPr>
      <w:fldChar w:fldCharType="begin"/>
    </w:r>
    <w:r w:rsidR="00447EB4">
      <w:rPr>
        <w:rStyle w:val="PageNumber"/>
      </w:rPr>
      <w:instrText xml:space="preserve">PAGE  </w:instrText>
    </w:r>
    <w:r>
      <w:rPr>
        <w:rStyle w:val="PageNumber"/>
      </w:rPr>
      <w:fldChar w:fldCharType="separate"/>
    </w:r>
    <w:r w:rsidR="00722EAF">
      <w:rPr>
        <w:rStyle w:val="PageNumber"/>
        <w:noProof/>
      </w:rPr>
      <w:t>14</w:t>
    </w:r>
    <w:r>
      <w:rPr>
        <w:rStyle w:val="PageNumber"/>
      </w:rPr>
      <w:fldChar w:fldCharType="end"/>
    </w:r>
  </w:p>
  <w:p w:rsidR="00447EB4" w:rsidRDefault="00447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989"/>
    <w:multiLevelType w:val="hybridMultilevel"/>
    <w:tmpl w:val="69CE7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0927B5"/>
    <w:multiLevelType w:val="hybridMultilevel"/>
    <w:tmpl w:val="F7E81260"/>
    <w:lvl w:ilvl="0" w:tplc="FF864D58">
      <w:start w:val="1"/>
      <w:numFmt w:val="decimal"/>
      <w:lvlText w:val="%1."/>
      <w:lvlJc w:val="left"/>
      <w:pPr>
        <w:ind w:left="720" w:hanging="360"/>
      </w:pPr>
      <w:rPr>
        <w:rFonts w:ascii="Times New Roman" w:hAnsi="Times New Roman" w:cs="Times New Roman"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10781F"/>
    <w:multiLevelType w:val="multilevel"/>
    <w:tmpl w:val="71C2C3F2"/>
    <w:lvl w:ilvl="0">
      <w:start w:val="1"/>
      <w:numFmt w:val="decimal"/>
      <w:lvlText w:val="%1."/>
      <w:lvlJc w:val="left"/>
      <w:pPr>
        <w:ind w:left="1080" w:hanging="72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nsid w:val="137E72EB"/>
    <w:multiLevelType w:val="multilevel"/>
    <w:tmpl w:val="D6727A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2A2FBD"/>
    <w:multiLevelType w:val="hybridMultilevel"/>
    <w:tmpl w:val="B8BC76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4F262F"/>
    <w:multiLevelType w:val="multilevel"/>
    <w:tmpl w:val="1B54C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137F42"/>
    <w:multiLevelType w:val="hybridMultilevel"/>
    <w:tmpl w:val="D3003738"/>
    <w:lvl w:ilvl="0" w:tplc="82F4411E">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130130C"/>
    <w:multiLevelType w:val="hybridMultilevel"/>
    <w:tmpl w:val="35A8B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32C30FC"/>
    <w:multiLevelType w:val="multilevel"/>
    <w:tmpl w:val="CB1A352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B2D7681"/>
    <w:multiLevelType w:val="multilevel"/>
    <w:tmpl w:val="421E0D0A"/>
    <w:lvl w:ilvl="0">
      <w:start w:val="1"/>
      <w:numFmt w:val="decimal"/>
      <w:lvlText w:val="%1."/>
      <w:lvlJc w:val="left"/>
      <w:pPr>
        <w:ind w:left="435" w:hanging="435"/>
      </w:pPr>
      <w:rPr>
        <w:rFonts w:hint="default"/>
      </w:rPr>
    </w:lvl>
    <w:lvl w:ilvl="1">
      <w:start w:val="1"/>
      <w:numFmt w:val="decimal"/>
      <w:lvlText w:val="%2)"/>
      <w:lvlJc w:val="left"/>
      <w:pPr>
        <w:ind w:left="791" w:hanging="435"/>
      </w:pPr>
      <w:rPr>
        <w:rFonts w:ascii="Times New Roman" w:eastAsia="Calibri" w:hAnsi="Times New Roman" w:cs="Times New Roman"/>
      </w:rPr>
    </w:lvl>
    <w:lvl w:ilvl="2">
      <w:start w:val="1"/>
      <w:numFmt w:val="decimal"/>
      <w:lvlText w:val="%1.%2.)%3."/>
      <w:lvlJc w:val="left"/>
      <w:pPr>
        <w:ind w:left="1432" w:hanging="720"/>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4648" w:hanging="1800"/>
      </w:pPr>
      <w:rPr>
        <w:rFonts w:hint="default"/>
      </w:rPr>
    </w:lvl>
  </w:abstractNum>
  <w:abstractNum w:abstractNumId="10">
    <w:nsid w:val="6B573475"/>
    <w:multiLevelType w:val="multilevel"/>
    <w:tmpl w:val="2A16E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DAA70E1"/>
    <w:multiLevelType w:val="multilevel"/>
    <w:tmpl w:val="2A16E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B506C66"/>
    <w:multiLevelType w:val="hybridMultilevel"/>
    <w:tmpl w:val="86A296A0"/>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7BB36106"/>
    <w:multiLevelType w:val="hybridMultilevel"/>
    <w:tmpl w:val="A132708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7"/>
  </w:num>
  <w:num w:numId="9">
    <w:abstractNumId w:val="11"/>
  </w:num>
  <w:num w:numId="10">
    <w:abstractNumId w:val="10"/>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B7762B"/>
    <w:rsid w:val="00030EAD"/>
    <w:rsid w:val="00032931"/>
    <w:rsid w:val="00036C8F"/>
    <w:rsid w:val="000402B0"/>
    <w:rsid w:val="00082319"/>
    <w:rsid w:val="00086C55"/>
    <w:rsid w:val="000B0DDE"/>
    <w:rsid w:val="000C4680"/>
    <w:rsid w:val="000C75E6"/>
    <w:rsid w:val="000D4F9C"/>
    <w:rsid w:val="000E2B96"/>
    <w:rsid w:val="00113C7F"/>
    <w:rsid w:val="001375EE"/>
    <w:rsid w:val="00151CE3"/>
    <w:rsid w:val="001532A0"/>
    <w:rsid w:val="0016225D"/>
    <w:rsid w:val="001850A1"/>
    <w:rsid w:val="001E37CC"/>
    <w:rsid w:val="001F1A4F"/>
    <w:rsid w:val="002053E2"/>
    <w:rsid w:val="0020796E"/>
    <w:rsid w:val="002801F4"/>
    <w:rsid w:val="002B7A62"/>
    <w:rsid w:val="002D1F0C"/>
    <w:rsid w:val="002D5F10"/>
    <w:rsid w:val="00317EC5"/>
    <w:rsid w:val="00321982"/>
    <w:rsid w:val="00323145"/>
    <w:rsid w:val="003431D0"/>
    <w:rsid w:val="0035351D"/>
    <w:rsid w:val="00363F6B"/>
    <w:rsid w:val="003A0EA5"/>
    <w:rsid w:val="003B5A9B"/>
    <w:rsid w:val="003E459D"/>
    <w:rsid w:val="0040413D"/>
    <w:rsid w:val="00410487"/>
    <w:rsid w:val="00447EB4"/>
    <w:rsid w:val="00456681"/>
    <w:rsid w:val="00487EDD"/>
    <w:rsid w:val="004924FC"/>
    <w:rsid w:val="004D445E"/>
    <w:rsid w:val="004E0C88"/>
    <w:rsid w:val="004E6A45"/>
    <w:rsid w:val="00512664"/>
    <w:rsid w:val="0052504F"/>
    <w:rsid w:val="005348FC"/>
    <w:rsid w:val="00546E8B"/>
    <w:rsid w:val="0057411B"/>
    <w:rsid w:val="00581B71"/>
    <w:rsid w:val="0058538D"/>
    <w:rsid w:val="00596BCD"/>
    <w:rsid w:val="005F2CAE"/>
    <w:rsid w:val="00605957"/>
    <w:rsid w:val="00610545"/>
    <w:rsid w:val="00616B86"/>
    <w:rsid w:val="006173FE"/>
    <w:rsid w:val="00627484"/>
    <w:rsid w:val="006303DD"/>
    <w:rsid w:val="006510EB"/>
    <w:rsid w:val="006513E5"/>
    <w:rsid w:val="00652FB5"/>
    <w:rsid w:val="00671834"/>
    <w:rsid w:val="00690B9F"/>
    <w:rsid w:val="006A007E"/>
    <w:rsid w:val="006C35F3"/>
    <w:rsid w:val="006D50D9"/>
    <w:rsid w:val="006E7F26"/>
    <w:rsid w:val="006F4239"/>
    <w:rsid w:val="00700568"/>
    <w:rsid w:val="00712233"/>
    <w:rsid w:val="00722937"/>
    <w:rsid w:val="00722EAF"/>
    <w:rsid w:val="007323DB"/>
    <w:rsid w:val="00732940"/>
    <w:rsid w:val="007329D0"/>
    <w:rsid w:val="00735B41"/>
    <w:rsid w:val="00744614"/>
    <w:rsid w:val="00790289"/>
    <w:rsid w:val="00793B11"/>
    <w:rsid w:val="00803353"/>
    <w:rsid w:val="0080448F"/>
    <w:rsid w:val="00825C77"/>
    <w:rsid w:val="008314D6"/>
    <w:rsid w:val="008369F0"/>
    <w:rsid w:val="0085280D"/>
    <w:rsid w:val="00854491"/>
    <w:rsid w:val="00880ECE"/>
    <w:rsid w:val="00881C1C"/>
    <w:rsid w:val="00882AD6"/>
    <w:rsid w:val="008A2585"/>
    <w:rsid w:val="008D7565"/>
    <w:rsid w:val="008E5B80"/>
    <w:rsid w:val="0090080F"/>
    <w:rsid w:val="0092308C"/>
    <w:rsid w:val="00927FE4"/>
    <w:rsid w:val="009333B8"/>
    <w:rsid w:val="00936361"/>
    <w:rsid w:val="00936F79"/>
    <w:rsid w:val="00960515"/>
    <w:rsid w:val="00976B24"/>
    <w:rsid w:val="00984F96"/>
    <w:rsid w:val="009854DD"/>
    <w:rsid w:val="009A7AC8"/>
    <w:rsid w:val="009C24BE"/>
    <w:rsid w:val="009C67B5"/>
    <w:rsid w:val="009D5210"/>
    <w:rsid w:val="009E4E34"/>
    <w:rsid w:val="009F0490"/>
    <w:rsid w:val="009F5E47"/>
    <w:rsid w:val="009F6F14"/>
    <w:rsid w:val="00A000CA"/>
    <w:rsid w:val="00A01E53"/>
    <w:rsid w:val="00A072B2"/>
    <w:rsid w:val="00A26C98"/>
    <w:rsid w:val="00A32509"/>
    <w:rsid w:val="00A37135"/>
    <w:rsid w:val="00A92A80"/>
    <w:rsid w:val="00AD1210"/>
    <w:rsid w:val="00AD58FC"/>
    <w:rsid w:val="00AF07B9"/>
    <w:rsid w:val="00AF3D64"/>
    <w:rsid w:val="00B357C4"/>
    <w:rsid w:val="00B457A9"/>
    <w:rsid w:val="00B55CC8"/>
    <w:rsid w:val="00B57537"/>
    <w:rsid w:val="00B7762B"/>
    <w:rsid w:val="00B934B9"/>
    <w:rsid w:val="00BA1468"/>
    <w:rsid w:val="00BA2363"/>
    <w:rsid w:val="00BC13A3"/>
    <w:rsid w:val="00BC333B"/>
    <w:rsid w:val="00BD2854"/>
    <w:rsid w:val="00BE3182"/>
    <w:rsid w:val="00C04C98"/>
    <w:rsid w:val="00C06870"/>
    <w:rsid w:val="00C17482"/>
    <w:rsid w:val="00C46B00"/>
    <w:rsid w:val="00C50688"/>
    <w:rsid w:val="00C52DF3"/>
    <w:rsid w:val="00C620EF"/>
    <w:rsid w:val="00C62854"/>
    <w:rsid w:val="00C6404B"/>
    <w:rsid w:val="00C836DC"/>
    <w:rsid w:val="00C97192"/>
    <w:rsid w:val="00CE6A45"/>
    <w:rsid w:val="00D125D3"/>
    <w:rsid w:val="00D304BB"/>
    <w:rsid w:val="00D54672"/>
    <w:rsid w:val="00DA2864"/>
    <w:rsid w:val="00DF42E4"/>
    <w:rsid w:val="00E24613"/>
    <w:rsid w:val="00E46F57"/>
    <w:rsid w:val="00E479B9"/>
    <w:rsid w:val="00E939A7"/>
    <w:rsid w:val="00ED5699"/>
    <w:rsid w:val="00F02FFA"/>
    <w:rsid w:val="00F173E0"/>
    <w:rsid w:val="00F216E2"/>
    <w:rsid w:val="00F24B21"/>
    <w:rsid w:val="00F40800"/>
    <w:rsid w:val="00F462F7"/>
    <w:rsid w:val="00F63345"/>
    <w:rsid w:val="00F66757"/>
    <w:rsid w:val="00F90A9E"/>
    <w:rsid w:val="00F917B6"/>
    <w:rsid w:val="00F917E0"/>
    <w:rsid w:val="00F92D70"/>
    <w:rsid w:val="00FB1D02"/>
    <w:rsid w:val="00FC40DD"/>
    <w:rsid w:val="00FE12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2B"/>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next w:val="Normal"/>
    <w:link w:val="Heading3Char1"/>
    <w:unhideWhenUsed/>
    <w:qFormat/>
    <w:rsid w:val="00C6404B"/>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762B"/>
    <w:pPr>
      <w:tabs>
        <w:tab w:val="center" w:pos="4153"/>
        <w:tab w:val="right" w:pos="8306"/>
      </w:tabs>
    </w:pPr>
  </w:style>
  <w:style w:type="character" w:customStyle="1" w:styleId="HeaderChar">
    <w:name w:val="Header Char"/>
    <w:basedOn w:val="DefaultParagraphFont"/>
    <w:link w:val="Header"/>
    <w:rsid w:val="00B7762B"/>
    <w:rPr>
      <w:rFonts w:ascii="Times New Roman" w:eastAsia="Calibri" w:hAnsi="Times New Roman" w:cs="Times New Roman"/>
      <w:sz w:val="24"/>
      <w:szCs w:val="24"/>
      <w:lang w:eastAsia="lv-LV"/>
    </w:rPr>
  </w:style>
  <w:style w:type="character" w:styleId="PageNumber">
    <w:name w:val="page number"/>
    <w:rsid w:val="00B7762B"/>
    <w:rPr>
      <w:rFonts w:cs="Times New Roman"/>
    </w:rPr>
  </w:style>
  <w:style w:type="character" w:styleId="Hyperlink">
    <w:name w:val="Hyperlink"/>
    <w:uiPriority w:val="99"/>
    <w:rsid w:val="00B7762B"/>
    <w:rPr>
      <w:rFonts w:cs="Times New Roman"/>
      <w:color w:val="0000FF"/>
      <w:u w:val="single"/>
    </w:rPr>
  </w:style>
  <w:style w:type="paragraph" w:styleId="BodyText2">
    <w:name w:val="Body Text 2"/>
    <w:basedOn w:val="Normal"/>
    <w:link w:val="BodyText2Char"/>
    <w:semiHidden/>
    <w:rsid w:val="00B7762B"/>
    <w:pPr>
      <w:widowControl w:val="0"/>
      <w:adjustRightInd w:val="0"/>
      <w:spacing w:line="360" w:lineRule="atLeast"/>
      <w:jc w:val="center"/>
      <w:textAlignment w:val="baseline"/>
    </w:pPr>
    <w:rPr>
      <w:b/>
      <w:bCs/>
      <w:sz w:val="28"/>
      <w:szCs w:val="28"/>
    </w:rPr>
  </w:style>
  <w:style w:type="character" w:customStyle="1" w:styleId="BodyText2Char">
    <w:name w:val="Body Text 2 Char"/>
    <w:basedOn w:val="DefaultParagraphFont"/>
    <w:link w:val="BodyText2"/>
    <w:semiHidden/>
    <w:rsid w:val="00B7762B"/>
    <w:rPr>
      <w:rFonts w:ascii="Times New Roman" w:eastAsia="Calibri" w:hAnsi="Times New Roman" w:cs="Times New Roman"/>
      <w:b/>
      <w:bCs/>
      <w:sz w:val="28"/>
      <w:szCs w:val="28"/>
      <w:lang w:eastAsia="lv-LV"/>
    </w:rPr>
  </w:style>
  <w:style w:type="paragraph" w:styleId="Footer">
    <w:name w:val="footer"/>
    <w:basedOn w:val="Normal"/>
    <w:link w:val="FooterChar"/>
    <w:uiPriority w:val="99"/>
    <w:semiHidden/>
    <w:unhideWhenUsed/>
    <w:rsid w:val="00B7762B"/>
    <w:pPr>
      <w:tabs>
        <w:tab w:val="center" w:pos="4153"/>
        <w:tab w:val="right" w:pos="8306"/>
      </w:tabs>
    </w:pPr>
  </w:style>
  <w:style w:type="character" w:customStyle="1" w:styleId="FooterChar">
    <w:name w:val="Footer Char"/>
    <w:basedOn w:val="DefaultParagraphFont"/>
    <w:link w:val="Footer"/>
    <w:uiPriority w:val="99"/>
    <w:semiHidden/>
    <w:rsid w:val="00B7762B"/>
    <w:rPr>
      <w:rFonts w:ascii="Times New Roman" w:eastAsia="Calibri" w:hAnsi="Times New Roman" w:cs="Times New Roman"/>
      <w:sz w:val="24"/>
      <w:szCs w:val="24"/>
      <w:lang w:eastAsia="lv-LV"/>
    </w:rPr>
  </w:style>
  <w:style w:type="character" w:styleId="Strong">
    <w:name w:val="Strong"/>
    <w:uiPriority w:val="22"/>
    <w:qFormat/>
    <w:rsid w:val="00B7762B"/>
    <w:rPr>
      <w:b/>
      <w:bCs/>
    </w:rPr>
  </w:style>
  <w:style w:type="paragraph" w:styleId="ListParagraph">
    <w:name w:val="List Paragraph"/>
    <w:aliases w:val="2"/>
    <w:basedOn w:val="Normal"/>
    <w:link w:val="ListParagraphChar"/>
    <w:qFormat/>
    <w:rsid w:val="00B7762B"/>
    <w:pPr>
      <w:ind w:left="720"/>
      <w:contextualSpacing/>
    </w:pPr>
    <w:rPr>
      <w:rFonts w:eastAsia="Times New Roman"/>
      <w:sz w:val="22"/>
      <w:szCs w:val="22"/>
    </w:rPr>
  </w:style>
  <w:style w:type="character" w:customStyle="1" w:styleId="ListParagraphChar">
    <w:name w:val="List Paragraph Char"/>
    <w:aliases w:val="2 Char"/>
    <w:link w:val="ListParagraph"/>
    <w:uiPriority w:val="34"/>
    <w:rsid w:val="00B7762B"/>
    <w:rPr>
      <w:rFonts w:ascii="Times New Roman" w:eastAsia="Times New Roman" w:hAnsi="Times New Roman" w:cs="Times New Roman"/>
      <w:lang w:eastAsia="lv-LV"/>
    </w:rPr>
  </w:style>
  <w:style w:type="paragraph" w:customStyle="1" w:styleId="Default">
    <w:name w:val="Default"/>
    <w:rsid w:val="00B7762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Noklusjumarindkopasfonts1">
    <w:name w:val="Noklusējuma rindkopas fonts1"/>
    <w:rsid w:val="00B7762B"/>
  </w:style>
  <w:style w:type="paragraph" w:styleId="PlainText">
    <w:name w:val="Plain Text"/>
    <w:basedOn w:val="Normal"/>
    <w:link w:val="PlainTextChar"/>
    <w:uiPriority w:val="99"/>
    <w:unhideWhenUsed/>
    <w:rsid w:val="00B7762B"/>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B7762B"/>
    <w:rPr>
      <w:rFonts w:ascii="Calibri" w:hAnsi="Calibri" w:cs="Times New Roman"/>
      <w:lang w:val="en-GB"/>
    </w:rPr>
  </w:style>
  <w:style w:type="character" w:styleId="CommentReference">
    <w:name w:val="annotation reference"/>
    <w:basedOn w:val="DefaultParagraphFont"/>
    <w:uiPriority w:val="99"/>
    <w:semiHidden/>
    <w:unhideWhenUsed/>
    <w:rsid w:val="00C62854"/>
    <w:rPr>
      <w:sz w:val="16"/>
      <w:szCs w:val="16"/>
    </w:rPr>
  </w:style>
  <w:style w:type="paragraph" w:styleId="CommentText">
    <w:name w:val="annotation text"/>
    <w:basedOn w:val="Normal"/>
    <w:link w:val="CommentTextChar"/>
    <w:uiPriority w:val="99"/>
    <w:semiHidden/>
    <w:unhideWhenUsed/>
    <w:rsid w:val="00C62854"/>
    <w:rPr>
      <w:sz w:val="20"/>
      <w:szCs w:val="20"/>
    </w:rPr>
  </w:style>
  <w:style w:type="character" w:customStyle="1" w:styleId="CommentTextChar">
    <w:name w:val="Comment Text Char"/>
    <w:basedOn w:val="DefaultParagraphFont"/>
    <w:link w:val="CommentText"/>
    <w:uiPriority w:val="99"/>
    <w:semiHidden/>
    <w:rsid w:val="00C62854"/>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62854"/>
    <w:rPr>
      <w:b/>
      <w:bCs/>
    </w:rPr>
  </w:style>
  <w:style w:type="character" w:customStyle="1" w:styleId="CommentSubjectChar">
    <w:name w:val="Comment Subject Char"/>
    <w:basedOn w:val="CommentTextChar"/>
    <w:link w:val="CommentSubject"/>
    <w:uiPriority w:val="99"/>
    <w:semiHidden/>
    <w:rsid w:val="00C62854"/>
    <w:rPr>
      <w:rFonts w:ascii="Times New Roman" w:eastAsia="Calibri" w:hAnsi="Times New Roman" w:cs="Times New Roman"/>
      <w:b/>
      <w:bCs/>
      <w:sz w:val="20"/>
      <w:szCs w:val="20"/>
      <w:lang w:eastAsia="lv-LV"/>
    </w:rPr>
  </w:style>
  <w:style w:type="paragraph" w:styleId="BalloonText">
    <w:name w:val="Balloon Text"/>
    <w:basedOn w:val="Normal"/>
    <w:link w:val="BalloonTextChar"/>
    <w:uiPriority w:val="99"/>
    <w:semiHidden/>
    <w:unhideWhenUsed/>
    <w:rsid w:val="00C62854"/>
    <w:rPr>
      <w:rFonts w:ascii="Tahoma" w:hAnsi="Tahoma" w:cs="Tahoma"/>
      <w:sz w:val="16"/>
      <w:szCs w:val="16"/>
    </w:rPr>
  </w:style>
  <w:style w:type="character" w:customStyle="1" w:styleId="BalloonTextChar">
    <w:name w:val="Balloon Text Char"/>
    <w:basedOn w:val="DefaultParagraphFont"/>
    <w:link w:val="BalloonText"/>
    <w:uiPriority w:val="99"/>
    <w:semiHidden/>
    <w:rsid w:val="00C62854"/>
    <w:rPr>
      <w:rFonts w:ascii="Tahoma" w:eastAsia="Calibri" w:hAnsi="Tahoma" w:cs="Tahoma"/>
      <w:sz w:val="16"/>
      <w:szCs w:val="16"/>
      <w:lang w:eastAsia="lv-LV"/>
    </w:rPr>
  </w:style>
  <w:style w:type="paragraph" w:styleId="FootnoteText">
    <w:name w:val="footnote text"/>
    <w:basedOn w:val="Normal"/>
    <w:link w:val="FootnoteTextChar"/>
    <w:semiHidden/>
    <w:unhideWhenUsed/>
    <w:rsid w:val="00610545"/>
    <w:rPr>
      <w:sz w:val="20"/>
      <w:szCs w:val="20"/>
    </w:rPr>
  </w:style>
  <w:style w:type="character" w:customStyle="1" w:styleId="FootnoteTextChar">
    <w:name w:val="Footnote Text Char"/>
    <w:basedOn w:val="DefaultParagraphFont"/>
    <w:link w:val="FootnoteText"/>
    <w:semiHidden/>
    <w:rsid w:val="00610545"/>
    <w:rPr>
      <w:rFonts w:ascii="Times New Roman" w:eastAsia="Calibri" w:hAnsi="Times New Roman" w:cs="Times New Roman"/>
      <w:sz w:val="20"/>
      <w:szCs w:val="20"/>
      <w:lang w:eastAsia="lv-LV"/>
    </w:rPr>
  </w:style>
  <w:style w:type="character" w:styleId="FootnoteReference">
    <w:name w:val="footnote reference"/>
    <w:basedOn w:val="DefaultParagraphFont"/>
    <w:semiHidden/>
    <w:unhideWhenUsed/>
    <w:rsid w:val="00610545"/>
    <w:rPr>
      <w:vertAlign w:val="superscript"/>
    </w:rPr>
  </w:style>
  <w:style w:type="character" w:customStyle="1" w:styleId="Heading3Char">
    <w:name w:val="Heading 3 Char"/>
    <w:basedOn w:val="DefaultParagraphFont"/>
    <w:uiPriority w:val="9"/>
    <w:semiHidden/>
    <w:rsid w:val="00C6404B"/>
    <w:rPr>
      <w:rFonts w:asciiTheme="majorHAnsi" w:eastAsiaTheme="majorEastAsia" w:hAnsiTheme="majorHAnsi" w:cstheme="majorBidi"/>
      <w:color w:val="1F4D78" w:themeColor="accent1" w:themeShade="7F"/>
      <w:sz w:val="24"/>
      <w:szCs w:val="24"/>
      <w:lang w:eastAsia="lv-LV"/>
    </w:rPr>
  </w:style>
  <w:style w:type="character" w:customStyle="1" w:styleId="Heading3Char1">
    <w:name w:val="Heading 3 Char1"/>
    <w:basedOn w:val="DefaultParagraphFont"/>
    <w:link w:val="Heading3"/>
    <w:rsid w:val="00C6404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20796E"/>
    <w:pPr>
      <w:spacing w:after="0" w:line="240" w:lineRule="auto"/>
    </w:pPr>
    <w:rPr>
      <w:rFonts w:ascii="Times New Roman" w:eastAsia="Calibri"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25283298">
      <w:bodyDiv w:val="1"/>
      <w:marLeft w:val="0"/>
      <w:marRight w:val="0"/>
      <w:marTop w:val="0"/>
      <w:marBottom w:val="0"/>
      <w:divBdr>
        <w:top w:val="none" w:sz="0" w:space="0" w:color="auto"/>
        <w:left w:val="none" w:sz="0" w:space="0" w:color="auto"/>
        <w:bottom w:val="none" w:sz="0" w:space="0" w:color="auto"/>
        <w:right w:val="none" w:sz="0" w:space="0" w:color="auto"/>
      </w:divBdr>
    </w:div>
    <w:div w:id="419528079">
      <w:bodyDiv w:val="1"/>
      <w:marLeft w:val="0"/>
      <w:marRight w:val="0"/>
      <w:marTop w:val="0"/>
      <w:marBottom w:val="0"/>
      <w:divBdr>
        <w:top w:val="none" w:sz="0" w:space="0" w:color="auto"/>
        <w:left w:val="none" w:sz="0" w:space="0" w:color="auto"/>
        <w:bottom w:val="none" w:sz="0" w:space="0" w:color="auto"/>
        <w:right w:val="none" w:sz="0" w:space="0" w:color="auto"/>
      </w:divBdr>
    </w:div>
    <w:div w:id="466557950">
      <w:bodyDiv w:val="1"/>
      <w:marLeft w:val="0"/>
      <w:marRight w:val="0"/>
      <w:marTop w:val="0"/>
      <w:marBottom w:val="0"/>
      <w:divBdr>
        <w:top w:val="none" w:sz="0" w:space="0" w:color="auto"/>
        <w:left w:val="none" w:sz="0" w:space="0" w:color="auto"/>
        <w:bottom w:val="none" w:sz="0" w:space="0" w:color="auto"/>
        <w:right w:val="none" w:sz="0" w:space="0" w:color="auto"/>
      </w:divBdr>
    </w:div>
    <w:div w:id="535854639">
      <w:bodyDiv w:val="1"/>
      <w:marLeft w:val="0"/>
      <w:marRight w:val="0"/>
      <w:marTop w:val="0"/>
      <w:marBottom w:val="0"/>
      <w:divBdr>
        <w:top w:val="none" w:sz="0" w:space="0" w:color="auto"/>
        <w:left w:val="none" w:sz="0" w:space="0" w:color="auto"/>
        <w:bottom w:val="none" w:sz="0" w:space="0" w:color="auto"/>
        <w:right w:val="none" w:sz="0" w:space="0" w:color="auto"/>
      </w:divBdr>
    </w:div>
    <w:div w:id="580020321">
      <w:bodyDiv w:val="1"/>
      <w:marLeft w:val="0"/>
      <w:marRight w:val="0"/>
      <w:marTop w:val="0"/>
      <w:marBottom w:val="0"/>
      <w:divBdr>
        <w:top w:val="none" w:sz="0" w:space="0" w:color="auto"/>
        <w:left w:val="none" w:sz="0" w:space="0" w:color="auto"/>
        <w:bottom w:val="none" w:sz="0" w:space="0" w:color="auto"/>
        <w:right w:val="none" w:sz="0" w:space="0" w:color="auto"/>
      </w:divBdr>
    </w:div>
    <w:div w:id="605773523">
      <w:bodyDiv w:val="1"/>
      <w:marLeft w:val="0"/>
      <w:marRight w:val="0"/>
      <w:marTop w:val="0"/>
      <w:marBottom w:val="0"/>
      <w:divBdr>
        <w:top w:val="none" w:sz="0" w:space="0" w:color="auto"/>
        <w:left w:val="none" w:sz="0" w:space="0" w:color="auto"/>
        <w:bottom w:val="none" w:sz="0" w:space="0" w:color="auto"/>
        <w:right w:val="none" w:sz="0" w:space="0" w:color="auto"/>
      </w:divBdr>
    </w:div>
    <w:div w:id="1171143121">
      <w:bodyDiv w:val="1"/>
      <w:marLeft w:val="0"/>
      <w:marRight w:val="0"/>
      <w:marTop w:val="0"/>
      <w:marBottom w:val="0"/>
      <w:divBdr>
        <w:top w:val="none" w:sz="0" w:space="0" w:color="auto"/>
        <w:left w:val="none" w:sz="0" w:space="0" w:color="auto"/>
        <w:bottom w:val="none" w:sz="0" w:space="0" w:color="auto"/>
        <w:right w:val="none" w:sz="0" w:space="0" w:color="auto"/>
      </w:divBdr>
    </w:div>
    <w:div w:id="1327971858">
      <w:bodyDiv w:val="1"/>
      <w:marLeft w:val="0"/>
      <w:marRight w:val="0"/>
      <w:marTop w:val="0"/>
      <w:marBottom w:val="0"/>
      <w:divBdr>
        <w:top w:val="none" w:sz="0" w:space="0" w:color="auto"/>
        <w:left w:val="none" w:sz="0" w:space="0" w:color="auto"/>
        <w:bottom w:val="none" w:sz="0" w:space="0" w:color="auto"/>
        <w:right w:val="none" w:sz="0" w:space="0" w:color="auto"/>
      </w:divBdr>
    </w:div>
    <w:div w:id="16405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ba.gov.lv/public/lat/dati1/zinojumi_eiropas_komisijai/" TargetMode="External"/><Relationship Id="rId13" Type="http://schemas.openxmlformats.org/officeDocument/2006/relationships/hyperlink" Target="http://varam.gov.lv/lat/publ/publikacijas/dabas_aizsardzibas_joma/?doc=10539" TargetMode="External"/><Relationship Id="rId18" Type="http://schemas.openxmlformats.org/officeDocument/2006/relationships/hyperlink" Target="http://www.daba.gov.lv/public/lat/dati1/petijumu_prioritat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ese.Kukle@varam.gov.lv" TargetMode="External"/><Relationship Id="rId7" Type="http://schemas.openxmlformats.org/officeDocument/2006/relationships/endnotes" Target="endnotes.xml"/><Relationship Id="rId12" Type="http://schemas.openxmlformats.org/officeDocument/2006/relationships/hyperlink" Target="http://www.varam.gov.lv/lat/fondi/grants/EEZ_2009_2014/nfi_programma/?doc=14951" TargetMode="External"/><Relationship Id="rId17" Type="http://schemas.openxmlformats.org/officeDocument/2006/relationships/hyperlink" Target="http://www.daba.gov.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ea.europa.eu/publications/terrestrial-habitat-mapping-in-europe" TargetMode="External"/><Relationship Id="rId20" Type="http://schemas.openxmlformats.org/officeDocument/2006/relationships/hyperlink" Target="http://likumi.lv/doc.php?id=1645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ba.gov.lv/public/lat/iadt/dabas_aizsardzibas_plan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kumi.lv/ta/id/229146-kartiba-kada-novertejama-ietekme-uz-eiropas-nozimes-ipasi-aizsargajamo-dabas-teritoriju-natura-2000-" TargetMode="External"/><Relationship Id="rId23" Type="http://schemas.openxmlformats.org/officeDocument/2006/relationships/footer" Target="footer1.xml"/><Relationship Id="rId10" Type="http://schemas.openxmlformats.org/officeDocument/2006/relationships/hyperlink" Target="http://www.daba.gov.lv/upload/File/DOC/KNP_tursma_strat_12.pdf" TargetMode="External"/><Relationship Id="rId19" Type="http://schemas.openxmlformats.org/officeDocument/2006/relationships/hyperlink" Target="http://www.geolatvija.lv" TargetMode="External"/><Relationship Id="rId4" Type="http://schemas.openxmlformats.org/officeDocument/2006/relationships/settings" Target="settings.xml"/><Relationship Id="rId9" Type="http://schemas.openxmlformats.org/officeDocument/2006/relationships/hyperlink" Target="http://www.ieep.eu/publications/" TargetMode="External"/><Relationship Id="rId14" Type="http://schemas.openxmlformats.org/officeDocument/2006/relationships/hyperlink" Target="http://www.vpvb.gov.l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8CFC-6B83-463D-8774-30C90D0E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6912</Words>
  <Characters>39403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Heiberga</dc:creator>
  <cp:lastModifiedBy>larisat</cp:lastModifiedBy>
  <cp:revision>2</cp:revision>
  <dcterms:created xsi:type="dcterms:W3CDTF">2016-02-29T10:38:00Z</dcterms:created>
  <dcterms:modified xsi:type="dcterms:W3CDTF">2016-02-29T10:38:00Z</dcterms:modified>
  <cp:contentStatus/>
</cp:coreProperties>
</file>