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F5" w:rsidRPr="004C25D2" w:rsidRDefault="00987913" w:rsidP="00987913">
      <w:pPr>
        <w:jc w:val="center"/>
        <w:rPr>
          <w:b/>
        </w:rPr>
      </w:pPr>
      <w:r w:rsidRPr="004C25D2">
        <w:rPr>
          <w:b/>
        </w:rPr>
        <w:t>Ministru kabineta noteikumu projekta „</w:t>
      </w:r>
      <w:r w:rsidR="00E10AF6" w:rsidRPr="004C25D2">
        <w:rPr>
          <w:b/>
        </w:rPr>
        <w:t>Grozījumi Ministru kabineta 2011.gada 30.augusta noteikumos Nr.685 "Rezidentu sadales un rezidentūras finansēšanas noteikumi"</w:t>
      </w:r>
      <w:r w:rsidRPr="004C25D2">
        <w:rPr>
          <w:b/>
        </w:rPr>
        <w:t xml:space="preserve">” sākotnējās ietekmes novērtējuma </w:t>
      </w:r>
      <w:smartTag w:uri="schemas-tilde-lv/tildestengine" w:element="veidnes">
        <w:smartTagPr>
          <w:attr w:name="baseform" w:val="ziņojum|s"/>
          <w:attr w:name="id" w:val="-1"/>
          <w:attr w:name="text" w:val="ziņojums"/>
        </w:smartTagPr>
        <w:r w:rsidRPr="004C25D2">
          <w:rPr>
            <w:b/>
          </w:rPr>
          <w:t>ziņojums</w:t>
        </w:r>
      </w:smartTag>
      <w:r w:rsidRPr="004C25D2">
        <w:rPr>
          <w:b/>
        </w:rPr>
        <w:t xml:space="preserve"> (anotācija)</w:t>
      </w:r>
    </w:p>
    <w:p w:rsidR="00771C3C" w:rsidRDefault="00771C3C" w:rsidP="00F744F5">
      <w:pPr>
        <w:jc w:val="center"/>
        <w:rPr>
          <w:b/>
          <w:bCs/>
        </w:rPr>
      </w:pPr>
    </w:p>
    <w:p w:rsidR="005C0E8D" w:rsidRPr="00A21465" w:rsidRDefault="005C0E8D" w:rsidP="00F744F5">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97"/>
        <w:gridCol w:w="2409"/>
        <w:gridCol w:w="6125"/>
      </w:tblGrid>
      <w:tr w:rsidR="00043AD9" w:rsidRPr="004C25D2" w:rsidTr="00F92AE3">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043AD9" w:rsidRPr="004C25D2" w:rsidRDefault="00043AD9">
            <w:pPr>
              <w:pStyle w:val="tvhtml"/>
              <w:spacing w:line="315" w:lineRule="atLeast"/>
              <w:jc w:val="center"/>
              <w:rPr>
                <w:b/>
                <w:bCs/>
              </w:rPr>
            </w:pPr>
            <w:r w:rsidRPr="004C25D2">
              <w:rPr>
                <w:b/>
                <w:bCs/>
              </w:rPr>
              <w:t>I. Tiesību akta projekta izstrādes nepieciešamība</w:t>
            </w:r>
          </w:p>
        </w:tc>
      </w:tr>
      <w:tr w:rsidR="00043AD9" w:rsidRPr="004C25D2" w:rsidTr="00F92AE3">
        <w:trPr>
          <w:trHeight w:val="405"/>
        </w:trPr>
        <w:tc>
          <w:tcPr>
            <w:tcW w:w="597"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pPr>
              <w:pStyle w:val="tvhtml"/>
              <w:spacing w:line="315" w:lineRule="atLeast"/>
              <w:jc w:val="center"/>
            </w:pPr>
            <w:r w:rsidRPr="004C25D2">
              <w:t>1.</w:t>
            </w:r>
          </w:p>
        </w:tc>
        <w:tc>
          <w:tcPr>
            <w:tcW w:w="2409"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Pamatojums</w:t>
            </w:r>
          </w:p>
        </w:tc>
        <w:tc>
          <w:tcPr>
            <w:tcW w:w="6125"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Ārstniecības likuma 57.pants.</w:t>
            </w:r>
          </w:p>
        </w:tc>
      </w:tr>
      <w:tr w:rsidR="00043AD9" w:rsidRPr="004C25D2" w:rsidTr="00F92AE3">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pPr>
              <w:pStyle w:val="tvhtml"/>
              <w:spacing w:line="315" w:lineRule="atLeast"/>
              <w:jc w:val="center"/>
            </w:pPr>
            <w:r w:rsidRPr="004C25D2">
              <w:t>2.</w:t>
            </w:r>
          </w:p>
        </w:tc>
        <w:tc>
          <w:tcPr>
            <w:tcW w:w="2409"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Pašreizējā situācija un problēmas, kuru risināšanai tiesību akta projekts izstrādāts, tiesiskā regulējuma mērķis un būtība</w:t>
            </w:r>
          </w:p>
        </w:tc>
        <w:tc>
          <w:tcPr>
            <w:tcW w:w="6125" w:type="dxa"/>
            <w:tcBorders>
              <w:top w:val="outset" w:sz="6" w:space="0" w:color="414142"/>
              <w:left w:val="outset" w:sz="6" w:space="0" w:color="414142"/>
              <w:bottom w:val="outset" w:sz="6" w:space="0" w:color="414142"/>
              <w:right w:val="outset" w:sz="6" w:space="0" w:color="414142"/>
            </w:tcBorders>
            <w:hideMark/>
          </w:tcPr>
          <w:p w:rsidR="008C450A" w:rsidRDefault="00043AD9" w:rsidP="00043AD9">
            <w:pPr>
              <w:ind w:firstLine="410"/>
              <w:jc w:val="both"/>
            </w:pPr>
            <w:r w:rsidRPr="004C25D2">
              <w:t>Rezidentu sadales un rezidentūras finansēšanas kārtību regulē Ministru kabineta 2011.gada 30.augusta noteikumi Nr.685 „Rezidentu sadales un rezidentūras finansēšanas noteikum</w:t>
            </w:r>
            <w:r w:rsidR="008C450A">
              <w:t>i” (turpmāk – Noteikumi Nr.685).</w:t>
            </w:r>
          </w:p>
          <w:p w:rsidR="000E2E15" w:rsidRDefault="00C55A64" w:rsidP="00F92AE3">
            <w:pPr>
              <w:ind w:firstLine="399"/>
              <w:jc w:val="both"/>
            </w:pPr>
            <w:r w:rsidRPr="004C25D2">
              <w:t xml:space="preserve">Veselības ministrijā </w:t>
            </w:r>
            <w:r>
              <w:t xml:space="preserve">tiek </w:t>
            </w:r>
            <w:r w:rsidRPr="004C25D2">
              <w:t>saņemt</w:t>
            </w:r>
            <w:r>
              <w:t>a</w:t>
            </w:r>
            <w:r w:rsidRPr="004C25D2">
              <w:t xml:space="preserve"> informācij</w:t>
            </w:r>
            <w:r>
              <w:t>a</w:t>
            </w:r>
            <w:r w:rsidRPr="004C25D2">
              <w:t xml:space="preserve"> no Latvijas reģionu slimnīcām, ka būtiska problēma ir nevienmērīga ārstu paaudžu nomaiņa, piemēram, </w:t>
            </w:r>
            <w:r>
              <w:t>SIA „</w:t>
            </w:r>
            <w:r w:rsidRPr="004C25D2">
              <w:t>Balv</w:t>
            </w:r>
            <w:r>
              <w:t>u un Gulbenes slimnīcu apvienība”</w:t>
            </w:r>
            <w:r w:rsidRPr="004C25D2">
              <w:t xml:space="preserve"> 67% no mediķiem ir pirmspensijas un pensijas vecumā. </w:t>
            </w:r>
            <w:r w:rsidR="00F92AE3" w:rsidRPr="005C0E8D">
              <w:t>Veselības ministrijas rīcībā ir informācija par nepieciešamo ārstniecības personu skaitu un nodrošinājumu ar dažādu nozaru speciālistiem. Veselības ministrijas apkopotā ārstniecības iestāžu sniegto informācija par ārstu un zobārstu skaitu, kurus ārstniecības iestādes varētu nodrošināt ar darbu (laika periods no 2015.gada līdz 2021.gadam) pēc rezidentūras beigšanas, ir pieejama Veselības ministrijas tīmekļa vietnē (</w:t>
            </w:r>
            <w:hyperlink r:id="rId8" w:history="1">
              <w:r w:rsidR="00F92AE3" w:rsidRPr="005C0E8D">
                <w:rPr>
                  <w:rStyle w:val="Hyperlink"/>
                </w:rPr>
                <w:t>http://www.vm.gov.lv/lv/nozare/rezidentiem/arstu_un_zobarstu_skaits_kurus_arstniecibas_iestades_varetu_/</w:t>
              </w:r>
            </w:hyperlink>
            <w:r w:rsidR="00F92AE3" w:rsidRPr="005C0E8D">
              <w:t xml:space="preserve">). </w:t>
            </w:r>
            <w:r w:rsidR="001E005B" w:rsidRPr="005C0E8D">
              <w:t>Joprojām saglabājas būtiska nevienlīdzība ārstu skaita sadalījumā, salīdzinot Rīgas pilsētu ar pārējo Latvijas teritoriju,</w:t>
            </w:r>
            <w:r w:rsidR="00AA77F2" w:rsidRPr="005C0E8D">
              <w:t xml:space="preserve"> </w:t>
            </w:r>
            <w:r w:rsidR="001E005B" w:rsidRPr="005C0E8D">
              <w:t xml:space="preserve">piemēram, </w:t>
            </w:r>
            <w:proofErr w:type="gramStart"/>
            <w:r w:rsidR="00970421" w:rsidRPr="005C0E8D">
              <w:t>2016.gada</w:t>
            </w:r>
            <w:proofErr w:type="gramEnd"/>
            <w:r w:rsidR="00970421" w:rsidRPr="005C0E8D">
              <w:t xml:space="preserve"> 1.janvārī Rīgā</w:t>
            </w:r>
            <w:r w:rsidR="00AA77F2" w:rsidRPr="005C0E8D">
              <w:t xml:space="preserve"> pamatdarbā strādāja</w:t>
            </w:r>
            <w:r w:rsidR="00970421" w:rsidRPr="005C0E8D">
              <w:t xml:space="preserve"> 62%</w:t>
            </w:r>
            <w:r w:rsidR="00AA77F2" w:rsidRPr="005C0E8D">
              <w:t xml:space="preserve"> no kopējā ārstu skaita</w:t>
            </w:r>
            <w:r w:rsidR="00970421" w:rsidRPr="005C0E8D">
              <w:t xml:space="preserve">, Rīgas reģionā – 9%, Kurzemes reģionā </w:t>
            </w:r>
            <w:r w:rsidR="00AA77F2" w:rsidRPr="005C0E8D">
              <w:t>– 7%, Latgales reģionā – 9%, Vidzemes reģions – 6%, Zemgales reģions – 7%</w:t>
            </w:r>
            <w:r w:rsidR="00AA77F2" w:rsidRPr="005C0E8D">
              <w:rPr>
                <w:rStyle w:val="FootnoteReference"/>
              </w:rPr>
              <w:footnoteReference w:id="1"/>
            </w:r>
            <w:r w:rsidR="00AA77F2" w:rsidRPr="005C0E8D">
              <w:t>.</w:t>
            </w:r>
          </w:p>
          <w:p w:rsidR="007F0338" w:rsidRDefault="00C55A64" w:rsidP="00A25BD7">
            <w:pPr>
              <w:ind w:firstLine="399"/>
              <w:jc w:val="both"/>
            </w:pPr>
            <w:r>
              <w:t xml:space="preserve">Līdz ar to </w:t>
            </w:r>
            <w:r w:rsidR="001C25AD">
              <w:t xml:space="preserve">Veselības ministrija ir </w:t>
            </w:r>
            <w:r w:rsidR="007F0338">
              <w:t>i</w:t>
            </w:r>
            <w:r w:rsidR="001C25AD">
              <w:t>zstrādājusi</w:t>
            </w:r>
            <w:r w:rsidR="007F0338">
              <w:t xml:space="preserve"> </w:t>
            </w:r>
            <w:r w:rsidR="00043AD9" w:rsidRPr="004C25D2">
              <w:t>Ministru kabineta noteikumu projekt</w:t>
            </w:r>
            <w:r w:rsidR="007F0338">
              <w:t>u</w:t>
            </w:r>
            <w:r w:rsidR="00043AD9" w:rsidRPr="004C25D2">
              <w:t xml:space="preserve"> „Grozījumi Ministru kabineta </w:t>
            </w:r>
            <w:proofErr w:type="gramStart"/>
            <w:r w:rsidR="00043AD9" w:rsidRPr="004C25D2">
              <w:t>2011.gada</w:t>
            </w:r>
            <w:proofErr w:type="gramEnd"/>
            <w:r w:rsidR="00043AD9" w:rsidRPr="004C25D2">
              <w:t xml:space="preserve"> 30.augusta noteikumos Nr.685 „Rezidentu sadales un rezidentūras finansēšanas noteikumi”” (turpmāk – </w:t>
            </w:r>
            <w:r w:rsidR="000752E8">
              <w:t>n</w:t>
            </w:r>
            <w:r w:rsidR="00043AD9" w:rsidRPr="004C25D2">
              <w:t>oteikumu projekts)</w:t>
            </w:r>
            <w:r w:rsidR="007F0338">
              <w:t xml:space="preserve">, kura mērķis ir </w:t>
            </w:r>
            <w:r w:rsidR="00B70924">
              <w:t xml:space="preserve">noteikt </w:t>
            </w:r>
            <w:r w:rsidR="00F06469">
              <w:t>mehānismu</w:t>
            </w:r>
            <w:r w:rsidR="0031022A">
              <w:t>s</w:t>
            </w:r>
            <w:r w:rsidR="00F06469">
              <w:t xml:space="preserve"> </w:t>
            </w:r>
            <w:r w:rsidRPr="006A13F1">
              <w:t>jaunu speciālistu piesaistīšana</w:t>
            </w:r>
            <w:r>
              <w:t>i</w:t>
            </w:r>
            <w:r w:rsidRPr="006A13F1">
              <w:t xml:space="preserve"> darbam valsts un pašvaldību ārstniecības iestādēs</w:t>
            </w:r>
            <w:r w:rsidR="009520F6">
              <w:t xml:space="preserve">, </w:t>
            </w:r>
            <w:r w:rsidR="009520F6" w:rsidRPr="009520F6">
              <w:t xml:space="preserve">kas sniedz no valsts budžeta  apmaksātus veselības aprūpes pakalpojumus, ārpus Rīgas </w:t>
            </w:r>
            <w:r w:rsidRPr="006A13F1">
              <w:t xml:space="preserve"> atbilstoši reģionālajām vajadzībām.</w:t>
            </w:r>
          </w:p>
          <w:p w:rsidR="007F0338" w:rsidRDefault="00B77955" w:rsidP="00A25BD7">
            <w:pPr>
              <w:ind w:firstLine="399"/>
              <w:jc w:val="both"/>
            </w:pPr>
            <w:r w:rsidRPr="00B77955">
              <w:t>Noteikumu projektā ietvertas šādas izmaiņas attiecībā uz:</w:t>
            </w:r>
          </w:p>
          <w:p w:rsidR="009520F6" w:rsidRDefault="009520F6" w:rsidP="00A25BD7">
            <w:pPr>
              <w:ind w:firstLine="399"/>
              <w:jc w:val="both"/>
              <w:rPr>
                <w:i/>
              </w:rPr>
            </w:pPr>
            <w:r>
              <w:rPr>
                <w:i/>
              </w:rPr>
              <w:t>1.</w:t>
            </w:r>
            <w:r w:rsidR="00126404">
              <w:rPr>
                <w:i/>
              </w:rPr>
              <w:t>R</w:t>
            </w:r>
            <w:r w:rsidRPr="009520F6">
              <w:rPr>
                <w:i/>
              </w:rPr>
              <w:t>ezide</w:t>
            </w:r>
            <w:r>
              <w:rPr>
                <w:i/>
              </w:rPr>
              <w:t>ntu vietu skait</w:t>
            </w:r>
            <w:r w:rsidR="00DC737A">
              <w:rPr>
                <w:i/>
              </w:rPr>
              <w:t>a</w:t>
            </w:r>
            <w:r w:rsidRPr="009520F6">
              <w:rPr>
                <w:i/>
              </w:rPr>
              <w:t xml:space="preserve"> sadal</w:t>
            </w:r>
            <w:r w:rsidR="00DC737A">
              <w:rPr>
                <w:i/>
              </w:rPr>
              <w:t>i</w:t>
            </w:r>
            <w:r w:rsidRPr="009520F6">
              <w:rPr>
                <w:i/>
              </w:rPr>
              <w:t xml:space="preserve"> pa specialitātēm</w:t>
            </w:r>
            <w:r w:rsidR="00DC737A">
              <w:rPr>
                <w:i/>
              </w:rPr>
              <w:t xml:space="preserve"> un rezidentūras pretendentu uzņemšanas organizēšanu</w:t>
            </w:r>
            <w:r w:rsidR="00E83067">
              <w:rPr>
                <w:i/>
              </w:rPr>
              <w:t>.</w:t>
            </w:r>
          </w:p>
          <w:p w:rsidR="00F92F70" w:rsidRPr="009520F6" w:rsidRDefault="009520F6" w:rsidP="00F92F70">
            <w:pPr>
              <w:ind w:firstLine="399"/>
              <w:jc w:val="both"/>
            </w:pPr>
            <w:r w:rsidRPr="009520F6">
              <w:t>Atbilstoši Noteikumu Nr.685 4. punktam Veselības ministrija katru gadu līdz 1.aprīlim apstiprina rezidentu vietu skaitu sadalījumā pa specialitātēm.</w:t>
            </w:r>
            <w:r>
              <w:t xml:space="preserve"> </w:t>
            </w:r>
            <w:r w:rsidR="00E83067" w:rsidRPr="00E83067">
              <w:t>Otrā līmeņa profesionālā</w:t>
            </w:r>
            <w:r w:rsidR="00E83067">
              <w:t>s</w:t>
            </w:r>
            <w:r w:rsidR="00E83067" w:rsidRPr="00E83067">
              <w:t xml:space="preserve"> </w:t>
            </w:r>
            <w:r w:rsidR="00E83067" w:rsidRPr="00E83067">
              <w:lastRenderedPageBreak/>
              <w:t>augstākā</w:t>
            </w:r>
            <w:r w:rsidR="00E83067">
              <w:t>s</w:t>
            </w:r>
            <w:r w:rsidR="00E83067" w:rsidRPr="00E83067">
              <w:t xml:space="preserve"> izglītība</w:t>
            </w:r>
            <w:r w:rsidR="00E83067">
              <w:t>s</w:t>
            </w:r>
            <w:r w:rsidR="00E83067" w:rsidRPr="00E83067">
              <w:t xml:space="preserve"> </w:t>
            </w:r>
            <w:r w:rsidR="00E83067">
              <w:t xml:space="preserve">programmu (turpmāk - </w:t>
            </w:r>
            <w:r w:rsidR="00E83067" w:rsidRPr="009520F6">
              <w:t>profesionālo pamatstudiju</w:t>
            </w:r>
            <w:r w:rsidR="00E83067">
              <w:t xml:space="preserve">) </w:t>
            </w:r>
            <w:r w:rsidRPr="009520F6">
              <w:t>„Medicīna” (R</w:t>
            </w:r>
            <w:r w:rsidR="002D3177">
              <w:t xml:space="preserve">īgas </w:t>
            </w:r>
            <w:r w:rsidRPr="009520F6">
              <w:t>S</w:t>
            </w:r>
            <w:r w:rsidR="002D3177">
              <w:t>tradiņa universitātē</w:t>
            </w:r>
            <w:r w:rsidRPr="009520F6">
              <w:t>) un „Ārstniecība” (L</w:t>
            </w:r>
            <w:r w:rsidR="002D3177">
              <w:t xml:space="preserve">atvijas </w:t>
            </w:r>
            <w:r w:rsidRPr="009520F6">
              <w:t>U</w:t>
            </w:r>
            <w:r w:rsidR="002D3177">
              <w:t>niversitātē</w:t>
            </w:r>
            <w:r w:rsidRPr="009520F6">
              <w:t xml:space="preserve">) absolventi par rezidentūras vietu sadalījumu pa specialitātēm uzzina, absolvējot </w:t>
            </w:r>
            <w:r w:rsidR="00E83067">
              <w:t xml:space="preserve">iepriekš minētās izglītības </w:t>
            </w:r>
            <w:r w:rsidRPr="009520F6">
              <w:t>programm</w:t>
            </w:r>
            <w:r w:rsidR="00E83067">
              <w:t>as.</w:t>
            </w:r>
            <w:r w:rsidRPr="009520F6">
              <w:t xml:space="preserve"> </w:t>
            </w:r>
            <w:r w:rsidR="00F92F70">
              <w:t>P</w:t>
            </w:r>
            <w:r w:rsidR="00F92F70" w:rsidRPr="009520F6">
              <w:t xml:space="preserve">rofesionālo pamatstudiju studenti </w:t>
            </w:r>
            <w:r w:rsidR="00F92F70">
              <w:t xml:space="preserve">pēdējos studiju kursos </w:t>
            </w:r>
            <w:r w:rsidR="00F92F70" w:rsidRPr="009520F6">
              <w:t xml:space="preserve">mērķtiecīgi </w:t>
            </w:r>
            <w:r w:rsidR="00F92F70">
              <w:t xml:space="preserve">gatavojas </w:t>
            </w:r>
            <w:r w:rsidR="00126404">
              <w:t>studiju turpināšanai rezidentūr</w:t>
            </w:r>
            <w:r w:rsidR="004F5017">
              <w:t>ā</w:t>
            </w:r>
            <w:r w:rsidR="00126404">
              <w:t>.</w:t>
            </w:r>
            <w:r w:rsidR="00F92F70">
              <w:t xml:space="preserve"> Studenti </w:t>
            </w:r>
            <w:r w:rsidR="00126404">
              <w:t xml:space="preserve">apmeklē </w:t>
            </w:r>
            <w:r w:rsidR="00F92F70" w:rsidRPr="009520F6">
              <w:t>studentu zinātnisk</w:t>
            </w:r>
            <w:r w:rsidR="00126404">
              <w:t>os</w:t>
            </w:r>
            <w:r w:rsidR="00F92F70" w:rsidRPr="009520F6">
              <w:t xml:space="preserve"> pulciņ</w:t>
            </w:r>
            <w:r w:rsidR="00126404">
              <w:t>us</w:t>
            </w:r>
            <w:r w:rsidR="00F92F70" w:rsidRPr="009520F6">
              <w:t xml:space="preserve"> vai konkrētas specialitātes tālākizglītības pasākumus (seminārus, konferences), piedal</w:t>
            </w:r>
            <w:r w:rsidR="00126404">
              <w:t>ā</w:t>
            </w:r>
            <w:r w:rsidR="00F92F70" w:rsidRPr="009520F6">
              <w:t>s zinātniski-pētniecisko publikāciju veidošanā, izvēlētās specialitātes ietvaros līdzdarbo</w:t>
            </w:r>
            <w:r w:rsidR="00126404">
              <w:t>jas</w:t>
            </w:r>
            <w:r w:rsidR="00F92F70" w:rsidRPr="009520F6">
              <w:t xml:space="preserve"> zinātniskā darba aktivitātēs. </w:t>
            </w:r>
            <w:r w:rsidR="00126404">
              <w:t>I</w:t>
            </w:r>
            <w:r w:rsidR="00F92F70" w:rsidRPr="009520F6">
              <w:t>epriekš minētie pasākumi ir nozīmīgi, jo tie tiek vērtēti rezidentūras uzņemšanas procesā.</w:t>
            </w:r>
          </w:p>
          <w:p w:rsidR="0053738F" w:rsidRDefault="00126404" w:rsidP="00A25BD7">
            <w:pPr>
              <w:ind w:firstLine="399"/>
              <w:jc w:val="both"/>
            </w:pPr>
            <w:r>
              <w:t>Līdz ar to, l</w:t>
            </w:r>
            <w:r w:rsidR="009520F6" w:rsidRPr="009520F6">
              <w:t>ai profesionālo pamatstudiju studentam būtu iespējams savlaicīgi izvēlēties specialitāti, ir lietderīgi noteikt no valsts budžeta finansētās</w:t>
            </w:r>
            <w:r w:rsidR="00E83067">
              <w:t xml:space="preserve"> studiju</w:t>
            </w:r>
            <w:r w:rsidR="009520F6" w:rsidRPr="009520F6">
              <w:t xml:space="preserve"> vietas konkrētās specialitātēs</w:t>
            </w:r>
            <w:r w:rsidR="00E83067">
              <w:t xml:space="preserve"> </w:t>
            </w:r>
            <w:r w:rsidR="00E83067" w:rsidRPr="009520F6">
              <w:t xml:space="preserve">indikatīvi </w:t>
            </w:r>
            <w:r w:rsidR="00E83067" w:rsidRPr="00F07578">
              <w:t>turpmākiem diviem gadiem</w:t>
            </w:r>
            <w:r>
              <w:t xml:space="preserve"> (noteikumu projekta </w:t>
            </w:r>
            <w:r w:rsidR="0007370B">
              <w:t>1.</w:t>
            </w:r>
            <w:r>
              <w:t>1.</w:t>
            </w:r>
            <w:r w:rsidR="0007370B">
              <w:t>apakš</w:t>
            </w:r>
            <w:r>
              <w:t>punkts)</w:t>
            </w:r>
            <w:r w:rsidR="009520F6" w:rsidRPr="009520F6">
              <w:t xml:space="preserve">. </w:t>
            </w:r>
          </w:p>
          <w:p w:rsidR="000D4B64" w:rsidRDefault="000D4B64" w:rsidP="006A08D0">
            <w:pPr>
              <w:ind w:firstLine="399"/>
              <w:jc w:val="both"/>
            </w:pPr>
            <w:r>
              <w:t>Veselības ministrija ir saņēmusi priekšlikumus no Latvijas Universitātes un Latvijas Ārstu biedrības izveidot vienotu rezidentūras pretendentu uzņemšanas komisiju</w:t>
            </w:r>
            <w:r w:rsidR="00033ADF">
              <w:t xml:space="preserve">. </w:t>
            </w:r>
            <w:r w:rsidR="00033ADF" w:rsidRPr="005C0E8D">
              <w:t xml:space="preserve">Veselības ministrija </w:t>
            </w:r>
            <w:proofErr w:type="gramStart"/>
            <w:r w:rsidR="00033ADF" w:rsidRPr="005C0E8D">
              <w:t>2016.gada</w:t>
            </w:r>
            <w:proofErr w:type="gramEnd"/>
            <w:r w:rsidR="00033ADF" w:rsidRPr="005C0E8D">
              <w:t xml:space="preserve"> 12.februārī organizēja sanāksmi par rezidentūras sadales un rezidentūras finansēšanas jautājumiem. Sanāksmē piedalījās pārstāvji no RSU un LU. Sanāksmes dalībnieki vienojās par vienotas uzņemšanas komisijas izveidi.</w:t>
            </w:r>
            <w:r>
              <w:t xml:space="preserve"> Uzņemšanas process plānots pēc vienotiem kritērijiem, neatkarīgi no tā, kura augstskola absolvēta ārsta grāda iegūšanai. Tas nozīmē, ka rezidentūras pretendenti varēs iesniegt dokumentus un pieteikties uz rezidentūras studiju programmu, neapmeklējot katru augstskolu, bet to izdarīt vienā uzņemšanas komisijā. Joprojām rezidentūras pretendentam būs tiesības noteikt savu specialitātes izvēles prioritāti. Rezidentūras </w:t>
            </w:r>
            <w:r w:rsidR="000E0CBA">
              <w:t>pretendents zaudē tiesības pretendēt uz rezidentūras studiju programmu, ja tas ir noteicis vienādu izvēles prioritāti vismaz divu augstskolu rezidentūras studiju programmām (Noteikumu Nr.685 7.punkts).</w:t>
            </w:r>
          </w:p>
          <w:p w:rsidR="000E0CBA" w:rsidRPr="000E0CBA" w:rsidRDefault="000E0CBA" w:rsidP="00764A06">
            <w:pPr>
              <w:ind w:firstLine="399"/>
              <w:jc w:val="both"/>
              <w:rPr>
                <w:color w:val="FF0000"/>
              </w:rPr>
            </w:pPr>
            <w:r>
              <w:t xml:space="preserve">Līdz ar to tiek noteikts, ka augstskolas, </w:t>
            </w:r>
            <w:r w:rsidRPr="000E0CBA">
              <w:t xml:space="preserve">kuras īsteno augstāko profesionālo studiju programmu ārsta grāda iegūšanai, izveido vienoto </w:t>
            </w:r>
            <w:r w:rsidR="00D4511E">
              <w:t xml:space="preserve">rezidentūras </w:t>
            </w:r>
            <w:r w:rsidRPr="000E0CBA">
              <w:t xml:space="preserve">uzņemšanas komisiju. Uzņemšanas komisija katru gadu līdz </w:t>
            </w:r>
            <w:proofErr w:type="gramStart"/>
            <w:r w:rsidRPr="000E0CBA">
              <w:t>8.jūlijam</w:t>
            </w:r>
            <w:proofErr w:type="gramEnd"/>
            <w:r w:rsidRPr="000E0CBA">
              <w:t xml:space="preserve"> organizē rezidentūras pretendentu pieteikšanos rezidentūras studiju programmās (saskaņā ar Noteikumu Nr.685 </w:t>
            </w:r>
            <w:hyperlink r:id="rId9" w:anchor="p4" w:tgtFrame="_blank" w:history="1">
              <w:r w:rsidRPr="000E0CBA">
                <w:t>4.punktu</w:t>
              </w:r>
            </w:hyperlink>
            <w:r w:rsidRPr="000E0CBA">
              <w:t xml:space="preserve">) un iesniedz Veselības ministrijā rezidentūras pretendentu sarakstu, kā arī  organizē rezidentūras pretendentu uzņemšanu rezidentūras studiju programmās (saskaņā ar Noteikumu Nr.685 </w:t>
            </w:r>
            <w:hyperlink r:id="rId10" w:anchor="p4" w:tgtFrame="_blank" w:history="1">
              <w:r w:rsidRPr="000E0CBA">
                <w:t>8.punktu</w:t>
              </w:r>
            </w:hyperlink>
            <w:r w:rsidRPr="000E0CBA">
              <w:t>)  un iesniedz Veselības ministrijā rezidentūras uzņemšanas rezultātus pa specialitātēm (noteikumu projekta 1.1., 1.3., 1.4.un 1.5.apakšpunkts</w:t>
            </w:r>
            <w:r>
              <w:t>).</w:t>
            </w:r>
            <w:r w:rsidR="00764A06">
              <w:t xml:space="preserve"> </w:t>
            </w:r>
            <w:r w:rsidR="00033ADF" w:rsidRPr="005C0E8D">
              <w:t xml:space="preserve">Ņemot </w:t>
            </w:r>
            <w:r w:rsidR="00033ADF" w:rsidRPr="005C0E8D">
              <w:lastRenderedPageBreak/>
              <w:t>vērā, ka rezidenti ir arī ārstniecības iestādē strādājošie, savukārt Veselības ministrija ir atbildīgā institūcija par veselības nozares politikas izstrādi un īstenošanu, minētās vienotās uzņemšanas komisijas sastāvā būtu nepieciešams iekļaut arī Veselības ministrijas pārstāvi.</w:t>
            </w:r>
          </w:p>
          <w:p w:rsidR="000E0CBA" w:rsidRDefault="000E0CBA" w:rsidP="006A08D0">
            <w:pPr>
              <w:ind w:firstLine="399"/>
              <w:jc w:val="both"/>
            </w:pPr>
            <w:r>
              <w:t>Ņemot vērā, ka ir nepieciešamas izveidot uzņemšan</w:t>
            </w:r>
            <w:r w:rsidR="00A250EC">
              <w:t>as</w:t>
            </w:r>
            <w:proofErr w:type="gramStart"/>
            <w:r w:rsidR="00A250EC">
              <w:t xml:space="preserve">  </w:t>
            </w:r>
            <w:proofErr w:type="gramEnd"/>
            <w:r w:rsidR="00A250EC">
              <w:t>komisiju, izstrādāt vienotas uzņemšanas prasības un ar tām iepazīstināt rezidentūras pretendentus tiek noteikts pārejas periods līdz 2017.gada 1.janvārim (noteikumu projekta 1.1</w:t>
            </w:r>
            <w:r w:rsidR="00CF30F1">
              <w:t>3</w:t>
            </w:r>
            <w:r w:rsidR="00A250EC">
              <w:t>.apakšpunts).</w:t>
            </w:r>
            <w:r w:rsidR="00CF30F1">
              <w:t xml:space="preserve"> </w:t>
            </w:r>
          </w:p>
          <w:p w:rsidR="00CF30F1" w:rsidRPr="005C0E8D" w:rsidRDefault="00CF30F1" w:rsidP="00CF30F1">
            <w:pPr>
              <w:ind w:firstLine="399"/>
              <w:jc w:val="both"/>
            </w:pPr>
            <w:r w:rsidRPr="005C0E8D">
              <w:t xml:space="preserve">Personas, kuras uzsākušas rezidentūras studijas līdz </w:t>
            </w:r>
            <w:proofErr w:type="gramStart"/>
            <w:r w:rsidRPr="005C0E8D">
              <w:t>2011.gada</w:t>
            </w:r>
            <w:proofErr w:type="gramEnd"/>
            <w:r w:rsidRPr="005C0E8D">
              <w:t xml:space="preserve"> 30.augustam pēc rezidentūras beigšanas turpmākos trīs gadus strādā Latvijas Republikas teritorijā ārstniecības iestādē, kura ir noslēgusi līgumu ar Nacionālo veselības dienestu par valsts apmaksātu veselības aprūpes pakalpojumu sniegšanu vai kura veselības aprūpes pakalpojumus sniedz ārpus Rīgas. Ja persona nepilda šo noteikumu šajā punktā minētās prasības, nesekmīgi apgūst apmācības programmu vai pārtrauc apmācību rezidentūrā no augstskolas neatkarīgu iemeslu dēļ, tā atmaksā saņemtos valsts budžeta līdzekļus saskaņā ar augstskolas un attiecīgās personas noslēgtā līguma nosacījumiem. Veselības ministrija pieņem lēmumu par rezidenta apmācībai izlietoto valsts budžeta līdzekļu atmaksu. Maksājumus veic katru mēnesi, gada laikā atmaksājot ne mazāk kā piekto daļu no kopējās rezidenta apmācībai izlietoto valsts budžeta līdzekļu summas. Pēc maksājuma saņemšanas Veselības ministrija atmaksātos valsts budžeta līdzekļus ieskaita valsts budžeta ieņēmumos. </w:t>
            </w:r>
          </w:p>
          <w:p w:rsidR="00CF30F1" w:rsidRPr="005C0E8D" w:rsidRDefault="00CF30F1" w:rsidP="00CF30F1">
            <w:pPr>
              <w:ind w:firstLine="399"/>
              <w:jc w:val="both"/>
            </w:pPr>
            <w:r w:rsidRPr="005C0E8D">
              <w:t xml:space="preserve">Turklāt personas, kuras uzsākušas rezidentūras studijas laika posmā no </w:t>
            </w:r>
            <w:proofErr w:type="gramStart"/>
            <w:r w:rsidRPr="005C0E8D">
              <w:t>2011.gada</w:t>
            </w:r>
            <w:proofErr w:type="gramEnd"/>
            <w:r w:rsidRPr="005C0E8D">
              <w:t xml:space="preserve"> 30.augustam līdz 2016.gada 1.aprīlim vismaz 36 kalendāra mēnešus piecu gadu laikā pēc rezidentūras beigšanas gūst ienākumus Latvijas Republikā un ir iedzīvotāju ienākuma nodokļa maksātāja no darba algas vai saimnieciskās darbības ar nosacījumu, ka iedzīvotāju ienākuma nodokļa aprēķinātais apmērs ir vismaz 30 % no valsts budžeta izmaksām par personas apmācību, kuru Veselības ministrija aprēķina saskaņā ar šo noteikumu 33.punktu. Iepriekš minēto piecu gadu periodu pagarina par laikposmu, kurā persona saņem maternitātes, paternitātes un vecāku pabalstu, ja persona šajā laikā negūst ienākumus no darba algas. </w:t>
            </w:r>
          </w:p>
          <w:p w:rsidR="00CF30F1" w:rsidRDefault="00CF30F1" w:rsidP="006A08D0">
            <w:pPr>
              <w:ind w:firstLine="399"/>
              <w:jc w:val="both"/>
            </w:pPr>
            <w:r w:rsidRPr="005C0E8D">
              <w:t>Lai noteiktu pāreju no pašreizējā normatīvā (kā arī no vēsturiskā normatīvā regulējuma</w:t>
            </w:r>
            <w:r w:rsidRPr="005C0E8D">
              <w:rPr>
                <w:rStyle w:val="FootnoteReference"/>
              </w:rPr>
              <w:footnoteReference w:id="2"/>
            </w:r>
            <w:r w:rsidRPr="005C0E8D">
              <w:t>) regulējuma uz jauno regulējumu nepieciešams precizēt Noteikumu Nr.685 noslēguma jautājumus (noteikumu projekta 1.12.punkts).</w:t>
            </w:r>
          </w:p>
          <w:p w:rsidR="006A08D0" w:rsidRDefault="00FC00AC" w:rsidP="006A08D0">
            <w:pPr>
              <w:ind w:firstLine="399"/>
              <w:jc w:val="both"/>
            </w:pPr>
            <w:r>
              <w:lastRenderedPageBreak/>
              <w:t xml:space="preserve">Noteikumos Nr.685 ir ietvertas tiesību normas </w:t>
            </w:r>
            <w:r w:rsidR="005F6930">
              <w:t xml:space="preserve">par rezidentu apmācības nodrošināšanu potenciālajās darba vietās reģionos. </w:t>
            </w:r>
            <w:r w:rsidR="006A08D0">
              <w:t>N</w:t>
            </w:r>
            <w:r w:rsidR="005F6930">
              <w:t>osak</w:t>
            </w:r>
            <w:r w:rsidR="006A08D0">
              <w:t>ot</w:t>
            </w:r>
            <w:r w:rsidR="005F6930">
              <w:t xml:space="preserve">, ka augstskola atsevišķu pamatspecialitāšu rezidentūras studiju programmās (ķirurga, internista, pediatra, ginekologa, dzemdību speciālista un ģimenes (vispārējās prakses) ārsta) piedāvā iespēju rezidentiem daļu no studiju programmas apgūt daudzprofilu slimnīcās ārpus Rīgas, savukārt rezidenta mēnešalga reģionālajā daudzprofilu slimnīcā ir vismaz par 30 % lielāka nekā normatīvajos aktos noteiktā rezidenta minimālā mēnešalga. Minēto tiesību normu mērķis </w:t>
            </w:r>
            <w:r w:rsidR="00EB6696">
              <w:t xml:space="preserve">bija </w:t>
            </w:r>
            <w:r w:rsidR="005F6930">
              <w:t>nodrošināt ārstu vienmērīgu izvietojumu visā valsts teritorijā</w:t>
            </w:r>
            <w:r w:rsidR="006A08D0">
              <w:t>,</w:t>
            </w:r>
            <w:r w:rsidR="005F6930">
              <w:t xml:space="preserve"> nodrošināt reģionus ar nepieciešamajiem speciālistiem</w:t>
            </w:r>
            <w:r w:rsidR="001A7E84">
              <w:t>.</w:t>
            </w:r>
            <w:r w:rsidR="005F6930">
              <w:t xml:space="preserve"> </w:t>
            </w:r>
            <w:r w:rsidR="001A7E84">
              <w:t>Piemēram, r</w:t>
            </w:r>
            <w:r w:rsidR="005F6930">
              <w:t xml:space="preserve">ezidents, kurš daļu no programmas </w:t>
            </w:r>
            <w:r w:rsidR="001A7E84">
              <w:t xml:space="preserve">apguva </w:t>
            </w:r>
            <w:r w:rsidR="005F6930">
              <w:t xml:space="preserve">reģionālajā daudzprofilu slimnīcā </w:t>
            </w:r>
            <w:r w:rsidR="001A7E84">
              <w:t xml:space="preserve">iespējams </w:t>
            </w:r>
            <w:r w:rsidR="005F6930">
              <w:t xml:space="preserve">turpinās profesionālo darbību attiecīgajā reģionā pēc rezidentūras. </w:t>
            </w:r>
            <w:r w:rsidR="00EB6696">
              <w:t xml:space="preserve">Noteikumos Nr.685 minētais regulējums ir izrādījies neefektīvs, jo </w:t>
            </w:r>
            <w:r w:rsidR="005F6930">
              <w:t xml:space="preserve">2014. gadā 8 % no kopējā rezidentu skaita un 2015. gadā </w:t>
            </w:r>
            <w:r w:rsidR="00EB6696">
              <w:t xml:space="preserve">tikai </w:t>
            </w:r>
            <w:r w:rsidR="005F6930">
              <w:t xml:space="preserve">6 % no kopējā rezidentu skaita izvēlējās apgūt vismaz daļu no rezidentūras studiju programmas daudzprofilu slimnīcās vai ģimenes (vispārējās prakses) ārstu praksēs ārpus Rīgas. </w:t>
            </w:r>
            <w:r w:rsidR="00EB6696" w:rsidRPr="005C0E8D">
              <w:t>S</w:t>
            </w:r>
            <w:r w:rsidR="005F6930" w:rsidRPr="005C0E8D">
              <w:t xml:space="preserve">tatistikas dati liecina, ka Rīgā pamatdarbā strādā </w:t>
            </w:r>
            <w:r w:rsidR="00AA77F2" w:rsidRPr="005C0E8D">
              <w:t>62</w:t>
            </w:r>
            <w:r w:rsidR="005F6930" w:rsidRPr="005C0E8D">
              <w:t xml:space="preserve"> % no kopējā ārstu skaita</w:t>
            </w:r>
            <w:r w:rsidR="00AA77F2" w:rsidRPr="005C0E8D">
              <w:t xml:space="preserve"> (dati uz </w:t>
            </w:r>
            <w:proofErr w:type="gramStart"/>
            <w:r w:rsidR="00AA77F2" w:rsidRPr="005C0E8D">
              <w:t>2016.gada</w:t>
            </w:r>
            <w:proofErr w:type="gramEnd"/>
            <w:r w:rsidR="00AA77F2" w:rsidRPr="005C0E8D">
              <w:t xml:space="preserve"> 1.janvāri)</w:t>
            </w:r>
            <w:r w:rsidR="00CC16D7" w:rsidRPr="005C0E8D">
              <w:rPr>
                <w:rStyle w:val="FootnoteReference"/>
              </w:rPr>
              <w:footnoteReference w:id="3"/>
            </w:r>
            <w:r w:rsidR="005F6930" w:rsidRPr="005C0E8D">
              <w:t>.</w:t>
            </w:r>
            <w:r w:rsidR="005F6930">
              <w:t xml:space="preserve"> </w:t>
            </w:r>
          </w:p>
          <w:p w:rsidR="00033ADF" w:rsidRDefault="00115AA9" w:rsidP="00033ADF">
            <w:pPr>
              <w:ind w:firstLine="399"/>
              <w:jc w:val="both"/>
              <w:rPr>
                <w:bCs/>
                <w:color w:val="000000" w:themeColor="text1"/>
              </w:rPr>
            </w:pPr>
            <w:r>
              <w:t xml:space="preserve">Līdz ar to Veselības ministrija ierosina noteikt, ka </w:t>
            </w:r>
            <w:r w:rsidRPr="00115AA9">
              <w:t xml:space="preserve">prioritārā kārtībā no valsts budžeta līdzekļiem finansētās rezidentūras vietās uzņem tos rezidentūras pretendentus, kuri noslēguši vienošanos ar ārstniecības iestādi </w:t>
            </w:r>
            <w:r>
              <w:t xml:space="preserve">vai pašvaldību </w:t>
            </w:r>
            <w:r w:rsidRPr="00115AA9">
              <w:t>ārpus Rīgas par darba tiesisko attiecību uzsākšanu pēc rezidentūras pabeigšanas (</w:t>
            </w:r>
            <w:r w:rsidRPr="00DD441D">
              <w:t xml:space="preserve">noteikumu projekta </w:t>
            </w:r>
            <w:r w:rsidR="00764A06">
              <w:t>1.</w:t>
            </w:r>
            <w:r w:rsidR="00DD441D" w:rsidRPr="00DD441D">
              <w:t>2.</w:t>
            </w:r>
            <w:r w:rsidRPr="00DD441D">
              <w:rPr>
                <w:vertAlign w:val="superscript"/>
              </w:rPr>
              <w:t xml:space="preserve"> </w:t>
            </w:r>
            <w:r w:rsidR="00764A06">
              <w:t>apakš</w:t>
            </w:r>
            <w:r w:rsidRPr="00DD441D">
              <w:t>punkts</w:t>
            </w:r>
            <w:r>
              <w:t>).</w:t>
            </w:r>
            <w:r w:rsidR="0040419F">
              <w:t xml:space="preserve"> </w:t>
            </w:r>
            <w:r w:rsidR="00033ADF" w:rsidRPr="005C0E8D">
              <w:rPr>
                <w:bCs/>
                <w:color w:val="000000" w:themeColor="text1"/>
              </w:rPr>
              <w:t xml:space="preserve">Noteikumi Nr.685 attiecas tikai uz valsts finansētām rezidentūras studijām. Noteikumu projektā ietvertā prasība, ka prioritāti uzņem rezidentūras pretendentus, kuriem ir vienošanās ar ārstniecības iestādi ārpus Rīgas, ir nevis papildus prasība uzņemšanai studiju programmā, bet gan finansēšanas nosacījums – valsts prioritāri apmaksā rezidentūras studijas tiem rezidentiem, kuriem ir noslēgta vienošanās ar ārstniecības iestādi ārpus Rīgas. Ārstniecības personu nepietiekams skaits un nevienmērīgs izvietojums mazina veselības aprūpes pakalpojumu pieejamību iedzīvotājiem daudzos Latvijas reģionos, un attālākos lauku reģionos ārsta sniegtie veselības aprūpes pakalpojumi iedzīvotājiem ir mazāk pieejami. Šobrīd noteikumu projektā ietvertā prasība, ir vēl viens mehānisms, kā palielināt veselības aprūpes pakalpojumu pieejamību arī ārpus Rīgas. Vēršam uzmanību, ka Satversmes tiesa ir atzinusi, ka ar mērķi aizsargāt sabiedrības labklājību var saprast arī nepieciešamību valsts rīcībā esošos finanšu līdzekļus izmantot pēc iespējas </w:t>
            </w:r>
            <w:r w:rsidR="00033ADF" w:rsidRPr="005C0E8D">
              <w:rPr>
                <w:bCs/>
                <w:color w:val="000000" w:themeColor="text1"/>
              </w:rPr>
              <w:lastRenderedPageBreak/>
              <w:t xml:space="preserve">lietderīgāk un saprātīgāk. Satversmes tiesa ir atzinusi, ka valstij ir pienākums samērot sabiedrības labklājību ar savām ekonomiskajām iespējām. Proti, valstij ir jārada uz tās </w:t>
            </w:r>
            <w:proofErr w:type="spellStart"/>
            <w:r w:rsidR="00033ADF" w:rsidRPr="005C0E8D">
              <w:rPr>
                <w:bCs/>
                <w:color w:val="000000" w:themeColor="text1"/>
              </w:rPr>
              <w:t>ilgspējīgu</w:t>
            </w:r>
            <w:proofErr w:type="spellEnd"/>
            <w:r w:rsidR="00033ADF" w:rsidRPr="005C0E8D">
              <w:rPr>
                <w:bCs/>
                <w:color w:val="000000" w:themeColor="text1"/>
              </w:rPr>
              <w:t xml:space="preserve"> attīstību vērsts tiesiskais regulējums un jāizraugās sociāli atbildīgs risinājums, kura rezultātā atsevišķu personu tiesiskās intereses tiek saskaņotas ar sabiedrības interesēm (</w:t>
            </w:r>
            <w:r w:rsidR="00033ADF" w:rsidRPr="005C0E8D">
              <w:rPr>
                <w:bCs/>
                <w:i/>
                <w:color w:val="000000" w:themeColor="text1"/>
              </w:rPr>
              <w:t xml:space="preserve">Satversmes tiesas </w:t>
            </w:r>
            <w:proofErr w:type="gramStart"/>
            <w:r w:rsidR="00033ADF" w:rsidRPr="005C0E8D">
              <w:rPr>
                <w:bCs/>
                <w:i/>
                <w:color w:val="000000" w:themeColor="text1"/>
              </w:rPr>
              <w:t>2012.gada</w:t>
            </w:r>
            <w:proofErr w:type="gramEnd"/>
            <w:r w:rsidR="00033ADF" w:rsidRPr="005C0E8D">
              <w:rPr>
                <w:bCs/>
                <w:i/>
                <w:color w:val="000000" w:themeColor="text1"/>
              </w:rPr>
              <w:t xml:space="preserve"> 3.maija sprieduma lietā Nr.2011-14-03 17.4.punkts</w:t>
            </w:r>
            <w:r w:rsidR="00033ADF" w:rsidRPr="005C0E8D">
              <w:rPr>
                <w:bCs/>
                <w:color w:val="000000" w:themeColor="text1"/>
              </w:rPr>
              <w:t>).</w:t>
            </w:r>
          </w:p>
          <w:p w:rsidR="00115AA9" w:rsidRDefault="0040419F" w:rsidP="00115AA9">
            <w:pPr>
              <w:ind w:firstLine="399"/>
              <w:jc w:val="both"/>
            </w:pPr>
            <w:r>
              <w:t xml:space="preserve">Organizējot rezidentūras pretendentu uzņemšanu tiek ņemti vērā pretendenta sasniegumi pamatstudiju mācību procesā un prioritātā kārtībā uzņem tos pretendentus, kuri noslēdz (noslēguši) iepriekš minēto vienošanos. Vienošanās </w:t>
            </w:r>
            <w:r w:rsidRPr="00115AA9">
              <w:t xml:space="preserve">ar ārstniecības iestādi </w:t>
            </w:r>
            <w:r>
              <w:t xml:space="preserve">vai pašvaldību </w:t>
            </w:r>
            <w:r w:rsidRPr="00115AA9">
              <w:t>ārpus Rīgas par darba tiesisko attiecību uzsākšanu pēc rezidentūras pabeigšanas</w:t>
            </w:r>
            <w:r>
              <w:t xml:space="preserve"> jānorāda specialitāte (atbilstoši Noteikumu Nr.685 4.punktā noteiktajam rezidentu vietu skaita sadalījumam pa specialitātēm) un rezidentūras pretendentam uzņemšana prioritārā kārtībā ir attiecināma tikai uz to specialitāti, kura tiek norādīta vienošanās tekstā.</w:t>
            </w:r>
          </w:p>
          <w:p w:rsidR="00F07578" w:rsidRDefault="00F07578" w:rsidP="00F07578">
            <w:pPr>
              <w:ind w:firstLine="399"/>
              <w:jc w:val="both"/>
            </w:pPr>
            <w:r>
              <w:t>„Latvijas ilgtspējīgas attīstības stratēģijas līdz 2030. gadam, Nacionālā attīstības plāna 2014.-2020.gadam un Deklarācijas par Laimdotas Straujumas vadītā Ministru kabineta iecerēto darbību Īstenošanas uzraudzības ziņojums. 2015.gads” ir ietverta Veselības ministrijas iniciatīva</w:t>
            </w:r>
            <w:r>
              <w:rPr>
                <w:rStyle w:val="FootnoteReference"/>
              </w:rPr>
              <w:footnoteReference w:id="4"/>
            </w:r>
            <w:r>
              <w:t xml:space="preserve"> – dot priekšroku rezidentūras uzņemšanā tiem jaunajiem ārstiem, kuri būs noslēguši līgumus ar reģionu pašvaldībām par darbu pēc studiju beigšanas.</w:t>
            </w:r>
          </w:p>
          <w:p w:rsidR="00DD441D" w:rsidRDefault="00DD441D" w:rsidP="006A08D0">
            <w:pPr>
              <w:ind w:firstLine="399"/>
              <w:jc w:val="both"/>
            </w:pPr>
          </w:p>
          <w:p w:rsidR="007F1677" w:rsidRDefault="00764A06" w:rsidP="006A08D0">
            <w:pPr>
              <w:ind w:firstLine="399"/>
              <w:jc w:val="both"/>
              <w:rPr>
                <w:i/>
              </w:rPr>
            </w:pPr>
            <w:r>
              <w:rPr>
                <w:i/>
              </w:rPr>
              <w:t>2</w:t>
            </w:r>
            <w:r w:rsidR="006811AC" w:rsidRPr="003268D4">
              <w:rPr>
                <w:i/>
              </w:rPr>
              <w:t xml:space="preserve">. </w:t>
            </w:r>
            <w:r w:rsidR="007F1677">
              <w:rPr>
                <w:i/>
              </w:rPr>
              <w:t>Rezidentūras organizēšanu.</w:t>
            </w:r>
          </w:p>
          <w:p w:rsidR="007F1677" w:rsidRDefault="007F1677" w:rsidP="006A08D0">
            <w:pPr>
              <w:ind w:firstLine="399"/>
              <w:jc w:val="both"/>
            </w:pPr>
            <w:r>
              <w:t>Veselības ministrija</w:t>
            </w:r>
            <w:r w:rsidR="00464F93">
              <w:t xml:space="preserve"> ir saņēmusi priekšlikumu no Rīgas Stradiņa universitātes, kā arī Veselības ministrijas </w:t>
            </w:r>
            <w:r>
              <w:t xml:space="preserve"> </w:t>
            </w:r>
            <w:r w:rsidR="00464F93">
              <w:t xml:space="preserve">2014.gada 20.oktobra vertikālā audita Nr.2PL/2014 „No valsts budžeta finansēto rezidentu apmācība” ziņojumā ieteikumus </w:t>
            </w:r>
            <w:r w:rsidR="00464F93">
              <w:rPr>
                <w:rFonts w:eastAsia="Calibri"/>
                <w:color w:val="000000"/>
              </w:rPr>
              <w:t xml:space="preserve">iekļaut augstskolām tiesības pārbaudīt rezidentu mācību programmas realizēšanu atbilstoši paredzētajam saturam un finansējuma izlietojumu atbilstoši paredzētiem mērķiem. Līdz ar to noteikumu projektā tiek noteikts, ka </w:t>
            </w:r>
            <w:r w:rsidR="003E4718">
              <w:rPr>
                <w:rFonts w:eastAsia="Calibri"/>
                <w:color w:val="000000"/>
              </w:rPr>
              <w:t>a</w:t>
            </w:r>
            <w:r w:rsidRPr="007F1677">
              <w:t>ugstskolu un ārstniecības iestāžu līgumos papildus iekļauj arī augstskolas un ārstniecības iestādes sadarbības principus rezidentu apmācības jautājumā</w:t>
            </w:r>
            <w:r w:rsidR="003E4718">
              <w:t xml:space="preserve"> (noteikumu projekta 1.7.apakšpunkts)</w:t>
            </w:r>
            <w:r w:rsidRPr="007F1677">
              <w:t>.</w:t>
            </w:r>
          </w:p>
          <w:p w:rsidR="003E4718" w:rsidRPr="007F1677" w:rsidRDefault="003E4718" w:rsidP="006A08D0">
            <w:pPr>
              <w:ind w:firstLine="399"/>
              <w:jc w:val="both"/>
            </w:pPr>
          </w:p>
          <w:p w:rsidR="00DD441D" w:rsidRPr="003268D4" w:rsidRDefault="007F1677" w:rsidP="006A08D0">
            <w:pPr>
              <w:ind w:firstLine="399"/>
              <w:jc w:val="both"/>
              <w:rPr>
                <w:i/>
              </w:rPr>
            </w:pPr>
            <w:r>
              <w:rPr>
                <w:i/>
              </w:rPr>
              <w:t xml:space="preserve">3. </w:t>
            </w:r>
            <w:r w:rsidR="003268D4">
              <w:rPr>
                <w:i/>
              </w:rPr>
              <w:t>P</w:t>
            </w:r>
            <w:r w:rsidR="003268D4" w:rsidRPr="003268D4">
              <w:rPr>
                <w:i/>
              </w:rPr>
              <w:t xml:space="preserve">ēc rezidentūras beigšanas </w:t>
            </w:r>
            <w:r w:rsidR="006811AC" w:rsidRPr="003268D4">
              <w:rPr>
                <w:i/>
              </w:rPr>
              <w:t>nosacījum</w:t>
            </w:r>
            <w:r>
              <w:rPr>
                <w:i/>
              </w:rPr>
              <w:t>iem</w:t>
            </w:r>
            <w:r w:rsidR="006811AC" w:rsidRPr="003268D4">
              <w:rPr>
                <w:i/>
              </w:rPr>
              <w:t xml:space="preserve"> </w:t>
            </w:r>
            <w:r w:rsidR="003268D4">
              <w:rPr>
                <w:i/>
              </w:rPr>
              <w:t xml:space="preserve">un </w:t>
            </w:r>
            <w:r>
              <w:rPr>
                <w:i/>
              </w:rPr>
              <w:t xml:space="preserve">to </w:t>
            </w:r>
            <w:r w:rsidR="003268D4">
              <w:rPr>
                <w:i/>
              </w:rPr>
              <w:t>izpildes kontroli.</w:t>
            </w:r>
          </w:p>
          <w:p w:rsidR="004E5181" w:rsidRDefault="003268D4" w:rsidP="004E5181">
            <w:pPr>
              <w:ind w:firstLine="399"/>
              <w:jc w:val="both"/>
            </w:pPr>
            <w:r>
              <w:t>Noteikum</w:t>
            </w:r>
            <w:r w:rsidR="000D1123">
              <w:t>u</w:t>
            </w:r>
            <w:r>
              <w:t xml:space="preserve"> Nr.685 </w:t>
            </w:r>
            <w:r w:rsidR="000D1123">
              <w:t>28.</w:t>
            </w:r>
            <w:r w:rsidR="003062E0">
              <w:t xml:space="preserve">, </w:t>
            </w:r>
            <w:r w:rsidR="000D1123">
              <w:t>29.punkts</w:t>
            </w:r>
            <w:r w:rsidR="004E5181">
              <w:t xml:space="preserve"> un 32.punkts</w:t>
            </w:r>
            <w:r w:rsidR="000D1123">
              <w:t xml:space="preserve"> </w:t>
            </w:r>
            <w:r>
              <w:t xml:space="preserve">nosaka, ka </w:t>
            </w:r>
            <w:r>
              <w:lastRenderedPageBreak/>
              <w:t>p</w:t>
            </w:r>
            <w:r w:rsidRPr="003268D4">
              <w:t>ersona vismaz 36 kalendāra mēnešus piecu gadu laikā pēc rezidentūras beigšanas gūst ienākumus Latvijas Republikā un ir iedzīvotāju ienākuma nodokļa maksātāja no darba algas vai saimnieciskās darbības</w:t>
            </w:r>
            <w:r w:rsidR="005B0F14">
              <w:t>, turklāt</w:t>
            </w:r>
            <w:r w:rsidR="000D1123">
              <w:t xml:space="preserve"> </w:t>
            </w:r>
            <w:r w:rsidR="005B0F14">
              <w:t xml:space="preserve">minētā </w:t>
            </w:r>
            <w:r w:rsidR="000D1123" w:rsidRPr="000D1123">
              <w:t>nodokļa apmērs ir vismaz 30 % no valsts budžeta izmaksām par personas apmācību</w:t>
            </w:r>
            <w:r w:rsidR="000D1123">
              <w:t>.</w:t>
            </w:r>
            <w:r w:rsidR="0075493C">
              <w:t xml:space="preserve"> </w:t>
            </w:r>
            <w:r w:rsidR="004E5181">
              <w:t xml:space="preserve">Pretējā gadījumā persona sedz valstij visus rezidentūras apmācības izdevumus (atskaitot rezidenta algu). </w:t>
            </w:r>
          </w:p>
          <w:p w:rsidR="0075493C" w:rsidRDefault="0075493C" w:rsidP="006A08D0">
            <w:pPr>
              <w:ind w:firstLine="399"/>
              <w:jc w:val="both"/>
            </w:pPr>
            <w:r>
              <w:t xml:space="preserve">Vienlaikus šobrīd Noteikumos Nr.685 ir noteikti gadījumi, kuros </w:t>
            </w:r>
            <w:r w:rsidRPr="0075493C">
              <w:t>piecu gadu periodu pagarina</w:t>
            </w:r>
            <w:r>
              <w:t>. Kā arī ir noteikts veids, kā Veselības ministrija pārbauda pēc rezidentūras nosacījumu izpildi</w:t>
            </w:r>
            <w:r w:rsidR="00C75C6C">
              <w:t xml:space="preserve"> (Noteikumi Nr.685 31.punkts)</w:t>
            </w:r>
            <w:r>
              <w:t>.</w:t>
            </w:r>
          </w:p>
          <w:p w:rsidR="00E36977" w:rsidRDefault="00133E8A" w:rsidP="005B0F14">
            <w:pPr>
              <w:ind w:firstLine="399"/>
              <w:jc w:val="both"/>
            </w:pPr>
            <w:r>
              <w:t>L</w:t>
            </w:r>
            <w:r w:rsidR="004E5181">
              <w:t xml:space="preserve">ai piesaistītu </w:t>
            </w:r>
            <w:r w:rsidR="004E5181" w:rsidRPr="006A13F1">
              <w:t>jaun</w:t>
            </w:r>
            <w:r w:rsidR="004E5181">
              <w:t>os</w:t>
            </w:r>
            <w:r w:rsidR="004E5181" w:rsidRPr="006A13F1">
              <w:t xml:space="preserve"> speciālistu</w:t>
            </w:r>
            <w:r w:rsidR="004E5181">
              <w:t>s</w:t>
            </w:r>
            <w:r w:rsidR="004E5181" w:rsidRPr="006A13F1">
              <w:t xml:space="preserve"> darbam valsts un pašvaldību ārstniecības iestādēs</w:t>
            </w:r>
            <w:r w:rsidR="004E5181">
              <w:t>, līdz ar to nodrošinātu veselības aprūpes pakalpojumu iedzīvotājiem (it īpaši reģionos)</w:t>
            </w:r>
            <w:r>
              <w:t>, Veselības ministrijas ieskatā pastāvošā tiesiskā norma nenodrošinās mērķa sasniegšanu (veselības aprūpes pakalpojumu iedzīvotājiem).</w:t>
            </w:r>
          </w:p>
          <w:p w:rsidR="00DA59D0" w:rsidRDefault="00CC16D7" w:rsidP="006A08D0">
            <w:pPr>
              <w:ind w:firstLine="399"/>
              <w:jc w:val="both"/>
            </w:pPr>
            <w:r w:rsidRPr="00115AA9">
              <w:t>Valsts aizsargā cilvēku veselību un garantē ikvienam medicīniskās palīdzības minimumu</w:t>
            </w:r>
            <w:r w:rsidRPr="00115AA9">
              <w:rPr>
                <w:rStyle w:val="FootnoteReference"/>
              </w:rPr>
              <w:footnoteReference w:id="5"/>
            </w:r>
            <w:r w:rsidRPr="00115AA9">
              <w:t xml:space="preserve">. </w:t>
            </w:r>
            <w:r w:rsidR="006A08D0" w:rsidRPr="00115AA9">
              <w:t>Un viens no mehānis</w:t>
            </w:r>
            <w:r w:rsidR="003268D4">
              <w:t>m</w:t>
            </w:r>
            <w:r w:rsidR="006A08D0" w:rsidRPr="00115AA9">
              <w:t xml:space="preserve">iem kā nodrošināt veselības aprūpes pakalpojumu iedzīvotājiem ir </w:t>
            </w:r>
            <w:r w:rsidRPr="00115AA9">
              <w:t>sagatavot nepieciešamos speciālistus. Līdz ar to</w:t>
            </w:r>
            <w:r w:rsidR="006A08D0" w:rsidRPr="00115AA9">
              <w:t xml:space="preserve"> no valsts budžeta </w:t>
            </w:r>
            <w:r w:rsidRPr="00115AA9">
              <w:t xml:space="preserve">līdzekļiem tiek </w:t>
            </w:r>
            <w:r w:rsidR="006A08D0" w:rsidRPr="00115AA9">
              <w:t>finansētas rezidentūras studiju vietas.</w:t>
            </w:r>
            <w:r w:rsidR="006A08D0">
              <w:t xml:space="preserve"> </w:t>
            </w:r>
            <w:r w:rsidR="00DA59D0">
              <w:t xml:space="preserve">Vienlaikus norādām, ka </w:t>
            </w:r>
            <w:r w:rsidR="006A08D0">
              <w:t xml:space="preserve">Latvijas Republikas Satversmes tiesas 2012.gada 3.maija lietā Nr.2011-14-03 </w:t>
            </w:r>
            <w:r>
              <w:t>(1</w:t>
            </w:r>
            <w:r w:rsidR="00FE7CBF">
              <w:t>3</w:t>
            </w:r>
            <w:r>
              <w:t xml:space="preserve">.lpp) </w:t>
            </w:r>
            <w:r w:rsidR="006A08D0">
              <w:t xml:space="preserve">Tiesībsargs izsaka viedokli, ka valsts, apmaksājot rezidentu apmācību, var </w:t>
            </w:r>
            <w:r>
              <w:t>rezidentiem</w:t>
            </w:r>
            <w:r w:rsidR="006A08D0">
              <w:t xml:space="preserve"> noteikt pienākumu strādāt valsts labā. </w:t>
            </w:r>
          </w:p>
          <w:p w:rsidR="006A08D0" w:rsidRDefault="006A08D0" w:rsidP="006A08D0">
            <w:pPr>
              <w:ind w:firstLine="399"/>
              <w:jc w:val="both"/>
            </w:pPr>
            <w:r>
              <w:t xml:space="preserve">Turklāt jau pirms iestāšanās rezidentūrā personām ir iespēja izvēlēties, kādas līgumsaistības uzņemties - apmaksāt apmācību rezidentūrā par fizisko vai juridisko personu līdzekļiem vai arī saņemt apmācību rezidentūrā par valsts budžeta līdzekļiem un </w:t>
            </w:r>
            <w:r w:rsidR="00DA59D0">
              <w:t>piecus</w:t>
            </w:r>
            <w:r>
              <w:t xml:space="preserve"> gadus pēc rezidentūras beigšanas strādāt noteiktās ārstniecības iestādēs</w:t>
            </w:r>
            <w:r w:rsidR="00FF0FE5">
              <w:t xml:space="preserve"> (vai </w:t>
            </w:r>
            <w:r w:rsidR="00975E0B">
              <w:t>iestādē, ar kuru</w:t>
            </w:r>
            <w:r w:rsidR="00FF0FE5">
              <w:t xml:space="preserve"> ir noslēgta vienošanās)</w:t>
            </w:r>
            <w:r>
              <w:t>.</w:t>
            </w:r>
            <w:r w:rsidR="00DA59D0" w:rsidRPr="005F6930">
              <w:rPr>
                <w:highlight w:val="yellow"/>
              </w:rPr>
              <w:t xml:space="preserve"> </w:t>
            </w:r>
          </w:p>
          <w:p w:rsidR="008965CE" w:rsidRDefault="008965CE" w:rsidP="008965CE">
            <w:pPr>
              <w:ind w:firstLine="399"/>
              <w:jc w:val="both"/>
            </w:pPr>
            <w:r>
              <w:t xml:space="preserve">Persona, kura </w:t>
            </w:r>
            <w:r w:rsidRPr="006A13F1">
              <w:t>pabeigusi mācības rezidentūrā, atlīdzin</w:t>
            </w:r>
            <w:r>
              <w:t>o</w:t>
            </w:r>
            <w:r w:rsidRPr="006A13F1">
              <w:t xml:space="preserve">t valstij </w:t>
            </w:r>
            <w:r>
              <w:t xml:space="preserve">par tās </w:t>
            </w:r>
            <w:r w:rsidRPr="006A13F1">
              <w:t>apmācībai izlietot</w:t>
            </w:r>
            <w:r w:rsidR="00F72E4B">
              <w:t>iem</w:t>
            </w:r>
            <w:r w:rsidRPr="006A13F1">
              <w:t xml:space="preserve"> </w:t>
            </w:r>
            <w:r>
              <w:t xml:space="preserve">valsts budžeta </w:t>
            </w:r>
            <w:r w:rsidR="00F72E4B">
              <w:t>līdzekļiem</w:t>
            </w:r>
            <w:r w:rsidRPr="006A13F1">
              <w:t xml:space="preserve">, </w:t>
            </w:r>
            <w:r>
              <w:t>(</w:t>
            </w:r>
            <w:r w:rsidRPr="006A13F1">
              <w:t>izņemot rezidenta atlīdzības izdevumus</w:t>
            </w:r>
            <w:r>
              <w:t>) tiek atbrīvota no pēc rezidentūras nosacījumu izpildes</w:t>
            </w:r>
            <w:r w:rsidRPr="006A13F1">
              <w:t xml:space="preserve">. </w:t>
            </w:r>
          </w:p>
          <w:p w:rsidR="00462F4F" w:rsidRDefault="00CA4F34" w:rsidP="0008421A">
            <w:pPr>
              <w:ind w:firstLine="399"/>
              <w:jc w:val="both"/>
            </w:pPr>
            <w:r>
              <w:t>L</w:t>
            </w:r>
            <w:r w:rsidR="0008421A">
              <w:t xml:space="preserve">īdz 2011.gada </w:t>
            </w:r>
            <w:r w:rsidR="008965CE">
              <w:t>30.augustam</w:t>
            </w:r>
            <w:r w:rsidR="0008421A">
              <w:t xml:space="preserve"> bija spēkā </w:t>
            </w:r>
            <w:r w:rsidR="0008421A" w:rsidRPr="002A727F">
              <w:t>Ministru kabineta 2009.gada 25.augusta noteikumi Nr.972 “Rezidentu sadales un rezidentūras finansēšanas noteikumi”</w:t>
            </w:r>
            <w:r w:rsidR="0008421A">
              <w:t xml:space="preserve">, kuros bija ietverta norma, </w:t>
            </w:r>
            <w:r w:rsidR="0008421A" w:rsidRPr="0008421A">
              <w:t xml:space="preserve">ka pēc rezidentūras beigšanas persona turpmākos </w:t>
            </w:r>
            <w:r w:rsidR="0008421A">
              <w:t xml:space="preserve">trīs </w:t>
            </w:r>
            <w:r w:rsidR="0008421A" w:rsidRPr="0008421A">
              <w:t xml:space="preserve">gadus strādās Latvijas Republikas teritorijā ārstniecības iestādē, kas sniedz no valsts budžeta  apmaksātus veselības aprūpes pakalpojumus </w:t>
            </w:r>
            <w:r w:rsidR="0008421A">
              <w:t xml:space="preserve">vai kura veselības aprūpes pakalpojumus sniedz ārpus </w:t>
            </w:r>
            <w:r w:rsidR="0008421A" w:rsidRPr="0008421A">
              <w:t>Rīgas</w:t>
            </w:r>
            <w:r w:rsidR="0008421A">
              <w:t xml:space="preserve">. </w:t>
            </w:r>
            <w:r w:rsidR="00462F4F" w:rsidRPr="00D33527">
              <w:t xml:space="preserve">2009.gadā 92,5%, </w:t>
            </w:r>
            <w:r w:rsidR="00462F4F" w:rsidRPr="00D33527">
              <w:lastRenderedPageBreak/>
              <w:t>2010.gadā – 98% un 93% - 2011.gadā</w:t>
            </w:r>
            <w:r w:rsidR="00462F4F">
              <w:t xml:space="preserve">  n</w:t>
            </w:r>
            <w:r w:rsidR="0008421A">
              <w:t xml:space="preserve">o ārstniecības personām, kuru apmācība rezidentūrā apmaksāta no valsts budžeta līdzekļiem, </w:t>
            </w:r>
            <w:r w:rsidR="00462F4F">
              <w:t xml:space="preserve">turpināja strādāt </w:t>
            </w:r>
            <w:r w:rsidR="00AF4CD4">
              <w:t xml:space="preserve">tajās </w:t>
            </w:r>
            <w:r w:rsidR="00462F4F">
              <w:t>ārstniecības iestādēs, kurās bija strādājušas iepriekš minētajos noteikumos minēto laika periodu. Tātad varam secināt, ka iepriekšējais regulējums ir bijis efektīvs.</w:t>
            </w:r>
          </w:p>
          <w:p w:rsidR="004B0977" w:rsidRDefault="00D36370" w:rsidP="004B0977">
            <w:pPr>
              <w:ind w:firstLine="399"/>
              <w:jc w:val="both"/>
            </w:pPr>
            <w:r>
              <w:t xml:space="preserve">Lai nodrošinātu nepieciešamo ārstu skaitu veselības aprūpes pakalpojumu sniegšanai reģionos, kā arī </w:t>
            </w:r>
            <w:r w:rsidRPr="009A4A61">
              <w:t>noslē</w:t>
            </w:r>
            <w:r>
              <w:t>gtās vienošanā</w:t>
            </w:r>
            <w:r w:rsidRPr="009A4A61">
              <w:t>s ar ārstniecības iestādi ārpus Rīgas par darba tiesisko attiecību uzsākšanu pēc rezidentūras pabeigšanas</w:t>
            </w:r>
            <w:r>
              <w:t xml:space="preserve"> izpildi,</w:t>
            </w:r>
            <w:r w:rsidRPr="009A4A61">
              <w:t xml:space="preserve"> </w:t>
            </w:r>
            <w:r>
              <w:t>n</w:t>
            </w:r>
            <w:r w:rsidRPr="009A4A61">
              <w:t>oteikumu projekts papildināts</w:t>
            </w:r>
            <w:r>
              <w:t>,</w:t>
            </w:r>
            <w:r w:rsidRPr="009A4A61">
              <w:t xml:space="preserve"> nosakot,</w:t>
            </w:r>
            <w:r w:rsidRPr="004C25D2">
              <w:t xml:space="preserve"> ka</w:t>
            </w:r>
            <w:r w:rsidR="004B0977">
              <w:t>:</w:t>
            </w:r>
          </w:p>
          <w:p w:rsidR="00325938" w:rsidRPr="00325938" w:rsidRDefault="004B0977" w:rsidP="00325938">
            <w:pPr>
              <w:pStyle w:val="ListParagraph"/>
              <w:numPr>
                <w:ilvl w:val="0"/>
                <w:numId w:val="23"/>
              </w:numPr>
              <w:jc w:val="both"/>
              <w:rPr>
                <w:sz w:val="24"/>
                <w:szCs w:val="24"/>
              </w:rPr>
            </w:pPr>
            <w:r w:rsidRPr="00325938">
              <w:rPr>
                <w:sz w:val="24"/>
                <w:szCs w:val="24"/>
              </w:rPr>
              <w:t xml:space="preserve">persona pēc rezidentūras beigšanas </w:t>
            </w:r>
            <w:r w:rsidRPr="005C0E8D">
              <w:rPr>
                <w:sz w:val="24"/>
                <w:szCs w:val="24"/>
              </w:rPr>
              <w:t xml:space="preserve">turpmākos </w:t>
            </w:r>
            <w:r w:rsidR="00AA77F2" w:rsidRPr="005C0E8D">
              <w:rPr>
                <w:sz w:val="24"/>
                <w:szCs w:val="24"/>
              </w:rPr>
              <w:t>trīs</w:t>
            </w:r>
            <w:r w:rsidR="00AA77F2">
              <w:rPr>
                <w:sz w:val="24"/>
                <w:szCs w:val="24"/>
              </w:rPr>
              <w:t xml:space="preserve"> </w:t>
            </w:r>
            <w:r w:rsidRPr="00325938">
              <w:rPr>
                <w:sz w:val="24"/>
                <w:szCs w:val="24"/>
              </w:rPr>
              <w:t>gadus</w:t>
            </w:r>
            <w:proofErr w:type="gramStart"/>
            <w:r w:rsidRPr="00325938">
              <w:rPr>
                <w:sz w:val="24"/>
                <w:szCs w:val="24"/>
              </w:rPr>
              <w:t xml:space="preserve"> </w:t>
            </w:r>
            <w:r w:rsidR="00325938" w:rsidRPr="00325938">
              <w:rPr>
                <w:sz w:val="24"/>
                <w:szCs w:val="24"/>
              </w:rPr>
              <w:t xml:space="preserve"> </w:t>
            </w:r>
            <w:proofErr w:type="gramEnd"/>
            <w:r w:rsidR="00814CDF" w:rsidRPr="00814CDF">
              <w:rPr>
                <w:sz w:val="24"/>
                <w:szCs w:val="24"/>
              </w:rPr>
              <w:t xml:space="preserve">normālā darba laika ietvaros (tai skaitā, skaitot to summāri) </w:t>
            </w:r>
            <w:r w:rsidRPr="00814CDF">
              <w:rPr>
                <w:sz w:val="24"/>
                <w:szCs w:val="24"/>
              </w:rPr>
              <w:t>strādās</w:t>
            </w:r>
            <w:r w:rsidR="00325938" w:rsidRPr="00814CDF">
              <w:rPr>
                <w:sz w:val="24"/>
                <w:szCs w:val="24"/>
              </w:rPr>
              <w:t>:</w:t>
            </w:r>
            <w:r w:rsidR="00325938" w:rsidRPr="00325938">
              <w:rPr>
                <w:sz w:val="24"/>
                <w:szCs w:val="24"/>
              </w:rPr>
              <w:t xml:space="preserve"> </w:t>
            </w:r>
          </w:p>
          <w:p w:rsidR="00325938" w:rsidRPr="00C842BA" w:rsidRDefault="00325938" w:rsidP="0022175D">
            <w:pPr>
              <w:ind w:left="360"/>
              <w:jc w:val="both"/>
            </w:pPr>
            <w:r w:rsidRPr="00C842BA">
              <w:t xml:space="preserve">attiecīgajā ārstniecības personas specialitātē Latvijas Republikas teritorijā </w:t>
            </w:r>
            <w:r w:rsidR="0022175D">
              <w:t xml:space="preserve">publiskas personas izveidotā </w:t>
            </w:r>
            <w:r w:rsidRPr="00C842BA">
              <w:t>ārstniecības iestādē</w:t>
            </w:r>
            <w:r w:rsidR="0022175D">
              <w:t xml:space="preserve"> (</w:t>
            </w:r>
            <w:r w:rsidR="0022175D" w:rsidRPr="0022175D">
              <w:t>valsts vai pašvaldības ārstniecības iestādē,</w:t>
            </w:r>
            <w:r w:rsidR="0022175D">
              <w:t xml:space="preserve"> sabiedrībā ar ierobežotu atbildību "Rīgas Stradiņa universitātes Stomatoloģijas institūts", sabiedrībā ar ierobežotu atbildību „Rīgas Stradiņa universitātes Psihosomatiskās medicīnas un psihoterapijas klīnika”)</w:t>
            </w:r>
            <w:r w:rsidRPr="00C842BA">
              <w:t xml:space="preserve">, ģimenes ārsta praksē, Veselības inspekcijā, Slimību profilakses un kontroles centrā vai ārstniecības iestādē, ar kuru ir noslēgta noteikumu projekta 1.2.apakšpunktā minētā vienošanās vai pašvaldības norādītajā ārstniecības iestādē, ja noteikumu </w:t>
            </w:r>
            <w:r w:rsidR="00F460EB" w:rsidRPr="00C842BA">
              <w:t>projekta 1.2.apakš</w:t>
            </w:r>
            <w:r w:rsidRPr="00C842BA">
              <w:t>punktā minētā vieno</w:t>
            </w:r>
            <w:r w:rsidR="00F460EB" w:rsidRPr="00C842BA">
              <w:t>šanās ir noslēgta ar pašvaldību (noteikumu projekta 1.8.apakšpunkts)</w:t>
            </w:r>
            <w:r w:rsidRPr="00C842BA">
              <w:t>;</w:t>
            </w:r>
          </w:p>
          <w:p w:rsidR="004B0977" w:rsidRDefault="004B0977" w:rsidP="00325938">
            <w:pPr>
              <w:pStyle w:val="ListParagraph"/>
              <w:numPr>
                <w:ilvl w:val="0"/>
                <w:numId w:val="23"/>
              </w:numPr>
              <w:jc w:val="both"/>
              <w:rPr>
                <w:sz w:val="24"/>
                <w:szCs w:val="24"/>
              </w:rPr>
            </w:pPr>
            <w:r w:rsidRPr="00325938">
              <w:rPr>
                <w:sz w:val="24"/>
                <w:szCs w:val="24"/>
              </w:rPr>
              <w:t>Veselības ministrija</w:t>
            </w:r>
            <w:r w:rsidR="00F460EB">
              <w:rPr>
                <w:sz w:val="24"/>
                <w:szCs w:val="24"/>
              </w:rPr>
              <w:t>,</w:t>
            </w:r>
            <w:r w:rsidRPr="00325938">
              <w:rPr>
                <w:sz w:val="24"/>
                <w:szCs w:val="24"/>
              </w:rPr>
              <w:t xml:space="preserve"> pārbaudot pēc rezidentūras nosacījumu izpildi</w:t>
            </w:r>
            <w:r w:rsidR="00F460EB">
              <w:rPr>
                <w:sz w:val="24"/>
                <w:szCs w:val="24"/>
              </w:rPr>
              <w:t>,</w:t>
            </w:r>
            <w:r w:rsidRPr="00325938">
              <w:rPr>
                <w:sz w:val="24"/>
                <w:szCs w:val="24"/>
              </w:rPr>
              <w:t xml:space="preserve"> pieprasa informāciju no ārstniecības iestādes vai pašvaldības (ja rezidentam bija noslēgta vienošanās ar pašvaldību) un </w:t>
            </w:r>
            <w:r w:rsidR="00F460EB">
              <w:rPr>
                <w:sz w:val="24"/>
                <w:szCs w:val="24"/>
              </w:rPr>
              <w:t xml:space="preserve">Veselības inspekcijas – Ārstniecības personu un ārstniecības atbalsta personu reģistra </w:t>
            </w:r>
            <w:r w:rsidRPr="00325938">
              <w:rPr>
                <w:sz w:val="24"/>
                <w:szCs w:val="24"/>
              </w:rPr>
              <w:t xml:space="preserve">(noteikumu projekta </w:t>
            </w:r>
            <w:r w:rsidR="00F460EB">
              <w:rPr>
                <w:sz w:val="24"/>
                <w:szCs w:val="24"/>
              </w:rPr>
              <w:t>1.</w:t>
            </w:r>
            <w:r w:rsidRPr="00325938">
              <w:rPr>
                <w:sz w:val="24"/>
                <w:szCs w:val="24"/>
              </w:rPr>
              <w:t>1</w:t>
            </w:r>
            <w:r w:rsidR="00F460EB">
              <w:rPr>
                <w:sz w:val="24"/>
                <w:szCs w:val="24"/>
              </w:rPr>
              <w:t>0</w:t>
            </w:r>
            <w:r w:rsidRPr="00325938">
              <w:rPr>
                <w:sz w:val="24"/>
                <w:szCs w:val="24"/>
              </w:rPr>
              <w:t>.</w:t>
            </w:r>
            <w:r w:rsidR="00F460EB">
              <w:rPr>
                <w:sz w:val="24"/>
                <w:szCs w:val="24"/>
              </w:rPr>
              <w:t>apakš</w:t>
            </w:r>
            <w:r w:rsidRPr="00325938">
              <w:rPr>
                <w:sz w:val="24"/>
                <w:szCs w:val="24"/>
              </w:rPr>
              <w:t xml:space="preserve">punkts); </w:t>
            </w:r>
          </w:p>
          <w:p w:rsidR="00F460EB" w:rsidRPr="00F460EB" w:rsidRDefault="00DB2676" w:rsidP="00F460EB">
            <w:pPr>
              <w:pStyle w:val="ListParagraph"/>
              <w:numPr>
                <w:ilvl w:val="0"/>
                <w:numId w:val="23"/>
              </w:numPr>
              <w:jc w:val="both"/>
              <w:rPr>
                <w:sz w:val="24"/>
                <w:szCs w:val="24"/>
              </w:rPr>
            </w:pPr>
            <w:r w:rsidRPr="00F460EB">
              <w:rPr>
                <w:sz w:val="24"/>
                <w:szCs w:val="24"/>
              </w:rPr>
              <w:t>Veselības ministrija pieņem lēmumu par rezidenta apmācībai izlietoto valsts budžeta līdzekļu atmaksu</w:t>
            </w:r>
            <w:r>
              <w:rPr>
                <w:sz w:val="24"/>
                <w:szCs w:val="24"/>
              </w:rPr>
              <w:t>,</w:t>
            </w:r>
            <w:r w:rsidRPr="00F460EB">
              <w:rPr>
                <w:sz w:val="24"/>
                <w:szCs w:val="24"/>
              </w:rPr>
              <w:t xml:space="preserve"> </w:t>
            </w:r>
            <w:r w:rsidR="00F460EB">
              <w:rPr>
                <w:sz w:val="24"/>
                <w:szCs w:val="24"/>
              </w:rPr>
              <w:t>ja</w:t>
            </w:r>
            <w:r>
              <w:rPr>
                <w:sz w:val="24"/>
                <w:szCs w:val="24"/>
              </w:rPr>
              <w:t>:</w:t>
            </w:r>
            <w:r w:rsidR="00F460EB">
              <w:rPr>
                <w:sz w:val="24"/>
                <w:szCs w:val="24"/>
              </w:rPr>
              <w:t xml:space="preserve"> </w:t>
            </w:r>
            <w:r w:rsidR="00F460EB" w:rsidRPr="00F460EB">
              <w:rPr>
                <w:sz w:val="24"/>
                <w:szCs w:val="24"/>
              </w:rPr>
              <w:t>persona</w:t>
            </w:r>
            <w:r w:rsidR="00F460EB">
              <w:rPr>
                <w:sz w:val="24"/>
                <w:szCs w:val="24"/>
              </w:rPr>
              <w:t xml:space="preserve"> pēc rezidentūras nepilda</w:t>
            </w:r>
            <w:r w:rsidR="00F460EB" w:rsidRPr="00F460EB">
              <w:rPr>
                <w:sz w:val="24"/>
                <w:szCs w:val="24"/>
              </w:rPr>
              <w:t xml:space="preserve"> </w:t>
            </w:r>
            <w:r w:rsidR="00F460EB">
              <w:rPr>
                <w:sz w:val="24"/>
                <w:szCs w:val="24"/>
              </w:rPr>
              <w:t xml:space="preserve">nosacījumus (nestrādā noteikumu projekta 1.8.apakšpunktā noteiktajās iestādēs </w:t>
            </w:r>
            <w:r w:rsidR="00F460EB" w:rsidRPr="00F460EB">
              <w:rPr>
                <w:sz w:val="24"/>
                <w:szCs w:val="24"/>
              </w:rPr>
              <w:t>(izņemot gadījumus, ja vienošanās tiek izbeigta no personas neatkarīgu iemeslu dēļ)</w:t>
            </w:r>
            <w:r w:rsidR="00F460EB">
              <w:rPr>
                <w:sz w:val="24"/>
                <w:szCs w:val="24"/>
              </w:rPr>
              <w:t>)</w:t>
            </w:r>
            <w:r>
              <w:rPr>
                <w:sz w:val="24"/>
                <w:szCs w:val="24"/>
              </w:rPr>
              <w:t>;</w:t>
            </w:r>
            <w:r w:rsidR="00F460EB" w:rsidRPr="00F460EB">
              <w:rPr>
                <w:sz w:val="24"/>
                <w:szCs w:val="24"/>
              </w:rPr>
              <w:t xml:space="preserve"> ir atskaitīta no augstskolas nesekmības dēļ vai pārtrauc apmācību rezidentūrā no augstskolas neatkarīgu iemeslu dēļ (</w:t>
            </w:r>
            <w:r w:rsidR="00F460EB">
              <w:rPr>
                <w:sz w:val="24"/>
                <w:szCs w:val="24"/>
              </w:rPr>
              <w:t>noteikumu projekta 1.</w:t>
            </w:r>
            <w:r w:rsidR="00F460EB" w:rsidRPr="00F460EB">
              <w:rPr>
                <w:sz w:val="24"/>
                <w:szCs w:val="24"/>
              </w:rPr>
              <w:t>1</w:t>
            </w:r>
            <w:r w:rsidR="00F460EB">
              <w:rPr>
                <w:sz w:val="24"/>
                <w:szCs w:val="24"/>
              </w:rPr>
              <w:t>0</w:t>
            </w:r>
            <w:r w:rsidR="00F460EB" w:rsidRPr="00F460EB">
              <w:rPr>
                <w:sz w:val="24"/>
                <w:szCs w:val="24"/>
              </w:rPr>
              <w:t>.</w:t>
            </w:r>
            <w:r w:rsidR="00F460EB">
              <w:rPr>
                <w:sz w:val="24"/>
                <w:szCs w:val="24"/>
              </w:rPr>
              <w:t>apakš</w:t>
            </w:r>
            <w:r w:rsidR="00F460EB" w:rsidRPr="00F460EB">
              <w:rPr>
                <w:sz w:val="24"/>
                <w:szCs w:val="24"/>
              </w:rPr>
              <w:t>punkts);</w:t>
            </w:r>
          </w:p>
          <w:p w:rsidR="004B0977" w:rsidRPr="00325938" w:rsidRDefault="004B0977" w:rsidP="00325938">
            <w:pPr>
              <w:pStyle w:val="ListParagraph"/>
              <w:numPr>
                <w:ilvl w:val="0"/>
                <w:numId w:val="23"/>
              </w:numPr>
              <w:jc w:val="both"/>
              <w:rPr>
                <w:sz w:val="24"/>
                <w:szCs w:val="24"/>
              </w:rPr>
            </w:pPr>
            <w:r w:rsidRPr="00325938">
              <w:rPr>
                <w:sz w:val="24"/>
                <w:szCs w:val="24"/>
              </w:rPr>
              <w:t>ir svītrojam</w:t>
            </w:r>
            <w:r w:rsidR="00DB2676">
              <w:rPr>
                <w:sz w:val="24"/>
                <w:szCs w:val="24"/>
              </w:rPr>
              <w:t>s</w:t>
            </w:r>
            <w:r w:rsidRPr="00325938">
              <w:rPr>
                <w:sz w:val="24"/>
                <w:szCs w:val="24"/>
              </w:rPr>
              <w:t xml:space="preserve"> Noteikumu Nr.685 29.</w:t>
            </w:r>
            <w:r w:rsidR="00F460EB">
              <w:rPr>
                <w:sz w:val="24"/>
                <w:szCs w:val="24"/>
              </w:rPr>
              <w:t xml:space="preserve"> un 30.</w:t>
            </w:r>
            <w:r w:rsidRPr="00325938">
              <w:rPr>
                <w:sz w:val="24"/>
                <w:szCs w:val="24"/>
              </w:rPr>
              <w:t xml:space="preserve"> punkts (noteikumu projekta </w:t>
            </w:r>
            <w:r w:rsidR="00F460EB">
              <w:rPr>
                <w:sz w:val="24"/>
                <w:szCs w:val="24"/>
              </w:rPr>
              <w:t>1.9.apakšpunkts</w:t>
            </w:r>
            <w:r w:rsidRPr="00325938">
              <w:rPr>
                <w:sz w:val="24"/>
                <w:szCs w:val="24"/>
              </w:rPr>
              <w:t>).</w:t>
            </w:r>
          </w:p>
          <w:p w:rsidR="00606C3D" w:rsidRDefault="00606C3D" w:rsidP="00606C3D">
            <w:pPr>
              <w:ind w:firstLine="399"/>
              <w:jc w:val="both"/>
            </w:pPr>
            <w:r>
              <w:t xml:space="preserve">Ja persona pēc rezidentūras studiju programmas apguves kādā no ārsta profesijas pamatspecialitātēm turpinās studijas apakšspecialitātē (piemēram, pēc pamatspecialitātes internists </w:t>
            </w:r>
            <w:r>
              <w:lastRenderedPageBreak/>
              <w:t xml:space="preserve">turpina studijas apakšspecialitātē pneimonologs), tad </w:t>
            </w:r>
            <w:r w:rsidRPr="00325938">
              <w:t xml:space="preserve">persona pēc rezidentūras </w:t>
            </w:r>
            <w:r>
              <w:t xml:space="preserve">studiju programmas </w:t>
            </w:r>
            <w:r w:rsidRPr="00325938">
              <w:t xml:space="preserve">beigšanas </w:t>
            </w:r>
            <w:r>
              <w:t xml:space="preserve">apakšspecialitātē uzsāks </w:t>
            </w:r>
            <w:r w:rsidRPr="00325938">
              <w:t>piecu gadu</w:t>
            </w:r>
            <w:r>
              <w:t xml:space="preserve"> atstrādes periodu.</w:t>
            </w:r>
            <w:r w:rsidR="008D176F">
              <w:t xml:space="preserve"> Kā arī gadījumos, kad persona uzreiz pēc rezidentūras beigšanas turpina studijas doktorantūrā </w:t>
            </w:r>
            <w:r w:rsidR="008D176F" w:rsidRPr="008D176F">
              <w:t xml:space="preserve">noteiktā pienākuma izpilde </w:t>
            </w:r>
            <w:r w:rsidR="008D176F">
              <w:t xml:space="preserve">(piecus gadus strādāt </w:t>
            </w:r>
            <w:r w:rsidR="008D176F" w:rsidRPr="00C842BA">
              <w:t xml:space="preserve">attiecīgajā specialitātē </w:t>
            </w:r>
            <w:r w:rsidR="008D176F">
              <w:t xml:space="preserve">ārstniecības iestādē) </w:t>
            </w:r>
            <w:r w:rsidR="008D176F" w:rsidRPr="008D176F">
              <w:t xml:space="preserve">tiek atlikta uz laiku, kamēr </w:t>
            </w:r>
            <w:r w:rsidR="008D176F">
              <w:t xml:space="preserve">persona </w:t>
            </w:r>
            <w:r w:rsidR="008D176F" w:rsidRPr="008D176F">
              <w:t xml:space="preserve">pabeidz vai pārtrauc </w:t>
            </w:r>
            <w:r w:rsidR="008D176F">
              <w:t xml:space="preserve">doktorantūras </w:t>
            </w:r>
            <w:r w:rsidR="008D176F" w:rsidRPr="008D176F">
              <w:t>studijas.</w:t>
            </w:r>
          </w:p>
          <w:p w:rsidR="00FE67AC" w:rsidRDefault="00FE67AC" w:rsidP="00BD375F">
            <w:pPr>
              <w:ind w:firstLine="399"/>
              <w:jc w:val="both"/>
            </w:pPr>
            <w:r>
              <w:t xml:space="preserve">Attiecībā par </w:t>
            </w:r>
            <w:r w:rsidR="00814CDF" w:rsidRPr="00814CDF">
              <w:t>normālā darba laika ietvar</w:t>
            </w:r>
            <w:r w:rsidR="00CC287F">
              <w:t>u</w:t>
            </w:r>
            <w:r w:rsidR="00814CDF" w:rsidRPr="00814CDF">
              <w:t xml:space="preserve"> (tai skaitā, skaitot to summāri) </w:t>
            </w:r>
            <w:r>
              <w:t xml:space="preserve">skaidrojam, ka persona pēc rezidentūras beigšanas strādā </w:t>
            </w:r>
            <w:r w:rsidRPr="00FE67AC">
              <w:t>atbilstoši Darba likumā noteiktajam darba laika</w:t>
            </w:r>
            <w:r w:rsidR="00CC287F">
              <w:t xml:space="preserve"> ietvaram</w:t>
            </w:r>
            <w:r>
              <w:t>, tas ir, 40 stundas</w:t>
            </w:r>
            <w:r w:rsidR="00CC287F">
              <w:t xml:space="preserve"> nedēļā</w:t>
            </w:r>
            <w:r>
              <w:t>. Gadījumā, ja ārstniecības iestāde nevar nodrošināt speciālistam šāda apjoma darbu, tad persona ir tiesīga strādāt (savā specialitātē) papildu vēl kādā citā ārstniecības iestādē, tādējādi summējot normālā darba laika stundu apjomu.</w:t>
            </w:r>
          </w:p>
          <w:p w:rsidR="00C75C6C" w:rsidRDefault="004B0977" w:rsidP="00BD375F">
            <w:pPr>
              <w:ind w:firstLine="399"/>
              <w:jc w:val="both"/>
            </w:pPr>
            <w:r w:rsidRPr="004B0977">
              <w:t>Iepriekš minētie nosacījumi piemērojami personām, kuras uzsāks rezidentūras studij</w:t>
            </w:r>
            <w:r w:rsidR="00BD1CE4">
              <w:t>as</w:t>
            </w:r>
            <w:r w:rsidR="00CF5FCA">
              <w:t xml:space="preserve"> pēc 2016.gada 1.</w:t>
            </w:r>
            <w:r w:rsidR="00AA1A08">
              <w:t>aprīļa</w:t>
            </w:r>
            <w:r w:rsidRPr="004B0977">
              <w:t xml:space="preserve"> </w:t>
            </w:r>
            <w:r w:rsidR="00D36370">
              <w:t xml:space="preserve">(noteikumu projekta </w:t>
            </w:r>
            <w:r w:rsidR="00CF5FCA">
              <w:t>2</w:t>
            </w:r>
            <w:r w:rsidR="00D36370">
              <w:t>.punkts)</w:t>
            </w:r>
            <w:r w:rsidRPr="004B0977">
              <w:t>.</w:t>
            </w:r>
          </w:p>
          <w:p w:rsidR="004B0977" w:rsidRDefault="004B0977" w:rsidP="00BD375F">
            <w:pPr>
              <w:ind w:firstLine="399"/>
              <w:jc w:val="both"/>
            </w:pPr>
          </w:p>
          <w:p w:rsidR="004B0977" w:rsidRDefault="00F132D5" w:rsidP="000D4629">
            <w:pPr>
              <w:ind w:firstLine="399"/>
              <w:jc w:val="both"/>
              <w:rPr>
                <w:i/>
              </w:rPr>
            </w:pPr>
            <w:r>
              <w:rPr>
                <w:i/>
              </w:rPr>
              <w:t>4</w:t>
            </w:r>
            <w:r w:rsidR="00D27DF8" w:rsidRPr="00D27DF8">
              <w:rPr>
                <w:i/>
              </w:rPr>
              <w:t>. Rezidentūras finansēšanu</w:t>
            </w:r>
            <w:r w:rsidR="00C842BA">
              <w:rPr>
                <w:i/>
              </w:rPr>
              <w:t>.</w:t>
            </w:r>
            <w:r w:rsidR="006811AC">
              <w:rPr>
                <w:i/>
              </w:rPr>
              <w:t xml:space="preserve"> </w:t>
            </w:r>
          </w:p>
          <w:p w:rsidR="00782A56" w:rsidRPr="004C25D2" w:rsidRDefault="00782A56" w:rsidP="000D4629">
            <w:pPr>
              <w:ind w:firstLine="399"/>
              <w:jc w:val="both"/>
            </w:pPr>
            <w:r w:rsidRPr="004C25D2">
              <w:t xml:space="preserve">Saskaņā ar Noteikumu Nr.685 </w:t>
            </w:r>
            <w:r w:rsidR="007B18F3" w:rsidRPr="004C25D2">
              <w:t>18.punktu</w:t>
            </w:r>
            <w:r w:rsidRPr="004C25D2">
              <w:t xml:space="preserve"> valsts pasūtījumu rezidentu apmācībā finansē no valsts budžeta līdzekļiem saskaņā ar likumu par</w:t>
            </w:r>
            <w:r w:rsidR="007F4798" w:rsidRPr="004C25D2">
              <w:t xml:space="preserve"> valsts budžetu kārtējam gadam </w:t>
            </w:r>
            <w:r w:rsidR="000D4629" w:rsidRPr="004C25D2">
              <w:t xml:space="preserve">apakšprogrammā 02.04.00 „Rezidentu apmācība”. </w:t>
            </w:r>
            <w:r w:rsidR="007F4798" w:rsidRPr="004C25D2">
              <w:t>Rezidentu apmācībai k</w:t>
            </w:r>
            <w:r w:rsidR="000D4629" w:rsidRPr="004C25D2">
              <w:t xml:space="preserve">opējais nepieciešamais finansējums tiek plānots, kā arī starp augstskolām sadalīts,  atbilstoši kārtējā gadā plānotajam rezidentu skaitam, ņemot vērā rezidentu skaitu uz gada sākumu, prombūtnes uz gada sākumu, plānoto uzņemšanu un absolvēšanu. Augstskolas par viena rezidenta apmācību </w:t>
            </w:r>
            <w:r w:rsidR="001B6270" w:rsidRPr="004C25D2">
              <w:t xml:space="preserve">mēnesī </w:t>
            </w:r>
            <w:r w:rsidR="000D4629" w:rsidRPr="004C25D2">
              <w:t>saņem noteiktu finansējuma apjomu, savukārt augstskolas ārstniecības iestādēm pārskaita finansējumu pēc faktiskās izpildes (Noteikumos Nr.685 un līgumos viena rezidenta izmaksas noteiktas par pilnu darba laiku slimnīcā). Tā kā rezidentu skaits pa mēnešiem ir mainīgs, ko ietekmē dažādi faktori (rezidenti atgriežas no prombūtnes, pārtrauc rezidentūru pavisam vai uz laiku, rezidenti nenostrādā pilnu darba laiku mēnesī, faktiskā rezidentu uzņemšana un absolvēšana), tad arī faktiski izlietotais finansējums pa mēnešiem ir mainīgs. Līdz ar to kārtējam gadam piešķirtais, bet neizlietotais finansējums no valsts budžeta uzkrājas katras augstskolas norēķinu kontā valsts kasē un tiek izlietots nākamajā gadā kā resursu avots rezidentu apmācībai.</w:t>
            </w:r>
            <w:r w:rsidRPr="004C25D2">
              <w:t xml:space="preserve"> Ņemot vērā minēto</w:t>
            </w:r>
            <w:r w:rsidR="00D27DF8">
              <w:t>,</w:t>
            </w:r>
            <w:r w:rsidRPr="004C25D2">
              <w:t xml:space="preserve"> nepieciešams papildināt</w:t>
            </w:r>
            <w:r w:rsidR="002C7AE0" w:rsidRPr="004C25D2">
              <w:t xml:space="preserve"> </w:t>
            </w:r>
            <w:r w:rsidR="00C20A55">
              <w:t>noteikumu</w:t>
            </w:r>
            <w:r w:rsidR="00D27DF8">
              <w:t xml:space="preserve"> projektu</w:t>
            </w:r>
            <w:r w:rsidR="00C20A55">
              <w:t>, nosakot,</w:t>
            </w:r>
            <w:r w:rsidR="00F73460" w:rsidRPr="004C25D2">
              <w:t xml:space="preserve"> </w:t>
            </w:r>
            <w:r w:rsidRPr="004C25D2">
              <w:t>ka</w:t>
            </w:r>
            <w:r w:rsidR="002C7AE0" w:rsidRPr="004C25D2">
              <w:t xml:space="preserve"> papildus</w:t>
            </w:r>
            <w:r w:rsidR="000D4629" w:rsidRPr="004C25D2">
              <w:t xml:space="preserve"> finansēšanas avots</w:t>
            </w:r>
            <w:r w:rsidR="002C7AE0" w:rsidRPr="004C25D2">
              <w:t xml:space="preserve"> kārtējam gadam</w:t>
            </w:r>
            <w:r w:rsidR="000D4629" w:rsidRPr="004C25D2">
              <w:t xml:space="preserve"> rezidentu apmācībai augstskolām</w:t>
            </w:r>
            <w:r w:rsidRPr="004C25D2">
              <w:t xml:space="preserve"> </w:t>
            </w:r>
            <w:r w:rsidR="000D4629" w:rsidRPr="004C25D2">
              <w:t>ir arī</w:t>
            </w:r>
            <w:r w:rsidR="007F1677" w:rsidRPr="004C25D2">
              <w:t xml:space="preserve"> </w:t>
            </w:r>
            <w:r w:rsidRPr="004C25D2">
              <w:t>iepriekšējā gada finansējuma atlikums, ja tāds ir izveidojies pēc galīgo norēķinu veikšanas par iepriekšējo gadu</w:t>
            </w:r>
            <w:r w:rsidR="00C20A55">
              <w:t xml:space="preserve"> (</w:t>
            </w:r>
            <w:r w:rsidR="0043713E" w:rsidRPr="00D36370">
              <w:t>n</w:t>
            </w:r>
            <w:r w:rsidR="00C20A55" w:rsidRPr="00D36370">
              <w:t>oteikumu projekta</w:t>
            </w:r>
            <w:r w:rsidR="008B1143" w:rsidRPr="00D36370">
              <w:t xml:space="preserve"> </w:t>
            </w:r>
            <w:r w:rsidR="007F1677">
              <w:lastRenderedPageBreak/>
              <w:t>1.6. un 1.11</w:t>
            </w:r>
            <w:r w:rsidR="00F1587F" w:rsidRPr="00D36370">
              <w:t>.</w:t>
            </w:r>
            <w:r w:rsidR="007F1677">
              <w:t>apakš</w:t>
            </w:r>
            <w:r w:rsidR="00C20A55" w:rsidRPr="00D36370">
              <w:t>punkts</w:t>
            </w:r>
            <w:r w:rsidR="00C20A55">
              <w:t>)</w:t>
            </w:r>
            <w:r w:rsidR="00176397">
              <w:t>.</w:t>
            </w:r>
          </w:p>
          <w:p w:rsidR="00677C66" w:rsidRPr="004C25D2" w:rsidRDefault="00CB2535" w:rsidP="00827BCF">
            <w:pPr>
              <w:ind w:firstLine="399"/>
              <w:jc w:val="both"/>
            </w:pPr>
            <w:r w:rsidRPr="004C25D2">
              <w:t>Veselības ministrija, izvērtējot augstskolu pārskatu</w:t>
            </w:r>
            <w:r w:rsidR="001B6270" w:rsidRPr="004C25D2">
              <w:t>s</w:t>
            </w:r>
            <w:r w:rsidRPr="004C25D2">
              <w:t xml:space="preserve"> (iesniedz reizi pusgadā) par rezidentu apmācībai piešķirto finanšu līdzekļu izlietojumu, ir secinājusi, ka</w:t>
            </w:r>
            <w:r w:rsidR="00677C66" w:rsidRPr="004C25D2">
              <w:t>:</w:t>
            </w:r>
          </w:p>
          <w:p w:rsidR="009D614C" w:rsidRPr="004C25D2" w:rsidRDefault="00677C66" w:rsidP="00827BCF">
            <w:pPr>
              <w:pStyle w:val="ListParagraph"/>
              <w:numPr>
                <w:ilvl w:val="0"/>
                <w:numId w:val="16"/>
              </w:numPr>
              <w:ind w:left="541" w:hanging="426"/>
              <w:jc w:val="both"/>
              <w:rPr>
                <w:sz w:val="24"/>
                <w:szCs w:val="24"/>
              </w:rPr>
            </w:pPr>
            <w:r w:rsidRPr="004C25D2">
              <w:rPr>
                <w:sz w:val="24"/>
                <w:szCs w:val="24"/>
              </w:rPr>
              <w:t>p</w:t>
            </w:r>
            <w:r w:rsidR="009D614C" w:rsidRPr="004C25D2">
              <w:rPr>
                <w:sz w:val="24"/>
                <w:szCs w:val="24"/>
              </w:rPr>
              <w:t>ie kārtējā gada līguma par rezidentu apmācību un apmācībai paredzēto finanšu līdzekļu piešķiršanu slēgšanas gada sākumā Veselības ministrijas rīcībā vēl nav otrā pusgada atskaites par finansējuma izlietojumu rezidentu apmācībai</w:t>
            </w:r>
            <w:r w:rsidRPr="004C25D2">
              <w:rPr>
                <w:sz w:val="24"/>
                <w:szCs w:val="24"/>
              </w:rPr>
              <w:t xml:space="preserve"> (jāiesniedz līdz 10.februārim), </w:t>
            </w:r>
            <w:r w:rsidR="009D614C" w:rsidRPr="004C25D2">
              <w:rPr>
                <w:sz w:val="24"/>
                <w:szCs w:val="24"/>
              </w:rPr>
              <w:t>līdz ar to nav zināmi katras augstskolas faktiskais finansējuma atlikums pēc galīgo norēķinu veikšanas par iepriekšējo gadu, faktiskais rezidentu skaits uz gada sākumu, ņemot vērā iepriekšēja gada absolvēšanu un uzņemšanu un jaunākos datus par prombūtnēm. Tas nozīmē, ka pastāv iespēja, ka kāda no augstskolām iepriekšējo gadu var beigt ar deficītu,</w:t>
            </w:r>
            <w:r w:rsidR="00C20A55">
              <w:rPr>
                <w:sz w:val="24"/>
                <w:szCs w:val="24"/>
              </w:rPr>
              <w:t xml:space="preserve"> savukārt citai augstskolai var būt pārpalikums.</w:t>
            </w:r>
            <w:r w:rsidR="009D614C" w:rsidRPr="004C25D2">
              <w:rPr>
                <w:sz w:val="24"/>
                <w:szCs w:val="24"/>
              </w:rPr>
              <w:t xml:space="preserve"> </w:t>
            </w:r>
            <w:r w:rsidR="00C20A55">
              <w:rPr>
                <w:sz w:val="24"/>
                <w:szCs w:val="24"/>
              </w:rPr>
              <w:t>L</w:t>
            </w:r>
            <w:r w:rsidR="009D614C" w:rsidRPr="004C25D2">
              <w:rPr>
                <w:sz w:val="24"/>
                <w:szCs w:val="24"/>
              </w:rPr>
              <w:t xml:space="preserve">ai  kompensētu </w:t>
            </w:r>
            <w:r w:rsidR="00C20A55">
              <w:rPr>
                <w:sz w:val="24"/>
                <w:szCs w:val="24"/>
              </w:rPr>
              <w:t xml:space="preserve">deficītu </w:t>
            </w:r>
            <w:r w:rsidR="009D614C" w:rsidRPr="004C25D2">
              <w:rPr>
                <w:sz w:val="24"/>
                <w:szCs w:val="24"/>
              </w:rPr>
              <w:t>un augstskola spētu nokārtot savas parādsaistības, Veselības ministrijai būtu iespēja, izvērtējot otrā pusgada atskaišu informāciju (faktiskos finansējuma atlikumus un faktisko izpildi otrajā pusgadā), palielināt augstskolas mēneša finansējuma apjomu un attiecīgi veikt ieturējumu otras augstskolas mēneša finansējuma apjomā (nemainot kopējo augstskolas līguma summu), ja kādai no augstskolām pēc galīgo norēķinu veikšanas par iepriekšējo gadu ir izveidojies finansējuma deficīts, bet savukār</w:t>
            </w:r>
            <w:r w:rsidRPr="004C25D2">
              <w:rPr>
                <w:sz w:val="24"/>
                <w:szCs w:val="24"/>
              </w:rPr>
              <w:t>t otrai finansējuma pārpalikums;</w:t>
            </w:r>
          </w:p>
          <w:p w:rsidR="009D614C" w:rsidRPr="004C25D2" w:rsidRDefault="00677C66" w:rsidP="00827BCF">
            <w:pPr>
              <w:pStyle w:val="ListParagraph"/>
              <w:numPr>
                <w:ilvl w:val="0"/>
                <w:numId w:val="16"/>
              </w:numPr>
              <w:ind w:left="541" w:hanging="426"/>
              <w:jc w:val="both"/>
              <w:rPr>
                <w:sz w:val="24"/>
                <w:szCs w:val="24"/>
              </w:rPr>
            </w:pPr>
            <w:r w:rsidRPr="004C25D2">
              <w:rPr>
                <w:sz w:val="24"/>
                <w:szCs w:val="24"/>
              </w:rPr>
              <w:t>p</w:t>
            </w:r>
            <w:r w:rsidR="009D614C" w:rsidRPr="004C25D2">
              <w:rPr>
                <w:sz w:val="24"/>
                <w:szCs w:val="24"/>
              </w:rPr>
              <w:t>ie kārtējā gada līguma par rezidentu apmācību un apmācībai paredzēto finanšu līdzekļu piešķiršanu slēgšanas gada sākumā Veselības ministrijas rīcībā vēl nav informācijas par iepriekšējā gada otr</w:t>
            </w:r>
            <w:r w:rsidRPr="004C25D2">
              <w:rPr>
                <w:sz w:val="24"/>
                <w:szCs w:val="24"/>
              </w:rPr>
              <w:t>ā</w:t>
            </w:r>
            <w:r w:rsidR="009D614C" w:rsidRPr="004C25D2">
              <w:rPr>
                <w:sz w:val="24"/>
                <w:szCs w:val="24"/>
              </w:rPr>
              <w:t xml:space="preserve"> pusgad</w:t>
            </w:r>
            <w:r w:rsidRPr="004C25D2">
              <w:rPr>
                <w:sz w:val="24"/>
                <w:szCs w:val="24"/>
              </w:rPr>
              <w:t>a faktisko izpildi</w:t>
            </w:r>
            <w:r w:rsidR="009D614C" w:rsidRPr="004C25D2">
              <w:rPr>
                <w:sz w:val="24"/>
                <w:szCs w:val="24"/>
              </w:rPr>
              <w:t xml:space="preserve"> (faktiski izlietoto finansējumu sadalījumā pa augstskolām, augstskolu sniegtā informācija par faktisko rezidentu skaitu, absolvēšanu un uzņemšanu, rezidentu prombūtni un sadalījumu pa reģioniem), līdz ar to primāri tiek plānota pieejamo līdzekļu pietiekamība pa abām augstskolām kopā, ņemot vērā kopējo iespējamo abu augstskolu atlikumu no iepriekšējā gada un ikgadējā likumā par valsts budžetu plānoto finansējumu apakšprogrammā 02.04.00 „Rezidentu apmācība”, un pēc tam pēc iespējas precīzāk cenšoties sadalīt finansējumu starp augstskolām, ņemot vērā iespējamo rezidentu sadalījumu starp tām. Ja līgumi ar augstskolām jāslēdz brīdī, kad nav vēl pieejama iepriekš minētā informācija, tad sadalījums var būt neprecīzs. Līdz ar to pēc pirmā pusgada atskaišu par finansējuma izlietojumu rezidentu apmācībai saņemšanas (jāiesniedz līdz </w:t>
            </w:r>
            <w:r w:rsidR="009D614C" w:rsidRPr="004C25D2">
              <w:rPr>
                <w:sz w:val="24"/>
                <w:szCs w:val="24"/>
              </w:rPr>
              <w:lastRenderedPageBreak/>
              <w:t>10.augustam) un atskaišu informācijas izvērtēšanas (faktiskie finansējuma atlikumi un faktiskā izpilde pirmajā pusgadā), Veselības ministrijai būtu iespēja pēc vajadzības veikt grozījumus augstskolu līgumos, pārdalot finansējumu starp augstskolām pēc faktiskās nepieciešamības</w:t>
            </w:r>
            <w:r w:rsidRPr="004C25D2">
              <w:rPr>
                <w:sz w:val="24"/>
                <w:szCs w:val="24"/>
              </w:rPr>
              <w:t xml:space="preserve"> – pēc faktiski apmācāmo rezidentu skaita un šim mērķim nepieciešamajiem līdzekļiem</w:t>
            </w:r>
            <w:r w:rsidR="009D614C" w:rsidRPr="004C25D2">
              <w:rPr>
                <w:sz w:val="24"/>
                <w:szCs w:val="24"/>
              </w:rPr>
              <w:t xml:space="preserve">. Tas nozīmē, ja pēc pirmā pusgada atskaites analīzes būs redzams, ka kādai no augstskolām piešķirtais finansējums rezidentu apmācībai kārtējam gadam būs nepietiekams, līgumos uz 1.septembri tiks veikti grozījumi un tiks </w:t>
            </w:r>
            <w:r w:rsidRPr="004C25D2">
              <w:rPr>
                <w:sz w:val="24"/>
                <w:szCs w:val="24"/>
              </w:rPr>
              <w:t>pārdalīts</w:t>
            </w:r>
            <w:r w:rsidR="009D614C" w:rsidRPr="004C25D2">
              <w:rPr>
                <w:sz w:val="24"/>
                <w:szCs w:val="24"/>
              </w:rPr>
              <w:t xml:space="preserve"> finansējums, lai </w:t>
            </w:r>
            <w:r w:rsidRPr="004C25D2">
              <w:rPr>
                <w:sz w:val="24"/>
                <w:szCs w:val="24"/>
              </w:rPr>
              <w:t>augstskolas</w:t>
            </w:r>
            <w:r w:rsidR="009D614C" w:rsidRPr="004C25D2">
              <w:rPr>
                <w:sz w:val="24"/>
                <w:szCs w:val="24"/>
              </w:rPr>
              <w:t xml:space="preserve"> spētu nodrošināt rezidentu apmācību tekošajam gadam.  </w:t>
            </w:r>
          </w:p>
          <w:p w:rsidR="00CF5FCA" w:rsidRPr="004C25D2" w:rsidRDefault="00CB2535" w:rsidP="00CF5FCA">
            <w:pPr>
              <w:ind w:firstLine="399"/>
              <w:jc w:val="both"/>
            </w:pPr>
            <w:r w:rsidRPr="004C25D2">
              <w:t xml:space="preserve">Ņemot vērā, ka </w:t>
            </w:r>
            <w:r w:rsidR="00CB57FF" w:rsidRPr="004C25D2">
              <w:t xml:space="preserve">Noteikumos Nr.685 </w:t>
            </w:r>
            <w:r w:rsidRPr="004C25D2">
              <w:t>nav noteikts, ka</w:t>
            </w:r>
            <w:r w:rsidR="00D27DF8">
              <w:t>,</w:t>
            </w:r>
            <w:r w:rsidRPr="004C25D2">
              <w:t xml:space="preserve"> izvērtējot pārskatus par rezidentu apmācībai piešķirto finanšu līdzekļu izlietojumu</w:t>
            </w:r>
            <w:r w:rsidR="00D27DF8">
              <w:t>,</w:t>
            </w:r>
            <w:r w:rsidRPr="004C25D2">
              <w:t xml:space="preserve"> Veselības ministrija būtu tiesīga veikt finansējuma pārdali starp augstskolām pēc faktiskās nepieciešamības</w:t>
            </w:r>
            <w:r w:rsidR="00677C66" w:rsidRPr="004C25D2">
              <w:t xml:space="preserve"> (pēc faktiski apmācāmo rezidentu skaita un šim mērķim nepieciešamajiem līdzekļiem)</w:t>
            </w:r>
            <w:r w:rsidR="00CB57FF" w:rsidRPr="004C25D2">
              <w:t xml:space="preserve">, </w:t>
            </w:r>
            <w:r w:rsidRPr="004C25D2">
              <w:t xml:space="preserve">nepieciešams </w:t>
            </w:r>
            <w:r w:rsidR="00CB57FF" w:rsidRPr="004C25D2">
              <w:t xml:space="preserve">papildināt </w:t>
            </w:r>
            <w:r w:rsidRPr="004C25D2">
              <w:t>Noteikumus Nr.685</w:t>
            </w:r>
            <w:r w:rsidR="00CB57FF" w:rsidRPr="004C25D2">
              <w:t xml:space="preserve"> ar tiesību normu, ka Veselības ministrija var palielināt augstskolas mēneša finansējuma apjomu un attiecīgi veikt ieturējumu otras augstskolas mēneša finansējuma apjomā</w:t>
            </w:r>
            <w:r w:rsidR="00677C66" w:rsidRPr="004C25D2">
              <w:t xml:space="preserve"> (nemainot kopējās līgumu summas)</w:t>
            </w:r>
            <w:r w:rsidR="00CB57FF" w:rsidRPr="004C25D2">
              <w:t>, ja kādai no augstskolām pēc galīgo norēķinu veikšanas par iepriekšējo periodu ir izveidojies finansējuma deficīts, bet savukārt</w:t>
            </w:r>
            <w:r w:rsidR="00677C66" w:rsidRPr="004C25D2">
              <w:t xml:space="preserve"> citai finansējuma pārpalikums, kā arī uz 1.septembri veikt </w:t>
            </w:r>
            <w:r w:rsidR="00571CED" w:rsidRPr="004C25D2">
              <w:t>grozījumus augstskolu līgumos, pārdalot finansējumu starp augstskolām pēc faktiski apmācāmo rezidentu skaita un šim mērķim nepieciešamajiem līdzekļiem</w:t>
            </w:r>
            <w:r w:rsidR="00571CED" w:rsidRPr="004D3261">
              <w:t>.</w:t>
            </w:r>
            <w:r w:rsidR="004D3261">
              <w:t xml:space="preserve"> Kā arī precizēts ārstniecības iestādēm piešķirtā finansējuma rezidentu apmācībai uzraudzības un neizmantotā finansējuma atgriešana valsts budžetā </w:t>
            </w:r>
            <w:r w:rsidR="008B1143" w:rsidRPr="003C4024">
              <w:t>(</w:t>
            </w:r>
            <w:r w:rsidR="0043713E" w:rsidRPr="00D36370">
              <w:t>n</w:t>
            </w:r>
            <w:r w:rsidR="008B1143" w:rsidRPr="00D36370">
              <w:t xml:space="preserve">oteikumu projekta </w:t>
            </w:r>
            <w:r w:rsidR="007F1677">
              <w:t>1.</w:t>
            </w:r>
            <w:r w:rsidR="003C4024" w:rsidRPr="00D36370">
              <w:t>1</w:t>
            </w:r>
            <w:r w:rsidR="007F1677">
              <w:t>1</w:t>
            </w:r>
            <w:r w:rsidR="003C4024" w:rsidRPr="00D36370">
              <w:t>.</w:t>
            </w:r>
            <w:r w:rsidR="007F1677">
              <w:t>apakš</w:t>
            </w:r>
            <w:r w:rsidR="00EB63A7" w:rsidRPr="00D36370">
              <w:t>punkts</w:t>
            </w:r>
            <w:r w:rsidR="00EB63A7">
              <w:t>)</w:t>
            </w:r>
            <w:r w:rsidR="003C4024">
              <w:t>.</w:t>
            </w:r>
            <w:r w:rsidR="00CF5FCA">
              <w:t xml:space="preserve"> </w:t>
            </w:r>
          </w:p>
        </w:tc>
      </w:tr>
      <w:tr w:rsidR="00043AD9" w:rsidRPr="004C25D2" w:rsidTr="00F92AE3">
        <w:trPr>
          <w:trHeight w:val="465"/>
        </w:trPr>
        <w:tc>
          <w:tcPr>
            <w:tcW w:w="597"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pPr>
              <w:pStyle w:val="tvhtml"/>
              <w:spacing w:line="315" w:lineRule="atLeast"/>
              <w:jc w:val="center"/>
            </w:pPr>
            <w:r w:rsidRPr="004C25D2">
              <w:lastRenderedPageBreak/>
              <w:t>3.</w:t>
            </w:r>
          </w:p>
        </w:tc>
        <w:tc>
          <w:tcPr>
            <w:tcW w:w="2409"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Projekta izstrādē iesaistītās institūcijas</w:t>
            </w:r>
          </w:p>
        </w:tc>
        <w:tc>
          <w:tcPr>
            <w:tcW w:w="6125" w:type="dxa"/>
            <w:tcBorders>
              <w:top w:val="outset" w:sz="6" w:space="0" w:color="414142"/>
              <w:left w:val="outset" w:sz="6" w:space="0" w:color="414142"/>
              <w:bottom w:val="outset" w:sz="6" w:space="0" w:color="414142"/>
              <w:right w:val="outset" w:sz="6" w:space="0" w:color="414142"/>
            </w:tcBorders>
            <w:hideMark/>
          </w:tcPr>
          <w:p w:rsidR="00812A27" w:rsidRPr="004C25D2" w:rsidRDefault="00242521">
            <w:r>
              <w:t>Nav</w:t>
            </w:r>
          </w:p>
        </w:tc>
      </w:tr>
      <w:tr w:rsidR="00043AD9" w:rsidRPr="004C25D2" w:rsidTr="00F92AE3">
        <w:tc>
          <w:tcPr>
            <w:tcW w:w="597"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pPr>
              <w:pStyle w:val="tvhtml"/>
              <w:spacing w:line="315" w:lineRule="atLeast"/>
              <w:jc w:val="center"/>
            </w:pPr>
            <w:r w:rsidRPr="004C25D2">
              <w:t>4.</w:t>
            </w:r>
          </w:p>
        </w:tc>
        <w:tc>
          <w:tcPr>
            <w:tcW w:w="2409"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Cita informācija</w:t>
            </w:r>
          </w:p>
        </w:tc>
        <w:tc>
          <w:tcPr>
            <w:tcW w:w="6125" w:type="dxa"/>
            <w:tcBorders>
              <w:top w:val="outset" w:sz="6" w:space="0" w:color="414142"/>
              <w:left w:val="outset" w:sz="6" w:space="0" w:color="414142"/>
              <w:bottom w:val="outset" w:sz="6" w:space="0" w:color="414142"/>
              <w:right w:val="outset" w:sz="6" w:space="0" w:color="414142"/>
            </w:tcBorders>
            <w:hideMark/>
          </w:tcPr>
          <w:p w:rsidR="00043AD9" w:rsidRPr="004C25D2" w:rsidRDefault="00043AD9" w:rsidP="00043AD9">
            <w:pPr>
              <w:pStyle w:val="tvhtml"/>
              <w:spacing w:line="315" w:lineRule="atLeast"/>
            </w:pPr>
            <w:r w:rsidRPr="004C25D2">
              <w:t>Nav</w:t>
            </w:r>
          </w:p>
        </w:tc>
      </w:tr>
    </w:tbl>
    <w:p w:rsidR="00043AD9" w:rsidRDefault="00043AD9" w:rsidP="00043AD9">
      <w:pPr>
        <w:pStyle w:val="tvhtml"/>
        <w:shd w:val="clear" w:color="auto" w:fill="FFFFFF"/>
        <w:spacing w:line="315" w:lineRule="atLeast"/>
        <w:ind w:firstLine="300"/>
        <w:rPr>
          <w:rFonts w:ascii="Arial" w:hAnsi="Arial" w:cs="Arial"/>
          <w:color w:val="414142"/>
          <w:sz w:val="21"/>
          <w:szCs w:val="21"/>
        </w:rPr>
      </w:pPr>
      <w:r>
        <w:rPr>
          <w:rFonts w:ascii="Arial" w:hAnsi="Arial" w:cs="Arial"/>
          <w:color w:val="414142"/>
          <w:sz w:val="21"/>
          <w:szCs w:val="21"/>
        </w:rPr>
        <w:t> </w:t>
      </w:r>
    </w:p>
    <w:p w:rsidR="005C0E8D" w:rsidRPr="00043AD9" w:rsidRDefault="005C0E8D" w:rsidP="00043AD9">
      <w:pPr>
        <w:pStyle w:val="tvhtml"/>
        <w:shd w:val="clear" w:color="auto" w:fill="FFFFFF"/>
        <w:spacing w:line="315" w:lineRule="atLeast"/>
        <w:ind w:firstLine="300"/>
        <w:rPr>
          <w:color w:val="414142"/>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043AD9" w:rsidRPr="004C25D2" w:rsidTr="00837201">
        <w:trPr>
          <w:trHeight w:val="381"/>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43AD9" w:rsidRPr="004C25D2" w:rsidRDefault="00043AD9">
            <w:pPr>
              <w:pStyle w:val="tvhtml"/>
              <w:spacing w:line="315" w:lineRule="atLeast"/>
              <w:jc w:val="center"/>
              <w:rPr>
                <w:b/>
                <w:bCs/>
              </w:rPr>
            </w:pPr>
            <w:r w:rsidRPr="004C25D2">
              <w:rPr>
                <w:b/>
                <w:bCs/>
              </w:rPr>
              <w:t>II. Tiesību akta projekta ietekme uz sabiedrību, tautsaimniecības attīstību un administratīvo slogu</w:t>
            </w:r>
          </w:p>
        </w:tc>
      </w:tr>
      <w:tr w:rsidR="00043AD9" w:rsidRPr="004C25D2" w:rsidTr="00043AD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1.</w:t>
            </w:r>
          </w:p>
        </w:tc>
        <w:tc>
          <w:tcPr>
            <w:tcW w:w="15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43AD9" w:rsidRDefault="00043AD9" w:rsidP="00BC0618">
            <w:pPr>
              <w:jc w:val="both"/>
            </w:pPr>
            <w:r w:rsidRPr="004C25D2">
              <w:t>Noteikumu projektā ietvertais tiesiskais regulējums attieksies uz:</w:t>
            </w:r>
          </w:p>
          <w:p w:rsidR="00420650" w:rsidRPr="000464BC" w:rsidRDefault="00420650" w:rsidP="00BC0618">
            <w:pPr>
              <w:jc w:val="both"/>
            </w:pPr>
            <w:r>
              <w:t xml:space="preserve">- </w:t>
            </w:r>
            <w:r w:rsidRPr="000464BC">
              <w:t>Veselības ministriju;</w:t>
            </w:r>
          </w:p>
          <w:p w:rsidR="00043AD9" w:rsidRPr="004C25D2" w:rsidRDefault="00043AD9" w:rsidP="00BC0618">
            <w:pPr>
              <w:jc w:val="both"/>
            </w:pPr>
            <w:r w:rsidRPr="004C25D2">
              <w:t xml:space="preserve">- augstskolām, kuras realizē rezidentūras studiju </w:t>
            </w:r>
            <w:r w:rsidRPr="004C25D2">
              <w:lastRenderedPageBreak/>
              <w:t>programmas (R</w:t>
            </w:r>
            <w:r w:rsidR="002A54DA">
              <w:t xml:space="preserve">SU </w:t>
            </w:r>
            <w:r w:rsidRPr="004C25D2">
              <w:t>un LU);</w:t>
            </w:r>
          </w:p>
          <w:p w:rsidR="00043AD9" w:rsidRPr="004C25D2" w:rsidRDefault="00043AD9" w:rsidP="00BC0618">
            <w:pPr>
              <w:jc w:val="both"/>
            </w:pPr>
            <w:r w:rsidRPr="004C25D2">
              <w:t>- personām, kuras vēlas apgūt rezidentūras studiju programmas (</w:t>
            </w:r>
            <w:r w:rsidR="00994D3B">
              <w:t xml:space="preserve">plānots, ka </w:t>
            </w:r>
            <w:r w:rsidRPr="004C25D2">
              <w:t>201</w:t>
            </w:r>
            <w:r w:rsidR="00994D3B">
              <w:t>6</w:t>
            </w:r>
            <w:r w:rsidRPr="004C25D2">
              <w:t>.gadā augstākās izglītības diplomu profesijā ārsts kopā RS</w:t>
            </w:r>
            <w:r w:rsidR="002A54DA">
              <w:t>U</w:t>
            </w:r>
            <w:r w:rsidRPr="004C25D2">
              <w:t xml:space="preserve"> un LU  ieg</w:t>
            </w:r>
            <w:r w:rsidR="00994D3B">
              <w:t>ūs</w:t>
            </w:r>
            <w:r w:rsidRPr="004C25D2">
              <w:t xml:space="preserve"> 2</w:t>
            </w:r>
            <w:r w:rsidR="00994D3B">
              <w:t>34</w:t>
            </w:r>
            <w:r w:rsidRPr="004C25D2">
              <w:t xml:space="preserve"> personas);</w:t>
            </w:r>
          </w:p>
          <w:p w:rsidR="00E9352F" w:rsidRPr="005C0E8D" w:rsidRDefault="00134887" w:rsidP="00BC0618">
            <w:pPr>
              <w:jc w:val="both"/>
            </w:pPr>
            <w:r w:rsidRPr="005C0E8D">
              <w:t xml:space="preserve">- </w:t>
            </w:r>
            <w:r w:rsidR="00E9352F" w:rsidRPr="005C0E8D">
              <w:t xml:space="preserve">Veselības inspekciju, </w:t>
            </w:r>
          </w:p>
          <w:p w:rsidR="00E9352F" w:rsidRPr="005C0E8D" w:rsidRDefault="00E9352F" w:rsidP="00BC0618">
            <w:pPr>
              <w:jc w:val="both"/>
            </w:pPr>
            <w:r w:rsidRPr="005C0E8D">
              <w:t xml:space="preserve">- Slimību profilakses un kontroles centru, </w:t>
            </w:r>
          </w:p>
          <w:p w:rsidR="00043AD9" w:rsidRPr="005C0E8D" w:rsidRDefault="00E9352F" w:rsidP="00BC0618">
            <w:pPr>
              <w:jc w:val="both"/>
            </w:pPr>
            <w:r w:rsidRPr="005C0E8D">
              <w:t xml:space="preserve">- </w:t>
            </w:r>
            <w:r w:rsidR="00134887" w:rsidRPr="005C0E8D">
              <w:t>ārstniecības iestādēm</w:t>
            </w:r>
            <w:r w:rsidR="00985184" w:rsidRPr="005C0E8D">
              <w:t>, kas atrodas ārpus Rīgas</w:t>
            </w:r>
            <w:r w:rsidR="00134887" w:rsidRPr="005C0E8D">
              <w:t xml:space="preserve"> (Ārstniecības iestāžu reģistrā</w:t>
            </w:r>
            <w:r w:rsidR="00683A2F" w:rsidRPr="005C0E8D">
              <w:t xml:space="preserve"> </w:t>
            </w:r>
            <w:r w:rsidR="00134887" w:rsidRPr="005C0E8D">
              <w:t xml:space="preserve">reģistrētas </w:t>
            </w:r>
            <w:r w:rsidR="00400E47" w:rsidRPr="005C0E8D">
              <w:t>2300</w:t>
            </w:r>
            <w:r w:rsidR="00134887" w:rsidRPr="005C0E8D">
              <w:t xml:space="preserve"> iestādes</w:t>
            </w:r>
            <w:r w:rsidR="00985184" w:rsidRPr="005C0E8D">
              <w:t>, kas atrodas ārpus Rīgas</w:t>
            </w:r>
            <w:r w:rsidR="00134887" w:rsidRPr="005C0E8D">
              <w:t xml:space="preserve"> (dati uz </w:t>
            </w:r>
            <w:proofErr w:type="gramStart"/>
            <w:r w:rsidR="00134887" w:rsidRPr="005C0E8D">
              <w:t>2015.gada</w:t>
            </w:r>
            <w:proofErr w:type="gramEnd"/>
            <w:r w:rsidR="00134887" w:rsidRPr="005C0E8D">
              <w:t xml:space="preserve"> 1.augustu))</w:t>
            </w:r>
            <w:r w:rsidR="00043AD9" w:rsidRPr="005C0E8D">
              <w:t>;</w:t>
            </w:r>
          </w:p>
          <w:p w:rsidR="00043AD9" w:rsidRPr="005C0E8D" w:rsidRDefault="00043AD9" w:rsidP="00E9352F">
            <w:pPr>
              <w:jc w:val="both"/>
            </w:pPr>
            <w:r w:rsidRPr="005C0E8D">
              <w:t>- pašvaldīb</w:t>
            </w:r>
            <w:r w:rsidR="0084200D" w:rsidRPr="005C0E8D">
              <w:t>ā</w:t>
            </w:r>
            <w:r w:rsidRPr="005C0E8D">
              <w:t>s ārpus Rīgas (</w:t>
            </w:r>
            <w:r w:rsidR="00837201" w:rsidRPr="005C0E8D">
              <w:t>118 pašvaldības</w:t>
            </w:r>
            <w:r w:rsidR="002A54DA" w:rsidRPr="005C0E8D">
              <w:t xml:space="preserve"> ārpus Rīgas</w:t>
            </w:r>
            <w:r w:rsidR="00D5779E" w:rsidRPr="005C0E8D">
              <w:t xml:space="preserve"> Vides aizsardzības un reģionālās attīstības ministrijas dati</w:t>
            </w:r>
            <w:r w:rsidR="00837201" w:rsidRPr="005C0E8D">
              <w:t>)</w:t>
            </w:r>
            <w:r w:rsidR="00E9352F" w:rsidRPr="005C0E8D">
              <w:t>,</w:t>
            </w:r>
          </w:p>
          <w:p w:rsidR="00311BE2" w:rsidRPr="005C0E8D" w:rsidRDefault="00E9352F" w:rsidP="00E9352F">
            <w:pPr>
              <w:jc w:val="both"/>
            </w:pPr>
            <w:r w:rsidRPr="005C0E8D">
              <w:t xml:space="preserve">- </w:t>
            </w:r>
            <w:r w:rsidR="00311BE2" w:rsidRPr="005C0E8D">
              <w:t>Nacionālo veselības dienestu,</w:t>
            </w:r>
          </w:p>
          <w:p w:rsidR="00E9352F" w:rsidRPr="005C0E8D" w:rsidRDefault="00E9352F" w:rsidP="00E9352F">
            <w:pPr>
              <w:jc w:val="both"/>
            </w:pPr>
            <w:r w:rsidRPr="005C0E8D">
              <w:t>Valsts ieņēmumu dienestu,</w:t>
            </w:r>
          </w:p>
          <w:p w:rsidR="00E9352F" w:rsidRPr="004C25D2" w:rsidRDefault="00643D18" w:rsidP="00E9352F">
            <w:pPr>
              <w:jc w:val="both"/>
            </w:pPr>
            <w:r w:rsidRPr="005C0E8D">
              <w:t xml:space="preserve">- </w:t>
            </w:r>
            <w:r w:rsidR="00E9352F" w:rsidRPr="005C0E8D">
              <w:t>Valsts sociālās apdrošināšanas aģentūru.</w:t>
            </w:r>
          </w:p>
        </w:tc>
      </w:tr>
      <w:tr w:rsidR="00043AD9" w:rsidRPr="004C25D2" w:rsidTr="00DE645D">
        <w:trPr>
          <w:trHeight w:val="517"/>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464BC" w:rsidRDefault="00420650" w:rsidP="00420650">
            <w:pPr>
              <w:ind w:firstLine="115"/>
              <w:jc w:val="both"/>
            </w:pPr>
            <w:r w:rsidRPr="000464BC">
              <w:t xml:space="preserve">Noteikumu projektā paredzētais tiesiskais regulējums maina tiesības un pienākumus, kā arī </w:t>
            </w:r>
            <w:r w:rsidR="00FE72A0">
              <w:t xml:space="preserve">palielina </w:t>
            </w:r>
            <w:r w:rsidRPr="000464BC">
              <w:t xml:space="preserve">veicamās darbības Veselības ministrijai un </w:t>
            </w:r>
            <w:r w:rsidR="005A051D">
              <w:t>augstskolām</w:t>
            </w:r>
            <w:r w:rsidRPr="000464BC">
              <w:t>.</w:t>
            </w:r>
            <w:r w:rsidR="0035718B">
              <w:t xml:space="preserve"> </w:t>
            </w:r>
            <w:r w:rsidR="005A051D">
              <w:t>A</w:t>
            </w:r>
            <w:r w:rsidR="00134887" w:rsidRPr="00134887">
              <w:t>ugstskol</w:t>
            </w:r>
            <w:r w:rsidR="005A051D">
              <w:t>as</w:t>
            </w:r>
            <w:r w:rsidR="00134887" w:rsidRPr="00134887">
              <w:t>, kas realizē rezidentūras studiju programmas (R</w:t>
            </w:r>
            <w:r w:rsidR="002A54DA">
              <w:t xml:space="preserve">SU </w:t>
            </w:r>
            <w:r w:rsidR="00134887" w:rsidRPr="00134887">
              <w:t>un LU)</w:t>
            </w:r>
            <w:r w:rsidR="00497885">
              <w:t>,</w:t>
            </w:r>
            <w:r w:rsidR="005A051D">
              <w:t xml:space="preserve"> papildu</w:t>
            </w:r>
            <w:r w:rsidR="00134887">
              <w:t xml:space="preserve"> jau šobrīd iesniedz</w:t>
            </w:r>
            <w:r w:rsidR="005A051D">
              <w:t>amajiem pārskatiem iesniegs</w:t>
            </w:r>
            <w:r w:rsidR="00134887">
              <w:t xml:space="preserve"> Veselības ministrijā datus par uzņemt</w:t>
            </w:r>
            <w:r w:rsidR="005A051D">
              <w:t>ajiem</w:t>
            </w:r>
            <w:r w:rsidR="00134887">
              <w:t xml:space="preserve"> rezident</w:t>
            </w:r>
            <w:r w:rsidR="005A051D">
              <w:t>iem</w:t>
            </w:r>
            <w:r w:rsidR="00134887">
              <w:t xml:space="preserve"> sadalījumā pa specialitātēm.</w:t>
            </w:r>
            <w:r w:rsidR="000464BC">
              <w:t xml:space="preserve"> </w:t>
            </w:r>
          </w:p>
          <w:p w:rsidR="00134887" w:rsidRDefault="00134887" w:rsidP="00FE72A0">
            <w:pPr>
              <w:ind w:firstLine="115"/>
              <w:jc w:val="both"/>
            </w:pPr>
            <w:r w:rsidRPr="00134887">
              <w:t>Noteikumu projektam ir ietekme uz administratīvo slogu</w:t>
            </w:r>
            <w:r>
              <w:t xml:space="preserve"> </w:t>
            </w:r>
            <w:r w:rsidRPr="004C25D2">
              <w:t>personām, kuras vēlas apgūst rezidentūras studiju programmas</w:t>
            </w:r>
            <w:r w:rsidR="00FE72A0">
              <w:t xml:space="preserve"> un</w:t>
            </w:r>
            <w:r>
              <w:t xml:space="preserve"> ārstniecības iestādēm</w:t>
            </w:r>
            <w:r w:rsidR="000E4278">
              <w:t>, kuras atrodas ārpus Rīgas</w:t>
            </w:r>
            <w:r>
              <w:t xml:space="preserve"> un pašvaldībām</w:t>
            </w:r>
            <w:r w:rsidR="000E4278">
              <w:t xml:space="preserve"> (izņemot Rīgas pašvaldību)</w:t>
            </w:r>
            <w:r w:rsidR="00FE72A0">
              <w:t>:</w:t>
            </w:r>
            <w:r>
              <w:t xml:space="preserve"> </w:t>
            </w:r>
            <w:r w:rsidR="005A07DA">
              <w:t xml:space="preserve">administratīvais slogs </w:t>
            </w:r>
            <w:r>
              <w:t xml:space="preserve">palielināsies </w:t>
            </w:r>
            <w:r w:rsidR="003E03D5">
              <w:t>–</w:t>
            </w:r>
            <w:r w:rsidR="00FE72A0">
              <w:t xml:space="preserve"> </w:t>
            </w:r>
            <w:r w:rsidR="003E03D5">
              <w:t xml:space="preserve">būs </w:t>
            </w:r>
            <w:r w:rsidR="00FE72A0">
              <w:t xml:space="preserve">dotas </w:t>
            </w:r>
            <w:r w:rsidR="003E03D5">
              <w:t xml:space="preserve">tiesības (brīvprātīga izvēle) noslēgt </w:t>
            </w:r>
            <w:r w:rsidR="00FE72A0">
              <w:t xml:space="preserve">savstarpēju </w:t>
            </w:r>
            <w:r w:rsidR="003E03D5">
              <w:t>vienošanos par darba tiesisko attiecību uzsākšan</w:t>
            </w:r>
            <w:r w:rsidR="00FE72A0">
              <w:t>u pēc rezidentūras pabeigšanas</w:t>
            </w:r>
            <w:r w:rsidR="003E03D5">
              <w:t>.</w:t>
            </w:r>
          </w:p>
          <w:p w:rsidR="0060469F" w:rsidRPr="005C0E8D" w:rsidRDefault="00081A11" w:rsidP="0060469F">
            <w:pPr>
              <w:ind w:firstLine="115"/>
              <w:jc w:val="both"/>
              <w:rPr>
                <w:lang w:eastAsia="zh-CN"/>
              </w:rPr>
            </w:pPr>
            <w:r w:rsidRPr="005C0E8D">
              <w:t>Noteikumu projektā paredzētais tiesiskais regulējums nemaina tiesības un pienākumus</w:t>
            </w:r>
            <w:r w:rsidR="0060469F" w:rsidRPr="005C0E8D">
              <w:t xml:space="preserve"> </w:t>
            </w:r>
            <w:r w:rsidR="0060469F" w:rsidRPr="005C0E8D">
              <w:rPr>
                <w:lang w:eastAsia="zh-CN"/>
              </w:rPr>
              <w:t>Veselības inspekcijai</w:t>
            </w:r>
            <w:r w:rsidR="00683A2F" w:rsidRPr="005C0E8D">
              <w:rPr>
                <w:lang w:eastAsia="zh-CN"/>
              </w:rPr>
              <w:t xml:space="preserve"> un</w:t>
            </w:r>
            <w:r w:rsidR="0060469F" w:rsidRPr="005C0E8D">
              <w:rPr>
                <w:lang w:eastAsia="zh-CN"/>
              </w:rPr>
              <w:t xml:space="preserve"> Slimību profilakses un kontroles centram, </w:t>
            </w:r>
            <w:r w:rsidR="00643D18" w:rsidRPr="005C0E8D">
              <w:rPr>
                <w:lang w:eastAsia="zh-CN"/>
              </w:rPr>
              <w:t>jo šobrīd iepriekš minētajās iestādēs strādā konkrētas specialitātes</w:t>
            </w:r>
            <w:r w:rsidR="00683A2F" w:rsidRPr="005C0E8D">
              <w:rPr>
                <w:lang w:eastAsia="zh-CN"/>
              </w:rPr>
              <w:t xml:space="preserve"> (kā arī ir nepieciešami ārsti)</w:t>
            </w:r>
            <w:r w:rsidR="00643D18" w:rsidRPr="005C0E8D">
              <w:rPr>
                <w:lang w:eastAsia="zh-CN"/>
              </w:rPr>
              <w:t xml:space="preserve"> ārsti, piemēram, Veselības inspekcijā – ārsti eksperti, Slimību profilakses un kontroles centrā – sabiedrības veselības ār</w:t>
            </w:r>
            <w:r w:rsidR="00683A2F" w:rsidRPr="005C0E8D">
              <w:rPr>
                <w:lang w:eastAsia="zh-CN"/>
              </w:rPr>
              <w:t>s</w:t>
            </w:r>
            <w:r w:rsidR="00643D18" w:rsidRPr="005C0E8D">
              <w:rPr>
                <w:lang w:eastAsia="zh-CN"/>
              </w:rPr>
              <w:t>ti</w:t>
            </w:r>
            <w:r w:rsidR="00683A2F" w:rsidRPr="005C0E8D">
              <w:rPr>
                <w:lang w:eastAsia="zh-CN"/>
              </w:rPr>
              <w:t xml:space="preserve">. </w:t>
            </w:r>
          </w:p>
          <w:p w:rsidR="00081A11" w:rsidRPr="004C25D2" w:rsidRDefault="0060469F" w:rsidP="00311BE2">
            <w:pPr>
              <w:ind w:firstLine="115"/>
              <w:jc w:val="both"/>
            </w:pPr>
            <w:r w:rsidRPr="005C0E8D">
              <w:t>Noteikumu projektā paredzētais tiesiskais regulējums nemaina tiesības un pienākumus</w:t>
            </w:r>
            <w:r w:rsidR="00311BE2" w:rsidRPr="005C0E8D">
              <w:t xml:space="preserve"> Nacionālajam veselības dienestam,</w:t>
            </w:r>
            <w:r w:rsidRPr="005C0E8D">
              <w:t xml:space="preserve"> </w:t>
            </w:r>
            <w:r w:rsidRPr="005C0E8D">
              <w:rPr>
                <w:lang w:eastAsia="zh-CN"/>
              </w:rPr>
              <w:t xml:space="preserve">Valsts ieņēmumu dienestam un Valsts sociālās apdrošināšanas aģentūrai, jo </w:t>
            </w:r>
            <w:r w:rsidR="00311BE2" w:rsidRPr="005C0E8D">
              <w:rPr>
                <w:lang w:eastAsia="zh-CN"/>
              </w:rPr>
              <w:t>noteikumu projektā ietvertās normas ir jau pastāvošas esošajā</w:t>
            </w:r>
            <w:r w:rsidR="00683A2F" w:rsidRPr="005C0E8D">
              <w:rPr>
                <w:lang w:eastAsia="zh-CN"/>
              </w:rPr>
              <w:t xml:space="preserve"> normatīva</w:t>
            </w:r>
            <w:r w:rsidR="00311BE2" w:rsidRPr="005C0E8D">
              <w:rPr>
                <w:lang w:eastAsia="zh-CN"/>
              </w:rPr>
              <w:t>jā</w:t>
            </w:r>
            <w:r w:rsidR="00683A2F" w:rsidRPr="005C0E8D">
              <w:rPr>
                <w:lang w:eastAsia="zh-CN"/>
              </w:rPr>
              <w:t xml:space="preserve"> regulējum</w:t>
            </w:r>
            <w:r w:rsidR="00311BE2" w:rsidRPr="005C0E8D">
              <w:rPr>
                <w:lang w:eastAsia="zh-CN"/>
              </w:rPr>
              <w:t>ā.</w:t>
            </w:r>
            <w:r w:rsidR="00683A2F" w:rsidRPr="005C0E8D">
              <w:rPr>
                <w:lang w:eastAsia="zh-CN"/>
              </w:rPr>
              <w:t xml:space="preserve"> </w:t>
            </w:r>
          </w:p>
        </w:tc>
      </w:tr>
      <w:tr w:rsidR="00043AD9" w:rsidRPr="004C25D2" w:rsidTr="00043AD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3.</w:t>
            </w:r>
          </w:p>
        </w:tc>
        <w:tc>
          <w:tcPr>
            <w:tcW w:w="15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EB63A7" w:rsidRDefault="00EB63A7" w:rsidP="00BC0618">
            <w:pPr>
              <w:jc w:val="both"/>
              <w:rPr>
                <w:i/>
              </w:rPr>
            </w:pPr>
            <w:r>
              <w:t>Augstskolām informācijas iesniegšana Veselības ministrij</w:t>
            </w:r>
            <w:r w:rsidR="000F463F">
              <w:t>ai</w:t>
            </w:r>
            <w:r>
              <w:t xml:space="preserve"> par rezidentūras uzņemšanas rezultātiem un pusgadu pārskatu iesniegšana Veselības ministrijā gada laikā nepārsniegs Ministru kabineta 2009.gada 15.decembra instrukcijas Nr.19 „Tiesību akta projekta sākotnējās </w:t>
            </w:r>
            <w:r>
              <w:lastRenderedPageBreak/>
              <w:t xml:space="preserve">ietekmes izvērtēšanas kārtība” 25.punktā minēto summu – 2000 </w:t>
            </w:r>
            <w:r w:rsidRPr="004E0AAF">
              <w:rPr>
                <w:i/>
              </w:rPr>
              <w:t>euro</w:t>
            </w:r>
            <w:r w:rsidR="005A07DA">
              <w:rPr>
                <w:i/>
              </w:rPr>
              <w:t>.</w:t>
            </w:r>
          </w:p>
          <w:p w:rsidR="005A07DA" w:rsidRDefault="005861A5" w:rsidP="00BC5B12">
            <w:pPr>
              <w:ind w:firstLine="257"/>
              <w:jc w:val="both"/>
            </w:pPr>
            <w:r>
              <w:t>Rezidentūras pretendentiem, kuriem noteikumu projekts palielina administratīvo slogu administratīvās izmaksas</w:t>
            </w:r>
            <w:r w:rsidR="00CF12A4">
              <w:t xml:space="preserve"> gadā varētu būt </w:t>
            </w:r>
            <w:r w:rsidR="00CF12A4" w:rsidRPr="00C1322E">
              <w:t>((4,6x8)x(2</w:t>
            </w:r>
            <w:r w:rsidR="00D33527" w:rsidRPr="00C1322E">
              <w:t>34</w:t>
            </w:r>
            <w:r w:rsidR="00CF12A4" w:rsidRPr="00C1322E">
              <w:t>x1)=</w:t>
            </w:r>
            <w:r w:rsidR="00C1322E" w:rsidRPr="00C1322E">
              <w:t>8</w:t>
            </w:r>
            <w:r w:rsidR="00CF12A4" w:rsidRPr="00C1322E">
              <w:t> </w:t>
            </w:r>
            <w:r w:rsidR="00C1322E" w:rsidRPr="00C1322E">
              <w:t>611</w:t>
            </w:r>
            <w:r w:rsidR="00CF12A4" w:rsidRPr="00C1322E">
              <w:t xml:space="preserve">) </w:t>
            </w:r>
            <w:r w:rsidR="00D33527" w:rsidRPr="00C1322E">
              <w:t>8</w:t>
            </w:r>
            <w:r w:rsidRPr="00C1322E">
              <w:t> </w:t>
            </w:r>
            <w:r w:rsidR="00D33527" w:rsidRPr="00C1322E">
              <w:t>611</w:t>
            </w:r>
            <w:r>
              <w:t xml:space="preserve"> </w:t>
            </w:r>
            <w:r w:rsidRPr="005861A5">
              <w:rPr>
                <w:i/>
              </w:rPr>
              <w:t>euro</w:t>
            </w:r>
            <w:r w:rsidR="000F463F">
              <w:rPr>
                <w:i/>
              </w:rPr>
              <w:t>,</w:t>
            </w:r>
            <w:r>
              <w:t xml:space="preserve"> </w:t>
            </w:r>
            <w:r w:rsidR="000F463F">
              <w:t>p</w:t>
            </w:r>
            <w:r w:rsidR="00CF12A4">
              <w:t>ieņem</w:t>
            </w:r>
            <w:r w:rsidR="000F463F">
              <w:t>o</w:t>
            </w:r>
            <w:r w:rsidR="00CF12A4">
              <w:t xml:space="preserve">t, ka </w:t>
            </w:r>
            <w:r w:rsidR="003D717C">
              <w:t>strādājošo mēneša vidējā darba samaksa stundā 2014.gadā atbilstoši Centrālās statistikas pārvaldes datiem</w:t>
            </w:r>
            <w:r w:rsidR="00CF12A4">
              <w:t xml:space="preserve"> ir 4,6</w:t>
            </w:r>
            <w:r w:rsidR="003D717C">
              <w:t xml:space="preserve">, vienošanās noslēgšanai (iepazīšanās ar vienošanos un tās parakstīšana) paredzēts </w:t>
            </w:r>
            <w:r w:rsidR="00BC5B12">
              <w:t>8 stundas, 201</w:t>
            </w:r>
            <w:r w:rsidR="00D33527">
              <w:t>6</w:t>
            </w:r>
            <w:r w:rsidR="00BC5B12">
              <w:t>.gadā 2</w:t>
            </w:r>
            <w:r w:rsidR="00D33527">
              <w:t>34</w:t>
            </w:r>
            <w:r w:rsidR="00BC5B12">
              <w:t xml:space="preserve"> ārsti, kuri saņ</w:t>
            </w:r>
            <w:r w:rsidR="00D33527">
              <w:t>e</w:t>
            </w:r>
            <w:r w:rsidR="00BC5B12">
              <w:t>m</w:t>
            </w:r>
            <w:r w:rsidR="00D33527">
              <w:t>s</w:t>
            </w:r>
            <w:r w:rsidR="00BC5B12">
              <w:t xml:space="preserve"> ārsta diplomu un b</w:t>
            </w:r>
            <w:r w:rsidR="00D33527">
              <w:t>ūs</w:t>
            </w:r>
            <w:r w:rsidR="00BC5B12">
              <w:t xml:space="preserve"> tiesīgi pretendēt uz no valsts budžeta līdzekļiem apmaksātu rezidentūras vietu, vienošanās tiek noslēgta vienu reizi, rezidentūras pretendentam pretendējot uz rezidentūras vietu.</w:t>
            </w:r>
          </w:p>
          <w:p w:rsidR="00BC5B12" w:rsidRDefault="00BC5B12" w:rsidP="00784DC5">
            <w:pPr>
              <w:ind w:firstLine="257"/>
              <w:jc w:val="both"/>
            </w:pPr>
            <w:r w:rsidRPr="002368EA">
              <w:t>Ārstniecības iestādēm</w:t>
            </w:r>
            <w:r>
              <w:t xml:space="preserve">, kurām noteikumu projekts palielina administratīvo slogu administratīvās izmaksas </w:t>
            </w:r>
            <w:r w:rsidR="00CF12A4">
              <w:t xml:space="preserve">gadā </w:t>
            </w:r>
            <w:r>
              <w:t>ir</w:t>
            </w:r>
            <w:r w:rsidR="00CF12A4">
              <w:t xml:space="preserve"> ((4,6x24)x(</w:t>
            </w:r>
            <w:r w:rsidR="00400E47">
              <w:t>2300</w:t>
            </w:r>
            <w:r w:rsidR="00CF12A4">
              <w:t>x1)=</w:t>
            </w:r>
            <w:r w:rsidR="00400E47">
              <w:t>253 920</w:t>
            </w:r>
            <w:r w:rsidR="00CF12A4">
              <w:t xml:space="preserve">) </w:t>
            </w:r>
            <w:r w:rsidR="00400E47">
              <w:t>253 920</w:t>
            </w:r>
            <w:r>
              <w:t xml:space="preserve"> </w:t>
            </w:r>
            <w:r w:rsidRPr="00BC5B12">
              <w:rPr>
                <w:i/>
              </w:rPr>
              <w:t>euro</w:t>
            </w:r>
            <w:r>
              <w:t>. Administratīvās izmaksas aprēķinā izmantotie parametri</w:t>
            </w:r>
            <w:r w:rsidR="00985184">
              <w:t xml:space="preserve"> un to vērtības</w:t>
            </w:r>
            <w:r>
              <w:t>: 4,6 ir strādājošo mēneša vidējā darba samaksa stundā 2014.gadā atbilstoši Centrālās statistikas pārvaldes datiem, vienošanās noslēgšanai (sagatavošana un parakstīšana) paredzētas trīs dienas, katru dienu pa astoņām stundām, līdz ar to 24 stundas</w:t>
            </w:r>
            <w:r w:rsidR="000F463F">
              <w:t>.</w:t>
            </w:r>
            <w:r w:rsidR="00784DC5">
              <w:t xml:space="preserve"> </w:t>
            </w:r>
            <w:r>
              <w:t xml:space="preserve"> Ārstniecības iestāžu reģistrā  reģistrētas </w:t>
            </w:r>
            <w:r w:rsidR="00400E47">
              <w:t>2300</w:t>
            </w:r>
            <w:r>
              <w:t xml:space="preserve"> iestādes</w:t>
            </w:r>
            <w:r w:rsidR="00985184">
              <w:t>, kas atrodas ārpus Rīgas</w:t>
            </w:r>
            <w:r w:rsidR="00466A96">
              <w:t>,</w:t>
            </w:r>
            <w:r w:rsidR="002368EA">
              <w:t xml:space="preserve"> </w:t>
            </w:r>
            <w:r w:rsidR="00985184">
              <w:t xml:space="preserve"> vienošanās </w:t>
            </w:r>
            <w:r w:rsidR="00466A96">
              <w:t xml:space="preserve">slēgšanas biežums - </w:t>
            </w:r>
            <w:r w:rsidR="00985184">
              <w:t>vienu reizi gadā.</w:t>
            </w:r>
          </w:p>
          <w:p w:rsidR="000E4278" w:rsidRPr="005A07DA" w:rsidRDefault="002754AF" w:rsidP="00D5779E">
            <w:pPr>
              <w:ind w:firstLine="257"/>
              <w:jc w:val="both"/>
            </w:pPr>
            <w:r>
              <w:t>Pašvaldībām</w:t>
            </w:r>
            <w:r w:rsidR="000E4278">
              <w:t xml:space="preserve"> ārpus Rīgas</w:t>
            </w:r>
            <w:r>
              <w:t>,</w:t>
            </w:r>
            <w:r w:rsidR="000E4278">
              <w:t xml:space="preserve"> </w:t>
            </w:r>
            <w:r>
              <w:t xml:space="preserve">kurām noteikumu projekts palielina administratīvo slogu administratīvās izmaksas </w:t>
            </w:r>
            <w:r w:rsidR="00CF12A4">
              <w:t xml:space="preserve">gadā </w:t>
            </w:r>
            <w:r>
              <w:t>ir</w:t>
            </w:r>
            <w:r w:rsidR="00CF12A4">
              <w:t xml:space="preserve"> ((4,9x24)x(118x1)=13 876,8) </w:t>
            </w:r>
            <w:r>
              <w:t xml:space="preserve">13 876,8 </w:t>
            </w:r>
            <w:r w:rsidRPr="00BC5B12">
              <w:rPr>
                <w:i/>
              </w:rPr>
              <w:t>euro</w:t>
            </w:r>
            <w:r w:rsidR="00466A96">
              <w:rPr>
                <w:i/>
              </w:rPr>
              <w:t>,</w:t>
            </w:r>
            <w:r>
              <w:t xml:space="preserve"> </w:t>
            </w:r>
            <w:r w:rsidR="00466A96">
              <w:t>p</w:t>
            </w:r>
            <w:r w:rsidR="00CF12A4">
              <w:t xml:space="preserve">ieņemot, ka </w:t>
            </w:r>
            <w:r>
              <w:t>sabiedriskajā sektorā strādājošo mēneša vidējā darba samaksa stundā 2014.gadā atbilstoši Centrālās statistikas pārvaldes datiem</w:t>
            </w:r>
            <w:r w:rsidR="00CF12A4">
              <w:t xml:space="preserve"> ir 4,9</w:t>
            </w:r>
            <w:r>
              <w:t>, vienošanās noslēgšanai (sagatavošana un parakstīšana) paredzētas trīs dienas, katru dienu pa astoņām stundām, līdz ar to 24 stundas</w:t>
            </w:r>
            <w:r w:rsidR="00D5779E">
              <w:t>.</w:t>
            </w:r>
            <w:r>
              <w:t xml:space="preserve"> </w:t>
            </w:r>
            <w:r w:rsidR="00D5779E">
              <w:t>Ā</w:t>
            </w:r>
            <w:r>
              <w:t xml:space="preserve">rpus Rīgas </w:t>
            </w:r>
            <w:r w:rsidR="00D5779E">
              <w:t>ir 118 pašvaldības</w:t>
            </w:r>
            <w:r>
              <w:t xml:space="preserve">, </w:t>
            </w:r>
            <w:r w:rsidR="00D5779E">
              <w:t>vienošanās slēgšanas biežums - vienu reizi gadā.</w:t>
            </w:r>
          </w:p>
        </w:tc>
      </w:tr>
      <w:tr w:rsidR="00043AD9" w:rsidRPr="004C25D2" w:rsidTr="00043AD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sidP="00043AD9">
            <w:pPr>
              <w:pStyle w:val="tvhtml"/>
              <w:spacing w:line="315" w:lineRule="atLeast"/>
            </w:pPr>
            <w:r w:rsidRPr="004C25D2">
              <w:t>Nav</w:t>
            </w:r>
          </w:p>
        </w:tc>
      </w:tr>
    </w:tbl>
    <w:p w:rsidR="00571CED" w:rsidRDefault="00043AD9" w:rsidP="00043AD9">
      <w:pPr>
        <w:pStyle w:val="tvhtml"/>
        <w:shd w:val="clear" w:color="auto" w:fill="FFFFFF"/>
        <w:spacing w:line="315" w:lineRule="atLeast"/>
        <w:ind w:firstLine="300"/>
        <w:rPr>
          <w:rFonts w:ascii="Arial" w:hAnsi="Arial" w:cs="Arial"/>
          <w:color w:val="414142"/>
          <w:sz w:val="21"/>
          <w:szCs w:val="21"/>
        </w:rPr>
      </w:pPr>
      <w:r>
        <w:rPr>
          <w:rFonts w:ascii="Arial" w:hAnsi="Arial" w:cs="Arial"/>
          <w:color w:val="414142"/>
          <w:sz w:val="21"/>
          <w:szCs w:val="21"/>
        </w:rPr>
        <w:t> </w:t>
      </w:r>
    </w:p>
    <w:p w:rsidR="005C0E8D" w:rsidRDefault="005C0E8D" w:rsidP="00043AD9">
      <w:pPr>
        <w:pStyle w:val="tvhtml"/>
        <w:shd w:val="clear" w:color="auto" w:fill="FFFFFF"/>
        <w:spacing w:line="315" w:lineRule="atLeast"/>
        <w:ind w:firstLine="300"/>
        <w:rPr>
          <w:rFonts w:ascii="Arial" w:hAnsi="Arial" w:cs="Arial"/>
          <w:color w:val="414142"/>
          <w:sz w:val="21"/>
          <w:szCs w:val="21"/>
        </w:rPr>
      </w:pPr>
    </w:p>
    <w:p w:rsidR="005C0E8D" w:rsidRDefault="005C0E8D" w:rsidP="00043AD9">
      <w:pPr>
        <w:pStyle w:val="tvhtml"/>
        <w:shd w:val="clear" w:color="auto" w:fill="FFFFFF"/>
        <w:spacing w:line="315" w:lineRule="atLeast"/>
        <w:ind w:firstLine="300"/>
        <w:rPr>
          <w:rFonts w:ascii="Arial" w:hAnsi="Arial" w:cs="Arial"/>
          <w:color w:val="414142"/>
          <w:sz w:val="21"/>
          <w:szCs w:val="21"/>
        </w:rPr>
      </w:pPr>
    </w:p>
    <w:p w:rsidR="005C0E8D" w:rsidRDefault="005C0E8D" w:rsidP="00043AD9">
      <w:pPr>
        <w:pStyle w:val="tvhtml"/>
        <w:shd w:val="clear" w:color="auto" w:fill="FFFFFF"/>
        <w:spacing w:line="315" w:lineRule="atLeast"/>
        <w:ind w:firstLine="300"/>
        <w:rPr>
          <w:rFonts w:ascii="Arial" w:hAnsi="Arial" w:cs="Arial"/>
          <w:color w:val="414142"/>
          <w:sz w:val="21"/>
          <w:szCs w:val="21"/>
        </w:rPr>
      </w:pPr>
    </w:p>
    <w:p w:rsidR="005C0E8D" w:rsidRDefault="005C0E8D" w:rsidP="00043AD9">
      <w:pPr>
        <w:pStyle w:val="tvhtml"/>
        <w:shd w:val="clear" w:color="auto" w:fill="FFFFFF"/>
        <w:spacing w:line="315" w:lineRule="atLeast"/>
        <w:ind w:firstLine="300"/>
        <w:rPr>
          <w:rFonts w:ascii="Arial" w:hAnsi="Arial" w:cs="Arial"/>
          <w:color w:val="414142"/>
          <w:sz w:val="21"/>
          <w:szCs w:val="21"/>
        </w:rPr>
      </w:pPr>
    </w:p>
    <w:tbl>
      <w:tblPr>
        <w:tblW w:w="10187"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1652"/>
        <w:gridCol w:w="2002"/>
        <w:gridCol w:w="1540"/>
        <w:gridCol w:w="1551"/>
        <w:gridCol w:w="1552"/>
      </w:tblGrid>
      <w:tr w:rsidR="00571CED" w:rsidRPr="004C25D2" w:rsidTr="00571CED">
        <w:trPr>
          <w:jc w:val="center"/>
        </w:trPr>
        <w:tc>
          <w:tcPr>
            <w:tcW w:w="10187" w:type="dxa"/>
            <w:gridSpan w:val="6"/>
            <w:vAlign w:val="center"/>
          </w:tcPr>
          <w:p w:rsidR="00571CED" w:rsidRPr="004C25D2" w:rsidRDefault="00571CED" w:rsidP="00571CED">
            <w:pPr>
              <w:pStyle w:val="naisf"/>
              <w:spacing w:before="0" w:after="0"/>
              <w:ind w:firstLine="0"/>
              <w:jc w:val="center"/>
              <w:rPr>
                <w:b/>
              </w:rPr>
            </w:pPr>
            <w:r w:rsidRPr="004C25D2">
              <w:rPr>
                <w:b/>
              </w:rPr>
              <w:lastRenderedPageBreak/>
              <w:t>III. Tiesību akta projekta ietekme uz valsts budžetu un pašvaldību budžetiem</w:t>
            </w:r>
          </w:p>
        </w:tc>
      </w:tr>
      <w:tr w:rsidR="00571CED" w:rsidRPr="004C25D2" w:rsidTr="00571CED">
        <w:trPr>
          <w:jc w:val="center"/>
        </w:trPr>
        <w:tc>
          <w:tcPr>
            <w:tcW w:w="1890" w:type="dxa"/>
            <w:vMerge w:val="restart"/>
            <w:vAlign w:val="center"/>
          </w:tcPr>
          <w:p w:rsidR="00571CED" w:rsidRPr="004C25D2" w:rsidRDefault="00571CED" w:rsidP="00571CED">
            <w:pPr>
              <w:pStyle w:val="naisf"/>
              <w:spacing w:before="0" w:after="0"/>
              <w:ind w:left="114" w:hanging="114"/>
              <w:jc w:val="center"/>
              <w:rPr>
                <w:b/>
              </w:rPr>
            </w:pPr>
            <w:r w:rsidRPr="004C25D2">
              <w:rPr>
                <w:b/>
              </w:rPr>
              <w:t>Rādītāji</w:t>
            </w:r>
          </w:p>
        </w:tc>
        <w:tc>
          <w:tcPr>
            <w:tcW w:w="3654" w:type="dxa"/>
            <w:gridSpan w:val="2"/>
            <w:vMerge w:val="restart"/>
            <w:vAlign w:val="center"/>
          </w:tcPr>
          <w:p w:rsidR="00571CED" w:rsidRPr="004C25D2" w:rsidRDefault="00571CED" w:rsidP="00C1322E">
            <w:pPr>
              <w:pStyle w:val="naisf"/>
              <w:spacing w:before="0" w:after="0"/>
              <w:ind w:firstLine="0"/>
              <w:jc w:val="center"/>
              <w:rPr>
                <w:b/>
              </w:rPr>
            </w:pPr>
            <w:r w:rsidRPr="00C1322E">
              <w:rPr>
                <w:b/>
              </w:rPr>
              <w:t>201</w:t>
            </w:r>
            <w:r w:rsidR="00C1322E" w:rsidRPr="00C1322E">
              <w:rPr>
                <w:b/>
              </w:rPr>
              <w:t>6</w:t>
            </w:r>
            <w:r w:rsidRPr="00C1322E">
              <w:rPr>
                <w:b/>
              </w:rPr>
              <w:t>.gads</w:t>
            </w:r>
          </w:p>
        </w:tc>
        <w:tc>
          <w:tcPr>
            <w:tcW w:w="4643" w:type="dxa"/>
            <w:gridSpan w:val="3"/>
            <w:vAlign w:val="center"/>
          </w:tcPr>
          <w:p w:rsidR="00571CED" w:rsidRPr="004C25D2" w:rsidRDefault="00571CED" w:rsidP="00571CED">
            <w:pPr>
              <w:pStyle w:val="naisf"/>
              <w:spacing w:before="0" w:after="0"/>
              <w:ind w:firstLine="0"/>
              <w:jc w:val="center"/>
              <w:rPr>
                <w:b/>
                <w:i/>
              </w:rPr>
            </w:pPr>
            <w:r w:rsidRPr="004C25D2">
              <w:t>Turpmākie trīs gadi (</w:t>
            </w:r>
            <w:r w:rsidRPr="004C25D2">
              <w:rPr>
                <w:i/>
              </w:rPr>
              <w:t>euro</w:t>
            </w:r>
            <w:r w:rsidRPr="004C25D2">
              <w:t>)</w:t>
            </w:r>
          </w:p>
        </w:tc>
      </w:tr>
      <w:tr w:rsidR="00571CED" w:rsidRPr="004C25D2" w:rsidTr="00571CED">
        <w:trPr>
          <w:jc w:val="center"/>
        </w:trPr>
        <w:tc>
          <w:tcPr>
            <w:tcW w:w="1890" w:type="dxa"/>
            <w:vMerge/>
            <w:vAlign w:val="center"/>
          </w:tcPr>
          <w:p w:rsidR="00571CED" w:rsidRPr="004C25D2" w:rsidRDefault="00571CED" w:rsidP="00571CED">
            <w:pPr>
              <w:pStyle w:val="naisf"/>
              <w:spacing w:before="0" w:after="0"/>
              <w:ind w:firstLine="0"/>
              <w:jc w:val="center"/>
              <w:rPr>
                <w:b/>
                <w:i/>
              </w:rPr>
            </w:pPr>
          </w:p>
        </w:tc>
        <w:tc>
          <w:tcPr>
            <w:tcW w:w="3654" w:type="dxa"/>
            <w:gridSpan w:val="2"/>
            <w:vMerge/>
            <w:vAlign w:val="center"/>
          </w:tcPr>
          <w:p w:rsidR="00571CED" w:rsidRPr="004C25D2" w:rsidRDefault="00571CED" w:rsidP="00571CED">
            <w:pPr>
              <w:pStyle w:val="naisf"/>
              <w:spacing w:before="0" w:after="0"/>
              <w:ind w:firstLine="0"/>
              <w:jc w:val="center"/>
              <w:rPr>
                <w:b/>
                <w:i/>
              </w:rPr>
            </w:pPr>
          </w:p>
        </w:tc>
        <w:tc>
          <w:tcPr>
            <w:tcW w:w="1540" w:type="dxa"/>
            <w:vAlign w:val="center"/>
          </w:tcPr>
          <w:p w:rsidR="00571CED" w:rsidRPr="00C1322E" w:rsidRDefault="00571CED" w:rsidP="00C1322E">
            <w:pPr>
              <w:pStyle w:val="naisf"/>
              <w:spacing w:before="0" w:after="0"/>
              <w:ind w:firstLine="0"/>
              <w:jc w:val="center"/>
              <w:rPr>
                <w:b/>
                <w:i/>
              </w:rPr>
            </w:pPr>
            <w:r w:rsidRPr="00C1322E">
              <w:rPr>
                <w:b/>
                <w:bCs/>
              </w:rPr>
              <w:t>201</w:t>
            </w:r>
            <w:r w:rsidR="00C1322E" w:rsidRPr="00C1322E">
              <w:rPr>
                <w:b/>
                <w:bCs/>
              </w:rPr>
              <w:t>7</w:t>
            </w:r>
            <w:r w:rsidRPr="00C1322E">
              <w:rPr>
                <w:b/>
                <w:bCs/>
              </w:rPr>
              <w:t>.gads</w:t>
            </w:r>
          </w:p>
        </w:tc>
        <w:tc>
          <w:tcPr>
            <w:tcW w:w="1551" w:type="dxa"/>
            <w:vAlign w:val="center"/>
          </w:tcPr>
          <w:p w:rsidR="00571CED" w:rsidRPr="00C1322E" w:rsidRDefault="00571CED" w:rsidP="00C1322E">
            <w:pPr>
              <w:pStyle w:val="naisf"/>
              <w:spacing w:before="0" w:after="0"/>
              <w:ind w:firstLine="0"/>
              <w:jc w:val="center"/>
              <w:rPr>
                <w:b/>
                <w:i/>
              </w:rPr>
            </w:pPr>
            <w:r w:rsidRPr="00C1322E">
              <w:rPr>
                <w:b/>
                <w:bCs/>
              </w:rPr>
              <w:t>201</w:t>
            </w:r>
            <w:r w:rsidR="00C1322E" w:rsidRPr="00C1322E">
              <w:rPr>
                <w:b/>
                <w:bCs/>
              </w:rPr>
              <w:t>8</w:t>
            </w:r>
            <w:r w:rsidRPr="00C1322E">
              <w:rPr>
                <w:b/>
                <w:bCs/>
              </w:rPr>
              <w:t>.gads</w:t>
            </w:r>
          </w:p>
        </w:tc>
        <w:tc>
          <w:tcPr>
            <w:tcW w:w="1552" w:type="dxa"/>
            <w:vAlign w:val="center"/>
          </w:tcPr>
          <w:p w:rsidR="00571CED" w:rsidRPr="00C1322E" w:rsidRDefault="00571CED" w:rsidP="00C1322E">
            <w:pPr>
              <w:pStyle w:val="naisf"/>
              <w:spacing w:before="0" w:after="0"/>
              <w:ind w:firstLine="0"/>
              <w:jc w:val="center"/>
              <w:rPr>
                <w:b/>
                <w:i/>
              </w:rPr>
            </w:pPr>
            <w:r w:rsidRPr="00C1322E">
              <w:rPr>
                <w:b/>
                <w:bCs/>
              </w:rPr>
              <w:t>201</w:t>
            </w:r>
            <w:r w:rsidR="00C1322E" w:rsidRPr="00C1322E">
              <w:rPr>
                <w:b/>
                <w:bCs/>
              </w:rPr>
              <w:t>9</w:t>
            </w:r>
            <w:r w:rsidRPr="00C1322E">
              <w:rPr>
                <w:b/>
                <w:bCs/>
              </w:rPr>
              <w:t>.gads</w:t>
            </w:r>
          </w:p>
        </w:tc>
      </w:tr>
      <w:tr w:rsidR="00571CED" w:rsidRPr="004C25D2" w:rsidTr="00571CED">
        <w:trPr>
          <w:jc w:val="center"/>
        </w:trPr>
        <w:tc>
          <w:tcPr>
            <w:tcW w:w="1890" w:type="dxa"/>
            <w:vMerge/>
            <w:vAlign w:val="center"/>
          </w:tcPr>
          <w:p w:rsidR="00571CED" w:rsidRPr="004C25D2" w:rsidRDefault="00571CED" w:rsidP="00571CED">
            <w:pPr>
              <w:pStyle w:val="naisf"/>
              <w:spacing w:before="0" w:after="0"/>
              <w:ind w:firstLine="0"/>
              <w:jc w:val="center"/>
              <w:rPr>
                <w:b/>
                <w:i/>
              </w:rPr>
            </w:pPr>
          </w:p>
        </w:tc>
        <w:tc>
          <w:tcPr>
            <w:tcW w:w="1652" w:type="dxa"/>
            <w:vAlign w:val="center"/>
          </w:tcPr>
          <w:p w:rsidR="00571CED" w:rsidRPr="004C25D2" w:rsidRDefault="00571CED" w:rsidP="00571CED">
            <w:pPr>
              <w:pStyle w:val="naisf"/>
              <w:spacing w:before="0" w:after="0"/>
              <w:ind w:firstLine="0"/>
              <w:jc w:val="center"/>
              <w:rPr>
                <w:b/>
                <w:i/>
              </w:rPr>
            </w:pPr>
            <w:r w:rsidRPr="004C25D2">
              <w:t>Saskaņā ar valsts budžetu kārtējam gadam</w:t>
            </w:r>
          </w:p>
        </w:tc>
        <w:tc>
          <w:tcPr>
            <w:tcW w:w="2002" w:type="dxa"/>
            <w:vAlign w:val="center"/>
          </w:tcPr>
          <w:p w:rsidR="00571CED" w:rsidRPr="004C25D2" w:rsidRDefault="00571CED" w:rsidP="00571CED">
            <w:pPr>
              <w:pStyle w:val="naisf"/>
              <w:spacing w:before="0" w:after="0"/>
              <w:ind w:firstLine="0"/>
              <w:jc w:val="center"/>
              <w:rPr>
                <w:b/>
                <w:i/>
              </w:rPr>
            </w:pPr>
            <w:r w:rsidRPr="004C25D2">
              <w:t>Izmaiņas kārtējā gadā, salīdzinot ar budžetu kārtējam gadam</w:t>
            </w:r>
          </w:p>
        </w:tc>
        <w:tc>
          <w:tcPr>
            <w:tcW w:w="1540" w:type="dxa"/>
            <w:vAlign w:val="center"/>
          </w:tcPr>
          <w:p w:rsidR="00571CED" w:rsidRPr="004C25D2" w:rsidRDefault="00571CED" w:rsidP="00571CED">
            <w:pPr>
              <w:pStyle w:val="naisf"/>
              <w:spacing w:before="0" w:after="0"/>
              <w:ind w:firstLine="0"/>
              <w:jc w:val="center"/>
              <w:rPr>
                <w:b/>
                <w:i/>
              </w:rPr>
            </w:pPr>
            <w:r w:rsidRPr="004C25D2">
              <w:t>Izmaiņas, salīdzinot ar kārtējo (n) gadu</w:t>
            </w:r>
          </w:p>
        </w:tc>
        <w:tc>
          <w:tcPr>
            <w:tcW w:w="1551" w:type="dxa"/>
            <w:vAlign w:val="center"/>
          </w:tcPr>
          <w:p w:rsidR="00571CED" w:rsidRPr="004C25D2" w:rsidRDefault="00571CED" w:rsidP="00571CED">
            <w:pPr>
              <w:pStyle w:val="naisf"/>
              <w:spacing w:before="0" w:after="0"/>
              <w:ind w:firstLine="0"/>
              <w:jc w:val="center"/>
              <w:rPr>
                <w:b/>
                <w:i/>
              </w:rPr>
            </w:pPr>
            <w:r w:rsidRPr="004C25D2">
              <w:t>Izmaiņas, salīdzinot ar kārtējo (n) gadu</w:t>
            </w:r>
          </w:p>
        </w:tc>
        <w:tc>
          <w:tcPr>
            <w:tcW w:w="1552" w:type="dxa"/>
            <w:vAlign w:val="center"/>
          </w:tcPr>
          <w:p w:rsidR="00571CED" w:rsidRPr="004C25D2" w:rsidRDefault="00571CED" w:rsidP="00571CED">
            <w:pPr>
              <w:pStyle w:val="naisf"/>
              <w:spacing w:before="0" w:after="0"/>
              <w:ind w:firstLine="0"/>
              <w:jc w:val="center"/>
              <w:rPr>
                <w:b/>
                <w:i/>
              </w:rPr>
            </w:pPr>
            <w:r w:rsidRPr="004C25D2">
              <w:t>Izmaiņas, salīdzinot ar kārtējo (n) gadu</w:t>
            </w:r>
          </w:p>
        </w:tc>
      </w:tr>
      <w:tr w:rsidR="00571CED" w:rsidRPr="004C25D2" w:rsidTr="00571CED">
        <w:trPr>
          <w:jc w:val="center"/>
        </w:trPr>
        <w:tc>
          <w:tcPr>
            <w:tcW w:w="1890" w:type="dxa"/>
            <w:vAlign w:val="center"/>
          </w:tcPr>
          <w:p w:rsidR="00571CED" w:rsidRPr="004C25D2" w:rsidRDefault="00571CED" w:rsidP="00571CED">
            <w:pPr>
              <w:pStyle w:val="naisf"/>
              <w:spacing w:before="0" w:after="0"/>
              <w:ind w:firstLine="0"/>
              <w:jc w:val="center"/>
              <w:rPr>
                <w:bCs/>
              </w:rPr>
            </w:pPr>
            <w:r w:rsidRPr="004C25D2">
              <w:rPr>
                <w:bCs/>
              </w:rPr>
              <w:t>1</w:t>
            </w:r>
          </w:p>
        </w:tc>
        <w:tc>
          <w:tcPr>
            <w:tcW w:w="1652" w:type="dxa"/>
            <w:vAlign w:val="center"/>
          </w:tcPr>
          <w:p w:rsidR="00571CED" w:rsidRPr="004C25D2" w:rsidRDefault="00571CED" w:rsidP="00571CED">
            <w:pPr>
              <w:pStyle w:val="naisf"/>
              <w:spacing w:before="0" w:after="0"/>
              <w:ind w:firstLine="0"/>
              <w:jc w:val="center"/>
              <w:rPr>
                <w:bCs/>
              </w:rPr>
            </w:pPr>
            <w:r w:rsidRPr="004C25D2">
              <w:rPr>
                <w:bCs/>
              </w:rPr>
              <w:t>2</w:t>
            </w:r>
          </w:p>
        </w:tc>
        <w:tc>
          <w:tcPr>
            <w:tcW w:w="2002" w:type="dxa"/>
            <w:vAlign w:val="center"/>
          </w:tcPr>
          <w:p w:rsidR="00571CED" w:rsidRPr="004C25D2" w:rsidRDefault="00571CED" w:rsidP="00571CED">
            <w:pPr>
              <w:pStyle w:val="naisf"/>
              <w:spacing w:before="0" w:after="0"/>
              <w:ind w:firstLine="0"/>
              <w:jc w:val="center"/>
              <w:rPr>
                <w:bCs/>
              </w:rPr>
            </w:pPr>
            <w:r w:rsidRPr="004C25D2">
              <w:rPr>
                <w:bCs/>
              </w:rPr>
              <w:t>3</w:t>
            </w:r>
          </w:p>
        </w:tc>
        <w:tc>
          <w:tcPr>
            <w:tcW w:w="1540" w:type="dxa"/>
            <w:vAlign w:val="center"/>
          </w:tcPr>
          <w:p w:rsidR="00571CED" w:rsidRPr="004C25D2" w:rsidRDefault="00571CED" w:rsidP="00571CED">
            <w:pPr>
              <w:pStyle w:val="naisf"/>
              <w:spacing w:before="0" w:after="0"/>
              <w:ind w:firstLine="0"/>
              <w:jc w:val="center"/>
              <w:rPr>
                <w:bCs/>
              </w:rPr>
            </w:pPr>
            <w:r w:rsidRPr="004C25D2">
              <w:rPr>
                <w:bCs/>
              </w:rPr>
              <w:t>4</w:t>
            </w:r>
          </w:p>
        </w:tc>
        <w:tc>
          <w:tcPr>
            <w:tcW w:w="1551" w:type="dxa"/>
            <w:vAlign w:val="center"/>
          </w:tcPr>
          <w:p w:rsidR="00571CED" w:rsidRPr="004C25D2" w:rsidRDefault="00571CED" w:rsidP="00571CED">
            <w:pPr>
              <w:pStyle w:val="naisf"/>
              <w:spacing w:before="0" w:after="0"/>
              <w:ind w:firstLine="0"/>
              <w:jc w:val="center"/>
              <w:rPr>
                <w:bCs/>
              </w:rPr>
            </w:pPr>
            <w:r w:rsidRPr="004C25D2">
              <w:rPr>
                <w:bCs/>
              </w:rPr>
              <w:t>5</w:t>
            </w:r>
          </w:p>
        </w:tc>
        <w:tc>
          <w:tcPr>
            <w:tcW w:w="1552" w:type="dxa"/>
            <w:vAlign w:val="center"/>
          </w:tcPr>
          <w:p w:rsidR="00571CED" w:rsidRPr="004C25D2" w:rsidRDefault="00571CED" w:rsidP="00571CED">
            <w:pPr>
              <w:pStyle w:val="naisf"/>
              <w:spacing w:before="0" w:after="0"/>
              <w:ind w:firstLine="0"/>
              <w:jc w:val="center"/>
              <w:rPr>
                <w:bCs/>
              </w:rPr>
            </w:pPr>
            <w:r w:rsidRPr="004C25D2">
              <w:rPr>
                <w:bCs/>
              </w:rPr>
              <w:t>6</w:t>
            </w:r>
          </w:p>
        </w:tc>
      </w:tr>
      <w:tr w:rsidR="00571CED" w:rsidRPr="004C25D2" w:rsidTr="00571CED">
        <w:trPr>
          <w:jc w:val="center"/>
        </w:trPr>
        <w:tc>
          <w:tcPr>
            <w:tcW w:w="1890" w:type="dxa"/>
          </w:tcPr>
          <w:p w:rsidR="00571CED" w:rsidRPr="004C25D2" w:rsidRDefault="00571CED" w:rsidP="00571CED">
            <w:pPr>
              <w:pStyle w:val="naisf"/>
              <w:spacing w:before="0" w:after="0"/>
              <w:ind w:left="-117" w:firstLine="0"/>
              <w:jc w:val="left"/>
              <w:rPr>
                <w:i/>
              </w:rPr>
            </w:pPr>
            <w:r w:rsidRPr="004C25D2">
              <w:t>1. Budžeta ieņēmumi:</w:t>
            </w:r>
          </w:p>
        </w:tc>
        <w:tc>
          <w:tcPr>
            <w:tcW w:w="1652" w:type="dxa"/>
            <w:vAlign w:val="center"/>
          </w:tcPr>
          <w:p w:rsidR="00571CED" w:rsidRPr="004C25D2" w:rsidRDefault="006D6C0F" w:rsidP="00571CED">
            <w:pPr>
              <w:pStyle w:val="naisf"/>
              <w:spacing w:before="0" w:after="0"/>
              <w:ind w:firstLine="0"/>
              <w:jc w:val="center"/>
              <w:rPr>
                <w:b/>
              </w:rPr>
            </w:pPr>
            <w:r w:rsidRPr="004C25D2">
              <w:rPr>
                <w:b/>
              </w:rPr>
              <w:t>9 738 547</w:t>
            </w:r>
          </w:p>
        </w:tc>
        <w:tc>
          <w:tcPr>
            <w:tcW w:w="2002" w:type="dxa"/>
            <w:vAlign w:val="center"/>
          </w:tcPr>
          <w:p w:rsidR="00571CED" w:rsidRPr="004C25D2" w:rsidRDefault="00571CED" w:rsidP="00571CED">
            <w:pPr>
              <w:pStyle w:val="naisf"/>
              <w:spacing w:before="0" w:after="0"/>
              <w:ind w:firstLine="0"/>
              <w:jc w:val="center"/>
              <w:rPr>
                <w:b/>
              </w:rPr>
            </w:pPr>
            <w:r w:rsidRPr="004C25D2">
              <w:rPr>
                <w:b/>
              </w:rPr>
              <w:t>0</w:t>
            </w:r>
          </w:p>
        </w:tc>
        <w:tc>
          <w:tcPr>
            <w:tcW w:w="1540" w:type="dxa"/>
            <w:vAlign w:val="center"/>
          </w:tcPr>
          <w:p w:rsidR="00571CED" w:rsidRPr="004C25D2" w:rsidRDefault="00571CED" w:rsidP="00571CED">
            <w:pPr>
              <w:pStyle w:val="naisf"/>
              <w:spacing w:before="0" w:after="0"/>
              <w:ind w:firstLine="0"/>
              <w:jc w:val="center"/>
              <w:rPr>
                <w:b/>
              </w:rPr>
            </w:pPr>
            <w:r w:rsidRPr="004C25D2">
              <w:rPr>
                <w:b/>
              </w:rPr>
              <w:t>0</w:t>
            </w:r>
          </w:p>
        </w:tc>
        <w:tc>
          <w:tcPr>
            <w:tcW w:w="1551" w:type="dxa"/>
            <w:vAlign w:val="center"/>
          </w:tcPr>
          <w:p w:rsidR="00571CED" w:rsidRPr="004C25D2" w:rsidRDefault="00571CED" w:rsidP="00571CED">
            <w:pPr>
              <w:pStyle w:val="naisf"/>
              <w:spacing w:before="0" w:after="0"/>
              <w:ind w:firstLine="0"/>
              <w:jc w:val="center"/>
              <w:rPr>
                <w:b/>
              </w:rPr>
            </w:pPr>
            <w:r w:rsidRPr="004C25D2">
              <w:rPr>
                <w:b/>
              </w:rPr>
              <w:t>0</w:t>
            </w:r>
          </w:p>
        </w:tc>
        <w:tc>
          <w:tcPr>
            <w:tcW w:w="1552" w:type="dxa"/>
            <w:vAlign w:val="center"/>
          </w:tcPr>
          <w:p w:rsidR="00571CED" w:rsidRPr="004C25D2" w:rsidRDefault="00571CED" w:rsidP="00571CED">
            <w:pPr>
              <w:pStyle w:val="naisf"/>
              <w:spacing w:before="0" w:after="0"/>
              <w:ind w:firstLine="0"/>
              <w:jc w:val="center"/>
              <w:rPr>
                <w:b/>
              </w:rPr>
            </w:pPr>
            <w:r w:rsidRPr="004C25D2">
              <w:rPr>
                <w:b/>
              </w:rPr>
              <w:t>0</w:t>
            </w:r>
          </w:p>
        </w:tc>
      </w:tr>
      <w:tr w:rsidR="00571CED" w:rsidRPr="004C25D2" w:rsidTr="00571CED">
        <w:trPr>
          <w:jc w:val="center"/>
        </w:trPr>
        <w:tc>
          <w:tcPr>
            <w:tcW w:w="1890" w:type="dxa"/>
          </w:tcPr>
          <w:p w:rsidR="00571CED" w:rsidRPr="004C25D2" w:rsidRDefault="00571CED" w:rsidP="00571CED">
            <w:pPr>
              <w:pStyle w:val="naisf"/>
              <w:spacing w:before="0" w:after="0"/>
              <w:ind w:left="-117" w:firstLine="0"/>
              <w:jc w:val="left"/>
              <w:rPr>
                <w:i/>
              </w:rPr>
            </w:pPr>
            <w:r w:rsidRPr="004C25D2">
              <w:t>1.1. valsts pamatbudžets, tai skaitā ieņēmumi no maksas pakalpojumiem un citi pašu ieņēmumi</w:t>
            </w:r>
          </w:p>
        </w:tc>
        <w:tc>
          <w:tcPr>
            <w:tcW w:w="1652" w:type="dxa"/>
            <w:vAlign w:val="center"/>
          </w:tcPr>
          <w:p w:rsidR="00571CED" w:rsidRPr="004C25D2" w:rsidRDefault="006D6C0F" w:rsidP="00571CED">
            <w:pPr>
              <w:pStyle w:val="naisf"/>
              <w:spacing w:before="0" w:after="0"/>
              <w:ind w:firstLine="0"/>
              <w:jc w:val="center"/>
            </w:pPr>
            <w:r w:rsidRPr="004C25D2">
              <w:t>9 738 547</w:t>
            </w:r>
          </w:p>
          <w:p w:rsidR="006D6C0F" w:rsidRPr="004C25D2" w:rsidRDefault="006D6C0F" w:rsidP="00571CED">
            <w:pPr>
              <w:pStyle w:val="naisf"/>
              <w:spacing w:before="0" w:after="0"/>
              <w:ind w:firstLine="0"/>
              <w:jc w:val="center"/>
            </w:pPr>
            <w:r w:rsidRPr="004C25D2">
              <w:t>0</w:t>
            </w:r>
          </w:p>
          <w:p w:rsidR="00571CED" w:rsidRPr="004C25D2" w:rsidRDefault="00571CED" w:rsidP="00571CED">
            <w:pPr>
              <w:pStyle w:val="naisf"/>
              <w:spacing w:before="0" w:after="0"/>
              <w:ind w:firstLine="0"/>
              <w:jc w:val="center"/>
            </w:pPr>
          </w:p>
          <w:p w:rsidR="00571CED" w:rsidRPr="004C25D2" w:rsidRDefault="00571CED" w:rsidP="00571CED">
            <w:pPr>
              <w:pStyle w:val="naisf"/>
              <w:spacing w:before="0" w:after="0"/>
              <w:ind w:firstLine="0"/>
              <w:jc w:val="center"/>
            </w:pPr>
          </w:p>
          <w:p w:rsidR="00571CED" w:rsidRPr="004C25D2" w:rsidRDefault="00571CED" w:rsidP="00571CED">
            <w:pPr>
              <w:pStyle w:val="naisf"/>
              <w:spacing w:before="0" w:after="0"/>
              <w:ind w:firstLine="0"/>
              <w:jc w:val="center"/>
            </w:pP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pStyle w:val="naisf"/>
              <w:spacing w:before="0" w:after="0"/>
              <w:ind w:left="-117" w:firstLine="0"/>
              <w:jc w:val="left"/>
              <w:rPr>
                <w:i/>
              </w:rPr>
            </w:pPr>
            <w:r w:rsidRPr="004C25D2">
              <w:t>1.2. valsts speciālais budžets</w:t>
            </w:r>
          </w:p>
        </w:tc>
        <w:tc>
          <w:tcPr>
            <w:tcW w:w="1652" w:type="dxa"/>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pStyle w:val="naisf"/>
              <w:spacing w:before="0" w:after="0"/>
              <w:ind w:left="-117" w:firstLine="0"/>
              <w:jc w:val="left"/>
              <w:rPr>
                <w:i/>
              </w:rPr>
            </w:pPr>
            <w:r w:rsidRPr="004C25D2">
              <w:t>1.3. pašvaldību budžets</w:t>
            </w:r>
          </w:p>
        </w:tc>
        <w:tc>
          <w:tcPr>
            <w:tcW w:w="1652" w:type="dxa"/>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ind w:left="-117"/>
            </w:pPr>
            <w:r w:rsidRPr="004C25D2">
              <w:t>2. Budžeta izdevumi:</w:t>
            </w:r>
          </w:p>
        </w:tc>
        <w:tc>
          <w:tcPr>
            <w:tcW w:w="1652" w:type="dxa"/>
            <w:vAlign w:val="center"/>
          </w:tcPr>
          <w:p w:rsidR="00571CED" w:rsidRPr="004C25D2" w:rsidRDefault="006D6C0F" w:rsidP="00571CED">
            <w:pPr>
              <w:pStyle w:val="naisf"/>
              <w:spacing w:before="0" w:after="0"/>
              <w:ind w:firstLine="0"/>
              <w:jc w:val="center"/>
              <w:rPr>
                <w:b/>
              </w:rPr>
            </w:pPr>
            <w:r w:rsidRPr="004C25D2">
              <w:rPr>
                <w:b/>
              </w:rPr>
              <w:t>9 738 547</w:t>
            </w:r>
          </w:p>
        </w:tc>
        <w:tc>
          <w:tcPr>
            <w:tcW w:w="2002" w:type="dxa"/>
            <w:vAlign w:val="center"/>
          </w:tcPr>
          <w:p w:rsidR="00571CED" w:rsidRPr="004C25D2" w:rsidRDefault="00571CED" w:rsidP="00571CED">
            <w:pPr>
              <w:pStyle w:val="naisf"/>
              <w:spacing w:before="0" w:after="0"/>
              <w:ind w:firstLine="0"/>
              <w:jc w:val="center"/>
              <w:rPr>
                <w:b/>
              </w:rPr>
            </w:pPr>
            <w:r w:rsidRPr="004C25D2">
              <w:rPr>
                <w:b/>
              </w:rPr>
              <w:t>0</w:t>
            </w:r>
          </w:p>
        </w:tc>
        <w:tc>
          <w:tcPr>
            <w:tcW w:w="1540" w:type="dxa"/>
            <w:vAlign w:val="center"/>
          </w:tcPr>
          <w:p w:rsidR="00571CED" w:rsidRPr="004C25D2" w:rsidRDefault="00571CED" w:rsidP="00571CED">
            <w:pPr>
              <w:pStyle w:val="naisf"/>
              <w:spacing w:before="0" w:after="0"/>
              <w:ind w:firstLine="0"/>
              <w:jc w:val="center"/>
              <w:rPr>
                <w:b/>
              </w:rPr>
            </w:pPr>
            <w:r w:rsidRPr="004C25D2">
              <w:rPr>
                <w:b/>
              </w:rPr>
              <w:t>0</w:t>
            </w:r>
          </w:p>
        </w:tc>
        <w:tc>
          <w:tcPr>
            <w:tcW w:w="1551" w:type="dxa"/>
            <w:vAlign w:val="center"/>
          </w:tcPr>
          <w:p w:rsidR="00571CED" w:rsidRPr="004C25D2" w:rsidRDefault="00571CED" w:rsidP="00571CED">
            <w:pPr>
              <w:pStyle w:val="naisf"/>
              <w:spacing w:before="0" w:after="0"/>
              <w:ind w:firstLine="0"/>
              <w:jc w:val="center"/>
              <w:rPr>
                <w:b/>
              </w:rPr>
            </w:pPr>
            <w:r w:rsidRPr="004C25D2">
              <w:rPr>
                <w:b/>
              </w:rPr>
              <w:t>0</w:t>
            </w:r>
          </w:p>
        </w:tc>
        <w:tc>
          <w:tcPr>
            <w:tcW w:w="1552" w:type="dxa"/>
            <w:vAlign w:val="center"/>
          </w:tcPr>
          <w:p w:rsidR="00571CED" w:rsidRPr="004C25D2" w:rsidRDefault="00571CED" w:rsidP="00571CED">
            <w:pPr>
              <w:pStyle w:val="naisf"/>
              <w:spacing w:before="0" w:after="0"/>
              <w:ind w:firstLine="0"/>
              <w:jc w:val="center"/>
              <w:rPr>
                <w:b/>
              </w:rPr>
            </w:pPr>
            <w:r w:rsidRPr="004C25D2">
              <w:rPr>
                <w:b/>
              </w:rPr>
              <w:t>0</w:t>
            </w:r>
          </w:p>
        </w:tc>
      </w:tr>
      <w:tr w:rsidR="00571CED" w:rsidRPr="004C25D2" w:rsidTr="00571CED">
        <w:trPr>
          <w:jc w:val="center"/>
        </w:trPr>
        <w:tc>
          <w:tcPr>
            <w:tcW w:w="1890" w:type="dxa"/>
          </w:tcPr>
          <w:p w:rsidR="00571CED" w:rsidRPr="004C25D2" w:rsidRDefault="00571CED" w:rsidP="00571CED">
            <w:pPr>
              <w:ind w:left="-117"/>
            </w:pPr>
            <w:r w:rsidRPr="004C25D2">
              <w:t>2.1. valsts pamatbudžets</w:t>
            </w:r>
          </w:p>
        </w:tc>
        <w:tc>
          <w:tcPr>
            <w:tcW w:w="1652" w:type="dxa"/>
            <w:vAlign w:val="center"/>
          </w:tcPr>
          <w:p w:rsidR="00571CED" w:rsidRPr="004C25D2" w:rsidRDefault="006D6C0F" w:rsidP="00571CED">
            <w:pPr>
              <w:pStyle w:val="naisf"/>
              <w:spacing w:before="0" w:after="0"/>
              <w:ind w:firstLine="0"/>
              <w:jc w:val="center"/>
            </w:pPr>
            <w:r w:rsidRPr="004C25D2">
              <w:t>9 738 547</w:t>
            </w:r>
          </w:p>
          <w:p w:rsidR="00571CED" w:rsidRPr="004C25D2" w:rsidRDefault="00571CED" w:rsidP="00571CED">
            <w:pPr>
              <w:pStyle w:val="naisf"/>
              <w:spacing w:before="0" w:after="0"/>
              <w:ind w:firstLine="0"/>
              <w:jc w:val="center"/>
            </w:pP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ind w:left="-117"/>
            </w:pPr>
            <w:r w:rsidRPr="004C25D2">
              <w:t>2.2. valsts speciālais budžets</w:t>
            </w:r>
          </w:p>
        </w:tc>
        <w:tc>
          <w:tcPr>
            <w:tcW w:w="1652" w:type="dxa"/>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ind w:left="-117"/>
            </w:pPr>
            <w:r w:rsidRPr="004C25D2">
              <w:t xml:space="preserve">2.3. pašvaldību budžets </w:t>
            </w:r>
          </w:p>
        </w:tc>
        <w:tc>
          <w:tcPr>
            <w:tcW w:w="1652" w:type="dxa"/>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ind w:left="-117"/>
            </w:pPr>
            <w:r w:rsidRPr="004C25D2">
              <w:t>3. Finansiālā ietekme:</w:t>
            </w:r>
          </w:p>
        </w:tc>
        <w:tc>
          <w:tcPr>
            <w:tcW w:w="1652" w:type="dxa"/>
            <w:shd w:val="clear" w:color="auto" w:fill="auto"/>
            <w:vAlign w:val="center"/>
          </w:tcPr>
          <w:p w:rsidR="00571CED" w:rsidRPr="004C25D2" w:rsidRDefault="00571CED" w:rsidP="00571CED">
            <w:pPr>
              <w:pStyle w:val="naisf"/>
              <w:spacing w:before="0" w:after="0"/>
              <w:ind w:firstLine="0"/>
              <w:jc w:val="center"/>
              <w:rPr>
                <w:b/>
              </w:rPr>
            </w:pPr>
            <w:r w:rsidRPr="004C25D2">
              <w:rPr>
                <w:b/>
              </w:rPr>
              <w:t>0</w:t>
            </w:r>
          </w:p>
        </w:tc>
        <w:tc>
          <w:tcPr>
            <w:tcW w:w="2002" w:type="dxa"/>
            <w:vAlign w:val="center"/>
          </w:tcPr>
          <w:p w:rsidR="00571CED" w:rsidRPr="004C25D2" w:rsidRDefault="00571CED" w:rsidP="00571CED">
            <w:pPr>
              <w:pStyle w:val="naisf"/>
              <w:spacing w:before="0" w:after="0"/>
              <w:ind w:firstLine="0"/>
              <w:jc w:val="center"/>
              <w:rPr>
                <w:b/>
              </w:rPr>
            </w:pPr>
            <w:r w:rsidRPr="004C25D2">
              <w:rPr>
                <w:b/>
              </w:rPr>
              <w:t>0</w:t>
            </w:r>
          </w:p>
        </w:tc>
        <w:tc>
          <w:tcPr>
            <w:tcW w:w="1540" w:type="dxa"/>
            <w:vAlign w:val="center"/>
          </w:tcPr>
          <w:p w:rsidR="00571CED" w:rsidRPr="004C25D2" w:rsidRDefault="00571CED" w:rsidP="00571CED">
            <w:pPr>
              <w:pStyle w:val="naisf"/>
              <w:spacing w:before="0" w:after="0"/>
              <w:ind w:firstLine="0"/>
              <w:jc w:val="center"/>
              <w:rPr>
                <w:b/>
              </w:rPr>
            </w:pPr>
            <w:r w:rsidRPr="004C25D2">
              <w:rPr>
                <w:b/>
              </w:rPr>
              <w:t>0</w:t>
            </w:r>
          </w:p>
        </w:tc>
        <w:tc>
          <w:tcPr>
            <w:tcW w:w="1551" w:type="dxa"/>
            <w:vAlign w:val="center"/>
          </w:tcPr>
          <w:p w:rsidR="00571CED" w:rsidRPr="004C25D2" w:rsidRDefault="00571CED" w:rsidP="00571CED">
            <w:pPr>
              <w:pStyle w:val="naisf"/>
              <w:spacing w:before="0" w:after="0"/>
              <w:ind w:firstLine="0"/>
              <w:jc w:val="center"/>
              <w:rPr>
                <w:b/>
              </w:rPr>
            </w:pPr>
            <w:r w:rsidRPr="004C25D2">
              <w:rPr>
                <w:b/>
              </w:rPr>
              <w:t>0</w:t>
            </w:r>
          </w:p>
        </w:tc>
        <w:tc>
          <w:tcPr>
            <w:tcW w:w="1552" w:type="dxa"/>
            <w:vAlign w:val="center"/>
          </w:tcPr>
          <w:p w:rsidR="00571CED" w:rsidRPr="004C25D2" w:rsidRDefault="00571CED" w:rsidP="00571CED">
            <w:pPr>
              <w:pStyle w:val="naisf"/>
              <w:spacing w:before="0" w:after="0"/>
              <w:ind w:firstLine="0"/>
              <w:jc w:val="center"/>
              <w:rPr>
                <w:b/>
              </w:rPr>
            </w:pPr>
            <w:r w:rsidRPr="004C25D2">
              <w:rPr>
                <w:b/>
              </w:rPr>
              <w:t>0</w:t>
            </w:r>
          </w:p>
        </w:tc>
      </w:tr>
      <w:tr w:rsidR="00571CED" w:rsidRPr="004C25D2" w:rsidTr="00571CED">
        <w:trPr>
          <w:jc w:val="center"/>
        </w:trPr>
        <w:tc>
          <w:tcPr>
            <w:tcW w:w="1890" w:type="dxa"/>
          </w:tcPr>
          <w:p w:rsidR="00571CED" w:rsidRPr="004C25D2" w:rsidRDefault="00571CED" w:rsidP="00571CED">
            <w:pPr>
              <w:ind w:left="-117"/>
            </w:pPr>
            <w:r w:rsidRPr="004C25D2">
              <w:t>3.1. valsts pamatbudžets</w:t>
            </w:r>
          </w:p>
        </w:tc>
        <w:tc>
          <w:tcPr>
            <w:tcW w:w="1652" w:type="dxa"/>
            <w:shd w:val="clear" w:color="auto" w:fill="auto"/>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ind w:left="-117"/>
            </w:pPr>
            <w:r w:rsidRPr="004C25D2">
              <w:t>3.2. speciālais budžets</w:t>
            </w:r>
          </w:p>
        </w:tc>
        <w:tc>
          <w:tcPr>
            <w:tcW w:w="1652" w:type="dxa"/>
            <w:shd w:val="clear" w:color="auto" w:fill="auto"/>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Pr>
          <w:p w:rsidR="00571CED" w:rsidRPr="004C25D2" w:rsidRDefault="00571CED" w:rsidP="00571CED">
            <w:pPr>
              <w:ind w:left="-117"/>
            </w:pPr>
            <w:r w:rsidRPr="004C25D2">
              <w:t xml:space="preserve">3.3. pašvaldību budžets </w:t>
            </w:r>
          </w:p>
        </w:tc>
        <w:tc>
          <w:tcPr>
            <w:tcW w:w="1652" w:type="dxa"/>
            <w:shd w:val="clear" w:color="auto" w:fill="auto"/>
            <w:vAlign w:val="center"/>
          </w:tcPr>
          <w:p w:rsidR="00571CED" w:rsidRPr="004C25D2" w:rsidRDefault="00571CED" w:rsidP="00571CED">
            <w:pPr>
              <w:pStyle w:val="naisf"/>
              <w:spacing w:before="0" w:after="0"/>
              <w:ind w:firstLine="0"/>
              <w:jc w:val="center"/>
            </w:pPr>
            <w:r w:rsidRPr="004C25D2">
              <w:t>0</w:t>
            </w:r>
          </w:p>
        </w:tc>
        <w:tc>
          <w:tcPr>
            <w:tcW w:w="2002" w:type="dxa"/>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trHeight w:val="2882"/>
          <w:jc w:val="center"/>
        </w:trPr>
        <w:tc>
          <w:tcPr>
            <w:tcW w:w="1890" w:type="dxa"/>
          </w:tcPr>
          <w:p w:rsidR="00571CED" w:rsidRPr="004C25D2" w:rsidRDefault="00571CED" w:rsidP="00571CED">
            <w:pPr>
              <w:ind w:left="-117"/>
            </w:pPr>
            <w:r w:rsidRPr="004C25D2">
              <w:t>4. Finanšu līdzekļi papildu izde</w:t>
            </w:r>
            <w:r w:rsidRPr="004C25D2">
              <w:softHyphen/>
              <w:t>vumu finansēšanai (kompensējošu izdevumu samazinājumu norāda ar "+" zīmi)</w:t>
            </w:r>
          </w:p>
        </w:tc>
        <w:tc>
          <w:tcPr>
            <w:tcW w:w="1652" w:type="dxa"/>
            <w:vAlign w:val="center"/>
          </w:tcPr>
          <w:p w:rsidR="00571CED" w:rsidRPr="004C25D2" w:rsidRDefault="00571CED" w:rsidP="00571CED">
            <w:pPr>
              <w:pStyle w:val="naisf"/>
              <w:spacing w:before="0" w:after="0"/>
              <w:ind w:firstLine="0"/>
              <w:jc w:val="center"/>
              <w:rPr>
                <w:i/>
              </w:rPr>
            </w:pPr>
            <w:r w:rsidRPr="004C25D2">
              <w:t>X</w:t>
            </w:r>
          </w:p>
        </w:tc>
        <w:tc>
          <w:tcPr>
            <w:tcW w:w="2002" w:type="dxa"/>
            <w:vAlign w:val="center"/>
          </w:tcPr>
          <w:p w:rsidR="00571CED" w:rsidRPr="004C25D2" w:rsidRDefault="00571CED" w:rsidP="00571CED">
            <w:pPr>
              <w:pStyle w:val="naisf"/>
              <w:spacing w:before="0" w:after="0"/>
              <w:ind w:firstLine="0"/>
              <w:jc w:val="center"/>
              <w:rPr>
                <w:i/>
              </w:rP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Borders>
              <w:bottom w:val="single" w:sz="4" w:space="0" w:color="auto"/>
            </w:tcBorders>
          </w:tcPr>
          <w:p w:rsidR="00571CED" w:rsidRPr="004C25D2" w:rsidRDefault="00571CED" w:rsidP="00571CED">
            <w:pPr>
              <w:ind w:left="-117"/>
            </w:pPr>
            <w:r w:rsidRPr="004C25D2">
              <w:lastRenderedPageBreak/>
              <w:t>5. Precizēta finansiālā ietekme:</w:t>
            </w:r>
          </w:p>
          <w:p w:rsidR="00571CED" w:rsidRPr="004C25D2" w:rsidRDefault="00571CED" w:rsidP="00571CED">
            <w:pPr>
              <w:ind w:left="-117"/>
            </w:pPr>
          </w:p>
        </w:tc>
        <w:tc>
          <w:tcPr>
            <w:tcW w:w="1652" w:type="dxa"/>
            <w:vMerge w:val="restart"/>
            <w:tcBorders>
              <w:bottom w:val="single" w:sz="4" w:space="0" w:color="auto"/>
            </w:tcBorders>
            <w:vAlign w:val="center"/>
          </w:tcPr>
          <w:p w:rsidR="00571CED" w:rsidRPr="004C25D2" w:rsidRDefault="00571CED" w:rsidP="00571CED">
            <w:pPr>
              <w:pStyle w:val="naisf"/>
              <w:spacing w:before="0" w:after="0"/>
              <w:ind w:firstLine="0"/>
              <w:jc w:val="center"/>
              <w:rPr>
                <w:i/>
              </w:rPr>
            </w:pPr>
            <w:r w:rsidRPr="004C25D2">
              <w:t>X</w:t>
            </w:r>
          </w:p>
        </w:tc>
        <w:tc>
          <w:tcPr>
            <w:tcW w:w="2002" w:type="dxa"/>
            <w:tcBorders>
              <w:bottom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Borders>
              <w:top w:val="single" w:sz="4" w:space="0" w:color="auto"/>
            </w:tcBorders>
          </w:tcPr>
          <w:p w:rsidR="00571CED" w:rsidRPr="004C25D2" w:rsidRDefault="00571CED" w:rsidP="00571CED">
            <w:pPr>
              <w:ind w:left="-117"/>
            </w:pPr>
            <w:r w:rsidRPr="004C25D2">
              <w:t>5.1. valsts pamatbudžets</w:t>
            </w:r>
          </w:p>
        </w:tc>
        <w:tc>
          <w:tcPr>
            <w:tcW w:w="1652" w:type="dxa"/>
            <w:vMerge/>
            <w:tcBorders>
              <w:top w:val="single" w:sz="4" w:space="0" w:color="auto"/>
            </w:tcBorders>
            <w:vAlign w:val="center"/>
          </w:tcPr>
          <w:p w:rsidR="00571CED" w:rsidRPr="004C25D2" w:rsidRDefault="00571CED" w:rsidP="00571CED">
            <w:pPr>
              <w:pStyle w:val="naisf"/>
              <w:spacing w:before="0" w:after="0"/>
              <w:ind w:firstLine="0"/>
              <w:jc w:val="center"/>
              <w:rPr>
                <w:i/>
              </w:rPr>
            </w:pPr>
          </w:p>
        </w:tc>
        <w:tc>
          <w:tcPr>
            <w:tcW w:w="2002" w:type="dxa"/>
            <w:tcBorders>
              <w:top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40" w:type="dxa"/>
            <w:vAlign w:val="center"/>
          </w:tcPr>
          <w:p w:rsidR="00571CED" w:rsidRPr="004C25D2" w:rsidRDefault="00571CED" w:rsidP="00571CED">
            <w:pPr>
              <w:pStyle w:val="naisf"/>
              <w:spacing w:before="0" w:after="0"/>
              <w:ind w:firstLine="0"/>
              <w:jc w:val="center"/>
            </w:pPr>
            <w:r w:rsidRPr="004C25D2">
              <w:t>0</w:t>
            </w:r>
          </w:p>
        </w:tc>
        <w:tc>
          <w:tcPr>
            <w:tcW w:w="1551" w:type="dxa"/>
            <w:vAlign w:val="center"/>
          </w:tcPr>
          <w:p w:rsidR="00571CED" w:rsidRPr="004C25D2" w:rsidRDefault="00571CED" w:rsidP="00571CED">
            <w:pPr>
              <w:pStyle w:val="naisf"/>
              <w:spacing w:before="0" w:after="0"/>
              <w:ind w:firstLine="0"/>
              <w:jc w:val="center"/>
            </w:pPr>
            <w:r w:rsidRPr="004C25D2">
              <w:t>0</w:t>
            </w:r>
          </w:p>
        </w:tc>
        <w:tc>
          <w:tcPr>
            <w:tcW w:w="1552" w:type="dxa"/>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jc w:val="center"/>
        </w:trPr>
        <w:tc>
          <w:tcPr>
            <w:tcW w:w="1890" w:type="dxa"/>
            <w:tcBorders>
              <w:bottom w:val="single" w:sz="4" w:space="0" w:color="auto"/>
            </w:tcBorders>
          </w:tcPr>
          <w:p w:rsidR="00571CED" w:rsidRPr="004C25D2" w:rsidRDefault="00571CED" w:rsidP="00571CED">
            <w:pPr>
              <w:ind w:left="-117"/>
            </w:pPr>
            <w:r w:rsidRPr="004C25D2">
              <w:t>5.2. speciālais budžets</w:t>
            </w:r>
          </w:p>
        </w:tc>
        <w:tc>
          <w:tcPr>
            <w:tcW w:w="1652" w:type="dxa"/>
            <w:vMerge/>
            <w:tcBorders>
              <w:bottom w:val="single" w:sz="4" w:space="0" w:color="auto"/>
            </w:tcBorders>
            <w:vAlign w:val="center"/>
          </w:tcPr>
          <w:p w:rsidR="00571CED" w:rsidRPr="004C25D2" w:rsidRDefault="00571CED" w:rsidP="00571CED">
            <w:pPr>
              <w:pStyle w:val="naisf"/>
              <w:spacing w:before="0" w:after="0"/>
              <w:ind w:firstLine="0"/>
              <w:jc w:val="center"/>
              <w:rPr>
                <w:i/>
              </w:rPr>
            </w:pPr>
          </w:p>
        </w:tc>
        <w:tc>
          <w:tcPr>
            <w:tcW w:w="2002" w:type="dxa"/>
            <w:tcBorders>
              <w:bottom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40" w:type="dxa"/>
            <w:tcBorders>
              <w:bottom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51" w:type="dxa"/>
            <w:tcBorders>
              <w:bottom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52" w:type="dxa"/>
            <w:tcBorders>
              <w:bottom w:val="single" w:sz="4" w:space="0" w:color="auto"/>
            </w:tcBorders>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trHeight w:val="770"/>
          <w:jc w:val="center"/>
        </w:trPr>
        <w:tc>
          <w:tcPr>
            <w:tcW w:w="1890" w:type="dxa"/>
            <w:tcBorders>
              <w:top w:val="single" w:sz="4" w:space="0" w:color="auto"/>
              <w:left w:val="single" w:sz="4" w:space="0" w:color="auto"/>
              <w:bottom w:val="single" w:sz="4" w:space="0" w:color="auto"/>
              <w:right w:val="single" w:sz="4" w:space="0" w:color="auto"/>
            </w:tcBorders>
          </w:tcPr>
          <w:p w:rsidR="00571CED" w:rsidRPr="004C25D2" w:rsidRDefault="00571CED" w:rsidP="00571CED">
            <w:pPr>
              <w:ind w:left="-117"/>
            </w:pPr>
            <w:r w:rsidRPr="004C25D2">
              <w:t xml:space="preserve">5.3. pašvaldību budžets </w:t>
            </w:r>
          </w:p>
        </w:tc>
        <w:tc>
          <w:tcPr>
            <w:tcW w:w="1652" w:type="dxa"/>
            <w:vMerge/>
            <w:tcBorders>
              <w:top w:val="single" w:sz="4" w:space="0" w:color="auto"/>
              <w:left w:val="single" w:sz="4" w:space="0" w:color="auto"/>
              <w:bottom w:val="single" w:sz="4" w:space="0" w:color="auto"/>
              <w:right w:val="single" w:sz="4" w:space="0" w:color="auto"/>
            </w:tcBorders>
            <w:vAlign w:val="center"/>
          </w:tcPr>
          <w:p w:rsidR="00571CED" w:rsidRPr="004C25D2" w:rsidRDefault="00571CED" w:rsidP="00571CED">
            <w:pPr>
              <w:pStyle w:val="naisf"/>
              <w:spacing w:before="0" w:after="0"/>
              <w:ind w:firstLine="0"/>
              <w:jc w:val="center"/>
              <w:rPr>
                <w:i/>
              </w:rPr>
            </w:pPr>
          </w:p>
        </w:tc>
        <w:tc>
          <w:tcPr>
            <w:tcW w:w="2002" w:type="dxa"/>
            <w:tcBorders>
              <w:top w:val="single" w:sz="4" w:space="0" w:color="auto"/>
              <w:left w:val="single" w:sz="4" w:space="0" w:color="auto"/>
              <w:bottom w:val="single" w:sz="4" w:space="0" w:color="auto"/>
              <w:right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40" w:type="dxa"/>
            <w:tcBorders>
              <w:top w:val="single" w:sz="4" w:space="0" w:color="auto"/>
              <w:left w:val="single" w:sz="4" w:space="0" w:color="auto"/>
              <w:bottom w:val="single" w:sz="4" w:space="0" w:color="auto"/>
              <w:right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51" w:type="dxa"/>
            <w:tcBorders>
              <w:top w:val="single" w:sz="4" w:space="0" w:color="auto"/>
              <w:left w:val="single" w:sz="4" w:space="0" w:color="auto"/>
              <w:bottom w:val="single" w:sz="4" w:space="0" w:color="auto"/>
              <w:right w:val="single" w:sz="4" w:space="0" w:color="auto"/>
            </w:tcBorders>
            <w:vAlign w:val="center"/>
          </w:tcPr>
          <w:p w:rsidR="00571CED" w:rsidRPr="004C25D2" w:rsidRDefault="00571CED" w:rsidP="00571CED">
            <w:pPr>
              <w:pStyle w:val="naisf"/>
              <w:spacing w:before="0" w:after="0"/>
              <w:ind w:firstLine="0"/>
              <w:jc w:val="center"/>
            </w:pPr>
            <w:r w:rsidRPr="004C25D2">
              <w:t>0</w:t>
            </w:r>
          </w:p>
        </w:tc>
        <w:tc>
          <w:tcPr>
            <w:tcW w:w="1552" w:type="dxa"/>
            <w:tcBorders>
              <w:top w:val="single" w:sz="4" w:space="0" w:color="auto"/>
              <w:left w:val="single" w:sz="4" w:space="0" w:color="auto"/>
              <w:bottom w:val="single" w:sz="4" w:space="0" w:color="auto"/>
              <w:right w:val="single" w:sz="4" w:space="0" w:color="auto"/>
            </w:tcBorders>
            <w:vAlign w:val="center"/>
          </w:tcPr>
          <w:p w:rsidR="00571CED" w:rsidRPr="004C25D2" w:rsidRDefault="00571CED" w:rsidP="00571CED">
            <w:pPr>
              <w:pStyle w:val="naisf"/>
              <w:spacing w:before="0" w:after="0"/>
              <w:ind w:firstLine="0"/>
              <w:jc w:val="center"/>
            </w:pPr>
            <w:r w:rsidRPr="004C25D2">
              <w:t>0</w:t>
            </w:r>
          </w:p>
        </w:tc>
      </w:tr>
      <w:tr w:rsidR="00571CED" w:rsidRPr="004C25D2" w:rsidTr="00571CED">
        <w:trPr>
          <w:trHeight w:val="3270"/>
          <w:jc w:val="center"/>
        </w:trPr>
        <w:tc>
          <w:tcPr>
            <w:tcW w:w="1890" w:type="dxa"/>
            <w:tcBorders>
              <w:top w:val="single" w:sz="4" w:space="0" w:color="auto"/>
              <w:left w:val="single" w:sz="4" w:space="0" w:color="auto"/>
              <w:bottom w:val="single" w:sz="4" w:space="0" w:color="auto"/>
              <w:right w:val="single" w:sz="4" w:space="0" w:color="auto"/>
            </w:tcBorders>
          </w:tcPr>
          <w:p w:rsidR="00571CED" w:rsidRPr="004C25D2" w:rsidRDefault="00571CED" w:rsidP="00571CED">
            <w:r w:rsidRPr="004C25D2">
              <w:t>6. Detalizēts ieņēmumu un izdevu</w:t>
            </w:r>
            <w:r w:rsidRPr="004C25D2">
              <w:softHyphen/>
              <w:t>mu aprēķins (ja nepieciešams, detalizētu ieņēmumu un izdevumu aprēķinu var pievienot anotācijas pielikumā):</w:t>
            </w:r>
          </w:p>
        </w:tc>
        <w:tc>
          <w:tcPr>
            <w:tcW w:w="8297" w:type="dxa"/>
            <w:gridSpan w:val="5"/>
            <w:vMerge w:val="restart"/>
            <w:tcBorders>
              <w:top w:val="single" w:sz="4" w:space="0" w:color="auto"/>
              <w:left w:val="single" w:sz="4" w:space="0" w:color="auto"/>
              <w:bottom w:val="single" w:sz="4" w:space="0" w:color="auto"/>
              <w:right w:val="single" w:sz="4" w:space="0" w:color="auto"/>
            </w:tcBorders>
            <w:vAlign w:val="center"/>
          </w:tcPr>
          <w:p w:rsidR="00571CED" w:rsidRPr="004C25D2" w:rsidRDefault="00C1321C" w:rsidP="00571CED">
            <w:pPr>
              <w:pStyle w:val="naisf"/>
              <w:spacing w:before="0" w:after="0"/>
              <w:ind w:firstLine="0"/>
            </w:pPr>
            <w:r w:rsidRPr="004C25D2">
              <w:t>F</w:t>
            </w:r>
            <w:r w:rsidR="00571CED" w:rsidRPr="004C25D2">
              <w:rPr>
                <w:noProof/>
              </w:rPr>
              <w:t xml:space="preserve">inansējums </w:t>
            </w:r>
            <w:r w:rsidRPr="004C25D2">
              <w:rPr>
                <w:noProof/>
              </w:rPr>
              <w:t xml:space="preserve">rezidentu apmācības nodrošināšanai </w:t>
            </w:r>
            <w:r w:rsidR="00571CED" w:rsidRPr="004C25D2">
              <w:rPr>
                <w:noProof/>
              </w:rPr>
              <w:t>atbilstoši likumam „</w:t>
            </w:r>
            <w:r w:rsidR="00571CED" w:rsidRPr="004C25D2">
              <w:rPr>
                <w:noProof/>
                <w:u w:val="single"/>
              </w:rPr>
              <w:t>Par valsts budžetu 201</w:t>
            </w:r>
            <w:r w:rsidR="00A175EB">
              <w:rPr>
                <w:noProof/>
                <w:u w:val="single"/>
              </w:rPr>
              <w:t>6</w:t>
            </w:r>
            <w:r w:rsidR="00571CED" w:rsidRPr="004C25D2">
              <w:rPr>
                <w:noProof/>
                <w:u w:val="single"/>
              </w:rPr>
              <w:t>.gadam</w:t>
            </w:r>
            <w:r w:rsidR="00571CED" w:rsidRPr="004C25D2">
              <w:rPr>
                <w:noProof/>
              </w:rPr>
              <w:t>” (pieņemts Saeimā</w:t>
            </w:r>
            <w:r w:rsidR="00A175EB">
              <w:rPr>
                <w:noProof/>
              </w:rPr>
              <w:t xml:space="preserve"> </w:t>
            </w:r>
            <w:r w:rsidR="00A175EB" w:rsidRPr="001749F9">
              <w:rPr>
                <w:noProof/>
              </w:rPr>
              <w:t>201</w:t>
            </w:r>
            <w:r w:rsidR="00A175EB">
              <w:rPr>
                <w:noProof/>
              </w:rPr>
              <w:t>5</w:t>
            </w:r>
            <w:r w:rsidR="00A175EB" w:rsidRPr="001749F9">
              <w:rPr>
                <w:noProof/>
              </w:rPr>
              <w:t xml:space="preserve">.gada </w:t>
            </w:r>
            <w:r w:rsidR="00A175EB">
              <w:rPr>
                <w:noProof/>
              </w:rPr>
              <w:t>30.novembrī</w:t>
            </w:r>
            <w:r w:rsidR="00571CED" w:rsidRPr="004C25D2">
              <w:rPr>
                <w:noProof/>
              </w:rPr>
              <w:t xml:space="preserve">) apakšprogrammā </w:t>
            </w:r>
            <w:r w:rsidRPr="004C25D2">
              <w:rPr>
                <w:noProof/>
              </w:rPr>
              <w:t>02.04</w:t>
            </w:r>
            <w:r w:rsidR="00571CED" w:rsidRPr="004C25D2">
              <w:rPr>
                <w:noProof/>
              </w:rPr>
              <w:t>.00 „</w:t>
            </w:r>
            <w:r w:rsidRPr="004C25D2">
              <w:rPr>
                <w:noProof/>
              </w:rPr>
              <w:t>Rezidentu apmācība</w:t>
            </w:r>
            <w:r w:rsidR="00571CED" w:rsidRPr="004C25D2">
              <w:rPr>
                <w:noProof/>
              </w:rPr>
              <w:t xml:space="preserve">”: </w:t>
            </w:r>
          </w:p>
          <w:p w:rsidR="00571CED" w:rsidRPr="004C25D2" w:rsidRDefault="00571CED" w:rsidP="00571CED">
            <w:pPr>
              <w:pStyle w:val="ListParagraph"/>
              <w:ind w:left="170" w:right="215"/>
              <w:jc w:val="both"/>
              <w:rPr>
                <w:noProof/>
                <w:sz w:val="24"/>
                <w:szCs w:val="24"/>
                <w:lang w:eastAsia="lv-LV"/>
              </w:rPr>
            </w:pPr>
            <w:r w:rsidRPr="004C25D2">
              <w:rPr>
                <w:b/>
                <w:noProof/>
                <w:sz w:val="24"/>
                <w:szCs w:val="24"/>
                <w:lang w:eastAsia="lv-LV"/>
              </w:rPr>
              <w:t xml:space="preserve">Resursi izdevumu segšanai </w:t>
            </w:r>
            <w:r w:rsidR="00C1321C" w:rsidRPr="004C25D2">
              <w:rPr>
                <w:b/>
                <w:noProof/>
                <w:sz w:val="24"/>
                <w:szCs w:val="24"/>
                <w:lang w:eastAsia="lv-LV"/>
              </w:rPr>
              <w:t>9 738 547</w:t>
            </w:r>
            <w:r w:rsidRPr="004C25D2">
              <w:rPr>
                <w:b/>
                <w:noProof/>
                <w:sz w:val="24"/>
                <w:szCs w:val="24"/>
                <w:lang w:eastAsia="lv-LV"/>
              </w:rPr>
              <w:t xml:space="preserve"> </w:t>
            </w:r>
            <w:r w:rsidRPr="004C25D2">
              <w:rPr>
                <w:b/>
                <w:i/>
                <w:noProof/>
                <w:sz w:val="24"/>
                <w:szCs w:val="24"/>
                <w:lang w:eastAsia="lv-LV"/>
              </w:rPr>
              <w:t>euro</w:t>
            </w:r>
            <w:r w:rsidRPr="004C25D2">
              <w:rPr>
                <w:noProof/>
                <w:sz w:val="24"/>
                <w:szCs w:val="24"/>
                <w:lang w:eastAsia="lv-LV"/>
              </w:rPr>
              <w:t xml:space="preserve">, tai skaitā: </w:t>
            </w:r>
          </w:p>
          <w:p w:rsidR="00571CED" w:rsidRPr="004C25D2" w:rsidRDefault="00571CED" w:rsidP="00571CED">
            <w:pPr>
              <w:pStyle w:val="ListParagraph"/>
              <w:ind w:left="170" w:right="215" w:firstLine="91"/>
              <w:jc w:val="both"/>
              <w:rPr>
                <w:noProof/>
                <w:sz w:val="24"/>
                <w:szCs w:val="24"/>
                <w:lang w:eastAsia="lv-LV"/>
              </w:rPr>
            </w:pPr>
            <w:r w:rsidRPr="004C25D2">
              <w:rPr>
                <w:noProof/>
                <w:sz w:val="24"/>
                <w:szCs w:val="24"/>
                <w:lang w:eastAsia="lv-LV"/>
              </w:rPr>
              <w:t xml:space="preserve">dotācija no vispārējiem ieņēmumiem </w:t>
            </w:r>
            <w:r w:rsidR="00C1321C" w:rsidRPr="004C25D2">
              <w:rPr>
                <w:noProof/>
                <w:sz w:val="24"/>
                <w:szCs w:val="24"/>
                <w:lang w:eastAsia="lv-LV"/>
              </w:rPr>
              <w:t>9 738 547</w:t>
            </w:r>
            <w:r w:rsidRPr="004C25D2">
              <w:rPr>
                <w:noProof/>
                <w:sz w:val="24"/>
                <w:szCs w:val="24"/>
                <w:lang w:eastAsia="lv-LV"/>
              </w:rPr>
              <w:t xml:space="preserve"> </w:t>
            </w:r>
            <w:r w:rsidRPr="004C25D2">
              <w:rPr>
                <w:i/>
                <w:noProof/>
                <w:sz w:val="24"/>
                <w:szCs w:val="24"/>
                <w:lang w:eastAsia="lv-LV"/>
              </w:rPr>
              <w:t>euro</w:t>
            </w:r>
            <w:r w:rsidRPr="004C25D2">
              <w:rPr>
                <w:noProof/>
                <w:sz w:val="24"/>
                <w:szCs w:val="24"/>
                <w:lang w:eastAsia="lv-LV"/>
              </w:rPr>
              <w:t xml:space="preserve">. </w:t>
            </w:r>
          </w:p>
          <w:p w:rsidR="00571CED" w:rsidRPr="004C25D2" w:rsidRDefault="00571CED" w:rsidP="00571CED">
            <w:pPr>
              <w:ind w:right="215"/>
              <w:jc w:val="both"/>
              <w:rPr>
                <w:noProof/>
              </w:rPr>
            </w:pPr>
            <w:r w:rsidRPr="004C25D2">
              <w:rPr>
                <w:noProof/>
              </w:rPr>
              <w:t xml:space="preserve">   </w:t>
            </w:r>
            <w:r w:rsidRPr="004C25D2">
              <w:rPr>
                <w:b/>
                <w:noProof/>
              </w:rPr>
              <w:t xml:space="preserve">Izdevumi </w:t>
            </w:r>
            <w:r w:rsidR="00C1321C" w:rsidRPr="004C25D2">
              <w:rPr>
                <w:b/>
                <w:noProof/>
              </w:rPr>
              <w:t>9 738 547</w:t>
            </w:r>
            <w:r w:rsidRPr="004C25D2">
              <w:rPr>
                <w:b/>
                <w:noProof/>
              </w:rPr>
              <w:t xml:space="preserve"> </w:t>
            </w:r>
            <w:r w:rsidRPr="004C25D2">
              <w:rPr>
                <w:b/>
                <w:i/>
                <w:noProof/>
              </w:rPr>
              <w:t>euro</w:t>
            </w:r>
            <w:r w:rsidRPr="004C25D2">
              <w:rPr>
                <w:noProof/>
              </w:rPr>
              <w:t>, tai skaitā:</w:t>
            </w:r>
          </w:p>
          <w:p w:rsidR="00571CED" w:rsidRPr="004C25D2" w:rsidRDefault="00571CED" w:rsidP="00571CED">
            <w:pPr>
              <w:ind w:right="215" w:firstLine="261"/>
              <w:jc w:val="both"/>
              <w:rPr>
                <w:noProof/>
              </w:rPr>
            </w:pPr>
            <w:r w:rsidRPr="004C25D2">
              <w:rPr>
                <w:noProof/>
              </w:rPr>
              <w:t xml:space="preserve">atlīdzība </w:t>
            </w:r>
            <w:r w:rsidR="00C1321C" w:rsidRPr="004C25D2">
              <w:rPr>
                <w:noProof/>
              </w:rPr>
              <w:t>181 585</w:t>
            </w:r>
            <w:r w:rsidRPr="004C25D2">
              <w:rPr>
                <w:noProof/>
              </w:rPr>
              <w:t xml:space="preserve"> </w:t>
            </w:r>
            <w:r w:rsidRPr="004C25D2">
              <w:rPr>
                <w:i/>
                <w:noProof/>
              </w:rPr>
              <w:t>euro</w:t>
            </w:r>
            <w:r w:rsidRPr="004C25D2">
              <w:rPr>
                <w:noProof/>
              </w:rPr>
              <w:t>, tai skaitā:</w:t>
            </w:r>
          </w:p>
          <w:p w:rsidR="00571CED" w:rsidRPr="004C25D2" w:rsidRDefault="00571CED" w:rsidP="00571CED">
            <w:pPr>
              <w:ind w:right="215" w:firstLine="545"/>
              <w:jc w:val="both"/>
              <w:rPr>
                <w:noProof/>
              </w:rPr>
            </w:pPr>
            <w:r w:rsidRPr="004C25D2">
              <w:rPr>
                <w:noProof/>
              </w:rPr>
              <w:t xml:space="preserve">atalgojums </w:t>
            </w:r>
            <w:r w:rsidR="00C1321C" w:rsidRPr="004C25D2">
              <w:rPr>
                <w:noProof/>
              </w:rPr>
              <w:t xml:space="preserve">146 </w:t>
            </w:r>
            <w:r w:rsidR="00C14EA7">
              <w:rPr>
                <w:noProof/>
              </w:rPr>
              <w:t>92</w:t>
            </w:r>
            <w:r w:rsidR="00C1321C" w:rsidRPr="004C25D2">
              <w:rPr>
                <w:noProof/>
              </w:rPr>
              <w:t>5</w:t>
            </w:r>
            <w:r w:rsidRPr="004C25D2">
              <w:rPr>
                <w:noProof/>
              </w:rPr>
              <w:t xml:space="preserve"> </w:t>
            </w:r>
            <w:r w:rsidRPr="004C25D2">
              <w:rPr>
                <w:i/>
                <w:noProof/>
              </w:rPr>
              <w:t>euro</w:t>
            </w:r>
            <w:r w:rsidRPr="004C25D2">
              <w:rPr>
                <w:noProof/>
              </w:rPr>
              <w:t>;</w:t>
            </w:r>
          </w:p>
          <w:p w:rsidR="00571CED" w:rsidRPr="004C25D2" w:rsidRDefault="00571CED" w:rsidP="00571CED">
            <w:pPr>
              <w:ind w:right="215" w:firstLine="261"/>
              <w:jc w:val="both"/>
              <w:rPr>
                <w:noProof/>
              </w:rPr>
            </w:pPr>
            <w:r w:rsidRPr="004C25D2">
              <w:rPr>
                <w:noProof/>
              </w:rPr>
              <w:t xml:space="preserve">preces un pakalpojumi </w:t>
            </w:r>
            <w:r w:rsidR="00C1321C" w:rsidRPr="004C25D2">
              <w:rPr>
                <w:noProof/>
              </w:rPr>
              <w:t>23 427</w:t>
            </w:r>
            <w:r w:rsidRPr="004C25D2">
              <w:rPr>
                <w:noProof/>
              </w:rPr>
              <w:t xml:space="preserve"> </w:t>
            </w:r>
            <w:r w:rsidRPr="004C25D2">
              <w:rPr>
                <w:i/>
                <w:noProof/>
              </w:rPr>
              <w:t>euro</w:t>
            </w:r>
            <w:r w:rsidRPr="004C25D2">
              <w:rPr>
                <w:noProof/>
              </w:rPr>
              <w:t>;</w:t>
            </w:r>
          </w:p>
          <w:p w:rsidR="00571CED" w:rsidRPr="004C25D2" w:rsidRDefault="00C1321C" w:rsidP="00C1321C">
            <w:pPr>
              <w:ind w:left="261" w:right="215"/>
              <w:jc w:val="both"/>
              <w:rPr>
                <w:noProof/>
              </w:rPr>
            </w:pPr>
            <w:r w:rsidRPr="004C25D2">
              <w:rPr>
                <w:noProof/>
              </w:rPr>
              <w:t>valsts budžeta uzturēšanas izdevumu transferti citiem budžetiem noteiktam mērķim 9 533 535</w:t>
            </w:r>
            <w:r w:rsidR="00571CED" w:rsidRPr="004C25D2">
              <w:rPr>
                <w:noProof/>
              </w:rPr>
              <w:t xml:space="preserve"> </w:t>
            </w:r>
            <w:r w:rsidR="00571CED" w:rsidRPr="004C25D2">
              <w:rPr>
                <w:i/>
                <w:noProof/>
              </w:rPr>
              <w:t>euro</w:t>
            </w:r>
            <w:r w:rsidR="00571CED" w:rsidRPr="004C25D2">
              <w:rPr>
                <w:noProof/>
              </w:rPr>
              <w:t>.</w:t>
            </w:r>
          </w:p>
          <w:p w:rsidR="00571CED" w:rsidRPr="004C25D2" w:rsidRDefault="00571CED" w:rsidP="00571CED">
            <w:pPr>
              <w:ind w:right="215"/>
              <w:jc w:val="both"/>
              <w:rPr>
                <w:noProof/>
              </w:rPr>
            </w:pPr>
          </w:p>
          <w:p w:rsidR="00571CED" w:rsidRPr="004C25D2" w:rsidRDefault="006D6C0F" w:rsidP="00571CED">
            <w:pPr>
              <w:ind w:left="34" w:hanging="34"/>
              <w:jc w:val="both"/>
            </w:pPr>
            <w:r w:rsidRPr="004C25D2">
              <w:t>F</w:t>
            </w:r>
            <w:r w:rsidRPr="004C25D2">
              <w:rPr>
                <w:noProof/>
              </w:rPr>
              <w:t xml:space="preserve">inansējums rezidentu apmācības nodrošināšanai </w:t>
            </w:r>
            <w:r w:rsidR="00571CED" w:rsidRPr="004C25D2">
              <w:rPr>
                <w:noProof/>
              </w:rPr>
              <w:t>atbilstoši</w:t>
            </w:r>
            <w:r w:rsidR="006961A1">
              <w:rPr>
                <w:noProof/>
              </w:rPr>
              <w:t xml:space="preserve"> </w:t>
            </w:r>
            <w:r w:rsidR="006961A1" w:rsidRPr="001749F9">
              <w:rPr>
                <w:noProof/>
              </w:rPr>
              <w:t>likumam „</w:t>
            </w:r>
            <w:r w:rsidR="006961A1" w:rsidRPr="001749F9">
              <w:rPr>
                <w:noProof/>
                <w:u w:val="single"/>
              </w:rPr>
              <w:t>Par vidējā termiņa budžeta ietvaru 201</w:t>
            </w:r>
            <w:r w:rsidR="006961A1">
              <w:rPr>
                <w:noProof/>
                <w:u w:val="single"/>
              </w:rPr>
              <w:t>6</w:t>
            </w:r>
            <w:r w:rsidR="006961A1" w:rsidRPr="001749F9">
              <w:rPr>
                <w:noProof/>
                <w:u w:val="single"/>
              </w:rPr>
              <w:t>., 201</w:t>
            </w:r>
            <w:r w:rsidR="006961A1">
              <w:rPr>
                <w:noProof/>
                <w:u w:val="single"/>
              </w:rPr>
              <w:t>7</w:t>
            </w:r>
            <w:r w:rsidR="006961A1" w:rsidRPr="001749F9">
              <w:rPr>
                <w:noProof/>
                <w:u w:val="single"/>
              </w:rPr>
              <w:t>. un 201</w:t>
            </w:r>
            <w:r w:rsidR="006961A1">
              <w:rPr>
                <w:noProof/>
                <w:u w:val="single"/>
              </w:rPr>
              <w:t>8</w:t>
            </w:r>
            <w:r w:rsidR="006961A1" w:rsidRPr="001749F9">
              <w:rPr>
                <w:noProof/>
                <w:u w:val="single"/>
              </w:rPr>
              <w:t>.gadam</w:t>
            </w:r>
            <w:r w:rsidR="006961A1" w:rsidRPr="001749F9">
              <w:rPr>
                <w:noProof/>
              </w:rPr>
              <w:t>” (pieņemts Saeimā 201</w:t>
            </w:r>
            <w:r w:rsidR="006961A1">
              <w:rPr>
                <w:noProof/>
              </w:rPr>
              <w:t>5</w:t>
            </w:r>
            <w:r w:rsidR="006961A1" w:rsidRPr="001749F9">
              <w:rPr>
                <w:noProof/>
              </w:rPr>
              <w:t xml:space="preserve">.gada </w:t>
            </w:r>
            <w:r w:rsidR="006961A1">
              <w:rPr>
                <w:noProof/>
              </w:rPr>
              <w:t>30.novembrī</w:t>
            </w:r>
            <w:r w:rsidR="006961A1" w:rsidRPr="001749F9">
              <w:rPr>
                <w:noProof/>
              </w:rPr>
              <w:t xml:space="preserve">) </w:t>
            </w:r>
            <w:r w:rsidR="006961A1" w:rsidRPr="001749F9">
              <w:t xml:space="preserve">apakšprogrammā </w:t>
            </w:r>
            <w:r w:rsidR="006961A1" w:rsidRPr="001749F9">
              <w:rPr>
                <w:noProof/>
              </w:rPr>
              <w:t>02.04.00 „Rezidentu apmācība”</w:t>
            </w:r>
            <w:r w:rsidR="006961A1" w:rsidRPr="001749F9">
              <w:t>:</w:t>
            </w:r>
          </w:p>
          <w:p w:rsidR="006D6C0F" w:rsidRPr="004C25D2" w:rsidRDefault="006D6C0F" w:rsidP="006D6C0F">
            <w:pPr>
              <w:pStyle w:val="ListParagraph"/>
              <w:ind w:left="170" w:right="215"/>
              <w:jc w:val="both"/>
              <w:rPr>
                <w:noProof/>
                <w:sz w:val="24"/>
                <w:szCs w:val="24"/>
                <w:lang w:eastAsia="lv-LV"/>
              </w:rPr>
            </w:pPr>
            <w:r w:rsidRPr="004C25D2">
              <w:rPr>
                <w:b/>
                <w:noProof/>
                <w:sz w:val="24"/>
                <w:szCs w:val="24"/>
                <w:lang w:eastAsia="lv-LV"/>
              </w:rPr>
              <w:t xml:space="preserve">Resursi izdevumu segšanai 9 738 547 </w:t>
            </w:r>
            <w:r w:rsidRPr="004C25D2">
              <w:rPr>
                <w:b/>
                <w:i/>
                <w:noProof/>
                <w:sz w:val="24"/>
                <w:szCs w:val="24"/>
                <w:lang w:eastAsia="lv-LV"/>
              </w:rPr>
              <w:t>euro</w:t>
            </w:r>
            <w:r w:rsidRPr="004C25D2">
              <w:rPr>
                <w:noProof/>
                <w:sz w:val="24"/>
                <w:szCs w:val="24"/>
                <w:lang w:eastAsia="lv-LV"/>
              </w:rPr>
              <w:t xml:space="preserve">, tai skaitā: </w:t>
            </w:r>
          </w:p>
          <w:p w:rsidR="006D6C0F" w:rsidRPr="004C25D2" w:rsidRDefault="006D6C0F" w:rsidP="006D6C0F">
            <w:pPr>
              <w:pStyle w:val="ListParagraph"/>
              <w:ind w:left="170" w:right="215" w:firstLine="91"/>
              <w:jc w:val="both"/>
              <w:rPr>
                <w:noProof/>
                <w:sz w:val="24"/>
                <w:szCs w:val="24"/>
                <w:lang w:eastAsia="lv-LV"/>
              </w:rPr>
            </w:pPr>
            <w:r w:rsidRPr="004C25D2">
              <w:rPr>
                <w:noProof/>
                <w:sz w:val="24"/>
                <w:szCs w:val="24"/>
                <w:lang w:eastAsia="lv-LV"/>
              </w:rPr>
              <w:t xml:space="preserve">dotācija no vispārējiem ieņēmumiem 9 738 547 </w:t>
            </w:r>
            <w:r w:rsidRPr="004C25D2">
              <w:rPr>
                <w:i/>
                <w:noProof/>
                <w:sz w:val="24"/>
                <w:szCs w:val="24"/>
                <w:lang w:eastAsia="lv-LV"/>
              </w:rPr>
              <w:t>euro</w:t>
            </w:r>
            <w:r w:rsidRPr="004C25D2">
              <w:rPr>
                <w:noProof/>
                <w:sz w:val="24"/>
                <w:szCs w:val="24"/>
                <w:lang w:eastAsia="lv-LV"/>
              </w:rPr>
              <w:t xml:space="preserve">. </w:t>
            </w:r>
          </w:p>
          <w:p w:rsidR="006D6C0F" w:rsidRPr="004C25D2" w:rsidRDefault="006D6C0F" w:rsidP="006D6C0F">
            <w:pPr>
              <w:ind w:right="215"/>
              <w:jc w:val="both"/>
              <w:rPr>
                <w:noProof/>
              </w:rPr>
            </w:pPr>
            <w:r w:rsidRPr="004C25D2">
              <w:rPr>
                <w:noProof/>
              </w:rPr>
              <w:t xml:space="preserve">   </w:t>
            </w:r>
            <w:r w:rsidRPr="004C25D2">
              <w:rPr>
                <w:b/>
                <w:noProof/>
              </w:rPr>
              <w:t xml:space="preserve">Izdevumi 9 738 547 </w:t>
            </w:r>
            <w:r w:rsidRPr="004C25D2">
              <w:rPr>
                <w:b/>
                <w:i/>
                <w:noProof/>
              </w:rPr>
              <w:t>euro</w:t>
            </w:r>
            <w:r w:rsidRPr="004C25D2">
              <w:rPr>
                <w:noProof/>
              </w:rPr>
              <w:t>, tai skaitā:</w:t>
            </w:r>
          </w:p>
          <w:p w:rsidR="006D6C0F" w:rsidRPr="004C25D2" w:rsidRDefault="006D6C0F" w:rsidP="006D6C0F">
            <w:pPr>
              <w:ind w:right="215" w:firstLine="261"/>
              <w:jc w:val="both"/>
              <w:rPr>
                <w:noProof/>
              </w:rPr>
            </w:pPr>
            <w:r w:rsidRPr="004C25D2">
              <w:rPr>
                <w:noProof/>
              </w:rPr>
              <w:t xml:space="preserve">atlīdzība 181 585 </w:t>
            </w:r>
            <w:r w:rsidRPr="004C25D2">
              <w:rPr>
                <w:i/>
                <w:noProof/>
              </w:rPr>
              <w:t>euro</w:t>
            </w:r>
            <w:r w:rsidRPr="004C25D2">
              <w:rPr>
                <w:noProof/>
              </w:rPr>
              <w:t>, tai skaitā:</w:t>
            </w:r>
          </w:p>
          <w:p w:rsidR="006D6C0F" w:rsidRPr="004C25D2" w:rsidRDefault="006D6C0F" w:rsidP="006D6C0F">
            <w:pPr>
              <w:ind w:right="215" w:firstLine="545"/>
              <w:jc w:val="both"/>
              <w:rPr>
                <w:noProof/>
              </w:rPr>
            </w:pPr>
            <w:r w:rsidRPr="004C25D2">
              <w:rPr>
                <w:noProof/>
              </w:rPr>
              <w:t xml:space="preserve">atalgojums 146 </w:t>
            </w:r>
            <w:r w:rsidR="00C14EA7">
              <w:rPr>
                <w:noProof/>
              </w:rPr>
              <w:t>92</w:t>
            </w:r>
            <w:r w:rsidRPr="004C25D2">
              <w:rPr>
                <w:noProof/>
              </w:rPr>
              <w:t xml:space="preserve">5 </w:t>
            </w:r>
            <w:r w:rsidRPr="004C25D2">
              <w:rPr>
                <w:i/>
                <w:noProof/>
              </w:rPr>
              <w:t>euro</w:t>
            </w:r>
            <w:r w:rsidRPr="004C25D2">
              <w:rPr>
                <w:noProof/>
              </w:rPr>
              <w:t>;</w:t>
            </w:r>
          </w:p>
          <w:p w:rsidR="006D6C0F" w:rsidRPr="004C25D2" w:rsidRDefault="006D6C0F" w:rsidP="006D6C0F">
            <w:pPr>
              <w:ind w:right="215" w:firstLine="261"/>
              <w:jc w:val="both"/>
              <w:rPr>
                <w:noProof/>
              </w:rPr>
            </w:pPr>
            <w:r w:rsidRPr="004C25D2">
              <w:rPr>
                <w:noProof/>
              </w:rPr>
              <w:t xml:space="preserve">preces un pakalpojumi 23 427 </w:t>
            </w:r>
            <w:r w:rsidRPr="004C25D2">
              <w:rPr>
                <w:i/>
                <w:noProof/>
              </w:rPr>
              <w:t>euro</w:t>
            </w:r>
            <w:r w:rsidRPr="004C25D2">
              <w:rPr>
                <w:noProof/>
              </w:rPr>
              <w:t>;</w:t>
            </w:r>
          </w:p>
          <w:p w:rsidR="006D6C0F" w:rsidRPr="004C25D2" w:rsidRDefault="006D6C0F" w:rsidP="006D6C0F">
            <w:pPr>
              <w:ind w:left="261" w:right="215"/>
              <w:jc w:val="both"/>
              <w:rPr>
                <w:noProof/>
              </w:rPr>
            </w:pPr>
            <w:r w:rsidRPr="004C25D2">
              <w:rPr>
                <w:noProof/>
              </w:rPr>
              <w:t xml:space="preserve">valsts budžeta uzturēšanas izdevumu transferti citiem budžetiem noteiktam mērķim 9 533 535 </w:t>
            </w:r>
            <w:r w:rsidRPr="004C25D2">
              <w:rPr>
                <w:i/>
                <w:noProof/>
              </w:rPr>
              <w:t>euro</w:t>
            </w:r>
            <w:r w:rsidRPr="004C25D2">
              <w:rPr>
                <w:noProof/>
              </w:rPr>
              <w:t>.</w:t>
            </w:r>
          </w:p>
          <w:p w:rsidR="006D6C0F" w:rsidRPr="004C25D2" w:rsidRDefault="006D6C0F" w:rsidP="006D6C0F">
            <w:pPr>
              <w:pStyle w:val="ListParagraph"/>
              <w:ind w:left="284"/>
              <w:jc w:val="both"/>
              <w:rPr>
                <w:sz w:val="24"/>
                <w:szCs w:val="24"/>
              </w:rPr>
            </w:pPr>
          </w:p>
          <w:p w:rsidR="006D6C0F" w:rsidRPr="004C25D2" w:rsidRDefault="006D6C0F" w:rsidP="006D6C0F">
            <w:pPr>
              <w:jc w:val="both"/>
            </w:pPr>
            <w:r w:rsidRPr="004C25D2">
              <w:t>Noteikumu projekts tiks īstenots piešķirto budžeta līdzekļu ietvaros valsts budžeta apakšprogrammā 02.04.00 „Rezidentu apmācība”, nemainot attiecīgā budžeta programmās un apakšprogrammās finansējuma sadalījumu pa ieņēmumu, izdevumu vai finansēšanas klasifikācijas kodiem. Plānotās izmaiņas skar tikai pieejamā ikgadējā finansējuma sadalījumu starp augstskolām</w:t>
            </w:r>
            <w:r w:rsidR="006D78A1" w:rsidRPr="004C25D2">
              <w:t xml:space="preserve"> EKK 7350 ietvaros.</w:t>
            </w:r>
          </w:p>
          <w:p w:rsidR="00571CED" w:rsidRPr="004C25D2" w:rsidRDefault="00571CED" w:rsidP="006D6C0F">
            <w:pPr>
              <w:pStyle w:val="naisf"/>
              <w:spacing w:before="0" w:after="0"/>
              <w:ind w:firstLine="403"/>
            </w:pPr>
          </w:p>
        </w:tc>
      </w:tr>
      <w:tr w:rsidR="00571CED" w:rsidRPr="004C25D2" w:rsidTr="00571CED">
        <w:trPr>
          <w:jc w:val="center"/>
        </w:trPr>
        <w:tc>
          <w:tcPr>
            <w:tcW w:w="1890" w:type="dxa"/>
            <w:tcBorders>
              <w:top w:val="single" w:sz="4" w:space="0" w:color="auto"/>
              <w:left w:val="single" w:sz="4" w:space="0" w:color="auto"/>
              <w:bottom w:val="single" w:sz="4" w:space="0" w:color="auto"/>
              <w:right w:val="single" w:sz="4" w:space="0" w:color="auto"/>
            </w:tcBorders>
          </w:tcPr>
          <w:p w:rsidR="00571CED" w:rsidRPr="004C25D2" w:rsidRDefault="00571CED" w:rsidP="00571CED">
            <w:pPr>
              <w:ind w:left="-117"/>
            </w:pPr>
            <w:r w:rsidRPr="004C25D2">
              <w:t>6.1. detalizēts ieņēmumu aprēķins</w:t>
            </w:r>
          </w:p>
        </w:tc>
        <w:tc>
          <w:tcPr>
            <w:tcW w:w="8297" w:type="dxa"/>
            <w:gridSpan w:val="5"/>
            <w:vMerge/>
            <w:tcBorders>
              <w:top w:val="single" w:sz="4" w:space="0" w:color="auto"/>
              <w:left w:val="single" w:sz="4" w:space="0" w:color="auto"/>
              <w:bottom w:val="single" w:sz="4" w:space="0" w:color="auto"/>
              <w:right w:val="single" w:sz="4" w:space="0" w:color="auto"/>
            </w:tcBorders>
          </w:tcPr>
          <w:p w:rsidR="00571CED" w:rsidRPr="004C25D2" w:rsidRDefault="00571CED" w:rsidP="00571CED">
            <w:pPr>
              <w:pStyle w:val="naisf"/>
              <w:spacing w:before="0" w:after="0"/>
              <w:ind w:firstLine="0"/>
              <w:rPr>
                <w:b/>
                <w:i/>
              </w:rPr>
            </w:pPr>
          </w:p>
        </w:tc>
      </w:tr>
      <w:tr w:rsidR="00571CED" w:rsidRPr="004C25D2" w:rsidTr="00571CED">
        <w:trPr>
          <w:jc w:val="center"/>
        </w:trPr>
        <w:tc>
          <w:tcPr>
            <w:tcW w:w="1890" w:type="dxa"/>
            <w:tcBorders>
              <w:top w:val="single" w:sz="4" w:space="0" w:color="auto"/>
              <w:left w:val="single" w:sz="4" w:space="0" w:color="auto"/>
              <w:bottom w:val="single" w:sz="4" w:space="0" w:color="auto"/>
              <w:right w:val="single" w:sz="4" w:space="0" w:color="auto"/>
            </w:tcBorders>
          </w:tcPr>
          <w:p w:rsidR="00571CED" w:rsidRPr="004C25D2" w:rsidRDefault="00571CED" w:rsidP="00571CED">
            <w:pPr>
              <w:ind w:left="-117"/>
            </w:pPr>
            <w:r w:rsidRPr="004C25D2">
              <w:t>6.2. detalizēts izdevumu aprēķins</w:t>
            </w:r>
          </w:p>
        </w:tc>
        <w:tc>
          <w:tcPr>
            <w:tcW w:w="8297" w:type="dxa"/>
            <w:gridSpan w:val="5"/>
            <w:vMerge/>
            <w:tcBorders>
              <w:top w:val="single" w:sz="4" w:space="0" w:color="auto"/>
              <w:left w:val="single" w:sz="4" w:space="0" w:color="auto"/>
              <w:bottom w:val="single" w:sz="4" w:space="0" w:color="auto"/>
              <w:right w:val="single" w:sz="4" w:space="0" w:color="auto"/>
            </w:tcBorders>
          </w:tcPr>
          <w:p w:rsidR="00571CED" w:rsidRPr="004C25D2" w:rsidRDefault="00571CED" w:rsidP="00571CED">
            <w:pPr>
              <w:pStyle w:val="naisf"/>
              <w:spacing w:before="0" w:after="0"/>
              <w:ind w:firstLine="0"/>
              <w:rPr>
                <w:b/>
                <w:i/>
              </w:rPr>
            </w:pPr>
          </w:p>
        </w:tc>
      </w:tr>
      <w:tr w:rsidR="00571CED" w:rsidRPr="004C25D2" w:rsidTr="00571CED">
        <w:trPr>
          <w:jc w:val="center"/>
        </w:trPr>
        <w:tc>
          <w:tcPr>
            <w:tcW w:w="1890" w:type="dxa"/>
            <w:tcBorders>
              <w:top w:val="single" w:sz="4" w:space="0" w:color="auto"/>
              <w:left w:val="single" w:sz="4" w:space="0" w:color="auto"/>
              <w:bottom w:val="single" w:sz="4" w:space="0" w:color="auto"/>
              <w:right w:val="single" w:sz="4" w:space="0" w:color="auto"/>
            </w:tcBorders>
          </w:tcPr>
          <w:p w:rsidR="00571CED" w:rsidRPr="004C25D2" w:rsidRDefault="00571CED" w:rsidP="00571CED">
            <w:pPr>
              <w:tabs>
                <w:tab w:val="left" w:pos="5940"/>
              </w:tabs>
            </w:pPr>
            <w:r w:rsidRPr="004C25D2">
              <w:t>7. Cita informācija</w:t>
            </w:r>
          </w:p>
        </w:tc>
        <w:tc>
          <w:tcPr>
            <w:tcW w:w="8297" w:type="dxa"/>
            <w:gridSpan w:val="5"/>
            <w:tcBorders>
              <w:top w:val="single" w:sz="4" w:space="0" w:color="auto"/>
              <w:left w:val="single" w:sz="4" w:space="0" w:color="auto"/>
              <w:bottom w:val="single" w:sz="4" w:space="0" w:color="auto"/>
              <w:right w:val="single" w:sz="4" w:space="0" w:color="auto"/>
            </w:tcBorders>
          </w:tcPr>
          <w:p w:rsidR="00571CED" w:rsidRPr="004C25D2" w:rsidRDefault="00571CED" w:rsidP="00571CED">
            <w:pPr>
              <w:pStyle w:val="ListParagraph"/>
              <w:tabs>
                <w:tab w:val="left" w:pos="284"/>
              </w:tabs>
              <w:ind w:left="0"/>
              <w:jc w:val="both"/>
              <w:rPr>
                <w:sz w:val="24"/>
                <w:szCs w:val="24"/>
                <w:lang w:eastAsia="lv-LV"/>
              </w:rPr>
            </w:pPr>
            <w:r w:rsidRPr="004C25D2">
              <w:rPr>
                <w:sz w:val="24"/>
                <w:szCs w:val="24"/>
                <w:lang w:eastAsia="lv-LV"/>
              </w:rPr>
              <w:t>Nav</w:t>
            </w:r>
          </w:p>
        </w:tc>
      </w:tr>
    </w:tbl>
    <w:p w:rsidR="00BC0618" w:rsidRDefault="00BC0618" w:rsidP="00043AD9">
      <w:pPr>
        <w:pStyle w:val="tvhtml"/>
        <w:shd w:val="clear" w:color="auto" w:fill="FFFFFF"/>
        <w:spacing w:line="315" w:lineRule="atLeast"/>
        <w:ind w:firstLine="300"/>
        <w:rPr>
          <w:rFonts w:ascii="Arial" w:hAnsi="Arial" w:cs="Arial"/>
          <w:color w:val="414142"/>
          <w:sz w:val="21"/>
          <w:szCs w:val="21"/>
        </w:rPr>
      </w:pPr>
    </w:p>
    <w:p w:rsidR="005C0E8D" w:rsidRDefault="005C0E8D" w:rsidP="00043AD9">
      <w:pPr>
        <w:pStyle w:val="tvhtml"/>
        <w:shd w:val="clear" w:color="auto" w:fill="FFFFFF"/>
        <w:spacing w:line="315" w:lineRule="atLeast"/>
        <w:ind w:firstLine="300"/>
        <w:rPr>
          <w:rFonts w:ascii="Arial" w:hAnsi="Arial" w:cs="Arial"/>
          <w:color w:val="414142"/>
          <w:sz w:val="21"/>
          <w:szCs w:val="21"/>
        </w:rPr>
      </w:pPr>
    </w:p>
    <w:tbl>
      <w:tblPr>
        <w:tblW w:w="5001"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5"/>
        <w:gridCol w:w="3472"/>
        <w:gridCol w:w="5206"/>
      </w:tblGrid>
      <w:tr w:rsidR="00C04093" w:rsidRPr="004C25D2" w:rsidTr="00C04093">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43AD9" w:rsidRPr="004C25D2" w:rsidRDefault="00043AD9">
            <w:pPr>
              <w:pStyle w:val="tvhtml"/>
              <w:spacing w:line="315" w:lineRule="atLeast"/>
              <w:jc w:val="center"/>
              <w:rPr>
                <w:b/>
                <w:bCs/>
              </w:rPr>
            </w:pPr>
            <w:r w:rsidRPr="004C25D2">
              <w:rPr>
                <w:b/>
                <w:bCs/>
              </w:rPr>
              <w:lastRenderedPageBreak/>
              <w:t>VI. Sabiedrības līdzdalība un komunikācijas aktivitātes</w:t>
            </w:r>
          </w:p>
        </w:tc>
      </w:tr>
      <w:tr w:rsidR="00C04093" w:rsidRPr="004C25D2" w:rsidTr="00C04093">
        <w:trPr>
          <w:trHeight w:val="540"/>
          <w:jc w:val="center"/>
        </w:trPr>
        <w:tc>
          <w:tcPr>
            <w:tcW w:w="249"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1.</w:t>
            </w:r>
          </w:p>
        </w:tc>
        <w:tc>
          <w:tcPr>
            <w:tcW w:w="1901"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Plānotās sabiedrības līdzdalības un komunikācijas aktivitātes saistībā ar projektu</w:t>
            </w:r>
          </w:p>
        </w:tc>
        <w:tc>
          <w:tcPr>
            <w:tcW w:w="2849" w:type="pct"/>
            <w:tcBorders>
              <w:top w:val="outset" w:sz="6" w:space="0" w:color="414142"/>
              <w:left w:val="outset" w:sz="6" w:space="0" w:color="414142"/>
              <w:bottom w:val="outset" w:sz="6" w:space="0" w:color="414142"/>
              <w:right w:val="outset" w:sz="6" w:space="0" w:color="414142"/>
            </w:tcBorders>
            <w:hideMark/>
          </w:tcPr>
          <w:p w:rsidR="00043AD9" w:rsidRPr="004C25D2" w:rsidRDefault="00BC0618" w:rsidP="00BC0618">
            <w:pPr>
              <w:jc w:val="both"/>
            </w:pPr>
            <w:r w:rsidRPr="00BC0618">
              <w:t xml:space="preserve">Lai informētu sabiedrību par </w:t>
            </w:r>
            <w:r>
              <w:t xml:space="preserve">noteikumu </w:t>
            </w:r>
            <w:r w:rsidRPr="00BC0618">
              <w:t xml:space="preserve">projektu un dotu iespēju izteikt par to viedokļus, </w:t>
            </w:r>
            <w:r>
              <w:t>s</w:t>
            </w:r>
            <w:r w:rsidR="009E6A5A" w:rsidRPr="009E6A5A">
              <w:t>askaņā ar Ministru kabineta 2009.gada 25.augusta noteikumiem Nr.970 ”Sabiedrības līdzdalības kārtība attīstības plānošanas procesā” ir notikusi</w:t>
            </w:r>
            <w:r w:rsidR="009E6A5A">
              <w:t xml:space="preserve"> publiskā </w:t>
            </w:r>
            <w:r w:rsidR="009E6A5A" w:rsidRPr="009E6A5A">
              <w:t>apsprie</w:t>
            </w:r>
            <w:r w:rsidR="009E6A5A">
              <w:t xml:space="preserve">šana. </w:t>
            </w:r>
            <w:r>
              <w:t xml:space="preserve">Noteikumu projekts tika ievietots </w:t>
            </w:r>
            <w:r w:rsidR="001D7B85">
              <w:t xml:space="preserve">Veselības </w:t>
            </w:r>
            <w:r w:rsidR="001D7B85" w:rsidRPr="001D7B85">
              <w:t xml:space="preserve">ministrija </w:t>
            </w:r>
            <w:r w:rsidR="001D7B85">
              <w:t>Veselības ministrijas tīmekļa vietnē</w:t>
            </w:r>
            <w:r>
              <w:t xml:space="preserve"> sadaļā „Sabiedrības līdzdalī</w:t>
            </w:r>
            <w:r w:rsidR="00D5779E">
              <w:t>ba” (publiskā apspriešana bija  no 24.aprīļa l</w:t>
            </w:r>
            <w:r>
              <w:t>īdz 25.maijam)</w:t>
            </w:r>
            <w:r w:rsidR="001D7B85" w:rsidRPr="001D7B85">
              <w:t xml:space="preserve">. </w:t>
            </w:r>
          </w:p>
        </w:tc>
      </w:tr>
      <w:tr w:rsidR="00C04093" w:rsidRPr="004C25D2" w:rsidTr="00C04093">
        <w:trPr>
          <w:trHeight w:val="330"/>
          <w:jc w:val="center"/>
        </w:trPr>
        <w:tc>
          <w:tcPr>
            <w:tcW w:w="249"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2.</w:t>
            </w:r>
          </w:p>
        </w:tc>
        <w:tc>
          <w:tcPr>
            <w:tcW w:w="1901"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Sabiedrības līdzdalība projekta izstrādē</w:t>
            </w:r>
          </w:p>
        </w:tc>
        <w:tc>
          <w:tcPr>
            <w:tcW w:w="2849" w:type="pct"/>
            <w:tcBorders>
              <w:top w:val="outset" w:sz="6" w:space="0" w:color="414142"/>
              <w:left w:val="outset" w:sz="6" w:space="0" w:color="414142"/>
              <w:bottom w:val="outset" w:sz="6" w:space="0" w:color="414142"/>
              <w:right w:val="outset" w:sz="6" w:space="0" w:color="414142"/>
            </w:tcBorders>
            <w:hideMark/>
          </w:tcPr>
          <w:p w:rsidR="009E6A5A" w:rsidRDefault="009E6A5A" w:rsidP="00BC0618">
            <w:pPr>
              <w:jc w:val="both"/>
            </w:pPr>
            <w:r w:rsidRPr="004557C6">
              <w:t xml:space="preserve">Par publiskai apspriešanai nodoto noteikumu projektu tika saņemti </w:t>
            </w:r>
            <w:r>
              <w:t xml:space="preserve">iebildumi un </w:t>
            </w:r>
            <w:r w:rsidRPr="004557C6">
              <w:t xml:space="preserve">priekšlikumi no  </w:t>
            </w:r>
            <w:r>
              <w:t xml:space="preserve">Latgales plānošanas reģiona, Latvijas Ģimenes ārstu asociācijas, </w:t>
            </w:r>
            <w:r w:rsidRPr="004557C6">
              <w:t>Latvijas Jauno ārstu asociācijas</w:t>
            </w:r>
            <w:r>
              <w:t>,</w:t>
            </w:r>
            <w:r w:rsidRPr="004557C6">
              <w:t xml:space="preserve"> </w:t>
            </w:r>
            <w:r>
              <w:t xml:space="preserve">Latvijas Ķirurgu asociācijas, Latvijas Medicīnas Studentu asociācijas, </w:t>
            </w:r>
            <w:r w:rsidRPr="004557C6">
              <w:t>Latvijas Slimnīcu biedrības, Latvijas Universitātes</w:t>
            </w:r>
            <w:r>
              <w:t>, Rīgas Stradiņa universitātes</w:t>
            </w:r>
            <w:r w:rsidRPr="004557C6">
              <w:t>.</w:t>
            </w:r>
          </w:p>
          <w:p w:rsidR="00854E16" w:rsidRDefault="005B1509" w:rsidP="005068C3">
            <w:pPr>
              <w:ind w:firstLine="149"/>
              <w:jc w:val="both"/>
            </w:pPr>
            <w:r w:rsidRPr="007272ED">
              <w:t>Pēc noteikumu projekta izsludināšanas Valsts sekretāru 2015.</w:t>
            </w:r>
            <w:r w:rsidR="00497885">
              <w:t xml:space="preserve"> </w:t>
            </w:r>
            <w:r w:rsidRPr="007272ED">
              <w:t>gada 6.</w:t>
            </w:r>
            <w:r w:rsidR="00497885">
              <w:t xml:space="preserve"> </w:t>
            </w:r>
            <w:r w:rsidRPr="007272ED">
              <w:t xml:space="preserve">augusta sanāksmē (prot.Nr.30 23.§ (VSS-827)) </w:t>
            </w:r>
            <w:r w:rsidR="00497885">
              <w:t xml:space="preserve">papildu Valsts sekretāru sanāksmes protokolā norādītajiem saskaņotājiem, </w:t>
            </w:r>
            <w:r w:rsidRPr="007272ED">
              <w:t xml:space="preserve">tika saņemti atzinumi no </w:t>
            </w:r>
            <w:r w:rsidR="005068C3">
              <w:t>SIA „</w:t>
            </w:r>
            <w:r w:rsidRPr="007272ED">
              <w:t>Daugavpils reģionālā slimnīca</w:t>
            </w:r>
            <w:r w:rsidR="005068C3">
              <w:t>”</w:t>
            </w:r>
            <w:r w:rsidRPr="007272ED">
              <w:t>,</w:t>
            </w:r>
            <w:r w:rsidR="004C68AC" w:rsidRPr="007272ED">
              <w:t xml:space="preserve"> </w:t>
            </w:r>
            <w:r w:rsidR="005068C3">
              <w:t>SIA „</w:t>
            </w:r>
            <w:r w:rsidR="004C68AC" w:rsidRPr="007272ED">
              <w:t>Ziemeļkurzemes reģionālā slimnīca</w:t>
            </w:r>
            <w:r w:rsidR="005068C3">
              <w:t>”</w:t>
            </w:r>
            <w:r w:rsidR="004C68AC" w:rsidRPr="007272ED">
              <w:t xml:space="preserve"> un Latvijas Ārstu biedrības</w:t>
            </w:r>
            <w:r w:rsidR="007272ED" w:rsidRPr="007272ED">
              <w:t>, Latvijas Ģimenes ārstu asociācijas</w:t>
            </w:r>
            <w:r w:rsidR="007272ED">
              <w:t xml:space="preserve"> un </w:t>
            </w:r>
            <w:r w:rsidR="007272ED" w:rsidRPr="007272ED">
              <w:t>Latvijas Lielo pilsētu asociācijas</w:t>
            </w:r>
            <w:r w:rsidR="007272ED">
              <w:t>.</w:t>
            </w:r>
            <w:r w:rsidRPr="007272ED">
              <w:t xml:space="preserve"> </w:t>
            </w:r>
          </w:p>
          <w:p w:rsidR="00A8609E" w:rsidRPr="004C25D2" w:rsidRDefault="00A8609E" w:rsidP="00A8609E">
            <w:pPr>
              <w:ind w:firstLine="149"/>
              <w:jc w:val="both"/>
            </w:pPr>
            <w:r w:rsidRPr="005C0E8D">
              <w:t>2016.gada 29.februārī precizētais noteikumu projekts tika izsūtīts saskaņošanai elektroniski līdz 2016.gada 7.martam. Papildu ministriju sniegtajiem atzinumiem tika saņemti atzinumi no Augstākās izglītības padomes</w:t>
            </w:r>
            <w:r w:rsidR="00E0251A" w:rsidRPr="005C0E8D">
              <w:t xml:space="preserve"> (turpmāk – AIP)</w:t>
            </w:r>
            <w:r w:rsidRPr="005C0E8D">
              <w:t>, Rīgas Stradiņa universitātes</w:t>
            </w:r>
            <w:r w:rsidR="007920D9" w:rsidRPr="005C0E8D">
              <w:t xml:space="preserve"> (turpmāk – RSU)</w:t>
            </w:r>
            <w:r w:rsidRPr="005C0E8D">
              <w:t xml:space="preserve"> un Latvijas Studentu apvienības</w:t>
            </w:r>
            <w:r w:rsidR="00E0251A" w:rsidRPr="005C0E8D">
              <w:t xml:space="preserve"> (turpmāk – LSA)</w:t>
            </w:r>
            <w:r w:rsidRPr="005C0E8D">
              <w:t>.</w:t>
            </w:r>
            <w:r>
              <w:t xml:space="preserve"> </w:t>
            </w:r>
          </w:p>
        </w:tc>
      </w:tr>
      <w:tr w:rsidR="00C04093" w:rsidRPr="004C25D2" w:rsidTr="00C04093">
        <w:trPr>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3.</w:t>
            </w:r>
          </w:p>
        </w:tc>
        <w:tc>
          <w:tcPr>
            <w:tcW w:w="1901"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Sabiedrības līdzdalības rezultāti</w:t>
            </w:r>
          </w:p>
        </w:tc>
        <w:tc>
          <w:tcPr>
            <w:tcW w:w="2849" w:type="pct"/>
            <w:tcBorders>
              <w:top w:val="outset" w:sz="6" w:space="0" w:color="414142"/>
              <w:left w:val="outset" w:sz="6" w:space="0" w:color="414142"/>
              <w:bottom w:val="outset" w:sz="6" w:space="0" w:color="414142"/>
              <w:right w:val="outset" w:sz="6" w:space="0" w:color="414142"/>
            </w:tcBorders>
            <w:shd w:val="clear" w:color="auto" w:fill="auto"/>
            <w:hideMark/>
          </w:tcPr>
          <w:p w:rsidR="007272ED" w:rsidRPr="005068C3" w:rsidRDefault="007272ED" w:rsidP="007272ED">
            <w:pPr>
              <w:ind w:firstLine="223"/>
              <w:jc w:val="both"/>
            </w:pPr>
            <w:r w:rsidRPr="005068C3">
              <w:t>Publiskās apspriešanas rezultāti:</w:t>
            </w:r>
          </w:p>
          <w:p w:rsidR="00497885" w:rsidRDefault="00497885" w:rsidP="00497885">
            <w:pPr>
              <w:ind w:firstLine="223"/>
              <w:jc w:val="both"/>
            </w:pPr>
            <w:r w:rsidRPr="00A6338A">
              <w:t>Latvijas Medicīnas Studentu asociācija</w:t>
            </w:r>
            <w:r w:rsidRPr="00200FA1">
              <w:t xml:space="preserve"> izteica atbalstu rezidentūras vietu skaita sadalei pa specialitātēm un augstskolām turpmākiem diviem gadiem.</w:t>
            </w:r>
          </w:p>
          <w:p w:rsidR="00497885" w:rsidRDefault="007272ED" w:rsidP="00C80572">
            <w:pPr>
              <w:ind w:firstLine="291"/>
              <w:jc w:val="both"/>
            </w:pPr>
            <w:r w:rsidRPr="00200FA1">
              <w:t>Latvijas Slimnīcu biedrība</w:t>
            </w:r>
            <w:r>
              <w:t xml:space="preserve"> un </w:t>
            </w:r>
            <w:r w:rsidRPr="007272ED">
              <w:t>Latgales plānošanas reģions</w:t>
            </w:r>
            <w:r w:rsidRPr="00200FA1">
              <w:t xml:space="preserve"> atbalsta kopējo iniciatīvu par ārstu rezidentu piesaisti darbam Latvijas reģionos. </w:t>
            </w:r>
          </w:p>
          <w:p w:rsidR="00C9422B" w:rsidRDefault="007272ED" w:rsidP="007272ED">
            <w:pPr>
              <w:ind w:firstLine="223"/>
              <w:jc w:val="both"/>
            </w:pPr>
            <w:r w:rsidRPr="007272ED">
              <w:t>Rīgas Stradiņa universitāte izteica priekšlikumu precizēt noteikumu projektu</w:t>
            </w:r>
            <w:r w:rsidR="005068C3">
              <w:t>,</w:t>
            </w:r>
            <w:r w:rsidRPr="007272ED">
              <w:t xml:space="preserve"> nosakot, ka pie vienlīdzīgiem uzņemšanas rezultātiem dod priekšroku tam rezidentūras pretendentam, kuram ir noslēgta vienošanās ar</w:t>
            </w:r>
            <w:r w:rsidR="000B3633" w:rsidRPr="007272ED">
              <w:t xml:space="preserve"> </w:t>
            </w:r>
            <w:r w:rsidRPr="007272ED">
              <w:t xml:space="preserve">pašvaldību vai valsts vai pašvaldības ārstniecības iestādi, kas sniedz no valsts budžeta apmaksātus veselības aprūpes pakalpojumus, </w:t>
            </w:r>
            <w:r w:rsidRPr="007272ED">
              <w:lastRenderedPageBreak/>
              <w:t xml:space="preserve">ārpus Rīgas par darba attiecību uzsākšanu attiecīgajā ārstniecības iestādē ārpus Rīgas pēc rezidentūras programmas beigšanas. </w:t>
            </w:r>
          </w:p>
          <w:p w:rsidR="00A6338A" w:rsidRDefault="007272ED" w:rsidP="007272ED">
            <w:pPr>
              <w:ind w:firstLine="223"/>
              <w:jc w:val="both"/>
            </w:pPr>
            <w:r w:rsidRPr="007272ED">
              <w:t>Latvijas Jauno ārstu asociācija un Latvijas Medicīnas studentu asociācija norādīja, ka ar jauno speciālistu (rezidentu) piesaisti reģioniem</w:t>
            </w:r>
            <w:r w:rsidR="005068C3">
              <w:t>,</w:t>
            </w:r>
            <w:r w:rsidRPr="007272ED">
              <w:t xml:space="preserve"> sākot ar jau rezidentūras konkursa brīdi</w:t>
            </w:r>
            <w:r w:rsidR="005068C3">
              <w:t>,</w:t>
            </w:r>
            <w:r w:rsidRPr="007272ED">
              <w:t xml:space="preserve"> var tikt pieļauts būtisks cilvēktiesību vienlīdzības principa pārkāpums, privileģējot atsevišķus kolēģus kā prioritārus pār citiem kolēģiem, pamatojoties tikai uz nodoma vienošanos starp pretendentu uz budžeta rezidentūras vietu</w:t>
            </w:r>
            <w:r w:rsidR="00A6338A">
              <w:t xml:space="preserve">, </w:t>
            </w:r>
            <w:r w:rsidRPr="007272ED">
              <w:t xml:space="preserve">un pašvaldības iestādi ārpus Rīgas. </w:t>
            </w:r>
          </w:p>
          <w:p w:rsidR="00A6338A" w:rsidRDefault="00C842BA" w:rsidP="00A6338A">
            <w:pPr>
              <w:ind w:firstLine="223"/>
              <w:jc w:val="both"/>
            </w:pPr>
            <w:r>
              <w:t>Veselības ministrija s</w:t>
            </w:r>
            <w:r w:rsidR="007272ED" w:rsidRPr="007272ED">
              <w:t>kaidro, ka pastāv nevienlīdzība ārstu skaita sadalījumā, salīdzinot republikas pilsētas ar pārējo Latvijas teritoriju (</w:t>
            </w:r>
            <w:r w:rsidR="00DE645D" w:rsidRPr="005C0E8D">
              <w:t xml:space="preserve">Rīgā pamatdarbā strādā 62 % no kopējā ārstu skaita (dati uz </w:t>
            </w:r>
            <w:proofErr w:type="gramStart"/>
            <w:r w:rsidR="00DE645D" w:rsidRPr="005C0E8D">
              <w:t>2016.gada</w:t>
            </w:r>
            <w:proofErr w:type="gramEnd"/>
            <w:r w:rsidR="00DE645D" w:rsidRPr="005C0E8D">
              <w:t xml:space="preserve"> 1.janvāri)</w:t>
            </w:r>
            <w:r w:rsidR="00DE645D" w:rsidRPr="005C0E8D">
              <w:rPr>
                <w:rStyle w:val="FootnoteReference"/>
              </w:rPr>
              <w:footnoteReference w:id="6"/>
            </w:r>
            <w:r w:rsidR="007272ED" w:rsidRPr="005C0E8D">
              <w:t>).</w:t>
            </w:r>
            <w:r w:rsidR="005068C3">
              <w:t xml:space="preserve"> </w:t>
            </w:r>
            <w:r w:rsidR="00A6338A">
              <w:t xml:space="preserve">Veselības ministrijas ieskatā, lai nodrošinātu nepieciešamo ārstu skaitu veselības aprūpes pakalpojumu sniegšanai reģionos, būtiski ir prioritārā kārtībā uzņemt rezidentūrā tos rezidentūras pretendentus, kuri ir noslēguši vienošanos ar ārstniecības iestādi vai pašvaldību ārpus Rīgas par darba tiesisko attiecību uzsākšanu </w:t>
            </w:r>
            <w:bookmarkStart w:id="0" w:name="_GoBack"/>
            <w:bookmarkEnd w:id="0"/>
            <w:r w:rsidR="00A6338A">
              <w:t xml:space="preserve">pēc rezidentūras </w:t>
            </w:r>
            <w:r w:rsidR="00A6338A" w:rsidRPr="002D3177">
              <w:t>beigšanas</w:t>
            </w:r>
            <w:r w:rsidR="00A6338A">
              <w:t>, līdz ar to priekšlikumi netiek ņemti vērā</w:t>
            </w:r>
            <w:r w:rsidR="00A6338A" w:rsidRPr="002D3177">
              <w:t>.</w:t>
            </w:r>
          </w:p>
          <w:p w:rsidR="00A6338A" w:rsidRDefault="00453326" w:rsidP="007272ED">
            <w:pPr>
              <w:ind w:firstLine="291"/>
              <w:jc w:val="both"/>
            </w:pPr>
            <w:r>
              <w:t>Noteikumu projekts un publiskās apspriešanas rezultāti ievietoti Veselības ministrijas tīmekļa vietnē</w:t>
            </w:r>
            <w:r w:rsidR="00A6338A">
              <w:t>.</w:t>
            </w:r>
          </w:p>
          <w:p w:rsidR="00453326" w:rsidRDefault="00A6338A" w:rsidP="007272ED">
            <w:pPr>
              <w:ind w:firstLine="291"/>
              <w:jc w:val="both"/>
            </w:pPr>
            <w:r>
              <w:t>(</w:t>
            </w:r>
            <w:r w:rsidRPr="00A6338A">
              <w:t>http://www.vm.gov.lv/lv/aktualitates/sabiedribas_lidzdaliba/publiska_apspriesana_noslegusies/</w:t>
            </w:r>
            <w:r>
              <w:t>)</w:t>
            </w:r>
            <w:r w:rsidR="00453326">
              <w:t>.</w:t>
            </w:r>
          </w:p>
          <w:p w:rsidR="002A5492" w:rsidRDefault="00A6338A" w:rsidP="002A5492">
            <w:pPr>
              <w:ind w:firstLine="291"/>
              <w:jc w:val="both"/>
            </w:pPr>
            <w:r w:rsidRPr="007272ED">
              <w:t>Pēc noteikumu projekta izsludināšanas Valsts sekretāru 2015.</w:t>
            </w:r>
            <w:r>
              <w:t xml:space="preserve"> </w:t>
            </w:r>
            <w:r w:rsidRPr="007272ED">
              <w:t>gada 6.</w:t>
            </w:r>
            <w:r>
              <w:t xml:space="preserve"> </w:t>
            </w:r>
            <w:r w:rsidRPr="007272ED">
              <w:t>augusta sanāksmē (prot.Nr.30 23.§ (VSS-827))</w:t>
            </w:r>
            <w:r w:rsidR="00220D04">
              <w:t>,</w:t>
            </w:r>
            <w:r w:rsidRPr="007272ED">
              <w:t xml:space="preserve"> </w:t>
            </w:r>
            <w:r>
              <w:t xml:space="preserve">papildu Valsts sekretāru sanāksmes protokolā norādītajiem saskaņotājiem, </w:t>
            </w:r>
            <w:r w:rsidRPr="007272ED">
              <w:t>saņemt</w:t>
            </w:r>
            <w:r w:rsidR="00220D04">
              <w:t>ajos</w:t>
            </w:r>
            <w:r w:rsidRPr="007272ED">
              <w:t xml:space="preserve"> </w:t>
            </w:r>
            <w:r w:rsidR="002A5492" w:rsidRPr="007272ED">
              <w:t>atzinum</w:t>
            </w:r>
            <w:r w:rsidR="002A5492">
              <w:t>os izteiktie iebildumi un priekšlikumi:</w:t>
            </w:r>
          </w:p>
          <w:p w:rsidR="002A5492" w:rsidRDefault="006E18FD" w:rsidP="002A5492">
            <w:pPr>
              <w:ind w:firstLine="291"/>
              <w:jc w:val="both"/>
            </w:pPr>
            <w:r w:rsidRPr="00BA32B7">
              <w:t>Latvijas Universitāte (</w:t>
            </w:r>
            <w:r w:rsidR="000B3633">
              <w:t xml:space="preserve">turpmāk - </w:t>
            </w:r>
            <w:r w:rsidRPr="00BA32B7">
              <w:t>LU)</w:t>
            </w:r>
            <w:r w:rsidR="00BA32B7" w:rsidRPr="00BA32B7">
              <w:t>,</w:t>
            </w:r>
            <w:r w:rsidRPr="00BA32B7">
              <w:t xml:space="preserve"> </w:t>
            </w:r>
            <w:r w:rsidR="00B15B91" w:rsidRPr="00BA32B7">
              <w:t>Latvijas Ārstu biedrība (turpmāk – LĀB)</w:t>
            </w:r>
            <w:r w:rsidR="00BA32B7" w:rsidRPr="00BA32B7">
              <w:t xml:space="preserve"> un Latvijas Ģimenes ārstu asociācija</w:t>
            </w:r>
            <w:r>
              <w:t xml:space="preserve"> </w:t>
            </w:r>
            <w:r w:rsidR="002A5492">
              <w:t xml:space="preserve">aicina diskutēt </w:t>
            </w:r>
            <w:r w:rsidR="000E3C69">
              <w:t xml:space="preserve">par </w:t>
            </w:r>
            <w:r w:rsidR="00BA32B7" w:rsidRPr="00F50FD0">
              <w:t xml:space="preserve">valsts budžeta finansēto vietu sadalījumu </w:t>
            </w:r>
            <w:r w:rsidR="00BA32B7">
              <w:t>starp</w:t>
            </w:r>
            <w:r w:rsidR="00BA32B7" w:rsidRPr="00F50FD0">
              <w:t xml:space="preserve"> augstskolām proporcionāli atbilstošā gad</w:t>
            </w:r>
            <w:r w:rsidR="00BA32B7">
              <w:t>ā</w:t>
            </w:r>
            <w:r w:rsidR="00BA32B7" w:rsidRPr="00F50FD0">
              <w:t xml:space="preserve"> ārsta grādu ieguvušo absolventu skaitam katrā augstskolā, kuri mācījušies par valsts budžeta līdzekļiem</w:t>
            </w:r>
            <w:r w:rsidR="003B258B">
              <w:t xml:space="preserve">. Kā arī ierosina, diskutēt par </w:t>
            </w:r>
            <w:r w:rsidR="002A5492">
              <w:t>vienot</w:t>
            </w:r>
            <w:r w:rsidR="000E3C69">
              <w:t>as</w:t>
            </w:r>
            <w:r w:rsidR="002A5492">
              <w:t xml:space="preserve"> rezidentūras uzņemšanas komisij</w:t>
            </w:r>
            <w:r w:rsidR="000E3C69">
              <w:t>as izveidi</w:t>
            </w:r>
            <w:r w:rsidR="00BA32B7">
              <w:t xml:space="preserve">. </w:t>
            </w:r>
            <w:r w:rsidR="003B258B">
              <w:t xml:space="preserve">Iepriekš minētos priekšlikumus </w:t>
            </w:r>
            <w:r w:rsidR="00BA32B7">
              <w:lastRenderedPageBreak/>
              <w:t xml:space="preserve">Veselības ministrija </w:t>
            </w:r>
            <w:r w:rsidR="003B258B">
              <w:t>ir ņēmusi</w:t>
            </w:r>
            <w:r w:rsidR="00BA32B7">
              <w:t xml:space="preserve"> vērā</w:t>
            </w:r>
            <w:r w:rsidR="003B258B">
              <w:t xml:space="preserve">, un </w:t>
            </w:r>
            <w:r w:rsidR="00C842BA">
              <w:t xml:space="preserve">noteikumu projekts ir papildināts, nosakot, ka augstskolas izveido vienoto uzņemšanas komisiju. Kā arī Veselības ministrijas pārstāvji 2015.gada 22.novembrī piedalījās Latvijas Jauno ārstu asociācijas organizētajā diskusijā par rezidentūras organizēšanas jautājumiem, kā arī Veselības ministrija 2016.gada februārī organizē tikšanos ar Rīgas Stradiņa universitātes, Latvijas Universitātes, Latvijas Ārstu biedrības, Latvijas Slimnīcu biedrības, Latvijas Jauno ārstu asociācijas un Latvijas Medicīnas studentu asociācijas pārstāvjiem, lai pārrunātu rezidentūras vietu sadales, rezidentūras organizēšanas  un rezidentūras finansēšanas jautājumus.  </w:t>
            </w:r>
          </w:p>
          <w:p w:rsidR="0035031A" w:rsidRDefault="000E3C69" w:rsidP="0035031A">
            <w:pPr>
              <w:ind w:firstLine="300"/>
              <w:jc w:val="both"/>
            </w:pPr>
            <w:r w:rsidRPr="0035031A">
              <w:t>Daugavpils reģionālā slimnīca</w:t>
            </w:r>
            <w:r>
              <w:t xml:space="preserve"> ierosina noteikt, ka uz </w:t>
            </w:r>
            <w:r w:rsidRPr="000E3C69">
              <w:t>no valsts budžeta līdzekļiem finansējamo rezidentūras vietu var pieteikties tikai rezidentūras pretendenti, kuriem ir noslēgta vienošanās ar pašvaldību vai valsts vai pašvaldības ārstniecības iestādi, kas sniedz no valsts budžeta apmaksātus veselības aprūpes pakalpojumus, ārpus Rīgas par darba tiesisko attiecību uzsākšanu attiecīgajā ārstniecības iestādē ārpus Rīgas pēc rezidentūras programmas beigšanas.</w:t>
            </w:r>
          </w:p>
          <w:p w:rsidR="000E3C69" w:rsidRDefault="0035031A" w:rsidP="0035031A">
            <w:pPr>
              <w:ind w:firstLine="300"/>
              <w:jc w:val="both"/>
            </w:pPr>
            <w:r>
              <w:t xml:space="preserve"> </w:t>
            </w:r>
            <w:r w:rsidR="0027199F" w:rsidRPr="0027199F">
              <w:rPr>
                <w:u w:val="single"/>
              </w:rPr>
              <w:t>LU,</w:t>
            </w:r>
            <w:r w:rsidR="0027199F">
              <w:t xml:space="preserve"> </w:t>
            </w:r>
            <w:r w:rsidR="000E3C69" w:rsidRPr="000E3C69">
              <w:rPr>
                <w:u w:val="single"/>
              </w:rPr>
              <w:t>Latvijas Lielo pilsētu asociācija</w:t>
            </w:r>
            <w:r w:rsidR="000E3C69">
              <w:t xml:space="preserve"> un </w:t>
            </w:r>
            <w:r w:rsidR="000E3C69" w:rsidRPr="000E3C69">
              <w:rPr>
                <w:u w:val="single"/>
              </w:rPr>
              <w:t>Ziemeļkurzemes reģionālā slimnīca</w:t>
            </w:r>
            <w:r w:rsidR="000E3C69" w:rsidRPr="000E3C69">
              <w:t xml:space="preserve"> pauž viedokli, ka </w:t>
            </w:r>
            <w:r w:rsidR="000E3C69">
              <w:t xml:space="preserve">rezidentūras pretendentu uzņemšanas procesā </w:t>
            </w:r>
            <w:r w:rsidR="000E3C69" w:rsidRPr="000E3C69">
              <w:t xml:space="preserve">identisks punktu skaits rezidentūras vietu pretendentiem ir reti izņēmuma gadījumi. </w:t>
            </w:r>
            <w:r w:rsidR="0027199F" w:rsidRPr="0027199F">
              <w:t xml:space="preserve">Kā vienu no variantiem </w:t>
            </w:r>
            <w:r w:rsidR="0027199F" w:rsidRPr="0027199F">
              <w:rPr>
                <w:u w:val="single"/>
              </w:rPr>
              <w:t>LU</w:t>
            </w:r>
            <w:r w:rsidR="0027199F" w:rsidRPr="0027199F">
              <w:t xml:space="preserve"> piedāvā noteiktu skaitu valsts budžeta studiju vietu piešķiršanu (iespējams, ar paaugstinātu atalgojumu) pretendentiem, kuri slēdz atbilstošu līgumu par darba vietu konkrētā reģionā pēc beigšanas. Tas ļautu rezidentam jau laicīgi plānot savu nākotni, turklāt tā vienlaicīgi būtu arī paša rezidenta izvēle, nevis uzspiesta sadale.</w:t>
            </w:r>
            <w:r w:rsidR="000E3C69">
              <w:t xml:space="preserve"> </w:t>
            </w:r>
            <w:r w:rsidR="0096484C" w:rsidRPr="00EF3767">
              <w:t>LĀB</w:t>
            </w:r>
            <w:r w:rsidR="0096484C">
              <w:t xml:space="preserve"> norāda, ka n</w:t>
            </w:r>
            <w:r w:rsidR="0096484C" w:rsidRPr="00517806">
              <w:t>oteikumu projekt</w:t>
            </w:r>
            <w:r w:rsidR="0096484C">
              <w:t>ā</w:t>
            </w:r>
            <w:r w:rsidR="0096484C" w:rsidRPr="00517806">
              <w:t xml:space="preserve"> paustā nostādne, ka tikai pie vienlīdzīgiem rezultātiem vienošanās starp pretendentu uz rezidentūras valsts budžeta finansētu vietu un reģionālo ārstniecības iestādi vai pašvaldību sniedz priekšrocības, ir nepietiekama, lai </w:t>
            </w:r>
            <w:r w:rsidR="0096484C">
              <w:t xml:space="preserve">risinātu </w:t>
            </w:r>
            <w:r w:rsidR="0096484C" w:rsidRPr="000E3C69">
              <w:t>medicīniskā personāla trūkuma problēmu reģionos.</w:t>
            </w:r>
            <w:r w:rsidR="0096484C">
              <w:t xml:space="preserve">  </w:t>
            </w:r>
            <w:r w:rsidR="000E3C69" w:rsidRPr="00EF3767">
              <w:t>Latvijas Lielo pilsētu asociācija</w:t>
            </w:r>
            <w:r w:rsidR="000E3C69">
              <w:t xml:space="preserve"> un </w:t>
            </w:r>
            <w:r w:rsidR="000E3C69" w:rsidRPr="00EF3767">
              <w:t>Ziemeļkurzemes reģionālā slimnīca</w:t>
            </w:r>
            <w:r w:rsidR="000E3C69">
              <w:t xml:space="preserve"> papildus ierosina </w:t>
            </w:r>
            <w:r w:rsidR="000E3C69" w:rsidRPr="00FD39DD">
              <w:t xml:space="preserve">konkursu uz no valsts budžeta finansētām vietām rezidentūrā sadalīt divās atsevišķās daļās, paredzot ka, piemēram, 50% no budžeta vietām rezidentūrā tiek aizpildītas </w:t>
            </w:r>
            <w:r w:rsidR="000E3C69" w:rsidRPr="00FD39DD">
              <w:lastRenderedPageBreak/>
              <w:t>vispārējā kārtībā, bet 50% no budžeta vietām rezidentūrā tiek iezīmētas pretendentiem, kuriem ir noslēgt</w:t>
            </w:r>
            <w:r w:rsidR="00FD39DD" w:rsidRPr="00FD39DD">
              <w:t>a vienošanās</w:t>
            </w:r>
            <w:r w:rsidR="000E3C69" w:rsidRPr="00FD39DD">
              <w:t xml:space="preserve"> ar pašvaldību un/vai valsts vai pašvaldības ārstniecības iestādi ārpus Rīgas par darba uzsākšanu attiecīgajā ārstniecības iestādē ārpus Rīgas pēc rezidentūras studiju absolvēšanas. Kā arī rezidentu kandidātu konkursa vērtējuma kritērijos noteikt būtisku punktu skaitu (piemēram, 10-20% no maksimāli iespējamo punktu skaita) tiem pretendentiem, kuriem ir noslēgti līgumi ar pašvaldību un/vai valsts vai pašvaldības ārstniecības iestādi ārpus Rīgas par darba uzsākšanu attiecīgajā ārstniecības iestādē ārpus Rīgas pēc rezidentūras studiju absolvēšanas.</w:t>
            </w:r>
          </w:p>
          <w:p w:rsidR="00EF3767" w:rsidRDefault="00EF3767" w:rsidP="00EF3767">
            <w:pPr>
              <w:ind w:firstLine="300"/>
              <w:jc w:val="both"/>
            </w:pPr>
            <w:r>
              <w:t xml:space="preserve">Veselības ministrija ņem vērā šos priekšlikumus, vienlaikus norādot, ka ne visās specialitātēs var būt noslēgta vienošanās, jo ir specialitātes, kur veselības aprūpes pakalpojums tiek sniegts tikai Rīgā (piemēram, sirds ķirurgs).  </w:t>
            </w:r>
          </w:p>
          <w:p w:rsidR="002A5492" w:rsidRDefault="00FC6420" w:rsidP="0096484C">
            <w:pPr>
              <w:ind w:firstLine="291"/>
              <w:jc w:val="both"/>
            </w:pPr>
            <w:r w:rsidRPr="00EF3767">
              <w:t>LU</w:t>
            </w:r>
            <w:r>
              <w:t xml:space="preserve"> un </w:t>
            </w:r>
            <w:r w:rsidR="00517806">
              <w:t xml:space="preserve">LĀB akcentē, ka </w:t>
            </w:r>
            <w:r w:rsidR="00517806" w:rsidRPr="00517806">
              <w:t xml:space="preserve">nav </w:t>
            </w:r>
            <w:r w:rsidR="00517806">
              <w:t xml:space="preserve">noteikta </w:t>
            </w:r>
            <w:r w:rsidR="00517806" w:rsidRPr="00517806">
              <w:t xml:space="preserve">reģionālās ārstniecības iestādes vai pašvaldības atbildība, ja pēc rezidentūras beigšanas tās tomēr kādu iemeslu dēļ nevar nodrošināt ar darba vietu </w:t>
            </w:r>
            <w:r w:rsidR="0096484C">
              <w:t xml:space="preserve">savstarpēji noslēgtajā līgumā </w:t>
            </w:r>
            <w:r w:rsidR="00517806" w:rsidRPr="00517806">
              <w:t>paredzētajā specialitātē.</w:t>
            </w:r>
          </w:p>
          <w:p w:rsidR="00FC3A14" w:rsidRDefault="00EF3767" w:rsidP="00C842BA">
            <w:pPr>
              <w:ind w:firstLine="291"/>
              <w:jc w:val="both"/>
            </w:pPr>
            <w:r>
              <w:t xml:space="preserve">Priekšlikums ir ņemts vērā, Veselības ministrija </w:t>
            </w:r>
            <w:r w:rsidR="00FC3A14">
              <w:t>precizē</w:t>
            </w:r>
            <w:r>
              <w:t>tajā</w:t>
            </w:r>
            <w:r w:rsidR="00FC3A14">
              <w:t xml:space="preserve"> noteikumu projekt</w:t>
            </w:r>
            <w:r>
              <w:t xml:space="preserve">ā akcentē, ka vienošanās ir noslēdzama tikai Veselības ministrijas apstiprinātajās specialitātēs (to norādot noslēdzot vienošanos). Ja ārstniecības iestāde kādu iemeslu dēļ nevar nodrošināt rezidentūras absolventu ar darba vietu, persona strādās </w:t>
            </w:r>
            <w:r w:rsidR="00C842BA">
              <w:t xml:space="preserve">kādā no noteikumu projekta 1.8.apakšpunktā minētajām </w:t>
            </w:r>
            <w:r>
              <w:t>iestādē</w:t>
            </w:r>
            <w:r w:rsidR="00C842BA">
              <w:t>m</w:t>
            </w:r>
            <w:r>
              <w:t>.</w:t>
            </w:r>
            <w:r w:rsidR="00FC3A14">
              <w:t xml:space="preserve"> </w:t>
            </w:r>
          </w:p>
          <w:p w:rsidR="00A8609E" w:rsidRPr="005C0E8D" w:rsidRDefault="00A8609E" w:rsidP="00A8609E">
            <w:pPr>
              <w:ind w:firstLine="291"/>
              <w:jc w:val="both"/>
            </w:pPr>
            <w:r w:rsidRPr="005C0E8D">
              <w:t>Pēc precizētā noteikumu projekta saskaņošanas elektroniski saņemtajos atzinumos izteiktie iebildumi un priekšlikumi:</w:t>
            </w:r>
          </w:p>
          <w:p w:rsidR="007920D9" w:rsidRPr="005C0E8D" w:rsidRDefault="00CC0823" w:rsidP="00CC0823">
            <w:pPr>
              <w:ind w:left="43"/>
              <w:jc w:val="both"/>
            </w:pPr>
            <w:r w:rsidRPr="005C0E8D">
              <w:t xml:space="preserve">1) par </w:t>
            </w:r>
            <w:r w:rsidR="007920D9" w:rsidRPr="005C0E8D">
              <w:t>noteikuma projekta 1.1.apakšpunktu, kas paredz izteikt Noteikumu Nr.685 5.punktu jaunā redakcijā</w:t>
            </w:r>
            <w:r w:rsidRPr="005C0E8D">
              <w:t>:</w:t>
            </w:r>
            <w:r w:rsidR="007920D9" w:rsidRPr="005C0E8D">
              <w:t xml:space="preserve"> </w:t>
            </w:r>
          </w:p>
          <w:p w:rsidR="00A8609E" w:rsidRDefault="00CC0823" w:rsidP="00CC0823">
            <w:pPr>
              <w:ind w:left="45"/>
              <w:jc w:val="both"/>
            </w:pPr>
            <w:r w:rsidRPr="005C0E8D">
              <w:t xml:space="preserve">- </w:t>
            </w:r>
            <w:r w:rsidR="00E0251A" w:rsidRPr="005C0E8D">
              <w:t>AIP ieskatā vienotas uzņemšanas komisijas izveidošana ir pretrunā ar Augstskolu likuma normām. AIP ieskatā kopīga uzņemšanas komisija var pastāvēt tikai gadījumā, ja augstskolu senāti nolemj tādu izveidot.</w:t>
            </w:r>
          </w:p>
          <w:p w:rsidR="005C0E8D" w:rsidRDefault="005C0E8D" w:rsidP="005C0E8D">
            <w:pPr>
              <w:pStyle w:val="naisc"/>
              <w:spacing w:before="0" w:after="0"/>
              <w:ind w:firstLine="327"/>
              <w:jc w:val="both"/>
            </w:pPr>
            <w:r>
              <w:t>Noteikumu projektā punkts precizēts, nosakot, ka vienoto uzņemšanas komisiju izveido augstskolas un šajā komisijā iekļauj Veselības ministrijas pārstāvi.</w:t>
            </w:r>
          </w:p>
          <w:p w:rsidR="005C0E8D" w:rsidRPr="002A76B5" w:rsidRDefault="005C0E8D" w:rsidP="005C0E8D">
            <w:pPr>
              <w:ind w:left="45"/>
              <w:jc w:val="both"/>
            </w:pPr>
            <w:r w:rsidRPr="002A76B5">
              <w:t xml:space="preserve">Veselības ministrija </w:t>
            </w:r>
            <w:proofErr w:type="gramStart"/>
            <w:r w:rsidRPr="002A76B5">
              <w:t>2016.gada</w:t>
            </w:r>
            <w:proofErr w:type="gramEnd"/>
            <w:r w:rsidRPr="002A76B5">
              <w:t xml:space="preserve"> 12.februārī organizēja sanāksmi par rezidentūras sadales un </w:t>
            </w:r>
            <w:r w:rsidRPr="002A76B5">
              <w:lastRenderedPageBreak/>
              <w:t>rezidentūras finansēšanas jautājumiem. Sanāksmē piedalījās pārstāvji no RSU un LU. Sanāksmes dalībnieki vienojās par vienotas uzņemšanas komisijas izveidi.</w:t>
            </w:r>
            <w:r>
              <w:t xml:space="preserve"> Ņemot vērā, ka rezidenti ir arī ārstniecības iestādē strādājošie, savukārt Veselības ministrija ir atbildīgā institūcija par veselības nozares politikas izstrādi un īstenošanu, minētās vienotās uzņemšanas komisijas sastāvā būtu nepieciešams iekļaut arī Veselības ministrijas pārstāvi.</w:t>
            </w:r>
          </w:p>
          <w:p w:rsidR="000E2E15" w:rsidRPr="005C0E8D" w:rsidRDefault="00CC0823" w:rsidP="00CC0823">
            <w:pPr>
              <w:jc w:val="both"/>
            </w:pPr>
            <w:r>
              <w:t xml:space="preserve">- </w:t>
            </w:r>
            <w:r w:rsidR="007920D9" w:rsidRPr="005C0E8D">
              <w:t>RSU ierosina papildināt ar nosacījumiem par vienotas uzņemšanas komisijas funkcijām, izveides un apstiprināšanas kārtību utml., lai augstskolām un komisijai būtu nepārprotami skaidra to kompetence un darbības nosacījumi, kā arī pretendentiem būtu saprotami un caurskatāmi konkursa nosacījumi un komisijas darbības reglamentācija.</w:t>
            </w:r>
          </w:p>
          <w:p w:rsidR="00CC0823" w:rsidRPr="00CC0823" w:rsidRDefault="00421981" w:rsidP="00421981">
            <w:pPr>
              <w:ind w:firstLine="327"/>
              <w:jc w:val="both"/>
            </w:pPr>
            <w:r w:rsidRPr="005C0E8D">
              <w:t>Veselības ministrijas ieskatā nosacījumi par vienotas uzņemšanas komisijas darbību ir ietverami trīspusējā līgumā (RSU, LU un VM līgums par vienotas rezidentūras komisijas izveidi un tās darbības kārtību).</w:t>
            </w:r>
          </w:p>
          <w:p w:rsidR="00CC0823" w:rsidRPr="005C0E8D" w:rsidRDefault="00CC0823" w:rsidP="00421981">
            <w:pPr>
              <w:spacing w:before="120"/>
              <w:ind w:left="45"/>
              <w:jc w:val="both"/>
            </w:pPr>
            <w:r w:rsidRPr="005C0E8D">
              <w:t>2) par noteikuma projekta 1.</w:t>
            </w:r>
            <w:r w:rsidR="00421981" w:rsidRPr="005C0E8D">
              <w:t>2</w:t>
            </w:r>
            <w:r w:rsidRPr="005C0E8D">
              <w:t>.apakšpunktu, kas paredz papildināt Noteikumus Nr.685 ar 5.</w:t>
            </w:r>
            <w:r w:rsidRPr="005C0E8D">
              <w:rPr>
                <w:vertAlign w:val="superscript"/>
              </w:rPr>
              <w:t>1</w:t>
            </w:r>
            <w:r w:rsidRPr="005C0E8D">
              <w:t xml:space="preserve">punktu: </w:t>
            </w:r>
          </w:p>
          <w:p w:rsidR="000E2E15" w:rsidRPr="005C0E8D" w:rsidRDefault="00CC0823" w:rsidP="00CC0823">
            <w:pPr>
              <w:jc w:val="both"/>
            </w:pPr>
            <w:r w:rsidRPr="005C0E8D">
              <w:t xml:space="preserve">- </w:t>
            </w:r>
            <w:r w:rsidR="00E0251A" w:rsidRPr="005C0E8D">
              <w:t xml:space="preserve">AIP </w:t>
            </w:r>
            <w:r w:rsidR="000E2E15" w:rsidRPr="005C0E8D">
              <w:t xml:space="preserve">uzskata, ka </w:t>
            </w:r>
            <w:r w:rsidR="00E0251A" w:rsidRPr="005C0E8D">
              <w:t>papildu uzņemšanas kritērijs - rezidentūras pretendenta noslēgtā vienošanās ar valsts vai pašvaldības ārstniecības iestādi, nevar tik noteikts ar ārēju normatīvo aktu- Ministru kabineta noteikumiem.</w:t>
            </w:r>
            <w:r w:rsidR="000E2E15" w:rsidRPr="005C0E8D">
              <w:t xml:space="preserve"> AIP norāda, ka šāda norma neatbilst Augstskolu likuma 46.panta otrajai daļai. AIP ierosina, ka šāds rezidentu uzņemšanas papildus kritērijs var pastāvēt, ja tas ir ietverts augstskolas uzņemšanas noteikumos un saskaņots ar AIP.</w:t>
            </w:r>
          </w:p>
          <w:p w:rsidR="001F1537" w:rsidRDefault="00CC0823" w:rsidP="00CC0823">
            <w:pPr>
              <w:jc w:val="both"/>
            </w:pPr>
            <w:r w:rsidRPr="005C0E8D">
              <w:t xml:space="preserve">- </w:t>
            </w:r>
            <w:r w:rsidR="001F1537" w:rsidRPr="005C0E8D">
              <w:t>LSA ierosina, noteikt, ka organizējot rezidentūras pretendentu atlasi, kā vienu no uzņemšanas kritērijiem ņem vērā noslēgto vienošanos ar pašvaldību vai valsts, vai pašvaldības veselības iestādi, kas sniedz no valsts budžeta apamksātus veselības aprūpes pakalpojumus, ārpus Rīgas par darba tiesisko attiecību uzsākšanu attiecīgajā ārstniecības iestādē ārpus Rīgas pēc rezidentūras programmas beigšanas, ja šajā vienošanās norādītās darba tiessiskās attiecības tiks nodibinātas tajā specialitātē, uz kuras rezidentūras studiju programmu rezidentūras pretendents ir pieteicies un kura atbilst Noteikumu Nr.685 4.punktā noteiktajām specialitātēm.</w:t>
            </w:r>
          </w:p>
          <w:p w:rsidR="005C0E8D" w:rsidRDefault="005C0E8D" w:rsidP="005C0E8D">
            <w:pPr>
              <w:ind w:firstLine="317"/>
              <w:jc w:val="both"/>
              <w:rPr>
                <w:bCs/>
                <w:color w:val="000000" w:themeColor="text1"/>
              </w:rPr>
            </w:pPr>
            <w:r>
              <w:rPr>
                <w:bCs/>
                <w:color w:val="000000" w:themeColor="text1"/>
              </w:rPr>
              <w:t xml:space="preserve">Skaidrojam, ka Noteikumi Nr.685 attiecas tikai uz </w:t>
            </w:r>
            <w:r>
              <w:rPr>
                <w:bCs/>
                <w:color w:val="000000" w:themeColor="text1"/>
              </w:rPr>
              <w:lastRenderedPageBreak/>
              <w:t xml:space="preserve">valsts finansētām rezidentūras studijām. Noteikumu projektā ietvertā prasība, ka prioritāti uzņem rezidentūras pretendentus, kuriem ir vienošanās ar ārstniecības iestādi ārpus Rīgas, ir nevis papildus prasība uzņemšanai studiju programmā, bet gan finansēšanas nosacījums – valsts prioritāri apmaksā rezidentūras studijas tiem rezidentiem, kuriem ir noslēgta vienošanās ar ārstniecības iestādi ārpus Rīgas. Ārstniecības personu nepietiekams skaits un nevienmērīgs izvietojums mazina veselības aprūpes pakalpojumu pieejamību iedzīvotājiem daudzos Latvijas reģionos, un attālākos lauku reģionos ārsta sniegtie veselības aprūpes pakalpojumi iedzīvotājiem ir mazāk pieejami. Šobrīd noteikumu projektā ietvertā prasība, ir vēl viens mehānisms, kā palielināt veselības aprūpes pakalpojumu pieejamību arī ārpus Rīgas. Vēršam uzmanību, ka Satversmes tiesa ir atzinusi, ka ar mērķi aizsargāt sabiedrības labklājību var saprast arī nepieciešamību valsts rīcībā esošos finanšu līdzekļus izmantot pēc iespējas lietderīgāk un saprātīgāk. Satversmes tiesa ir atzinusi, ka valstij ir pienākums samērot sabiedrības labklājību ar savām ekonomiskajām iespējām. Proti, valstij ir jārada uz tās </w:t>
            </w:r>
            <w:proofErr w:type="spellStart"/>
            <w:r>
              <w:rPr>
                <w:bCs/>
                <w:color w:val="000000" w:themeColor="text1"/>
              </w:rPr>
              <w:t>ilgspējīgu</w:t>
            </w:r>
            <w:proofErr w:type="spellEnd"/>
            <w:r>
              <w:rPr>
                <w:bCs/>
                <w:color w:val="000000" w:themeColor="text1"/>
              </w:rPr>
              <w:t xml:space="preserve"> attīstību vērsts tiesiskais regulējums un jāizraugās sociāli atbildīgs risinājums, kura rezultātā atsevišķu personu tiesiskās intereses tiek saskaņotas ar sabiedrības interesēm (</w:t>
            </w:r>
            <w:r w:rsidRPr="0024300A">
              <w:rPr>
                <w:bCs/>
                <w:i/>
                <w:color w:val="000000" w:themeColor="text1"/>
              </w:rPr>
              <w:t xml:space="preserve">Satversmes tiesas </w:t>
            </w:r>
            <w:proofErr w:type="gramStart"/>
            <w:r w:rsidRPr="0024300A">
              <w:rPr>
                <w:bCs/>
                <w:i/>
                <w:color w:val="000000" w:themeColor="text1"/>
              </w:rPr>
              <w:t>2012.gada</w:t>
            </w:r>
            <w:proofErr w:type="gramEnd"/>
            <w:r w:rsidRPr="0024300A">
              <w:rPr>
                <w:bCs/>
                <w:i/>
                <w:color w:val="000000" w:themeColor="text1"/>
              </w:rPr>
              <w:t xml:space="preserve"> 3.maija sprieduma lietā Nr.2011-14-03 17.4.punkts</w:t>
            </w:r>
            <w:r>
              <w:rPr>
                <w:bCs/>
                <w:color w:val="000000" w:themeColor="text1"/>
              </w:rPr>
              <w:t>).</w:t>
            </w:r>
          </w:p>
          <w:p w:rsidR="00CC0823" w:rsidRPr="005C0E8D" w:rsidRDefault="00CC0823" w:rsidP="00421981">
            <w:pPr>
              <w:spacing w:before="120"/>
              <w:ind w:left="45"/>
              <w:jc w:val="both"/>
            </w:pPr>
            <w:r w:rsidRPr="005C0E8D">
              <w:t>3) par noteikuma projekta 1.</w:t>
            </w:r>
            <w:r w:rsidR="00421981" w:rsidRPr="005C0E8D">
              <w:t>4</w:t>
            </w:r>
            <w:r w:rsidRPr="005C0E8D">
              <w:t xml:space="preserve">.apakšpunktu, kas paredz izteikt Noteikumu Nr.685 7.punktu jaunā redakcijā: </w:t>
            </w:r>
          </w:p>
          <w:p w:rsidR="00E0251A" w:rsidRPr="005C0E8D" w:rsidRDefault="00CC0823" w:rsidP="00CC0823">
            <w:pPr>
              <w:jc w:val="both"/>
            </w:pPr>
            <w:r w:rsidRPr="005C0E8D">
              <w:t>- RSU piedāvā precizēt 7.punkta redakciju, lai viennozīmīgi būtu saprotams, cik prioritātes pretendents var norādīt, kā arī būtu reglamentēts, ka rezidents abas šīs prioritātes var noteikt vienā augstskolā vai sadalīt tās pa vairākām. Tā pat jāņem vērā, ka iesniedzot pieteikumu konkursam, pretendentam nebūs vēl zināms specialitāšu sadalījums pa augstskolām, līdz ar to nepieciešams pretendentam dot iespēju prioritāri norādīt ne tikai specialitāti, bet arī augstskolu.</w:t>
            </w:r>
          </w:p>
          <w:p w:rsidR="00CC0823" w:rsidRDefault="00421981" w:rsidP="00CC0823">
            <w:pPr>
              <w:ind w:left="43"/>
              <w:jc w:val="both"/>
            </w:pPr>
            <w:r w:rsidRPr="005C0E8D">
              <w:t>Priekšlikums ir ņemts vērā.</w:t>
            </w:r>
          </w:p>
          <w:p w:rsidR="00CC0823" w:rsidRPr="005C0E8D" w:rsidRDefault="00CC0823" w:rsidP="00421981">
            <w:pPr>
              <w:spacing w:before="120"/>
              <w:ind w:left="45"/>
              <w:jc w:val="both"/>
            </w:pPr>
            <w:r w:rsidRPr="005C0E8D">
              <w:t>4) par noteikuma projekta 1.</w:t>
            </w:r>
            <w:r w:rsidR="002B55A2" w:rsidRPr="005C0E8D">
              <w:t>7</w:t>
            </w:r>
            <w:r w:rsidRPr="005C0E8D">
              <w:t>.apakšpunktu, kas paredz papildināt Noteikumu Nr.685 19.</w:t>
            </w:r>
            <w:r w:rsidRPr="005C0E8D">
              <w:rPr>
                <w:vertAlign w:val="superscript"/>
              </w:rPr>
              <w:t>1</w:t>
            </w:r>
            <w:r w:rsidRPr="005C0E8D">
              <w:t xml:space="preserve">punktu: </w:t>
            </w:r>
          </w:p>
          <w:p w:rsidR="00CC0823" w:rsidRPr="005C0E8D" w:rsidRDefault="00CC0823" w:rsidP="00CC0823">
            <w:pPr>
              <w:jc w:val="both"/>
            </w:pPr>
            <w:r w:rsidRPr="005C0E8D">
              <w:t>- RSU ierosina precizēt 19.</w:t>
            </w:r>
            <w:r w:rsidRPr="005C0E8D">
              <w:rPr>
                <w:vertAlign w:val="superscript"/>
              </w:rPr>
              <w:t>1</w:t>
            </w:r>
            <w:r w:rsidRPr="005C0E8D">
              <w:t xml:space="preserve">punkta redakciju, nosakot, ka augstskolu un ārstniecības iestāžu </w:t>
            </w:r>
            <w:r w:rsidRPr="005C0E8D">
              <w:lastRenderedPageBreak/>
              <w:t>līgumos papildus iekļauj augstskolas un ārstniecības iestādes sadarbības principus rezidentu apmācības jautājumā, tajā skaitā: kārtību, kādā augstskolas veic teorētiskās un praktiskās izglītības kvalitātes un norises pārbaudi ārstniecības iestādēs, kārtību kādā saskaņo un apstiprina apmācīt tiesīgos ārstus, kārtību kādā augstskola piešķirtā finansējuma izlietošanas pārbaudi ārstniecības iestādēs, atbilstīgi ārstniecības iestādes un augstskolas līgumam un iesniegtajām atskaitēm. RSU norāda, ka Šī brīža regulējuma pamata fokuss ir uz ārstniecības iestādēm un darba attiecībām, bet augstskolām un izglītības procesam lielā mērā ir piešķirta otršķirīga loma. Augstskolas ne finansiāli, ne faktiski nespēj pilnvērtīgi noteikt studiju saturu, kā arī izkontrolēt studiju norisi ārstniecības iestādēs. Programmu realizāciju faktiski ir pārņēmušas ārstniecības iestādes, neatbildot par programmu izpildi un kvalitāti, un augstskolu loma mācību procesā ir samazinājusies ļoti būtiski (piemēram, semināru, prakses vadītāju nominēšana no ārstniecības iestāžu puses, bieža studiju programmu vadītāju prasību ignorēšana utt.). Minētā ietvaros augstskola nevar pilnvērtīgi izkontrolēt, kā ārstniecības iestādes ar finansējumu rīkojas, augstskola nevar ietekmēt personāla izvēli, tā darba kontroli un koriģēšanu, dot norādījumus utt.. Šie apstākļi ir nesavienojami ne tikai ar rezidentūras pamata mērķi - izglītību, bet arī ar normatīvajos aktos augstskolām, nevis ārstniecības iestādēm, noteikto atbildību par studiju procesa kvalitāti.</w:t>
            </w:r>
          </w:p>
          <w:p w:rsidR="00CC0823" w:rsidRPr="005C0E8D" w:rsidRDefault="002B55A2" w:rsidP="002B55A2">
            <w:pPr>
              <w:ind w:firstLine="327"/>
              <w:jc w:val="both"/>
            </w:pPr>
            <w:r w:rsidRPr="005C0E8D">
              <w:t>Veselības ministrijas ieskatā detalizēti sadarbības principi (tai skaitā kārtība) ietverami augstskolu un ārstniecības iestāžu līgumos.</w:t>
            </w:r>
          </w:p>
          <w:p w:rsidR="00CC0823" w:rsidRPr="005C0E8D" w:rsidRDefault="00CC0823" w:rsidP="002B55A2">
            <w:pPr>
              <w:spacing w:before="120"/>
              <w:ind w:left="45"/>
              <w:jc w:val="both"/>
            </w:pPr>
            <w:r w:rsidRPr="005C0E8D">
              <w:t>5) par noteikuma projekta 1.</w:t>
            </w:r>
            <w:r w:rsidR="002B55A2" w:rsidRPr="005C0E8D">
              <w:t>8</w:t>
            </w:r>
            <w:r w:rsidRPr="005C0E8D">
              <w:t xml:space="preserve">.apakšpunktu, kas paredz izteikt Noteikumu Nr.685 28.punktu jaunā redakcijā: </w:t>
            </w:r>
          </w:p>
          <w:p w:rsidR="000E2E15" w:rsidRPr="005C0E8D" w:rsidRDefault="00CC0823" w:rsidP="00CC0823">
            <w:pPr>
              <w:jc w:val="both"/>
            </w:pPr>
            <w:r w:rsidRPr="005C0E8D">
              <w:t xml:space="preserve">- </w:t>
            </w:r>
            <w:r w:rsidR="000E2E15" w:rsidRPr="005C0E8D">
              <w:t>AIP</w:t>
            </w:r>
            <w:r w:rsidR="001F1537" w:rsidRPr="005C0E8D">
              <w:t xml:space="preserve"> un LSA</w:t>
            </w:r>
            <w:r w:rsidR="000E2E15" w:rsidRPr="005C0E8D">
              <w:t xml:space="preserve"> aicina Noteikumu Nr. 685 28.punktu atstāt esošajā redakcijā (neveikt šī punkta grozījumus).</w:t>
            </w:r>
          </w:p>
          <w:p w:rsidR="00CC0823" w:rsidRPr="005C0E8D" w:rsidRDefault="00CC0823" w:rsidP="00CC0823">
            <w:pPr>
              <w:jc w:val="both"/>
            </w:pPr>
            <w:r w:rsidRPr="005C0E8D">
              <w:t>- Pamatojoties uz studējošo priekšlikumiem RSU ierosina piecu gadu termiņu aizstāt ar trīs gadu termiņu.</w:t>
            </w:r>
          </w:p>
          <w:p w:rsidR="002B55A2" w:rsidRPr="005C0E8D" w:rsidRDefault="002B55A2" w:rsidP="00CC0823">
            <w:pPr>
              <w:ind w:left="43"/>
              <w:jc w:val="both"/>
            </w:pPr>
            <w:r w:rsidRPr="005C0E8D">
              <w:t>Veselības ministrija piecu gadu termiņu ir aizstājusi ar trīs gadu termiņu.</w:t>
            </w:r>
          </w:p>
          <w:p w:rsidR="00CC0823" w:rsidRPr="005C0E8D" w:rsidRDefault="00CC0823" w:rsidP="002B55A2">
            <w:pPr>
              <w:spacing w:before="120"/>
              <w:ind w:left="45"/>
              <w:jc w:val="both"/>
            </w:pPr>
            <w:r w:rsidRPr="005C0E8D">
              <w:t xml:space="preserve">6) par noteikuma projekta 1.12.apakšpunktu, kas paredz izteikt Noteikumu Nr.685 41.punktu jaunā redakcijā: </w:t>
            </w:r>
          </w:p>
          <w:p w:rsidR="00CC0823" w:rsidRPr="005C0E8D" w:rsidRDefault="00CC0823" w:rsidP="00CC0823">
            <w:pPr>
              <w:jc w:val="both"/>
            </w:pPr>
            <w:r w:rsidRPr="005C0E8D">
              <w:lastRenderedPageBreak/>
              <w:t>-RSU ierosina pārskatīt 41.punkta formulējumu, lai tas būtu skaidrs un nepārprotams.</w:t>
            </w:r>
          </w:p>
          <w:p w:rsidR="00CC0823" w:rsidRPr="005C0E8D" w:rsidRDefault="002B55A2" w:rsidP="00CC0823">
            <w:pPr>
              <w:jc w:val="both"/>
            </w:pPr>
            <w:r w:rsidRPr="005C0E8D">
              <w:t>Priekšlikums ir ņemts vērā.</w:t>
            </w:r>
          </w:p>
          <w:p w:rsidR="00CC0823" w:rsidRPr="005C0E8D" w:rsidRDefault="004F40D8" w:rsidP="002B55A2">
            <w:pPr>
              <w:spacing w:before="120"/>
              <w:ind w:firstLine="329"/>
              <w:jc w:val="both"/>
            </w:pPr>
            <w:r w:rsidRPr="005C0E8D">
              <w:t xml:space="preserve">RSU ierosina noteikt kritērijus rezidentūras vietu sadalījumam starp augstskolām, lai korekti tiktu noteikta proporcija, nepieciešams vienots un visiem nepārprotami skaidrs un nemainīgs kritērijs, kas tiek ņemts par pamatu aprēķinam. Izglītības un zinātnes ministrijas noteiktās no valsts budžeta finansētās pamatstudiju vietas (rīkojums) ir šāds kritērijs. </w:t>
            </w:r>
          </w:p>
          <w:p w:rsidR="004F40D8" w:rsidRPr="005C0E8D" w:rsidRDefault="00491B2B" w:rsidP="004F40D8">
            <w:pPr>
              <w:ind w:firstLine="327"/>
              <w:jc w:val="both"/>
            </w:pPr>
            <w:r w:rsidRPr="005C0E8D">
              <w:t xml:space="preserve">Iepriekš minētais priekšlikums bija ietverts Valsts sekretāru 2015. gada 6. augusta sanāksmē (prot.Nr.30 23.§ (VSS-827)) iesniegtajā noteikumu projekta redakcijā. VM atbilstoši Izglītības zinātnes ministrija atzinumā izteiktajam iebildumam precizēja noteikumu projektu. </w:t>
            </w:r>
            <w:r w:rsidR="006702C3" w:rsidRPr="005C0E8D">
              <w:t xml:space="preserve">Ņemot vērā, ka par RSU priekšlikumu ir nepieciešama plašāka diskusija </w:t>
            </w:r>
            <w:r w:rsidRPr="005C0E8D">
              <w:t xml:space="preserve">VM </w:t>
            </w:r>
            <w:r w:rsidR="006702C3" w:rsidRPr="005C0E8D">
              <w:t xml:space="preserve">to ir ietvērusi </w:t>
            </w:r>
            <w:r w:rsidRPr="005C0E8D">
              <w:t>informatīv</w:t>
            </w:r>
            <w:r w:rsidR="006702C3" w:rsidRPr="005C0E8D">
              <w:t>ajā</w:t>
            </w:r>
            <w:r w:rsidRPr="005C0E8D">
              <w:t xml:space="preserve"> ziņojum</w:t>
            </w:r>
            <w:r w:rsidR="006702C3" w:rsidRPr="005C0E8D">
              <w:t>ā</w:t>
            </w:r>
            <w:r w:rsidRPr="005C0E8D">
              <w:t xml:space="preserve"> „Par izglītības attīstību veselības aprūpē”. </w:t>
            </w:r>
          </w:p>
          <w:p w:rsidR="000E2E15" w:rsidRPr="005C0E8D" w:rsidRDefault="000E2E15" w:rsidP="00491B2B">
            <w:pPr>
              <w:spacing w:before="120"/>
              <w:ind w:firstLine="329"/>
              <w:jc w:val="both"/>
            </w:pPr>
            <w:r w:rsidRPr="005C0E8D">
              <w:t>AIP</w:t>
            </w:r>
            <w:r w:rsidR="00817A35" w:rsidRPr="005C0E8D">
              <w:t xml:space="preserve"> un LSA</w:t>
            </w:r>
            <w:r w:rsidRPr="005C0E8D">
              <w:t xml:space="preserve"> norāda, ka Noteikumu projekta sākotnējās ietekmes novērtējuma ziņojums (anotācijas) nesatur nekādus datus par reģionos nepieciešamo ārstniecības personu skaitu vai nodrošinājumu ar dažādu nozaru speciālistiem, līdz ar to nav izprotams, kādēļ tiek izvirzīt mērķis būtiski palielināt nepieciešamo ārstu skaitu veselības aprūpes pakalpojumu sniegšanai tieši reģionos.</w:t>
            </w:r>
          </w:p>
          <w:p w:rsidR="00F92AE3" w:rsidRDefault="00F92AE3" w:rsidP="00F92AE3">
            <w:pPr>
              <w:ind w:firstLine="399"/>
              <w:jc w:val="both"/>
            </w:pPr>
            <w:r w:rsidRPr="005C0E8D">
              <w:t>Atbilstoši AIP</w:t>
            </w:r>
            <w:r w:rsidR="00B72F5C" w:rsidRPr="005C0E8D">
              <w:t xml:space="preserve"> un LSA</w:t>
            </w:r>
            <w:r w:rsidRPr="005C0E8D">
              <w:t xml:space="preserve"> atzinumā izteiktajam iebildumam ir precizēta anotācija - Veselības ministrijas apkopotā ārstniecības iestāžu sniegto informācija par ārstu un zobārstu skaitu, kurus ārstniecības iestādes varētu nodrošināt ar darbu (laika periods no </w:t>
            </w:r>
            <w:proofErr w:type="gramStart"/>
            <w:r w:rsidRPr="005C0E8D">
              <w:t>2015.gada</w:t>
            </w:r>
            <w:proofErr w:type="gramEnd"/>
            <w:r w:rsidRPr="005C0E8D">
              <w:t xml:space="preserve"> līdz 2021.gadam) pēc rezidentūras beigšanas, ir pieejama Veselības ministrijas tīmekļa vietnē (</w:t>
            </w:r>
            <w:hyperlink r:id="rId11" w:history="1">
              <w:r w:rsidRPr="005C0E8D">
                <w:rPr>
                  <w:rStyle w:val="Hyperlink"/>
                </w:rPr>
                <w:t>http://www.vm.gov.lv/lv/nozare/rezidentiem/arstu_un_zobarstu_skaits_kurus_arstniecibas_iestades_varetu_/</w:t>
              </w:r>
            </w:hyperlink>
            <w:r w:rsidRPr="005C0E8D">
              <w:t>).</w:t>
            </w:r>
            <w:r>
              <w:t xml:space="preserve"> </w:t>
            </w:r>
          </w:p>
          <w:p w:rsidR="000E2E15" w:rsidRPr="004C25D2" w:rsidRDefault="000E2E15" w:rsidP="000E2E15">
            <w:pPr>
              <w:ind w:firstLine="291"/>
              <w:jc w:val="both"/>
            </w:pPr>
          </w:p>
        </w:tc>
      </w:tr>
      <w:tr w:rsidR="00C04093" w:rsidRPr="004C25D2" w:rsidTr="00C04093">
        <w:trPr>
          <w:trHeight w:val="465"/>
          <w:jc w:val="center"/>
        </w:trPr>
        <w:tc>
          <w:tcPr>
            <w:tcW w:w="249"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lastRenderedPageBreak/>
              <w:t>4.</w:t>
            </w:r>
          </w:p>
        </w:tc>
        <w:tc>
          <w:tcPr>
            <w:tcW w:w="1901"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Cita informācija</w:t>
            </w:r>
          </w:p>
        </w:tc>
        <w:tc>
          <w:tcPr>
            <w:tcW w:w="2849"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sidP="00DB60BA">
            <w:pPr>
              <w:pStyle w:val="tvhtml"/>
              <w:spacing w:line="315" w:lineRule="atLeast"/>
            </w:pPr>
            <w:r w:rsidRPr="004C25D2">
              <w:t>Nav</w:t>
            </w:r>
          </w:p>
        </w:tc>
      </w:tr>
    </w:tbl>
    <w:p w:rsidR="00043AD9" w:rsidRDefault="00043AD9" w:rsidP="00043AD9">
      <w:pPr>
        <w:pStyle w:val="tvhtml"/>
        <w:shd w:val="clear" w:color="auto" w:fill="FFFFFF"/>
        <w:spacing w:line="315" w:lineRule="atLeast"/>
        <w:ind w:firstLine="300"/>
        <w:rPr>
          <w:rFonts w:ascii="Arial" w:hAnsi="Arial" w:cs="Arial"/>
          <w:color w:val="414142"/>
          <w:sz w:val="21"/>
          <w:szCs w:val="21"/>
        </w:rPr>
      </w:pPr>
      <w:r>
        <w:rPr>
          <w:rFonts w:ascii="Arial" w:hAnsi="Arial" w:cs="Arial"/>
          <w:color w:val="414142"/>
          <w:sz w:val="21"/>
          <w:szCs w:val="21"/>
        </w:rPr>
        <w:t> </w:t>
      </w:r>
    </w:p>
    <w:p w:rsidR="005C0E8D" w:rsidRDefault="005C0E8D" w:rsidP="00043AD9">
      <w:pPr>
        <w:pStyle w:val="tvhtml"/>
        <w:shd w:val="clear" w:color="auto" w:fill="FFFFFF"/>
        <w:spacing w:line="315" w:lineRule="atLeast"/>
        <w:ind w:firstLine="300"/>
        <w:rPr>
          <w:rFonts w:ascii="Arial" w:hAnsi="Arial" w:cs="Arial"/>
          <w:color w:val="414142"/>
          <w:sz w:val="21"/>
          <w:szCs w:val="21"/>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043AD9" w:rsidRPr="004C25D2" w:rsidTr="00043AD9">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43AD9" w:rsidRPr="004C25D2" w:rsidRDefault="00043AD9">
            <w:pPr>
              <w:pStyle w:val="tvhtml"/>
              <w:spacing w:line="315" w:lineRule="atLeast"/>
              <w:jc w:val="center"/>
              <w:rPr>
                <w:b/>
                <w:bCs/>
              </w:rPr>
            </w:pPr>
            <w:r w:rsidRPr="004C25D2">
              <w:rPr>
                <w:b/>
                <w:bCs/>
              </w:rPr>
              <w:lastRenderedPageBreak/>
              <w:t>VII. Tiesību akta projekta izpildes nodrošināšana un tās ietekme uz institūcijām</w:t>
            </w:r>
          </w:p>
        </w:tc>
      </w:tr>
      <w:tr w:rsidR="00043AD9" w:rsidRPr="004C25D2" w:rsidTr="00043AD9">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1.</w:t>
            </w:r>
          </w:p>
        </w:tc>
        <w:tc>
          <w:tcPr>
            <w:tcW w:w="190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43AD9" w:rsidRPr="004C25D2" w:rsidRDefault="007A013B" w:rsidP="002F7934">
            <w:pPr>
              <w:jc w:val="both"/>
            </w:pPr>
            <w:r>
              <w:t>Ves</w:t>
            </w:r>
            <w:r w:rsidR="004E0AAF">
              <w:t>e</w:t>
            </w:r>
            <w:r>
              <w:t xml:space="preserve">lības ministrija, </w:t>
            </w:r>
            <w:r w:rsidR="0096484C">
              <w:t>Rīgas Stradiņa universitāte un Latvijas Universitāte</w:t>
            </w:r>
            <w:r>
              <w:t>.</w:t>
            </w:r>
          </w:p>
        </w:tc>
      </w:tr>
      <w:tr w:rsidR="00043AD9" w:rsidRPr="004C25D2" w:rsidTr="00043AD9">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2.</w:t>
            </w:r>
          </w:p>
        </w:tc>
        <w:tc>
          <w:tcPr>
            <w:tcW w:w="190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Projekta izpildes ietekme uz pārvaldes funkcijām un institucionālo struktūru.</w:t>
            </w:r>
          </w:p>
          <w:p w:rsidR="00043AD9" w:rsidRPr="004C25D2" w:rsidRDefault="00043AD9">
            <w:pPr>
              <w:pStyle w:val="tvhtml"/>
              <w:spacing w:line="315" w:lineRule="atLeast"/>
              <w:rPr>
                <w:lang w:val="lv-LV"/>
              </w:rPr>
            </w:pPr>
            <w:r w:rsidRPr="004C25D2">
              <w:rPr>
                <w:lang w:val="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54F9F" w:rsidRDefault="00854F9F" w:rsidP="00E04C60">
            <w:pPr>
              <w:ind w:firstLine="185"/>
              <w:jc w:val="both"/>
            </w:pPr>
            <w:r>
              <w:t>Noteikumu projekta</w:t>
            </w:r>
            <w:r w:rsidR="00CF5FCA">
              <w:t xml:space="preserve"> izpildei nav nepieciešams paplašināt institūciju funkcijas un uzdevumus.</w:t>
            </w:r>
          </w:p>
          <w:p w:rsidR="00854F9F" w:rsidRDefault="00854F9F" w:rsidP="00E04C60">
            <w:pPr>
              <w:ind w:firstLine="185"/>
              <w:jc w:val="both"/>
            </w:pPr>
          </w:p>
          <w:p w:rsidR="00854F9F" w:rsidRDefault="00854F9F" w:rsidP="00E04C60">
            <w:pPr>
              <w:ind w:firstLine="185"/>
              <w:jc w:val="both"/>
            </w:pPr>
          </w:p>
          <w:p w:rsidR="00CA5930" w:rsidRPr="004C25D2" w:rsidRDefault="00CA5930" w:rsidP="00E04C60">
            <w:pPr>
              <w:ind w:firstLine="185"/>
              <w:jc w:val="both"/>
            </w:pPr>
            <w:r w:rsidRPr="00E04C60">
              <w:t>Noteikumu projekts tiks īstenots esošu institūciju un cilvēkresursu ietvaros.</w:t>
            </w:r>
          </w:p>
        </w:tc>
      </w:tr>
      <w:tr w:rsidR="00043AD9" w:rsidRPr="004C25D2" w:rsidTr="00043AD9">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3.</w:t>
            </w:r>
          </w:p>
        </w:tc>
        <w:tc>
          <w:tcPr>
            <w:tcW w:w="190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 w:rsidRPr="004C25D2">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43AD9" w:rsidRPr="004C25D2" w:rsidRDefault="00043AD9" w:rsidP="00DB60BA">
            <w:pPr>
              <w:pStyle w:val="tvhtml"/>
              <w:spacing w:line="315" w:lineRule="atLeast"/>
            </w:pPr>
            <w:r w:rsidRPr="004C25D2">
              <w:t>Nav</w:t>
            </w:r>
          </w:p>
        </w:tc>
      </w:tr>
    </w:tbl>
    <w:p w:rsidR="00987913" w:rsidRDefault="00987913" w:rsidP="00B95D98">
      <w:pPr>
        <w:jc w:val="both"/>
        <w:rPr>
          <w:b/>
        </w:rPr>
      </w:pPr>
    </w:p>
    <w:p w:rsidR="00987913" w:rsidRPr="00A061E9" w:rsidRDefault="00A061E9" w:rsidP="00B95D98">
      <w:pPr>
        <w:jc w:val="both"/>
      </w:pPr>
      <w:r>
        <w:t>Anotācijas IV un V sadaļa – projekts š</w:t>
      </w:r>
      <w:r w:rsidR="00C1322E">
        <w:t>īs</w:t>
      </w:r>
      <w:r>
        <w:t xml:space="preserve"> jomas neskar.</w:t>
      </w:r>
    </w:p>
    <w:p w:rsidR="00C6758B" w:rsidRDefault="00C6758B" w:rsidP="00B95D98">
      <w:pPr>
        <w:jc w:val="both"/>
        <w:rPr>
          <w:b/>
        </w:rPr>
      </w:pPr>
    </w:p>
    <w:p w:rsidR="00961808" w:rsidRDefault="00961808" w:rsidP="00B95D98">
      <w:pPr>
        <w:jc w:val="both"/>
        <w:rPr>
          <w:b/>
        </w:rPr>
      </w:pPr>
    </w:p>
    <w:p w:rsidR="005C0E8D" w:rsidRPr="004C25D2" w:rsidRDefault="005C0E8D" w:rsidP="00B95D98">
      <w:pPr>
        <w:jc w:val="both"/>
        <w:rPr>
          <w:b/>
        </w:rPr>
      </w:pPr>
    </w:p>
    <w:p w:rsidR="00D852D9" w:rsidRPr="004C25D2" w:rsidRDefault="00987913" w:rsidP="00854F9F">
      <w:pPr>
        <w:autoSpaceDE w:val="0"/>
        <w:autoSpaceDN w:val="0"/>
        <w:adjustRightInd w:val="0"/>
        <w:spacing w:after="480"/>
        <w:rPr>
          <w:color w:val="000000"/>
        </w:rPr>
      </w:pPr>
      <w:r w:rsidRPr="004C25D2">
        <w:rPr>
          <w:color w:val="000000"/>
        </w:rPr>
        <w:t>Veselības ministr</w:t>
      </w:r>
      <w:r w:rsidR="00854F9F">
        <w:rPr>
          <w:color w:val="000000"/>
        </w:rPr>
        <w:t xml:space="preserve">s </w:t>
      </w:r>
      <w:r w:rsidR="00854F9F">
        <w:rPr>
          <w:color w:val="000000"/>
        </w:rPr>
        <w:tab/>
      </w:r>
      <w:r w:rsidR="00854F9F">
        <w:rPr>
          <w:color w:val="000000"/>
        </w:rPr>
        <w:tab/>
      </w:r>
      <w:r w:rsidR="00854F9F">
        <w:rPr>
          <w:color w:val="000000"/>
        </w:rPr>
        <w:tab/>
      </w:r>
      <w:r w:rsidR="00854F9F">
        <w:rPr>
          <w:color w:val="000000"/>
        </w:rPr>
        <w:tab/>
      </w:r>
      <w:r w:rsidR="00854F9F">
        <w:rPr>
          <w:color w:val="000000"/>
        </w:rPr>
        <w:tab/>
      </w:r>
      <w:r w:rsidR="00854F9F">
        <w:rPr>
          <w:color w:val="000000"/>
        </w:rPr>
        <w:tab/>
      </w:r>
      <w:r w:rsidR="00854F9F">
        <w:rPr>
          <w:color w:val="000000"/>
        </w:rPr>
        <w:tab/>
      </w:r>
      <w:r w:rsidR="00854F9F">
        <w:rPr>
          <w:color w:val="000000"/>
        </w:rPr>
        <w:tab/>
      </w:r>
      <w:proofErr w:type="gramStart"/>
      <w:r w:rsidR="00854F9F">
        <w:rPr>
          <w:color w:val="000000"/>
        </w:rPr>
        <w:t xml:space="preserve">    </w:t>
      </w:r>
      <w:proofErr w:type="gramEnd"/>
      <w:r w:rsidR="00177CA4" w:rsidRPr="004C25D2">
        <w:rPr>
          <w:color w:val="000000"/>
        </w:rPr>
        <w:t>G</w:t>
      </w:r>
      <w:r w:rsidR="00854F9F">
        <w:rPr>
          <w:color w:val="000000"/>
        </w:rPr>
        <w:t xml:space="preserve">untis </w:t>
      </w:r>
      <w:r w:rsidR="00177CA4" w:rsidRPr="004C25D2">
        <w:rPr>
          <w:color w:val="000000"/>
        </w:rPr>
        <w:t>Belēvičs</w:t>
      </w:r>
    </w:p>
    <w:p w:rsidR="00D852D9" w:rsidRPr="004C25D2" w:rsidRDefault="00854F9F" w:rsidP="00854F9F">
      <w:pPr>
        <w:autoSpaceDE w:val="0"/>
        <w:autoSpaceDN w:val="0"/>
        <w:adjustRightInd w:val="0"/>
        <w:spacing w:after="480"/>
        <w:rPr>
          <w:color w:val="000000"/>
        </w:rPr>
      </w:pPr>
      <w:r>
        <w:rPr>
          <w:color w:val="000000"/>
        </w:rPr>
        <w:t xml:space="preserve">Vīza: Valsts sekretāre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Solvita Zvidriņa</w:t>
      </w:r>
    </w:p>
    <w:p w:rsidR="00987913" w:rsidRDefault="00987913" w:rsidP="00854F9F">
      <w:pPr>
        <w:autoSpaceDE w:val="0"/>
        <w:autoSpaceDN w:val="0"/>
        <w:adjustRightInd w:val="0"/>
        <w:spacing w:after="480"/>
        <w:rPr>
          <w:color w:val="000000"/>
          <w:sz w:val="28"/>
          <w:szCs w:val="28"/>
        </w:rPr>
      </w:pPr>
    </w:p>
    <w:p w:rsidR="00961808" w:rsidRDefault="00961808" w:rsidP="00A1147A">
      <w:pPr>
        <w:autoSpaceDE w:val="0"/>
        <w:autoSpaceDN w:val="0"/>
        <w:adjustRightInd w:val="0"/>
        <w:rPr>
          <w:color w:val="000000"/>
          <w:sz w:val="28"/>
          <w:szCs w:val="28"/>
        </w:rPr>
      </w:pPr>
    </w:p>
    <w:p w:rsidR="00814CDF" w:rsidRDefault="00814CDF" w:rsidP="000C1B85">
      <w:pPr>
        <w:pStyle w:val="naisf"/>
        <w:spacing w:before="0" w:after="0"/>
        <w:ind w:firstLine="0"/>
        <w:rPr>
          <w:noProof/>
          <w:sz w:val="20"/>
          <w:szCs w:val="20"/>
        </w:rPr>
      </w:pPr>
    </w:p>
    <w:p w:rsidR="00814CDF" w:rsidRDefault="00814CDF" w:rsidP="000C1B85">
      <w:pPr>
        <w:pStyle w:val="naisf"/>
        <w:spacing w:before="0" w:after="0"/>
        <w:ind w:firstLine="0"/>
        <w:rPr>
          <w:noProof/>
          <w:sz w:val="20"/>
          <w:szCs w:val="20"/>
        </w:rPr>
      </w:pPr>
    </w:p>
    <w:p w:rsidR="00814CDF" w:rsidRDefault="00814CDF" w:rsidP="000C1B85">
      <w:pPr>
        <w:pStyle w:val="naisf"/>
        <w:spacing w:before="0" w:after="0"/>
        <w:ind w:firstLine="0"/>
        <w:rPr>
          <w:noProof/>
          <w:sz w:val="20"/>
          <w:szCs w:val="20"/>
        </w:rPr>
      </w:pPr>
    </w:p>
    <w:p w:rsidR="00814CDF" w:rsidRDefault="00814CDF" w:rsidP="000C1B85">
      <w:pPr>
        <w:pStyle w:val="naisf"/>
        <w:spacing w:before="0" w:after="0"/>
        <w:ind w:firstLine="0"/>
        <w:rPr>
          <w:noProof/>
          <w:sz w:val="20"/>
          <w:szCs w:val="20"/>
        </w:rPr>
      </w:pPr>
    </w:p>
    <w:p w:rsidR="00814CDF" w:rsidRDefault="00814CDF" w:rsidP="000C1B85">
      <w:pPr>
        <w:pStyle w:val="naisf"/>
        <w:spacing w:before="0" w:after="0"/>
        <w:ind w:firstLine="0"/>
        <w:rPr>
          <w:noProof/>
          <w:sz w:val="20"/>
          <w:szCs w:val="20"/>
        </w:rPr>
      </w:pPr>
    </w:p>
    <w:p w:rsidR="00814CDF" w:rsidRDefault="00814CDF" w:rsidP="000C1B85">
      <w:pPr>
        <w:pStyle w:val="naisf"/>
        <w:spacing w:before="0" w:after="0"/>
        <w:ind w:firstLine="0"/>
        <w:rPr>
          <w:noProof/>
          <w:sz w:val="20"/>
          <w:szCs w:val="20"/>
        </w:rPr>
      </w:pPr>
    </w:p>
    <w:p w:rsidR="005C0E8D" w:rsidRDefault="005C0E8D" w:rsidP="000C1B85">
      <w:pPr>
        <w:pStyle w:val="naisf"/>
        <w:spacing w:before="0" w:after="0"/>
        <w:ind w:firstLine="0"/>
        <w:rPr>
          <w:noProof/>
          <w:sz w:val="20"/>
          <w:szCs w:val="20"/>
        </w:rPr>
      </w:pPr>
    </w:p>
    <w:p w:rsidR="005C0E8D" w:rsidRDefault="005C0E8D" w:rsidP="000C1B85">
      <w:pPr>
        <w:pStyle w:val="naisf"/>
        <w:spacing w:before="0" w:after="0"/>
        <w:ind w:firstLine="0"/>
        <w:rPr>
          <w:noProof/>
          <w:sz w:val="20"/>
          <w:szCs w:val="20"/>
        </w:rPr>
      </w:pPr>
    </w:p>
    <w:p w:rsidR="005C0E8D" w:rsidRDefault="005C0E8D" w:rsidP="000C1B85">
      <w:pPr>
        <w:pStyle w:val="naisf"/>
        <w:spacing w:before="0" w:after="0"/>
        <w:ind w:firstLine="0"/>
        <w:rPr>
          <w:noProof/>
          <w:sz w:val="20"/>
          <w:szCs w:val="20"/>
        </w:rPr>
      </w:pPr>
    </w:p>
    <w:p w:rsidR="005C0E8D" w:rsidRDefault="005C0E8D" w:rsidP="000C1B85">
      <w:pPr>
        <w:pStyle w:val="naisf"/>
        <w:spacing w:before="0" w:after="0"/>
        <w:ind w:firstLine="0"/>
        <w:rPr>
          <w:noProof/>
          <w:sz w:val="20"/>
          <w:szCs w:val="20"/>
        </w:rPr>
      </w:pPr>
    </w:p>
    <w:p w:rsidR="000C1B85" w:rsidRPr="00FA2AAC" w:rsidRDefault="00CB1504" w:rsidP="000C1B85">
      <w:pPr>
        <w:pStyle w:val="naisf"/>
        <w:spacing w:before="0" w:after="0"/>
        <w:ind w:firstLine="0"/>
        <w:rPr>
          <w:noProof/>
          <w:sz w:val="20"/>
          <w:szCs w:val="20"/>
        </w:rPr>
      </w:pPr>
      <w:r>
        <w:rPr>
          <w:noProof/>
          <w:sz w:val="20"/>
          <w:szCs w:val="20"/>
        </w:rPr>
        <w:t>1</w:t>
      </w:r>
      <w:r w:rsidR="00402D31">
        <w:rPr>
          <w:noProof/>
          <w:sz w:val="20"/>
          <w:szCs w:val="20"/>
        </w:rPr>
        <w:t>1</w:t>
      </w:r>
      <w:r w:rsidR="000C1B85" w:rsidRPr="00FA2AAC">
        <w:rPr>
          <w:noProof/>
          <w:sz w:val="20"/>
          <w:szCs w:val="20"/>
        </w:rPr>
        <w:t>.</w:t>
      </w:r>
      <w:r w:rsidR="00854F9F">
        <w:rPr>
          <w:noProof/>
          <w:sz w:val="20"/>
          <w:szCs w:val="20"/>
        </w:rPr>
        <w:t>0</w:t>
      </w:r>
      <w:r w:rsidR="00C1322E">
        <w:rPr>
          <w:noProof/>
          <w:sz w:val="20"/>
          <w:szCs w:val="20"/>
        </w:rPr>
        <w:t>3</w:t>
      </w:r>
      <w:r w:rsidR="000C1B85" w:rsidRPr="00FA2AAC">
        <w:rPr>
          <w:noProof/>
          <w:sz w:val="20"/>
          <w:szCs w:val="20"/>
        </w:rPr>
        <w:t>.201</w:t>
      </w:r>
      <w:r w:rsidR="00854F9F">
        <w:rPr>
          <w:noProof/>
          <w:sz w:val="20"/>
          <w:szCs w:val="20"/>
        </w:rPr>
        <w:t>6</w:t>
      </w:r>
      <w:r w:rsidR="000C1B85" w:rsidRPr="00FA2AAC">
        <w:rPr>
          <w:noProof/>
          <w:sz w:val="20"/>
          <w:szCs w:val="20"/>
        </w:rPr>
        <w:t xml:space="preserve">. </w:t>
      </w:r>
      <w:r w:rsidR="00B72F5C">
        <w:rPr>
          <w:noProof/>
          <w:sz w:val="20"/>
          <w:szCs w:val="20"/>
        </w:rPr>
        <w:t>1</w:t>
      </w:r>
      <w:r w:rsidR="005C0E8D">
        <w:rPr>
          <w:noProof/>
          <w:sz w:val="20"/>
          <w:szCs w:val="20"/>
        </w:rPr>
        <w:t>7</w:t>
      </w:r>
      <w:r w:rsidR="000C1B85" w:rsidRPr="00FA2AAC">
        <w:rPr>
          <w:noProof/>
          <w:sz w:val="20"/>
          <w:szCs w:val="20"/>
        </w:rPr>
        <w:t>:</w:t>
      </w:r>
      <w:r w:rsidR="005C0E8D">
        <w:rPr>
          <w:noProof/>
          <w:sz w:val="20"/>
          <w:szCs w:val="20"/>
        </w:rPr>
        <w:t>36</w:t>
      </w:r>
    </w:p>
    <w:p w:rsidR="000C1B85" w:rsidRPr="00FA2AAC" w:rsidRDefault="005C0E8D" w:rsidP="000C1B85">
      <w:pPr>
        <w:pStyle w:val="naisf"/>
        <w:spacing w:before="0" w:after="0"/>
        <w:ind w:firstLine="0"/>
        <w:rPr>
          <w:noProof/>
          <w:sz w:val="20"/>
          <w:szCs w:val="20"/>
        </w:rPr>
      </w:pPr>
      <w:r>
        <w:rPr>
          <w:noProof/>
          <w:sz w:val="20"/>
          <w:szCs w:val="20"/>
        </w:rPr>
        <w:t>6</w:t>
      </w:r>
      <w:r w:rsidR="00BE6C56" w:rsidRPr="004E0AAF">
        <w:rPr>
          <w:noProof/>
          <w:sz w:val="20"/>
          <w:szCs w:val="20"/>
        </w:rPr>
        <w:t xml:space="preserve"> </w:t>
      </w:r>
      <w:r>
        <w:rPr>
          <w:noProof/>
          <w:sz w:val="20"/>
          <w:szCs w:val="20"/>
        </w:rPr>
        <w:t>125</w:t>
      </w:r>
    </w:p>
    <w:p w:rsidR="000C1B85" w:rsidRPr="00FA2AAC" w:rsidRDefault="000C1B85" w:rsidP="000C1B85">
      <w:pPr>
        <w:rPr>
          <w:sz w:val="20"/>
          <w:szCs w:val="20"/>
        </w:rPr>
      </w:pPr>
      <w:r w:rsidRPr="00FA2AAC">
        <w:rPr>
          <w:sz w:val="20"/>
          <w:szCs w:val="20"/>
        </w:rPr>
        <w:t>D.Roga</w:t>
      </w:r>
    </w:p>
    <w:p w:rsidR="00987913" w:rsidRDefault="000C1B85" w:rsidP="00307680">
      <w:pPr>
        <w:rPr>
          <w:sz w:val="20"/>
          <w:szCs w:val="20"/>
        </w:rPr>
      </w:pPr>
      <w:r w:rsidRPr="00FA2AAC">
        <w:rPr>
          <w:sz w:val="20"/>
          <w:szCs w:val="20"/>
        </w:rPr>
        <w:t xml:space="preserve">67876093, </w:t>
      </w:r>
      <w:hyperlink r:id="rId12" w:history="1">
        <w:r w:rsidR="0096484C" w:rsidRPr="00D95126">
          <w:rPr>
            <w:rStyle w:val="Hyperlink"/>
            <w:sz w:val="20"/>
            <w:szCs w:val="20"/>
          </w:rPr>
          <w:t>dace.roga@vm.gov.lv</w:t>
        </w:r>
      </w:hyperlink>
    </w:p>
    <w:p w:rsidR="0096484C" w:rsidRDefault="0096484C" w:rsidP="00307680">
      <w:pPr>
        <w:rPr>
          <w:sz w:val="20"/>
          <w:szCs w:val="20"/>
        </w:rPr>
      </w:pPr>
    </w:p>
    <w:p w:rsidR="0096484C" w:rsidRDefault="0096484C" w:rsidP="00307680">
      <w:pPr>
        <w:rPr>
          <w:sz w:val="20"/>
          <w:szCs w:val="20"/>
        </w:rPr>
      </w:pPr>
    </w:p>
    <w:p w:rsidR="0096484C" w:rsidRPr="004F55DC" w:rsidRDefault="0096484C" w:rsidP="0096484C">
      <w:pPr>
        <w:rPr>
          <w:sz w:val="20"/>
          <w:szCs w:val="20"/>
        </w:rPr>
      </w:pPr>
      <w:r w:rsidRPr="004F55DC">
        <w:rPr>
          <w:sz w:val="20"/>
          <w:szCs w:val="20"/>
        </w:rPr>
        <w:t>L.Ābola 67876041</w:t>
      </w:r>
    </w:p>
    <w:p w:rsidR="0096484C" w:rsidRPr="00825F2B" w:rsidRDefault="00ED73BA" w:rsidP="0096484C">
      <w:pPr>
        <w:rPr>
          <w:sz w:val="20"/>
          <w:szCs w:val="20"/>
        </w:rPr>
      </w:pPr>
      <w:hyperlink r:id="rId13" w:history="1">
        <w:r w:rsidR="0096484C" w:rsidRPr="00825F2B">
          <w:rPr>
            <w:rStyle w:val="Hyperlink"/>
            <w:sz w:val="20"/>
            <w:szCs w:val="20"/>
          </w:rPr>
          <w:t>liene.abola@vm.gov.lv</w:t>
        </w:r>
      </w:hyperlink>
    </w:p>
    <w:p w:rsidR="0096484C" w:rsidRDefault="0096484C" w:rsidP="00307680">
      <w:pPr>
        <w:rPr>
          <w:b/>
        </w:rPr>
      </w:pPr>
    </w:p>
    <w:sectPr w:rsidR="0096484C" w:rsidSect="00854F9F">
      <w:headerReference w:type="even" r:id="rId14"/>
      <w:headerReference w:type="default" r:id="rId15"/>
      <w:footerReference w:type="default" r:id="rId16"/>
      <w:footerReference w:type="first" r:id="rId17"/>
      <w:pgSz w:w="11906" w:h="16838"/>
      <w:pgMar w:top="1418" w:right="1134" w:bottom="902"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ADF" w:rsidRDefault="00033ADF">
      <w:r>
        <w:separator/>
      </w:r>
    </w:p>
  </w:endnote>
  <w:endnote w:type="continuationSeparator" w:id="0">
    <w:p w:rsidR="00033ADF" w:rsidRDefault="0003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DF" w:rsidRPr="00854F9F" w:rsidRDefault="00033ADF" w:rsidP="00177CA4">
    <w:pPr>
      <w:jc w:val="both"/>
    </w:pPr>
    <w:r w:rsidRPr="00854F9F">
      <w:t>VM</w:t>
    </w:r>
    <w:r>
      <w:t>a</w:t>
    </w:r>
    <w:r w:rsidRPr="00854F9F">
      <w:t>not_</w:t>
    </w:r>
    <w:r>
      <w:t>1</w:t>
    </w:r>
    <w:r w:rsidR="00402D31">
      <w:t>1</w:t>
    </w:r>
    <w:r>
      <w:t>03</w:t>
    </w:r>
    <w:r w:rsidRPr="00854F9F">
      <w:t>1</w:t>
    </w:r>
    <w:r>
      <w:t>6_groz_685</w:t>
    </w:r>
    <w:proofErr w:type="gramStart"/>
    <w:r>
      <w:t xml:space="preserve"> </w:t>
    </w:r>
    <w:r w:rsidRPr="00854F9F">
      <w:t>;</w:t>
    </w:r>
    <w:proofErr w:type="gramEnd"/>
    <w:r w:rsidRPr="00854F9F">
      <w:t xml:space="preserve"> Ministru kabineta noteikumu projekta „Grozījumi Ministru kabineta 2011.gada 30.augusta noteikumos Nr.685 "Rezidentu sadales un rezidentūras finansēšanas noteikumi"”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DF" w:rsidRPr="00854F9F" w:rsidRDefault="00033ADF" w:rsidP="00177CA4">
    <w:pPr>
      <w:jc w:val="both"/>
    </w:pPr>
    <w:r w:rsidRPr="00854F9F">
      <w:t>VManot_</w:t>
    </w:r>
    <w:r>
      <w:t>1</w:t>
    </w:r>
    <w:r w:rsidR="00402D31">
      <w:t>1</w:t>
    </w:r>
    <w:r>
      <w:t>0316</w:t>
    </w:r>
    <w:r w:rsidRPr="00854F9F">
      <w:t>_groz_685</w:t>
    </w:r>
    <w:proofErr w:type="gramStart"/>
    <w:r w:rsidRPr="00854F9F">
      <w:t xml:space="preserve"> ;</w:t>
    </w:r>
    <w:proofErr w:type="gramEnd"/>
    <w:r w:rsidRPr="00854F9F">
      <w:t xml:space="preserve"> Ministru kabineta noteikumu projekta „Grozījumi Ministru kabineta 2011.gada 30.augusta noteikumos Nr.685 "Rezidentu sadales un rezidentūras finansēšanas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ADF" w:rsidRDefault="00033ADF">
      <w:r>
        <w:separator/>
      </w:r>
    </w:p>
  </w:footnote>
  <w:footnote w:type="continuationSeparator" w:id="0">
    <w:p w:rsidR="00033ADF" w:rsidRDefault="00033ADF">
      <w:r>
        <w:continuationSeparator/>
      </w:r>
    </w:p>
  </w:footnote>
  <w:footnote w:id="1">
    <w:p w:rsidR="00033ADF" w:rsidRDefault="00033ADF">
      <w:pPr>
        <w:pStyle w:val="FootnoteText"/>
      </w:pPr>
      <w:r>
        <w:rPr>
          <w:rStyle w:val="FootnoteReference"/>
        </w:rPr>
        <w:footnoteRef/>
      </w:r>
      <w:r>
        <w:t xml:space="preserve"> Ārstniecības personu un ārstniecības atbalsta personu reģistra dati</w:t>
      </w:r>
    </w:p>
  </w:footnote>
  <w:footnote w:id="2">
    <w:p w:rsidR="00033ADF" w:rsidRDefault="00033ADF" w:rsidP="00CF30F1">
      <w:pPr>
        <w:pStyle w:val="FootnoteText"/>
      </w:pPr>
      <w:r>
        <w:rPr>
          <w:rStyle w:val="FootnoteReference"/>
        </w:rPr>
        <w:footnoteRef/>
      </w:r>
      <w:r>
        <w:t xml:space="preserve"> Ministru kabineta </w:t>
      </w:r>
      <w:proofErr w:type="gramStart"/>
      <w:r>
        <w:t>2009.gada</w:t>
      </w:r>
      <w:proofErr w:type="gramEnd"/>
      <w:r>
        <w:t xml:space="preserve"> 25.augusta noteikumi Nr.972 „Rezidentu sadales un rezidentūras finansēšanas noteikumi”</w:t>
      </w:r>
    </w:p>
  </w:footnote>
  <w:footnote w:id="3">
    <w:p w:rsidR="00033ADF" w:rsidRDefault="00033ADF">
      <w:pPr>
        <w:pStyle w:val="FootnoteText"/>
      </w:pPr>
      <w:r>
        <w:rPr>
          <w:rStyle w:val="FootnoteReference"/>
        </w:rPr>
        <w:footnoteRef/>
      </w:r>
      <w:r>
        <w:t xml:space="preserve"> Ārstniecības personu un ārstniecības atbalsta personu</w:t>
      </w:r>
      <w:proofErr w:type="gramStart"/>
      <w:r>
        <w:t xml:space="preserve">  </w:t>
      </w:r>
      <w:proofErr w:type="gramEnd"/>
      <w:r>
        <w:t>reģistra dati.</w:t>
      </w:r>
    </w:p>
  </w:footnote>
  <w:footnote w:id="4">
    <w:p w:rsidR="00033ADF" w:rsidRDefault="00033ADF" w:rsidP="00F07578">
      <w:pPr>
        <w:pStyle w:val="FootnoteText"/>
      </w:pPr>
      <w:r>
        <w:rPr>
          <w:rStyle w:val="FootnoteReference"/>
        </w:rPr>
        <w:footnoteRef/>
      </w:r>
      <w:r>
        <w:t xml:space="preserve">  Latvijas ilgtspējīgas attīstības stratēģijas līdz 2030. gadam, Nacionālā attīstības plāna 2014.–2020. gadam un</w:t>
      </w:r>
    </w:p>
    <w:p w:rsidR="00033ADF" w:rsidRDefault="00033ADF" w:rsidP="00F07578">
      <w:pPr>
        <w:pStyle w:val="FootnoteText"/>
        <w:jc w:val="both"/>
      </w:pPr>
      <w:r>
        <w:t>Deklarācijas par Laimdotas Straujumas vadītā Ministru kabineta iecerēto darbību Īstenošanas uzraudzības ziņojums. 2015. gads (99.lpp)</w:t>
      </w:r>
    </w:p>
  </w:footnote>
  <w:footnote w:id="5">
    <w:p w:rsidR="00033ADF" w:rsidRDefault="00033ADF">
      <w:pPr>
        <w:pStyle w:val="FootnoteText"/>
      </w:pPr>
      <w:r>
        <w:rPr>
          <w:rStyle w:val="FootnoteReference"/>
        </w:rPr>
        <w:footnoteRef/>
      </w:r>
      <w:r>
        <w:t xml:space="preserve"> Latvijas Republikas Satversme 111.pants</w:t>
      </w:r>
    </w:p>
  </w:footnote>
  <w:footnote w:id="6">
    <w:p w:rsidR="00033ADF" w:rsidRDefault="00033ADF" w:rsidP="00DE645D">
      <w:pPr>
        <w:pStyle w:val="FootnoteText"/>
      </w:pPr>
      <w:r>
        <w:rPr>
          <w:rStyle w:val="FootnoteReference"/>
        </w:rPr>
        <w:footnoteRef/>
      </w:r>
      <w:r>
        <w:t xml:space="preserve"> Ārstniecības personu un ārstniecības atbalsta personu</w:t>
      </w:r>
      <w:proofErr w:type="gramStart"/>
      <w:r>
        <w:t xml:space="preserve">  </w:t>
      </w:r>
      <w:proofErr w:type="gramEnd"/>
      <w:r>
        <w:t>reģistra dati.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DF" w:rsidRDefault="00ED73BA" w:rsidP="007F59CB">
    <w:pPr>
      <w:pStyle w:val="Header"/>
      <w:framePr w:wrap="around" w:vAnchor="text" w:hAnchor="margin" w:xAlign="center" w:y="1"/>
      <w:rPr>
        <w:rStyle w:val="PageNumber"/>
      </w:rPr>
    </w:pPr>
    <w:r>
      <w:rPr>
        <w:rStyle w:val="PageNumber"/>
      </w:rPr>
      <w:fldChar w:fldCharType="begin"/>
    </w:r>
    <w:r w:rsidR="00033ADF">
      <w:rPr>
        <w:rStyle w:val="PageNumber"/>
      </w:rPr>
      <w:instrText xml:space="preserve">PAGE  </w:instrText>
    </w:r>
    <w:r>
      <w:rPr>
        <w:rStyle w:val="PageNumber"/>
      </w:rPr>
      <w:fldChar w:fldCharType="end"/>
    </w:r>
  </w:p>
  <w:p w:rsidR="00033ADF" w:rsidRDefault="00033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ADF" w:rsidRDefault="00ED73BA" w:rsidP="007F59CB">
    <w:pPr>
      <w:pStyle w:val="Header"/>
      <w:framePr w:wrap="around" w:vAnchor="text" w:hAnchor="margin" w:xAlign="center" w:y="1"/>
      <w:rPr>
        <w:rStyle w:val="PageNumber"/>
      </w:rPr>
    </w:pPr>
    <w:r>
      <w:rPr>
        <w:rStyle w:val="PageNumber"/>
      </w:rPr>
      <w:fldChar w:fldCharType="begin"/>
    </w:r>
    <w:r w:rsidR="00033ADF">
      <w:rPr>
        <w:rStyle w:val="PageNumber"/>
      </w:rPr>
      <w:instrText xml:space="preserve">PAGE  </w:instrText>
    </w:r>
    <w:r>
      <w:rPr>
        <w:rStyle w:val="PageNumber"/>
      </w:rPr>
      <w:fldChar w:fldCharType="separate"/>
    </w:r>
    <w:r w:rsidR="005C0E8D">
      <w:rPr>
        <w:rStyle w:val="PageNumber"/>
        <w:noProof/>
      </w:rPr>
      <w:t>23</w:t>
    </w:r>
    <w:r>
      <w:rPr>
        <w:rStyle w:val="PageNumber"/>
      </w:rPr>
      <w:fldChar w:fldCharType="end"/>
    </w:r>
  </w:p>
  <w:p w:rsidR="00033ADF" w:rsidRDefault="00033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09C63170"/>
    <w:multiLevelType w:val="hybridMultilevel"/>
    <w:tmpl w:val="5512EB40"/>
    <w:lvl w:ilvl="0" w:tplc="C340E192">
      <w:start w:val="1"/>
      <w:numFmt w:val="decimal"/>
      <w:lvlText w:val="%1)"/>
      <w:lvlJc w:val="left"/>
      <w:pPr>
        <w:ind w:left="735" w:hanging="73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1977E9"/>
    <w:multiLevelType w:val="hybridMultilevel"/>
    <w:tmpl w:val="0F8E288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5DA1325"/>
    <w:multiLevelType w:val="hybridMultilevel"/>
    <w:tmpl w:val="90EE5EC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7">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04D6543"/>
    <w:multiLevelType w:val="hybridMultilevel"/>
    <w:tmpl w:val="F63AB41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1893005"/>
    <w:multiLevelType w:val="hybridMultilevel"/>
    <w:tmpl w:val="0E18EDC0"/>
    <w:lvl w:ilvl="0" w:tplc="328C746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nsid w:val="35A420B9"/>
    <w:multiLevelType w:val="hybridMultilevel"/>
    <w:tmpl w:val="59101054"/>
    <w:lvl w:ilvl="0" w:tplc="B4CC7134">
      <w:start w:val="1"/>
      <w:numFmt w:val="decimal"/>
      <w:lvlText w:val="%1)"/>
      <w:lvlJc w:val="left"/>
      <w:pPr>
        <w:ind w:left="651" w:hanging="360"/>
      </w:pPr>
      <w:rPr>
        <w:rFonts w:hint="default"/>
      </w:rPr>
    </w:lvl>
    <w:lvl w:ilvl="1" w:tplc="08090019" w:tentative="1">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abstractNum w:abstractNumId="12">
    <w:nsid w:val="3664630D"/>
    <w:multiLevelType w:val="hybridMultilevel"/>
    <w:tmpl w:val="62BAEA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14653AF"/>
    <w:multiLevelType w:val="hybridMultilevel"/>
    <w:tmpl w:val="AF04ABC6"/>
    <w:lvl w:ilvl="0" w:tplc="A95CC97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16">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EA37B45"/>
    <w:multiLevelType w:val="hybridMultilevel"/>
    <w:tmpl w:val="B9685A6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536D47EE"/>
    <w:multiLevelType w:val="hybridMultilevel"/>
    <w:tmpl w:val="D8D0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E9950B0"/>
    <w:multiLevelType w:val="hybridMultilevel"/>
    <w:tmpl w:val="7DF6DF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73070F2"/>
    <w:multiLevelType w:val="hybridMultilevel"/>
    <w:tmpl w:val="74160EDA"/>
    <w:lvl w:ilvl="0" w:tplc="C2F4A182">
      <w:start w:val="1"/>
      <w:numFmt w:val="decimal"/>
      <w:lvlText w:val="%1)"/>
      <w:lvlJc w:val="left"/>
      <w:pPr>
        <w:ind w:left="0" w:hanging="765"/>
      </w:pPr>
      <w:rPr>
        <w:rFonts w:hint="default"/>
      </w:rPr>
    </w:lvl>
    <w:lvl w:ilvl="1" w:tplc="04260019" w:tentative="1">
      <w:start w:val="1"/>
      <w:numFmt w:val="lowerLetter"/>
      <w:lvlText w:val="%2."/>
      <w:lvlJc w:val="left"/>
      <w:pPr>
        <w:ind w:left="315" w:hanging="360"/>
      </w:pPr>
    </w:lvl>
    <w:lvl w:ilvl="2" w:tplc="0426001B" w:tentative="1">
      <w:start w:val="1"/>
      <w:numFmt w:val="lowerRoman"/>
      <w:lvlText w:val="%3."/>
      <w:lvlJc w:val="right"/>
      <w:pPr>
        <w:ind w:left="1035" w:hanging="180"/>
      </w:pPr>
    </w:lvl>
    <w:lvl w:ilvl="3" w:tplc="0426000F" w:tentative="1">
      <w:start w:val="1"/>
      <w:numFmt w:val="decimal"/>
      <w:lvlText w:val="%4."/>
      <w:lvlJc w:val="left"/>
      <w:pPr>
        <w:ind w:left="1755" w:hanging="360"/>
      </w:pPr>
    </w:lvl>
    <w:lvl w:ilvl="4" w:tplc="04260019" w:tentative="1">
      <w:start w:val="1"/>
      <w:numFmt w:val="lowerLetter"/>
      <w:lvlText w:val="%5."/>
      <w:lvlJc w:val="left"/>
      <w:pPr>
        <w:ind w:left="2475" w:hanging="360"/>
      </w:pPr>
    </w:lvl>
    <w:lvl w:ilvl="5" w:tplc="0426001B" w:tentative="1">
      <w:start w:val="1"/>
      <w:numFmt w:val="lowerRoman"/>
      <w:lvlText w:val="%6."/>
      <w:lvlJc w:val="right"/>
      <w:pPr>
        <w:ind w:left="3195" w:hanging="180"/>
      </w:pPr>
    </w:lvl>
    <w:lvl w:ilvl="6" w:tplc="0426000F" w:tentative="1">
      <w:start w:val="1"/>
      <w:numFmt w:val="decimal"/>
      <w:lvlText w:val="%7."/>
      <w:lvlJc w:val="left"/>
      <w:pPr>
        <w:ind w:left="3915" w:hanging="360"/>
      </w:pPr>
    </w:lvl>
    <w:lvl w:ilvl="7" w:tplc="04260019" w:tentative="1">
      <w:start w:val="1"/>
      <w:numFmt w:val="lowerLetter"/>
      <w:lvlText w:val="%8."/>
      <w:lvlJc w:val="left"/>
      <w:pPr>
        <w:ind w:left="4635" w:hanging="360"/>
      </w:pPr>
    </w:lvl>
    <w:lvl w:ilvl="8" w:tplc="0426001B" w:tentative="1">
      <w:start w:val="1"/>
      <w:numFmt w:val="lowerRoman"/>
      <w:lvlText w:val="%9."/>
      <w:lvlJc w:val="right"/>
      <w:pPr>
        <w:ind w:left="5355" w:hanging="180"/>
      </w:pPr>
    </w:lvl>
  </w:abstractNum>
  <w:abstractNum w:abstractNumId="22">
    <w:nsid w:val="69CE41A9"/>
    <w:multiLevelType w:val="hybridMultilevel"/>
    <w:tmpl w:val="9C0C2132"/>
    <w:lvl w:ilvl="0" w:tplc="C7442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7E30A5"/>
    <w:multiLevelType w:val="hybridMultilevel"/>
    <w:tmpl w:val="55E0C37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79E055A7"/>
    <w:multiLevelType w:val="hybridMultilevel"/>
    <w:tmpl w:val="192AE9EE"/>
    <w:lvl w:ilvl="0" w:tplc="83A25D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10"/>
  </w:num>
  <w:num w:numId="4">
    <w:abstractNumId w:val="16"/>
  </w:num>
  <w:num w:numId="5">
    <w:abstractNumId w:val="13"/>
  </w:num>
  <w:num w:numId="6">
    <w:abstractNumId w:val="3"/>
  </w:num>
  <w:num w:numId="7">
    <w:abstractNumId w:val="0"/>
  </w:num>
  <w:num w:numId="8">
    <w:abstractNumId w:val="7"/>
  </w:num>
  <w:num w:numId="9">
    <w:abstractNumId w:val="19"/>
  </w:num>
  <w:num w:numId="10">
    <w:abstractNumId w:val="15"/>
  </w:num>
  <w:num w:numId="11">
    <w:abstractNumId w:val="9"/>
  </w:num>
  <w:num w:numId="12">
    <w:abstractNumId w:val="22"/>
  </w:num>
  <w:num w:numId="13">
    <w:abstractNumId w:val="24"/>
  </w:num>
  <w:num w:numId="14">
    <w:abstractNumId w:val="5"/>
  </w:num>
  <w:num w:numId="15">
    <w:abstractNumId w:val="18"/>
  </w:num>
  <w:num w:numId="16">
    <w:abstractNumId w:val="20"/>
  </w:num>
  <w:num w:numId="17">
    <w:abstractNumId w:val="4"/>
  </w:num>
  <w:num w:numId="18">
    <w:abstractNumId w:val="21"/>
  </w:num>
  <w:num w:numId="19">
    <w:abstractNumId w:val="2"/>
  </w:num>
  <w:num w:numId="20">
    <w:abstractNumId w:val="8"/>
  </w:num>
  <w:num w:numId="21">
    <w:abstractNumId w:val="23"/>
  </w:num>
  <w:num w:numId="22">
    <w:abstractNumId w:val="12"/>
  </w:num>
  <w:num w:numId="23">
    <w:abstractNumId w:val="17"/>
  </w:num>
  <w:num w:numId="24">
    <w:abstractNumId w:val="1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575B7F"/>
    <w:rsid w:val="00000E36"/>
    <w:rsid w:val="000023DC"/>
    <w:rsid w:val="00005DCF"/>
    <w:rsid w:val="00013BC0"/>
    <w:rsid w:val="000172AF"/>
    <w:rsid w:val="00017779"/>
    <w:rsid w:val="00020DA6"/>
    <w:rsid w:val="00021498"/>
    <w:rsid w:val="000245E5"/>
    <w:rsid w:val="000254FA"/>
    <w:rsid w:val="00027733"/>
    <w:rsid w:val="00030ABB"/>
    <w:rsid w:val="00031553"/>
    <w:rsid w:val="00031C78"/>
    <w:rsid w:val="00033ADF"/>
    <w:rsid w:val="00034357"/>
    <w:rsid w:val="000344F2"/>
    <w:rsid w:val="00040228"/>
    <w:rsid w:val="00042B6F"/>
    <w:rsid w:val="00043575"/>
    <w:rsid w:val="00043AD9"/>
    <w:rsid w:val="00043E73"/>
    <w:rsid w:val="000464BC"/>
    <w:rsid w:val="000465BB"/>
    <w:rsid w:val="000524C2"/>
    <w:rsid w:val="00055D04"/>
    <w:rsid w:val="000561E6"/>
    <w:rsid w:val="000579D6"/>
    <w:rsid w:val="00065E8F"/>
    <w:rsid w:val="0007370B"/>
    <w:rsid w:val="000752E8"/>
    <w:rsid w:val="00076197"/>
    <w:rsid w:val="0007701E"/>
    <w:rsid w:val="0007729A"/>
    <w:rsid w:val="00080AD4"/>
    <w:rsid w:val="00081A11"/>
    <w:rsid w:val="000830F9"/>
    <w:rsid w:val="000838B7"/>
    <w:rsid w:val="0008421A"/>
    <w:rsid w:val="000863B0"/>
    <w:rsid w:val="00087590"/>
    <w:rsid w:val="000931A6"/>
    <w:rsid w:val="00093DD1"/>
    <w:rsid w:val="0009447D"/>
    <w:rsid w:val="00095181"/>
    <w:rsid w:val="000A0639"/>
    <w:rsid w:val="000A7F8D"/>
    <w:rsid w:val="000B181F"/>
    <w:rsid w:val="000B2497"/>
    <w:rsid w:val="000B251A"/>
    <w:rsid w:val="000B2728"/>
    <w:rsid w:val="000B276A"/>
    <w:rsid w:val="000B3633"/>
    <w:rsid w:val="000B406A"/>
    <w:rsid w:val="000B4CB6"/>
    <w:rsid w:val="000B7202"/>
    <w:rsid w:val="000C1B85"/>
    <w:rsid w:val="000C240E"/>
    <w:rsid w:val="000C68EE"/>
    <w:rsid w:val="000C75C7"/>
    <w:rsid w:val="000D1123"/>
    <w:rsid w:val="000D453D"/>
    <w:rsid w:val="000D4629"/>
    <w:rsid w:val="000D4B64"/>
    <w:rsid w:val="000D571E"/>
    <w:rsid w:val="000E0CBA"/>
    <w:rsid w:val="000E128E"/>
    <w:rsid w:val="000E2594"/>
    <w:rsid w:val="000E2E15"/>
    <w:rsid w:val="000E3C69"/>
    <w:rsid w:val="000E4031"/>
    <w:rsid w:val="000E410E"/>
    <w:rsid w:val="000E4278"/>
    <w:rsid w:val="000F463F"/>
    <w:rsid w:val="000F7CE7"/>
    <w:rsid w:val="00101A0B"/>
    <w:rsid w:val="00101DAC"/>
    <w:rsid w:val="001037F2"/>
    <w:rsid w:val="00110006"/>
    <w:rsid w:val="00111051"/>
    <w:rsid w:val="00111C1F"/>
    <w:rsid w:val="0011314B"/>
    <w:rsid w:val="00113901"/>
    <w:rsid w:val="00113AD1"/>
    <w:rsid w:val="00115AA9"/>
    <w:rsid w:val="00117784"/>
    <w:rsid w:val="00120D14"/>
    <w:rsid w:val="00122A9A"/>
    <w:rsid w:val="00124123"/>
    <w:rsid w:val="00124AC1"/>
    <w:rsid w:val="00126404"/>
    <w:rsid w:val="001265EB"/>
    <w:rsid w:val="0012760C"/>
    <w:rsid w:val="00127E24"/>
    <w:rsid w:val="00127FE7"/>
    <w:rsid w:val="00130EF2"/>
    <w:rsid w:val="00133E8A"/>
    <w:rsid w:val="00134887"/>
    <w:rsid w:val="00134FFA"/>
    <w:rsid w:val="00136D08"/>
    <w:rsid w:val="00141AD1"/>
    <w:rsid w:val="0014456A"/>
    <w:rsid w:val="001534B5"/>
    <w:rsid w:val="001545FA"/>
    <w:rsid w:val="0015777E"/>
    <w:rsid w:val="00160811"/>
    <w:rsid w:val="0016196C"/>
    <w:rsid w:val="00163018"/>
    <w:rsid w:val="001656C8"/>
    <w:rsid w:val="00167EC1"/>
    <w:rsid w:val="00176397"/>
    <w:rsid w:val="00177CA4"/>
    <w:rsid w:val="001802EA"/>
    <w:rsid w:val="00183E88"/>
    <w:rsid w:val="00186BCC"/>
    <w:rsid w:val="001912FA"/>
    <w:rsid w:val="001913DD"/>
    <w:rsid w:val="001931C2"/>
    <w:rsid w:val="00193F85"/>
    <w:rsid w:val="00194515"/>
    <w:rsid w:val="00196092"/>
    <w:rsid w:val="001A1DB8"/>
    <w:rsid w:val="001A54C4"/>
    <w:rsid w:val="001A5E15"/>
    <w:rsid w:val="001A69CE"/>
    <w:rsid w:val="001A6BDB"/>
    <w:rsid w:val="001A6CDE"/>
    <w:rsid w:val="001A6E00"/>
    <w:rsid w:val="001A6FA1"/>
    <w:rsid w:val="001A7E84"/>
    <w:rsid w:val="001B2BDB"/>
    <w:rsid w:val="001B4F98"/>
    <w:rsid w:val="001B61C6"/>
    <w:rsid w:val="001B6270"/>
    <w:rsid w:val="001C25AD"/>
    <w:rsid w:val="001D02F7"/>
    <w:rsid w:val="001D0852"/>
    <w:rsid w:val="001D12C7"/>
    <w:rsid w:val="001D1CE8"/>
    <w:rsid w:val="001D7B85"/>
    <w:rsid w:val="001E005B"/>
    <w:rsid w:val="001E670D"/>
    <w:rsid w:val="001F1537"/>
    <w:rsid w:val="001F1BDF"/>
    <w:rsid w:val="001F61B2"/>
    <w:rsid w:val="002010D4"/>
    <w:rsid w:val="00201594"/>
    <w:rsid w:val="00201766"/>
    <w:rsid w:val="002027EA"/>
    <w:rsid w:val="0020523F"/>
    <w:rsid w:val="00205F02"/>
    <w:rsid w:val="00206B32"/>
    <w:rsid w:val="00207015"/>
    <w:rsid w:val="00207FE0"/>
    <w:rsid w:val="0021047A"/>
    <w:rsid w:val="002118D7"/>
    <w:rsid w:val="00213385"/>
    <w:rsid w:val="00217A0E"/>
    <w:rsid w:val="00220D04"/>
    <w:rsid w:val="0022175D"/>
    <w:rsid w:val="002236F6"/>
    <w:rsid w:val="00227BEE"/>
    <w:rsid w:val="0023250C"/>
    <w:rsid w:val="002325B8"/>
    <w:rsid w:val="00234889"/>
    <w:rsid w:val="00234F9F"/>
    <w:rsid w:val="00235574"/>
    <w:rsid w:val="002368EA"/>
    <w:rsid w:val="00236BC3"/>
    <w:rsid w:val="002406D4"/>
    <w:rsid w:val="00240F58"/>
    <w:rsid w:val="00242521"/>
    <w:rsid w:val="002426E1"/>
    <w:rsid w:val="00242E60"/>
    <w:rsid w:val="00244990"/>
    <w:rsid w:val="0025012E"/>
    <w:rsid w:val="002513E8"/>
    <w:rsid w:val="0025293B"/>
    <w:rsid w:val="00253AC8"/>
    <w:rsid w:val="00253C2D"/>
    <w:rsid w:val="00254B0A"/>
    <w:rsid w:val="002568A4"/>
    <w:rsid w:val="002660C2"/>
    <w:rsid w:val="002662A3"/>
    <w:rsid w:val="00267D74"/>
    <w:rsid w:val="00270126"/>
    <w:rsid w:val="0027199F"/>
    <w:rsid w:val="002754AF"/>
    <w:rsid w:val="0027553F"/>
    <w:rsid w:val="00280A8C"/>
    <w:rsid w:val="00280B48"/>
    <w:rsid w:val="0028487C"/>
    <w:rsid w:val="00284E72"/>
    <w:rsid w:val="0028539B"/>
    <w:rsid w:val="002916BA"/>
    <w:rsid w:val="00294074"/>
    <w:rsid w:val="00295FB6"/>
    <w:rsid w:val="002A027E"/>
    <w:rsid w:val="002A14D7"/>
    <w:rsid w:val="002A511F"/>
    <w:rsid w:val="002A5492"/>
    <w:rsid w:val="002A54DA"/>
    <w:rsid w:val="002A5A9B"/>
    <w:rsid w:val="002A66CE"/>
    <w:rsid w:val="002A727F"/>
    <w:rsid w:val="002B0261"/>
    <w:rsid w:val="002B22F4"/>
    <w:rsid w:val="002B2474"/>
    <w:rsid w:val="002B3DC1"/>
    <w:rsid w:val="002B3F99"/>
    <w:rsid w:val="002B55A2"/>
    <w:rsid w:val="002B69A0"/>
    <w:rsid w:val="002B6CDA"/>
    <w:rsid w:val="002B7672"/>
    <w:rsid w:val="002C0145"/>
    <w:rsid w:val="002C07F9"/>
    <w:rsid w:val="002C10E9"/>
    <w:rsid w:val="002C1B0E"/>
    <w:rsid w:val="002C2EF2"/>
    <w:rsid w:val="002C4906"/>
    <w:rsid w:val="002C710F"/>
    <w:rsid w:val="002C7AE0"/>
    <w:rsid w:val="002D0B3E"/>
    <w:rsid w:val="002D3177"/>
    <w:rsid w:val="002E0790"/>
    <w:rsid w:val="002E371B"/>
    <w:rsid w:val="002E4D3B"/>
    <w:rsid w:val="002F0785"/>
    <w:rsid w:val="002F13CB"/>
    <w:rsid w:val="002F5E1A"/>
    <w:rsid w:val="002F7934"/>
    <w:rsid w:val="0030185E"/>
    <w:rsid w:val="003026A9"/>
    <w:rsid w:val="0030335F"/>
    <w:rsid w:val="003048BA"/>
    <w:rsid w:val="00304AFF"/>
    <w:rsid w:val="00304FBB"/>
    <w:rsid w:val="003062E0"/>
    <w:rsid w:val="00307680"/>
    <w:rsid w:val="0031022A"/>
    <w:rsid w:val="003118DD"/>
    <w:rsid w:val="00311BE2"/>
    <w:rsid w:val="00315FD8"/>
    <w:rsid w:val="00316763"/>
    <w:rsid w:val="003235E3"/>
    <w:rsid w:val="00324057"/>
    <w:rsid w:val="0032406D"/>
    <w:rsid w:val="003246A0"/>
    <w:rsid w:val="00325938"/>
    <w:rsid w:val="003268D4"/>
    <w:rsid w:val="00330467"/>
    <w:rsid w:val="00331B42"/>
    <w:rsid w:val="00332480"/>
    <w:rsid w:val="0033295B"/>
    <w:rsid w:val="00332D3A"/>
    <w:rsid w:val="00332E39"/>
    <w:rsid w:val="0033304E"/>
    <w:rsid w:val="003338CC"/>
    <w:rsid w:val="0033481B"/>
    <w:rsid w:val="00341025"/>
    <w:rsid w:val="003419FA"/>
    <w:rsid w:val="00345FBB"/>
    <w:rsid w:val="003463C9"/>
    <w:rsid w:val="00346DCA"/>
    <w:rsid w:val="00347011"/>
    <w:rsid w:val="00347B5B"/>
    <w:rsid w:val="0035031A"/>
    <w:rsid w:val="00350B4F"/>
    <w:rsid w:val="0035252E"/>
    <w:rsid w:val="003542ED"/>
    <w:rsid w:val="003555CB"/>
    <w:rsid w:val="0035700A"/>
    <w:rsid w:val="0035718B"/>
    <w:rsid w:val="003631FA"/>
    <w:rsid w:val="0036478C"/>
    <w:rsid w:val="003729DA"/>
    <w:rsid w:val="00373AD6"/>
    <w:rsid w:val="00374EF3"/>
    <w:rsid w:val="00377500"/>
    <w:rsid w:val="00380199"/>
    <w:rsid w:val="003861EF"/>
    <w:rsid w:val="0038683C"/>
    <w:rsid w:val="003868CE"/>
    <w:rsid w:val="00386B06"/>
    <w:rsid w:val="0039227B"/>
    <w:rsid w:val="003942BD"/>
    <w:rsid w:val="003942F5"/>
    <w:rsid w:val="00395786"/>
    <w:rsid w:val="00395802"/>
    <w:rsid w:val="003A2E66"/>
    <w:rsid w:val="003A5820"/>
    <w:rsid w:val="003A61D8"/>
    <w:rsid w:val="003B258B"/>
    <w:rsid w:val="003B6569"/>
    <w:rsid w:val="003B7687"/>
    <w:rsid w:val="003C4024"/>
    <w:rsid w:val="003C52E2"/>
    <w:rsid w:val="003C5B94"/>
    <w:rsid w:val="003C7321"/>
    <w:rsid w:val="003D6205"/>
    <w:rsid w:val="003D6A2E"/>
    <w:rsid w:val="003D717C"/>
    <w:rsid w:val="003D766A"/>
    <w:rsid w:val="003E03D5"/>
    <w:rsid w:val="003E1381"/>
    <w:rsid w:val="003E1B45"/>
    <w:rsid w:val="003E2E1F"/>
    <w:rsid w:val="003E4718"/>
    <w:rsid w:val="003E6CA4"/>
    <w:rsid w:val="003F14AF"/>
    <w:rsid w:val="003F24EB"/>
    <w:rsid w:val="00400E47"/>
    <w:rsid w:val="00402052"/>
    <w:rsid w:val="00402279"/>
    <w:rsid w:val="004026ED"/>
    <w:rsid w:val="00402D31"/>
    <w:rsid w:val="0040419F"/>
    <w:rsid w:val="004075DF"/>
    <w:rsid w:val="004100DD"/>
    <w:rsid w:val="00413A82"/>
    <w:rsid w:val="004141EC"/>
    <w:rsid w:val="00415DD7"/>
    <w:rsid w:val="00417457"/>
    <w:rsid w:val="00420650"/>
    <w:rsid w:val="00421981"/>
    <w:rsid w:val="004236B9"/>
    <w:rsid w:val="004258AE"/>
    <w:rsid w:val="0042715D"/>
    <w:rsid w:val="00427178"/>
    <w:rsid w:val="00431188"/>
    <w:rsid w:val="0043384F"/>
    <w:rsid w:val="00433A22"/>
    <w:rsid w:val="0043713E"/>
    <w:rsid w:val="00437FF5"/>
    <w:rsid w:val="00442222"/>
    <w:rsid w:val="00442653"/>
    <w:rsid w:val="004432B3"/>
    <w:rsid w:val="00446329"/>
    <w:rsid w:val="004469EF"/>
    <w:rsid w:val="00450615"/>
    <w:rsid w:val="0045090E"/>
    <w:rsid w:val="004516A0"/>
    <w:rsid w:val="0045254B"/>
    <w:rsid w:val="00452A8B"/>
    <w:rsid w:val="00452F56"/>
    <w:rsid w:val="00453326"/>
    <w:rsid w:val="00454FF6"/>
    <w:rsid w:val="004559CF"/>
    <w:rsid w:val="004601AA"/>
    <w:rsid w:val="00462F4F"/>
    <w:rsid w:val="00464F93"/>
    <w:rsid w:val="004654B9"/>
    <w:rsid w:val="00466975"/>
    <w:rsid w:val="00466A96"/>
    <w:rsid w:val="00470590"/>
    <w:rsid w:val="00470F9D"/>
    <w:rsid w:val="0047170B"/>
    <w:rsid w:val="0047171E"/>
    <w:rsid w:val="004726BE"/>
    <w:rsid w:val="004731C6"/>
    <w:rsid w:val="00473B51"/>
    <w:rsid w:val="004777A2"/>
    <w:rsid w:val="004809F5"/>
    <w:rsid w:val="004833FF"/>
    <w:rsid w:val="004845A7"/>
    <w:rsid w:val="004855B5"/>
    <w:rsid w:val="00486EDA"/>
    <w:rsid w:val="00491B2B"/>
    <w:rsid w:val="004927A1"/>
    <w:rsid w:val="0049443A"/>
    <w:rsid w:val="00494DAA"/>
    <w:rsid w:val="00497885"/>
    <w:rsid w:val="004A0E7A"/>
    <w:rsid w:val="004A1975"/>
    <w:rsid w:val="004A1AF9"/>
    <w:rsid w:val="004A3021"/>
    <w:rsid w:val="004B0977"/>
    <w:rsid w:val="004B3479"/>
    <w:rsid w:val="004B47AD"/>
    <w:rsid w:val="004C1707"/>
    <w:rsid w:val="004C1A08"/>
    <w:rsid w:val="004C25D2"/>
    <w:rsid w:val="004C46BF"/>
    <w:rsid w:val="004C4809"/>
    <w:rsid w:val="004C51A8"/>
    <w:rsid w:val="004C68AC"/>
    <w:rsid w:val="004D1AFC"/>
    <w:rsid w:val="004D1F9A"/>
    <w:rsid w:val="004D20C9"/>
    <w:rsid w:val="004D322A"/>
    <w:rsid w:val="004D3261"/>
    <w:rsid w:val="004D60F9"/>
    <w:rsid w:val="004D694B"/>
    <w:rsid w:val="004E0646"/>
    <w:rsid w:val="004E0AAF"/>
    <w:rsid w:val="004E235D"/>
    <w:rsid w:val="004E459B"/>
    <w:rsid w:val="004E5181"/>
    <w:rsid w:val="004E7408"/>
    <w:rsid w:val="004E7E28"/>
    <w:rsid w:val="004F40D8"/>
    <w:rsid w:val="004F5017"/>
    <w:rsid w:val="004F7F05"/>
    <w:rsid w:val="005026F4"/>
    <w:rsid w:val="00503B1D"/>
    <w:rsid w:val="005068C3"/>
    <w:rsid w:val="00512315"/>
    <w:rsid w:val="0051443D"/>
    <w:rsid w:val="00515383"/>
    <w:rsid w:val="00515A37"/>
    <w:rsid w:val="00516196"/>
    <w:rsid w:val="00517806"/>
    <w:rsid w:val="00517F53"/>
    <w:rsid w:val="00521239"/>
    <w:rsid w:val="00522184"/>
    <w:rsid w:val="005226A3"/>
    <w:rsid w:val="00524E0A"/>
    <w:rsid w:val="00525077"/>
    <w:rsid w:val="00532E2C"/>
    <w:rsid w:val="00532EA5"/>
    <w:rsid w:val="0053738F"/>
    <w:rsid w:val="00537E44"/>
    <w:rsid w:val="00537E88"/>
    <w:rsid w:val="00540A89"/>
    <w:rsid w:val="0054329E"/>
    <w:rsid w:val="005455BC"/>
    <w:rsid w:val="00546610"/>
    <w:rsid w:val="005513FC"/>
    <w:rsid w:val="005570EA"/>
    <w:rsid w:val="005608DA"/>
    <w:rsid w:val="00563B1F"/>
    <w:rsid w:val="00563F77"/>
    <w:rsid w:val="00565DB2"/>
    <w:rsid w:val="00571589"/>
    <w:rsid w:val="00571CED"/>
    <w:rsid w:val="00575B7F"/>
    <w:rsid w:val="00577BA3"/>
    <w:rsid w:val="00580ACF"/>
    <w:rsid w:val="005824AA"/>
    <w:rsid w:val="005861A5"/>
    <w:rsid w:val="00590CAF"/>
    <w:rsid w:val="00592438"/>
    <w:rsid w:val="0059678B"/>
    <w:rsid w:val="00597C09"/>
    <w:rsid w:val="005A051D"/>
    <w:rsid w:val="005A07DA"/>
    <w:rsid w:val="005A1FB9"/>
    <w:rsid w:val="005A201A"/>
    <w:rsid w:val="005A686A"/>
    <w:rsid w:val="005A719A"/>
    <w:rsid w:val="005A7519"/>
    <w:rsid w:val="005B064B"/>
    <w:rsid w:val="005B0F14"/>
    <w:rsid w:val="005B1509"/>
    <w:rsid w:val="005B3AE8"/>
    <w:rsid w:val="005B48A0"/>
    <w:rsid w:val="005C0E8D"/>
    <w:rsid w:val="005C175A"/>
    <w:rsid w:val="005C239E"/>
    <w:rsid w:val="005C3880"/>
    <w:rsid w:val="005C3AFC"/>
    <w:rsid w:val="005C4005"/>
    <w:rsid w:val="005C43D2"/>
    <w:rsid w:val="005C5288"/>
    <w:rsid w:val="005C75D7"/>
    <w:rsid w:val="005D1063"/>
    <w:rsid w:val="005D41BB"/>
    <w:rsid w:val="005D4B4E"/>
    <w:rsid w:val="005E3D6A"/>
    <w:rsid w:val="005E5FE6"/>
    <w:rsid w:val="005E72BB"/>
    <w:rsid w:val="005F0D3E"/>
    <w:rsid w:val="005F1EE0"/>
    <w:rsid w:val="005F6930"/>
    <w:rsid w:val="005F6D99"/>
    <w:rsid w:val="005F7ED6"/>
    <w:rsid w:val="00601B38"/>
    <w:rsid w:val="006030FA"/>
    <w:rsid w:val="00603243"/>
    <w:rsid w:val="00603944"/>
    <w:rsid w:val="0060469F"/>
    <w:rsid w:val="0060552E"/>
    <w:rsid w:val="0060650F"/>
    <w:rsid w:val="00606C3D"/>
    <w:rsid w:val="00607FE3"/>
    <w:rsid w:val="00611047"/>
    <w:rsid w:val="00612BD0"/>
    <w:rsid w:val="00614506"/>
    <w:rsid w:val="00616575"/>
    <w:rsid w:val="00621176"/>
    <w:rsid w:val="006214CF"/>
    <w:rsid w:val="006229AE"/>
    <w:rsid w:val="0062351F"/>
    <w:rsid w:val="00623B36"/>
    <w:rsid w:val="00625A5B"/>
    <w:rsid w:val="00626130"/>
    <w:rsid w:val="00626473"/>
    <w:rsid w:val="00627135"/>
    <w:rsid w:val="00630F07"/>
    <w:rsid w:val="00632270"/>
    <w:rsid w:val="00633B7F"/>
    <w:rsid w:val="00640623"/>
    <w:rsid w:val="00640702"/>
    <w:rsid w:val="0064115C"/>
    <w:rsid w:val="0064347E"/>
    <w:rsid w:val="00643B96"/>
    <w:rsid w:val="00643D18"/>
    <w:rsid w:val="0064458E"/>
    <w:rsid w:val="00647C1E"/>
    <w:rsid w:val="0065041B"/>
    <w:rsid w:val="00651F2C"/>
    <w:rsid w:val="00654368"/>
    <w:rsid w:val="00655B00"/>
    <w:rsid w:val="006578DA"/>
    <w:rsid w:val="0066403E"/>
    <w:rsid w:val="00665EED"/>
    <w:rsid w:val="0067019E"/>
    <w:rsid w:val="006702C3"/>
    <w:rsid w:val="0067484B"/>
    <w:rsid w:val="00674D22"/>
    <w:rsid w:val="0067577D"/>
    <w:rsid w:val="006779B4"/>
    <w:rsid w:val="00677C66"/>
    <w:rsid w:val="006811AC"/>
    <w:rsid w:val="0068323F"/>
    <w:rsid w:val="006833DE"/>
    <w:rsid w:val="00683A2F"/>
    <w:rsid w:val="006911D3"/>
    <w:rsid w:val="006961A1"/>
    <w:rsid w:val="006A08D0"/>
    <w:rsid w:val="006A13F1"/>
    <w:rsid w:val="006A2892"/>
    <w:rsid w:val="006A2B6F"/>
    <w:rsid w:val="006A59C7"/>
    <w:rsid w:val="006A5D57"/>
    <w:rsid w:val="006A64D9"/>
    <w:rsid w:val="006B1942"/>
    <w:rsid w:val="006B243C"/>
    <w:rsid w:val="006B3243"/>
    <w:rsid w:val="006B33B4"/>
    <w:rsid w:val="006B37FF"/>
    <w:rsid w:val="006B3BCC"/>
    <w:rsid w:val="006B66AE"/>
    <w:rsid w:val="006B73A8"/>
    <w:rsid w:val="006C4E9E"/>
    <w:rsid w:val="006C5464"/>
    <w:rsid w:val="006C6029"/>
    <w:rsid w:val="006C6BD9"/>
    <w:rsid w:val="006C75CB"/>
    <w:rsid w:val="006C778E"/>
    <w:rsid w:val="006D0519"/>
    <w:rsid w:val="006D4DBA"/>
    <w:rsid w:val="006D676C"/>
    <w:rsid w:val="006D6C0F"/>
    <w:rsid w:val="006D78A1"/>
    <w:rsid w:val="006E0D29"/>
    <w:rsid w:val="006E0FAB"/>
    <w:rsid w:val="006E18FD"/>
    <w:rsid w:val="006E669B"/>
    <w:rsid w:val="006F240A"/>
    <w:rsid w:val="006F316E"/>
    <w:rsid w:val="006F6B57"/>
    <w:rsid w:val="0070104A"/>
    <w:rsid w:val="007042B7"/>
    <w:rsid w:val="007050D7"/>
    <w:rsid w:val="00712225"/>
    <w:rsid w:val="00713C69"/>
    <w:rsid w:val="00716D8E"/>
    <w:rsid w:val="00721E21"/>
    <w:rsid w:val="007255E4"/>
    <w:rsid w:val="007272ED"/>
    <w:rsid w:val="00731036"/>
    <w:rsid w:val="0073447B"/>
    <w:rsid w:val="00737C88"/>
    <w:rsid w:val="0075014B"/>
    <w:rsid w:val="00750B0D"/>
    <w:rsid w:val="007512BA"/>
    <w:rsid w:val="00751FA7"/>
    <w:rsid w:val="00752E17"/>
    <w:rsid w:val="0075470F"/>
    <w:rsid w:val="0075493C"/>
    <w:rsid w:val="00757F79"/>
    <w:rsid w:val="00760B58"/>
    <w:rsid w:val="0076248D"/>
    <w:rsid w:val="007630E9"/>
    <w:rsid w:val="0076338E"/>
    <w:rsid w:val="007638B5"/>
    <w:rsid w:val="00764A06"/>
    <w:rsid w:val="00764BAC"/>
    <w:rsid w:val="00765223"/>
    <w:rsid w:val="00765E02"/>
    <w:rsid w:val="00766B35"/>
    <w:rsid w:val="007716DB"/>
    <w:rsid w:val="00771A12"/>
    <w:rsid w:val="00771C3C"/>
    <w:rsid w:val="00776C06"/>
    <w:rsid w:val="00781D80"/>
    <w:rsid w:val="0078257B"/>
    <w:rsid w:val="00782A56"/>
    <w:rsid w:val="00784DC5"/>
    <w:rsid w:val="00786120"/>
    <w:rsid w:val="007874EA"/>
    <w:rsid w:val="007920D9"/>
    <w:rsid w:val="007A013B"/>
    <w:rsid w:val="007A0DA1"/>
    <w:rsid w:val="007A36CE"/>
    <w:rsid w:val="007A6725"/>
    <w:rsid w:val="007B08D7"/>
    <w:rsid w:val="007B18F3"/>
    <w:rsid w:val="007B645B"/>
    <w:rsid w:val="007C0DCD"/>
    <w:rsid w:val="007C2FFD"/>
    <w:rsid w:val="007C429B"/>
    <w:rsid w:val="007C5AD1"/>
    <w:rsid w:val="007D10DE"/>
    <w:rsid w:val="007D1652"/>
    <w:rsid w:val="007D51B2"/>
    <w:rsid w:val="007D5400"/>
    <w:rsid w:val="007D7AEE"/>
    <w:rsid w:val="007E0D6C"/>
    <w:rsid w:val="007E211D"/>
    <w:rsid w:val="007E32A7"/>
    <w:rsid w:val="007E5814"/>
    <w:rsid w:val="007E7269"/>
    <w:rsid w:val="007F0338"/>
    <w:rsid w:val="007F1677"/>
    <w:rsid w:val="007F4798"/>
    <w:rsid w:val="007F59CB"/>
    <w:rsid w:val="007F5BD3"/>
    <w:rsid w:val="007F698E"/>
    <w:rsid w:val="007F6F8A"/>
    <w:rsid w:val="0080153B"/>
    <w:rsid w:val="008039C4"/>
    <w:rsid w:val="00804223"/>
    <w:rsid w:val="008043F4"/>
    <w:rsid w:val="008054B8"/>
    <w:rsid w:val="00812A27"/>
    <w:rsid w:val="00814CDF"/>
    <w:rsid w:val="00817A35"/>
    <w:rsid w:val="00826165"/>
    <w:rsid w:val="008264D3"/>
    <w:rsid w:val="00827BCF"/>
    <w:rsid w:val="00837201"/>
    <w:rsid w:val="00840275"/>
    <w:rsid w:val="00840543"/>
    <w:rsid w:val="008410FE"/>
    <w:rsid w:val="0084200D"/>
    <w:rsid w:val="008456E9"/>
    <w:rsid w:val="0085378F"/>
    <w:rsid w:val="00854E16"/>
    <w:rsid w:val="00854F9F"/>
    <w:rsid w:val="00874764"/>
    <w:rsid w:val="008774C3"/>
    <w:rsid w:val="00877F17"/>
    <w:rsid w:val="00885BB3"/>
    <w:rsid w:val="0088600B"/>
    <w:rsid w:val="00887979"/>
    <w:rsid w:val="008906B7"/>
    <w:rsid w:val="0089236B"/>
    <w:rsid w:val="0089250D"/>
    <w:rsid w:val="00893B20"/>
    <w:rsid w:val="008965CE"/>
    <w:rsid w:val="00896988"/>
    <w:rsid w:val="008A2604"/>
    <w:rsid w:val="008A4BC9"/>
    <w:rsid w:val="008B1143"/>
    <w:rsid w:val="008B2D51"/>
    <w:rsid w:val="008B54A6"/>
    <w:rsid w:val="008B7BF6"/>
    <w:rsid w:val="008C274E"/>
    <w:rsid w:val="008C357E"/>
    <w:rsid w:val="008C450A"/>
    <w:rsid w:val="008C49B4"/>
    <w:rsid w:val="008D1173"/>
    <w:rsid w:val="008D176F"/>
    <w:rsid w:val="008D5B98"/>
    <w:rsid w:val="008D6B73"/>
    <w:rsid w:val="008D7B99"/>
    <w:rsid w:val="008E2D1F"/>
    <w:rsid w:val="008E2D62"/>
    <w:rsid w:val="008E3E9C"/>
    <w:rsid w:val="008E5839"/>
    <w:rsid w:val="008F13D6"/>
    <w:rsid w:val="008F2E5C"/>
    <w:rsid w:val="008F3563"/>
    <w:rsid w:val="008F5717"/>
    <w:rsid w:val="008F732C"/>
    <w:rsid w:val="008F79C3"/>
    <w:rsid w:val="009027D5"/>
    <w:rsid w:val="009033D3"/>
    <w:rsid w:val="00903885"/>
    <w:rsid w:val="009100E7"/>
    <w:rsid w:val="00910C08"/>
    <w:rsid w:val="00911003"/>
    <w:rsid w:val="0091297A"/>
    <w:rsid w:val="0091326E"/>
    <w:rsid w:val="0091407F"/>
    <w:rsid w:val="00914BF3"/>
    <w:rsid w:val="0091535D"/>
    <w:rsid w:val="009163C0"/>
    <w:rsid w:val="00916F98"/>
    <w:rsid w:val="009172F3"/>
    <w:rsid w:val="00924557"/>
    <w:rsid w:val="0092530C"/>
    <w:rsid w:val="00926DEE"/>
    <w:rsid w:val="009304AA"/>
    <w:rsid w:val="0093340F"/>
    <w:rsid w:val="00933715"/>
    <w:rsid w:val="0093397C"/>
    <w:rsid w:val="00934C3F"/>
    <w:rsid w:val="00935064"/>
    <w:rsid w:val="009379E1"/>
    <w:rsid w:val="00942CD4"/>
    <w:rsid w:val="00943387"/>
    <w:rsid w:val="00947153"/>
    <w:rsid w:val="00950A41"/>
    <w:rsid w:val="009520F6"/>
    <w:rsid w:val="00955F2E"/>
    <w:rsid w:val="0095734D"/>
    <w:rsid w:val="00961808"/>
    <w:rsid w:val="0096385C"/>
    <w:rsid w:val="0096484C"/>
    <w:rsid w:val="00965B17"/>
    <w:rsid w:val="00966042"/>
    <w:rsid w:val="00966610"/>
    <w:rsid w:val="00967730"/>
    <w:rsid w:val="00967C51"/>
    <w:rsid w:val="00970421"/>
    <w:rsid w:val="00971765"/>
    <w:rsid w:val="0097194A"/>
    <w:rsid w:val="009733FE"/>
    <w:rsid w:val="0097370A"/>
    <w:rsid w:val="00975E0B"/>
    <w:rsid w:val="009761C8"/>
    <w:rsid w:val="00976891"/>
    <w:rsid w:val="00984236"/>
    <w:rsid w:val="00985184"/>
    <w:rsid w:val="00986C82"/>
    <w:rsid w:val="00986CD4"/>
    <w:rsid w:val="00986F0B"/>
    <w:rsid w:val="009873DF"/>
    <w:rsid w:val="00987913"/>
    <w:rsid w:val="00991B19"/>
    <w:rsid w:val="0099262F"/>
    <w:rsid w:val="00992871"/>
    <w:rsid w:val="009932A3"/>
    <w:rsid w:val="00993B34"/>
    <w:rsid w:val="00994D3B"/>
    <w:rsid w:val="00994FFE"/>
    <w:rsid w:val="00995527"/>
    <w:rsid w:val="009A1055"/>
    <w:rsid w:val="009A2357"/>
    <w:rsid w:val="009A4A61"/>
    <w:rsid w:val="009A54C7"/>
    <w:rsid w:val="009A5FC0"/>
    <w:rsid w:val="009B1173"/>
    <w:rsid w:val="009B187D"/>
    <w:rsid w:val="009B2B6E"/>
    <w:rsid w:val="009B362D"/>
    <w:rsid w:val="009B58F4"/>
    <w:rsid w:val="009B591F"/>
    <w:rsid w:val="009C1172"/>
    <w:rsid w:val="009C1B25"/>
    <w:rsid w:val="009C2C88"/>
    <w:rsid w:val="009C459A"/>
    <w:rsid w:val="009C483D"/>
    <w:rsid w:val="009C5CC3"/>
    <w:rsid w:val="009C6EE0"/>
    <w:rsid w:val="009C74FB"/>
    <w:rsid w:val="009C7A52"/>
    <w:rsid w:val="009C7F2D"/>
    <w:rsid w:val="009D1680"/>
    <w:rsid w:val="009D1F39"/>
    <w:rsid w:val="009D5CE3"/>
    <w:rsid w:val="009D614C"/>
    <w:rsid w:val="009D6719"/>
    <w:rsid w:val="009D788A"/>
    <w:rsid w:val="009E1961"/>
    <w:rsid w:val="009E1F04"/>
    <w:rsid w:val="009E2661"/>
    <w:rsid w:val="009E2DCD"/>
    <w:rsid w:val="009E37B5"/>
    <w:rsid w:val="009E40B0"/>
    <w:rsid w:val="009E55DF"/>
    <w:rsid w:val="009E6A5A"/>
    <w:rsid w:val="009E6CB2"/>
    <w:rsid w:val="009F1CB7"/>
    <w:rsid w:val="009F3244"/>
    <w:rsid w:val="009F3645"/>
    <w:rsid w:val="009F4B8F"/>
    <w:rsid w:val="00A0015B"/>
    <w:rsid w:val="00A01367"/>
    <w:rsid w:val="00A0344D"/>
    <w:rsid w:val="00A050DA"/>
    <w:rsid w:val="00A061E9"/>
    <w:rsid w:val="00A07392"/>
    <w:rsid w:val="00A0762F"/>
    <w:rsid w:val="00A112FC"/>
    <w:rsid w:val="00A1147A"/>
    <w:rsid w:val="00A12DA6"/>
    <w:rsid w:val="00A14556"/>
    <w:rsid w:val="00A15633"/>
    <w:rsid w:val="00A15819"/>
    <w:rsid w:val="00A175EB"/>
    <w:rsid w:val="00A21465"/>
    <w:rsid w:val="00A250EC"/>
    <w:rsid w:val="00A25BD7"/>
    <w:rsid w:val="00A26F24"/>
    <w:rsid w:val="00A27FB2"/>
    <w:rsid w:val="00A30D84"/>
    <w:rsid w:val="00A330AB"/>
    <w:rsid w:val="00A41982"/>
    <w:rsid w:val="00A46BA7"/>
    <w:rsid w:val="00A47610"/>
    <w:rsid w:val="00A50053"/>
    <w:rsid w:val="00A53EAD"/>
    <w:rsid w:val="00A547CE"/>
    <w:rsid w:val="00A55286"/>
    <w:rsid w:val="00A555B6"/>
    <w:rsid w:val="00A61A7A"/>
    <w:rsid w:val="00A625A8"/>
    <w:rsid w:val="00A6278F"/>
    <w:rsid w:val="00A6338A"/>
    <w:rsid w:val="00A642F0"/>
    <w:rsid w:val="00A643FE"/>
    <w:rsid w:val="00A6450B"/>
    <w:rsid w:val="00A64B50"/>
    <w:rsid w:val="00A64C98"/>
    <w:rsid w:val="00A66324"/>
    <w:rsid w:val="00A67CEE"/>
    <w:rsid w:val="00A7101B"/>
    <w:rsid w:val="00A720EA"/>
    <w:rsid w:val="00A817BB"/>
    <w:rsid w:val="00A81BF7"/>
    <w:rsid w:val="00A82BBF"/>
    <w:rsid w:val="00A83E37"/>
    <w:rsid w:val="00A8609E"/>
    <w:rsid w:val="00A932A9"/>
    <w:rsid w:val="00A93BEF"/>
    <w:rsid w:val="00A9440E"/>
    <w:rsid w:val="00A95658"/>
    <w:rsid w:val="00A95D05"/>
    <w:rsid w:val="00A9725C"/>
    <w:rsid w:val="00AA0446"/>
    <w:rsid w:val="00AA1A08"/>
    <w:rsid w:val="00AA39E2"/>
    <w:rsid w:val="00AA72F7"/>
    <w:rsid w:val="00AA77F2"/>
    <w:rsid w:val="00AB1699"/>
    <w:rsid w:val="00AB3340"/>
    <w:rsid w:val="00AB49FD"/>
    <w:rsid w:val="00AC0338"/>
    <w:rsid w:val="00AC46AF"/>
    <w:rsid w:val="00AC6B1F"/>
    <w:rsid w:val="00AD0697"/>
    <w:rsid w:val="00AD0E97"/>
    <w:rsid w:val="00AD0F20"/>
    <w:rsid w:val="00AD20E7"/>
    <w:rsid w:val="00AE155A"/>
    <w:rsid w:val="00AE348F"/>
    <w:rsid w:val="00AE5EEF"/>
    <w:rsid w:val="00AF2026"/>
    <w:rsid w:val="00AF46AA"/>
    <w:rsid w:val="00AF4CD4"/>
    <w:rsid w:val="00AF4D8A"/>
    <w:rsid w:val="00AF5548"/>
    <w:rsid w:val="00AF5D4C"/>
    <w:rsid w:val="00B010BE"/>
    <w:rsid w:val="00B04188"/>
    <w:rsid w:val="00B06314"/>
    <w:rsid w:val="00B06B92"/>
    <w:rsid w:val="00B07458"/>
    <w:rsid w:val="00B10586"/>
    <w:rsid w:val="00B129D9"/>
    <w:rsid w:val="00B13CE2"/>
    <w:rsid w:val="00B15B91"/>
    <w:rsid w:val="00B15F49"/>
    <w:rsid w:val="00B1765C"/>
    <w:rsid w:val="00B211F4"/>
    <w:rsid w:val="00B26AE4"/>
    <w:rsid w:val="00B32D16"/>
    <w:rsid w:val="00B336BD"/>
    <w:rsid w:val="00B345D6"/>
    <w:rsid w:val="00B3671E"/>
    <w:rsid w:val="00B403F6"/>
    <w:rsid w:val="00B40740"/>
    <w:rsid w:val="00B40A4D"/>
    <w:rsid w:val="00B40CD8"/>
    <w:rsid w:val="00B44720"/>
    <w:rsid w:val="00B51674"/>
    <w:rsid w:val="00B52A1D"/>
    <w:rsid w:val="00B52AB4"/>
    <w:rsid w:val="00B52E81"/>
    <w:rsid w:val="00B550E4"/>
    <w:rsid w:val="00B55B03"/>
    <w:rsid w:val="00B604EE"/>
    <w:rsid w:val="00B61252"/>
    <w:rsid w:val="00B6283B"/>
    <w:rsid w:val="00B63102"/>
    <w:rsid w:val="00B6327E"/>
    <w:rsid w:val="00B63993"/>
    <w:rsid w:val="00B70924"/>
    <w:rsid w:val="00B72F5C"/>
    <w:rsid w:val="00B73D3D"/>
    <w:rsid w:val="00B7449E"/>
    <w:rsid w:val="00B74886"/>
    <w:rsid w:val="00B7614C"/>
    <w:rsid w:val="00B77955"/>
    <w:rsid w:val="00B801C2"/>
    <w:rsid w:val="00B80CCB"/>
    <w:rsid w:val="00B869AB"/>
    <w:rsid w:val="00B8748E"/>
    <w:rsid w:val="00B90EDE"/>
    <w:rsid w:val="00B93F77"/>
    <w:rsid w:val="00B95D98"/>
    <w:rsid w:val="00BA2F4C"/>
    <w:rsid w:val="00BA2F7C"/>
    <w:rsid w:val="00BA32B7"/>
    <w:rsid w:val="00BA5C6E"/>
    <w:rsid w:val="00BA6A04"/>
    <w:rsid w:val="00BB130A"/>
    <w:rsid w:val="00BB3510"/>
    <w:rsid w:val="00BB35E1"/>
    <w:rsid w:val="00BB3A6C"/>
    <w:rsid w:val="00BB51B5"/>
    <w:rsid w:val="00BB616C"/>
    <w:rsid w:val="00BB7C93"/>
    <w:rsid w:val="00BB7E28"/>
    <w:rsid w:val="00BC0618"/>
    <w:rsid w:val="00BC2DF9"/>
    <w:rsid w:val="00BC33AD"/>
    <w:rsid w:val="00BC34F1"/>
    <w:rsid w:val="00BC4498"/>
    <w:rsid w:val="00BC5B12"/>
    <w:rsid w:val="00BD1A67"/>
    <w:rsid w:val="00BD1CE4"/>
    <w:rsid w:val="00BD3616"/>
    <w:rsid w:val="00BD375F"/>
    <w:rsid w:val="00BD42DF"/>
    <w:rsid w:val="00BD7A4E"/>
    <w:rsid w:val="00BD7C3E"/>
    <w:rsid w:val="00BE058B"/>
    <w:rsid w:val="00BE0FCB"/>
    <w:rsid w:val="00BE33A3"/>
    <w:rsid w:val="00BE3E71"/>
    <w:rsid w:val="00BE42D5"/>
    <w:rsid w:val="00BE508E"/>
    <w:rsid w:val="00BE6C56"/>
    <w:rsid w:val="00BF0E25"/>
    <w:rsid w:val="00BF1676"/>
    <w:rsid w:val="00BF29FC"/>
    <w:rsid w:val="00BF2DB3"/>
    <w:rsid w:val="00BF4376"/>
    <w:rsid w:val="00C034DC"/>
    <w:rsid w:val="00C03E2E"/>
    <w:rsid w:val="00C04093"/>
    <w:rsid w:val="00C06B1E"/>
    <w:rsid w:val="00C0748C"/>
    <w:rsid w:val="00C10DBF"/>
    <w:rsid w:val="00C1321C"/>
    <w:rsid w:val="00C1322E"/>
    <w:rsid w:val="00C13543"/>
    <w:rsid w:val="00C1429D"/>
    <w:rsid w:val="00C14EA7"/>
    <w:rsid w:val="00C20A55"/>
    <w:rsid w:val="00C2347B"/>
    <w:rsid w:val="00C235D7"/>
    <w:rsid w:val="00C2534C"/>
    <w:rsid w:val="00C257D8"/>
    <w:rsid w:val="00C2709D"/>
    <w:rsid w:val="00C332B6"/>
    <w:rsid w:val="00C346EF"/>
    <w:rsid w:val="00C351BE"/>
    <w:rsid w:val="00C36061"/>
    <w:rsid w:val="00C36557"/>
    <w:rsid w:val="00C37B9E"/>
    <w:rsid w:val="00C41336"/>
    <w:rsid w:val="00C41DA7"/>
    <w:rsid w:val="00C424C3"/>
    <w:rsid w:val="00C44026"/>
    <w:rsid w:val="00C4796E"/>
    <w:rsid w:val="00C5141D"/>
    <w:rsid w:val="00C530DB"/>
    <w:rsid w:val="00C54B23"/>
    <w:rsid w:val="00C5587A"/>
    <w:rsid w:val="00C55A64"/>
    <w:rsid w:val="00C56F30"/>
    <w:rsid w:val="00C61F49"/>
    <w:rsid w:val="00C6269B"/>
    <w:rsid w:val="00C62EDE"/>
    <w:rsid w:val="00C630B9"/>
    <w:rsid w:val="00C6758B"/>
    <w:rsid w:val="00C70385"/>
    <w:rsid w:val="00C74AE6"/>
    <w:rsid w:val="00C75C6C"/>
    <w:rsid w:val="00C76F22"/>
    <w:rsid w:val="00C77B21"/>
    <w:rsid w:val="00C80422"/>
    <w:rsid w:val="00C80572"/>
    <w:rsid w:val="00C82302"/>
    <w:rsid w:val="00C842BA"/>
    <w:rsid w:val="00C90BB1"/>
    <w:rsid w:val="00C90F2A"/>
    <w:rsid w:val="00C9422B"/>
    <w:rsid w:val="00C97B32"/>
    <w:rsid w:val="00CA2D94"/>
    <w:rsid w:val="00CA4F34"/>
    <w:rsid w:val="00CA5930"/>
    <w:rsid w:val="00CB1504"/>
    <w:rsid w:val="00CB15E9"/>
    <w:rsid w:val="00CB2055"/>
    <w:rsid w:val="00CB2535"/>
    <w:rsid w:val="00CB3558"/>
    <w:rsid w:val="00CB4C0C"/>
    <w:rsid w:val="00CB57FF"/>
    <w:rsid w:val="00CB5CC0"/>
    <w:rsid w:val="00CB640A"/>
    <w:rsid w:val="00CC0636"/>
    <w:rsid w:val="00CC0823"/>
    <w:rsid w:val="00CC16D7"/>
    <w:rsid w:val="00CC287F"/>
    <w:rsid w:val="00CC459A"/>
    <w:rsid w:val="00CC6CB2"/>
    <w:rsid w:val="00CC6D83"/>
    <w:rsid w:val="00CC7272"/>
    <w:rsid w:val="00CD0E31"/>
    <w:rsid w:val="00CD0F09"/>
    <w:rsid w:val="00CD1774"/>
    <w:rsid w:val="00CD7668"/>
    <w:rsid w:val="00CD7E5A"/>
    <w:rsid w:val="00CE0152"/>
    <w:rsid w:val="00CE086A"/>
    <w:rsid w:val="00CE0E26"/>
    <w:rsid w:val="00CE3B7C"/>
    <w:rsid w:val="00CE3D76"/>
    <w:rsid w:val="00CE46FA"/>
    <w:rsid w:val="00CE63D3"/>
    <w:rsid w:val="00CE700B"/>
    <w:rsid w:val="00CE7830"/>
    <w:rsid w:val="00CF12A4"/>
    <w:rsid w:val="00CF30F1"/>
    <w:rsid w:val="00CF5FCA"/>
    <w:rsid w:val="00CF7592"/>
    <w:rsid w:val="00D002CB"/>
    <w:rsid w:val="00D02B3A"/>
    <w:rsid w:val="00D07F9B"/>
    <w:rsid w:val="00D107BE"/>
    <w:rsid w:val="00D13C58"/>
    <w:rsid w:val="00D14125"/>
    <w:rsid w:val="00D15A59"/>
    <w:rsid w:val="00D234D5"/>
    <w:rsid w:val="00D245B4"/>
    <w:rsid w:val="00D26272"/>
    <w:rsid w:val="00D2639A"/>
    <w:rsid w:val="00D27882"/>
    <w:rsid w:val="00D27DF8"/>
    <w:rsid w:val="00D31C54"/>
    <w:rsid w:val="00D33527"/>
    <w:rsid w:val="00D33720"/>
    <w:rsid w:val="00D36370"/>
    <w:rsid w:val="00D41325"/>
    <w:rsid w:val="00D4511E"/>
    <w:rsid w:val="00D467D4"/>
    <w:rsid w:val="00D46F05"/>
    <w:rsid w:val="00D47B38"/>
    <w:rsid w:val="00D54E5F"/>
    <w:rsid w:val="00D55DF5"/>
    <w:rsid w:val="00D55F42"/>
    <w:rsid w:val="00D56267"/>
    <w:rsid w:val="00D574C2"/>
    <w:rsid w:val="00D5779E"/>
    <w:rsid w:val="00D61900"/>
    <w:rsid w:val="00D61DDC"/>
    <w:rsid w:val="00D628FC"/>
    <w:rsid w:val="00D65B00"/>
    <w:rsid w:val="00D66089"/>
    <w:rsid w:val="00D673A9"/>
    <w:rsid w:val="00D67FF6"/>
    <w:rsid w:val="00D70377"/>
    <w:rsid w:val="00D738F7"/>
    <w:rsid w:val="00D740E6"/>
    <w:rsid w:val="00D752B7"/>
    <w:rsid w:val="00D8055F"/>
    <w:rsid w:val="00D80F09"/>
    <w:rsid w:val="00D80FFE"/>
    <w:rsid w:val="00D85235"/>
    <w:rsid w:val="00D852D9"/>
    <w:rsid w:val="00D85BB9"/>
    <w:rsid w:val="00D86906"/>
    <w:rsid w:val="00D90575"/>
    <w:rsid w:val="00DA291C"/>
    <w:rsid w:val="00DA2F45"/>
    <w:rsid w:val="00DA3071"/>
    <w:rsid w:val="00DA3F60"/>
    <w:rsid w:val="00DA59D0"/>
    <w:rsid w:val="00DA6D13"/>
    <w:rsid w:val="00DA78BB"/>
    <w:rsid w:val="00DB2676"/>
    <w:rsid w:val="00DB2D65"/>
    <w:rsid w:val="00DB60BA"/>
    <w:rsid w:val="00DB65C5"/>
    <w:rsid w:val="00DB6B01"/>
    <w:rsid w:val="00DC681A"/>
    <w:rsid w:val="00DC737A"/>
    <w:rsid w:val="00DD2DCB"/>
    <w:rsid w:val="00DD441D"/>
    <w:rsid w:val="00DD7D02"/>
    <w:rsid w:val="00DE2911"/>
    <w:rsid w:val="00DE393A"/>
    <w:rsid w:val="00DE4AF8"/>
    <w:rsid w:val="00DE645D"/>
    <w:rsid w:val="00DE765A"/>
    <w:rsid w:val="00DE7C18"/>
    <w:rsid w:val="00DF011B"/>
    <w:rsid w:val="00DF482E"/>
    <w:rsid w:val="00DF74FE"/>
    <w:rsid w:val="00E002C9"/>
    <w:rsid w:val="00E0251A"/>
    <w:rsid w:val="00E04465"/>
    <w:rsid w:val="00E04C60"/>
    <w:rsid w:val="00E073E9"/>
    <w:rsid w:val="00E10AF6"/>
    <w:rsid w:val="00E176C8"/>
    <w:rsid w:val="00E17C3F"/>
    <w:rsid w:val="00E17D1D"/>
    <w:rsid w:val="00E2417D"/>
    <w:rsid w:val="00E24D38"/>
    <w:rsid w:val="00E319C6"/>
    <w:rsid w:val="00E33FBD"/>
    <w:rsid w:val="00E34CF3"/>
    <w:rsid w:val="00E36977"/>
    <w:rsid w:val="00E41343"/>
    <w:rsid w:val="00E416AC"/>
    <w:rsid w:val="00E41EF4"/>
    <w:rsid w:val="00E421A6"/>
    <w:rsid w:val="00E46136"/>
    <w:rsid w:val="00E520D6"/>
    <w:rsid w:val="00E5692F"/>
    <w:rsid w:val="00E56D83"/>
    <w:rsid w:val="00E572A8"/>
    <w:rsid w:val="00E604CD"/>
    <w:rsid w:val="00E6093B"/>
    <w:rsid w:val="00E61BFA"/>
    <w:rsid w:val="00E62A7C"/>
    <w:rsid w:val="00E6559C"/>
    <w:rsid w:val="00E66E9F"/>
    <w:rsid w:val="00E705A5"/>
    <w:rsid w:val="00E70D9D"/>
    <w:rsid w:val="00E71946"/>
    <w:rsid w:val="00E727BF"/>
    <w:rsid w:val="00E7527F"/>
    <w:rsid w:val="00E75E0C"/>
    <w:rsid w:val="00E76BC7"/>
    <w:rsid w:val="00E77D7E"/>
    <w:rsid w:val="00E80661"/>
    <w:rsid w:val="00E82D42"/>
    <w:rsid w:val="00E83067"/>
    <w:rsid w:val="00E9020B"/>
    <w:rsid w:val="00E91E46"/>
    <w:rsid w:val="00E9352F"/>
    <w:rsid w:val="00EA03F4"/>
    <w:rsid w:val="00EA2412"/>
    <w:rsid w:val="00EA4B14"/>
    <w:rsid w:val="00EA65E0"/>
    <w:rsid w:val="00EA7048"/>
    <w:rsid w:val="00EA7CAB"/>
    <w:rsid w:val="00EB08B5"/>
    <w:rsid w:val="00EB63A7"/>
    <w:rsid w:val="00EB63B6"/>
    <w:rsid w:val="00EB6696"/>
    <w:rsid w:val="00EB6CDD"/>
    <w:rsid w:val="00EC630D"/>
    <w:rsid w:val="00ED127D"/>
    <w:rsid w:val="00ED2CFA"/>
    <w:rsid w:val="00ED339E"/>
    <w:rsid w:val="00ED73BA"/>
    <w:rsid w:val="00ED7B4F"/>
    <w:rsid w:val="00EE3648"/>
    <w:rsid w:val="00EE53E8"/>
    <w:rsid w:val="00EF20D0"/>
    <w:rsid w:val="00EF3767"/>
    <w:rsid w:val="00F01AA0"/>
    <w:rsid w:val="00F03129"/>
    <w:rsid w:val="00F0379E"/>
    <w:rsid w:val="00F05605"/>
    <w:rsid w:val="00F056DD"/>
    <w:rsid w:val="00F06469"/>
    <w:rsid w:val="00F06995"/>
    <w:rsid w:val="00F06D87"/>
    <w:rsid w:val="00F07165"/>
    <w:rsid w:val="00F07578"/>
    <w:rsid w:val="00F10940"/>
    <w:rsid w:val="00F11919"/>
    <w:rsid w:val="00F12ABD"/>
    <w:rsid w:val="00F132D5"/>
    <w:rsid w:val="00F1587F"/>
    <w:rsid w:val="00F207A4"/>
    <w:rsid w:val="00F2166D"/>
    <w:rsid w:val="00F217E2"/>
    <w:rsid w:val="00F23232"/>
    <w:rsid w:val="00F2351F"/>
    <w:rsid w:val="00F23855"/>
    <w:rsid w:val="00F26AE9"/>
    <w:rsid w:val="00F30570"/>
    <w:rsid w:val="00F3452A"/>
    <w:rsid w:val="00F3575D"/>
    <w:rsid w:val="00F40129"/>
    <w:rsid w:val="00F40805"/>
    <w:rsid w:val="00F40B25"/>
    <w:rsid w:val="00F44FBA"/>
    <w:rsid w:val="00F460EB"/>
    <w:rsid w:val="00F46537"/>
    <w:rsid w:val="00F50FD0"/>
    <w:rsid w:val="00F5241A"/>
    <w:rsid w:val="00F54B02"/>
    <w:rsid w:val="00F552C2"/>
    <w:rsid w:val="00F56D24"/>
    <w:rsid w:val="00F579EF"/>
    <w:rsid w:val="00F62A72"/>
    <w:rsid w:val="00F65794"/>
    <w:rsid w:val="00F70483"/>
    <w:rsid w:val="00F72E4B"/>
    <w:rsid w:val="00F73460"/>
    <w:rsid w:val="00F73E11"/>
    <w:rsid w:val="00F740C8"/>
    <w:rsid w:val="00F744F5"/>
    <w:rsid w:val="00F76661"/>
    <w:rsid w:val="00F8340F"/>
    <w:rsid w:val="00F83ABC"/>
    <w:rsid w:val="00F92AE3"/>
    <w:rsid w:val="00F92F70"/>
    <w:rsid w:val="00F95A0F"/>
    <w:rsid w:val="00FA2AAC"/>
    <w:rsid w:val="00FA4FA1"/>
    <w:rsid w:val="00FA6861"/>
    <w:rsid w:val="00FB0DBF"/>
    <w:rsid w:val="00FB3602"/>
    <w:rsid w:val="00FB3614"/>
    <w:rsid w:val="00FC00AC"/>
    <w:rsid w:val="00FC047C"/>
    <w:rsid w:val="00FC0491"/>
    <w:rsid w:val="00FC0F00"/>
    <w:rsid w:val="00FC36FB"/>
    <w:rsid w:val="00FC3A14"/>
    <w:rsid w:val="00FC6420"/>
    <w:rsid w:val="00FC7587"/>
    <w:rsid w:val="00FC7F22"/>
    <w:rsid w:val="00FD0BA1"/>
    <w:rsid w:val="00FD39DD"/>
    <w:rsid w:val="00FD551F"/>
    <w:rsid w:val="00FD5C1A"/>
    <w:rsid w:val="00FE33C6"/>
    <w:rsid w:val="00FE522B"/>
    <w:rsid w:val="00FE535E"/>
    <w:rsid w:val="00FE5467"/>
    <w:rsid w:val="00FE655A"/>
    <w:rsid w:val="00FE67AC"/>
    <w:rsid w:val="00FE688A"/>
    <w:rsid w:val="00FE72A0"/>
    <w:rsid w:val="00FE7CBF"/>
    <w:rsid w:val="00FF0FE5"/>
    <w:rsid w:val="00FF17F8"/>
    <w:rsid w:val="00FF3385"/>
    <w:rsid w:val="00FF38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semiHidden/>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uiPriority w:val="99"/>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semiHidden/>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6B3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ojumupamats">
    <w:name w:val="labojumu_pamats"/>
    <w:basedOn w:val="Normal"/>
    <w:rsid w:val="00043AD9"/>
    <w:pPr>
      <w:spacing w:before="100" w:beforeAutospacing="1" w:after="100" w:afterAutospacing="1"/>
    </w:pPr>
  </w:style>
  <w:style w:type="character" w:customStyle="1" w:styleId="apple-converted-space">
    <w:name w:val="apple-converted-space"/>
    <w:basedOn w:val="DefaultParagraphFont"/>
    <w:rsid w:val="00043AD9"/>
  </w:style>
  <w:style w:type="paragraph" w:styleId="FootnoteText">
    <w:name w:val="footnote text"/>
    <w:basedOn w:val="Normal"/>
    <w:link w:val="FootnoteTextChar"/>
    <w:uiPriority w:val="99"/>
    <w:semiHidden/>
    <w:unhideWhenUsed/>
    <w:rsid w:val="007E32A7"/>
    <w:rPr>
      <w:sz w:val="20"/>
      <w:szCs w:val="20"/>
    </w:rPr>
  </w:style>
  <w:style w:type="character" w:customStyle="1" w:styleId="FootnoteTextChar">
    <w:name w:val="Footnote Text Char"/>
    <w:basedOn w:val="DefaultParagraphFont"/>
    <w:link w:val="FootnoteText"/>
    <w:uiPriority w:val="99"/>
    <w:semiHidden/>
    <w:rsid w:val="007E32A7"/>
  </w:style>
  <w:style w:type="character" w:styleId="FootnoteReference">
    <w:name w:val="footnote reference"/>
    <w:basedOn w:val="DefaultParagraphFont"/>
    <w:uiPriority w:val="99"/>
    <w:semiHidden/>
    <w:unhideWhenUsed/>
    <w:rsid w:val="007E32A7"/>
    <w:rPr>
      <w:vertAlign w:val="superscript"/>
    </w:rPr>
  </w:style>
  <w:style w:type="paragraph" w:styleId="ListParagraph">
    <w:name w:val="List Paragraph"/>
    <w:basedOn w:val="Normal"/>
    <w:uiPriority w:val="34"/>
    <w:qFormat/>
    <w:rsid w:val="000D4629"/>
    <w:pPr>
      <w:ind w:left="720"/>
      <w:contextualSpacing/>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semiHidden/>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uiPriority w:val="99"/>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semiHidden/>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6B3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043AD9"/>
    <w:pPr>
      <w:spacing w:before="100" w:beforeAutospacing="1" w:after="100" w:afterAutospacing="1"/>
    </w:pPr>
  </w:style>
  <w:style w:type="character" w:customStyle="1" w:styleId="apple-converted-space">
    <w:name w:val="apple-converted-space"/>
    <w:basedOn w:val="DefaultParagraphFont"/>
    <w:rsid w:val="00043AD9"/>
  </w:style>
</w:styles>
</file>

<file path=word/webSettings.xml><?xml version="1.0" encoding="utf-8"?>
<w:webSettings xmlns:r="http://schemas.openxmlformats.org/officeDocument/2006/relationships" xmlns:w="http://schemas.openxmlformats.org/wordprocessingml/2006/main">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763259398">
      <w:bodyDiv w:val="1"/>
      <w:marLeft w:val="0"/>
      <w:marRight w:val="0"/>
      <w:marTop w:val="0"/>
      <w:marBottom w:val="0"/>
      <w:divBdr>
        <w:top w:val="none" w:sz="0" w:space="0" w:color="auto"/>
        <w:left w:val="none" w:sz="0" w:space="0" w:color="auto"/>
        <w:bottom w:val="none" w:sz="0" w:space="0" w:color="auto"/>
        <w:right w:val="none" w:sz="0" w:space="0" w:color="auto"/>
      </w:divBdr>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424640581">
      <w:bodyDiv w:val="1"/>
      <w:marLeft w:val="0"/>
      <w:marRight w:val="0"/>
      <w:marTop w:val="0"/>
      <w:marBottom w:val="0"/>
      <w:divBdr>
        <w:top w:val="none" w:sz="0" w:space="0" w:color="auto"/>
        <w:left w:val="none" w:sz="0" w:space="0" w:color="auto"/>
        <w:bottom w:val="none" w:sz="0" w:space="0" w:color="auto"/>
        <w:right w:val="none" w:sz="0" w:space="0" w:color="auto"/>
      </w:divBdr>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10678104">
      <w:bodyDiv w:val="1"/>
      <w:marLeft w:val="0"/>
      <w:marRight w:val="0"/>
      <w:marTop w:val="0"/>
      <w:marBottom w:val="0"/>
      <w:divBdr>
        <w:top w:val="none" w:sz="0" w:space="0" w:color="auto"/>
        <w:left w:val="none" w:sz="0" w:space="0" w:color="auto"/>
        <w:bottom w:val="none" w:sz="0" w:space="0" w:color="auto"/>
        <w:right w:val="none" w:sz="0" w:space="0" w:color="auto"/>
      </w:divBdr>
    </w:div>
    <w:div w:id="1550604758">
      <w:bodyDiv w:val="1"/>
      <w:marLeft w:val="0"/>
      <w:marRight w:val="0"/>
      <w:marTop w:val="0"/>
      <w:marBottom w:val="0"/>
      <w:divBdr>
        <w:top w:val="none" w:sz="0" w:space="0" w:color="auto"/>
        <w:left w:val="none" w:sz="0" w:space="0" w:color="auto"/>
        <w:bottom w:val="none" w:sz="0" w:space="0" w:color="auto"/>
        <w:right w:val="none" w:sz="0" w:space="0" w:color="auto"/>
      </w:divBdr>
      <w:divsChild>
        <w:div w:id="257759359">
          <w:marLeft w:val="0"/>
          <w:marRight w:val="0"/>
          <w:marTop w:val="400"/>
          <w:marBottom w:val="0"/>
          <w:divBdr>
            <w:top w:val="none" w:sz="0" w:space="0" w:color="auto"/>
            <w:left w:val="none" w:sz="0" w:space="0" w:color="auto"/>
            <w:bottom w:val="none" w:sz="0" w:space="0" w:color="auto"/>
            <w:right w:val="none" w:sz="0" w:space="0" w:color="auto"/>
          </w:divBdr>
        </w:div>
        <w:div w:id="1494033069">
          <w:marLeft w:val="0"/>
          <w:marRight w:val="0"/>
          <w:marTop w:val="240"/>
          <w:marBottom w:val="0"/>
          <w:divBdr>
            <w:top w:val="none" w:sz="0" w:space="0" w:color="auto"/>
            <w:left w:val="none" w:sz="0" w:space="0" w:color="auto"/>
            <w:bottom w:val="none" w:sz="0" w:space="0" w:color="auto"/>
            <w:right w:val="none" w:sz="0" w:space="0" w:color="auto"/>
          </w:divBdr>
        </w:div>
      </w:divsChild>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lv/nozare/rezidentiem/arstu_un_zobarstu_skaits_kurus_arstniecibas_iestades_varetu_/" TargetMode="External"/><Relationship Id="rId13" Type="http://schemas.openxmlformats.org/officeDocument/2006/relationships/hyperlink" Target="mailto:liene.abola@v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roga@v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gov.lv/lv/nozare/rezidentiem/arstu_un_zobarstu_skaits_kurus_arstniecibas_iestades_varetu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likumi.lv/doc.php?id=2354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likumi.lv/doc.php?id=23542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F292-5B51-420A-973A-4062D003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23</Pages>
  <Words>6125</Words>
  <Characters>44705</Characters>
  <Application>Microsoft Office Word</Application>
  <DocSecurity>0</DocSecurity>
  <Lines>372</Lines>
  <Paragraphs>101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30.augusta noteikumos Nr.685 "Rezidentu sadales un rezidentūras finansēšanas noteikumi"”</vt:lpstr>
    </vt:vector>
  </TitlesOfParts>
  <Company>Veselības ministrija</Company>
  <LinksUpToDate>false</LinksUpToDate>
  <CharactersWithSpaces>50729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30.augusta noteikumos Nr.685 "Rezidentu sadales un rezidentūras finansēšanas noteikumi"”</dc:title>
  <dc:subject>Anotācija</dc:subject>
  <dc:creator>Dace Roga</dc:creator>
  <dc:description>Dace.Roga@vm.gov.lv tālr. 67876093</dc:description>
  <cp:lastModifiedBy>droga</cp:lastModifiedBy>
  <cp:revision>43</cp:revision>
  <cp:lastPrinted>2016-03-10T06:36:00Z</cp:lastPrinted>
  <dcterms:created xsi:type="dcterms:W3CDTF">2015-10-01T14:11:00Z</dcterms:created>
  <dcterms:modified xsi:type="dcterms:W3CDTF">2016-03-11T15:36:00Z</dcterms:modified>
</cp:coreProperties>
</file>