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08" w:rsidRPr="00A26C08" w:rsidRDefault="00AE232C" w:rsidP="00A26C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Likum</w:t>
      </w:r>
      <w:r w:rsidR="00A26C08" w:rsidRPr="00A26C0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projekta </w:t>
      </w:r>
    </w:p>
    <w:p w:rsidR="00A26C08" w:rsidRPr="00A26C08" w:rsidRDefault="00A26C08" w:rsidP="00A26C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26C0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„Grozījums </w:t>
      </w:r>
      <w:r w:rsidR="00AE232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Medību likumā</w:t>
      </w:r>
      <w:r w:rsidRPr="00A26C0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” </w:t>
      </w:r>
    </w:p>
    <w:p w:rsidR="00A26C08" w:rsidRPr="00A26C08" w:rsidRDefault="00A26C08" w:rsidP="00A26C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26C0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A26C0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lv-LV"/>
          </w:rPr>
          <w:t>ziņojums</w:t>
        </w:r>
      </w:smartTag>
      <w:r w:rsidRPr="00A26C0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(anotācija)</w:t>
      </w:r>
    </w:p>
    <w:p w:rsidR="00A26C08" w:rsidRPr="00A26C08" w:rsidRDefault="00A26C08" w:rsidP="00A26C08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tbl>
      <w:tblPr>
        <w:tblW w:w="871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794"/>
        <w:gridCol w:w="5526"/>
      </w:tblGrid>
      <w:tr w:rsidR="00A26C08" w:rsidRPr="00A26C08" w:rsidTr="00CA57A6">
        <w:tc>
          <w:tcPr>
            <w:tcW w:w="8716" w:type="dxa"/>
            <w:gridSpan w:val="3"/>
          </w:tcPr>
          <w:p w:rsidR="00A26C08" w:rsidRPr="00A26C08" w:rsidRDefault="00A26C08" w:rsidP="00CA57A6">
            <w:pPr>
              <w:spacing w:beforeAutospacing="1" w:after="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Tiesību akta projekta izstrādes nepieciešamība</w:t>
            </w:r>
          </w:p>
        </w:tc>
      </w:tr>
      <w:tr w:rsidR="00A26C08" w:rsidRPr="00A26C08" w:rsidTr="00CA57A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08" w:rsidRPr="00A26C08" w:rsidRDefault="00A26C08" w:rsidP="00CA57A6">
            <w:pPr>
              <w:spacing w:beforeAutospacing="1" w:after="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0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08" w:rsidRPr="00A26C08" w:rsidRDefault="00A26C08" w:rsidP="00CA57A6">
            <w:pPr>
              <w:spacing w:beforeAutospacing="1" w:after="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08">
              <w:rPr>
                <w:rFonts w:ascii="Times New Roman" w:eastAsia="Times New Roman" w:hAnsi="Times New Roman" w:cs="Times New Roman"/>
                <w:sz w:val="24"/>
                <w:szCs w:val="24"/>
              </w:rPr>
              <w:t>Pamatojums</w:t>
            </w:r>
          </w:p>
        </w:tc>
        <w:tc>
          <w:tcPr>
            <w:tcW w:w="5526" w:type="dxa"/>
            <w:tcBorders>
              <w:left w:val="single" w:sz="4" w:space="0" w:color="auto"/>
            </w:tcBorders>
          </w:tcPr>
          <w:p w:rsidR="00A26C08" w:rsidRPr="00A26C08" w:rsidRDefault="00FE4E57" w:rsidP="00B87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</w:t>
            </w:r>
            <w:r w:rsidR="00A26C08" w:rsidRPr="00A26C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="00AE23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inistru kabineta 2014. gada 22. aprīļa sēdes protokola Nr.24 26</w:t>
            </w:r>
            <w:r w:rsidR="00B872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B872C1" w:rsidRPr="00B872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§</w:t>
            </w:r>
            <w:r w:rsidR="00AE23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2.punkts</w:t>
            </w:r>
          </w:p>
        </w:tc>
      </w:tr>
      <w:tr w:rsidR="00A26C08" w:rsidRPr="00A26C08" w:rsidTr="00CA57A6">
        <w:tc>
          <w:tcPr>
            <w:tcW w:w="396" w:type="dxa"/>
            <w:tcBorders>
              <w:top w:val="single" w:sz="4" w:space="0" w:color="auto"/>
            </w:tcBorders>
          </w:tcPr>
          <w:p w:rsidR="00A26C08" w:rsidRPr="00A26C08" w:rsidRDefault="00A26C08" w:rsidP="00CA57A6">
            <w:pPr>
              <w:spacing w:beforeAutospacing="1" w:after="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0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4" w:type="dxa"/>
            <w:tcBorders>
              <w:top w:val="single" w:sz="4" w:space="0" w:color="auto"/>
            </w:tcBorders>
          </w:tcPr>
          <w:p w:rsidR="00A26C08" w:rsidRPr="00A26C08" w:rsidRDefault="00A26C08" w:rsidP="00AE232C">
            <w:pPr>
              <w:tabs>
                <w:tab w:val="left" w:pos="-168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0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526" w:type="dxa"/>
          </w:tcPr>
          <w:p w:rsidR="00A26C08" w:rsidRDefault="00FE4E57" w:rsidP="00CA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</w:t>
            </w:r>
            <w:r w:rsidR="00B872C1" w:rsidRPr="00B8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Ministru kabineta 2014. gada 22. aprīļa sēdes protokola Nr.24 26.§ 2.punkts</w:t>
            </w:r>
            <w:r w:rsidR="00B8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19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paredz uzdevumu informatīvā</w:t>
            </w:r>
            <w:r w:rsidR="00B8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ziņojuma „Nozaru administratīvo pārkāpumu kodifikācijas ieviešanas sistēma”</w:t>
            </w:r>
            <w:r w:rsidR="00910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(turpmāk – informatīvais ziņojums)</w:t>
            </w:r>
            <w:r w:rsidR="00B8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1.pielikumā minētajā</w:t>
            </w:r>
            <w:r w:rsidR="00E8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="00B8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ministrijām izstrādāt attiecīgos likumprojektus.</w:t>
            </w:r>
          </w:p>
          <w:p w:rsidR="00453356" w:rsidRDefault="00FE4E57" w:rsidP="004533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</w:t>
            </w:r>
            <w:r w:rsidR="00DF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Ievērojot</w:t>
            </w:r>
            <w:r w:rsidR="00453356" w:rsidRPr="0045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Ministru kabineta</w:t>
            </w:r>
            <w:r w:rsidR="0045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2013. gada 4. februāra rīkojuma</w:t>
            </w:r>
            <w:r w:rsidR="00453356" w:rsidRPr="0045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Nr. 38 „Par Administratīvo sodu sistēmas attīstības koncepciju”</w:t>
            </w:r>
            <w:r w:rsidR="0045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3.punktu un Valsts meža dienesta rīcībā esošo statistiku par administratīvajiem pārkāpumiem medību jomā, tika </w:t>
            </w:r>
            <w:r w:rsidR="00453356" w:rsidRPr="0045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izvērtēt</w:t>
            </w:r>
            <w:r w:rsidR="0045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 visi</w:t>
            </w:r>
            <w:r w:rsidR="00453356" w:rsidRPr="0045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45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kompetencē esošie</w:t>
            </w:r>
            <w:r w:rsidR="00453356" w:rsidRPr="0045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45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administratīvie pārkāpumi</w:t>
            </w:r>
            <w:r w:rsidR="00DF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atkarībā no</w:t>
            </w:r>
            <w:r w:rsidR="00453356" w:rsidRPr="0045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:</w:t>
            </w:r>
            <w:r w:rsidR="00453356">
              <w:t xml:space="preserve"> 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1) nodarījuma bīstamīb</w:t>
            </w:r>
            <w:r w:rsidR="00DF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as</w:t>
            </w:r>
            <w:r w:rsidRPr="0045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;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2) sabiedrisk</w:t>
            </w:r>
            <w:r w:rsidR="00DF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</w:t>
            </w:r>
            <w:r w:rsidRPr="0045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kaitīgum</w:t>
            </w:r>
            <w:r w:rsidR="00DF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</w:t>
            </w:r>
            <w:r w:rsidRPr="0045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;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3) nodarījuma sek</w:t>
            </w:r>
            <w:r w:rsidR="00DF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ām</w:t>
            </w:r>
            <w:r w:rsidRPr="0045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;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4) nodarījuma aktualitāt</w:t>
            </w:r>
            <w:r w:rsidR="00DF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es</w:t>
            </w:r>
            <w:r w:rsidRPr="0045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;</w:t>
            </w:r>
          </w:p>
          <w:p w:rsidR="00453356" w:rsidRDefault="00453356" w:rsidP="0045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5) nodarījuma attiecināmīb</w:t>
            </w:r>
            <w:r w:rsidR="00DF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as</w:t>
            </w:r>
            <w:r w:rsidRPr="0045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uz publiski tiesiskajām attiecībām.</w:t>
            </w:r>
          </w:p>
          <w:p w:rsidR="00FE4E57" w:rsidRDefault="00FE4E57" w:rsidP="009C1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</w:t>
            </w:r>
            <w:r w:rsidR="009C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Likumprojekt</w:t>
            </w:r>
            <w:r w:rsidR="006C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</w:t>
            </w:r>
            <w:r w:rsidR="009C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32. panta </w:t>
            </w:r>
            <w:r w:rsidR="003A7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divdesmit pirmajā </w:t>
            </w:r>
            <w:r w:rsidR="009C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daļ</w:t>
            </w:r>
            <w:r w:rsidR="006C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ā minētais sods ir paredzēts par </w:t>
            </w:r>
            <w:r w:rsidR="009C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Ministru kabineta 2013.</w:t>
            </w:r>
            <w:r w:rsidR="00DF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="009C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gada 17. decembra</w:t>
            </w:r>
            <w:r w:rsidR="009C167F" w:rsidRPr="009C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9C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noteikum</w:t>
            </w:r>
            <w:r w:rsidR="006C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</w:t>
            </w:r>
            <w:r w:rsidR="009C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Nr.1483 “</w:t>
            </w:r>
            <w:r w:rsidR="009C167F" w:rsidRPr="009C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Savvaļā dzīvojošo medījamo dzīvnieku piebarošanas noteikumi</w:t>
            </w:r>
            <w:r w:rsidR="009C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</w:t>
            </w:r>
            <w:r w:rsidR="006C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prasību neievērošanu</w:t>
            </w:r>
            <w:r w:rsidR="00DF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bet</w:t>
            </w:r>
            <w:r w:rsidR="009C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3A7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divdesmit otrajā un divdesmit trešajā</w:t>
            </w:r>
            <w:r w:rsidR="009C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daļ</w:t>
            </w:r>
            <w:r w:rsidR="006C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ā – par Ministru kabineta </w:t>
            </w:r>
            <w:r w:rsidR="009C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2014. gada 22. jūlija</w:t>
            </w:r>
            <w:r w:rsidR="009C167F" w:rsidRPr="009C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9C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noteikum</w:t>
            </w:r>
            <w:r w:rsidR="006C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</w:t>
            </w:r>
            <w:r w:rsidR="009C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9C167F" w:rsidRPr="009C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Nr.421</w:t>
            </w:r>
            <w:r w:rsidR="009C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“</w:t>
            </w:r>
            <w:r w:rsidR="009C167F" w:rsidRPr="009C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Medību noteikumi</w:t>
            </w:r>
            <w:r w:rsidR="009C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</w:t>
            </w:r>
            <w:r w:rsidR="006C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prasību neievērošanu</w:t>
            </w:r>
            <w:r w:rsidR="009C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īpaši akcentējot drošības prasību ievērošanu un šaujamieroču izmantošanas kārtību medību laikā. Pārējās panta daļ</w:t>
            </w:r>
            <w:r w:rsidR="006C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ās minētais sods ir paredzēts par</w:t>
            </w:r>
            <w:r w:rsidR="009C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Medību likum</w:t>
            </w:r>
            <w:r w:rsidR="006C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 minēto prasību pārkāpšanu</w:t>
            </w:r>
            <w:r w:rsidR="009C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  <w:p w:rsidR="00910A47" w:rsidRPr="00A26C08" w:rsidRDefault="00FE4E57" w:rsidP="00762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</w:t>
            </w:r>
            <w:r w:rsidR="00910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Likumprojekt</w:t>
            </w:r>
            <w:r w:rsidR="00E8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  <w:r w:rsidR="00BA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E837AA" w:rsidRPr="00805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„Grozījums Medību likumā” </w:t>
            </w:r>
            <w:r w:rsidR="00BA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</w:t>
            </w:r>
            <w:r w:rsidR="00DF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 sagatavo</w:t>
            </w:r>
            <w:r w:rsidR="00E8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ts</w:t>
            </w:r>
            <w:r w:rsidR="00BA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atbilstoši informatīvajā ziņojumā minētajām prasībām un rekomendācijām</w:t>
            </w:r>
            <w:r w:rsidR="00E6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kā arī Tieslietu ministrijas pastāvīgās darba grupas ieteikumiem</w:t>
            </w:r>
            <w:r w:rsidR="00BA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Likumprojekta</w:t>
            </w:r>
            <w:r w:rsidR="00910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pieņemšana pilnībā nodrošinās informatīvajā ziņojumā minēto </w:t>
            </w:r>
            <w:r w:rsidR="00E8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nostādņu</w:t>
            </w:r>
            <w:r w:rsidR="00910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ieviešanu un Ministru kabineta uzdevuma izpildi.</w:t>
            </w:r>
          </w:p>
        </w:tc>
      </w:tr>
      <w:tr w:rsidR="00A26C08" w:rsidRPr="00A26C08" w:rsidTr="00CA57A6">
        <w:tc>
          <w:tcPr>
            <w:tcW w:w="396" w:type="dxa"/>
          </w:tcPr>
          <w:p w:rsidR="00A26C08" w:rsidRPr="00A26C08" w:rsidRDefault="00A26C08" w:rsidP="00CA57A6">
            <w:pPr>
              <w:spacing w:beforeAutospacing="1" w:after="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0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4" w:type="dxa"/>
          </w:tcPr>
          <w:p w:rsidR="00A26C08" w:rsidRPr="00A26C08" w:rsidRDefault="00A26C08" w:rsidP="00CA57A6">
            <w:pPr>
              <w:spacing w:beforeAutospacing="1" w:after="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08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izstrādē iesaistītās institūcijas</w:t>
            </w:r>
          </w:p>
        </w:tc>
        <w:tc>
          <w:tcPr>
            <w:tcW w:w="5526" w:type="dxa"/>
          </w:tcPr>
          <w:p w:rsidR="00A26C08" w:rsidRDefault="00FE4E57" w:rsidP="00CA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A26C08" w:rsidRPr="00A26C08">
              <w:rPr>
                <w:rFonts w:ascii="Times New Roman" w:eastAsia="Times New Roman" w:hAnsi="Times New Roman" w:cs="Times New Roman"/>
                <w:sz w:val="24"/>
                <w:szCs w:val="24"/>
              </w:rPr>
              <w:t>Zemkopības ministrija</w:t>
            </w:r>
            <w:r w:rsidR="0004674C">
              <w:rPr>
                <w:rFonts w:ascii="Times New Roman" w:eastAsia="Times New Roman" w:hAnsi="Times New Roman" w:cs="Times New Roman"/>
                <w:sz w:val="24"/>
                <w:szCs w:val="24"/>
              </w:rPr>
              <w:t>, Valsts meža dienests, AS „Latvijas Valsts meži”, biedrība „Latvijas mednieku asociācija” un biedrība „Latvijas mednieku savienība”</w:t>
            </w:r>
            <w:r w:rsidR="007B3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3F7F" w:rsidRPr="00A26C08" w:rsidRDefault="00FE4E57" w:rsidP="0045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7B3F7F">
              <w:rPr>
                <w:rFonts w:ascii="Times New Roman" w:eastAsia="Times New Roman" w:hAnsi="Times New Roman" w:cs="Times New Roman"/>
                <w:sz w:val="24"/>
                <w:szCs w:val="24"/>
              </w:rPr>
              <w:t>Likumprojekts</w:t>
            </w:r>
            <w:r w:rsidR="00453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šā gada 22. oktobrī</w:t>
            </w:r>
            <w:r w:rsidR="007B3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3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tika </w:t>
            </w:r>
            <w:r w:rsidR="007B3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izvērtēts </w:t>
            </w:r>
            <w:r w:rsidR="00453356">
              <w:rPr>
                <w:rFonts w:ascii="Times New Roman" w:eastAsia="Times New Roman" w:hAnsi="Times New Roman" w:cs="Times New Roman"/>
                <w:sz w:val="24"/>
                <w:szCs w:val="24"/>
              </w:rPr>
              <w:t>Tieslietu ministrijas pastāvīgās darba grupas sanāksmē</w:t>
            </w:r>
            <w:r w:rsidR="007B3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F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</w:t>
            </w:r>
            <w:r w:rsidR="007B3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ieteikumi </w:t>
            </w:r>
            <w:r w:rsidR="00DF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</w:t>
            </w:r>
            <w:r w:rsidR="007B3F7F">
              <w:rPr>
                <w:rFonts w:ascii="Times New Roman" w:eastAsia="Times New Roman" w:hAnsi="Times New Roman" w:cs="Times New Roman"/>
                <w:sz w:val="24"/>
                <w:szCs w:val="24"/>
              </w:rPr>
              <w:t>ņemti vērā.</w:t>
            </w:r>
          </w:p>
        </w:tc>
      </w:tr>
      <w:tr w:rsidR="00A26C08" w:rsidRPr="00A26C08" w:rsidTr="00CA57A6">
        <w:tc>
          <w:tcPr>
            <w:tcW w:w="396" w:type="dxa"/>
          </w:tcPr>
          <w:p w:rsidR="00A26C08" w:rsidRPr="00A26C08" w:rsidRDefault="00A26C08" w:rsidP="00CA57A6">
            <w:pPr>
              <w:spacing w:beforeAutospacing="1" w:after="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94" w:type="dxa"/>
          </w:tcPr>
          <w:p w:rsidR="00A26C08" w:rsidRPr="00A26C08" w:rsidRDefault="00A26C08" w:rsidP="00CA57A6">
            <w:pPr>
              <w:spacing w:beforeAutospacing="1" w:after="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08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5526" w:type="dxa"/>
          </w:tcPr>
          <w:p w:rsidR="00A26C08" w:rsidRPr="00A26C08" w:rsidRDefault="00A26C08" w:rsidP="00CA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08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  <w:p w:rsidR="00A26C08" w:rsidRPr="00A26C08" w:rsidRDefault="00A26C08" w:rsidP="00CA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6C08" w:rsidRPr="00A26C08" w:rsidRDefault="00A26C08" w:rsidP="00A2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X="147" w:tblpY="194"/>
        <w:tblW w:w="8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24"/>
        <w:gridCol w:w="5121"/>
      </w:tblGrid>
      <w:tr w:rsidR="00A26C08" w:rsidRPr="00A26C08" w:rsidTr="00CA57A6">
        <w:trPr>
          <w:trHeight w:val="278"/>
        </w:trPr>
        <w:tc>
          <w:tcPr>
            <w:tcW w:w="8665" w:type="dxa"/>
            <w:gridSpan w:val="3"/>
            <w:vAlign w:val="center"/>
          </w:tcPr>
          <w:p w:rsidR="00A26C08" w:rsidRPr="00A26C08" w:rsidRDefault="00A26C08" w:rsidP="00CA57A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A26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</w:t>
            </w:r>
            <w:r w:rsidRPr="00A26C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, tautsaimniecības attīstību</w:t>
            </w:r>
          </w:p>
          <w:p w:rsidR="00A26C08" w:rsidRPr="00A26C08" w:rsidRDefault="00A26C08" w:rsidP="00C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26C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 administratīvo slogu</w:t>
            </w:r>
          </w:p>
        </w:tc>
      </w:tr>
      <w:tr w:rsidR="00A26C08" w:rsidRPr="00A26C08" w:rsidTr="00CA57A6">
        <w:trPr>
          <w:trHeight w:val="482"/>
        </w:trPr>
        <w:tc>
          <w:tcPr>
            <w:tcW w:w="220" w:type="dxa"/>
          </w:tcPr>
          <w:p w:rsidR="00A26C08" w:rsidRPr="00A26C08" w:rsidRDefault="00A26C08" w:rsidP="00CA57A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6C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324" w:type="dxa"/>
          </w:tcPr>
          <w:p w:rsidR="00A26C08" w:rsidRPr="00A26C08" w:rsidRDefault="00A26C08" w:rsidP="00CA57A6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6C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</w:t>
            </w:r>
            <w:r w:rsidRPr="00A26C08">
              <w:rPr>
                <w:rFonts w:ascii="Times New Roman" w:eastAsia="Calibri" w:hAnsi="Times New Roman" w:cs="Times New Roman"/>
                <w:sz w:val="24"/>
                <w:szCs w:val="24"/>
              </w:rPr>
              <w:t>, kuras tiesiskais regulējums ietekmē vai varētu ietekmēt</w:t>
            </w:r>
          </w:p>
        </w:tc>
        <w:tc>
          <w:tcPr>
            <w:tcW w:w="5121" w:type="dxa"/>
          </w:tcPr>
          <w:p w:rsidR="00A26C08" w:rsidRPr="00A26C08" w:rsidRDefault="00A26C08" w:rsidP="00CA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6C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Aptuveni 23 500 mednieku </w:t>
            </w:r>
          </w:p>
        </w:tc>
      </w:tr>
      <w:tr w:rsidR="00A26C08" w:rsidRPr="00A26C08" w:rsidTr="00CA57A6">
        <w:trPr>
          <w:trHeight w:val="539"/>
        </w:trPr>
        <w:tc>
          <w:tcPr>
            <w:tcW w:w="220" w:type="dxa"/>
          </w:tcPr>
          <w:p w:rsidR="00A26C08" w:rsidRPr="00A26C08" w:rsidRDefault="00A26C08" w:rsidP="00CA57A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6C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324" w:type="dxa"/>
          </w:tcPr>
          <w:p w:rsidR="00A26C08" w:rsidRPr="00A26C08" w:rsidRDefault="00A26C08" w:rsidP="00CA57A6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6C08">
              <w:rPr>
                <w:rFonts w:ascii="Times New Roman" w:eastAsia="Calibri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5121" w:type="dxa"/>
          </w:tcPr>
          <w:p w:rsidR="00A26C08" w:rsidRPr="00A26C08" w:rsidRDefault="00A26C08" w:rsidP="00CA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6C0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Projekts šo jomu neskar. </w:t>
            </w:r>
          </w:p>
        </w:tc>
      </w:tr>
      <w:tr w:rsidR="00A26C08" w:rsidRPr="00A26C08" w:rsidTr="00CA57A6">
        <w:trPr>
          <w:trHeight w:val="533"/>
        </w:trPr>
        <w:tc>
          <w:tcPr>
            <w:tcW w:w="220" w:type="dxa"/>
          </w:tcPr>
          <w:p w:rsidR="00A26C08" w:rsidRPr="00A26C08" w:rsidRDefault="00A26C08" w:rsidP="00CA57A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6C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324" w:type="dxa"/>
          </w:tcPr>
          <w:p w:rsidR="00A26C08" w:rsidRPr="00A26C08" w:rsidRDefault="00A26C08" w:rsidP="00CA57A6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6C08">
              <w:rPr>
                <w:rFonts w:ascii="Times New Roman" w:eastAsia="Calibri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5121" w:type="dxa"/>
          </w:tcPr>
          <w:p w:rsidR="00A26C08" w:rsidRPr="00A26C08" w:rsidRDefault="00A26C08" w:rsidP="00E83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6C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 Projektā ietvertajam tiesiskajam regulējumam NAV ietekme</w:t>
            </w:r>
            <w:r w:rsidR="00E837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A26C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administratīvajām izmaksām (naudas izteiksmē), un tas </w:t>
            </w:r>
            <w:r w:rsidR="00E837AA" w:rsidRPr="00A26C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nerada </w:t>
            </w:r>
            <w:r w:rsidRPr="00A26C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papildu administratīvo slogu, jo saskaņā ar Ministru kabineta </w:t>
            </w:r>
            <w:r w:rsidR="00E837AA" w:rsidRPr="00A26C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2009.gada 15.decembra </w:t>
            </w:r>
            <w:r w:rsidRPr="00A26C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instrukcija</w:t>
            </w:r>
            <w:r w:rsidR="00E837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A26C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Nr.19 „Tiesību akta projekta sākotnējās ietekmes izvērtēšanas kārtība” 24.un 25.punktu administratīvās izmaksas (naudas izteiksmē) gada laikā mērķgrupai, ko veido fiziskas personas, nepārsniedz 200 </w:t>
            </w:r>
            <w:r w:rsidRPr="00805E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A26C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bet mērķgrupai, k</w:t>
            </w:r>
            <w:r w:rsidR="00E837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A26C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veido juridiskas personas, – 2000 </w:t>
            </w:r>
            <w:r w:rsidRPr="00805E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A26C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26C08" w:rsidRPr="00A26C08" w:rsidTr="00CA57A6">
        <w:trPr>
          <w:trHeight w:val="293"/>
        </w:trPr>
        <w:tc>
          <w:tcPr>
            <w:tcW w:w="220" w:type="dxa"/>
          </w:tcPr>
          <w:p w:rsidR="00A26C08" w:rsidRPr="00A26C08" w:rsidRDefault="00A26C08" w:rsidP="00CA57A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6C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324" w:type="dxa"/>
          </w:tcPr>
          <w:p w:rsidR="00A26C08" w:rsidRPr="00A26C08" w:rsidRDefault="00A26C08" w:rsidP="00CA57A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6C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121" w:type="dxa"/>
          </w:tcPr>
          <w:p w:rsidR="00A26C08" w:rsidRPr="00A26C08" w:rsidRDefault="00A26C08" w:rsidP="00CA57A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6C0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Projekts šo jomu neskar</w:t>
            </w:r>
            <w:r w:rsidRPr="00A26C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A26C08" w:rsidRDefault="00A26C08" w:rsidP="00A26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6D1B2C" w:rsidRPr="0073774B" w:rsidRDefault="006D1B2C" w:rsidP="006D1B2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tbl>
      <w:tblPr>
        <w:tblW w:w="46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1121"/>
        <w:gridCol w:w="1142"/>
        <w:gridCol w:w="1142"/>
        <w:gridCol w:w="1142"/>
        <w:gridCol w:w="1183"/>
      </w:tblGrid>
      <w:tr w:rsidR="001D52BC" w:rsidRPr="00253F86" w:rsidTr="001D52BC">
        <w:trPr>
          <w:trHeight w:val="618"/>
          <w:jc w:val="center"/>
        </w:trPr>
        <w:tc>
          <w:tcPr>
            <w:tcW w:w="5000" w:type="pct"/>
            <w:gridSpan w:val="6"/>
          </w:tcPr>
          <w:p w:rsidR="001D52BC" w:rsidRPr="00253F86" w:rsidRDefault="001D52BC" w:rsidP="00763B6B">
            <w:pPr>
              <w:pStyle w:val="naisnod"/>
              <w:spacing w:before="0" w:after="0"/>
              <w:rPr>
                <w:i/>
                <w:sz w:val="22"/>
                <w:szCs w:val="22"/>
              </w:rPr>
            </w:pPr>
            <w:r w:rsidRPr="00253F86">
              <w:rPr>
                <w:sz w:val="22"/>
                <w:szCs w:val="22"/>
              </w:rPr>
              <w:br w:type="page"/>
            </w:r>
            <w:r w:rsidRPr="00253F86">
              <w:t>III. Tiesību akta projekta ietekme uz valsts budžetu un pašvaldību budžetiem</w:t>
            </w:r>
          </w:p>
        </w:tc>
      </w:tr>
      <w:tr w:rsidR="00253F86" w:rsidRPr="00253F86" w:rsidTr="001D52BC">
        <w:trPr>
          <w:trHeight w:val="137"/>
          <w:jc w:val="center"/>
        </w:trPr>
        <w:tc>
          <w:tcPr>
            <w:tcW w:w="1643" w:type="pct"/>
            <w:vMerge w:val="restart"/>
            <w:vAlign w:val="center"/>
          </w:tcPr>
          <w:p w:rsidR="001D52BC" w:rsidRPr="00253F86" w:rsidRDefault="001D52BC" w:rsidP="00763B6B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253F86">
              <w:rPr>
                <w:b/>
                <w:sz w:val="22"/>
                <w:szCs w:val="22"/>
              </w:rPr>
              <w:t>Rādītāji</w:t>
            </w:r>
          </w:p>
        </w:tc>
        <w:tc>
          <w:tcPr>
            <w:tcW w:w="1326" w:type="pct"/>
            <w:gridSpan w:val="2"/>
            <w:vMerge w:val="restart"/>
            <w:vAlign w:val="center"/>
          </w:tcPr>
          <w:p w:rsidR="001D52BC" w:rsidRPr="00253F86" w:rsidRDefault="001D52BC" w:rsidP="00EE33DA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253F86">
              <w:rPr>
                <w:b/>
                <w:sz w:val="22"/>
                <w:szCs w:val="22"/>
              </w:rPr>
              <w:t>201</w:t>
            </w:r>
            <w:r w:rsidR="00EE33DA">
              <w:rPr>
                <w:b/>
                <w:sz w:val="22"/>
                <w:szCs w:val="22"/>
              </w:rPr>
              <w:t>5</w:t>
            </w:r>
            <w:r w:rsidRPr="00253F86">
              <w:rPr>
                <w:b/>
                <w:sz w:val="22"/>
                <w:szCs w:val="22"/>
              </w:rPr>
              <w:t>. gads</w:t>
            </w:r>
          </w:p>
        </w:tc>
        <w:tc>
          <w:tcPr>
            <w:tcW w:w="2031" w:type="pct"/>
            <w:gridSpan w:val="3"/>
            <w:vAlign w:val="center"/>
          </w:tcPr>
          <w:p w:rsidR="001D52BC" w:rsidRPr="00253F86" w:rsidRDefault="001D52BC" w:rsidP="00763B6B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253F86">
              <w:rPr>
                <w:sz w:val="22"/>
                <w:szCs w:val="22"/>
              </w:rPr>
              <w:t>Turpmākie trīs gadi (tūkst</w:t>
            </w:r>
            <w:smartTag w:uri="schemas-tilde-lv/tildestengine" w:element="currency2">
              <w:smartTagPr>
                <w:attr w:name="currency_text" w:val="latu"/>
                <w:attr w:name="currency_value" w:val="."/>
                <w:attr w:name="currency_key" w:val="LVL"/>
                <w:attr w:name="currency_id" w:val="48"/>
              </w:smartTagPr>
              <w:r w:rsidRPr="00253F86">
                <w:rPr>
                  <w:sz w:val="22"/>
                  <w:szCs w:val="22"/>
                </w:rPr>
                <w:t>. latu</w:t>
              </w:r>
            </w:smartTag>
            <w:r w:rsidRPr="00253F86">
              <w:rPr>
                <w:sz w:val="22"/>
                <w:szCs w:val="22"/>
              </w:rPr>
              <w:t>)</w:t>
            </w:r>
          </w:p>
        </w:tc>
      </w:tr>
      <w:tr w:rsidR="001D52BC" w:rsidRPr="00253F86" w:rsidTr="001D52BC">
        <w:trPr>
          <w:trHeight w:val="137"/>
          <w:jc w:val="center"/>
        </w:trPr>
        <w:tc>
          <w:tcPr>
            <w:tcW w:w="1643" w:type="pct"/>
            <w:vMerge/>
            <w:vAlign w:val="center"/>
          </w:tcPr>
          <w:p w:rsidR="001D52BC" w:rsidRPr="00253F86" w:rsidRDefault="001D52BC" w:rsidP="00763B6B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6" w:type="pct"/>
            <w:gridSpan w:val="2"/>
            <w:vMerge/>
            <w:vAlign w:val="center"/>
          </w:tcPr>
          <w:p w:rsidR="001D52BC" w:rsidRPr="00253F86" w:rsidRDefault="001D52BC" w:rsidP="00763B6B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:rsidR="001D52BC" w:rsidRPr="00253F86" w:rsidRDefault="001D52BC" w:rsidP="00EE33DA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253F86">
              <w:rPr>
                <w:b/>
                <w:bCs/>
                <w:sz w:val="22"/>
                <w:szCs w:val="22"/>
              </w:rPr>
              <w:t>201</w:t>
            </w:r>
            <w:r w:rsidR="00EE33D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69" w:type="pct"/>
            <w:vAlign w:val="center"/>
          </w:tcPr>
          <w:p w:rsidR="001D52BC" w:rsidRPr="00253F86" w:rsidRDefault="001D52BC" w:rsidP="00EE33DA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253F86">
              <w:rPr>
                <w:b/>
                <w:bCs/>
                <w:sz w:val="22"/>
                <w:szCs w:val="22"/>
              </w:rPr>
              <w:t>201</w:t>
            </w:r>
            <w:r w:rsidR="00EE33D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93" w:type="pct"/>
            <w:vAlign w:val="center"/>
          </w:tcPr>
          <w:p w:rsidR="001D52BC" w:rsidRPr="00253F86" w:rsidRDefault="001D52BC" w:rsidP="00EE33DA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253F86">
              <w:rPr>
                <w:b/>
                <w:bCs/>
                <w:sz w:val="22"/>
                <w:szCs w:val="22"/>
              </w:rPr>
              <w:t>20</w:t>
            </w:r>
            <w:r w:rsidR="00EE33DA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1D52BC" w:rsidRPr="00253F86" w:rsidTr="001D52BC">
        <w:trPr>
          <w:trHeight w:val="137"/>
          <w:jc w:val="center"/>
        </w:trPr>
        <w:tc>
          <w:tcPr>
            <w:tcW w:w="1643" w:type="pct"/>
            <w:vMerge/>
            <w:vAlign w:val="center"/>
          </w:tcPr>
          <w:p w:rsidR="001D52BC" w:rsidRPr="00253F86" w:rsidRDefault="001D52BC" w:rsidP="00763B6B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57" w:type="pct"/>
            <w:vAlign w:val="center"/>
          </w:tcPr>
          <w:p w:rsidR="001D52BC" w:rsidRPr="00253F86" w:rsidRDefault="001D52BC" w:rsidP="00763B6B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253F86">
              <w:rPr>
                <w:sz w:val="22"/>
                <w:szCs w:val="22"/>
              </w:rPr>
              <w:t>Saskaņā ar valsts budžetu kārtējam gadam</w:t>
            </w:r>
          </w:p>
        </w:tc>
        <w:tc>
          <w:tcPr>
            <w:tcW w:w="669" w:type="pct"/>
            <w:vAlign w:val="center"/>
          </w:tcPr>
          <w:p w:rsidR="001D52BC" w:rsidRPr="00253F86" w:rsidRDefault="001D52BC" w:rsidP="00763B6B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253F86">
              <w:rPr>
                <w:sz w:val="22"/>
                <w:szCs w:val="22"/>
              </w:rPr>
              <w:t>Izmaiņas kārtējā gadā, salīdzinot ar budžetu kārtējam gadam</w:t>
            </w:r>
          </w:p>
        </w:tc>
        <w:tc>
          <w:tcPr>
            <w:tcW w:w="669" w:type="pct"/>
            <w:vAlign w:val="center"/>
          </w:tcPr>
          <w:p w:rsidR="001D52BC" w:rsidRPr="00253F86" w:rsidRDefault="001D52BC" w:rsidP="00763B6B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253F86">
              <w:rPr>
                <w:sz w:val="22"/>
                <w:szCs w:val="22"/>
              </w:rPr>
              <w:t>Izmaiņas, salīdzinot ar kārtējo (n) gadu</w:t>
            </w:r>
          </w:p>
        </w:tc>
        <w:tc>
          <w:tcPr>
            <w:tcW w:w="669" w:type="pct"/>
            <w:vAlign w:val="center"/>
          </w:tcPr>
          <w:p w:rsidR="001D52BC" w:rsidRPr="00253F86" w:rsidRDefault="001D52BC" w:rsidP="00763B6B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253F86">
              <w:rPr>
                <w:sz w:val="22"/>
                <w:szCs w:val="22"/>
              </w:rPr>
              <w:t>Izmaiņas, salīdzinot ar kārtējo (n) gadu</w:t>
            </w:r>
          </w:p>
        </w:tc>
        <w:tc>
          <w:tcPr>
            <w:tcW w:w="693" w:type="pct"/>
            <w:vAlign w:val="center"/>
          </w:tcPr>
          <w:p w:rsidR="001D52BC" w:rsidRPr="00253F86" w:rsidRDefault="001D52BC" w:rsidP="00763B6B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253F86">
              <w:rPr>
                <w:sz w:val="22"/>
                <w:szCs w:val="22"/>
              </w:rPr>
              <w:t>Izmaiņas, salīdzinot ar kārtējo (n) gadu</w:t>
            </w:r>
          </w:p>
        </w:tc>
      </w:tr>
      <w:tr w:rsidR="001D52BC" w:rsidRPr="00253F86" w:rsidTr="001D52BC">
        <w:trPr>
          <w:trHeight w:val="137"/>
          <w:jc w:val="center"/>
        </w:trPr>
        <w:tc>
          <w:tcPr>
            <w:tcW w:w="1643" w:type="pct"/>
            <w:vAlign w:val="center"/>
          </w:tcPr>
          <w:p w:rsidR="001D52BC" w:rsidRPr="00253F86" w:rsidRDefault="001D52BC" w:rsidP="00763B6B">
            <w:pPr>
              <w:pStyle w:val="naisf"/>
              <w:spacing w:before="0"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253F8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57" w:type="pct"/>
            <w:vAlign w:val="center"/>
          </w:tcPr>
          <w:p w:rsidR="001D52BC" w:rsidRPr="00253F86" w:rsidRDefault="001D52BC" w:rsidP="00763B6B">
            <w:pPr>
              <w:pStyle w:val="naisf"/>
              <w:spacing w:before="0"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253F8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69" w:type="pct"/>
            <w:vAlign w:val="center"/>
          </w:tcPr>
          <w:p w:rsidR="001D52BC" w:rsidRPr="00253F86" w:rsidRDefault="001D52BC" w:rsidP="00763B6B">
            <w:pPr>
              <w:pStyle w:val="naisf"/>
              <w:spacing w:before="0"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253F8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69" w:type="pct"/>
            <w:vAlign w:val="center"/>
          </w:tcPr>
          <w:p w:rsidR="001D52BC" w:rsidRPr="00253F86" w:rsidRDefault="001D52BC" w:rsidP="00763B6B">
            <w:pPr>
              <w:pStyle w:val="naisf"/>
              <w:spacing w:before="0"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253F8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69" w:type="pct"/>
            <w:vAlign w:val="center"/>
          </w:tcPr>
          <w:p w:rsidR="001D52BC" w:rsidRPr="00253F86" w:rsidRDefault="001D52BC" w:rsidP="00763B6B">
            <w:pPr>
              <w:pStyle w:val="naisf"/>
              <w:spacing w:before="0"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253F8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3" w:type="pct"/>
            <w:vAlign w:val="center"/>
          </w:tcPr>
          <w:p w:rsidR="001D52BC" w:rsidRPr="00253F86" w:rsidRDefault="001D52BC" w:rsidP="00763B6B">
            <w:pPr>
              <w:pStyle w:val="naisf"/>
              <w:spacing w:before="0"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253F86">
              <w:rPr>
                <w:bCs/>
                <w:sz w:val="22"/>
                <w:szCs w:val="22"/>
              </w:rPr>
              <w:t>6</w:t>
            </w:r>
          </w:p>
        </w:tc>
      </w:tr>
      <w:tr w:rsidR="001D52BC" w:rsidRPr="00EE33DA" w:rsidTr="001D52BC">
        <w:trPr>
          <w:trHeight w:val="137"/>
          <w:jc w:val="center"/>
        </w:trPr>
        <w:tc>
          <w:tcPr>
            <w:tcW w:w="1643" w:type="pct"/>
          </w:tcPr>
          <w:p w:rsidR="001D52BC" w:rsidRPr="00253F86" w:rsidRDefault="001D52BC" w:rsidP="00644EC8">
            <w:pPr>
              <w:pStyle w:val="naisf"/>
              <w:spacing w:before="0" w:after="0"/>
              <w:ind w:firstLine="0"/>
              <w:rPr>
                <w:i/>
                <w:sz w:val="22"/>
                <w:szCs w:val="22"/>
              </w:rPr>
            </w:pPr>
            <w:r w:rsidRPr="00253F86">
              <w:rPr>
                <w:sz w:val="22"/>
                <w:szCs w:val="22"/>
              </w:rPr>
              <w:t>1. Budžeta ieņēmumi:</w:t>
            </w:r>
          </w:p>
        </w:tc>
        <w:tc>
          <w:tcPr>
            <w:tcW w:w="657" w:type="pct"/>
          </w:tcPr>
          <w:p w:rsidR="001D52BC" w:rsidRPr="00DC14BD" w:rsidRDefault="0087575A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</w:tcPr>
          <w:p w:rsidR="001D52BC" w:rsidRPr="00DC14BD" w:rsidRDefault="00EE33DA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</w:tcPr>
          <w:p w:rsidR="001D52BC" w:rsidRPr="00DC14BD" w:rsidRDefault="00DC14BD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</w:tcPr>
          <w:p w:rsidR="001D52BC" w:rsidRPr="00EE33DA" w:rsidRDefault="00EE33DA" w:rsidP="00763B6B">
            <w:pPr>
              <w:pStyle w:val="naisf"/>
              <w:spacing w:before="0" w:after="0"/>
              <w:ind w:firstLine="0"/>
              <w:rPr>
                <w:sz w:val="18"/>
                <w:szCs w:val="20"/>
              </w:rPr>
            </w:pPr>
            <w:r w:rsidRPr="00EE33DA">
              <w:rPr>
                <w:sz w:val="18"/>
                <w:szCs w:val="20"/>
              </w:rPr>
              <w:t>nav precīzi aprēķināms</w:t>
            </w:r>
          </w:p>
        </w:tc>
        <w:tc>
          <w:tcPr>
            <w:tcW w:w="693" w:type="pct"/>
          </w:tcPr>
          <w:p w:rsidR="001D52BC" w:rsidRPr="00EE33DA" w:rsidRDefault="00EE33DA" w:rsidP="00763B6B">
            <w:pPr>
              <w:pStyle w:val="naisf"/>
              <w:spacing w:before="0" w:after="0"/>
              <w:ind w:firstLine="0"/>
              <w:rPr>
                <w:sz w:val="18"/>
                <w:szCs w:val="20"/>
              </w:rPr>
            </w:pPr>
            <w:r w:rsidRPr="00EE33DA">
              <w:rPr>
                <w:sz w:val="18"/>
                <w:szCs w:val="20"/>
              </w:rPr>
              <w:t>nav precīzi aprēķināms</w:t>
            </w:r>
          </w:p>
        </w:tc>
      </w:tr>
      <w:tr w:rsidR="001D52BC" w:rsidRPr="00EE33DA" w:rsidTr="001D52BC">
        <w:trPr>
          <w:trHeight w:val="137"/>
          <w:jc w:val="center"/>
        </w:trPr>
        <w:tc>
          <w:tcPr>
            <w:tcW w:w="1643" w:type="pct"/>
          </w:tcPr>
          <w:p w:rsidR="001D52BC" w:rsidRPr="00253F86" w:rsidRDefault="001D52BC" w:rsidP="00644EC8">
            <w:pPr>
              <w:pStyle w:val="naisf"/>
              <w:spacing w:before="0" w:after="0"/>
              <w:ind w:firstLine="0"/>
              <w:rPr>
                <w:i/>
                <w:sz w:val="22"/>
                <w:szCs w:val="22"/>
              </w:rPr>
            </w:pPr>
            <w:r w:rsidRPr="00253F86">
              <w:rPr>
                <w:sz w:val="22"/>
                <w:szCs w:val="22"/>
              </w:rPr>
              <w:t>1.1. valsts pamatbudžets, tai sk</w:t>
            </w:r>
            <w:r w:rsidR="000767A0">
              <w:rPr>
                <w:sz w:val="22"/>
                <w:szCs w:val="22"/>
              </w:rPr>
              <w:t>aitā ieņēmumi no maksas pakalpo</w:t>
            </w:r>
            <w:r w:rsidRPr="00253F86">
              <w:rPr>
                <w:sz w:val="22"/>
                <w:szCs w:val="22"/>
              </w:rPr>
              <w:t>jumiem un citi pašu ieņēmumi</w:t>
            </w:r>
          </w:p>
        </w:tc>
        <w:tc>
          <w:tcPr>
            <w:tcW w:w="657" w:type="pct"/>
          </w:tcPr>
          <w:p w:rsidR="001D52BC" w:rsidRPr="00DC14BD" w:rsidRDefault="00DC14BD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</w:tcPr>
          <w:p w:rsidR="001D52BC" w:rsidRPr="00DC14BD" w:rsidRDefault="00DC14BD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</w:tcPr>
          <w:p w:rsidR="001D52BC" w:rsidRPr="00DC14BD" w:rsidRDefault="00DC14BD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</w:tcPr>
          <w:p w:rsidR="001D52BC" w:rsidRPr="00EE33DA" w:rsidRDefault="00DC14BD" w:rsidP="00763B6B">
            <w:pPr>
              <w:pStyle w:val="naisf"/>
              <w:spacing w:before="0" w:after="0"/>
              <w:ind w:firstLine="0"/>
              <w:rPr>
                <w:sz w:val="18"/>
                <w:szCs w:val="20"/>
              </w:rPr>
            </w:pPr>
            <w:r w:rsidRPr="00DC14BD">
              <w:rPr>
                <w:sz w:val="18"/>
                <w:szCs w:val="20"/>
              </w:rPr>
              <w:t>nav precīzi aprēķināms</w:t>
            </w:r>
          </w:p>
        </w:tc>
        <w:tc>
          <w:tcPr>
            <w:tcW w:w="693" w:type="pct"/>
          </w:tcPr>
          <w:p w:rsidR="001D52BC" w:rsidRPr="00EE33DA" w:rsidRDefault="00DC14BD" w:rsidP="00763B6B">
            <w:pPr>
              <w:pStyle w:val="naisf"/>
              <w:spacing w:before="0" w:after="0"/>
              <w:ind w:firstLine="0"/>
              <w:rPr>
                <w:sz w:val="18"/>
                <w:szCs w:val="20"/>
              </w:rPr>
            </w:pPr>
            <w:r w:rsidRPr="00DC14BD">
              <w:rPr>
                <w:sz w:val="18"/>
                <w:szCs w:val="20"/>
              </w:rPr>
              <w:t>nav precīzi aprēķināms</w:t>
            </w:r>
          </w:p>
        </w:tc>
      </w:tr>
      <w:tr w:rsidR="001D52BC" w:rsidRPr="00EE33DA" w:rsidTr="001D52BC">
        <w:trPr>
          <w:trHeight w:val="137"/>
          <w:jc w:val="center"/>
        </w:trPr>
        <w:tc>
          <w:tcPr>
            <w:tcW w:w="1643" w:type="pct"/>
          </w:tcPr>
          <w:p w:rsidR="001D52BC" w:rsidRPr="00253F86" w:rsidRDefault="001D52BC" w:rsidP="00644EC8">
            <w:pPr>
              <w:pStyle w:val="naisf"/>
              <w:spacing w:before="0" w:after="0"/>
              <w:ind w:firstLine="0"/>
              <w:rPr>
                <w:i/>
                <w:sz w:val="22"/>
                <w:szCs w:val="22"/>
              </w:rPr>
            </w:pPr>
            <w:r w:rsidRPr="00253F86">
              <w:rPr>
                <w:sz w:val="22"/>
                <w:szCs w:val="22"/>
              </w:rPr>
              <w:t>1.2. valsts speciālais budžets</w:t>
            </w:r>
          </w:p>
        </w:tc>
        <w:tc>
          <w:tcPr>
            <w:tcW w:w="657" w:type="pct"/>
          </w:tcPr>
          <w:p w:rsidR="001D52BC" w:rsidRPr="00DC14BD" w:rsidRDefault="00DC14BD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</w:tcPr>
          <w:p w:rsidR="001D52BC" w:rsidRPr="00DC14BD" w:rsidRDefault="00DC14BD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</w:tcPr>
          <w:p w:rsidR="001D52BC" w:rsidRPr="00DC14BD" w:rsidRDefault="00DC14BD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</w:tcPr>
          <w:p w:rsidR="001D52BC" w:rsidRPr="00EE33DA" w:rsidRDefault="003D1DC8" w:rsidP="003D1DC8">
            <w:pPr>
              <w:pStyle w:val="naisf"/>
              <w:spacing w:before="0" w:after="0"/>
              <w:ind w:firstLine="0"/>
              <w:jc w:val="center"/>
              <w:rPr>
                <w:sz w:val="18"/>
                <w:szCs w:val="20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93" w:type="pct"/>
          </w:tcPr>
          <w:p w:rsidR="001D52BC" w:rsidRPr="00EE33DA" w:rsidRDefault="003D1DC8" w:rsidP="003D1DC8">
            <w:pPr>
              <w:pStyle w:val="naisf"/>
              <w:spacing w:before="0" w:after="0"/>
              <w:ind w:firstLine="0"/>
              <w:jc w:val="center"/>
              <w:rPr>
                <w:sz w:val="18"/>
                <w:szCs w:val="20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</w:tr>
      <w:tr w:rsidR="001D52BC" w:rsidRPr="00EE33DA" w:rsidTr="001D52BC">
        <w:trPr>
          <w:trHeight w:val="137"/>
          <w:jc w:val="center"/>
        </w:trPr>
        <w:tc>
          <w:tcPr>
            <w:tcW w:w="1643" w:type="pct"/>
          </w:tcPr>
          <w:p w:rsidR="001D52BC" w:rsidRPr="00253F86" w:rsidRDefault="001D52BC" w:rsidP="00644EC8">
            <w:pPr>
              <w:pStyle w:val="naisf"/>
              <w:spacing w:before="0" w:after="0"/>
              <w:ind w:firstLine="0"/>
              <w:rPr>
                <w:i/>
                <w:sz w:val="22"/>
                <w:szCs w:val="22"/>
              </w:rPr>
            </w:pPr>
            <w:r w:rsidRPr="00253F86">
              <w:rPr>
                <w:sz w:val="22"/>
                <w:szCs w:val="22"/>
              </w:rPr>
              <w:t>1.3. pašvaldību budžets</w:t>
            </w:r>
          </w:p>
        </w:tc>
        <w:tc>
          <w:tcPr>
            <w:tcW w:w="657" w:type="pct"/>
          </w:tcPr>
          <w:p w:rsidR="001D52BC" w:rsidRPr="00DC14BD" w:rsidRDefault="001D52BC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</w:tcPr>
          <w:p w:rsidR="001D52BC" w:rsidRPr="00DC14BD" w:rsidRDefault="001D52BC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</w:tcPr>
          <w:p w:rsidR="001D52BC" w:rsidRPr="00DC14BD" w:rsidRDefault="001D52BC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</w:tcPr>
          <w:p w:rsidR="001D52BC" w:rsidRPr="00EE33DA" w:rsidRDefault="003D1DC8" w:rsidP="003D1DC8">
            <w:pPr>
              <w:pStyle w:val="naisf"/>
              <w:spacing w:before="0" w:after="0"/>
              <w:ind w:firstLine="0"/>
              <w:jc w:val="center"/>
              <w:rPr>
                <w:sz w:val="18"/>
                <w:szCs w:val="20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93" w:type="pct"/>
          </w:tcPr>
          <w:p w:rsidR="001D52BC" w:rsidRPr="00EE33DA" w:rsidRDefault="003D1DC8" w:rsidP="003D1DC8">
            <w:pPr>
              <w:pStyle w:val="naisf"/>
              <w:spacing w:before="0" w:after="0"/>
              <w:ind w:firstLine="0"/>
              <w:jc w:val="center"/>
              <w:rPr>
                <w:sz w:val="18"/>
                <w:szCs w:val="20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</w:tr>
      <w:tr w:rsidR="001D52BC" w:rsidRPr="00EE33DA" w:rsidTr="001D52BC">
        <w:trPr>
          <w:trHeight w:val="137"/>
          <w:jc w:val="center"/>
        </w:trPr>
        <w:tc>
          <w:tcPr>
            <w:tcW w:w="1643" w:type="pct"/>
          </w:tcPr>
          <w:p w:rsidR="001D52BC" w:rsidRPr="00253F86" w:rsidRDefault="001D52BC" w:rsidP="00644EC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3F86">
              <w:rPr>
                <w:rFonts w:ascii="Times New Roman" w:hAnsi="Times New Roman" w:cs="Times New Roman"/>
              </w:rPr>
              <w:t>2. Budžeta izdevumi:</w:t>
            </w:r>
          </w:p>
        </w:tc>
        <w:tc>
          <w:tcPr>
            <w:tcW w:w="657" w:type="pct"/>
          </w:tcPr>
          <w:p w:rsidR="001D52BC" w:rsidRPr="00DC14BD" w:rsidRDefault="0087575A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</w:tcPr>
          <w:p w:rsidR="001D52BC" w:rsidRPr="00DC14BD" w:rsidRDefault="00EE33DA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</w:tcPr>
          <w:p w:rsidR="001D52BC" w:rsidRPr="00DC14BD" w:rsidRDefault="00EE33DA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</w:tcPr>
          <w:p w:rsidR="001D52BC" w:rsidRPr="00EE33DA" w:rsidRDefault="00EE33DA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693" w:type="pct"/>
          </w:tcPr>
          <w:p w:rsidR="001D52BC" w:rsidRPr="00EE33DA" w:rsidRDefault="00EE33DA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</w:tr>
      <w:tr w:rsidR="001D52BC" w:rsidRPr="00EE33DA" w:rsidTr="001D52BC">
        <w:trPr>
          <w:trHeight w:val="137"/>
          <w:jc w:val="center"/>
        </w:trPr>
        <w:tc>
          <w:tcPr>
            <w:tcW w:w="1643" w:type="pct"/>
          </w:tcPr>
          <w:p w:rsidR="001D52BC" w:rsidRPr="00253F86" w:rsidRDefault="001D52BC" w:rsidP="00644EC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3F86">
              <w:rPr>
                <w:rFonts w:ascii="Times New Roman" w:hAnsi="Times New Roman" w:cs="Times New Roman"/>
              </w:rPr>
              <w:t>2.1. valsts pamatbudžets</w:t>
            </w:r>
          </w:p>
        </w:tc>
        <w:tc>
          <w:tcPr>
            <w:tcW w:w="657" w:type="pct"/>
          </w:tcPr>
          <w:p w:rsidR="001D52BC" w:rsidRPr="00DC14BD" w:rsidRDefault="00DC14BD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</w:tcPr>
          <w:p w:rsidR="001D52BC" w:rsidRPr="00DC14BD" w:rsidRDefault="00DC14BD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</w:tcPr>
          <w:p w:rsidR="001D52BC" w:rsidRPr="00DC14BD" w:rsidRDefault="00DC14BD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</w:tcPr>
          <w:p w:rsidR="001D52BC" w:rsidRPr="00EE33DA" w:rsidRDefault="003D1DC8" w:rsidP="003D1DC8">
            <w:pPr>
              <w:pStyle w:val="naisf"/>
              <w:spacing w:before="0" w:after="0"/>
              <w:ind w:firstLine="0"/>
              <w:jc w:val="center"/>
              <w:rPr>
                <w:sz w:val="18"/>
                <w:szCs w:val="20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93" w:type="pct"/>
          </w:tcPr>
          <w:p w:rsidR="001D52BC" w:rsidRPr="00EE33DA" w:rsidRDefault="003D1DC8" w:rsidP="003D1DC8">
            <w:pPr>
              <w:pStyle w:val="naisf"/>
              <w:spacing w:before="0" w:after="0"/>
              <w:ind w:firstLine="0"/>
              <w:jc w:val="center"/>
              <w:rPr>
                <w:sz w:val="18"/>
                <w:szCs w:val="20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</w:tr>
      <w:tr w:rsidR="001D52BC" w:rsidRPr="00EE33DA" w:rsidTr="001D52BC">
        <w:trPr>
          <w:trHeight w:val="137"/>
          <w:jc w:val="center"/>
        </w:trPr>
        <w:tc>
          <w:tcPr>
            <w:tcW w:w="1643" w:type="pct"/>
          </w:tcPr>
          <w:p w:rsidR="001D52BC" w:rsidRPr="00253F86" w:rsidRDefault="001D52BC" w:rsidP="00644EC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3F86">
              <w:rPr>
                <w:rFonts w:ascii="Times New Roman" w:hAnsi="Times New Roman" w:cs="Times New Roman"/>
              </w:rPr>
              <w:t>2.2. valsts speciālais budžets</w:t>
            </w:r>
          </w:p>
        </w:tc>
        <w:tc>
          <w:tcPr>
            <w:tcW w:w="657" w:type="pct"/>
          </w:tcPr>
          <w:p w:rsidR="001D52BC" w:rsidRPr="00DC14BD" w:rsidRDefault="00DC14BD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</w:tcPr>
          <w:p w:rsidR="001D52BC" w:rsidRPr="00DC14BD" w:rsidRDefault="00DC14BD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</w:tcPr>
          <w:p w:rsidR="001D52BC" w:rsidRPr="00DC14BD" w:rsidRDefault="00DC14BD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</w:tcPr>
          <w:p w:rsidR="001D52BC" w:rsidRPr="00EE33DA" w:rsidRDefault="003D1DC8" w:rsidP="003D1DC8">
            <w:pPr>
              <w:pStyle w:val="naisf"/>
              <w:spacing w:before="0" w:after="0"/>
              <w:ind w:firstLine="0"/>
              <w:jc w:val="center"/>
              <w:rPr>
                <w:sz w:val="18"/>
                <w:szCs w:val="20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93" w:type="pct"/>
          </w:tcPr>
          <w:p w:rsidR="001D52BC" w:rsidRPr="00EE33DA" w:rsidRDefault="003D1DC8" w:rsidP="003D1DC8">
            <w:pPr>
              <w:pStyle w:val="naisf"/>
              <w:spacing w:before="0" w:after="0"/>
              <w:ind w:firstLine="0"/>
              <w:jc w:val="center"/>
              <w:rPr>
                <w:sz w:val="18"/>
                <w:szCs w:val="20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</w:tr>
      <w:tr w:rsidR="001D52BC" w:rsidRPr="00EE33DA" w:rsidTr="001D52BC">
        <w:trPr>
          <w:trHeight w:val="137"/>
          <w:jc w:val="center"/>
        </w:trPr>
        <w:tc>
          <w:tcPr>
            <w:tcW w:w="1643" w:type="pct"/>
          </w:tcPr>
          <w:p w:rsidR="001D52BC" w:rsidRPr="00253F86" w:rsidRDefault="001D52BC" w:rsidP="00644EC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3F86">
              <w:rPr>
                <w:rFonts w:ascii="Times New Roman" w:hAnsi="Times New Roman" w:cs="Times New Roman"/>
              </w:rPr>
              <w:t xml:space="preserve">2.3. pašvaldību budžets </w:t>
            </w:r>
          </w:p>
        </w:tc>
        <w:tc>
          <w:tcPr>
            <w:tcW w:w="657" w:type="pct"/>
          </w:tcPr>
          <w:p w:rsidR="001D52BC" w:rsidRPr="00DC14BD" w:rsidRDefault="00DC14BD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</w:tcPr>
          <w:p w:rsidR="001D52BC" w:rsidRPr="00DC14BD" w:rsidRDefault="00DC14BD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</w:tcPr>
          <w:p w:rsidR="001D52BC" w:rsidRPr="00DC14BD" w:rsidRDefault="00DC14BD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</w:tcPr>
          <w:p w:rsidR="001D52BC" w:rsidRPr="00EE33DA" w:rsidRDefault="003D1DC8" w:rsidP="003D1DC8">
            <w:pPr>
              <w:pStyle w:val="naisf"/>
              <w:spacing w:before="0" w:after="0"/>
              <w:ind w:firstLine="0"/>
              <w:jc w:val="center"/>
              <w:rPr>
                <w:sz w:val="18"/>
                <w:szCs w:val="20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93" w:type="pct"/>
          </w:tcPr>
          <w:p w:rsidR="001D52BC" w:rsidRPr="00EE33DA" w:rsidRDefault="003D1DC8" w:rsidP="003D1DC8">
            <w:pPr>
              <w:pStyle w:val="naisf"/>
              <w:spacing w:before="0" w:after="0"/>
              <w:ind w:firstLine="0"/>
              <w:jc w:val="center"/>
              <w:rPr>
                <w:sz w:val="18"/>
                <w:szCs w:val="20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</w:tr>
      <w:tr w:rsidR="001D52BC" w:rsidRPr="00EE33DA" w:rsidTr="001D52BC">
        <w:trPr>
          <w:trHeight w:val="468"/>
          <w:jc w:val="center"/>
        </w:trPr>
        <w:tc>
          <w:tcPr>
            <w:tcW w:w="1643" w:type="pct"/>
          </w:tcPr>
          <w:p w:rsidR="001D52BC" w:rsidRPr="00253F86" w:rsidRDefault="001D52BC" w:rsidP="00644EC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3F86">
              <w:rPr>
                <w:rFonts w:ascii="Times New Roman" w:hAnsi="Times New Roman" w:cs="Times New Roman"/>
              </w:rPr>
              <w:lastRenderedPageBreak/>
              <w:t>3. Finansiālā ietekme: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D52BC" w:rsidRPr="00DC14BD" w:rsidRDefault="0087575A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</w:tcPr>
          <w:p w:rsidR="001D52BC" w:rsidRPr="00DC14BD" w:rsidRDefault="00EE33DA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</w:tcPr>
          <w:p w:rsidR="001D52BC" w:rsidRPr="00DC14BD" w:rsidRDefault="00DC14BD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</w:tcPr>
          <w:p w:rsidR="001D52BC" w:rsidRPr="00EE33DA" w:rsidRDefault="00EE33DA" w:rsidP="00763B6B">
            <w:pPr>
              <w:pStyle w:val="naisf"/>
              <w:spacing w:before="0" w:after="0"/>
              <w:ind w:firstLine="0"/>
              <w:rPr>
                <w:sz w:val="18"/>
                <w:szCs w:val="20"/>
              </w:rPr>
            </w:pPr>
            <w:r w:rsidRPr="00EE33DA">
              <w:rPr>
                <w:sz w:val="18"/>
                <w:szCs w:val="20"/>
              </w:rPr>
              <w:t>nav precīzi aprēķināms</w:t>
            </w:r>
          </w:p>
        </w:tc>
        <w:tc>
          <w:tcPr>
            <w:tcW w:w="693" w:type="pct"/>
          </w:tcPr>
          <w:p w:rsidR="001D52BC" w:rsidRPr="00EE33DA" w:rsidRDefault="00EE33DA" w:rsidP="00763B6B">
            <w:pPr>
              <w:pStyle w:val="naisf"/>
              <w:spacing w:before="0" w:after="0"/>
              <w:ind w:firstLine="0"/>
              <w:rPr>
                <w:sz w:val="18"/>
                <w:szCs w:val="20"/>
              </w:rPr>
            </w:pPr>
            <w:r w:rsidRPr="00EE33DA">
              <w:rPr>
                <w:sz w:val="18"/>
                <w:szCs w:val="20"/>
              </w:rPr>
              <w:t>nav precīzi aprēķināms</w:t>
            </w:r>
          </w:p>
        </w:tc>
      </w:tr>
      <w:tr w:rsidR="001D52BC" w:rsidRPr="00EE33DA" w:rsidTr="001D52BC">
        <w:trPr>
          <w:trHeight w:val="483"/>
          <w:jc w:val="center"/>
        </w:trPr>
        <w:tc>
          <w:tcPr>
            <w:tcW w:w="1643" w:type="pct"/>
          </w:tcPr>
          <w:p w:rsidR="001D52BC" w:rsidRPr="00253F86" w:rsidRDefault="001D52BC" w:rsidP="00644EC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3F86">
              <w:rPr>
                <w:rFonts w:ascii="Times New Roman" w:hAnsi="Times New Roman" w:cs="Times New Roman"/>
              </w:rPr>
              <w:t>3.1. valsts pamatbudžets</w:t>
            </w:r>
          </w:p>
        </w:tc>
        <w:tc>
          <w:tcPr>
            <w:tcW w:w="657" w:type="pct"/>
            <w:shd w:val="clear" w:color="auto" w:fill="auto"/>
          </w:tcPr>
          <w:p w:rsidR="001D52BC" w:rsidRPr="00DC14BD" w:rsidRDefault="00DC14BD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</w:tcPr>
          <w:p w:rsidR="001D52BC" w:rsidRPr="00DC14BD" w:rsidRDefault="00DC14BD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</w:tcPr>
          <w:p w:rsidR="001D52BC" w:rsidRPr="00DC14BD" w:rsidRDefault="00DC14BD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</w:tcPr>
          <w:p w:rsidR="001D52BC" w:rsidRPr="00EE33DA" w:rsidRDefault="00DC14BD" w:rsidP="00763B6B">
            <w:pPr>
              <w:pStyle w:val="naisf"/>
              <w:spacing w:before="0" w:after="0"/>
              <w:ind w:firstLine="0"/>
              <w:rPr>
                <w:sz w:val="18"/>
                <w:szCs w:val="20"/>
              </w:rPr>
            </w:pPr>
            <w:r w:rsidRPr="00DC14BD">
              <w:rPr>
                <w:sz w:val="18"/>
                <w:szCs w:val="20"/>
              </w:rPr>
              <w:t>nav precīzi aprēķināms</w:t>
            </w:r>
          </w:p>
        </w:tc>
        <w:tc>
          <w:tcPr>
            <w:tcW w:w="693" w:type="pct"/>
          </w:tcPr>
          <w:p w:rsidR="001D52BC" w:rsidRPr="00EE33DA" w:rsidRDefault="00DC14BD" w:rsidP="00763B6B">
            <w:pPr>
              <w:pStyle w:val="naisf"/>
              <w:spacing w:before="0" w:after="0"/>
              <w:ind w:firstLine="0"/>
              <w:rPr>
                <w:sz w:val="18"/>
                <w:szCs w:val="20"/>
              </w:rPr>
            </w:pPr>
            <w:r w:rsidRPr="00DC14BD">
              <w:rPr>
                <w:sz w:val="18"/>
                <w:szCs w:val="20"/>
              </w:rPr>
              <w:t>nav precīzi aprēķināms</w:t>
            </w:r>
          </w:p>
        </w:tc>
      </w:tr>
      <w:tr w:rsidR="001D52BC" w:rsidRPr="00EE33DA" w:rsidTr="001D52BC">
        <w:trPr>
          <w:trHeight w:val="468"/>
          <w:jc w:val="center"/>
        </w:trPr>
        <w:tc>
          <w:tcPr>
            <w:tcW w:w="1643" w:type="pct"/>
          </w:tcPr>
          <w:p w:rsidR="001D52BC" w:rsidRPr="00253F86" w:rsidRDefault="001D52BC" w:rsidP="00644EC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3F86">
              <w:rPr>
                <w:rFonts w:ascii="Times New Roman" w:hAnsi="Times New Roman" w:cs="Times New Roman"/>
              </w:rPr>
              <w:t>3.2. speciālais budžets</w:t>
            </w:r>
          </w:p>
        </w:tc>
        <w:tc>
          <w:tcPr>
            <w:tcW w:w="657" w:type="pct"/>
            <w:shd w:val="clear" w:color="auto" w:fill="auto"/>
          </w:tcPr>
          <w:p w:rsidR="001D52BC" w:rsidRPr="00DC14BD" w:rsidRDefault="00DC14BD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</w:tcPr>
          <w:p w:rsidR="001D52BC" w:rsidRPr="00DC14BD" w:rsidRDefault="00DC14BD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</w:tcPr>
          <w:p w:rsidR="001D52BC" w:rsidRPr="00DC14BD" w:rsidRDefault="00DC14BD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</w:tcPr>
          <w:p w:rsidR="001D52BC" w:rsidRPr="00EE33DA" w:rsidRDefault="003D1DC8" w:rsidP="003D1DC8">
            <w:pPr>
              <w:pStyle w:val="naisf"/>
              <w:spacing w:before="0" w:after="0"/>
              <w:ind w:firstLine="0"/>
              <w:jc w:val="center"/>
              <w:rPr>
                <w:sz w:val="18"/>
                <w:szCs w:val="20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93" w:type="pct"/>
          </w:tcPr>
          <w:p w:rsidR="001D52BC" w:rsidRPr="00EE33DA" w:rsidRDefault="003D1DC8" w:rsidP="003D1DC8">
            <w:pPr>
              <w:pStyle w:val="naisf"/>
              <w:spacing w:before="0" w:after="0"/>
              <w:ind w:firstLine="0"/>
              <w:jc w:val="center"/>
              <w:rPr>
                <w:sz w:val="18"/>
                <w:szCs w:val="20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</w:tr>
      <w:tr w:rsidR="001D52BC" w:rsidRPr="00EE33DA" w:rsidTr="001D52BC">
        <w:trPr>
          <w:trHeight w:val="483"/>
          <w:jc w:val="center"/>
        </w:trPr>
        <w:tc>
          <w:tcPr>
            <w:tcW w:w="1643" w:type="pct"/>
          </w:tcPr>
          <w:p w:rsidR="001D52BC" w:rsidRPr="00253F86" w:rsidRDefault="001D52BC" w:rsidP="00644EC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3F86">
              <w:rPr>
                <w:rFonts w:ascii="Times New Roman" w:hAnsi="Times New Roman" w:cs="Times New Roman"/>
              </w:rPr>
              <w:t xml:space="preserve">3.3. pašvaldību budžets </w:t>
            </w:r>
          </w:p>
        </w:tc>
        <w:tc>
          <w:tcPr>
            <w:tcW w:w="657" w:type="pct"/>
            <w:shd w:val="clear" w:color="auto" w:fill="auto"/>
          </w:tcPr>
          <w:p w:rsidR="001D52BC" w:rsidRPr="00DC14BD" w:rsidRDefault="001D52BC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</w:tcPr>
          <w:p w:rsidR="001D52BC" w:rsidRPr="00DC14BD" w:rsidRDefault="001D52BC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</w:tcPr>
          <w:p w:rsidR="001D52BC" w:rsidRPr="00DC14BD" w:rsidRDefault="001D52BC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</w:tcPr>
          <w:p w:rsidR="001D52BC" w:rsidRPr="00EE33DA" w:rsidRDefault="003D1DC8" w:rsidP="003D1DC8">
            <w:pPr>
              <w:pStyle w:val="naisf"/>
              <w:spacing w:before="0" w:after="0"/>
              <w:ind w:firstLine="0"/>
              <w:jc w:val="center"/>
              <w:rPr>
                <w:sz w:val="18"/>
                <w:szCs w:val="20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93" w:type="pct"/>
          </w:tcPr>
          <w:p w:rsidR="001D52BC" w:rsidRPr="00EE33DA" w:rsidRDefault="003D1DC8" w:rsidP="003D1DC8">
            <w:pPr>
              <w:pStyle w:val="naisf"/>
              <w:spacing w:before="0" w:after="0"/>
              <w:ind w:firstLine="0"/>
              <w:jc w:val="center"/>
              <w:rPr>
                <w:sz w:val="18"/>
                <w:szCs w:val="20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</w:tr>
      <w:tr w:rsidR="001D52BC" w:rsidRPr="00EE33DA" w:rsidTr="001D52BC">
        <w:trPr>
          <w:trHeight w:val="227"/>
          <w:jc w:val="center"/>
        </w:trPr>
        <w:tc>
          <w:tcPr>
            <w:tcW w:w="1643" w:type="pct"/>
            <w:vMerge w:val="restart"/>
          </w:tcPr>
          <w:p w:rsidR="001D52BC" w:rsidRPr="00253F86" w:rsidRDefault="001D52BC" w:rsidP="00644EC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3F86">
              <w:rPr>
                <w:rFonts w:ascii="Times New Roman" w:hAnsi="Times New Roman" w:cs="Times New Roman"/>
              </w:rPr>
              <w:t>4. Finanšu līdzekļi papildu izde</w:t>
            </w:r>
            <w:r w:rsidRPr="00253F86">
              <w:rPr>
                <w:rFonts w:ascii="Times New Roman" w:hAnsi="Times New Roman" w:cs="Times New Roman"/>
              </w:rPr>
              <w:softHyphen/>
              <w:t>vumu finansēšanai (kompensējošu izdevumu samazinājumu norāda ar "+" zīmi)</w:t>
            </w:r>
          </w:p>
        </w:tc>
        <w:tc>
          <w:tcPr>
            <w:tcW w:w="657" w:type="pct"/>
            <w:vMerge w:val="restart"/>
          </w:tcPr>
          <w:p w:rsidR="001D52BC" w:rsidRPr="00DC14BD" w:rsidRDefault="001D52BC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C14BD">
              <w:rPr>
                <w:sz w:val="18"/>
                <w:szCs w:val="18"/>
              </w:rPr>
              <w:t>X</w:t>
            </w:r>
          </w:p>
        </w:tc>
        <w:tc>
          <w:tcPr>
            <w:tcW w:w="669" w:type="pct"/>
          </w:tcPr>
          <w:p w:rsidR="001D52BC" w:rsidRPr="00DC14BD" w:rsidRDefault="00EE33DA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</w:tcPr>
          <w:p w:rsidR="001D52BC" w:rsidRPr="00DC14BD" w:rsidRDefault="00EE33DA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</w:tcPr>
          <w:p w:rsidR="001D52BC" w:rsidRPr="00EE33DA" w:rsidRDefault="00EE33DA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693" w:type="pct"/>
          </w:tcPr>
          <w:p w:rsidR="001D52BC" w:rsidRPr="00EE33DA" w:rsidRDefault="00EE33DA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</w:tr>
      <w:tr w:rsidR="001D52BC" w:rsidRPr="00EE33DA" w:rsidTr="001D52BC">
        <w:trPr>
          <w:trHeight w:val="137"/>
          <w:jc w:val="center"/>
        </w:trPr>
        <w:tc>
          <w:tcPr>
            <w:tcW w:w="1643" w:type="pct"/>
            <w:vMerge/>
          </w:tcPr>
          <w:p w:rsidR="001D52BC" w:rsidRPr="00253F86" w:rsidRDefault="001D52BC" w:rsidP="00644EC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vMerge/>
          </w:tcPr>
          <w:p w:rsidR="001D52BC" w:rsidRPr="00DC14BD" w:rsidRDefault="001D52BC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</w:tcPr>
          <w:p w:rsidR="001D52BC" w:rsidRPr="00DC14BD" w:rsidRDefault="00DC14BD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</w:tcPr>
          <w:p w:rsidR="001D52BC" w:rsidRPr="00DC14BD" w:rsidRDefault="00DC14BD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</w:tcPr>
          <w:p w:rsidR="001D52BC" w:rsidRPr="00EE33DA" w:rsidRDefault="001D52BC" w:rsidP="00763B6B">
            <w:pPr>
              <w:pStyle w:val="naisf"/>
              <w:spacing w:before="0" w:after="0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93" w:type="pct"/>
          </w:tcPr>
          <w:p w:rsidR="001D52BC" w:rsidRPr="00EE33DA" w:rsidRDefault="001D52BC" w:rsidP="00763B6B">
            <w:pPr>
              <w:pStyle w:val="naisf"/>
              <w:spacing w:before="0" w:after="0"/>
              <w:ind w:firstLine="0"/>
              <w:jc w:val="left"/>
              <w:rPr>
                <w:sz w:val="18"/>
                <w:szCs w:val="20"/>
              </w:rPr>
            </w:pPr>
          </w:p>
        </w:tc>
      </w:tr>
      <w:tr w:rsidR="001D52BC" w:rsidRPr="00EE33DA" w:rsidTr="00253F86">
        <w:trPr>
          <w:trHeight w:val="998"/>
          <w:jc w:val="center"/>
        </w:trPr>
        <w:tc>
          <w:tcPr>
            <w:tcW w:w="1643" w:type="pct"/>
            <w:vMerge/>
          </w:tcPr>
          <w:p w:rsidR="001D52BC" w:rsidRPr="00253F86" w:rsidRDefault="001D52BC" w:rsidP="00644EC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vMerge/>
          </w:tcPr>
          <w:p w:rsidR="001D52BC" w:rsidRPr="00DC14BD" w:rsidRDefault="001D52BC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</w:tcPr>
          <w:p w:rsidR="001D52BC" w:rsidRPr="00DC14BD" w:rsidRDefault="001D52BC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</w:tcPr>
          <w:p w:rsidR="001D52BC" w:rsidRPr="00DC14BD" w:rsidRDefault="001D52BC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</w:tcPr>
          <w:p w:rsidR="001D52BC" w:rsidRPr="00EE33DA" w:rsidRDefault="001D52BC" w:rsidP="00763B6B">
            <w:pPr>
              <w:pStyle w:val="naisf"/>
              <w:spacing w:before="0" w:after="0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93" w:type="pct"/>
          </w:tcPr>
          <w:p w:rsidR="001D52BC" w:rsidRPr="00EE33DA" w:rsidRDefault="001D52BC" w:rsidP="00763B6B">
            <w:pPr>
              <w:pStyle w:val="naisf"/>
              <w:spacing w:before="0" w:after="0"/>
              <w:ind w:firstLine="0"/>
              <w:jc w:val="left"/>
              <w:rPr>
                <w:sz w:val="18"/>
                <w:szCs w:val="20"/>
              </w:rPr>
            </w:pPr>
          </w:p>
        </w:tc>
      </w:tr>
      <w:tr w:rsidR="001D52BC" w:rsidRPr="00EE33DA" w:rsidTr="001D52BC">
        <w:trPr>
          <w:trHeight w:val="468"/>
          <w:jc w:val="center"/>
        </w:trPr>
        <w:tc>
          <w:tcPr>
            <w:tcW w:w="1643" w:type="pct"/>
          </w:tcPr>
          <w:p w:rsidR="001D52BC" w:rsidRPr="00253F86" w:rsidRDefault="001D52BC" w:rsidP="00644EC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3F86">
              <w:rPr>
                <w:rFonts w:ascii="Times New Roman" w:hAnsi="Times New Roman" w:cs="Times New Roman"/>
              </w:rPr>
              <w:t>5. Precizēta finansiālā ietekme:</w:t>
            </w:r>
          </w:p>
        </w:tc>
        <w:tc>
          <w:tcPr>
            <w:tcW w:w="657" w:type="pct"/>
            <w:vMerge w:val="restart"/>
          </w:tcPr>
          <w:p w:rsidR="001D52BC" w:rsidRPr="00DC14BD" w:rsidRDefault="001D52BC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C14BD">
              <w:rPr>
                <w:sz w:val="18"/>
                <w:szCs w:val="18"/>
              </w:rPr>
              <w:t>X</w:t>
            </w:r>
          </w:p>
        </w:tc>
        <w:tc>
          <w:tcPr>
            <w:tcW w:w="669" w:type="pct"/>
          </w:tcPr>
          <w:p w:rsidR="001D52BC" w:rsidRPr="00DC14BD" w:rsidRDefault="00EE33DA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</w:tcPr>
          <w:p w:rsidR="001D52BC" w:rsidRPr="00DC14BD" w:rsidRDefault="00DC14BD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</w:tcPr>
          <w:p w:rsidR="001D52BC" w:rsidRPr="00EE33DA" w:rsidRDefault="00EE33DA" w:rsidP="00763B6B">
            <w:pPr>
              <w:pStyle w:val="naisf"/>
              <w:spacing w:before="0" w:after="0"/>
              <w:ind w:firstLine="0"/>
              <w:rPr>
                <w:sz w:val="18"/>
                <w:szCs w:val="20"/>
              </w:rPr>
            </w:pPr>
            <w:r w:rsidRPr="00EE33DA">
              <w:rPr>
                <w:sz w:val="18"/>
                <w:szCs w:val="20"/>
              </w:rPr>
              <w:t>nav precīzi aprēķināms</w:t>
            </w:r>
          </w:p>
        </w:tc>
        <w:tc>
          <w:tcPr>
            <w:tcW w:w="693" w:type="pct"/>
          </w:tcPr>
          <w:p w:rsidR="001D52BC" w:rsidRPr="00EE33DA" w:rsidRDefault="00EE33DA" w:rsidP="00763B6B">
            <w:pPr>
              <w:pStyle w:val="naisf"/>
              <w:spacing w:before="0" w:after="0"/>
              <w:ind w:firstLine="0"/>
              <w:rPr>
                <w:sz w:val="18"/>
                <w:szCs w:val="20"/>
              </w:rPr>
            </w:pPr>
            <w:r w:rsidRPr="00EE33DA">
              <w:rPr>
                <w:sz w:val="18"/>
                <w:szCs w:val="20"/>
              </w:rPr>
              <w:t>nav precīzi aprēķināms</w:t>
            </w:r>
          </w:p>
        </w:tc>
      </w:tr>
      <w:tr w:rsidR="001D52BC" w:rsidRPr="00EE33DA" w:rsidTr="001D52BC">
        <w:trPr>
          <w:trHeight w:val="483"/>
          <w:jc w:val="center"/>
        </w:trPr>
        <w:tc>
          <w:tcPr>
            <w:tcW w:w="1643" w:type="pct"/>
          </w:tcPr>
          <w:p w:rsidR="001D52BC" w:rsidRPr="00253F86" w:rsidRDefault="001D52BC" w:rsidP="00644EC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3F86">
              <w:rPr>
                <w:rFonts w:ascii="Times New Roman" w:hAnsi="Times New Roman" w:cs="Times New Roman"/>
              </w:rPr>
              <w:t>5.1. valsts pamatbudžets</w:t>
            </w:r>
          </w:p>
        </w:tc>
        <w:tc>
          <w:tcPr>
            <w:tcW w:w="657" w:type="pct"/>
            <w:vMerge/>
            <w:vAlign w:val="center"/>
          </w:tcPr>
          <w:p w:rsidR="001D52BC" w:rsidRPr="00DC14BD" w:rsidRDefault="001D52BC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</w:tcPr>
          <w:p w:rsidR="001D52BC" w:rsidRPr="00DC14BD" w:rsidRDefault="00DC14BD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</w:tcPr>
          <w:p w:rsidR="001D52BC" w:rsidRPr="00DC14BD" w:rsidRDefault="00DC14BD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</w:tcPr>
          <w:p w:rsidR="001D52BC" w:rsidRPr="00EE33DA" w:rsidRDefault="00DC14BD" w:rsidP="00763B6B">
            <w:pPr>
              <w:pStyle w:val="naisf"/>
              <w:spacing w:before="0" w:after="0"/>
              <w:ind w:firstLine="0"/>
              <w:rPr>
                <w:sz w:val="20"/>
                <w:szCs w:val="20"/>
              </w:rPr>
            </w:pPr>
            <w:r w:rsidRPr="00DC14BD">
              <w:rPr>
                <w:sz w:val="20"/>
                <w:szCs w:val="20"/>
              </w:rPr>
              <w:t>nav precīzi aprēķināms</w:t>
            </w:r>
          </w:p>
        </w:tc>
        <w:tc>
          <w:tcPr>
            <w:tcW w:w="693" w:type="pct"/>
          </w:tcPr>
          <w:p w:rsidR="001D52BC" w:rsidRPr="00EE33DA" w:rsidRDefault="00DC14BD" w:rsidP="00763B6B">
            <w:pPr>
              <w:pStyle w:val="naisf"/>
              <w:spacing w:before="0" w:after="0"/>
              <w:ind w:firstLine="0"/>
              <w:rPr>
                <w:sz w:val="20"/>
                <w:szCs w:val="20"/>
              </w:rPr>
            </w:pPr>
            <w:r w:rsidRPr="00DC14BD">
              <w:rPr>
                <w:sz w:val="20"/>
                <w:szCs w:val="20"/>
              </w:rPr>
              <w:t>nav precīzi aprēķināms</w:t>
            </w:r>
          </w:p>
        </w:tc>
      </w:tr>
      <w:tr w:rsidR="001D52BC" w:rsidRPr="00253F86" w:rsidTr="001D52BC">
        <w:trPr>
          <w:trHeight w:val="468"/>
          <w:jc w:val="center"/>
        </w:trPr>
        <w:tc>
          <w:tcPr>
            <w:tcW w:w="1643" w:type="pct"/>
          </w:tcPr>
          <w:p w:rsidR="001D52BC" w:rsidRPr="00253F86" w:rsidRDefault="001D52BC" w:rsidP="00644EC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3F86">
              <w:rPr>
                <w:rFonts w:ascii="Times New Roman" w:hAnsi="Times New Roman" w:cs="Times New Roman"/>
              </w:rPr>
              <w:t>5.2. speciālais budžets</w:t>
            </w:r>
          </w:p>
        </w:tc>
        <w:tc>
          <w:tcPr>
            <w:tcW w:w="657" w:type="pct"/>
            <w:vMerge/>
            <w:vAlign w:val="center"/>
          </w:tcPr>
          <w:p w:rsidR="001D52BC" w:rsidRPr="00DC14BD" w:rsidRDefault="001D52BC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</w:tcPr>
          <w:p w:rsidR="001D52BC" w:rsidRPr="00DC14BD" w:rsidRDefault="00DC14BD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</w:tcPr>
          <w:p w:rsidR="001D52BC" w:rsidRPr="00DC14BD" w:rsidRDefault="00DC14BD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</w:tcPr>
          <w:p w:rsidR="001D52BC" w:rsidRPr="00253F86" w:rsidRDefault="003D1DC8" w:rsidP="003D1DC8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93" w:type="pct"/>
          </w:tcPr>
          <w:p w:rsidR="001D52BC" w:rsidRPr="00253F86" w:rsidRDefault="003D1DC8" w:rsidP="003D1DC8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</w:tr>
      <w:tr w:rsidR="001D52BC" w:rsidRPr="00253F86" w:rsidTr="001D52BC">
        <w:trPr>
          <w:trHeight w:val="483"/>
          <w:jc w:val="center"/>
        </w:trPr>
        <w:tc>
          <w:tcPr>
            <w:tcW w:w="1643" w:type="pct"/>
          </w:tcPr>
          <w:p w:rsidR="001D52BC" w:rsidRPr="00253F86" w:rsidRDefault="001D52BC" w:rsidP="00644EC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3F86">
              <w:rPr>
                <w:rFonts w:ascii="Times New Roman" w:hAnsi="Times New Roman" w:cs="Times New Roman"/>
              </w:rPr>
              <w:t xml:space="preserve">5.3. pašvaldību budžets </w:t>
            </w:r>
          </w:p>
        </w:tc>
        <w:tc>
          <w:tcPr>
            <w:tcW w:w="657" w:type="pct"/>
            <w:vMerge/>
            <w:vAlign w:val="center"/>
          </w:tcPr>
          <w:p w:rsidR="001D52BC" w:rsidRPr="00DC14BD" w:rsidRDefault="001D52BC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</w:tcPr>
          <w:p w:rsidR="001D52BC" w:rsidRPr="00DC14BD" w:rsidRDefault="00DC14BD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</w:tcPr>
          <w:p w:rsidR="001D52BC" w:rsidRPr="00DC14BD" w:rsidRDefault="00DC14BD" w:rsidP="00DC14BD">
            <w:pPr>
              <w:pStyle w:val="nais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</w:tcPr>
          <w:p w:rsidR="001D52BC" w:rsidRPr="00253F86" w:rsidRDefault="003D1DC8" w:rsidP="003D1DC8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  <w:tc>
          <w:tcPr>
            <w:tcW w:w="693" w:type="pct"/>
          </w:tcPr>
          <w:p w:rsidR="001D52BC" w:rsidRPr="00253F86" w:rsidRDefault="003D1DC8" w:rsidP="003D1DC8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DC14BD">
              <w:rPr>
                <w:sz w:val="18"/>
                <w:szCs w:val="18"/>
              </w:rPr>
              <w:t>0</w:t>
            </w:r>
          </w:p>
        </w:tc>
      </w:tr>
      <w:tr w:rsidR="001D52BC" w:rsidRPr="00253F86" w:rsidTr="001D52BC">
        <w:trPr>
          <w:trHeight w:val="1649"/>
          <w:jc w:val="center"/>
        </w:trPr>
        <w:tc>
          <w:tcPr>
            <w:tcW w:w="1643" w:type="pct"/>
          </w:tcPr>
          <w:p w:rsidR="001D52BC" w:rsidRPr="00253F86" w:rsidRDefault="001D52BC" w:rsidP="00644EC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3F86">
              <w:rPr>
                <w:rFonts w:ascii="Times New Roman" w:hAnsi="Times New Roman" w:cs="Times New Roman"/>
              </w:rPr>
              <w:t>6. Detalizēts ieņēmumu un izdevu</w:t>
            </w:r>
            <w:r w:rsidRPr="00253F86">
              <w:rPr>
                <w:rFonts w:ascii="Times New Roman" w:hAnsi="Times New Roman" w:cs="Times New Roman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3357" w:type="pct"/>
            <w:gridSpan w:val="5"/>
            <w:vMerge w:val="restart"/>
            <w:vAlign w:val="center"/>
          </w:tcPr>
          <w:p w:rsidR="001D52BC" w:rsidRPr="00253F86" w:rsidRDefault="00365808" w:rsidP="00763B6B">
            <w:pPr>
              <w:pStyle w:val="naisf"/>
              <w:spacing w:before="0" w:after="0"/>
              <w:ind w:firstLine="0"/>
              <w:rPr>
                <w:b/>
                <w:i/>
                <w:sz w:val="22"/>
                <w:szCs w:val="22"/>
              </w:rPr>
            </w:pPr>
            <w:r w:rsidRPr="00365808">
              <w:rPr>
                <w:rFonts w:eastAsiaTheme="minorHAnsi"/>
                <w:sz w:val="22"/>
                <w:szCs w:val="22"/>
                <w:lang w:eastAsia="en-US"/>
              </w:rPr>
              <w:t>Nav precīzi aprēķināms</w:t>
            </w:r>
            <w:r w:rsidR="00DF1231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1D52BC" w:rsidRPr="00253F86" w:rsidTr="001D52BC">
        <w:trPr>
          <w:trHeight w:val="483"/>
          <w:jc w:val="center"/>
        </w:trPr>
        <w:tc>
          <w:tcPr>
            <w:tcW w:w="1643" w:type="pct"/>
          </w:tcPr>
          <w:p w:rsidR="001D52BC" w:rsidRPr="00253F86" w:rsidRDefault="001D52BC" w:rsidP="00644EC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3F86">
              <w:rPr>
                <w:rFonts w:ascii="Times New Roman" w:hAnsi="Times New Roman" w:cs="Times New Roman"/>
              </w:rPr>
              <w:t>6.1. detalizēts ieņēmumu aprēķins</w:t>
            </w:r>
          </w:p>
        </w:tc>
        <w:tc>
          <w:tcPr>
            <w:tcW w:w="3357" w:type="pct"/>
            <w:gridSpan w:val="5"/>
            <w:vMerge/>
          </w:tcPr>
          <w:p w:rsidR="001D52BC" w:rsidRPr="00253F86" w:rsidRDefault="001D52BC" w:rsidP="00763B6B">
            <w:pPr>
              <w:pStyle w:val="naisf"/>
              <w:spacing w:before="0" w:after="0"/>
              <w:ind w:firstLine="0"/>
              <w:rPr>
                <w:b/>
                <w:i/>
                <w:sz w:val="22"/>
                <w:szCs w:val="22"/>
              </w:rPr>
            </w:pPr>
          </w:p>
        </w:tc>
      </w:tr>
      <w:tr w:rsidR="001D52BC" w:rsidRPr="00253F86" w:rsidTr="001D52BC">
        <w:trPr>
          <w:trHeight w:val="468"/>
          <w:jc w:val="center"/>
        </w:trPr>
        <w:tc>
          <w:tcPr>
            <w:tcW w:w="1643" w:type="pct"/>
          </w:tcPr>
          <w:p w:rsidR="001D52BC" w:rsidRPr="00253F86" w:rsidRDefault="001D52BC" w:rsidP="00644EC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3F86">
              <w:rPr>
                <w:rFonts w:ascii="Times New Roman" w:hAnsi="Times New Roman" w:cs="Times New Roman"/>
              </w:rPr>
              <w:t>6.2. detalizēts izdevumu aprēķins</w:t>
            </w:r>
          </w:p>
        </w:tc>
        <w:tc>
          <w:tcPr>
            <w:tcW w:w="3357" w:type="pct"/>
            <w:gridSpan w:val="5"/>
            <w:vMerge/>
          </w:tcPr>
          <w:p w:rsidR="001D52BC" w:rsidRPr="00253F86" w:rsidRDefault="001D52BC" w:rsidP="00763B6B">
            <w:pPr>
              <w:pStyle w:val="naisf"/>
              <w:spacing w:before="0" w:after="0"/>
              <w:ind w:firstLine="0"/>
              <w:rPr>
                <w:b/>
                <w:i/>
                <w:sz w:val="22"/>
                <w:szCs w:val="22"/>
              </w:rPr>
            </w:pPr>
          </w:p>
        </w:tc>
      </w:tr>
      <w:tr w:rsidR="001D52BC" w:rsidRPr="00253F86" w:rsidTr="00EE33DA">
        <w:trPr>
          <w:trHeight w:val="2469"/>
          <w:jc w:val="center"/>
        </w:trPr>
        <w:tc>
          <w:tcPr>
            <w:tcW w:w="1643" w:type="pct"/>
          </w:tcPr>
          <w:p w:rsidR="001D52BC" w:rsidRPr="00253F86" w:rsidRDefault="001D52BC" w:rsidP="00644EC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3F86">
              <w:rPr>
                <w:rFonts w:ascii="Times New Roman" w:hAnsi="Times New Roman" w:cs="Times New Roman"/>
              </w:rPr>
              <w:t>7. Cita informācija</w:t>
            </w:r>
          </w:p>
        </w:tc>
        <w:tc>
          <w:tcPr>
            <w:tcW w:w="3357" w:type="pct"/>
            <w:gridSpan w:val="5"/>
          </w:tcPr>
          <w:p w:rsidR="001D52BC" w:rsidRPr="00253F86" w:rsidRDefault="00192D82" w:rsidP="00DF1231">
            <w:pPr>
              <w:pStyle w:val="naisf"/>
              <w:tabs>
                <w:tab w:val="left" w:pos="4644"/>
              </w:tabs>
              <w:spacing w:before="0" w:after="0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noProof/>
                <w:sz w:val="23"/>
                <w:szCs w:val="23"/>
              </w:rPr>
              <w:t>Budžeta ieņēmumi no soda naud</w:t>
            </w:r>
            <w:r w:rsidR="00DF1231">
              <w:rPr>
                <w:noProof/>
                <w:sz w:val="23"/>
                <w:szCs w:val="23"/>
              </w:rPr>
              <w:t>as</w:t>
            </w:r>
            <w:r>
              <w:rPr>
                <w:noProof/>
                <w:sz w:val="23"/>
                <w:szCs w:val="23"/>
              </w:rPr>
              <w:t>, kas iekasēt</w:t>
            </w:r>
            <w:r w:rsidR="00DF1231">
              <w:rPr>
                <w:noProof/>
                <w:sz w:val="23"/>
                <w:szCs w:val="23"/>
              </w:rPr>
              <w:t>a</w:t>
            </w:r>
            <w:r>
              <w:rPr>
                <w:noProof/>
                <w:sz w:val="23"/>
                <w:szCs w:val="23"/>
              </w:rPr>
              <w:t xml:space="preserve"> par konstatētajiem administratīvajiem pārkāpumiem, ir atkarīgi no pārkāpumu apjoma un kontrolējošo institūciju darba efektivitātes. Abi šie faktori mijiedarbojas</w:t>
            </w:r>
            <w:r w:rsidR="00DF1231">
              <w:rPr>
                <w:noProof/>
                <w:sz w:val="23"/>
                <w:szCs w:val="23"/>
              </w:rPr>
              <w:t>:</w:t>
            </w:r>
            <w:r>
              <w:rPr>
                <w:noProof/>
                <w:sz w:val="23"/>
                <w:szCs w:val="23"/>
              </w:rPr>
              <w:t xml:space="preserve"> jo intensīvāka </w:t>
            </w:r>
            <w:r w:rsidR="00DF1231">
              <w:rPr>
                <w:noProof/>
                <w:sz w:val="23"/>
                <w:szCs w:val="23"/>
              </w:rPr>
              <w:t xml:space="preserve">ir </w:t>
            </w:r>
            <w:r>
              <w:rPr>
                <w:noProof/>
                <w:sz w:val="23"/>
                <w:szCs w:val="23"/>
              </w:rPr>
              <w:t>uzraudzība (prevencija), jo</w:t>
            </w:r>
            <w:r w:rsidR="001D7AE0">
              <w:rPr>
                <w:noProof/>
                <w:sz w:val="23"/>
                <w:szCs w:val="23"/>
              </w:rPr>
              <w:t xml:space="preserve"> īstermiņā tiek iekasēts </w:t>
            </w:r>
            <w:r w:rsidR="00DF1231">
              <w:rPr>
                <w:noProof/>
                <w:sz w:val="23"/>
                <w:szCs w:val="23"/>
              </w:rPr>
              <w:t xml:space="preserve">vairāk </w:t>
            </w:r>
            <w:r w:rsidR="001D7AE0">
              <w:rPr>
                <w:noProof/>
                <w:sz w:val="23"/>
                <w:szCs w:val="23"/>
              </w:rPr>
              <w:t>soda naud</w:t>
            </w:r>
            <w:r w:rsidR="00DF1231">
              <w:rPr>
                <w:noProof/>
                <w:sz w:val="23"/>
                <w:szCs w:val="23"/>
              </w:rPr>
              <w:t>a</w:t>
            </w:r>
            <w:r w:rsidR="001D7AE0">
              <w:rPr>
                <w:noProof/>
                <w:sz w:val="23"/>
                <w:szCs w:val="23"/>
              </w:rPr>
              <w:t>s un secīgi</w:t>
            </w:r>
            <w:r>
              <w:rPr>
                <w:noProof/>
                <w:sz w:val="23"/>
                <w:szCs w:val="23"/>
              </w:rPr>
              <w:t xml:space="preserve"> </w:t>
            </w:r>
            <w:r w:rsidR="00DF1231">
              <w:rPr>
                <w:noProof/>
                <w:sz w:val="23"/>
                <w:szCs w:val="23"/>
              </w:rPr>
              <w:t xml:space="preserve">ir </w:t>
            </w:r>
            <w:r>
              <w:rPr>
                <w:noProof/>
                <w:sz w:val="23"/>
                <w:szCs w:val="23"/>
              </w:rPr>
              <w:t>mazāk pārkāpumu</w:t>
            </w:r>
            <w:r w:rsidR="00040F12">
              <w:rPr>
                <w:noProof/>
                <w:sz w:val="23"/>
                <w:szCs w:val="23"/>
              </w:rPr>
              <w:t xml:space="preserve"> (soda naud</w:t>
            </w:r>
            <w:r w:rsidR="00DF1231">
              <w:rPr>
                <w:noProof/>
                <w:sz w:val="23"/>
                <w:szCs w:val="23"/>
              </w:rPr>
              <w:t>as</w:t>
            </w:r>
            <w:r w:rsidR="00040F12">
              <w:rPr>
                <w:noProof/>
                <w:sz w:val="23"/>
                <w:szCs w:val="23"/>
              </w:rPr>
              <w:t>)</w:t>
            </w:r>
            <w:r w:rsidR="001D7AE0">
              <w:rPr>
                <w:noProof/>
                <w:sz w:val="23"/>
                <w:szCs w:val="23"/>
              </w:rPr>
              <w:t xml:space="preserve"> ilgtermiņā</w:t>
            </w:r>
            <w:r w:rsidR="00DF1231">
              <w:rPr>
                <w:noProof/>
                <w:sz w:val="23"/>
                <w:szCs w:val="23"/>
              </w:rPr>
              <w:t>,</w:t>
            </w:r>
            <w:r w:rsidR="001D7AE0">
              <w:rPr>
                <w:noProof/>
                <w:sz w:val="23"/>
                <w:szCs w:val="23"/>
              </w:rPr>
              <w:t xml:space="preserve"> </w:t>
            </w:r>
            <w:r w:rsidR="00DF1231">
              <w:rPr>
                <w:noProof/>
                <w:sz w:val="23"/>
                <w:szCs w:val="23"/>
              </w:rPr>
              <w:t>u</w:t>
            </w:r>
            <w:r>
              <w:rPr>
                <w:noProof/>
                <w:sz w:val="23"/>
                <w:szCs w:val="23"/>
              </w:rPr>
              <w:t xml:space="preserve">n </w:t>
            </w:r>
            <w:r w:rsidR="00DF1231">
              <w:rPr>
                <w:noProof/>
                <w:sz w:val="23"/>
                <w:szCs w:val="23"/>
              </w:rPr>
              <w:t>pretēji</w:t>
            </w:r>
            <w:r>
              <w:rPr>
                <w:noProof/>
                <w:sz w:val="23"/>
                <w:szCs w:val="23"/>
              </w:rPr>
              <w:t>.</w:t>
            </w:r>
            <w:r w:rsidR="001D7AE0">
              <w:rPr>
                <w:noProof/>
                <w:sz w:val="23"/>
                <w:szCs w:val="23"/>
              </w:rPr>
              <w:t xml:space="preserve"> </w:t>
            </w:r>
            <w:r w:rsidR="00F7549F">
              <w:rPr>
                <w:noProof/>
                <w:sz w:val="23"/>
                <w:szCs w:val="23"/>
              </w:rPr>
              <w:t>Tātad sistēma līdzsvarojas patstāv</w:t>
            </w:r>
            <w:r w:rsidR="00264785">
              <w:rPr>
                <w:noProof/>
                <w:sz w:val="23"/>
                <w:szCs w:val="23"/>
              </w:rPr>
              <w:t xml:space="preserve">īgi un attiecīgi </w:t>
            </w:r>
            <w:r w:rsidR="004B0720">
              <w:rPr>
                <w:noProof/>
                <w:sz w:val="23"/>
                <w:szCs w:val="23"/>
              </w:rPr>
              <w:t>likum</w:t>
            </w:r>
            <w:r w:rsidR="001D52BC" w:rsidRPr="00253F86">
              <w:rPr>
                <w:noProof/>
                <w:sz w:val="23"/>
                <w:szCs w:val="23"/>
              </w:rPr>
              <w:t xml:space="preserve">projekts nerada ietekmi uz valsts budžetu. </w:t>
            </w:r>
          </w:p>
        </w:tc>
      </w:tr>
    </w:tbl>
    <w:p w:rsidR="00A26C08" w:rsidRPr="00A26C08" w:rsidRDefault="00A26C08" w:rsidP="006C4E33">
      <w:pPr>
        <w:spacing w:after="0" w:line="240" w:lineRule="auto"/>
        <w:ind w:left="142" w:firstLine="15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tbl>
      <w:tblPr>
        <w:tblW w:w="489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00"/>
      </w:tblGrid>
      <w:tr w:rsidR="006D1B2C" w:rsidRPr="0073774B" w:rsidTr="00204926">
        <w:trPr>
          <w:trHeight w:val="419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D1B2C" w:rsidRPr="0073774B" w:rsidRDefault="006D1B2C" w:rsidP="006C4E33">
            <w:pPr>
              <w:spacing w:after="0" w:line="240" w:lineRule="auto"/>
              <w:ind w:left="142" w:firstLine="15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377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6D1B2C" w:rsidRPr="0073774B" w:rsidTr="00204926">
        <w:trPr>
          <w:trHeight w:val="419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D1B2C" w:rsidRPr="0073774B" w:rsidRDefault="006D1B2C" w:rsidP="006C4E33">
            <w:pPr>
              <w:spacing w:after="0" w:line="240" w:lineRule="auto"/>
              <w:ind w:left="142" w:firstLine="15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3774B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6D1B2C" w:rsidRPr="0073774B" w:rsidRDefault="006D1B2C" w:rsidP="006C4E33">
      <w:pPr>
        <w:spacing w:after="0" w:line="240" w:lineRule="auto"/>
        <w:ind w:left="142" w:firstLine="158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4887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86"/>
      </w:tblGrid>
      <w:tr w:rsidR="006D1B2C" w:rsidRPr="0073774B" w:rsidTr="00204926">
        <w:trPr>
          <w:trHeight w:val="291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D1B2C" w:rsidRPr="0073774B" w:rsidRDefault="006D1B2C" w:rsidP="006C4E33">
            <w:pPr>
              <w:spacing w:after="0" w:line="240" w:lineRule="auto"/>
              <w:ind w:left="142" w:firstLine="15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377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6D1B2C" w:rsidRPr="0073774B" w:rsidTr="00204926">
        <w:trPr>
          <w:trHeight w:val="276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D1B2C" w:rsidRPr="0073774B" w:rsidRDefault="006D1B2C" w:rsidP="006C4E33">
            <w:pPr>
              <w:spacing w:after="0" w:line="240" w:lineRule="auto"/>
              <w:ind w:left="142" w:firstLine="1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3774B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A26C08" w:rsidRDefault="00A26C08" w:rsidP="00A26C08">
      <w:pPr>
        <w:keepNext/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861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"/>
        <w:gridCol w:w="3340"/>
        <w:gridCol w:w="5032"/>
      </w:tblGrid>
      <w:tr w:rsidR="00A26C08" w:rsidRPr="00A26C08" w:rsidTr="00CA57A6">
        <w:tc>
          <w:tcPr>
            <w:tcW w:w="8619" w:type="dxa"/>
            <w:gridSpan w:val="3"/>
          </w:tcPr>
          <w:p w:rsidR="00A26C08" w:rsidRPr="00A26C08" w:rsidRDefault="00A26C08" w:rsidP="00CA57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26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VI. Sabiedrības līdzdalība un </w:t>
            </w:r>
            <w:r w:rsidRPr="00A26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komunikācijas aktivitātes</w:t>
            </w:r>
          </w:p>
        </w:tc>
      </w:tr>
      <w:tr w:rsidR="00A26C08" w:rsidRPr="00A26C08" w:rsidTr="00903043">
        <w:trPr>
          <w:trHeight w:val="553"/>
        </w:trPr>
        <w:tc>
          <w:tcPr>
            <w:tcW w:w="247" w:type="dxa"/>
          </w:tcPr>
          <w:p w:rsidR="00A26C08" w:rsidRPr="00A26C08" w:rsidRDefault="00A26C08" w:rsidP="00CA57A6">
            <w:pPr>
              <w:spacing w:beforeAutospacing="1" w:after="0" w:afterAutospacing="1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26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340" w:type="dxa"/>
          </w:tcPr>
          <w:p w:rsidR="00A26C08" w:rsidRPr="00A26C08" w:rsidRDefault="00A26C08" w:rsidP="00CA57A6">
            <w:pPr>
              <w:tabs>
                <w:tab w:val="left" w:pos="170"/>
              </w:tabs>
              <w:spacing w:beforeAutospacing="1" w:after="0" w:afterAutospacing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6C08">
              <w:rPr>
                <w:rFonts w:ascii="Times New Roman" w:eastAsia="Calibri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5032" w:type="dxa"/>
          </w:tcPr>
          <w:p w:rsidR="00A26C08" w:rsidRPr="00A26C08" w:rsidRDefault="009B340D" w:rsidP="00CA57A6">
            <w:pPr>
              <w:spacing w:beforeAutospacing="1" w:after="0" w:afterAutospacing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 w:rsidR="00A26C08" w:rsidRPr="00A26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rojekts </w:t>
            </w:r>
            <w:r w:rsidR="00A26C08" w:rsidRPr="00A26C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publicēts Zemkopības ministrijas tīmekļa vietnē. </w:t>
            </w:r>
          </w:p>
        </w:tc>
      </w:tr>
      <w:tr w:rsidR="00A26C08" w:rsidRPr="00A26C08" w:rsidTr="00903043">
        <w:trPr>
          <w:trHeight w:val="339"/>
        </w:trPr>
        <w:tc>
          <w:tcPr>
            <w:tcW w:w="247" w:type="dxa"/>
          </w:tcPr>
          <w:p w:rsidR="00A26C08" w:rsidRPr="00A26C08" w:rsidRDefault="00A26C08" w:rsidP="00CA57A6">
            <w:pPr>
              <w:spacing w:beforeAutospacing="1" w:after="0" w:afterAutospacing="1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26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340" w:type="dxa"/>
          </w:tcPr>
          <w:p w:rsidR="00A26C08" w:rsidRPr="00A26C08" w:rsidRDefault="00A26C08" w:rsidP="00CA57A6">
            <w:pPr>
              <w:spacing w:beforeAutospacing="1" w:after="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6C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līdzdalība projekta izstrādē </w:t>
            </w:r>
          </w:p>
        </w:tc>
        <w:tc>
          <w:tcPr>
            <w:tcW w:w="5032" w:type="dxa"/>
          </w:tcPr>
          <w:p w:rsidR="00A26C08" w:rsidRPr="00A26C08" w:rsidRDefault="009B340D" w:rsidP="009B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A26C08" w:rsidRPr="00A26C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rojekts sabiedriskai apspriešanai tika publicēts Zemkopības ministrijas tīmekļa vietnē (no </w:t>
            </w:r>
            <w:r w:rsidRPr="009B3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</w:t>
            </w:r>
            <w:r w:rsidR="00A26C08" w:rsidRPr="009B3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9B3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  <w:r w:rsidR="00A26C08" w:rsidRPr="009B3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.2015. līdz </w:t>
            </w:r>
            <w:r w:rsidRPr="009B3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A26C08" w:rsidRPr="009B3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9B3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  <w:r w:rsidR="00A26C08" w:rsidRPr="00A26C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.2015.). </w:t>
            </w:r>
          </w:p>
        </w:tc>
      </w:tr>
      <w:tr w:rsidR="00A26C08" w:rsidRPr="00A26C08" w:rsidTr="00903043">
        <w:trPr>
          <w:trHeight w:val="375"/>
        </w:trPr>
        <w:tc>
          <w:tcPr>
            <w:tcW w:w="247" w:type="dxa"/>
          </w:tcPr>
          <w:p w:rsidR="00A26C08" w:rsidRPr="00A26C08" w:rsidRDefault="00A26C08" w:rsidP="00CA57A6">
            <w:pPr>
              <w:spacing w:beforeAutospacing="1" w:after="0" w:afterAutospacing="1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26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340" w:type="dxa"/>
          </w:tcPr>
          <w:p w:rsidR="00A26C08" w:rsidRPr="00A26C08" w:rsidRDefault="00A26C08" w:rsidP="00CA57A6">
            <w:pPr>
              <w:spacing w:beforeAutospacing="1" w:after="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6C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līdzdalības rezultāti </w:t>
            </w:r>
          </w:p>
        </w:tc>
        <w:tc>
          <w:tcPr>
            <w:tcW w:w="5032" w:type="dxa"/>
          </w:tcPr>
          <w:p w:rsidR="00A26C08" w:rsidRPr="00A26C08" w:rsidRDefault="00A26C08" w:rsidP="009B340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lv-LV"/>
              </w:rPr>
            </w:pPr>
            <w:r w:rsidRPr="00A26C0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Pr="00A26C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publicēšanas Zemkopības ministrijas tīmekļa vietnē atsauksmes, iebildumi</w:t>
            </w:r>
            <w:r w:rsidR="00DF12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</w:t>
            </w:r>
            <w:r w:rsidRPr="00A26C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priekšlikumi nav saņemti.</w:t>
            </w:r>
          </w:p>
        </w:tc>
      </w:tr>
      <w:tr w:rsidR="00A26C08" w:rsidRPr="00A26C08" w:rsidTr="00903043">
        <w:trPr>
          <w:trHeight w:val="476"/>
        </w:trPr>
        <w:tc>
          <w:tcPr>
            <w:tcW w:w="247" w:type="dxa"/>
          </w:tcPr>
          <w:p w:rsidR="00A26C08" w:rsidRPr="00A26C08" w:rsidRDefault="00A26C08" w:rsidP="00CA57A6">
            <w:pPr>
              <w:spacing w:beforeAutospacing="1" w:after="0" w:afterAutospacing="1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26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340" w:type="dxa"/>
          </w:tcPr>
          <w:p w:rsidR="00A26C08" w:rsidRPr="00A26C08" w:rsidRDefault="00A26C08" w:rsidP="00CA57A6">
            <w:pPr>
              <w:spacing w:beforeAutospacing="1" w:after="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6C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032" w:type="dxa"/>
          </w:tcPr>
          <w:p w:rsidR="00A26C08" w:rsidRPr="00A26C08" w:rsidRDefault="00A26C08" w:rsidP="00CA57A6">
            <w:pPr>
              <w:spacing w:beforeAutospacing="1" w:after="0" w:afterAutospacing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6C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A26C08" w:rsidRPr="00A26C08" w:rsidRDefault="00A26C08" w:rsidP="00A26C0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867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9"/>
        <w:gridCol w:w="3969"/>
        <w:gridCol w:w="4380"/>
      </w:tblGrid>
      <w:tr w:rsidR="00A26C08" w:rsidRPr="00A26C08" w:rsidTr="00CA57A6">
        <w:trPr>
          <w:trHeight w:val="279"/>
        </w:trPr>
        <w:tc>
          <w:tcPr>
            <w:tcW w:w="8678" w:type="dxa"/>
            <w:gridSpan w:val="3"/>
            <w:tcBorders>
              <w:top w:val="single" w:sz="4" w:space="0" w:color="auto"/>
            </w:tcBorders>
          </w:tcPr>
          <w:p w:rsidR="00A26C08" w:rsidRPr="00A26C08" w:rsidRDefault="00A26C08" w:rsidP="00CA57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26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A26C08" w:rsidRPr="00A26C08" w:rsidTr="00CA57A6">
        <w:trPr>
          <w:trHeight w:val="442"/>
        </w:trPr>
        <w:tc>
          <w:tcPr>
            <w:tcW w:w="329" w:type="dxa"/>
          </w:tcPr>
          <w:p w:rsidR="00A26C08" w:rsidRPr="00A26C08" w:rsidRDefault="00A26C08" w:rsidP="00CA57A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26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969" w:type="dxa"/>
          </w:tcPr>
          <w:p w:rsidR="00A26C08" w:rsidRPr="00A26C08" w:rsidRDefault="00A26C08" w:rsidP="00CA57A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6C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izpildē iesaistītās institūcijas </w:t>
            </w:r>
          </w:p>
        </w:tc>
        <w:tc>
          <w:tcPr>
            <w:tcW w:w="4380" w:type="dxa"/>
          </w:tcPr>
          <w:p w:rsidR="00A26C08" w:rsidRPr="00A26C08" w:rsidRDefault="00A26C08" w:rsidP="00CA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Zemkopības ministrija</w:t>
            </w:r>
          </w:p>
        </w:tc>
      </w:tr>
      <w:tr w:rsidR="00A26C08" w:rsidRPr="00A26C08" w:rsidTr="00CA57A6">
        <w:trPr>
          <w:trHeight w:val="478"/>
        </w:trPr>
        <w:tc>
          <w:tcPr>
            <w:tcW w:w="329" w:type="dxa"/>
          </w:tcPr>
          <w:p w:rsidR="00A26C08" w:rsidRPr="00A26C08" w:rsidRDefault="00A26C08" w:rsidP="00CA57A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26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969" w:type="dxa"/>
          </w:tcPr>
          <w:p w:rsidR="00A26C08" w:rsidRPr="00A26C08" w:rsidRDefault="00A26C08" w:rsidP="00CA5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Projekta izpildes ietekme uz pārvaldes funkcijām un institucionālo struktūru. </w:t>
            </w:r>
          </w:p>
          <w:p w:rsidR="00A26C08" w:rsidRPr="00A26C08" w:rsidRDefault="00A26C08" w:rsidP="00CA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6C08">
              <w:rPr>
                <w:rFonts w:ascii="Times New Roman" w:eastAsia="Calibri" w:hAnsi="Times New Roman" w:cs="Times New Roman"/>
                <w:sz w:val="24"/>
                <w:szCs w:val="24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4380" w:type="dxa"/>
          </w:tcPr>
          <w:p w:rsidR="00A26C08" w:rsidRPr="00A26C08" w:rsidRDefault="009B340D" w:rsidP="00CA5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="00721D94" w:rsidRPr="00A26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lv-LV"/>
              </w:rPr>
              <w:t>rojekts</w:t>
            </w:r>
            <w:r w:rsidR="00A26C08" w:rsidRPr="00A26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lv-LV"/>
              </w:rPr>
              <w:t xml:space="preserve"> nerada institucionālas izmaiņas attiecībā uz izpildē iesaistītajām valsts pārvaldes institūcijām. </w:t>
            </w:r>
          </w:p>
          <w:p w:rsidR="00A26C08" w:rsidRPr="00A26C08" w:rsidRDefault="00A26C08" w:rsidP="00CA57A6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A26C08" w:rsidRPr="00A26C08" w:rsidTr="00CA57A6">
        <w:trPr>
          <w:trHeight w:val="491"/>
        </w:trPr>
        <w:tc>
          <w:tcPr>
            <w:tcW w:w="329" w:type="dxa"/>
          </w:tcPr>
          <w:p w:rsidR="00A26C08" w:rsidRPr="00A26C08" w:rsidRDefault="00A26C08" w:rsidP="00CA57A6">
            <w:pPr>
              <w:spacing w:beforeAutospacing="1" w:after="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6C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969" w:type="dxa"/>
          </w:tcPr>
          <w:p w:rsidR="00A26C08" w:rsidRPr="00A26C08" w:rsidRDefault="00A26C08" w:rsidP="00CA57A6">
            <w:pPr>
              <w:spacing w:beforeAutospacing="1" w:after="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6C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4380" w:type="dxa"/>
          </w:tcPr>
          <w:p w:rsidR="00A26C08" w:rsidRPr="00A26C08" w:rsidRDefault="00A26C08" w:rsidP="00CA57A6">
            <w:pPr>
              <w:spacing w:beforeAutospacing="1" w:after="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6C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A26C08" w:rsidRDefault="00A26C08" w:rsidP="00A2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A5422" w:rsidRPr="00A26C08" w:rsidRDefault="005A5422" w:rsidP="00A2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26C08" w:rsidRPr="00A26C08" w:rsidRDefault="00A26C08" w:rsidP="00CE6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C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Zemkopības ministr</w:t>
      </w:r>
      <w:r w:rsidR="00CE6315">
        <w:rPr>
          <w:rFonts w:ascii="Times New Roman" w:eastAsia="Times New Roman" w:hAnsi="Times New Roman" w:cs="Times New Roman"/>
          <w:sz w:val="24"/>
          <w:szCs w:val="24"/>
          <w:lang w:eastAsia="x-none"/>
        </w:rPr>
        <w:t>s</w:t>
      </w:r>
      <w:r w:rsidR="00CE6315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CE6315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CE6315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CE6315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CE6315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CE6315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CE6315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CE6315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CE6315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J.</w:t>
      </w:r>
      <w:r w:rsidRPr="00A26C08">
        <w:rPr>
          <w:rFonts w:ascii="Times New Roman" w:eastAsia="Times New Roman" w:hAnsi="Times New Roman" w:cs="Times New Roman"/>
          <w:sz w:val="24"/>
          <w:szCs w:val="24"/>
          <w:lang w:eastAsia="x-none"/>
        </w:rPr>
        <w:t>Dūklavs</w:t>
      </w:r>
    </w:p>
    <w:p w:rsidR="00A26C08" w:rsidRDefault="00A26C08" w:rsidP="00A2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422" w:rsidRDefault="005A5422" w:rsidP="00A2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422" w:rsidRDefault="005A5422" w:rsidP="00A2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315" w:rsidRDefault="00CE6315" w:rsidP="00A2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315" w:rsidRDefault="00CE6315" w:rsidP="00A2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315" w:rsidRDefault="00CE6315" w:rsidP="00A2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315" w:rsidRDefault="00CE6315" w:rsidP="00A2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315" w:rsidRDefault="00CE6315" w:rsidP="00A2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315" w:rsidRDefault="00CE6315" w:rsidP="00A2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315" w:rsidRDefault="00CE6315" w:rsidP="00A2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315" w:rsidRDefault="00CE6315" w:rsidP="00A2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315" w:rsidRDefault="00CE6315" w:rsidP="00A2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315" w:rsidRDefault="00CE6315" w:rsidP="00A2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315" w:rsidRPr="00A26C08" w:rsidRDefault="00CE6315" w:rsidP="00A2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315" w:rsidRDefault="00CE6315" w:rsidP="00A26C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05.01.2016. 12:11</w:t>
      </w:r>
    </w:p>
    <w:p w:rsidR="00CE6315" w:rsidRDefault="00CE6315" w:rsidP="00A2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pl-PL"/>
        </w:rPr>
      </w:pPr>
      <w:r>
        <w:rPr>
          <w:rFonts w:ascii="Times New Roman" w:eastAsia="Times New Roman" w:hAnsi="Times New Roman" w:cs="Times New Roman"/>
          <w:sz w:val="20"/>
          <w:szCs w:val="24"/>
          <w:lang w:val="pl-PL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4"/>
          <w:lang w:val="pl-PL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4"/>
          <w:lang w:val="pl-PL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4"/>
          <w:lang w:val="pl-PL"/>
        </w:rPr>
        <w:t>873</w:t>
      </w:r>
      <w:r>
        <w:rPr>
          <w:rFonts w:ascii="Times New Roman" w:eastAsia="Times New Roman" w:hAnsi="Times New Roman" w:cs="Times New Roman"/>
          <w:sz w:val="20"/>
          <w:szCs w:val="24"/>
          <w:lang w:val="pl-PL"/>
        </w:rPr>
        <w:fldChar w:fldCharType="end"/>
      </w:r>
    </w:p>
    <w:p w:rsidR="00A26C08" w:rsidRPr="00A26C08" w:rsidRDefault="00A26C08" w:rsidP="00A26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bookmarkStart w:id="0" w:name="_GoBack"/>
      <w:bookmarkEnd w:id="0"/>
      <w:r w:rsidRPr="00A26C08">
        <w:rPr>
          <w:rFonts w:ascii="Times New Roman" w:eastAsia="Times New Roman" w:hAnsi="Times New Roman" w:cs="Times New Roman"/>
          <w:color w:val="000000"/>
          <w:sz w:val="20"/>
          <w:szCs w:val="24"/>
        </w:rPr>
        <w:t>J.Bārs</w:t>
      </w:r>
    </w:p>
    <w:p w:rsidR="0045080B" w:rsidRPr="00A26C08" w:rsidRDefault="00A26C08" w:rsidP="00A26C08">
      <w:pPr>
        <w:spacing w:after="0" w:line="240" w:lineRule="auto"/>
        <w:jc w:val="both"/>
        <w:rPr>
          <w:sz w:val="20"/>
          <w:szCs w:val="24"/>
        </w:rPr>
      </w:pPr>
      <w:r w:rsidRPr="00A26C08">
        <w:rPr>
          <w:rFonts w:ascii="Times New Roman" w:eastAsia="Times New Roman" w:hAnsi="Times New Roman" w:cs="Times New Roman"/>
          <w:sz w:val="20"/>
          <w:szCs w:val="24"/>
        </w:rPr>
        <w:t>67027554, Janis.Bars@zm.gov.lv</w:t>
      </w:r>
    </w:p>
    <w:sectPr w:rsidR="0045080B" w:rsidRPr="00A26C08" w:rsidSect="00CE6315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843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C7" w:rsidRDefault="004961C7" w:rsidP="00A26C08">
      <w:pPr>
        <w:spacing w:after="0" w:line="240" w:lineRule="auto"/>
      </w:pPr>
      <w:r>
        <w:separator/>
      </w:r>
    </w:p>
  </w:endnote>
  <w:endnote w:type="continuationSeparator" w:id="0">
    <w:p w:rsidR="004961C7" w:rsidRDefault="004961C7" w:rsidP="00A2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7A6" w:rsidRPr="00CE6315" w:rsidRDefault="00CE6315" w:rsidP="001E0888">
    <w:pPr>
      <w:pStyle w:val="Kjene"/>
      <w:rPr>
        <w:rFonts w:ascii="Times New Roman" w:hAnsi="Times New Roman" w:cs="Times New Roman"/>
      </w:rPr>
    </w:pPr>
    <w:r w:rsidRPr="00CE6315">
      <w:rPr>
        <w:rFonts w:ascii="Times New Roman" w:hAnsi="Times New Roman" w:cs="Times New Roman"/>
        <w:sz w:val="20"/>
        <w:szCs w:val="20"/>
      </w:rPr>
      <w:t>ZMAnot_040116</w:t>
    </w:r>
    <w:r w:rsidR="001E0888" w:rsidRPr="00CE6315">
      <w:rPr>
        <w:rFonts w:ascii="Times New Roman" w:hAnsi="Times New Roman" w:cs="Times New Roman"/>
        <w:sz w:val="20"/>
        <w:szCs w:val="20"/>
      </w:rPr>
      <w:t>_medlik; Likumprojekts „Grozījums Medību likumā”” (VSS-1224)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7A6" w:rsidRPr="00CE6315" w:rsidRDefault="00CA57A6" w:rsidP="00CA57A6">
    <w:pPr>
      <w:pStyle w:val="Kjene"/>
      <w:rPr>
        <w:rFonts w:ascii="Times New Roman" w:hAnsi="Times New Roman" w:cs="Times New Roman"/>
        <w:sz w:val="20"/>
        <w:szCs w:val="20"/>
      </w:rPr>
    </w:pPr>
    <w:r w:rsidRPr="00CE6315">
      <w:rPr>
        <w:rFonts w:ascii="Times New Roman" w:hAnsi="Times New Roman" w:cs="Times New Roman"/>
        <w:sz w:val="20"/>
        <w:szCs w:val="20"/>
      </w:rPr>
      <w:t>ZMAnot_</w:t>
    </w:r>
    <w:r w:rsidR="00CE6315">
      <w:rPr>
        <w:rFonts w:ascii="Times New Roman" w:hAnsi="Times New Roman" w:cs="Times New Roman"/>
        <w:sz w:val="20"/>
        <w:szCs w:val="20"/>
      </w:rPr>
      <w:t>040116</w:t>
    </w:r>
    <w:r w:rsidR="001E0888" w:rsidRPr="00CE6315">
      <w:rPr>
        <w:rFonts w:ascii="Times New Roman" w:hAnsi="Times New Roman" w:cs="Times New Roman"/>
        <w:sz w:val="20"/>
        <w:szCs w:val="20"/>
      </w:rPr>
      <w:t>_medlik</w:t>
    </w:r>
    <w:r w:rsidRPr="00CE6315">
      <w:rPr>
        <w:rFonts w:ascii="Times New Roman" w:hAnsi="Times New Roman" w:cs="Times New Roman"/>
        <w:sz w:val="20"/>
        <w:szCs w:val="20"/>
      </w:rPr>
      <w:t xml:space="preserve">; Likumprojekts „Grozījums Medību likumā”” </w:t>
    </w:r>
    <w:r w:rsidR="001E0888" w:rsidRPr="00CE6315">
      <w:rPr>
        <w:rFonts w:ascii="Times New Roman" w:hAnsi="Times New Roman" w:cs="Times New Roman"/>
        <w:sz w:val="20"/>
        <w:szCs w:val="20"/>
      </w:rPr>
      <w:t>(VSS-1224)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C7" w:rsidRDefault="004961C7" w:rsidP="00A26C08">
      <w:pPr>
        <w:spacing w:after="0" w:line="240" w:lineRule="auto"/>
      </w:pPr>
      <w:r>
        <w:separator/>
      </w:r>
    </w:p>
  </w:footnote>
  <w:footnote w:type="continuationSeparator" w:id="0">
    <w:p w:rsidR="004961C7" w:rsidRDefault="004961C7" w:rsidP="00A2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7A6" w:rsidRDefault="00CA57A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CA57A6" w:rsidRDefault="00CA57A6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7A6" w:rsidRDefault="00CA57A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E6315">
      <w:rPr>
        <w:rStyle w:val="Lappusesnumurs"/>
        <w:noProof/>
      </w:rPr>
      <w:t>4</w:t>
    </w:r>
    <w:r>
      <w:rPr>
        <w:rStyle w:val="Lappusesnumurs"/>
      </w:rPr>
      <w:fldChar w:fldCharType="end"/>
    </w:r>
  </w:p>
  <w:p w:rsidR="00CA57A6" w:rsidRPr="00CE6315" w:rsidRDefault="00CA57A6">
    <w:pPr>
      <w:pStyle w:val="Galvene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08"/>
    <w:rsid w:val="000037A3"/>
    <w:rsid w:val="00040F12"/>
    <w:rsid w:val="0004176E"/>
    <w:rsid w:val="0004674C"/>
    <w:rsid w:val="000767A0"/>
    <w:rsid w:val="00090541"/>
    <w:rsid w:val="000E45BB"/>
    <w:rsid w:val="001331E4"/>
    <w:rsid w:val="00136660"/>
    <w:rsid w:val="001912CE"/>
    <w:rsid w:val="00192D82"/>
    <w:rsid w:val="001C2553"/>
    <w:rsid w:val="001D52BC"/>
    <w:rsid w:val="001D6CF8"/>
    <w:rsid w:val="001D7AE0"/>
    <w:rsid w:val="001E0888"/>
    <w:rsid w:val="00204926"/>
    <w:rsid w:val="0022458B"/>
    <w:rsid w:val="00242151"/>
    <w:rsid w:val="00253F86"/>
    <w:rsid w:val="00264785"/>
    <w:rsid w:val="002B2C65"/>
    <w:rsid w:val="00314873"/>
    <w:rsid w:val="00334CEC"/>
    <w:rsid w:val="00340BE8"/>
    <w:rsid w:val="003571BE"/>
    <w:rsid w:val="00365808"/>
    <w:rsid w:val="003A76FA"/>
    <w:rsid w:val="003D0D41"/>
    <w:rsid w:val="003D1DC8"/>
    <w:rsid w:val="00416C6A"/>
    <w:rsid w:val="0045080B"/>
    <w:rsid w:val="00453356"/>
    <w:rsid w:val="004829FC"/>
    <w:rsid w:val="004839AE"/>
    <w:rsid w:val="004961C7"/>
    <w:rsid w:val="004B0720"/>
    <w:rsid w:val="004D3B80"/>
    <w:rsid w:val="00540D20"/>
    <w:rsid w:val="00576024"/>
    <w:rsid w:val="005A5422"/>
    <w:rsid w:val="005B2032"/>
    <w:rsid w:val="005C2DA7"/>
    <w:rsid w:val="00644EC8"/>
    <w:rsid w:val="00681A17"/>
    <w:rsid w:val="0069765F"/>
    <w:rsid w:val="006C3A4A"/>
    <w:rsid w:val="006C4E33"/>
    <w:rsid w:val="006D1B2C"/>
    <w:rsid w:val="00721D94"/>
    <w:rsid w:val="007623D2"/>
    <w:rsid w:val="007B3F7F"/>
    <w:rsid w:val="00805E29"/>
    <w:rsid w:val="0087575A"/>
    <w:rsid w:val="00886C90"/>
    <w:rsid w:val="00903043"/>
    <w:rsid w:val="00910A47"/>
    <w:rsid w:val="00916804"/>
    <w:rsid w:val="009B340D"/>
    <w:rsid w:val="009B7756"/>
    <w:rsid w:val="009C167F"/>
    <w:rsid w:val="009C2374"/>
    <w:rsid w:val="009E434B"/>
    <w:rsid w:val="00A10F57"/>
    <w:rsid w:val="00A2355F"/>
    <w:rsid w:val="00A26C08"/>
    <w:rsid w:val="00A925C0"/>
    <w:rsid w:val="00AB5207"/>
    <w:rsid w:val="00AE232C"/>
    <w:rsid w:val="00B40C53"/>
    <w:rsid w:val="00B4688E"/>
    <w:rsid w:val="00B872C1"/>
    <w:rsid w:val="00BA5E15"/>
    <w:rsid w:val="00BB70F2"/>
    <w:rsid w:val="00BD4E31"/>
    <w:rsid w:val="00C303D3"/>
    <w:rsid w:val="00C763FC"/>
    <w:rsid w:val="00CA449F"/>
    <w:rsid w:val="00CA57A6"/>
    <w:rsid w:val="00CE6315"/>
    <w:rsid w:val="00D35DBF"/>
    <w:rsid w:val="00D66BD3"/>
    <w:rsid w:val="00DA54A1"/>
    <w:rsid w:val="00DC14BD"/>
    <w:rsid w:val="00DF1231"/>
    <w:rsid w:val="00E035EE"/>
    <w:rsid w:val="00E3099F"/>
    <w:rsid w:val="00E328A3"/>
    <w:rsid w:val="00E52472"/>
    <w:rsid w:val="00E62623"/>
    <w:rsid w:val="00E837AA"/>
    <w:rsid w:val="00E9047F"/>
    <w:rsid w:val="00EA1E44"/>
    <w:rsid w:val="00EE0DE9"/>
    <w:rsid w:val="00EE33DA"/>
    <w:rsid w:val="00F12D63"/>
    <w:rsid w:val="00F243A8"/>
    <w:rsid w:val="00F316D9"/>
    <w:rsid w:val="00F351EF"/>
    <w:rsid w:val="00F7549F"/>
    <w:rsid w:val="00F771AC"/>
    <w:rsid w:val="00F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5:docId w15:val="{28503B2E-D016-4572-8FAA-1C8C48B9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26C0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26C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26C08"/>
  </w:style>
  <w:style w:type="paragraph" w:styleId="Kjene">
    <w:name w:val="footer"/>
    <w:basedOn w:val="Parasts"/>
    <w:link w:val="KjeneRakstz"/>
    <w:uiPriority w:val="99"/>
    <w:unhideWhenUsed/>
    <w:rsid w:val="00A26C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26C08"/>
  </w:style>
  <w:style w:type="character" w:styleId="Lappusesnumurs">
    <w:name w:val="page number"/>
    <w:rsid w:val="00A26C08"/>
  </w:style>
  <w:style w:type="paragraph" w:styleId="Balonteksts">
    <w:name w:val="Balloon Text"/>
    <w:basedOn w:val="Parasts"/>
    <w:link w:val="BalontekstsRakstz"/>
    <w:uiPriority w:val="99"/>
    <w:semiHidden/>
    <w:unhideWhenUsed/>
    <w:rsid w:val="006D1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D1B2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6D1B2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35">
    <w:name w:val="t35"/>
    <w:rsid w:val="006D1B2C"/>
  </w:style>
  <w:style w:type="paragraph" w:customStyle="1" w:styleId="naisf">
    <w:name w:val="naisf"/>
    <w:basedOn w:val="Parasts"/>
    <w:rsid w:val="001D52B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Parasts"/>
    <w:rsid w:val="001D52BC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899</Words>
  <Characters>5964</Characters>
  <Application>Microsoft Office Word</Application>
  <DocSecurity>0</DocSecurity>
  <Lines>397</Lines>
  <Paragraphs>221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Bārs</dc:creator>
  <cp:lastModifiedBy>Antra Dāldere</cp:lastModifiedBy>
  <cp:revision>4</cp:revision>
  <dcterms:created xsi:type="dcterms:W3CDTF">2016-01-04T13:21:00Z</dcterms:created>
  <dcterms:modified xsi:type="dcterms:W3CDTF">2016-01-05T10:11:00Z</dcterms:modified>
</cp:coreProperties>
</file>