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9F" w:rsidRPr="0020145C" w:rsidRDefault="00D05448" w:rsidP="0020145C">
      <w:pPr>
        <w:spacing w:line="240" w:lineRule="auto"/>
        <w:ind w:firstLine="720"/>
        <w:jc w:val="center"/>
        <w:rPr>
          <w:rFonts w:ascii="Times New Roman" w:hAnsi="Times New Roman"/>
          <w:b/>
          <w:sz w:val="24"/>
          <w:szCs w:val="24"/>
        </w:rPr>
      </w:pPr>
      <w:bookmarkStart w:id="0" w:name="OLE_LINK1"/>
      <w:bookmarkStart w:id="1" w:name="OLE_LINK2"/>
      <w:r w:rsidRPr="0020145C">
        <w:rPr>
          <w:rFonts w:ascii="Times New Roman" w:hAnsi="Times New Roman"/>
          <w:b/>
          <w:sz w:val="24"/>
          <w:szCs w:val="24"/>
        </w:rPr>
        <w:t>Ministru kabineta noteikumu projekt</w:t>
      </w:r>
      <w:r w:rsidR="00B45C8D" w:rsidRPr="0020145C">
        <w:rPr>
          <w:rFonts w:ascii="Times New Roman" w:hAnsi="Times New Roman"/>
          <w:b/>
          <w:sz w:val="24"/>
          <w:szCs w:val="24"/>
        </w:rPr>
        <w:t>a</w:t>
      </w:r>
      <w:r w:rsidRPr="0020145C">
        <w:rPr>
          <w:rFonts w:ascii="Times New Roman" w:hAnsi="Times New Roman"/>
          <w:b/>
          <w:sz w:val="24"/>
          <w:szCs w:val="24"/>
        </w:rPr>
        <w:t xml:space="preserve"> </w:t>
      </w:r>
      <w:r w:rsidR="001659BE" w:rsidRPr="0020145C">
        <w:rPr>
          <w:rFonts w:ascii="Times New Roman" w:hAnsi="Times New Roman"/>
          <w:b/>
          <w:sz w:val="24"/>
          <w:szCs w:val="24"/>
        </w:rPr>
        <w:t>„</w:t>
      </w:r>
      <w:r w:rsidR="006C5E77" w:rsidRPr="0020145C">
        <w:rPr>
          <w:rFonts w:ascii="Times New Roman" w:hAnsi="Times New Roman"/>
          <w:b/>
          <w:sz w:val="24"/>
          <w:szCs w:val="24"/>
        </w:rPr>
        <w:t>Grozījumi Ministru kabineta 2015.gada 3.februāra noteikumos Nr.59 „Valsts un Eiropas Savienības atbalsta piešķiršanas kārtība investīciju veicināšanai lauksaimniecībā””</w:t>
      </w:r>
      <w:r w:rsidRPr="0020145C">
        <w:rPr>
          <w:rFonts w:ascii="Times New Roman" w:hAnsi="Times New Roman"/>
          <w:b/>
          <w:sz w:val="24"/>
          <w:szCs w:val="24"/>
        </w:rPr>
        <w:t xml:space="preserve"> sākotnējās ietekmes novērtējuma </w:t>
      </w:r>
      <w:smartTag w:uri="schemas-tilde-lv/tildestengine" w:element="veidnes">
        <w:smartTagPr>
          <w:attr w:name="id" w:val="-1"/>
          <w:attr w:name="baseform" w:val="ziņojums"/>
          <w:attr w:name="text" w:val="ziņojums"/>
        </w:smartTagPr>
        <w:r w:rsidRPr="0020145C">
          <w:rPr>
            <w:rFonts w:ascii="Times New Roman" w:hAnsi="Times New Roman"/>
            <w:b/>
            <w:sz w:val="24"/>
            <w:szCs w:val="24"/>
          </w:rPr>
          <w:t>ziņojums</w:t>
        </w:r>
      </w:smartTag>
      <w:r w:rsidRPr="0020145C">
        <w:rPr>
          <w:rFonts w:ascii="Times New Roman" w:hAnsi="Times New Roman"/>
          <w:b/>
          <w:sz w:val="24"/>
          <w:szCs w:val="24"/>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5C62CD" w:rsidRDefault="005C62CD" w:rsidP="002C3263">
            <w:pPr>
              <w:pStyle w:val="Kjene"/>
              <w:jc w:val="both"/>
              <w:rPr>
                <w:rFonts w:ascii="Times New Roman" w:hAnsi="Times New Roman"/>
                <w:sz w:val="24"/>
                <w:szCs w:val="24"/>
              </w:rPr>
            </w:pPr>
            <w:r w:rsidRPr="005C62CD">
              <w:rPr>
                <w:rFonts w:ascii="Times New Roman" w:hAnsi="Times New Roman"/>
                <w:sz w:val="24"/>
                <w:szCs w:val="24"/>
              </w:rPr>
              <w:t>Lauksaimniecības un lauku attīstības likuma 5.panta 3.</w:t>
            </w:r>
            <w:r w:rsidRPr="005E617B">
              <w:rPr>
                <w:rFonts w:ascii="Times New Roman" w:hAnsi="Times New Roman"/>
                <w:sz w:val="24"/>
                <w:szCs w:val="24"/>
                <w:vertAlign w:val="superscript"/>
              </w:rPr>
              <w:t>1</w:t>
            </w:r>
            <w:r w:rsidRPr="005C62CD">
              <w:rPr>
                <w:rFonts w:ascii="Times New Roman" w:hAnsi="Times New Roman"/>
                <w:sz w:val="24"/>
                <w:szCs w:val="24"/>
              </w:rPr>
              <w:t xml:space="preserve"> un ceturt</w:t>
            </w:r>
            <w:r>
              <w:rPr>
                <w:rFonts w:ascii="Times New Roman" w:hAnsi="Times New Roman"/>
                <w:sz w:val="24"/>
                <w:szCs w:val="24"/>
              </w:rPr>
              <w:t>ā</w:t>
            </w:r>
            <w:r w:rsidRPr="005C62CD">
              <w:rPr>
                <w:rFonts w:ascii="Times New Roman" w:hAnsi="Times New Roman"/>
                <w:sz w:val="24"/>
                <w:szCs w:val="24"/>
              </w:rPr>
              <w:t xml:space="preserve"> daļ</w:t>
            </w:r>
            <w:r>
              <w:rPr>
                <w:rFonts w:ascii="Times New Roman" w:hAnsi="Times New Roman"/>
                <w:sz w:val="24"/>
                <w:szCs w:val="24"/>
              </w:rPr>
              <w:t>a;</w:t>
            </w:r>
          </w:p>
          <w:p w:rsidR="005C62CD" w:rsidRDefault="002C3263" w:rsidP="002C3263">
            <w:pPr>
              <w:pStyle w:val="Kjene"/>
              <w:jc w:val="both"/>
              <w:rPr>
                <w:rFonts w:ascii="Times New Roman" w:hAnsi="Times New Roman"/>
                <w:sz w:val="24"/>
                <w:szCs w:val="24"/>
              </w:rPr>
            </w:pPr>
            <w:r w:rsidRPr="00B5180C">
              <w:rPr>
                <w:rFonts w:ascii="Times New Roman" w:hAnsi="Times New Roman"/>
                <w:sz w:val="24"/>
                <w:szCs w:val="24"/>
              </w:rPr>
              <w:t>Ministru kabineta 2015.gada 3.februāra noteikumi Nr.59 „Valsts un Eiropas Savienības atbalsta piešķiršanas kārtība investīciju veicināšanai lauksaimniecībā”</w:t>
            </w:r>
            <w:r w:rsidR="005C62CD">
              <w:rPr>
                <w:rFonts w:ascii="Times New Roman" w:hAnsi="Times New Roman"/>
                <w:sz w:val="24"/>
                <w:szCs w:val="24"/>
              </w:rPr>
              <w:t>;</w:t>
            </w:r>
          </w:p>
          <w:p w:rsidR="006F5F9F" w:rsidRPr="004A07AB" w:rsidRDefault="006F5F9F" w:rsidP="005C62CD">
            <w:pPr>
              <w:pStyle w:val="Kjene"/>
              <w:jc w:val="both"/>
              <w:rPr>
                <w:rFonts w:ascii="Times New Roman" w:hAnsi="Times New Roman"/>
                <w:sz w:val="24"/>
                <w:szCs w:val="24"/>
                <w:lang w:eastAsia="lv-LV"/>
              </w:rPr>
            </w:pPr>
            <w:r w:rsidRPr="00EC59B6">
              <w:rPr>
                <w:rFonts w:ascii="Times New Roman" w:hAnsi="Times New Roman"/>
                <w:sz w:val="24"/>
              </w:rPr>
              <w:t xml:space="preserve"> </w:t>
            </w:r>
            <w:r w:rsidR="005C62CD" w:rsidRPr="00C533E3">
              <w:rPr>
                <w:rFonts w:ascii="Times New Roman" w:hAnsi="Times New Roman"/>
                <w:sz w:val="24"/>
                <w:szCs w:val="24"/>
              </w:rPr>
              <w:t>Ministru kabineta 2015.gada 21.oktobra rīkojum</w:t>
            </w:r>
            <w:r w:rsidR="005C62CD">
              <w:rPr>
                <w:rFonts w:ascii="Times New Roman" w:hAnsi="Times New Roman"/>
                <w:sz w:val="24"/>
                <w:szCs w:val="24"/>
              </w:rPr>
              <w:t>s</w:t>
            </w:r>
            <w:r w:rsidR="005C62CD" w:rsidRPr="00C533E3">
              <w:rPr>
                <w:rFonts w:ascii="Times New Roman" w:hAnsi="Times New Roman"/>
                <w:sz w:val="24"/>
                <w:szCs w:val="24"/>
              </w:rPr>
              <w:t xml:space="preserve"> Nr.640 „Par atvasinātu publisku personu „Valsts Priekuļu laukaugu selekcijas institūts”, „Valsts Stendes graudaugu selekcijas institūts”, „Latvijas Valsts agrārās ekonomikas institūts” un „Latvijas Valsts augļkopības institūts” reorganizāciju”</w:t>
            </w:r>
            <w:r w:rsidR="005C62CD">
              <w:rPr>
                <w:rFonts w:ascii="Times New Roman" w:hAnsi="Times New Roman"/>
                <w:sz w:val="24"/>
                <w:szCs w:val="24"/>
              </w:rPr>
              <w:t>.</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6C5E77" w:rsidRDefault="006C5E77" w:rsidP="006C5E77">
            <w:pPr>
              <w:spacing w:after="0" w:line="240" w:lineRule="auto"/>
              <w:jc w:val="both"/>
              <w:rPr>
                <w:rFonts w:ascii="Times New Roman" w:hAnsi="Times New Roman"/>
                <w:sz w:val="24"/>
                <w:szCs w:val="24"/>
              </w:rPr>
            </w:pPr>
            <w:r w:rsidRPr="00B5180C">
              <w:rPr>
                <w:rFonts w:ascii="Times New Roman" w:hAnsi="Times New Roman"/>
                <w:sz w:val="24"/>
                <w:szCs w:val="24"/>
              </w:rPr>
              <w:t>Spēkā esošie Ministru kabineta 2015.</w:t>
            </w:r>
            <w:r w:rsidR="00476070">
              <w:rPr>
                <w:rFonts w:ascii="Times New Roman" w:hAnsi="Times New Roman"/>
                <w:sz w:val="24"/>
                <w:szCs w:val="24"/>
              </w:rPr>
              <w:t xml:space="preserve"> </w:t>
            </w:r>
            <w:r w:rsidRPr="00B5180C">
              <w:rPr>
                <w:rFonts w:ascii="Times New Roman" w:hAnsi="Times New Roman"/>
                <w:sz w:val="24"/>
                <w:szCs w:val="24"/>
              </w:rPr>
              <w:t>gada 3.</w:t>
            </w:r>
            <w:r w:rsidR="00476070">
              <w:rPr>
                <w:rFonts w:ascii="Times New Roman" w:hAnsi="Times New Roman"/>
                <w:sz w:val="24"/>
                <w:szCs w:val="24"/>
              </w:rPr>
              <w:t xml:space="preserve"> </w:t>
            </w:r>
            <w:r w:rsidRPr="00B5180C">
              <w:rPr>
                <w:rFonts w:ascii="Times New Roman" w:hAnsi="Times New Roman"/>
                <w:sz w:val="24"/>
                <w:szCs w:val="24"/>
              </w:rPr>
              <w:t>februāra noteikumi Nr.</w:t>
            </w:r>
            <w:r w:rsidR="00476070">
              <w:rPr>
                <w:rFonts w:ascii="Times New Roman" w:hAnsi="Times New Roman"/>
                <w:sz w:val="24"/>
                <w:szCs w:val="24"/>
              </w:rPr>
              <w:t xml:space="preserve"> </w:t>
            </w:r>
            <w:r w:rsidRPr="00B5180C">
              <w:rPr>
                <w:rFonts w:ascii="Times New Roman" w:hAnsi="Times New Roman"/>
                <w:sz w:val="24"/>
                <w:szCs w:val="24"/>
              </w:rPr>
              <w:t>59 „Valsts un Eiropas Savienības atbalsta piešķiršanas kārtība investīciju veicināšanai lauksaimniecībā” (turpmāk – noteikumi Nr.</w:t>
            </w:r>
            <w:r w:rsidR="00476070">
              <w:rPr>
                <w:rFonts w:ascii="Times New Roman" w:hAnsi="Times New Roman"/>
                <w:sz w:val="24"/>
                <w:szCs w:val="24"/>
              </w:rPr>
              <w:t xml:space="preserve"> </w:t>
            </w:r>
            <w:r w:rsidRPr="00B5180C">
              <w:rPr>
                <w:rFonts w:ascii="Times New Roman" w:hAnsi="Times New Roman"/>
                <w:sz w:val="24"/>
                <w:szCs w:val="24"/>
              </w:rPr>
              <w:t xml:space="preserve">59) nosaka kārtību, kādā piešķir valsts un Eiropas Savienības atbalstu, kā arī atbalsta piešķiršanas kritērijus un </w:t>
            </w:r>
            <w:r w:rsidR="002C3263">
              <w:rPr>
                <w:rFonts w:ascii="Times New Roman" w:hAnsi="Times New Roman"/>
                <w:sz w:val="24"/>
                <w:szCs w:val="24"/>
              </w:rPr>
              <w:t xml:space="preserve">atbalsta </w:t>
            </w:r>
            <w:r w:rsidRPr="00B5180C">
              <w:rPr>
                <w:rFonts w:ascii="Times New Roman" w:hAnsi="Times New Roman"/>
                <w:sz w:val="24"/>
                <w:szCs w:val="24"/>
              </w:rPr>
              <w:t>apmēru</w:t>
            </w:r>
            <w:r w:rsidR="002C3263">
              <w:rPr>
                <w:rFonts w:ascii="Times New Roman" w:hAnsi="Times New Roman"/>
                <w:sz w:val="24"/>
                <w:szCs w:val="24"/>
              </w:rPr>
              <w:t xml:space="preserve"> 2015.</w:t>
            </w:r>
            <w:r w:rsidR="00476070">
              <w:rPr>
                <w:rFonts w:ascii="Times New Roman" w:hAnsi="Times New Roman"/>
                <w:sz w:val="24"/>
                <w:szCs w:val="24"/>
              </w:rPr>
              <w:t xml:space="preserve"> </w:t>
            </w:r>
            <w:r w:rsidR="002C3263">
              <w:rPr>
                <w:rFonts w:ascii="Times New Roman" w:hAnsi="Times New Roman"/>
                <w:sz w:val="24"/>
                <w:szCs w:val="24"/>
              </w:rPr>
              <w:t>gadam</w:t>
            </w:r>
            <w:r w:rsidRPr="00B5180C">
              <w:rPr>
                <w:rFonts w:ascii="Times New Roman" w:hAnsi="Times New Roman"/>
                <w:sz w:val="24"/>
                <w:szCs w:val="24"/>
              </w:rPr>
              <w:t>.</w:t>
            </w:r>
          </w:p>
          <w:p w:rsidR="002C3263" w:rsidRDefault="002C3263" w:rsidP="006C5E77">
            <w:pPr>
              <w:spacing w:after="0" w:line="240" w:lineRule="auto"/>
              <w:jc w:val="both"/>
              <w:rPr>
                <w:rFonts w:ascii="Times New Roman" w:hAnsi="Times New Roman"/>
                <w:sz w:val="24"/>
                <w:szCs w:val="24"/>
              </w:rPr>
            </w:pPr>
            <w:r>
              <w:rPr>
                <w:rFonts w:ascii="Times New Roman" w:hAnsi="Times New Roman"/>
                <w:sz w:val="24"/>
                <w:szCs w:val="24"/>
              </w:rPr>
              <w:t>Lai nodrošinātu atbalstu arī 2016.</w:t>
            </w:r>
            <w:r w:rsidR="00476070">
              <w:rPr>
                <w:rFonts w:ascii="Times New Roman" w:hAnsi="Times New Roman"/>
                <w:sz w:val="24"/>
                <w:szCs w:val="24"/>
              </w:rPr>
              <w:t xml:space="preserve"> </w:t>
            </w:r>
            <w:r>
              <w:rPr>
                <w:rFonts w:ascii="Times New Roman" w:hAnsi="Times New Roman"/>
                <w:sz w:val="24"/>
                <w:szCs w:val="24"/>
              </w:rPr>
              <w:t xml:space="preserve">gadā saskaņā ar </w:t>
            </w:r>
            <w:r w:rsidRPr="00B5180C">
              <w:rPr>
                <w:rFonts w:ascii="Times New Roman" w:hAnsi="Times New Roman"/>
                <w:sz w:val="24"/>
                <w:szCs w:val="24"/>
              </w:rPr>
              <w:t xml:space="preserve"> noteikum</w:t>
            </w:r>
            <w:r>
              <w:rPr>
                <w:rFonts w:ascii="Times New Roman" w:hAnsi="Times New Roman"/>
                <w:sz w:val="24"/>
                <w:szCs w:val="24"/>
              </w:rPr>
              <w:t>iem</w:t>
            </w:r>
            <w:r w:rsidRPr="00B5180C">
              <w:rPr>
                <w:rFonts w:ascii="Times New Roman" w:hAnsi="Times New Roman"/>
                <w:sz w:val="24"/>
                <w:szCs w:val="24"/>
              </w:rPr>
              <w:t xml:space="preserve"> Nr.</w:t>
            </w:r>
            <w:r w:rsidR="00476070">
              <w:rPr>
                <w:rFonts w:ascii="Times New Roman" w:hAnsi="Times New Roman"/>
                <w:sz w:val="24"/>
                <w:szCs w:val="24"/>
              </w:rPr>
              <w:t xml:space="preserve"> </w:t>
            </w:r>
            <w:r w:rsidRPr="00B5180C">
              <w:rPr>
                <w:rFonts w:ascii="Times New Roman" w:hAnsi="Times New Roman"/>
                <w:sz w:val="24"/>
                <w:szCs w:val="24"/>
              </w:rPr>
              <w:t>59</w:t>
            </w:r>
            <w:r w:rsidR="00842CB7">
              <w:rPr>
                <w:rFonts w:ascii="Times New Roman" w:hAnsi="Times New Roman"/>
                <w:sz w:val="24"/>
                <w:szCs w:val="24"/>
              </w:rPr>
              <w:t>,</w:t>
            </w:r>
            <w:r>
              <w:rPr>
                <w:rFonts w:ascii="Times New Roman" w:hAnsi="Times New Roman"/>
                <w:sz w:val="24"/>
                <w:szCs w:val="24"/>
              </w:rPr>
              <w:t xml:space="preserve"> nepieciešams </w:t>
            </w:r>
            <w:r w:rsidR="00702251">
              <w:rPr>
                <w:rFonts w:ascii="Times New Roman" w:hAnsi="Times New Roman"/>
                <w:sz w:val="24"/>
                <w:szCs w:val="24"/>
              </w:rPr>
              <w:t>izdarīt</w:t>
            </w:r>
            <w:r>
              <w:rPr>
                <w:rFonts w:ascii="Times New Roman" w:hAnsi="Times New Roman"/>
                <w:sz w:val="24"/>
                <w:szCs w:val="24"/>
              </w:rPr>
              <w:t xml:space="preserve"> grozījumus</w:t>
            </w:r>
            <w:r w:rsidR="00842CB7">
              <w:rPr>
                <w:rFonts w:ascii="Times New Roman" w:hAnsi="Times New Roman"/>
                <w:sz w:val="24"/>
                <w:szCs w:val="24"/>
              </w:rPr>
              <w:t>,</w:t>
            </w:r>
            <w:r>
              <w:rPr>
                <w:rFonts w:ascii="Times New Roman" w:hAnsi="Times New Roman"/>
                <w:sz w:val="24"/>
                <w:szCs w:val="24"/>
              </w:rPr>
              <w:t xml:space="preserve"> </w:t>
            </w:r>
            <w:r w:rsidR="009347A1">
              <w:rPr>
                <w:rFonts w:ascii="Times New Roman" w:hAnsi="Times New Roman"/>
                <w:sz w:val="24"/>
                <w:szCs w:val="24"/>
              </w:rPr>
              <w:t>precizējot finansējumu</w:t>
            </w:r>
            <w:r w:rsidR="009F7371">
              <w:rPr>
                <w:rFonts w:ascii="Times New Roman" w:hAnsi="Times New Roman"/>
                <w:sz w:val="24"/>
                <w:szCs w:val="24"/>
              </w:rPr>
              <w:t>,</w:t>
            </w:r>
            <w:r w:rsidR="009347A1">
              <w:rPr>
                <w:rFonts w:ascii="Times New Roman" w:hAnsi="Times New Roman"/>
                <w:sz w:val="24"/>
                <w:szCs w:val="24"/>
              </w:rPr>
              <w:t xml:space="preserve"> periodu</w:t>
            </w:r>
            <w:r w:rsidR="00702251">
              <w:rPr>
                <w:rFonts w:ascii="Times New Roman" w:hAnsi="Times New Roman"/>
                <w:sz w:val="24"/>
                <w:szCs w:val="24"/>
              </w:rPr>
              <w:t>,</w:t>
            </w:r>
            <w:r w:rsidR="009347A1">
              <w:rPr>
                <w:rFonts w:ascii="Times New Roman" w:hAnsi="Times New Roman"/>
                <w:sz w:val="24"/>
                <w:szCs w:val="24"/>
              </w:rPr>
              <w:t xml:space="preserve"> par kuru tiek sniegts atbalsts</w:t>
            </w:r>
            <w:r w:rsidR="009F7371">
              <w:rPr>
                <w:rFonts w:ascii="Times New Roman" w:hAnsi="Times New Roman"/>
                <w:sz w:val="24"/>
                <w:szCs w:val="24"/>
              </w:rPr>
              <w:t>,</w:t>
            </w:r>
            <w:r w:rsidR="009347A1">
              <w:rPr>
                <w:rFonts w:ascii="Times New Roman" w:hAnsi="Times New Roman"/>
                <w:sz w:val="24"/>
                <w:szCs w:val="24"/>
              </w:rPr>
              <w:t xml:space="preserve"> un pieteikšanās termiņ</w:t>
            </w:r>
            <w:r w:rsidR="009F7371">
              <w:rPr>
                <w:rFonts w:ascii="Times New Roman" w:hAnsi="Times New Roman"/>
                <w:sz w:val="24"/>
                <w:szCs w:val="24"/>
              </w:rPr>
              <w:t>u</w:t>
            </w:r>
            <w:r w:rsidR="009347A1">
              <w:rPr>
                <w:rFonts w:ascii="Times New Roman" w:hAnsi="Times New Roman"/>
                <w:sz w:val="24"/>
                <w:szCs w:val="24"/>
              </w:rPr>
              <w:t>.</w:t>
            </w:r>
          </w:p>
          <w:p w:rsidR="00215832" w:rsidRDefault="00215832" w:rsidP="006C5E77">
            <w:pPr>
              <w:spacing w:after="0" w:line="240" w:lineRule="auto"/>
              <w:jc w:val="both"/>
              <w:rPr>
                <w:rFonts w:ascii="Times New Roman" w:hAnsi="Times New Roman"/>
                <w:sz w:val="24"/>
                <w:szCs w:val="24"/>
              </w:rPr>
            </w:pPr>
            <w:r>
              <w:rPr>
                <w:rFonts w:ascii="Times New Roman" w:hAnsi="Times New Roman"/>
                <w:sz w:val="24"/>
                <w:szCs w:val="24"/>
              </w:rPr>
              <w:t>Ar grozījumu projektu tiek precizēts noteikumu Nr.59 3.punkts, kur:</w:t>
            </w:r>
          </w:p>
          <w:p w:rsidR="00215832" w:rsidRDefault="00215832" w:rsidP="005E617B">
            <w:pPr>
              <w:pStyle w:val="Sarakstarindkopa"/>
              <w:numPr>
                <w:ilvl w:val="0"/>
                <w:numId w:val="8"/>
              </w:numPr>
              <w:spacing w:after="0" w:line="240" w:lineRule="auto"/>
              <w:ind w:left="246" w:hanging="246"/>
              <w:jc w:val="both"/>
              <w:rPr>
                <w:rFonts w:ascii="Times New Roman" w:hAnsi="Times New Roman"/>
                <w:sz w:val="24"/>
                <w:szCs w:val="24"/>
              </w:rPr>
            </w:pPr>
            <w:r>
              <w:rPr>
                <w:rFonts w:ascii="Times New Roman" w:hAnsi="Times New Roman"/>
                <w:sz w:val="24"/>
                <w:szCs w:val="24"/>
              </w:rPr>
              <w:t xml:space="preserve">ņemot iepriekšējā perioda rezultātus, tiek precizēts finansējums pa atbalsta saņēmēju grupām. Par 300 000 </w:t>
            </w:r>
            <w:r w:rsidRPr="005E617B">
              <w:rPr>
                <w:rFonts w:ascii="Times New Roman" w:hAnsi="Times New Roman"/>
                <w:i/>
                <w:sz w:val="24"/>
                <w:szCs w:val="24"/>
              </w:rPr>
              <w:t>euro</w:t>
            </w:r>
            <w:r>
              <w:rPr>
                <w:rFonts w:ascii="Times New Roman" w:hAnsi="Times New Roman"/>
                <w:sz w:val="24"/>
                <w:szCs w:val="24"/>
              </w:rPr>
              <w:t xml:space="preserve"> tiek palielināts finansējums ar pētījumu un laboratorisko analīžu veikšanu saistītās materiālās bāzes pilnveidošanai, attiecīgi samazinot finansējumu primāro lauksaimniecības produktu ražotājiem; </w:t>
            </w:r>
          </w:p>
          <w:p w:rsidR="00215832" w:rsidRPr="005E617B" w:rsidRDefault="00D55AAC" w:rsidP="005E617B">
            <w:pPr>
              <w:pStyle w:val="Sarakstarindkopa"/>
              <w:numPr>
                <w:ilvl w:val="0"/>
                <w:numId w:val="8"/>
              </w:numPr>
              <w:spacing w:after="0" w:line="240" w:lineRule="auto"/>
              <w:ind w:left="246" w:hanging="246"/>
              <w:jc w:val="both"/>
              <w:rPr>
                <w:rFonts w:ascii="Times New Roman" w:hAnsi="Times New Roman"/>
                <w:sz w:val="24"/>
                <w:szCs w:val="24"/>
              </w:rPr>
            </w:pPr>
            <w:r>
              <w:rPr>
                <w:rFonts w:ascii="Times New Roman" w:hAnsi="Times New Roman"/>
                <w:sz w:val="24"/>
                <w:szCs w:val="24"/>
              </w:rPr>
              <w:t>tiek papildināts lauksaimniecības produktu pārstrādes komersantu loks ar papildu saimnieciskās darbības klasifikācijas kodiem.</w:t>
            </w:r>
          </w:p>
          <w:p w:rsidR="00ED4A2B" w:rsidRDefault="008F20DD" w:rsidP="00B5180C">
            <w:pPr>
              <w:spacing w:after="0" w:line="240" w:lineRule="auto"/>
              <w:jc w:val="both"/>
              <w:rPr>
                <w:rFonts w:ascii="Times New Roman" w:hAnsi="Times New Roman"/>
                <w:sz w:val="24"/>
                <w:szCs w:val="24"/>
              </w:rPr>
            </w:pPr>
            <w:r w:rsidRPr="00B5180C">
              <w:rPr>
                <w:rFonts w:ascii="Times New Roman" w:hAnsi="Times New Roman"/>
                <w:sz w:val="24"/>
                <w:szCs w:val="24"/>
              </w:rPr>
              <w:t>Saskaņā ar Eiropas Komisi</w:t>
            </w:r>
            <w:r w:rsidR="00386250">
              <w:rPr>
                <w:rFonts w:ascii="Times New Roman" w:hAnsi="Times New Roman"/>
                <w:sz w:val="24"/>
                <w:szCs w:val="24"/>
              </w:rPr>
              <w:t>jas lēmumu Nr.</w:t>
            </w:r>
            <w:r w:rsidR="00476070">
              <w:rPr>
                <w:rFonts w:ascii="Times New Roman" w:hAnsi="Times New Roman"/>
                <w:sz w:val="24"/>
                <w:szCs w:val="24"/>
              </w:rPr>
              <w:t xml:space="preserve"> </w:t>
            </w:r>
            <w:r w:rsidR="00386250">
              <w:rPr>
                <w:rFonts w:ascii="Times New Roman" w:hAnsi="Times New Roman"/>
                <w:sz w:val="24"/>
                <w:szCs w:val="24"/>
              </w:rPr>
              <w:t xml:space="preserve">SA.41388 (2015/N) </w:t>
            </w:r>
            <w:r w:rsidR="00B5180C" w:rsidRPr="00B5180C">
              <w:rPr>
                <w:rFonts w:ascii="Times New Roman" w:hAnsi="Times New Roman"/>
                <w:sz w:val="24"/>
                <w:szCs w:val="24"/>
              </w:rPr>
              <w:t>precizēt</w:t>
            </w:r>
            <w:r w:rsidR="009347A1">
              <w:rPr>
                <w:rFonts w:ascii="Times New Roman" w:hAnsi="Times New Roman"/>
                <w:sz w:val="24"/>
                <w:szCs w:val="24"/>
              </w:rPr>
              <w:t>s</w:t>
            </w:r>
            <w:r w:rsidR="00B5180C" w:rsidRPr="00B5180C">
              <w:rPr>
                <w:rFonts w:ascii="Times New Roman" w:hAnsi="Times New Roman"/>
                <w:sz w:val="24"/>
                <w:szCs w:val="24"/>
              </w:rPr>
              <w:t xml:space="preserve"> </w:t>
            </w:r>
            <w:r w:rsidRPr="00B5180C">
              <w:rPr>
                <w:rFonts w:ascii="Times New Roman" w:hAnsi="Times New Roman"/>
                <w:sz w:val="24"/>
                <w:szCs w:val="24"/>
              </w:rPr>
              <w:t>noteikumu</w:t>
            </w:r>
            <w:r w:rsidR="009347A1">
              <w:rPr>
                <w:rFonts w:ascii="Times New Roman" w:hAnsi="Times New Roman"/>
                <w:sz w:val="24"/>
                <w:szCs w:val="24"/>
              </w:rPr>
              <w:t xml:space="preserve"> Nr.</w:t>
            </w:r>
            <w:r w:rsidR="00476070">
              <w:rPr>
                <w:rFonts w:ascii="Times New Roman" w:hAnsi="Times New Roman"/>
                <w:sz w:val="24"/>
                <w:szCs w:val="24"/>
              </w:rPr>
              <w:t xml:space="preserve"> </w:t>
            </w:r>
            <w:r w:rsidR="009347A1">
              <w:rPr>
                <w:rFonts w:ascii="Times New Roman" w:hAnsi="Times New Roman"/>
                <w:sz w:val="24"/>
                <w:szCs w:val="24"/>
              </w:rPr>
              <w:t>59 5.</w:t>
            </w:r>
            <w:r w:rsidR="009F7371">
              <w:rPr>
                <w:rFonts w:ascii="Times New Roman" w:hAnsi="Times New Roman"/>
                <w:sz w:val="24"/>
                <w:szCs w:val="24"/>
              </w:rPr>
              <w:t> </w:t>
            </w:r>
            <w:r w:rsidR="009347A1">
              <w:rPr>
                <w:rFonts w:ascii="Times New Roman" w:hAnsi="Times New Roman"/>
                <w:sz w:val="24"/>
                <w:szCs w:val="24"/>
              </w:rPr>
              <w:t>punkts</w:t>
            </w:r>
            <w:r w:rsidR="009F7371">
              <w:rPr>
                <w:rFonts w:ascii="Times New Roman" w:hAnsi="Times New Roman"/>
                <w:sz w:val="24"/>
                <w:szCs w:val="24"/>
              </w:rPr>
              <w:t>,</w:t>
            </w:r>
            <w:r w:rsidR="009347A1">
              <w:rPr>
                <w:rFonts w:ascii="Times New Roman" w:hAnsi="Times New Roman"/>
                <w:sz w:val="24"/>
                <w:szCs w:val="24"/>
              </w:rPr>
              <w:t xml:space="preserve"> paredzot visiem atbalsta pasākumiem</w:t>
            </w:r>
            <w:r w:rsidR="00386250">
              <w:rPr>
                <w:rFonts w:ascii="Times New Roman" w:hAnsi="Times New Roman"/>
                <w:sz w:val="24"/>
                <w:szCs w:val="24"/>
              </w:rPr>
              <w:t xml:space="preserve"> nosacījumu, ka </w:t>
            </w:r>
            <w:r w:rsidR="00386250" w:rsidRPr="00386250">
              <w:rPr>
                <w:rFonts w:ascii="Times New Roman" w:hAnsi="Times New Roman"/>
                <w:sz w:val="24"/>
                <w:szCs w:val="24"/>
              </w:rPr>
              <w:t>attaisnotajos izdevumos iekļauj pievienotās vērtības nodokli, ja tas nav atgūstams no valsts budžeta</w:t>
            </w:r>
            <w:r w:rsidR="00B5180C" w:rsidRPr="00B5180C">
              <w:rPr>
                <w:rFonts w:ascii="Times New Roman" w:hAnsi="Times New Roman"/>
                <w:sz w:val="24"/>
                <w:szCs w:val="24"/>
              </w:rPr>
              <w:t>.</w:t>
            </w:r>
          </w:p>
          <w:p w:rsidR="00B5180C" w:rsidRDefault="00ED4A2B" w:rsidP="00B5180C">
            <w:pPr>
              <w:spacing w:after="0" w:line="240" w:lineRule="auto"/>
              <w:jc w:val="both"/>
              <w:rPr>
                <w:rFonts w:ascii="Times New Roman" w:hAnsi="Times New Roman"/>
                <w:sz w:val="24"/>
                <w:szCs w:val="24"/>
              </w:rPr>
            </w:pPr>
            <w:r>
              <w:rPr>
                <w:rFonts w:ascii="Times New Roman" w:hAnsi="Times New Roman"/>
                <w:sz w:val="24"/>
                <w:szCs w:val="24"/>
              </w:rPr>
              <w:t>Noteikumi Nr.59 tiek papildināti ar 7.</w:t>
            </w:r>
            <w:r w:rsidRPr="005E617B">
              <w:rPr>
                <w:rFonts w:ascii="Times New Roman" w:hAnsi="Times New Roman"/>
                <w:sz w:val="24"/>
                <w:szCs w:val="24"/>
                <w:vertAlign w:val="superscript"/>
              </w:rPr>
              <w:t>1</w:t>
            </w:r>
            <w:r>
              <w:rPr>
                <w:rFonts w:ascii="Times New Roman" w:hAnsi="Times New Roman"/>
                <w:sz w:val="24"/>
                <w:szCs w:val="24"/>
              </w:rPr>
              <w:t xml:space="preserve"> punktu</w:t>
            </w:r>
            <w:r w:rsidR="00C57F42">
              <w:rPr>
                <w:rFonts w:ascii="Times New Roman" w:hAnsi="Times New Roman"/>
                <w:sz w:val="24"/>
                <w:szCs w:val="24"/>
              </w:rPr>
              <w:t>, ietverot</w:t>
            </w:r>
            <w:r>
              <w:rPr>
                <w:rFonts w:ascii="Times New Roman" w:hAnsi="Times New Roman"/>
                <w:sz w:val="24"/>
                <w:szCs w:val="24"/>
              </w:rPr>
              <w:t xml:space="preserve"> nosacījumu par </w:t>
            </w:r>
            <w:r w:rsidRPr="00C533E3">
              <w:rPr>
                <w:rFonts w:ascii="Times New Roman" w:hAnsi="Times New Roman"/>
                <w:i/>
                <w:sz w:val="24"/>
                <w:szCs w:val="24"/>
              </w:rPr>
              <w:t>de minimis</w:t>
            </w:r>
            <w:r>
              <w:rPr>
                <w:rFonts w:ascii="Times New Roman" w:hAnsi="Times New Roman"/>
                <w:sz w:val="24"/>
                <w:szCs w:val="24"/>
              </w:rPr>
              <w:t xml:space="preserve"> atbalsta datu uzglabāšanas termiņu, ja šis atbalsts piešķirts saskaņā ar </w:t>
            </w:r>
            <w:r w:rsidRPr="00ED4A2B">
              <w:rPr>
                <w:rFonts w:ascii="Times New Roman" w:hAnsi="Times New Roman"/>
                <w:sz w:val="24"/>
                <w:szCs w:val="24"/>
              </w:rPr>
              <w:t>Komisijas 2013.gada 18.decembra</w:t>
            </w:r>
            <w:r>
              <w:rPr>
                <w:rFonts w:ascii="Times New Roman" w:hAnsi="Times New Roman"/>
                <w:sz w:val="24"/>
                <w:szCs w:val="24"/>
              </w:rPr>
              <w:t xml:space="preserve"> </w:t>
            </w:r>
            <w:r w:rsidRPr="00ED4A2B">
              <w:rPr>
                <w:rFonts w:ascii="Times New Roman" w:hAnsi="Times New Roman"/>
                <w:sz w:val="24"/>
                <w:szCs w:val="24"/>
              </w:rPr>
              <w:t xml:space="preserve">Regulu (ES) Nr.1407/2013 par Līguma par Eiropas Savienības darbību 107. un 108.panta piemērošanu </w:t>
            </w:r>
            <w:r w:rsidRPr="00C533E3">
              <w:rPr>
                <w:rFonts w:ascii="Times New Roman" w:hAnsi="Times New Roman"/>
                <w:i/>
                <w:sz w:val="24"/>
                <w:szCs w:val="24"/>
              </w:rPr>
              <w:t>de minimis</w:t>
            </w:r>
            <w:r w:rsidRPr="00ED4A2B">
              <w:rPr>
                <w:rFonts w:ascii="Times New Roman" w:hAnsi="Times New Roman"/>
                <w:sz w:val="24"/>
                <w:szCs w:val="24"/>
              </w:rPr>
              <w:t xml:space="preserve"> atbalstam (Eiropas Savienības Oficiālais Vēstnesis, 2013.gada 24.decembris, Nr. L 352) </w:t>
            </w:r>
            <w:r w:rsidRPr="00ED4A2B">
              <w:rPr>
                <w:rFonts w:ascii="Times New Roman" w:hAnsi="Times New Roman"/>
                <w:sz w:val="24"/>
                <w:szCs w:val="24"/>
              </w:rPr>
              <w:lastRenderedPageBreak/>
              <w:t>(turpmāk – Komisijas regula Nr.1407/2013)</w:t>
            </w:r>
            <w:r>
              <w:rPr>
                <w:rFonts w:ascii="Times New Roman" w:hAnsi="Times New Roman"/>
                <w:sz w:val="24"/>
                <w:szCs w:val="24"/>
              </w:rPr>
              <w:t>.</w:t>
            </w:r>
          </w:p>
          <w:p w:rsidR="0061128F" w:rsidRDefault="003312F1" w:rsidP="00B5180C">
            <w:pPr>
              <w:spacing w:after="0" w:line="240" w:lineRule="auto"/>
              <w:jc w:val="both"/>
              <w:rPr>
                <w:rFonts w:ascii="Times New Roman" w:hAnsi="Times New Roman"/>
                <w:sz w:val="24"/>
                <w:szCs w:val="24"/>
              </w:rPr>
            </w:pPr>
            <w:r>
              <w:rPr>
                <w:rFonts w:ascii="Times New Roman" w:hAnsi="Times New Roman"/>
                <w:sz w:val="24"/>
                <w:szCs w:val="24"/>
              </w:rPr>
              <w:t>Precizētas noteikumu Nr.59 9.punkta atsauces uz 34.</w:t>
            </w:r>
            <w:r w:rsidRPr="005E617B">
              <w:rPr>
                <w:rFonts w:ascii="Times New Roman" w:hAnsi="Times New Roman"/>
                <w:sz w:val="24"/>
                <w:szCs w:val="24"/>
                <w:vertAlign w:val="superscript"/>
              </w:rPr>
              <w:t>4</w:t>
            </w:r>
            <w:r w:rsidR="00C57F42">
              <w:rPr>
                <w:rFonts w:ascii="Times New Roman" w:hAnsi="Times New Roman"/>
                <w:sz w:val="24"/>
                <w:szCs w:val="24"/>
              </w:rPr>
              <w:t> </w:t>
            </w:r>
            <w:r>
              <w:rPr>
                <w:rFonts w:ascii="Times New Roman" w:hAnsi="Times New Roman"/>
                <w:sz w:val="24"/>
                <w:szCs w:val="24"/>
              </w:rPr>
              <w:t>punktu.</w:t>
            </w:r>
          </w:p>
          <w:p w:rsidR="0061128F" w:rsidRDefault="0061128F" w:rsidP="00B5180C">
            <w:pPr>
              <w:spacing w:after="0" w:line="240" w:lineRule="auto"/>
              <w:jc w:val="both"/>
              <w:rPr>
                <w:rFonts w:ascii="Times New Roman" w:hAnsi="Times New Roman"/>
                <w:sz w:val="24"/>
                <w:szCs w:val="24"/>
              </w:rPr>
            </w:pPr>
            <w:r>
              <w:rPr>
                <w:rFonts w:ascii="Times New Roman" w:hAnsi="Times New Roman"/>
                <w:sz w:val="24"/>
                <w:szCs w:val="24"/>
              </w:rPr>
              <w:t>Noteikumu Nr.59 11.punkts tiek izteikts jaunā redakcijā</w:t>
            </w:r>
            <w:r w:rsidR="00C57F42">
              <w:rPr>
                <w:rFonts w:ascii="Times New Roman" w:hAnsi="Times New Roman"/>
                <w:sz w:val="24"/>
                <w:szCs w:val="24"/>
              </w:rPr>
              <w:t xml:space="preserve"> ar šādiem grozījumiem</w:t>
            </w:r>
            <w:r>
              <w:rPr>
                <w:rFonts w:ascii="Times New Roman" w:hAnsi="Times New Roman"/>
                <w:sz w:val="24"/>
                <w:szCs w:val="24"/>
              </w:rPr>
              <w:t>:</w:t>
            </w:r>
          </w:p>
          <w:p w:rsidR="0061128F" w:rsidRDefault="0061128F" w:rsidP="005E617B">
            <w:pPr>
              <w:pStyle w:val="Sarakstarindkopa"/>
              <w:numPr>
                <w:ilvl w:val="0"/>
                <w:numId w:val="9"/>
              </w:numPr>
              <w:spacing w:after="0" w:line="240" w:lineRule="auto"/>
              <w:ind w:left="246" w:hanging="246"/>
              <w:jc w:val="both"/>
              <w:rPr>
                <w:rFonts w:ascii="Times New Roman" w:hAnsi="Times New Roman"/>
                <w:sz w:val="24"/>
                <w:szCs w:val="24"/>
              </w:rPr>
            </w:pPr>
            <w:r>
              <w:rPr>
                <w:rFonts w:ascii="Times New Roman" w:hAnsi="Times New Roman"/>
                <w:sz w:val="24"/>
                <w:szCs w:val="24"/>
              </w:rPr>
              <w:t>11.5. un 11.</w:t>
            </w:r>
            <w:r w:rsidR="00C57F42">
              <w:rPr>
                <w:rFonts w:ascii="Times New Roman" w:hAnsi="Times New Roman"/>
                <w:sz w:val="24"/>
                <w:szCs w:val="24"/>
              </w:rPr>
              <w:t>7</w:t>
            </w:r>
            <w:r>
              <w:rPr>
                <w:rFonts w:ascii="Times New Roman" w:hAnsi="Times New Roman"/>
                <w:sz w:val="24"/>
                <w:szCs w:val="24"/>
              </w:rPr>
              <w:t xml:space="preserve">. </w:t>
            </w:r>
            <w:r w:rsidR="009A5CDB">
              <w:rPr>
                <w:rFonts w:ascii="Times New Roman" w:hAnsi="Times New Roman"/>
                <w:sz w:val="24"/>
                <w:szCs w:val="24"/>
              </w:rPr>
              <w:t>apakš</w:t>
            </w:r>
            <w:r>
              <w:rPr>
                <w:rFonts w:ascii="Times New Roman" w:hAnsi="Times New Roman"/>
                <w:sz w:val="24"/>
                <w:szCs w:val="24"/>
              </w:rPr>
              <w:t>punktā precizētas atsauces uz 34.</w:t>
            </w:r>
            <w:r w:rsidRPr="005E617B">
              <w:rPr>
                <w:rFonts w:ascii="Times New Roman" w:hAnsi="Times New Roman"/>
                <w:sz w:val="24"/>
                <w:szCs w:val="24"/>
                <w:vertAlign w:val="superscript"/>
              </w:rPr>
              <w:t>4</w:t>
            </w:r>
            <w:r w:rsidR="00C57F42">
              <w:rPr>
                <w:rFonts w:ascii="Times New Roman" w:hAnsi="Times New Roman"/>
                <w:sz w:val="24"/>
                <w:szCs w:val="24"/>
              </w:rPr>
              <w:t> </w:t>
            </w:r>
            <w:r>
              <w:rPr>
                <w:rFonts w:ascii="Times New Roman" w:hAnsi="Times New Roman"/>
                <w:sz w:val="24"/>
                <w:szCs w:val="24"/>
              </w:rPr>
              <w:t>punktu;</w:t>
            </w:r>
          </w:p>
          <w:p w:rsidR="0061128F" w:rsidRDefault="009A5CDB" w:rsidP="005E617B">
            <w:pPr>
              <w:pStyle w:val="Sarakstarindkopa"/>
              <w:numPr>
                <w:ilvl w:val="0"/>
                <w:numId w:val="9"/>
              </w:numPr>
              <w:spacing w:after="0" w:line="240" w:lineRule="auto"/>
              <w:ind w:left="246" w:hanging="246"/>
              <w:jc w:val="both"/>
              <w:rPr>
                <w:rFonts w:ascii="Times New Roman" w:hAnsi="Times New Roman"/>
                <w:sz w:val="24"/>
                <w:szCs w:val="24"/>
              </w:rPr>
            </w:pPr>
            <w:r>
              <w:rPr>
                <w:rFonts w:ascii="Times New Roman" w:hAnsi="Times New Roman"/>
                <w:sz w:val="24"/>
                <w:szCs w:val="24"/>
              </w:rPr>
              <w:t>11.</w:t>
            </w:r>
            <w:r w:rsidR="00C57F42">
              <w:rPr>
                <w:rFonts w:ascii="Times New Roman" w:hAnsi="Times New Roman"/>
                <w:sz w:val="24"/>
                <w:szCs w:val="24"/>
              </w:rPr>
              <w:t>8</w:t>
            </w:r>
            <w:r>
              <w:rPr>
                <w:rFonts w:ascii="Times New Roman" w:hAnsi="Times New Roman"/>
                <w:sz w:val="24"/>
                <w:szCs w:val="24"/>
              </w:rPr>
              <w:t xml:space="preserve">.apakšpunktā precizēta </w:t>
            </w:r>
            <w:r w:rsidR="00D831F4">
              <w:rPr>
                <w:rFonts w:ascii="Times New Roman" w:hAnsi="Times New Roman"/>
                <w:sz w:val="24"/>
                <w:szCs w:val="24"/>
              </w:rPr>
              <w:t>redakcija attiecībā uz atbalsta kumulācijas normu piemērošanu;</w:t>
            </w:r>
          </w:p>
          <w:p w:rsidR="00D831F4" w:rsidRDefault="00D831F4" w:rsidP="005E617B">
            <w:pPr>
              <w:pStyle w:val="Sarakstarindkopa"/>
              <w:numPr>
                <w:ilvl w:val="0"/>
                <w:numId w:val="9"/>
              </w:numPr>
              <w:spacing w:after="0" w:line="240" w:lineRule="auto"/>
              <w:ind w:left="246" w:hanging="246"/>
              <w:jc w:val="both"/>
              <w:rPr>
                <w:rFonts w:ascii="Times New Roman" w:hAnsi="Times New Roman"/>
                <w:sz w:val="24"/>
                <w:szCs w:val="24"/>
              </w:rPr>
            </w:pPr>
            <w:r w:rsidRPr="00D831F4">
              <w:rPr>
                <w:rFonts w:ascii="Times New Roman" w:hAnsi="Times New Roman"/>
                <w:sz w:val="24"/>
                <w:szCs w:val="24"/>
              </w:rPr>
              <w:t xml:space="preserve">11.punkts tiek papildināts </w:t>
            </w:r>
            <w:r w:rsidR="00C57F42">
              <w:rPr>
                <w:rFonts w:ascii="Times New Roman" w:hAnsi="Times New Roman"/>
                <w:sz w:val="24"/>
                <w:szCs w:val="24"/>
              </w:rPr>
              <w:t xml:space="preserve">ar </w:t>
            </w:r>
            <w:r w:rsidRPr="00D831F4">
              <w:rPr>
                <w:rFonts w:ascii="Times New Roman" w:hAnsi="Times New Roman"/>
                <w:sz w:val="24"/>
                <w:szCs w:val="24"/>
              </w:rPr>
              <w:t>11.1</w:t>
            </w:r>
            <w:r w:rsidR="00C57F42">
              <w:rPr>
                <w:rFonts w:ascii="Times New Roman" w:hAnsi="Times New Roman"/>
                <w:sz w:val="24"/>
                <w:szCs w:val="24"/>
              </w:rPr>
              <w:t>2</w:t>
            </w:r>
            <w:r w:rsidRPr="00D831F4">
              <w:rPr>
                <w:rFonts w:ascii="Times New Roman" w:hAnsi="Times New Roman"/>
                <w:sz w:val="24"/>
                <w:szCs w:val="24"/>
              </w:rPr>
              <w:t xml:space="preserve">.apakšpunktu par piešķiramā </w:t>
            </w:r>
            <w:r w:rsidRPr="005E617B">
              <w:rPr>
                <w:rFonts w:ascii="Times New Roman" w:hAnsi="Times New Roman"/>
                <w:i/>
                <w:sz w:val="24"/>
                <w:szCs w:val="24"/>
              </w:rPr>
              <w:t>de minimis</w:t>
            </w:r>
            <w:r w:rsidRPr="00D831F4">
              <w:rPr>
                <w:rFonts w:ascii="Times New Roman" w:hAnsi="Times New Roman"/>
                <w:sz w:val="24"/>
                <w:szCs w:val="24"/>
              </w:rPr>
              <w:t xml:space="preserve"> atbalsta lēmuma gala pieņemšan</w:t>
            </w:r>
            <w:r>
              <w:rPr>
                <w:rFonts w:ascii="Times New Roman" w:hAnsi="Times New Roman"/>
                <w:sz w:val="24"/>
                <w:szCs w:val="24"/>
              </w:rPr>
              <w:t>as termiņu</w:t>
            </w:r>
            <w:r w:rsidR="00C57F42" w:rsidRPr="00D831F4">
              <w:rPr>
                <w:rFonts w:ascii="Times New Roman" w:hAnsi="Times New Roman"/>
                <w:sz w:val="24"/>
                <w:szCs w:val="24"/>
              </w:rPr>
              <w:t xml:space="preserve"> saskaņā ar Komisijas regulu Nr.1407/2013</w:t>
            </w:r>
            <w:r>
              <w:rPr>
                <w:rFonts w:ascii="Times New Roman" w:hAnsi="Times New Roman"/>
                <w:sz w:val="24"/>
                <w:szCs w:val="24"/>
              </w:rPr>
              <w:t>;</w:t>
            </w:r>
          </w:p>
          <w:p w:rsidR="00D831F4" w:rsidRPr="005E617B" w:rsidRDefault="00D831F4" w:rsidP="005E617B">
            <w:pPr>
              <w:pStyle w:val="Sarakstarindkopa"/>
              <w:numPr>
                <w:ilvl w:val="0"/>
                <w:numId w:val="9"/>
              </w:numPr>
              <w:spacing w:after="0" w:line="240" w:lineRule="auto"/>
              <w:ind w:left="246" w:hanging="246"/>
              <w:jc w:val="both"/>
              <w:rPr>
                <w:rFonts w:ascii="Times New Roman" w:hAnsi="Times New Roman"/>
                <w:sz w:val="24"/>
                <w:szCs w:val="24"/>
              </w:rPr>
            </w:pPr>
            <w:r>
              <w:rPr>
                <w:rFonts w:ascii="Times New Roman" w:hAnsi="Times New Roman"/>
                <w:sz w:val="24"/>
                <w:szCs w:val="24"/>
              </w:rPr>
              <w:t>11.punkts tiek papildināts ar 11.1</w:t>
            </w:r>
            <w:r w:rsidR="00C57F42">
              <w:rPr>
                <w:rFonts w:ascii="Times New Roman" w:hAnsi="Times New Roman"/>
                <w:sz w:val="24"/>
                <w:szCs w:val="24"/>
              </w:rPr>
              <w:t>3</w:t>
            </w:r>
            <w:r>
              <w:rPr>
                <w:rFonts w:ascii="Times New Roman" w:hAnsi="Times New Roman"/>
                <w:sz w:val="24"/>
                <w:szCs w:val="24"/>
              </w:rPr>
              <w:t xml:space="preserve">.apakšpunktu, lai nodrošinātu </w:t>
            </w:r>
            <w:r w:rsidRPr="007A137C">
              <w:rPr>
                <w:rFonts w:ascii="Times New Roman" w:hAnsi="Times New Roman"/>
                <w:sz w:val="24"/>
                <w:szCs w:val="24"/>
              </w:rPr>
              <w:t>Komisijas 2014.gada 25.jūnija Regula</w:t>
            </w:r>
            <w:r>
              <w:rPr>
                <w:rFonts w:ascii="Times New Roman" w:hAnsi="Times New Roman"/>
                <w:sz w:val="24"/>
                <w:szCs w:val="24"/>
              </w:rPr>
              <w:t>s</w:t>
            </w:r>
            <w:r w:rsidRPr="007A137C">
              <w:rPr>
                <w:rFonts w:ascii="Times New Roman" w:hAnsi="Times New Roman"/>
                <w:sz w:val="24"/>
                <w:szCs w:val="24"/>
              </w:rPr>
              <w:t xml:space="preserve"> (ES) Nr.702/2014, ar kuru konkrētas atbalsta kategorijas lauksaimniecības un mežsaimniecības nozarē un lauku apvidos atzīst par saderīgām ar iekšējo tirgu, piemērojot Līguma par Eiropas Savienības darbību 107. un 108.</w:t>
            </w:r>
            <w:r>
              <w:rPr>
                <w:rFonts w:ascii="Times New Roman" w:hAnsi="Times New Roman"/>
                <w:sz w:val="24"/>
                <w:szCs w:val="24"/>
              </w:rPr>
              <w:t xml:space="preserve"> </w:t>
            </w:r>
            <w:r w:rsidRPr="007A137C">
              <w:rPr>
                <w:rFonts w:ascii="Times New Roman" w:hAnsi="Times New Roman"/>
                <w:sz w:val="24"/>
                <w:szCs w:val="24"/>
              </w:rPr>
              <w:t>Pantu</w:t>
            </w:r>
            <w:r>
              <w:rPr>
                <w:rFonts w:ascii="Times New Roman" w:hAnsi="Times New Roman"/>
                <w:sz w:val="24"/>
                <w:szCs w:val="24"/>
              </w:rPr>
              <w:t>,</w:t>
            </w:r>
            <w:r w:rsidRPr="007A137C">
              <w:rPr>
                <w:rFonts w:ascii="Times New Roman" w:hAnsi="Times New Roman"/>
                <w:sz w:val="24"/>
                <w:szCs w:val="24"/>
              </w:rPr>
              <w:t xml:space="preserve"> (Eiropas Savienības Oficiālais Vēstnesis, 2014.</w:t>
            </w:r>
            <w:r>
              <w:rPr>
                <w:rFonts w:ascii="Times New Roman" w:hAnsi="Times New Roman"/>
                <w:sz w:val="24"/>
                <w:szCs w:val="24"/>
              </w:rPr>
              <w:t xml:space="preserve"> </w:t>
            </w:r>
            <w:r w:rsidRPr="007A137C">
              <w:rPr>
                <w:rFonts w:ascii="Times New Roman" w:hAnsi="Times New Roman"/>
                <w:sz w:val="24"/>
                <w:szCs w:val="24"/>
              </w:rPr>
              <w:t>gada 1.</w:t>
            </w:r>
            <w:r>
              <w:rPr>
                <w:rFonts w:ascii="Times New Roman" w:hAnsi="Times New Roman"/>
                <w:sz w:val="24"/>
                <w:szCs w:val="24"/>
              </w:rPr>
              <w:t xml:space="preserve"> </w:t>
            </w:r>
            <w:r w:rsidRPr="007A137C">
              <w:rPr>
                <w:rFonts w:ascii="Times New Roman" w:hAnsi="Times New Roman"/>
                <w:sz w:val="24"/>
                <w:szCs w:val="24"/>
              </w:rPr>
              <w:t>jūlijs, Nr.</w:t>
            </w:r>
            <w:r>
              <w:rPr>
                <w:rFonts w:ascii="Times New Roman" w:hAnsi="Times New Roman"/>
                <w:sz w:val="24"/>
                <w:szCs w:val="24"/>
              </w:rPr>
              <w:t xml:space="preserve"> </w:t>
            </w:r>
            <w:r w:rsidRPr="007A137C">
              <w:rPr>
                <w:rFonts w:ascii="Times New Roman" w:hAnsi="Times New Roman"/>
                <w:sz w:val="24"/>
                <w:szCs w:val="24"/>
              </w:rPr>
              <w:t>L193)</w:t>
            </w:r>
            <w:r>
              <w:rPr>
                <w:rFonts w:ascii="Times New Roman" w:hAnsi="Times New Roman"/>
                <w:sz w:val="24"/>
                <w:szCs w:val="24"/>
              </w:rPr>
              <w:t xml:space="preserve"> un </w:t>
            </w:r>
            <w:r w:rsidRPr="00B5180C">
              <w:rPr>
                <w:rFonts w:ascii="Times New Roman" w:hAnsi="Times New Roman"/>
                <w:sz w:val="24"/>
                <w:szCs w:val="24"/>
              </w:rPr>
              <w:t>Eiropas Komisi</w:t>
            </w:r>
            <w:r>
              <w:rPr>
                <w:rFonts w:ascii="Times New Roman" w:hAnsi="Times New Roman"/>
                <w:sz w:val="24"/>
                <w:szCs w:val="24"/>
              </w:rPr>
              <w:t>jas lēmumu Nr. SA.41388 (2015/N)</w:t>
            </w:r>
            <w:r w:rsidR="00C57F42">
              <w:rPr>
                <w:rFonts w:ascii="Times New Roman" w:hAnsi="Times New Roman"/>
                <w:sz w:val="24"/>
                <w:szCs w:val="24"/>
              </w:rPr>
              <w:t>,</w:t>
            </w:r>
            <w:r>
              <w:rPr>
                <w:rFonts w:ascii="Times New Roman" w:hAnsi="Times New Roman"/>
                <w:sz w:val="24"/>
                <w:szCs w:val="24"/>
              </w:rPr>
              <w:t xml:space="preserve"> prasības izpildi attiecībā uz informācijas publicēšanu par atbalsta saņēmējiem.</w:t>
            </w:r>
          </w:p>
          <w:p w:rsidR="009347A1" w:rsidRPr="004B708C" w:rsidRDefault="00842CB7" w:rsidP="00B5180C">
            <w:pPr>
              <w:spacing w:after="0" w:line="240" w:lineRule="auto"/>
              <w:jc w:val="both"/>
              <w:rPr>
                <w:rFonts w:ascii="Times New Roman" w:hAnsi="Times New Roman"/>
                <w:sz w:val="24"/>
                <w:szCs w:val="24"/>
              </w:rPr>
            </w:pPr>
            <w:r>
              <w:rPr>
                <w:rFonts w:ascii="Times New Roman" w:hAnsi="Times New Roman"/>
                <w:sz w:val="24"/>
              </w:rPr>
              <w:t>N</w:t>
            </w:r>
            <w:r w:rsidR="004109D9" w:rsidRPr="0045551E">
              <w:rPr>
                <w:rFonts w:ascii="Times New Roman" w:hAnsi="Times New Roman"/>
                <w:sz w:val="24"/>
              </w:rPr>
              <w:t>oteikumi Nr.</w:t>
            </w:r>
            <w:r w:rsidR="00476070">
              <w:rPr>
                <w:rFonts w:ascii="Times New Roman" w:hAnsi="Times New Roman"/>
                <w:sz w:val="24"/>
              </w:rPr>
              <w:t xml:space="preserve"> </w:t>
            </w:r>
            <w:r w:rsidR="004109D9" w:rsidRPr="0045551E">
              <w:rPr>
                <w:rFonts w:ascii="Times New Roman" w:hAnsi="Times New Roman"/>
                <w:sz w:val="24"/>
              </w:rPr>
              <w:t xml:space="preserve">59 </w:t>
            </w:r>
            <w:r w:rsidR="004109D9">
              <w:rPr>
                <w:rFonts w:ascii="Times New Roman" w:hAnsi="Times New Roman"/>
                <w:sz w:val="24"/>
              </w:rPr>
              <w:t>paredz, ka lauksaimniecības</w:t>
            </w:r>
            <w:r>
              <w:rPr>
                <w:rFonts w:ascii="Times New Roman" w:hAnsi="Times New Roman"/>
                <w:sz w:val="24"/>
              </w:rPr>
              <w:t xml:space="preserve"> produktu</w:t>
            </w:r>
            <w:r w:rsidR="004109D9">
              <w:rPr>
                <w:rFonts w:ascii="Times New Roman" w:hAnsi="Times New Roman"/>
                <w:sz w:val="24"/>
              </w:rPr>
              <w:t xml:space="preserve"> primārajiem ražotājiem atbalstu vaislas materiāla iegādei piešķir saskaņā ar </w:t>
            </w:r>
            <w:r w:rsidR="004109D9" w:rsidRPr="00E2230B">
              <w:rPr>
                <w:rFonts w:ascii="Times New Roman" w:hAnsi="Times New Roman"/>
                <w:sz w:val="24"/>
                <w:szCs w:val="24"/>
              </w:rPr>
              <w:t>Komisijas 2013.</w:t>
            </w:r>
            <w:r w:rsidR="00476070">
              <w:rPr>
                <w:rFonts w:ascii="Times New Roman" w:hAnsi="Times New Roman"/>
                <w:sz w:val="24"/>
                <w:szCs w:val="24"/>
              </w:rPr>
              <w:t xml:space="preserve"> </w:t>
            </w:r>
            <w:r w:rsidR="004109D9" w:rsidRPr="00E2230B">
              <w:rPr>
                <w:rFonts w:ascii="Times New Roman" w:hAnsi="Times New Roman"/>
                <w:sz w:val="24"/>
                <w:szCs w:val="24"/>
              </w:rPr>
              <w:t>gada 18.</w:t>
            </w:r>
            <w:r w:rsidR="00476070">
              <w:rPr>
                <w:rFonts w:ascii="Times New Roman" w:hAnsi="Times New Roman"/>
                <w:sz w:val="24"/>
                <w:szCs w:val="24"/>
              </w:rPr>
              <w:t xml:space="preserve"> </w:t>
            </w:r>
            <w:r w:rsidR="004109D9" w:rsidRPr="00E2230B">
              <w:rPr>
                <w:rFonts w:ascii="Times New Roman" w:hAnsi="Times New Roman"/>
                <w:sz w:val="24"/>
                <w:szCs w:val="24"/>
              </w:rPr>
              <w:t>decembra Regula (EK) Nr.</w:t>
            </w:r>
            <w:r w:rsidR="00476070">
              <w:rPr>
                <w:rFonts w:ascii="Times New Roman" w:hAnsi="Times New Roman"/>
                <w:sz w:val="24"/>
                <w:szCs w:val="24"/>
              </w:rPr>
              <w:t xml:space="preserve"> </w:t>
            </w:r>
            <w:hyperlink r:id="rId8" w:tgtFrame="_blank" w:history="1">
              <w:r w:rsidR="004109D9" w:rsidRPr="00E2230B">
                <w:rPr>
                  <w:rFonts w:ascii="Times New Roman" w:hAnsi="Times New Roman"/>
                  <w:sz w:val="24"/>
                  <w:szCs w:val="24"/>
                </w:rPr>
                <w:t>1408/2013</w:t>
              </w:r>
            </w:hyperlink>
            <w:r w:rsidR="004109D9" w:rsidRPr="00E2230B">
              <w:rPr>
                <w:rFonts w:ascii="Times New Roman" w:hAnsi="Times New Roman"/>
                <w:sz w:val="24"/>
                <w:szCs w:val="24"/>
              </w:rPr>
              <w:t xml:space="preserve"> par Līguma par Eiropas Savienības darbību 107. un 108.</w:t>
            </w:r>
            <w:r w:rsidR="00476070">
              <w:rPr>
                <w:rFonts w:ascii="Times New Roman" w:hAnsi="Times New Roman"/>
                <w:sz w:val="24"/>
                <w:szCs w:val="24"/>
              </w:rPr>
              <w:t xml:space="preserve"> </w:t>
            </w:r>
            <w:r w:rsidR="004109D9" w:rsidRPr="00E2230B">
              <w:rPr>
                <w:rFonts w:ascii="Times New Roman" w:hAnsi="Times New Roman"/>
                <w:sz w:val="24"/>
                <w:szCs w:val="24"/>
              </w:rPr>
              <w:t xml:space="preserve">panta piemērošanu </w:t>
            </w:r>
            <w:r w:rsidR="004109D9" w:rsidRPr="00E2230B">
              <w:rPr>
                <w:rFonts w:ascii="Times New Roman" w:hAnsi="Times New Roman"/>
                <w:i/>
                <w:sz w:val="24"/>
                <w:szCs w:val="24"/>
              </w:rPr>
              <w:t>de minimis</w:t>
            </w:r>
            <w:r w:rsidR="004109D9" w:rsidRPr="00E2230B">
              <w:rPr>
                <w:rFonts w:ascii="Times New Roman" w:hAnsi="Times New Roman"/>
                <w:sz w:val="24"/>
                <w:szCs w:val="24"/>
              </w:rPr>
              <w:t xml:space="preserve"> atbalstam lauksaimniecības nozarē (Eiropas Savienības Oficiālais Vēstnesis, 2013.</w:t>
            </w:r>
            <w:r w:rsidR="00476070">
              <w:rPr>
                <w:rFonts w:ascii="Times New Roman" w:hAnsi="Times New Roman"/>
                <w:sz w:val="24"/>
                <w:szCs w:val="24"/>
              </w:rPr>
              <w:t xml:space="preserve"> </w:t>
            </w:r>
            <w:r w:rsidR="004109D9" w:rsidRPr="00E2230B">
              <w:rPr>
                <w:rFonts w:ascii="Times New Roman" w:hAnsi="Times New Roman"/>
                <w:sz w:val="24"/>
                <w:szCs w:val="24"/>
              </w:rPr>
              <w:t>gada 24.</w:t>
            </w:r>
            <w:r w:rsidR="00476070">
              <w:rPr>
                <w:rFonts w:ascii="Times New Roman" w:hAnsi="Times New Roman"/>
                <w:sz w:val="24"/>
                <w:szCs w:val="24"/>
              </w:rPr>
              <w:t xml:space="preserve"> </w:t>
            </w:r>
            <w:r w:rsidR="004109D9" w:rsidRPr="00E2230B">
              <w:rPr>
                <w:rFonts w:ascii="Times New Roman" w:hAnsi="Times New Roman"/>
                <w:sz w:val="24"/>
                <w:szCs w:val="24"/>
              </w:rPr>
              <w:t>decembris, Nr. L 352</w:t>
            </w:r>
            <w:r w:rsidR="004109D9">
              <w:rPr>
                <w:rFonts w:ascii="Times New Roman" w:hAnsi="Times New Roman"/>
                <w:sz w:val="24"/>
                <w:szCs w:val="24"/>
              </w:rPr>
              <w:t xml:space="preserve">) (turpmāk – lauksaimniecības </w:t>
            </w:r>
            <w:r w:rsidR="004109D9" w:rsidRPr="004109D9">
              <w:rPr>
                <w:rFonts w:ascii="Times New Roman" w:hAnsi="Times New Roman"/>
                <w:i/>
                <w:sz w:val="24"/>
                <w:szCs w:val="24"/>
              </w:rPr>
              <w:t>de minimis</w:t>
            </w:r>
            <w:r w:rsidR="004109D9">
              <w:rPr>
                <w:rFonts w:ascii="Times New Roman" w:hAnsi="Times New Roman"/>
                <w:sz w:val="24"/>
                <w:szCs w:val="24"/>
              </w:rPr>
              <w:t>)</w:t>
            </w:r>
            <w:r w:rsidR="004109D9" w:rsidRPr="00EA2ED3">
              <w:rPr>
                <w:rFonts w:ascii="Times New Roman" w:hAnsi="Times New Roman"/>
                <w:sz w:val="24"/>
              </w:rPr>
              <w:t>. Ņemot vērā</w:t>
            </w:r>
            <w:r w:rsidR="004109D9">
              <w:rPr>
                <w:rFonts w:ascii="Times New Roman" w:hAnsi="Times New Roman"/>
                <w:sz w:val="24"/>
              </w:rPr>
              <w:t xml:space="preserve"> lauksaimniecības </w:t>
            </w:r>
            <w:r w:rsidR="004109D9" w:rsidRPr="004109D9">
              <w:rPr>
                <w:rFonts w:ascii="Times New Roman" w:hAnsi="Times New Roman"/>
                <w:i/>
                <w:sz w:val="24"/>
              </w:rPr>
              <w:t>de minimis</w:t>
            </w:r>
            <w:r w:rsidR="00053B16">
              <w:rPr>
                <w:rFonts w:ascii="Times New Roman" w:hAnsi="Times New Roman"/>
                <w:sz w:val="24"/>
              </w:rPr>
              <w:t xml:space="preserve"> ierobežoto finansējuma ap</w:t>
            </w:r>
            <w:r w:rsidR="009F7371">
              <w:rPr>
                <w:rFonts w:ascii="Times New Roman" w:hAnsi="Times New Roman"/>
                <w:sz w:val="24"/>
              </w:rPr>
              <w:t>mēru</w:t>
            </w:r>
            <w:r w:rsidR="00053B16">
              <w:rPr>
                <w:rFonts w:ascii="Times New Roman" w:hAnsi="Times New Roman"/>
                <w:sz w:val="24"/>
              </w:rPr>
              <w:t xml:space="preserve"> triju gadu periodā un </w:t>
            </w:r>
            <w:r w:rsidR="00C57F42">
              <w:rPr>
                <w:rFonts w:ascii="Times New Roman" w:hAnsi="Times New Roman"/>
                <w:sz w:val="24"/>
              </w:rPr>
              <w:t xml:space="preserve">noteiktos </w:t>
            </w:r>
            <w:r w:rsidR="00053B16">
              <w:rPr>
                <w:rFonts w:ascii="Times New Roman" w:hAnsi="Times New Roman"/>
                <w:sz w:val="24"/>
              </w:rPr>
              <w:t xml:space="preserve">valsts atbalsta </w:t>
            </w:r>
            <w:r w:rsidR="00C57F42">
              <w:rPr>
                <w:rFonts w:ascii="Times New Roman" w:hAnsi="Times New Roman"/>
                <w:sz w:val="24"/>
              </w:rPr>
              <w:t xml:space="preserve"> </w:t>
            </w:r>
            <w:r w:rsidR="00053B16">
              <w:rPr>
                <w:rFonts w:ascii="Times New Roman" w:hAnsi="Times New Roman"/>
                <w:sz w:val="24"/>
              </w:rPr>
              <w:t>griestus,</w:t>
            </w:r>
            <w:r w:rsidR="004109D9" w:rsidRPr="00EA2ED3">
              <w:rPr>
                <w:rFonts w:ascii="Times New Roman" w:hAnsi="Times New Roman"/>
                <w:sz w:val="24"/>
              </w:rPr>
              <w:t xml:space="preserve"> Zemkopības ministrija ar Eiropas Komisiju ir saskaņojusi valsts atbalsta shēmu</w:t>
            </w:r>
            <w:r w:rsidR="00053B16">
              <w:rPr>
                <w:rFonts w:ascii="Times New Roman" w:hAnsi="Times New Roman"/>
                <w:sz w:val="24"/>
              </w:rPr>
              <w:t xml:space="preserve"> </w:t>
            </w:r>
            <w:r>
              <w:rPr>
                <w:rFonts w:ascii="Times New Roman" w:hAnsi="Times New Roman"/>
                <w:sz w:val="24"/>
                <w:szCs w:val="24"/>
              </w:rPr>
              <w:t>(</w:t>
            </w:r>
            <w:r w:rsidR="00053B16" w:rsidRPr="00B5180C">
              <w:rPr>
                <w:rFonts w:ascii="Times New Roman" w:hAnsi="Times New Roman"/>
                <w:sz w:val="24"/>
                <w:szCs w:val="24"/>
              </w:rPr>
              <w:t>Eiropas Komisi</w:t>
            </w:r>
            <w:r w:rsidR="00053B16">
              <w:rPr>
                <w:rFonts w:ascii="Times New Roman" w:hAnsi="Times New Roman"/>
                <w:sz w:val="24"/>
                <w:szCs w:val="24"/>
              </w:rPr>
              <w:t>jas lēmum</w:t>
            </w:r>
            <w:r>
              <w:rPr>
                <w:rFonts w:ascii="Times New Roman" w:hAnsi="Times New Roman"/>
                <w:sz w:val="24"/>
                <w:szCs w:val="24"/>
              </w:rPr>
              <w:t>s</w:t>
            </w:r>
            <w:r w:rsidR="00053B16">
              <w:rPr>
                <w:rFonts w:ascii="Times New Roman" w:hAnsi="Times New Roman"/>
                <w:sz w:val="24"/>
                <w:szCs w:val="24"/>
              </w:rPr>
              <w:t xml:space="preserve"> Nr.</w:t>
            </w:r>
            <w:r w:rsidR="00476070">
              <w:rPr>
                <w:rFonts w:ascii="Times New Roman" w:hAnsi="Times New Roman"/>
                <w:sz w:val="24"/>
                <w:szCs w:val="24"/>
              </w:rPr>
              <w:t xml:space="preserve"> </w:t>
            </w:r>
            <w:r w:rsidR="00053B16">
              <w:rPr>
                <w:rFonts w:ascii="Times New Roman" w:hAnsi="Times New Roman"/>
                <w:sz w:val="24"/>
                <w:szCs w:val="24"/>
              </w:rPr>
              <w:t>SA.41388 (2015/N)</w:t>
            </w:r>
            <w:r>
              <w:rPr>
                <w:rFonts w:ascii="Times New Roman" w:hAnsi="Times New Roman"/>
                <w:sz w:val="24"/>
                <w:szCs w:val="24"/>
              </w:rPr>
              <w:t>)</w:t>
            </w:r>
            <w:r w:rsidR="00053B16">
              <w:rPr>
                <w:rFonts w:ascii="Times New Roman" w:hAnsi="Times New Roman"/>
                <w:sz w:val="24"/>
                <w:szCs w:val="24"/>
              </w:rPr>
              <w:t>.</w:t>
            </w:r>
            <w:r>
              <w:rPr>
                <w:rFonts w:ascii="Times New Roman" w:hAnsi="Times New Roman"/>
                <w:sz w:val="24"/>
                <w:szCs w:val="24"/>
              </w:rPr>
              <w:t xml:space="preserve"> A</w:t>
            </w:r>
            <w:r w:rsidR="00053B16">
              <w:rPr>
                <w:rFonts w:ascii="Times New Roman" w:hAnsi="Times New Roman"/>
                <w:sz w:val="24"/>
                <w:szCs w:val="24"/>
              </w:rPr>
              <w:t xml:space="preserve">tbilstoši </w:t>
            </w:r>
            <w:r w:rsidR="00053B16" w:rsidRPr="00B5180C">
              <w:rPr>
                <w:rFonts w:ascii="Times New Roman" w:hAnsi="Times New Roman"/>
                <w:sz w:val="24"/>
                <w:szCs w:val="24"/>
              </w:rPr>
              <w:t>Eiropas Komisi</w:t>
            </w:r>
            <w:r w:rsidR="00053B16">
              <w:rPr>
                <w:rFonts w:ascii="Times New Roman" w:hAnsi="Times New Roman"/>
                <w:sz w:val="24"/>
                <w:szCs w:val="24"/>
              </w:rPr>
              <w:t>jas lēmum</w:t>
            </w:r>
            <w:r w:rsidR="009F7371">
              <w:rPr>
                <w:rFonts w:ascii="Times New Roman" w:hAnsi="Times New Roman"/>
                <w:sz w:val="24"/>
                <w:szCs w:val="24"/>
              </w:rPr>
              <w:t>am</w:t>
            </w:r>
            <w:r w:rsidR="00053B16">
              <w:rPr>
                <w:rFonts w:ascii="Times New Roman" w:hAnsi="Times New Roman"/>
                <w:sz w:val="24"/>
                <w:szCs w:val="24"/>
              </w:rPr>
              <w:t xml:space="preserve"> Nr.</w:t>
            </w:r>
            <w:r w:rsidR="00476070">
              <w:rPr>
                <w:rFonts w:ascii="Times New Roman" w:hAnsi="Times New Roman"/>
                <w:sz w:val="24"/>
                <w:szCs w:val="24"/>
              </w:rPr>
              <w:t xml:space="preserve"> </w:t>
            </w:r>
            <w:r w:rsidR="00053B16">
              <w:rPr>
                <w:rFonts w:ascii="Times New Roman" w:hAnsi="Times New Roman"/>
                <w:sz w:val="24"/>
                <w:szCs w:val="24"/>
              </w:rPr>
              <w:t>SA.41388 (2015/N) noteikumi Nr.</w:t>
            </w:r>
            <w:r w:rsidR="00C57F42">
              <w:rPr>
                <w:rFonts w:ascii="Times New Roman" w:hAnsi="Times New Roman"/>
                <w:sz w:val="24"/>
                <w:szCs w:val="24"/>
              </w:rPr>
              <w:t> </w:t>
            </w:r>
            <w:r w:rsidR="00053B16">
              <w:rPr>
                <w:rFonts w:ascii="Times New Roman" w:hAnsi="Times New Roman"/>
                <w:sz w:val="24"/>
                <w:szCs w:val="24"/>
              </w:rPr>
              <w:t xml:space="preserve">59 </w:t>
            </w:r>
            <w:r w:rsidR="009F7371">
              <w:rPr>
                <w:rFonts w:ascii="Times New Roman" w:hAnsi="Times New Roman"/>
                <w:sz w:val="24"/>
                <w:szCs w:val="24"/>
              </w:rPr>
              <w:t xml:space="preserve">ir </w:t>
            </w:r>
            <w:r w:rsidR="00053B16">
              <w:rPr>
                <w:rFonts w:ascii="Times New Roman" w:hAnsi="Times New Roman"/>
                <w:sz w:val="24"/>
                <w:szCs w:val="24"/>
              </w:rPr>
              <w:t>papildināti ar 13.1.6.</w:t>
            </w:r>
            <w:r w:rsidR="00476070">
              <w:rPr>
                <w:rFonts w:ascii="Times New Roman" w:hAnsi="Times New Roman"/>
                <w:sz w:val="24"/>
                <w:szCs w:val="24"/>
              </w:rPr>
              <w:t xml:space="preserve"> </w:t>
            </w:r>
            <w:r w:rsidR="00053B16">
              <w:rPr>
                <w:rFonts w:ascii="Times New Roman" w:hAnsi="Times New Roman"/>
                <w:sz w:val="24"/>
                <w:szCs w:val="24"/>
              </w:rPr>
              <w:t>apakšpunktu</w:t>
            </w:r>
            <w:r w:rsidR="009F7371">
              <w:rPr>
                <w:rFonts w:ascii="Times New Roman" w:hAnsi="Times New Roman"/>
                <w:sz w:val="24"/>
                <w:szCs w:val="24"/>
              </w:rPr>
              <w:t xml:space="preserve"> un</w:t>
            </w:r>
            <w:r w:rsidR="00053B16">
              <w:rPr>
                <w:rFonts w:ascii="Times New Roman" w:hAnsi="Times New Roman"/>
                <w:sz w:val="24"/>
                <w:szCs w:val="24"/>
              </w:rPr>
              <w:t xml:space="preserve"> 14.</w:t>
            </w:r>
            <w:r w:rsidR="00053B16">
              <w:rPr>
                <w:rFonts w:ascii="Times New Roman" w:hAnsi="Times New Roman"/>
                <w:sz w:val="24"/>
                <w:szCs w:val="24"/>
                <w:vertAlign w:val="superscript"/>
              </w:rPr>
              <w:t xml:space="preserve">1 </w:t>
            </w:r>
            <w:r w:rsidR="00053B16" w:rsidRPr="00053B16">
              <w:rPr>
                <w:rFonts w:ascii="Times New Roman" w:hAnsi="Times New Roman"/>
                <w:sz w:val="24"/>
                <w:szCs w:val="24"/>
              </w:rPr>
              <w:t>un</w:t>
            </w:r>
            <w:r w:rsidR="00053B16">
              <w:rPr>
                <w:rFonts w:ascii="Times New Roman" w:hAnsi="Times New Roman"/>
                <w:sz w:val="24"/>
                <w:szCs w:val="24"/>
                <w:vertAlign w:val="superscript"/>
              </w:rPr>
              <w:t xml:space="preserve"> </w:t>
            </w:r>
            <w:r w:rsidR="00053B16">
              <w:rPr>
                <w:rFonts w:ascii="Times New Roman" w:hAnsi="Times New Roman"/>
                <w:sz w:val="24"/>
                <w:szCs w:val="24"/>
              </w:rPr>
              <w:t>16.</w:t>
            </w:r>
            <w:r w:rsidR="00053B16">
              <w:rPr>
                <w:rFonts w:ascii="Times New Roman" w:hAnsi="Times New Roman"/>
                <w:sz w:val="24"/>
                <w:szCs w:val="24"/>
                <w:vertAlign w:val="superscript"/>
              </w:rPr>
              <w:t xml:space="preserve">1 </w:t>
            </w:r>
            <w:r w:rsidR="00053B16">
              <w:rPr>
                <w:rFonts w:ascii="Times New Roman" w:hAnsi="Times New Roman"/>
                <w:sz w:val="24"/>
                <w:szCs w:val="24"/>
              </w:rPr>
              <w:t>punktu.</w:t>
            </w:r>
            <w:r w:rsidR="004B708C">
              <w:rPr>
                <w:rFonts w:ascii="Times New Roman" w:hAnsi="Times New Roman"/>
                <w:sz w:val="24"/>
                <w:szCs w:val="24"/>
              </w:rPr>
              <w:t xml:space="preserve"> Atbalstu vaislas materiāla iegādei, </w:t>
            </w:r>
            <w:r w:rsidR="009F7371">
              <w:rPr>
                <w:rFonts w:ascii="Times New Roman" w:hAnsi="Times New Roman"/>
                <w:sz w:val="24"/>
                <w:szCs w:val="24"/>
              </w:rPr>
              <w:t>ja to</w:t>
            </w:r>
            <w:r w:rsidR="004B708C">
              <w:rPr>
                <w:rFonts w:ascii="Times New Roman" w:hAnsi="Times New Roman"/>
                <w:sz w:val="24"/>
                <w:szCs w:val="24"/>
              </w:rPr>
              <w:t xml:space="preserve"> </w:t>
            </w:r>
            <w:r w:rsidR="00476070">
              <w:rPr>
                <w:rFonts w:ascii="Times New Roman" w:hAnsi="Times New Roman"/>
                <w:sz w:val="24"/>
                <w:szCs w:val="24"/>
              </w:rPr>
              <w:t>nevar</w:t>
            </w:r>
            <w:r w:rsidR="004B708C">
              <w:rPr>
                <w:rFonts w:ascii="Times New Roman" w:hAnsi="Times New Roman"/>
                <w:sz w:val="24"/>
                <w:szCs w:val="24"/>
              </w:rPr>
              <w:t xml:space="preserve"> saskaņot ar Eiropas Komisiju</w:t>
            </w:r>
            <w:r w:rsidR="009F7371">
              <w:rPr>
                <w:rFonts w:ascii="Times New Roman" w:hAnsi="Times New Roman"/>
                <w:sz w:val="24"/>
                <w:szCs w:val="24"/>
              </w:rPr>
              <w:t>,</w:t>
            </w:r>
            <w:r w:rsidR="004B708C">
              <w:rPr>
                <w:rFonts w:ascii="Times New Roman" w:hAnsi="Times New Roman"/>
                <w:sz w:val="24"/>
                <w:szCs w:val="24"/>
              </w:rPr>
              <w:t xml:space="preserve"> arī turpmāk paredzēts piešķirt kā </w:t>
            </w:r>
            <w:r w:rsidR="004B708C" w:rsidRPr="004B708C">
              <w:rPr>
                <w:rFonts w:ascii="Times New Roman" w:hAnsi="Times New Roman"/>
                <w:i/>
                <w:sz w:val="24"/>
                <w:szCs w:val="24"/>
              </w:rPr>
              <w:t>de minimis</w:t>
            </w:r>
            <w:r>
              <w:rPr>
                <w:rFonts w:ascii="Times New Roman" w:hAnsi="Times New Roman"/>
                <w:i/>
                <w:sz w:val="24"/>
                <w:szCs w:val="24"/>
              </w:rPr>
              <w:t xml:space="preserve"> </w:t>
            </w:r>
            <w:r w:rsidRPr="0013147D">
              <w:rPr>
                <w:rFonts w:ascii="Times New Roman" w:hAnsi="Times New Roman"/>
                <w:sz w:val="24"/>
                <w:szCs w:val="24"/>
              </w:rPr>
              <w:t>atbalstu</w:t>
            </w:r>
            <w:r>
              <w:rPr>
                <w:rFonts w:ascii="Times New Roman" w:hAnsi="Times New Roman"/>
                <w:sz w:val="24"/>
                <w:szCs w:val="24"/>
              </w:rPr>
              <w:t xml:space="preserve"> lauksaimniecībai</w:t>
            </w:r>
            <w:r w:rsidR="004B708C">
              <w:rPr>
                <w:rFonts w:ascii="Times New Roman" w:hAnsi="Times New Roman"/>
                <w:i/>
                <w:sz w:val="24"/>
                <w:szCs w:val="24"/>
              </w:rPr>
              <w:t xml:space="preserve">, </w:t>
            </w:r>
            <w:r w:rsidR="004B708C">
              <w:rPr>
                <w:rFonts w:ascii="Times New Roman" w:hAnsi="Times New Roman"/>
                <w:sz w:val="24"/>
                <w:szCs w:val="24"/>
              </w:rPr>
              <w:t>tādēļ atbilstoši precizēti noteikumu Nr.</w:t>
            </w:r>
            <w:r w:rsidR="00476070">
              <w:rPr>
                <w:rFonts w:ascii="Times New Roman" w:hAnsi="Times New Roman"/>
                <w:sz w:val="24"/>
                <w:szCs w:val="24"/>
              </w:rPr>
              <w:t xml:space="preserve"> </w:t>
            </w:r>
            <w:r w:rsidR="004B708C">
              <w:rPr>
                <w:rFonts w:ascii="Times New Roman" w:hAnsi="Times New Roman"/>
                <w:sz w:val="24"/>
                <w:szCs w:val="24"/>
              </w:rPr>
              <w:t>59 13.1.2.apakšpunkts un 14.</w:t>
            </w:r>
            <w:r w:rsidR="009F7371">
              <w:rPr>
                <w:rFonts w:ascii="Times New Roman" w:hAnsi="Times New Roman"/>
                <w:sz w:val="24"/>
                <w:szCs w:val="24"/>
              </w:rPr>
              <w:t> </w:t>
            </w:r>
            <w:r w:rsidR="004B708C">
              <w:rPr>
                <w:rFonts w:ascii="Times New Roman" w:hAnsi="Times New Roman"/>
                <w:sz w:val="24"/>
                <w:szCs w:val="24"/>
              </w:rPr>
              <w:t>punkts.</w:t>
            </w:r>
          </w:p>
          <w:p w:rsidR="00053B16" w:rsidRDefault="00053B16" w:rsidP="00B5180C">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Pr="00B5180C">
              <w:rPr>
                <w:rFonts w:ascii="Times New Roman" w:hAnsi="Times New Roman"/>
                <w:sz w:val="24"/>
                <w:szCs w:val="24"/>
              </w:rPr>
              <w:t>Eiropas Komisi</w:t>
            </w:r>
            <w:r>
              <w:rPr>
                <w:rFonts w:ascii="Times New Roman" w:hAnsi="Times New Roman"/>
                <w:sz w:val="24"/>
                <w:szCs w:val="24"/>
              </w:rPr>
              <w:t>jas lēmum</w:t>
            </w:r>
            <w:r w:rsidR="00842CB7">
              <w:rPr>
                <w:rFonts w:ascii="Times New Roman" w:hAnsi="Times New Roman"/>
                <w:sz w:val="24"/>
                <w:szCs w:val="24"/>
              </w:rPr>
              <w:t>am</w:t>
            </w:r>
            <w:r>
              <w:rPr>
                <w:rFonts w:ascii="Times New Roman" w:hAnsi="Times New Roman"/>
                <w:sz w:val="24"/>
                <w:szCs w:val="24"/>
              </w:rPr>
              <w:t xml:space="preserve"> Nr.</w:t>
            </w:r>
            <w:r w:rsidR="00476070">
              <w:rPr>
                <w:rFonts w:ascii="Times New Roman" w:hAnsi="Times New Roman"/>
                <w:sz w:val="24"/>
                <w:szCs w:val="24"/>
              </w:rPr>
              <w:t xml:space="preserve"> </w:t>
            </w:r>
            <w:r>
              <w:rPr>
                <w:rFonts w:ascii="Times New Roman" w:hAnsi="Times New Roman"/>
                <w:sz w:val="24"/>
                <w:szCs w:val="24"/>
              </w:rPr>
              <w:t>SA.41388 (2015/N) noteikumi Nr.</w:t>
            </w:r>
            <w:r w:rsidR="00476070">
              <w:rPr>
                <w:rFonts w:ascii="Times New Roman" w:hAnsi="Times New Roman"/>
                <w:sz w:val="24"/>
                <w:szCs w:val="24"/>
              </w:rPr>
              <w:t xml:space="preserve"> </w:t>
            </w:r>
            <w:r>
              <w:rPr>
                <w:rFonts w:ascii="Times New Roman" w:hAnsi="Times New Roman"/>
                <w:sz w:val="24"/>
                <w:szCs w:val="24"/>
              </w:rPr>
              <w:t>59 papildināti ar 18.11. un 28.9.</w:t>
            </w:r>
            <w:r w:rsidR="00476070">
              <w:rPr>
                <w:rFonts w:ascii="Times New Roman" w:hAnsi="Times New Roman"/>
                <w:sz w:val="24"/>
                <w:szCs w:val="24"/>
              </w:rPr>
              <w:t xml:space="preserve"> </w:t>
            </w:r>
            <w:r>
              <w:rPr>
                <w:rFonts w:ascii="Times New Roman" w:hAnsi="Times New Roman"/>
                <w:sz w:val="24"/>
                <w:szCs w:val="24"/>
              </w:rPr>
              <w:t xml:space="preserve">apakšpunktu, </w:t>
            </w:r>
            <w:r w:rsidR="004B708C">
              <w:rPr>
                <w:rFonts w:ascii="Times New Roman" w:hAnsi="Times New Roman"/>
                <w:sz w:val="24"/>
                <w:szCs w:val="24"/>
              </w:rPr>
              <w:t xml:space="preserve">kas nosaka, ka </w:t>
            </w:r>
            <w:r>
              <w:rPr>
                <w:rFonts w:ascii="Times New Roman" w:hAnsi="Times New Roman"/>
                <w:sz w:val="24"/>
                <w:szCs w:val="24"/>
              </w:rPr>
              <w:t xml:space="preserve">lielajiem uzņēmumiem turpmāk </w:t>
            </w:r>
            <w:r w:rsidR="00842CB7">
              <w:rPr>
                <w:rFonts w:ascii="Times New Roman" w:hAnsi="Times New Roman"/>
                <w:sz w:val="24"/>
                <w:szCs w:val="24"/>
              </w:rPr>
              <w:t xml:space="preserve">jāpamato </w:t>
            </w:r>
            <w:r>
              <w:rPr>
                <w:rFonts w:ascii="Times New Roman" w:hAnsi="Times New Roman"/>
                <w:sz w:val="24"/>
                <w:szCs w:val="24"/>
              </w:rPr>
              <w:t>atbalsta nepieciešamīb</w:t>
            </w:r>
            <w:r w:rsidR="004B708C">
              <w:rPr>
                <w:rFonts w:ascii="Times New Roman" w:hAnsi="Times New Roman"/>
                <w:sz w:val="24"/>
                <w:szCs w:val="24"/>
              </w:rPr>
              <w:t>a</w:t>
            </w:r>
            <w:r>
              <w:rPr>
                <w:rFonts w:ascii="Times New Roman" w:hAnsi="Times New Roman"/>
                <w:sz w:val="24"/>
                <w:szCs w:val="24"/>
              </w:rPr>
              <w:t>.</w:t>
            </w:r>
          </w:p>
          <w:p w:rsidR="00476070" w:rsidRDefault="00476070" w:rsidP="00B5180C">
            <w:pPr>
              <w:spacing w:after="0" w:line="240" w:lineRule="auto"/>
              <w:jc w:val="both"/>
              <w:rPr>
                <w:rFonts w:ascii="Times New Roman" w:hAnsi="Times New Roman"/>
                <w:sz w:val="24"/>
                <w:szCs w:val="24"/>
              </w:rPr>
            </w:pPr>
            <w:r>
              <w:rPr>
                <w:rFonts w:ascii="Times New Roman" w:hAnsi="Times New Roman"/>
                <w:sz w:val="24"/>
                <w:szCs w:val="24"/>
              </w:rPr>
              <w:t>Noteikumu Nr. 59 23.1. apakšpunkts tiek pa</w:t>
            </w:r>
            <w:r w:rsidR="009F7371">
              <w:rPr>
                <w:rFonts w:ascii="Times New Roman" w:hAnsi="Times New Roman"/>
                <w:sz w:val="24"/>
                <w:szCs w:val="24"/>
              </w:rPr>
              <w:t>p</w:t>
            </w:r>
            <w:r>
              <w:rPr>
                <w:rFonts w:ascii="Times New Roman" w:hAnsi="Times New Roman"/>
                <w:sz w:val="24"/>
                <w:szCs w:val="24"/>
              </w:rPr>
              <w:t>i</w:t>
            </w:r>
            <w:r w:rsidR="009F7371">
              <w:rPr>
                <w:rFonts w:ascii="Times New Roman" w:hAnsi="Times New Roman"/>
                <w:sz w:val="24"/>
                <w:szCs w:val="24"/>
              </w:rPr>
              <w:t>l</w:t>
            </w:r>
            <w:r>
              <w:rPr>
                <w:rFonts w:ascii="Times New Roman" w:hAnsi="Times New Roman"/>
                <w:sz w:val="24"/>
                <w:szCs w:val="24"/>
              </w:rPr>
              <w:t>dināts ar iespēju atbilstīgām lauksaimniecības pakalpojumu kooperatīvajām sabiedrībām saņemt atbalstu arī par jaunu iekrāvēju iegādi.</w:t>
            </w:r>
          </w:p>
          <w:p w:rsidR="007A6170" w:rsidRPr="00263457" w:rsidRDefault="009F7371" w:rsidP="00B5180C">
            <w:pPr>
              <w:spacing w:after="0" w:line="240" w:lineRule="auto"/>
              <w:jc w:val="both"/>
              <w:rPr>
                <w:rFonts w:ascii="Times New Roman" w:hAnsi="Times New Roman"/>
                <w:sz w:val="24"/>
                <w:szCs w:val="24"/>
              </w:rPr>
            </w:pPr>
            <w:r>
              <w:rPr>
                <w:rFonts w:ascii="Times New Roman" w:hAnsi="Times New Roman"/>
                <w:sz w:val="24"/>
                <w:szCs w:val="24"/>
              </w:rPr>
              <w:t>Izdarīti</w:t>
            </w:r>
            <w:r w:rsidR="004B708C">
              <w:rPr>
                <w:rFonts w:ascii="Times New Roman" w:hAnsi="Times New Roman"/>
                <w:sz w:val="24"/>
                <w:szCs w:val="24"/>
              </w:rPr>
              <w:t xml:space="preserve"> tehniski precizējumi noteikumu Nr.</w:t>
            </w:r>
            <w:r w:rsidR="00C57F42">
              <w:rPr>
                <w:rFonts w:ascii="Times New Roman" w:hAnsi="Times New Roman"/>
                <w:sz w:val="24"/>
                <w:szCs w:val="24"/>
              </w:rPr>
              <w:t> </w:t>
            </w:r>
            <w:r w:rsidR="004B708C">
              <w:rPr>
                <w:rFonts w:ascii="Times New Roman" w:hAnsi="Times New Roman"/>
                <w:sz w:val="24"/>
                <w:szCs w:val="24"/>
              </w:rPr>
              <w:t xml:space="preserve">59 </w:t>
            </w:r>
            <w:r w:rsidR="004B708C">
              <w:rPr>
                <w:rFonts w:ascii="Times New Roman" w:hAnsi="Times New Roman"/>
                <w:sz w:val="24"/>
                <w:szCs w:val="24"/>
              </w:rPr>
              <w:lastRenderedPageBreak/>
              <w:t>33.1.</w:t>
            </w:r>
            <w:r w:rsidR="00C57F42">
              <w:rPr>
                <w:rFonts w:ascii="Times New Roman" w:hAnsi="Times New Roman"/>
                <w:sz w:val="24"/>
                <w:szCs w:val="24"/>
              </w:rPr>
              <w:t> </w:t>
            </w:r>
            <w:r w:rsidR="004B708C">
              <w:rPr>
                <w:rFonts w:ascii="Times New Roman" w:hAnsi="Times New Roman"/>
                <w:sz w:val="24"/>
                <w:szCs w:val="24"/>
              </w:rPr>
              <w:t xml:space="preserve">apakšpunktā, </w:t>
            </w:r>
            <w:r w:rsidR="00C57F42">
              <w:rPr>
                <w:rFonts w:ascii="Times New Roman" w:hAnsi="Times New Roman"/>
                <w:sz w:val="24"/>
                <w:szCs w:val="24"/>
              </w:rPr>
              <w:t xml:space="preserve">kā arī </w:t>
            </w:r>
            <w:r w:rsidR="004B708C">
              <w:rPr>
                <w:rFonts w:ascii="Times New Roman" w:hAnsi="Times New Roman"/>
                <w:sz w:val="24"/>
                <w:szCs w:val="24"/>
              </w:rPr>
              <w:t>34., 34.</w:t>
            </w:r>
            <w:r w:rsidR="004B708C">
              <w:rPr>
                <w:rFonts w:ascii="Times New Roman" w:hAnsi="Times New Roman"/>
                <w:sz w:val="24"/>
                <w:szCs w:val="24"/>
                <w:vertAlign w:val="superscript"/>
              </w:rPr>
              <w:t>1</w:t>
            </w:r>
            <w:r w:rsidR="004B708C">
              <w:rPr>
                <w:rFonts w:ascii="Times New Roman" w:hAnsi="Times New Roman"/>
                <w:sz w:val="24"/>
                <w:szCs w:val="24"/>
              </w:rPr>
              <w:t>, 34.</w:t>
            </w:r>
            <w:r w:rsidR="00582C41">
              <w:rPr>
                <w:rFonts w:ascii="Times New Roman" w:hAnsi="Times New Roman"/>
                <w:sz w:val="24"/>
                <w:szCs w:val="24"/>
                <w:vertAlign w:val="superscript"/>
              </w:rPr>
              <w:t>2</w:t>
            </w:r>
            <w:r w:rsidR="00263457">
              <w:rPr>
                <w:rFonts w:ascii="Times New Roman" w:hAnsi="Times New Roman"/>
                <w:sz w:val="24"/>
                <w:szCs w:val="24"/>
              </w:rPr>
              <w:t>,</w:t>
            </w:r>
            <w:r w:rsidR="00582C41">
              <w:rPr>
                <w:rFonts w:ascii="Times New Roman" w:hAnsi="Times New Roman"/>
                <w:sz w:val="24"/>
                <w:szCs w:val="24"/>
                <w:vertAlign w:val="superscript"/>
              </w:rPr>
              <w:t xml:space="preserve"> </w:t>
            </w:r>
            <w:r w:rsidR="004B708C" w:rsidRPr="004B708C">
              <w:rPr>
                <w:rFonts w:ascii="Times New Roman" w:hAnsi="Times New Roman"/>
                <w:sz w:val="24"/>
                <w:szCs w:val="24"/>
              </w:rPr>
              <w:t>34</w:t>
            </w:r>
            <w:r w:rsidR="004B708C">
              <w:rPr>
                <w:rFonts w:ascii="Times New Roman" w:hAnsi="Times New Roman"/>
                <w:sz w:val="24"/>
                <w:szCs w:val="24"/>
              </w:rPr>
              <w:t>.</w:t>
            </w:r>
            <w:r w:rsidR="004B708C">
              <w:rPr>
                <w:rFonts w:ascii="Times New Roman" w:hAnsi="Times New Roman"/>
                <w:sz w:val="24"/>
                <w:szCs w:val="24"/>
                <w:vertAlign w:val="superscript"/>
              </w:rPr>
              <w:t>3</w:t>
            </w:r>
            <w:r w:rsidR="00230A96">
              <w:rPr>
                <w:rFonts w:ascii="Times New Roman" w:hAnsi="Times New Roman"/>
                <w:sz w:val="24"/>
                <w:szCs w:val="24"/>
              </w:rPr>
              <w:t xml:space="preserve">, </w:t>
            </w:r>
            <w:r w:rsidR="006E4EF1">
              <w:rPr>
                <w:rFonts w:ascii="Times New Roman" w:hAnsi="Times New Roman"/>
                <w:sz w:val="24"/>
                <w:szCs w:val="24"/>
              </w:rPr>
              <w:t>34.</w:t>
            </w:r>
            <w:r w:rsidR="006E4EF1" w:rsidRPr="006E4EF1">
              <w:rPr>
                <w:rFonts w:ascii="Times New Roman" w:hAnsi="Times New Roman"/>
                <w:sz w:val="24"/>
                <w:szCs w:val="24"/>
                <w:vertAlign w:val="superscript"/>
              </w:rPr>
              <w:t>4</w:t>
            </w:r>
            <w:r w:rsidR="006E4EF1">
              <w:rPr>
                <w:rFonts w:ascii="Times New Roman" w:hAnsi="Times New Roman"/>
                <w:sz w:val="24"/>
                <w:szCs w:val="24"/>
              </w:rPr>
              <w:t xml:space="preserve"> </w:t>
            </w:r>
            <w:r w:rsidR="00567E97">
              <w:rPr>
                <w:rFonts w:ascii="Times New Roman" w:hAnsi="Times New Roman"/>
                <w:sz w:val="24"/>
                <w:szCs w:val="24"/>
              </w:rPr>
              <w:t>un 44.</w:t>
            </w:r>
            <w:r w:rsidR="00C57F42">
              <w:rPr>
                <w:rFonts w:ascii="Times New Roman" w:hAnsi="Times New Roman"/>
                <w:sz w:val="24"/>
                <w:szCs w:val="24"/>
              </w:rPr>
              <w:t> </w:t>
            </w:r>
            <w:r w:rsidR="004B708C">
              <w:rPr>
                <w:rFonts w:ascii="Times New Roman" w:hAnsi="Times New Roman"/>
                <w:sz w:val="24"/>
                <w:szCs w:val="24"/>
              </w:rPr>
              <w:t>punktā</w:t>
            </w:r>
            <w:r w:rsidR="00582C41">
              <w:rPr>
                <w:rFonts w:ascii="Times New Roman" w:hAnsi="Times New Roman"/>
                <w:sz w:val="24"/>
                <w:szCs w:val="24"/>
              </w:rPr>
              <w:t>.</w:t>
            </w:r>
            <w:r w:rsidR="00C533E3">
              <w:rPr>
                <w:rFonts w:ascii="Times New Roman" w:hAnsi="Times New Roman"/>
                <w:sz w:val="24"/>
                <w:szCs w:val="24"/>
              </w:rPr>
              <w:t xml:space="preserve"> </w:t>
            </w:r>
            <w:r w:rsidR="007A6170" w:rsidRPr="00C533E3">
              <w:rPr>
                <w:rFonts w:ascii="Times New Roman" w:hAnsi="Times New Roman"/>
                <w:sz w:val="24"/>
                <w:szCs w:val="24"/>
              </w:rPr>
              <w:t xml:space="preserve">Ar </w:t>
            </w:r>
            <w:r w:rsidR="00C57F42">
              <w:rPr>
                <w:rFonts w:ascii="Times New Roman" w:hAnsi="Times New Roman"/>
                <w:sz w:val="24"/>
                <w:szCs w:val="24"/>
              </w:rPr>
              <w:t>grozī</w:t>
            </w:r>
            <w:r w:rsidR="007A6170" w:rsidRPr="00C533E3">
              <w:rPr>
                <w:rFonts w:ascii="Times New Roman" w:hAnsi="Times New Roman"/>
                <w:sz w:val="24"/>
                <w:szCs w:val="24"/>
              </w:rPr>
              <w:t>jumiem noteikumu Nr.59 34., 34.</w:t>
            </w:r>
            <w:r w:rsidR="007A6170" w:rsidRPr="00C533E3">
              <w:rPr>
                <w:rFonts w:ascii="Times New Roman" w:hAnsi="Times New Roman"/>
                <w:sz w:val="24"/>
                <w:szCs w:val="24"/>
                <w:vertAlign w:val="superscript"/>
              </w:rPr>
              <w:t>1</w:t>
            </w:r>
            <w:r w:rsidR="007A6170" w:rsidRPr="00C533E3">
              <w:rPr>
                <w:rFonts w:ascii="Times New Roman" w:hAnsi="Times New Roman"/>
                <w:sz w:val="24"/>
                <w:szCs w:val="24"/>
              </w:rPr>
              <w:t>, 34.</w:t>
            </w:r>
            <w:r w:rsidR="007A6170" w:rsidRPr="00C533E3">
              <w:rPr>
                <w:rFonts w:ascii="Times New Roman" w:hAnsi="Times New Roman"/>
                <w:sz w:val="24"/>
                <w:szCs w:val="24"/>
                <w:vertAlign w:val="superscript"/>
              </w:rPr>
              <w:t>2</w:t>
            </w:r>
            <w:r w:rsidR="00263457" w:rsidRPr="00C533E3">
              <w:rPr>
                <w:rFonts w:ascii="Times New Roman" w:hAnsi="Times New Roman"/>
                <w:sz w:val="24"/>
                <w:szCs w:val="24"/>
              </w:rPr>
              <w:t>,</w:t>
            </w:r>
            <w:r w:rsidR="007A6170" w:rsidRPr="00C533E3">
              <w:rPr>
                <w:rFonts w:ascii="Times New Roman" w:hAnsi="Times New Roman"/>
                <w:sz w:val="24"/>
                <w:szCs w:val="24"/>
              </w:rPr>
              <w:t xml:space="preserve"> 34.</w:t>
            </w:r>
            <w:r w:rsidR="007A6170" w:rsidRPr="00C533E3">
              <w:rPr>
                <w:rFonts w:ascii="Times New Roman" w:hAnsi="Times New Roman"/>
                <w:sz w:val="24"/>
                <w:szCs w:val="24"/>
                <w:vertAlign w:val="superscript"/>
              </w:rPr>
              <w:t>3</w:t>
            </w:r>
            <w:r w:rsidR="007A6170" w:rsidRPr="00C533E3">
              <w:rPr>
                <w:rFonts w:ascii="Times New Roman" w:hAnsi="Times New Roman"/>
                <w:sz w:val="24"/>
                <w:szCs w:val="24"/>
              </w:rPr>
              <w:t xml:space="preserve"> un 34.</w:t>
            </w:r>
            <w:r w:rsidR="007A6170" w:rsidRPr="00C533E3">
              <w:rPr>
                <w:rFonts w:ascii="Times New Roman" w:hAnsi="Times New Roman"/>
                <w:sz w:val="24"/>
                <w:szCs w:val="24"/>
                <w:vertAlign w:val="superscript"/>
              </w:rPr>
              <w:t>4</w:t>
            </w:r>
            <w:r w:rsidR="007A6170" w:rsidRPr="00C533E3">
              <w:rPr>
                <w:rFonts w:ascii="Times New Roman" w:hAnsi="Times New Roman"/>
                <w:sz w:val="24"/>
                <w:szCs w:val="24"/>
              </w:rPr>
              <w:t xml:space="preserve"> punktā tiek precizēti nosacījumi lauksaimniecības produktu pārstrādes komersantiem un noteiktas attiecīgo produktu ražošanas grupas, kur</w:t>
            </w:r>
            <w:r w:rsidR="00ED4A2B" w:rsidRPr="00C533E3">
              <w:rPr>
                <w:rFonts w:ascii="Times New Roman" w:hAnsi="Times New Roman"/>
                <w:sz w:val="24"/>
                <w:szCs w:val="24"/>
              </w:rPr>
              <w:t>u</w:t>
            </w:r>
            <w:r w:rsidR="007A6170" w:rsidRPr="00C533E3">
              <w:rPr>
                <w:rFonts w:ascii="Times New Roman" w:hAnsi="Times New Roman"/>
                <w:sz w:val="24"/>
                <w:szCs w:val="24"/>
              </w:rPr>
              <w:t xml:space="preserve"> ražo</w:t>
            </w:r>
            <w:r w:rsidR="00ED4A2B" w:rsidRPr="00C533E3">
              <w:rPr>
                <w:rFonts w:ascii="Times New Roman" w:hAnsi="Times New Roman"/>
                <w:sz w:val="24"/>
                <w:szCs w:val="24"/>
              </w:rPr>
              <w:t xml:space="preserve">tāji </w:t>
            </w:r>
            <w:r w:rsidR="007A6170" w:rsidRPr="00C533E3">
              <w:rPr>
                <w:rFonts w:ascii="Times New Roman" w:hAnsi="Times New Roman"/>
                <w:sz w:val="24"/>
                <w:szCs w:val="24"/>
              </w:rPr>
              <w:t>var pretendēt uz atbalstu.</w:t>
            </w:r>
          </w:p>
          <w:p w:rsidR="004B708C" w:rsidRDefault="00582C41" w:rsidP="00B5180C">
            <w:pPr>
              <w:spacing w:after="0" w:line="240" w:lineRule="auto"/>
              <w:jc w:val="both"/>
              <w:rPr>
                <w:rFonts w:ascii="Times New Roman" w:hAnsi="Times New Roman"/>
                <w:sz w:val="24"/>
                <w:szCs w:val="24"/>
              </w:rPr>
            </w:pPr>
            <w:r>
              <w:rPr>
                <w:rFonts w:ascii="Times New Roman" w:hAnsi="Times New Roman"/>
                <w:sz w:val="24"/>
                <w:szCs w:val="24"/>
              </w:rPr>
              <w:t>Noteikumu Nr.</w:t>
            </w:r>
            <w:r w:rsidR="00476070">
              <w:rPr>
                <w:rFonts w:ascii="Times New Roman" w:hAnsi="Times New Roman"/>
                <w:sz w:val="24"/>
                <w:szCs w:val="24"/>
              </w:rPr>
              <w:t xml:space="preserve"> </w:t>
            </w:r>
            <w:r>
              <w:rPr>
                <w:rFonts w:ascii="Times New Roman" w:hAnsi="Times New Roman"/>
                <w:sz w:val="24"/>
                <w:szCs w:val="24"/>
              </w:rPr>
              <w:t>59 1., 2., 3., 4., 5. un 6.</w:t>
            </w:r>
            <w:r w:rsidR="00476070">
              <w:rPr>
                <w:rFonts w:ascii="Times New Roman" w:hAnsi="Times New Roman"/>
                <w:sz w:val="24"/>
                <w:szCs w:val="24"/>
              </w:rPr>
              <w:t xml:space="preserve"> </w:t>
            </w:r>
            <w:r>
              <w:rPr>
                <w:rFonts w:ascii="Times New Roman" w:hAnsi="Times New Roman"/>
                <w:sz w:val="24"/>
                <w:szCs w:val="24"/>
              </w:rPr>
              <w:t>pielikum</w:t>
            </w:r>
            <w:r w:rsidR="00087D58">
              <w:rPr>
                <w:rFonts w:ascii="Times New Roman" w:hAnsi="Times New Roman"/>
                <w:sz w:val="24"/>
                <w:szCs w:val="24"/>
              </w:rPr>
              <w:t xml:space="preserve">ā iekļauts </w:t>
            </w:r>
            <w:r>
              <w:rPr>
                <w:rFonts w:ascii="Times New Roman" w:hAnsi="Times New Roman"/>
                <w:sz w:val="24"/>
                <w:szCs w:val="24"/>
              </w:rPr>
              <w:t xml:space="preserve"> pretendent</w:t>
            </w:r>
            <w:r w:rsidR="00087D58">
              <w:rPr>
                <w:rFonts w:ascii="Times New Roman" w:hAnsi="Times New Roman"/>
                <w:sz w:val="24"/>
                <w:szCs w:val="24"/>
              </w:rPr>
              <w:t>a apliecinājums</w:t>
            </w:r>
            <w:r w:rsidR="009F7371">
              <w:rPr>
                <w:rFonts w:ascii="Times New Roman" w:hAnsi="Times New Roman"/>
                <w:sz w:val="24"/>
                <w:szCs w:val="24"/>
              </w:rPr>
              <w:t xml:space="preserve"> par to</w:t>
            </w:r>
            <w:r>
              <w:rPr>
                <w:rFonts w:ascii="Times New Roman" w:hAnsi="Times New Roman"/>
                <w:sz w:val="24"/>
                <w:szCs w:val="24"/>
              </w:rPr>
              <w:t xml:space="preserve">, ka </w:t>
            </w:r>
            <w:r w:rsidR="00C57F42">
              <w:rPr>
                <w:rFonts w:ascii="Times New Roman" w:hAnsi="Times New Roman"/>
                <w:sz w:val="24"/>
                <w:szCs w:val="24"/>
              </w:rPr>
              <w:t>tam</w:t>
            </w:r>
            <w:r>
              <w:rPr>
                <w:rFonts w:ascii="Times New Roman" w:hAnsi="Times New Roman"/>
                <w:sz w:val="24"/>
                <w:szCs w:val="24"/>
              </w:rPr>
              <w:t xml:space="preserve"> nav grūtībās nonākušu uzņēmu</w:t>
            </w:r>
            <w:r w:rsidR="00263457">
              <w:rPr>
                <w:rFonts w:ascii="Times New Roman" w:hAnsi="Times New Roman"/>
                <w:sz w:val="24"/>
                <w:szCs w:val="24"/>
              </w:rPr>
              <w:t>ma</w:t>
            </w:r>
            <w:r>
              <w:rPr>
                <w:rFonts w:ascii="Times New Roman" w:hAnsi="Times New Roman"/>
                <w:sz w:val="24"/>
                <w:szCs w:val="24"/>
              </w:rPr>
              <w:t xml:space="preserve"> pazīmju</w:t>
            </w:r>
            <w:r w:rsidR="004B708C">
              <w:rPr>
                <w:rFonts w:ascii="Times New Roman" w:hAnsi="Times New Roman"/>
                <w:sz w:val="24"/>
                <w:szCs w:val="24"/>
              </w:rPr>
              <w:t xml:space="preserve">. </w:t>
            </w:r>
          </w:p>
          <w:p w:rsidR="00582C41" w:rsidRDefault="00567E97" w:rsidP="00B5180C">
            <w:pPr>
              <w:spacing w:after="0" w:line="240" w:lineRule="auto"/>
              <w:jc w:val="both"/>
              <w:rPr>
                <w:rFonts w:ascii="Times New Roman" w:hAnsi="Times New Roman"/>
                <w:sz w:val="24"/>
                <w:szCs w:val="24"/>
              </w:rPr>
            </w:pPr>
            <w:r>
              <w:rPr>
                <w:rFonts w:ascii="Times New Roman" w:hAnsi="Times New Roman"/>
                <w:sz w:val="24"/>
                <w:szCs w:val="24"/>
              </w:rPr>
              <w:t xml:space="preserve">Lai nodrošinātu noteikumu projektā 7.pielikumā </w:t>
            </w:r>
            <w:r w:rsidR="00D65D67">
              <w:rPr>
                <w:rFonts w:ascii="Times New Roman" w:hAnsi="Times New Roman"/>
                <w:sz w:val="24"/>
                <w:szCs w:val="24"/>
              </w:rPr>
              <w:t>9</w:t>
            </w:r>
            <w:r>
              <w:rPr>
                <w:rFonts w:ascii="Times New Roman" w:hAnsi="Times New Roman"/>
                <w:sz w:val="24"/>
                <w:szCs w:val="24"/>
              </w:rPr>
              <w:t xml:space="preserve">.punktā paredzētā specifiskā pētījuma </w:t>
            </w:r>
            <w:r w:rsidR="009F7371">
              <w:rPr>
                <w:rFonts w:ascii="Times New Roman" w:hAnsi="Times New Roman"/>
                <w:sz w:val="24"/>
                <w:szCs w:val="24"/>
              </w:rPr>
              <w:t>īstenošanu</w:t>
            </w:r>
            <w:r w:rsidR="00087D58">
              <w:rPr>
                <w:rFonts w:ascii="Times New Roman" w:hAnsi="Times New Roman"/>
                <w:sz w:val="24"/>
                <w:szCs w:val="24"/>
              </w:rPr>
              <w:t>,</w:t>
            </w:r>
            <w:r>
              <w:rPr>
                <w:rFonts w:ascii="Times New Roman" w:hAnsi="Times New Roman"/>
                <w:sz w:val="24"/>
                <w:szCs w:val="24"/>
              </w:rPr>
              <w:t xml:space="preserve"> tiek paredzēts izņēmums attiecībā uz datortehnikas iegādi un darba algu samaksu. </w:t>
            </w:r>
          </w:p>
          <w:p w:rsidR="00D65D67" w:rsidRDefault="00567E97" w:rsidP="00B5180C">
            <w:pPr>
              <w:spacing w:after="0" w:line="240" w:lineRule="auto"/>
              <w:jc w:val="both"/>
              <w:rPr>
                <w:rFonts w:ascii="Times New Roman" w:hAnsi="Times New Roman"/>
                <w:sz w:val="24"/>
                <w:szCs w:val="24"/>
              </w:rPr>
            </w:pPr>
            <w:r>
              <w:rPr>
                <w:rFonts w:ascii="Times New Roman" w:hAnsi="Times New Roman"/>
                <w:sz w:val="24"/>
                <w:szCs w:val="24"/>
              </w:rPr>
              <w:t>Noteikumu Nr. 59 45.</w:t>
            </w:r>
            <w:r w:rsidR="009F7371">
              <w:rPr>
                <w:rFonts w:ascii="Times New Roman" w:hAnsi="Times New Roman"/>
                <w:sz w:val="24"/>
                <w:szCs w:val="24"/>
              </w:rPr>
              <w:t> </w:t>
            </w:r>
            <w:r>
              <w:rPr>
                <w:rFonts w:ascii="Times New Roman" w:hAnsi="Times New Roman"/>
                <w:sz w:val="24"/>
                <w:szCs w:val="24"/>
              </w:rPr>
              <w:t>punktā precizēts atbalsta saņēmēju loks.</w:t>
            </w:r>
            <w:r w:rsidR="000C6811">
              <w:t xml:space="preserve"> </w:t>
            </w:r>
            <w:r w:rsidR="000C6811" w:rsidRPr="00C533E3">
              <w:rPr>
                <w:rFonts w:ascii="Times New Roman" w:hAnsi="Times New Roman"/>
                <w:sz w:val="24"/>
                <w:szCs w:val="24"/>
              </w:rPr>
              <w:t>Ņemot vērā Ministru kabineta 2015.gada 21.oktobra rīkojumu Nr.640 „Par atvasinātu publisku personu „Valsts Priekuļu laukaugu selekcijas institūts”, „Valsts Stendes graudaugu selekcijas institūts”, „Latvijas Valsts agrārās ekonomikas institūts” un „Latvijas Valsts augļkopības institūts” reorganizāciju”, precizēti potenciālie atbalsta saņēmēji.</w:t>
            </w:r>
            <w:r w:rsidR="00D65D67" w:rsidRPr="0013147D">
              <w:rPr>
                <w:rFonts w:ascii="Times New Roman" w:hAnsi="Times New Roman"/>
                <w:sz w:val="24"/>
                <w:szCs w:val="24"/>
              </w:rPr>
              <w:t xml:space="preserve"> </w:t>
            </w:r>
          </w:p>
          <w:p w:rsidR="00567E97" w:rsidRPr="00263457" w:rsidRDefault="00D65D67" w:rsidP="00B5180C">
            <w:pPr>
              <w:spacing w:after="0" w:line="240" w:lineRule="auto"/>
              <w:jc w:val="both"/>
              <w:rPr>
                <w:rFonts w:ascii="Times New Roman" w:hAnsi="Times New Roman"/>
                <w:sz w:val="24"/>
                <w:szCs w:val="24"/>
              </w:rPr>
            </w:pPr>
            <w:r w:rsidRPr="0013147D">
              <w:rPr>
                <w:rFonts w:ascii="Times New Roman" w:hAnsi="Times New Roman"/>
                <w:sz w:val="24"/>
                <w:szCs w:val="24"/>
              </w:rPr>
              <w:t>Noteikumi Nr. 59 papildināti ar 48.</w:t>
            </w:r>
            <w:r w:rsidRPr="0013147D">
              <w:rPr>
                <w:rFonts w:ascii="Times New Roman" w:hAnsi="Times New Roman"/>
                <w:sz w:val="24"/>
                <w:szCs w:val="24"/>
                <w:vertAlign w:val="superscript"/>
              </w:rPr>
              <w:t xml:space="preserve">1 </w:t>
            </w:r>
            <w:r w:rsidRPr="0013147D">
              <w:rPr>
                <w:rFonts w:ascii="Times New Roman" w:hAnsi="Times New Roman"/>
                <w:sz w:val="24"/>
                <w:szCs w:val="24"/>
              </w:rPr>
              <w:t>punktu, kas nosaka</w:t>
            </w:r>
            <w:r>
              <w:rPr>
                <w:rFonts w:ascii="Times New Roman" w:hAnsi="Times New Roman"/>
                <w:sz w:val="24"/>
                <w:szCs w:val="24"/>
              </w:rPr>
              <w:t>,</w:t>
            </w:r>
            <w:r w:rsidRPr="0013147D">
              <w:rPr>
                <w:rFonts w:ascii="Times New Roman" w:hAnsi="Times New Roman"/>
                <w:sz w:val="24"/>
                <w:szCs w:val="24"/>
              </w:rPr>
              <w:t xml:space="preserve"> no kura brīža ir attiecināmas izmaksas zinātnes projektu atbalstam.</w:t>
            </w:r>
          </w:p>
          <w:p w:rsidR="008C0D20" w:rsidRPr="0013147D" w:rsidRDefault="00567E97" w:rsidP="001E528F">
            <w:pPr>
              <w:spacing w:after="0" w:line="240" w:lineRule="auto"/>
              <w:jc w:val="both"/>
              <w:rPr>
                <w:rFonts w:ascii="Times New Roman" w:hAnsi="Times New Roman"/>
                <w:sz w:val="24"/>
                <w:szCs w:val="24"/>
              </w:rPr>
            </w:pPr>
            <w:r>
              <w:rPr>
                <w:rFonts w:ascii="Times New Roman" w:hAnsi="Times New Roman"/>
                <w:sz w:val="24"/>
                <w:szCs w:val="24"/>
              </w:rPr>
              <w:t>Noteikumu Nr. 59 49. punktā precizēta atbalsta iesniegumu iesniegšan</w:t>
            </w:r>
            <w:r w:rsidR="00087D58">
              <w:rPr>
                <w:rFonts w:ascii="Times New Roman" w:hAnsi="Times New Roman"/>
                <w:sz w:val="24"/>
                <w:szCs w:val="24"/>
              </w:rPr>
              <w:t>as kārtība</w:t>
            </w:r>
            <w:r>
              <w:rPr>
                <w:rFonts w:ascii="Times New Roman" w:hAnsi="Times New Roman"/>
                <w:sz w:val="24"/>
                <w:szCs w:val="24"/>
              </w:rPr>
              <w:t>, savukārt 52.</w:t>
            </w:r>
            <w:r w:rsidR="00087D58">
              <w:rPr>
                <w:rFonts w:ascii="Times New Roman" w:hAnsi="Times New Roman"/>
                <w:sz w:val="24"/>
                <w:szCs w:val="24"/>
              </w:rPr>
              <w:t>punktā</w:t>
            </w:r>
            <w:r>
              <w:rPr>
                <w:rFonts w:ascii="Times New Roman" w:hAnsi="Times New Roman"/>
                <w:sz w:val="24"/>
                <w:szCs w:val="24"/>
              </w:rPr>
              <w:t xml:space="preserve"> precizēta avansa izmaksu kārtība.</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C5E77">
            <w:pPr>
              <w:spacing w:after="0" w:line="240" w:lineRule="auto"/>
              <w:ind w:right="57"/>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6C5E77">
            <w:pPr>
              <w:spacing w:after="0" w:line="240" w:lineRule="auto"/>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420CFD">
            <w:pPr>
              <w:pStyle w:val="naiskr"/>
              <w:spacing w:before="0" w:beforeAutospacing="0" w:after="0" w:afterAutospacing="0"/>
              <w:ind w:left="57" w:right="57"/>
            </w:pPr>
            <w:r w:rsidRPr="00DD49B6">
              <w:t>Sabiedrības mēr</w:t>
            </w:r>
            <w:r w:rsidR="00420CFD">
              <w:t>ķ</w:t>
            </w:r>
            <w:r w:rsidRPr="00DD49B6">
              <w:t>grupas, kuras tiesiskais regulējums ietekmē vai varētu ietekmēt</w:t>
            </w:r>
          </w:p>
        </w:tc>
        <w:tc>
          <w:tcPr>
            <w:tcW w:w="6096" w:type="dxa"/>
          </w:tcPr>
          <w:p w:rsidR="006F5F9F" w:rsidRPr="00DD49B6" w:rsidRDefault="00261C13" w:rsidP="00261C13">
            <w:pPr>
              <w:shd w:val="clear" w:color="auto" w:fill="FFFFFF"/>
              <w:spacing w:after="0" w:line="240" w:lineRule="auto"/>
              <w:ind w:left="57" w:right="57"/>
              <w:jc w:val="both"/>
              <w:rPr>
                <w:rFonts w:ascii="Times New Roman" w:hAnsi="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 zvejniecību un zvejas apstrādi un lauksaimniecības pakalpojumu kooperatīvi </w:t>
            </w:r>
            <w:r w:rsidR="006F5F9F">
              <w:rPr>
                <w:rFonts w:ascii="Times New Roman" w:hAnsi="Times New Roman"/>
                <w:sz w:val="24"/>
              </w:rPr>
              <w:t>– kopā</w:t>
            </w:r>
            <w:r w:rsidR="006F5F9F" w:rsidRPr="00B232A4">
              <w:rPr>
                <w:rFonts w:ascii="Times New Roman" w:hAnsi="Times New Roman"/>
                <w:sz w:val="24"/>
              </w:rPr>
              <w:t xml:space="preserve"> aptuveni </w:t>
            </w:r>
            <w:r w:rsidR="002756BB">
              <w:rPr>
                <w:rFonts w:ascii="Times New Roman" w:hAnsi="Times New Roman"/>
                <w:sz w:val="24"/>
              </w:rPr>
              <w:t>1</w:t>
            </w:r>
            <w:r w:rsidR="00B5180C">
              <w:rPr>
                <w:rFonts w:ascii="Times New Roman" w:hAnsi="Times New Roman"/>
                <w:sz w:val="24"/>
              </w:rPr>
              <w:t>000</w:t>
            </w:r>
            <w:r w:rsidR="006F5F9F" w:rsidRPr="00B232A4">
              <w:rPr>
                <w:rFonts w:ascii="Times New Roman" w:hAnsi="Times New Roman"/>
                <w:sz w:val="24"/>
              </w:rPr>
              <w:t xml:space="preserve"> vals</w:t>
            </w:r>
            <w:r w:rsidR="006F5F9F">
              <w:rPr>
                <w:rFonts w:ascii="Times New Roman" w:hAnsi="Times New Roman"/>
                <w:sz w:val="24"/>
              </w:rPr>
              <w:t>ts atbalsta saņēmēju</w:t>
            </w:r>
            <w:r w:rsidR="006F5F9F" w:rsidRPr="00B232A4">
              <w:rPr>
                <w:rFonts w:ascii="Times New Roman" w:hAnsi="Times New Roman"/>
                <w:sz w:val="24"/>
              </w:rPr>
              <w:t>.</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t>2.</w:t>
            </w:r>
          </w:p>
        </w:tc>
        <w:tc>
          <w:tcPr>
            <w:tcW w:w="2976" w:type="dxa"/>
          </w:tcPr>
          <w:p w:rsidR="006C5E77" w:rsidRPr="00DD49B6" w:rsidRDefault="006C5E77" w:rsidP="006C5E77">
            <w:pPr>
              <w:pStyle w:val="naiskr"/>
              <w:spacing w:before="0" w:beforeAutospacing="0" w:after="0" w:afterAutospacing="0"/>
              <w:ind w:left="57" w:right="57"/>
            </w:pPr>
            <w:r w:rsidRPr="00DD49B6">
              <w:t>Tiesiskā regulējuma ietekme uz tautsaimniecību un administratīvo slogu</w:t>
            </w:r>
          </w:p>
        </w:tc>
        <w:tc>
          <w:tcPr>
            <w:tcW w:w="6096" w:type="dxa"/>
          </w:tcPr>
          <w:p w:rsidR="008F20DD" w:rsidRPr="0058384B" w:rsidRDefault="008F20DD" w:rsidP="008F20DD">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w:t>
            </w:r>
            <w:r w:rsidR="00D97368">
              <w:rPr>
                <w:rFonts w:ascii="Times New Roman" w:hAnsi="Times New Roman"/>
                <w:sz w:val="24"/>
              </w:rPr>
              <w:t xml:space="preserve">finansēto </w:t>
            </w:r>
            <w:r>
              <w:rPr>
                <w:rFonts w:ascii="Times New Roman" w:hAnsi="Times New Roman"/>
                <w:sz w:val="24"/>
              </w:rPr>
              <w:t>projektu īstenošanu un lauksaimniecības</w:t>
            </w:r>
            <w:r w:rsidR="00261C13">
              <w:rPr>
                <w:rFonts w:ascii="Times New Roman" w:hAnsi="Times New Roman"/>
                <w:sz w:val="24"/>
              </w:rPr>
              <w:t xml:space="preserve"> nozarē, lauksaimniecības produktu pārstrādē un zvejniecības un zvejas produktu apstrādē</w:t>
            </w:r>
            <w:r>
              <w:rPr>
                <w:rFonts w:ascii="Times New Roman" w:hAnsi="Times New Roman"/>
                <w:sz w:val="24"/>
              </w:rPr>
              <w:t xml:space="preserve"> iesaistītajiem uzņēmumiem nodrošin</w:t>
            </w:r>
            <w:r w:rsidR="00D97368">
              <w:rPr>
                <w:rFonts w:ascii="Times New Roman" w:hAnsi="Times New Roman"/>
                <w:sz w:val="24"/>
              </w:rPr>
              <w:t>ātu</w:t>
            </w:r>
            <w:r>
              <w:rPr>
                <w:rFonts w:ascii="Times New Roman" w:hAnsi="Times New Roman"/>
                <w:sz w:val="24"/>
              </w:rPr>
              <w:t xml:space="preserve"> ilgtermiņa investīcijas ar atbilstošām aizdevumu likmēm, papildus ir jāparedz atbalsts kredītprocentu daļējai dzēšanai. Tādējādi </w:t>
            </w:r>
            <w:r w:rsidR="00D97368">
              <w:rPr>
                <w:rFonts w:ascii="Times New Roman" w:hAnsi="Times New Roman"/>
                <w:sz w:val="24"/>
              </w:rPr>
              <w:t xml:space="preserve">tiks </w:t>
            </w:r>
            <w:r>
              <w:rPr>
                <w:rFonts w:ascii="Times New Roman" w:hAnsi="Times New Roman"/>
                <w:sz w:val="24"/>
              </w:rPr>
              <w:t>mazin</w:t>
            </w:r>
            <w:r w:rsidR="00D97368">
              <w:rPr>
                <w:rFonts w:ascii="Times New Roman" w:hAnsi="Times New Roman"/>
                <w:sz w:val="24"/>
              </w:rPr>
              <w:t>ā</w:t>
            </w:r>
            <w:r>
              <w:rPr>
                <w:rFonts w:ascii="Times New Roman" w:hAnsi="Times New Roman"/>
                <w:sz w:val="24"/>
              </w:rPr>
              <w:t>t</w:t>
            </w:r>
            <w:r w:rsidR="00D97368">
              <w:rPr>
                <w:rFonts w:ascii="Times New Roman" w:hAnsi="Times New Roman"/>
                <w:sz w:val="24"/>
              </w:rPr>
              <w:t>s</w:t>
            </w:r>
            <w:r>
              <w:rPr>
                <w:rFonts w:ascii="Times New Roman" w:hAnsi="Times New Roman"/>
                <w:sz w:val="24"/>
              </w:rPr>
              <w:t xml:space="preserve"> finansiāl</w:t>
            </w:r>
            <w:r w:rsidR="00D97368">
              <w:rPr>
                <w:rFonts w:ascii="Times New Roman" w:hAnsi="Times New Roman"/>
                <w:sz w:val="24"/>
              </w:rPr>
              <w:t>ais</w:t>
            </w:r>
            <w:r>
              <w:rPr>
                <w:rFonts w:ascii="Times New Roman" w:hAnsi="Times New Roman"/>
                <w:sz w:val="24"/>
              </w:rPr>
              <w:t xml:space="preserve"> slog</w:t>
            </w:r>
            <w:r w:rsidR="00D97368">
              <w:rPr>
                <w:rFonts w:ascii="Times New Roman" w:hAnsi="Times New Roman"/>
                <w:sz w:val="24"/>
              </w:rPr>
              <w:t>s</w:t>
            </w:r>
            <w:r>
              <w:rPr>
                <w:rFonts w:ascii="Times New Roman" w:hAnsi="Times New Roman"/>
                <w:sz w:val="24"/>
              </w:rPr>
              <w:t xml:space="preserve"> uzņēmumiem</w:t>
            </w:r>
            <w:r w:rsidR="00D97368">
              <w:rPr>
                <w:rFonts w:ascii="Times New Roman" w:hAnsi="Times New Roman"/>
                <w:sz w:val="24"/>
              </w:rPr>
              <w:t>, kas</w:t>
            </w:r>
            <w:r>
              <w:rPr>
                <w:rFonts w:ascii="Times New Roman" w:hAnsi="Times New Roman"/>
                <w:sz w:val="24"/>
              </w:rPr>
              <w:t xml:space="preserve"> maksā kredītprocentus par aizdevumu likmēm.</w:t>
            </w:r>
          </w:p>
          <w:p w:rsidR="006C5E77" w:rsidRDefault="003A6E81" w:rsidP="008F20DD">
            <w:pPr>
              <w:spacing w:after="0" w:line="240" w:lineRule="auto"/>
              <w:jc w:val="both"/>
              <w:rPr>
                <w:rFonts w:ascii="Times New Roman" w:hAnsi="Times New Roman"/>
                <w:sz w:val="24"/>
              </w:rPr>
            </w:pPr>
            <w:r>
              <w:rPr>
                <w:rFonts w:ascii="Times New Roman" w:hAnsi="Times New Roman"/>
                <w:sz w:val="24"/>
              </w:rPr>
              <w:t>U</w:t>
            </w:r>
            <w:r w:rsidR="008F20DD" w:rsidRPr="004A07AB">
              <w:rPr>
                <w:rFonts w:ascii="Times New Roman" w:hAnsi="Times New Roman"/>
                <w:sz w:val="24"/>
              </w:rPr>
              <w:t>zņēmumos lieli līdzekļi</w:t>
            </w:r>
            <w:r>
              <w:rPr>
                <w:rFonts w:ascii="Times New Roman" w:hAnsi="Times New Roman"/>
                <w:sz w:val="24"/>
              </w:rPr>
              <w:t xml:space="preserve"> tiek novirzīti maksājumiem par aizdevumu likmēm</w:t>
            </w:r>
            <w:r w:rsidR="008F20DD" w:rsidRPr="004A07AB">
              <w:rPr>
                <w:rFonts w:ascii="Times New Roman" w:hAnsi="Times New Roman"/>
                <w:sz w:val="24"/>
              </w:rPr>
              <w:t xml:space="preserve">, </w:t>
            </w:r>
            <w:r w:rsidR="009F7371">
              <w:rPr>
                <w:rFonts w:ascii="Times New Roman" w:hAnsi="Times New Roman"/>
                <w:sz w:val="24"/>
              </w:rPr>
              <w:t>bet tos</w:t>
            </w:r>
            <w:r w:rsidR="008F20DD" w:rsidRPr="004A07AB">
              <w:rPr>
                <w:rFonts w:ascii="Times New Roman" w:hAnsi="Times New Roman"/>
                <w:sz w:val="24"/>
              </w:rPr>
              <w:t xml:space="preserve"> varētu izmantot</w:t>
            </w:r>
            <w:r>
              <w:rPr>
                <w:rFonts w:ascii="Times New Roman" w:hAnsi="Times New Roman"/>
                <w:sz w:val="24"/>
              </w:rPr>
              <w:t xml:space="preserve"> efektīvāk</w:t>
            </w:r>
            <w:r w:rsidR="009F7371">
              <w:rPr>
                <w:rFonts w:ascii="Times New Roman" w:hAnsi="Times New Roman"/>
                <w:sz w:val="24"/>
              </w:rPr>
              <w:t>,</w:t>
            </w:r>
            <w:r>
              <w:rPr>
                <w:rFonts w:ascii="Times New Roman" w:hAnsi="Times New Roman"/>
                <w:sz w:val="24"/>
              </w:rPr>
              <w:t xml:space="preserve"> novirzot</w:t>
            </w:r>
            <w:r w:rsidR="008F20DD" w:rsidRPr="004A07AB">
              <w:rPr>
                <w:rFonts w:ascii="Times New Roman" w:hAnsi="Times New Roman"/>
                <w:sz w:val="24"/>
              </w:rPr>
              <w:t xml:space="preserve"> investīcijām efektivitātes palielināšanai un jaunu darbavietu radīšanai.</w:t>
            </w:r>
          </w:p>
          <w:p w:rsidR="008F20DD" w:rsidRDefault="008F20DD" w:rsidP="008F20DD">
            <w:pPr>
              <w:spacing w:after="0" w:line="240" w:lineRule="auto"/>
              <w:jc w:val="both"/>
              <w:rPr>
                <w:rFonts w:ascii="Times New Roman" w:hAnsi="Times New Roman"/>
                <w:sz w:val="24"/>
              </w:rPr>
            </w:pPr>
            <w:r w:rsidRPr="004A07AB">
              <w:rPr>
                <w:rFonts w:ascii="Times New Roman" w:hAnsi="Times New Roman"/>
                <w:sz w:val="24"/>
              </w:rPr>
              <w:t xml:space="preserve">Tādēļ ir nepieciešams atbalsts kredītprocentu daļējai dzēšanai </w:t>
            </w:r>
            <w:r w:rsidRPr="004A07AB">
              <w:rPr>
                <w:rFonts w:ascii="Times New Roman" w:hAnsi="Times New Roman"/>
                <w:sz w:val="24"/>
              </w:rPr>
              <w:lastRenderedPageBreak/>
              <w:t xml:space="preserve">lauksaimniecības </w:t>
            </w:r>
            <w:r>
              <w:rPr>
                <w:rFonts w:ascii="Times New Roman" w:hAnsi="Times New Roman"/>
                <w:sz w:val="24"/>
              </w:rPr>
              <w:t>nozarē</w:t>
            </w:r>
            <w:r w:rsidRPr="004A07AB">
              <w:rPr>
                <w:rFonts w:ascii="Times New Roman" w:hAnsi="Times New Roman"/>
                <w:sz w:val="24"/>
              </w:rPr>
              <w:t>,</w:t>
            </w:r>
            <w:r w:rsidR="003A6E81">
              <w:rPr>
                <w:rFonts w:ascii="Times New Roman" w:hAnsi="Times New Roman"/>
                <w:sz w:val="24"/>
              </w:rPr>
              <w:t xml:space="preserve"> lauksaimniecības produktu pārstrādē un zvejniecības un zvejas produktu apstrādē iesaistītajiem uzņēmumiem,</w:t>
            </w:r>
            <w:r w:rsidRPr="004A07AB">
              <w:rPr>
                <w:rFonts w:ascii="Times New Roman" w:hAnsi="Times New Roman"/>
                <w:sz w:val="24"/>
              </w:rPr>
              <w:t xml:space="preserve"> jo tā tiktu veicināta uzņēmumu efektivitāte un nodrošināta arī turpmāka investīciju ieplūšana uzņēmumos.</w:t>
            </w:r>
          </w:p>
          <w:p w:rsidR="003A6E81" w:rsidRPr="003A6E81" w:rsidRDefault="003A6E81" w:rsidP="003A6E81">
            <w:pPr>
              <w:spacing w:after="0" w:line="240" w:lineRule="auto"/>
              <w:jc w:val="both"/>
              <w:rPr>
                <w:rFonts w:ascii="Times New Roman" w:hAnsi="Times New Roman"/>
                <w:sz w:val="24"/>
                <w:szCs w:val="24"/>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w:t>
            </w:r>
            <w:r w:rsidR="009F7371">
              <w:rPr>
                <w:rFonts w:ascii="Times New Roman" w:hAnsi="Times New Roman"/>
                <w:sz w:val="24"/>
                <w:szCs w:val="24"/>
              </w:rPr>
              <w:t>u</w:t>
            </w:r>
            <w:r>
              <w:rPr>
                <w:rFonts w:ascii="Times New Roman" w:hAnsi="Times New Roman"/>
                <w:sz w:val="24"/>
                <w:szCs w:val="24"/>
              </w:rPr>
              <w:t>, nepieciešamo barības vielu izpēt</w:t>
            </w:r>
            <w:r w:rsidR="009F7371">
              <w:rPr>
                <w:rFonts w:ascii="Times New Roman" w:hAnsi="Times New Roman"/>
                <w:sz w:val="24"/>
                <w:szCs w:val="24"/>
              </w:rPr>
              <w:t>i</w:t>
            </w:r>
            <w:r>
              <w:rPr>
                <w:rFonts w:ascii="Times New Roman" w:hAnsi="Times New Roman"/>
                <w:sz w:val="24"/>
                <w:szCs w:val="24"/>
              </w:rPr>
              <w:t xml:space="preserve"> un slimību apkarošan</w:t>
            </w:r>
            <w:r w:rsidR="009F7371">
              <w:rPr>
                <w:rFonts w:ascii="Times New Roman" w:hAnsi="Times New Roman"/>
                <w:sz w:val="24"/>
                <w:szCs w:val="24"/>
              </w:rPr>
              <w:t>u</w:t>
            </w:r>
            <w:r>
              <w:rPr>
                <w:rFonts w:ascii="Times New Roman" w:hAnsi="Times New Roman"/>
                <w:sz w:val="24"/>
                <w:szCs w:val="24"/>
              </w:rPr>
              <w:t>.</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lastRenderedPageBreak/>
              <w:t>3.</w:t>
            </w:r>
          </w:p>
        </w:tc>
        <w:tc>
          <w:tcPr>
            <w:tcW w:w="2976" w:type="dxa"/>
          </w:tcPr>
          <w:p w:rsidR="006C5E77" w:rsidRPr="00DD49B6" w:rsidRDefault="006C5E77" w:rsidP="006C5E77">
            <w:pPr>
              <w:pStyle w:val="naiskr"/>
              <w:spacing w:before="0" w:beforeAutospacing="0" w:after="0" w:afterAutospacing="0"/>
              <w:ind w:left="57" w:right="57"/>
            </w:pPr>
            <w:r w:rsidRPr="00DD49B6">
              <w:t>Administratīvo izmaksu monetārs novērtējums</w:t>
            </w:r>
          </w:p>
        </w:tc>
        <w:tc>
          <w:tcPr>
            <w:tcW w:w="6096" w:type="dxa"/>
          </w:tcPr>
          <w:p w:rsidR="006C5E77" w:rsidRDefault="006C5E77" w:rsidP="006C5E77">
            <w:p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Aprēķinos ir izmantoti šādi pieņēmum</w:t>
            </w:r>
            <w:r>
              <w:rPr>
                <w:rFonts w:ascii="Times New Roman" w:hAnsi="Times New Roman"/>
                <w:sz w:val="24"/>
              </w:rPr>
              <w:t>i:</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Plānots, ka atbalstam pieteiksies aptuveni </w:t>
            </w:r>
            <w:r w:rsidR="0027196D">
              <w:rPr>
                <w:rFonts w:ascii="Times New Roman" w:hAnsi="Times New Roman"/>
                <w:sz w:val="24"/>
              </w:rPr>
              <w:t>100</w:t>
            </w:r>
            <w:r w:rsidR="00B5180C">
              <w:rPr>
                <w:rFonts w:ascii="Times New Roman" w:hAnsi="Times New Roman"/>
                <w:sz w:val="24"/>
              </w:rPr>
              <w:t>0</w:t>
            </w:r>
            <w:r w:rsidRPr="006D0787">
              <w:rPr>
                <w:rFonts w:ascii="Times New Roman" w:hAnsi="Times New Roman"/>
                <w:sz w:val="24"/>
              </w:rPr>
              <w:t xml:space="preserve"> </w:t>
            </w:r>
            <w:r>
              <w:rPr>
                <w:rFonts w:ascii="Times New Roman" w:hAnsi="Times New Roman"/>
                <w:sz w:val="24"/>
              </w:rPr>
              <w:t>atbalsta pretendentu</w:t>
            </w:r>
            <w:r w:rsidRPr="006D0787">
              <w:rPr>
                <w:rFonts w:ascii="Times New Roman" w:hAnsi="Times New Roman"/>
                <w:sz w:val="24"/>
              </w:rPr>
              <w:t>.</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Times New Roman" w:hAnsi="Times New Roman"/>
                <w:sz w:val="24"/>
              </w:rPr>
              <w:t>Atbalsta pretendentiem</w:t>
            </w:r>
            <w:r w:rsidRPr="006D0787">
              <w:rPr>
                <w:rFonts w:ascii="Times New Roman" w:hAnsi="Times New Roman"/>
                <w:sz w:val="24"/>
              </w:rPr>
              <w:t>, k</w:t>
            </w:r>
            <w:r>
              <w:rPr>
                <w:rFonts w:ascii="Times New Roman" w:hAnsi="Times New Roman"/>
                <w:sz w:val="24"/>
              </w:rPr>
              <w:t>as</w:t>
            </w:r>
            <w:r w:rsidRPr="006D0787">
              <w:rPr>
                <w:rFonts w:ascii="Times New Roman" w:hAnsi="Times New Roman"/>
                <w:sz w:val="24"/>
              </w:rPr>
              <w:t xml:space="preserve"> vēlas saņemt atbalstu</w:t>
            </w:r>
            <w:r>
              <w:rPr>
                <w:rFonts w:ascii="Times New Roman" w:hAnsi="Times New Roman"/>
                <w:sz w:val="24"/>
              </w:rPr>
              <w:t>,</w:t>
            </w:r>
            <w:r w:rsidRPr="006D0787">
              <w:rPr>
                <w:rFonts w:ascii="Times New Roman" w:hAnsi="Times New Roman"/>
                <w:sz w:val="24"/>
              </w:rPr>
              <w:t xml:space="preserve"> ir jāiesniedz Lauku atbalsta dienestā iesniegums, kā arī</w:t>
            </w:r>
            <w:r>
              <w:rPr>
                <w:rFonts w:ascii="Times New Roman" w:hAnsi="Times New Roman"/>
                <w:sz w:val="24"/>
              </w:rPr>
              <w:t xml:space="preserve"> visas</w:t>
            </w:r>
            <w:r w:rsidRPr="006D0787">
              <w:rPr>
                <w:rFonts w:ascii="Times New Roman" w:hAnsi="Times New Roman"/>
                <w:sz w:val="24"/>
              </w:rPr>
              <w:t xml:space="preserve"> </w:t>
            </w:r>
            <w:r>
              <w:rPr>
                <w:rFonts w:ascii="Times New Roman" w:hAnsi="Times New Roman"/>
                <w:sz w:val="24"/>
              </w:rPr>
              <w:t>nepieciešamās</w:t>
            </w:r>
            <w:r w:rsidRPr="006D0787">
              <w:rPr>
                <w:rFonts w:ascii="Times New Roman" w:hAnsi="Times New Roman"/>
                <w:sz w:val="24"/>
              </w:rPr>
              <w:t xml:space="preserve"> dokumentu kopijas.</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Aprēķinos ir izmantoti šādi pieņēmumi:</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Verdana" w:hAnsi="Verdana"/>
                <w:sz w:val="24"/>
              </w:rPr>
              <w:t>•</w:t>
            </w:r>
            <w:r w:rsidRPr="006D0787">
              <w:rPr>
                <w:rFonts w:ascii="Times New Roman" w:hAnsi="Times New Roman"/>
                <w:sz w:val="24"/>
              </w:rPr>
              <w:t xml:space="preserve"> vidējā darba alga – 4,32 </w:t>
            </w:r>
            <w:r w:rsidRPr="00983C26">
              <w:rPr>
                <w:rFonts w:ascii="Times New Roman" w:hAnsi="Times New Roman"/>
                <w:i/>
                <w:sz w:val="24"/>
              </w:rPr>
              <w:t>euro</w:t>
            </w:r>
            <w:r w:rsidRPr="006D0787">
              <w:rPr>
                <w:rFonts w:ascii="Times New Roman" w:hAnsi="Times New Roman"/>
                <w:sz w:val="24"/>
              </w:rPr>
              <w:t xml:space="preserve"> stundā (Centrālās statistikas pārvaldes dati: 2013.gada mēneša vidējā darba samaksa: 716 </w:t>
            </w:r>
            <w:r w:rsidRPr="006D0787">
              <w:rPr>
                <w:rFonts w:ascii="Times New Roman" w:hAnsi="Times New Roman"/>
                <w:i/>
                <w:sz w:val="24"/>
              </w:rPr>
              <w:t>euro</w:t>
            </w:r>
            <w:r w:rsidRPr="006D0787">
              <w:rPr>
                <w:rFonts w:ascii="Times New Roman" w:hAnsi="Times New Roman"/>
                <w:sz w:val="24"/>
              </w:rPr>
              <w:t>, 2014.gadā: 165,58 stundas/mēnesī));</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Verdana" w:hAnsi="Verdana"/>
                <w:sz w:val="24"/>
              </w:rPr>
              <w:t>•</w:t>
            </w:r>
            <w:r w:rsidRPr="006D0787">
              <w:rPr>
                <w:rFonts w:ascii="Times New Roman" w:hAnsi="Times New Roman"/>
                <w:sz w:val="24"/>
              </w:rPr>
              <w:t xml:space="preserve"> degvielas cena </w:t>
            </w:r>
            <w:r>
              <w:rPr>
                <w:rFonts w:ascii="Times New Roman" w:hAnsi="Times New Roman"/>
                <w:sz w:val="24"/>
              </w:rPr>
              <w:t>–</w:t>
            </w:r>
            <w:r w:rsidRPr="006D0787">
              <w:rPr>
                <w:rFonts w:ascii="Times New Roman" w:hAnsi="Times New Roman"/>
                <w:sz w:val="24"/>
              </w:rPr>
              <w:t xml:space="preserve"> 1,2 </w:t>
            </w:r>
            <w:r w:rsidRPr="006D0787">
              <w:rPr>
                <w:rFonts w:ascii="Times New Roman" w:hAnsi="Times New Roman"/>
                <w:i/>
                <w:sz w:val="24"/>
              </w:rPr>
              <w:t>euro</w:t>
            </w:r>
            <w:r w:rsidRPr="006D0787">
              <w:rPr>
                <w:rFonts w:ascii="Times New Roman" w:hAnsi="Times New Roman"/>
                <w:sz w:val="24"/>
              </w:rPr>
              <w:t xml:space="preserve"> litrā;</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Verdana" w:hAnsi="Verdana"/>
                <w:sz w:val="24"/>
              </w:rPr>
              <w:t>•</w:t>
            </w:r>
            <w:r w:rsidRPr="006D0787">
              <w:rPr>
                <w:rFonts w:ascii="Times New Roman" w:hAnsi="Times New Roman"/>
                <w:sz w:val="24"/>
              </w:rPr>
              <w:t xml:space="preserve"> degvielas patēriņa maksimums – 10 litr</w:t>
            </w:r>
            <w:r>
              <w:rPr>
                <w:rFonts w:ascii="Times New Roman" w:hAnsi="Times New Roman"/>
                <w:sz w:val="24"/>
              </w:rPr>
              <w:t>u</w:t>
            </w:r>
            <w:r w:rsidRPr="006D0787">
              <w:rPr>
                <w:rFonts w:ascii="Times New Roman" w:hAnsi="Times New Roman"/>
                <w:sz w:val="24"/>
              </w:rPr>
              <w:t xml:space="preserve"> uz 100</w:t>
            </w:r>
            <w:r>
              <w:rPr>
                <w:rFonts w:ascii="Times New Roman" w:hAnsi="Times New Roman"/>
                <w:sz w:val="24"/>
              </w:rPr>
              <w:t> </w:t>
            </w:r>
            <w:r w:rsidRPr="006D0787">
              <w:rPr>
                <w:rFonts w:ascii="Times New Roman" w:hAnsi="Times New Roman"/>
                <w:sz w:val="24"/>
              </w:rPr>
              <w:t>kilometriem.</w:t>
            </w:r>
          </w:p>
          <w:p w:rsidR="006C5E77" w:rsidRPr="006D0787" w:rsidRDefault="006C5E77" w:rsidP="006C5E77">
            <w:pPr>
              <w:autoSpaceDE w:val="0"/>
              <w:autoSpaceDN w:val="0"/>
              <w:adjustRightInd w:val="0"/>
              <w:spacing w:after="0" w:line="240" w:lineRule="auto"/>
              <w:jc w:val="both"/>
              <w:rPr>
                <w:rFonts w:ascii="Times New Roman" w:hAnsi="Times New Roman"/>
                <w:sz w:val="24"/>
              </w:rPr>
            </w:pP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1) Iepazīšanās ar atbalsta saņemšanas prasībām un dokumentu iesniegšana</w:t>
            </w:r>
            <w:r w:rsidR="00D97368">
              <w:rPr>
                <w:rFonts w:ascii="Times New Roman" w:hAnsi="Times New Roman"/>
                <w:sz w:val="24"/>
              </w:rPr>
              <w:t>.</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Times New Roman" w:hAnsi="Times New Roman"/>
                <w:sz w:val="24"/>
              </w:rPr>
              <w:t>Atbalsta pretendentam</w:t>
            </w:r>
            <w:r w:rsidRPr="006D0787">
              <w:rPr>
                <w:rFonts w:ascii="Times New Roman" w:hAnsi="Times New Roman"/>
                <w:sz w:val="24"/>
              </w:rPr>
              <w:t>, k</w:t>
            </w:r>
            <w:r>
              <w:rPr>
                <w:rFonts w:ascii="Times New Roman" w:hAnsi="Times New Roman"/>
                <w:sz w:val="24"/>
              </w:rPr>
              <w:t>as</w:t>
            </w:r>
            <w:r w:rsidRPr="006D0787">
              <w:rPr>
                <w:rFonts w:ascii="Times New Roman" w:hAnsi="Times New Roman"/>
                <w:sz w:val="24"/>
              </w:rPr>
              <w:t xml:space="preserve"> vēlas saņemt atbalstu</w:t>
            </w:r>
            <w:r>
              <w:rPr>
                <w:rFonts w:ascii="Times New Roman" w:hAnsi="Times New Roman"/>
                <w:sz w:val="24"/>
              </w:rPr>
              <w:t>,</w:t>
            </w:r>
            <w:r w:rsidRPr="006D0787">
              <w:rPr>
                <w:rFonts w:ascii="Times New Roman" w:hAnsi="Times New Roman"/>
                <w:sz w:val="24"/>
              </w:rPr>
              <w:t xml:space="preserve"> ir jāierodas Lauku atbalsta dienestā, lai iesniegtu iesniegumu. Tiek pieņemts, ka atbalsta pretendents ierodas Lauku atbalsta dienesta reģionālajā lauksaimniecības pārvaldē (turpmāk – pārvalde) ar savu automob</w:t>
            </w:r>
            <w:r>
              <w:rPr>
                <w:rFonts w:ascii="Times New Roman" w:hAnsi="Times New Roman"/>
                <w:sz w:val="24"/>
              </w:rPr>
              <w:t>i</w:t>
            </w:r>
            <w:r w:rsidRPr="006D0787">
              <w:rPr>
                <w:rFonts w:ascii="Times New Roman" w:hAnsi="Times New Roman"/>
                <w:sz w:val="24"/>
              </w:rPr>
              <w:t>li. Braukšanas attālums līdz tuvākajai pārvaldes nodaļai un atpakaļ – vidēji 68 km (pētījums</w:t>
            </w:r>
            <w:r>
              <w:rPr>
                <w:rFonts w:ascii="Times New Roman" w:hAnsi="Times New Roman"/>
                <w:sz w:val="24"/>
              </w:rPr>
              <w:t>:</w:t>
            </w:r>
            <w:r w:rsidRPr="006D0787">
              <w:rPr>
                <w:rFonts w:ascii="Times New Roman" w:hAnsi="Times New Roman"/>
                <w:sz w:val="24"/>
              </w:rPr>
              <w:t xml:space="preserve"> Pilvere I., Nipers A., Kozlinskis V., Tetere V. u.c. (2007) „Administratīvā sloga un izmaksu izvērtējums lauksaimniekiem”).</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Ceļa izmaksas (degvielas izmaksas) tiek rēķinātas </w:t>
            </w:r>
            <w:r>
              <w:rPr>
                <w:rFonts w:ascii="Times New Roman" w:hAnsi="Times New Roman"/>
                <w:sz w:val="24"/>
              </w:rPr>
              <w:t>uz</w:t>
            </w:r>
            <w:r w:rsidRPr="006D0787">
              <w:rPr>
                <w:rFonts w:ascii="Times New Roman" w:hAnsi="Times New Roman"/>
                <w:sz w:val="24"/>
              </w:rPr>
              <w:t xml:space="preserve"> </w:t>
            </w:r>
            <w:r w:rsidR="0027196D">
              <w:rPr>
                <w:rFonts w:ascii="Times New Roman" w:hAnsi="Times New Roman"/>
                <w:sz w:val="24"/>
              </w:rPr>
              <w:t>100</w:t>
            </w:r>
            <w:r w:rsidR="00DB5382">
              <w:rPr>
                <w:rFonts w:ascii="Times New Roman" w:hAnsi="Times New Roman"/>
                <w:sz w:val="24"/>
              </w:rPr>
              <w:t>0</w:t>
            </w:r>
            <w:r>
              <w:rPr>
                <w:rFonts w:ascii="Times New Roman" w:hAnsi="Times New Roman"/>
                <w:sz w:val="24"/>
              </w:rPr>
              <w:t> atbalsta saņēmējiem</w:t>
            </w:r>
            <w:r w:rsidRPr="006D0787">
              <w:rPr>
                <w:rFonts w:ascii="Times New Roman" w:hAnsi="Times New Roman"/>
                <w:sz w:val="24"/>
              </w:rPr>
              <w:t>:</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C1c = (68 km x 10 l /100 km) x 1,2 x </w:t>
            </w:r>
            <w:r w:rsidR="0027196D">
              <w:rPr>
                <w:rFonts w:ascii="Times New Roman" w:hAnsi="Times New Roman"/>
                <w:sz w:val="24"/>
              </w:rPr>
              <w:t>100</w:t>
            </w:r>
            <w:r w:rsidR="00B5180C">
              <w:rPr>
                <w:rFonts w:ascii="Times New Roman" w:hAnsi="Times New Roman"/>
                <w:sz w:val="24"/>
              </w:rPr>
              <w:t>0</w:t>
            </w:r>
            <w:r w:rsidRPr="006D0787">
              <w:rPr>
                <w:rFonts w:ascii="Times New Roman" w:hAnsi="Times New Roman"/>
                <w:sz w:val="24"/>
              </w:rPr>
              <w:t xml:space="preserve"> x 1 = </w:t>
            </w:r>
            <w:r w:rsidR="0027196D">
              <w:rPr>
                <w:rFonts w:ascii="Times New Roman" w:hAnsi="Times New Roman"/>
                <w:sz w:val="24"/>
              </w:rPr>
              <w:t>816</w:t>
            </w:r>
            <w:r w:rsidR="00B5180C">
              <w:rPr>
                <w:rFonts w:ascii="Times New Roman" w:hAnsi="Times New Roman"/>
                <w:sz w:val="24"/>
              </w:rPr>
              <w:t>0</w:t>
            </w:r>
            <w:r w:rsidRPr="006D0787">
              <w:rPr>
                <w:rFonts w:ascii="Times New Roman" w:hAnsi="Times New Roman"/>
                <w:sz w:val="24"/>
              </w:rPr>
              <w:t xml:space="preserve"> </w:t>
            </w:r>
            <w:r w:rsidRPr="006D0787">
              <w:rPr>
                <w:rFonts w:ascii="Times New Roman" w:hAnsi="Times New Roman"/>
                <w:i/>
                <w:sz w:val="24"/>
              </w:rPr>
              <w:t>euro</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Vienam atbalsta pretendentam iepazīšanās ar atbalsta saņemšanas nosacījumiem vidēji prasīs 10 minū</w:t>
            </w:r>
            <w:r>
              <w:rPr>
                <w:rFonts w:ascii="Times New Roman" w:hAnsi="Times New Roman"/>
                <w:sz w:val="24"/>
              </w:rPr>
              <w:t>šu</w:t>
            </w:r>
            <w:r w:rsidRPr="006D0787">
              <w:rPr>
                <w:rFonts w:ascii="Times New Roman" w:hAnsi="Times New Roman"/>
                <w:sz w:val="24"/>
              </w:rPr>
              <w:t xml:space="preserve"> (0,166 stundas):</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C1i = 4,32 (vidējā darba alga) x 0,166 x </w:t>
            </w:r>
            <w:r w:rsidR="0027196D">
              <w:rPr>
                <w:rFonts w:ascii="Times New Roman" w:hAnsi="Times New Roman"/>
                <w:sz w:val="24"/>
              </w:rPr>
              <w:t>100</w:t>
            </w:r>
            <w:r w:rsidR="00B5180C">
              <w:rPr>
                <w:rFonts w:ascii="Times New Roman" w:hAnsi="Times New Roman"/>
                <w:sz w:val="24"/>
              </w:rPr>
              <w:t>0</w:t>
            </w:r>
            <w:r w:rsidRPr="006D0787">
              <w:rPr>
                <w:rFonts w:ascii="Times New Roman" w:hAnsi="Times New Roman"/>
                <w:sz w:val="24"/>
              </w:rPr>
              <w:t xml:space="preserve"> x 1 = </w:t>
            </w:r>
            <w:r w:rsidR="0027196D">
              <w:rPr>
                <w:rFonts w:ascii="Times New Roman" w:hAnsi="Times New Roman"/>
                <w:sz w:val="24"/>
              </w:rPr>
              <w:t>71</w:t>
            </w:r>
            <w:r w:rsidR="00B5180C">
              <w:rPr>
                <w:rFonts w:ascii="Times New Roman" w:hAnsi="Times New Roman"/>
                <w:sz w:val="24"/>
              </w:rPr>
              <w:t>7</w:t>
            </w:r>
            <w:r>
              <w:rPr>
                <w:rFonts w:ascii="Times New Roman" w:hAnsi="Times New Roman"/>
                <w:sz w:val="24"/>
              </w:rPr>
              <w:t>,</w:t>
            </w:r>
            <w:r w:rsidR="0027196D">
              <w:rPr>
                <w:rFonts w:ascii="Times New Roman" w:hAnsi="Times New Roman"/>
                <w:sz w:val="24"/>
              </w:rPr>
              <w:t>1</w:t>
            </w:r>
            <w:r w:rsidR="00B5180C">
              <w:rPr>
                <w:rFonts w:ascii="Times New Roman" w:hAnsi="Times New Roman"/>
                <w:sz w:val="24"/>
              </w:rPr>
              <w:t>2</w:t>
            </w:r>
            <w:r w:rsidRPr="006D0787">
              <w:rPr>
                <w:rFonts w:ascii="Times New Roman" w:hAnsi="Times New Roman"/>
                <w:sz w:val="24"/>
              </w:rPr>
              <w:t xml:space="preserve"> </w:t>
            </w:r>
            <w:r w:rsidRPr="006D0787">
              <w:rPr>
                <w:rFonts w:ascii="Times New Roman" w:hAnsi="Times New Roman"/>
                <w:i/>
                <w:sz w:val="24"/>
              </w:rPr>
              <w:t>euro</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Iepazīšanās ar atbalsta saņemšanas nosacījumiem un dokumentu iesniegšana izmaksas kopā:</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C1 = C1c + C1i = </w:t>
            </w:r>
            <w:r w:rsidR="0027196D">
              <w:rPr>
                <w:rFonts w:ascii="Times New Roman" w:hAnsi="Times New Roman"/>
                <w:sz w:val="24"/>
              </w:rPr>
              <w:t>816</w:t>
            </w:r>
            <w:r w:rsidR="00B5180C">
              <w:rPr>
                <w:rFonts w:ascii="Times New Roman" w:hAnsi="Times New Roman"/>
                <w:sz w:val="24"/>
              </w:rPr>
              <w:t>0</w:t>
            </w:r>
            <w:r w:rsidRPr="006D0787">
              <w:rPr>
                <w:rFonts w:ascii="Times New Roman" w:hAnsi="Times New Roman"/>
                <w:sz w:val="24"/>
              </w:rPr>
              <w:t xml:space="preserve"> + </w:t>
            </w:r>
            <w:r w:rsidR="0027196D">
              <w:rPr>
                <w:rFonts w:ascii="Times New Roman" w:hAnsi="Times New Roman"/>
                <w:sz w:val="24"/>
              </w:rPr>
              <w:t>71</w:t>
            </w:r>
            <w:r w:rsidR="00B5180C">
              <w:rPr>
                <w:rFonts w:ascii="Times New Roman" w:hAnsi="Times New Roman"/>
                <w:sz w:val="24"/>
              </w:rPr>
              <w:t>7</w:t>
            </w:r>
            <w:r w:rsidR="0027196D">
              <w:rPr>
                <w:rFonts w:ascii="Times New Roman" w:hAnsi="Times New Roman"/>
                <w:sz w:val="24"/>
              </w:rPr>
              <w:t>,</w:t>
            </w:r>
            <w:r w:rsidR="00B5180C">
              <w:rPr>
                <w:rFonts w:ascii="Times New Roman" w:hAnsi="Times New Roman"/>
                <w:sz w:val="24"/>
              </w:rPr>
              <w:t>12</w:t>
            </w:r>
            <w:r w:rsidRPr="006D0787">
              <w:rPr>
                <w:rFonts w:ascii="Times New Roman" w:hAnsi="Times New Roman"/>
                <w:sz w:val="24"/>
              </w:rPr>
              <w:t xml:space="preserve"> = </w:t>
            </w:r>
            <w:r w:rsidR="0027196D">
              <w:rPr>
                <w:rFonts w:ascii="Times New Roman" w:hAnsi="Times New Roman"/>
                <w:sz w:val="24"/>
              </w:rPr>
              <w:t>887</w:t>
            </w:r>
            <w:r w:rsidR="00B5180C">
              <w:rPr>
                <w:rFonts w:ascii="Times New Roman" w:hAnsi="Times New Roman"/>
                <w:sz w:val="24"/>
              </w:rPr>
              <w:t>7</w:t>
            </w:r>
            <w:r>
              <w:rPr>
                <w:rFonts w:ascii="Times New Roman" w:hAnsi="Times New Roman"/>
                <w:sz w:val="24"/>
              </w:rPr>
              <w:t>,</w:t>
            </w:r>
            <w:r w:rsidR="00B5180C">
              <w:rPr>
                <w:rFonts w:ascii="Times New Roman" w:hAnsi="Times New Roman"/>
                <w:sz w:val="24"/>
              </w:rPr>
              <w:t>12</w:t>
            </w:r>
            <w:r w:rsidRPr="006D0787">
              <w:rPr>
                <w:rFonts w:ascii="Times New Roman" w:hAnsi="Times New Roman"/>
                <w:sz w:val="24"/>
              </w:rPr>
              <w:t xml:space="preserve"> </w:t>
            </w:r>
            <w:r w:rsidRPr="006D0787">
              <w:rPr>
                <w:rFonts w:ascii="Times New Roman" w:hAnsi="Times New Roman"/>
                <w:i/>
                <w:sz w:val="24"/>
              </w:rPr>
              <w:t>euro</w:t>
            </w:r>
            <w:r w:rsidRPr="006D0787">
              <w:rPr>
                <w:rFonts w:ascii="Times New Roman" w:hAnsi="Times New Roman"/>
                <w:sz w:val="24"/>
              </w:rPr>
              <w:t xml:space="preserve"> </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2) Iesnieguma aizpildīšana (noteikumu projekta pielikums)</w:t>
            </w:r>
            <w:r w:rsidR="00D97368">
              <w:rPr>
                <w:rFonts w:ascii="Times New Roman" w:hAnsi="Times New Roman"/>
                <w:sz w:val="24"/>
              </w:rPr>
              <w:t>.</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Times New Roman" w:hAnsi="Times New Roman"/>
                <w:sz w:val="24"/>
              </w:rPr>
              <w:t>T</w:t>
            </w:r>
            <w:r w:rsidRPr="006D0787">
              <w:rPr>
                <w:rFonts w:ascii="Times New Roman" w:hAnsi="Times New Roman"/>
                <w:sz w:val="24"/>
              </w:rPr>
              <w:t>iek izmantoti š</w:t>
            </w:r>
            <w:r>
              <w:rPr>
                <w:rFonts w:ascii="Times New Roman" w:hAnsi="Times New Roman"/>
                <w:sz w:val="24"/>
              </w:rPr>
              <w:t>ād</w:t>
            </w:r>
            <w:r w:rsidRPr="006D0787">
              <w:rPr>
                <w:rFonts w:ascii="Times New Roman" w:hAnsi="Times New Roman"/>
                <w:sz w:val="24"/>
              </w:rPr>
              <w:t xml:space="preserve">i pieņēmumi par laika patēriņu </w:t>
            </w:r>
            <w:r>
              <w:rPr>
                <w:rFonts w:ascii="Times New Roman" w:hAnsi="Times New Roman"/>
                <w:sz w:val="24"/>
              </w:rPr>
              <w:t>i</w:t>
            </w:r>
            <w:r w:rsidRPr="006D0787">
              <w:rPr>
                <w:rFonts w:ascii="Times New Roman" w:hAnsi="Times New Roman"/>
                <w:sz w:val="24"/>
              </w:rPr>
              <w:t>esnieguma aizpildīšanai:</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Verdana" w:hAnsi="Verdana"/>
                <w:sz w:val="24"/>
              </w:rPr>
              <w:t>•</w:t>
            </w:r>
            <w:r w:rsidRPr="006D0787">
              <w:rPr>
                <w:rFonts w:ascii="Times New Roman" w:hAnsi="Times New Roman"/>
                <w:sz w:val="24"/>
              </w:rPr>
              <w:t xml:space="preserve"> iepazīšanas ar iesnieguma veidlapu – 2 minūtes (0,033</w:t>
            </w:r>
            <w:r>
              <w:rPr>
                <w:rFonts w:ascii="Times New Roman" w:hAnsi="Times New Roman"/>
                <w:sz w:val="24"/>
              </w:rPr>
              <w:t> </w:t>
            </w:r>
            <w:r w:rsidRPr="006D0787">
              <w:rPr>
                <w:rFonts w:ascii="Times New Roman" w:hAnsi="Times New Roman"/>
                <w:sz w:val="24"/>
              </w:rPr>
              <w:t>stundas);</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Pr>
                <w:rFonts w:ascii="Verdana" w:hAnsi="Verdana"/>
                <w:sz w:val="24"/>
              </w:rPr>
              <w:lastRenderedPageBreak/>
              <w:t>•</w:t>
            </w:r>
            <w:r w:rsidRPr="006D0787">
              <w:rPr>
                <w:rFonts w:ascii="Times New Roman" w:hAnsi="Times New Roman"/>
                <w:sz w:val="24"/>
              </w:rPr>
              <w:t xml:space="preserve"> iesnieguma aizpildīšana (</w:t>
            </w:r>
            <w:r w:rsidR="0027196D">
              <w:rPr>
                <w:rFonts w:ascii="Times New Roman" w:hAnsi="Times New Roman"/>
                <w:sz w:val="24"/>
              </w:rPr>
              <w:t>100</w:t>
            </w:r>
            <w:r w:rsidR="00DB5382">
              <w:rPr>
                <w:rFonts w:ascii="Times New Roman" w:hAnsi="Times New Roman"/>
                <w:sz w:val="24"/>
              </w:rPr>
              <w:t>0</w:t>
            </w:r>
            <w:r>
              <w:rPr>
                <w:rFonts w:ascii="Times New Roman" w:hAnsi="Times New Roman"/>
                <w:sz w:val="24"/>
              </w:rPr>
              <w:t xml:space="preserve"> atbalsta pretendent</w:t>
            </w:r>
            <w:r w:rsidR="00D97368">
              <w:rPr>
                <w:rFonts w:ascii="Times New Roman" w:hAnsi="Times New Roman"/>
                <w:sz w:val="24"/>
              </w:rPr>
              <w:t>u</w:t>
            </w:r>
            <w:r w:rsidRPr="006D0787">
              <w:rPr>
                <w:rFonts w:ascii="Times New Roman" w:hAnsi="Times New Roman"/>
                <w:sz w:val="24"/>
              </w:rPr>
              <w:t>) – 10</w:t>
            </w:r>
            <w:r>
              <w:rPr>
                <w:rFonts w:ascii="Times New Roman" w:hAnsi="Times New Roman"/>
                <w:sz w:val="24"/>
              </w:rPr>
              <w:t> </w:t>
            </w:r>
            <w:r w:rsidRPr="006D0787">
              <w:rPr>
                <w:rFonts w:ascii="Times New Roman" w:hAnsi="Times New Roman"/>
                <w:sz w:val="24"/>
              </w:rPr>
              <w:t>minū</w:t>
            </w:r>
            <w:r>
              <w:rPr>
                <w:rFonts w:ascii="Times New Roman" w:hAnsi="Times New Roman"/>
                <w:sz w:val="24"/>
              </w:rPr>
              <w:t>šu</w:t>
            </w:r>
            <w:r w:rsidRPr="006D0787">
              <w:rPr>
                <w:rFonts w:ascii="Times New Roman" w:hAnsi="Times New Roman"/>
                <w:sz w:val="24"/>
              </w:rPr>
              <w:t xml:space="preserve"> (0,166 stundas):</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C2 = 4,32 x (0,033 + 0,166) x </w:t>
            </w:r>
            <w:r w:rsidR="0027196D">
              <w:rPr>
                <w:rFonts w:ascii="Times New Roman" w:hAnsi="Times New Roman"/>
                <w:sz w:val="24"/>
              </w:rPr>
              <w:t>100</w:t>
            </w:r>
            <w:r w:rsidR="00DB5382">
              <w:rPr>
                <w:rFonts w:ascii="Times New Roman" w:hAnsi="Times New Roman"/>
                <w:sz w:val="24"/>
              </w:rPr>
              <w:t>0</w:t>
            </w:r>
            <w:r w:rsidRPr="006D0787">
              <w:rPr>
                <w:rFonts w:ascii="Times New Roman" w:hAnsi="Times New Roman"/>
                <w:sz w:val="24"/>
              </w:rPr>
              <w:t xml:space="preserve"> = </w:t>
            </w:r>
            <w:r w:rsidR="0027196D">
              <w:rPr>
                <w:rFonts w:ascii="Times New Roman" w:hAnsi="Times New Roman"/>
                <w:sz w:val="24"/>
              </w:rPr>
              <w:t>85</w:t>
            </w:r>
            <w:r w:rsidR="00DB5382">
              <w:rPr>
                <w:rFonts w:ascii="Times New Roman" w:hAnsi="Times New Roman"/>
                <w:sz w:val="24"/>
              </w:rPr>
              <w:t>9</w:t>
            </w:r>
            <w:r>
              <w:rPr>
                <w:rFonts w:ascii="Times New Roman" w:hAnsi="Times New Roman"/>
                <w:sz w:val="24"/>
              </w:rPr>
              <w:t>,</w:t>
            </w:r>
            <w:r w:rsidR="0027196D">
              <w:rPr>
                <w:rFonts w:ascii="Times New Roman" w:hAnsi="Times New Roman"/>
                <w:sz w:val="24"/>
              </w:rPr>
              <w:t>7</w:t>
            </w:r>
            <w:r w:rsidRPr="006D0787">
              <w:rPr>
                <w:rFonts w:ascii="Times New Roman" w:hAnsi="Times New Roman"/>
                <w:sz w:val="24"/>
              </w:rPr>
              <w:t xml:space="preserve"> </w:t>
            </w:r>
            <w:r w:rsidRPr="006D0787">
              <w:rPr>
                <w:rFonts w:ascii="Times New Roman" w:hAnsi="Times New Roman"/>
                <w:i/>
                <w:sz w:val="24"/>
              </w:rPr>
              <w:t>euro</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 xml:space="preserve">Kopējās administratīvās izmaksas personām: </w:t>
            </w:r>
          </w:p>
          <w:p w:rsidR="006C5E77" w:rsidRPr="006D0787" w:rsidRDefault="006C5E77" w:rsidP="006C5E77">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C</w:t>
            </w:r>
            <w:r>
              <w:rPr>
                <w:rFonts w:ascii="Times New Roman" w:hAnsi="Times New Roman"/>
                <w:sz w:val="24"/>
              </w:rPr>
              <w:t> </w:t>
            </w:r>
            <w:r w:rsidRPr="006D0787">
              <w:rPr>
                <w:rFonts w:ascii="Times New Roman" w:hAnsi="Times New Roman"/>
                <w:sz w:val="24"/>
              </w:rPr>
              <w:t xml:space="preserve">kopā = C1 + C2 = </w:t>
            </w:r>
            <w:r w:rsidR="00DB5382">
              <w:rPr>
                <w:rFonts w:ascii="Times New Roman" w:hAnsi="Times New Roman"/>
                <w:sz w:val="24"/>
              </w:rPr>
              <w:t>8877,12</w:t>
            </w:r>
            <w:r w:rsidR="00DB5382" w:rsidRPr="006D0787">
              <w:rPr>
                <w:rFonts w:ascii="Times New Roman" w:hAnsi="Times New Roman"/>
                <w:sz w:val="24"/>
              </w:rPr>
              <w:t xml:space="preserve"> </w:t>
            </w:r>
            <w:r w:rsidRPr="006D0787">
              <w:rPr>
                <w:rFonts w:ascii="Times New Roman" w:hAnsi="Times New Roman"/>
                <w:sz w:val="24"/>
              </w:rPr>
              <w:t xml:space="preserve">+ </w:t>
            </w:r>
            <w:r w:rsidR="00DB5382">
              <w:rPr>
                <w:rFonts w:ascii="Times New Roman" w:hAnsi="Times New Roman"/>
                <w:sz w:val="24"/>
              </w:rPr>
              <w:t>859,7</w:t>
            </w:r>
            <w:r w:rsidR="00DB5382" w:rsidRPr="006D0787">
              <w:rPr>
                <w:rFonts w:ascii="Times New Roman" w:hAnsi="Times New Roman"/>
                <w:sz w:val="24"/>
              </w:rPr>
              <w:t xml:space="preserve"> </w:t>
            </w:r>
            <w:r w:rsidRPr="006D0787">
              <w:rPr>
                <w:rFonts w:ascii="Times New Roman" w:hAnsi="Times New Roman"/>
                <w:sz w:val="24"/>
              </w:rPr>
              <w:t xml:space="preserve">= </w:t>
            </w:r>
            <w:r w:rsidR="0027196D">
              <w:rPr>
                <w:rFonts w:ascii="Times New Roman" w:hAnsi="Times New Roman"/>
                <w:sz w:val="24"/>
              </w:rPr>
              <w:t>973</w:t>
            </w:r>
            <w:r w:rsidR="00DB5382">
              <w:rPr>
                <w:rFonts w:ascii="Times New Roman" w:hAnsi="Times New Roman"/>
                <w:sz w:val="24"/>
              </w:rPr>
              <w:t>6</w:t>
            </w:r>
            <w:r>
              <w:rPr>
                <w:rFonts w:ascii="Times New Roman" w:hAnsi="Times New Roman"/>
                <w:sz w:val="24"/>
              </w:rPr>
              <w:t>,</w:t>
            </w:r>
            <w:r w:rsidR="0027196D">
              <w:rPr>
                <w:rFonts w:ascii="Times New Roman" w:hAnsi="Times New Roman"/>
                <w:sz w:val="24"/>
              </w:rPr>
              <w:t>8</w:t>
            </w:r>
            <w:r w:rsidR="00DB5382">
              <w:rPr>
                <w:rFonts w:ascii="Times New Roman" w:hAnsi="Times New Roman"/>
                <w:sz w:val="24"/>
              </w:rPr>
              <w:t>2</w:t>
            </w:r>
            <w:r w:rsidRPr="006D0787">
              <w:rPr>
                <w:rFonts w:ascii="Times New Roman" w:hAnsi="Times New Roman"/>
                <w:sz w:val="24"/>
              </w:rPr>
              <w:t xml:space="preserve"> </w:t>
            </w:r>
            <w:r w:rsidRPr="00983C26">
              <w:rPr>
                <w:rFonts w:ascii="Times New Roman" w:hAnsi="Times New Roman"/>
                <w:i/>
                <w:sz w:val="24"/>
              </w:rPr>
              <w:t>euro</w:t>
            </w:r>
          </w:p>
          <w:p w:rsidR="006C5E77" w:rsidRPr="0020145C" w:rsidRDefault="006C5E77" w:rsidP="0020145C">
            <w:pPr>
              <w:autoSpaceDE w:val="0"/>
              <w:autoSpaceDN w:val="0"/>
              <w:adjustRightInd w:val="0"/>
              <w:spacing w:after="0" w:line="240" w:lineRule="auto"/>
              <w:jc w:val="both"/>
              <w:rPr>
                <w:rFonts w:ascii="Times New Roman" w:hAnsi="Times New Roman"/>
                <w:sz w:val="24"/>
              </w:rPr>
            </w:pPr>
            <w:r w:rsidRPr="006D0787">
              <w:rPr>
                <w:rFonts w:ascii="Times New Roman" w:hAnsi="Times New Roman"/>
                <w:sz w:val="24"/>
              </w:rPr>
              <w:t>C</w:t>
            </w:r>
            <w:r>
              <w:rPr>
                <w:rFonts w:ascii="Times New Roman" w:hAnsi="Times New Roman"/>
                <w:sz w:val="24"/>
              </w:rPr>
              <w:t> </w:t>
            </w:r>
            <w:r w:rsidRPr="006D0787">
              <w:rPr>
                <w:rFonts w:ascii="Times New Roman" w:hAnsi="Times New Roman"/>
                <w:sz w:val="24"/>
              </w:rPr>
              <w:t xml:space="preserve">personai = </w:t>
            </w:r>
            <w:r w:rsidR="00DB5382">
              <w:rPr>
                <w:rFonts w:ascii="Times New Roman" w:hAnsi="Times New Roman"/>
                <w:sz w:val="24"/>
              </w:rPr>
              <w:t>9736,82</w:t>
            </w:r>
            <w:r w:rsidRPr="006D0787">
              <w:rPr>
                <w:rFonts w:ascii="Times New Roman" w:hAnsi="Times New Roman"/>
                <w:sz w:val="24"/>
              </w:rPr>
              <w:t xml:space="preserve">/ </w:t>
            </w:r>
            <w:r w:rsidR="0027196D">
              <w:rPr>
                <w:rFonts w:ascii="Times New Roman" w:hAnsi="Times New Roman"/>
                <w:sz w:val="24"/>
              </w:rPr>
              <w:t>100</w:t>
            </w:r>
            <w:r w:rsidR="00DB5382">
              <w:rPr>
                <w:rFonts w:ascii="Times New Roman" w:hAnsi="Times New Roman"/>
                <w:sz w:val="24"/>
              </w:rPr>
              <w:t>0</w:t>
            </w:r>
            <w:r w:rsidRPr="006D0787">
              <w:rPr>
                <w:rFonts w:ascii="Times New Roman" w:hAnsi="Times New Roman"/>
                <w:sz w:val="24"/>
              </w:rPr>
              <w:t xml:space="preserve"> = 9,74 </w:t>
            </w:r>
            <w:r w:rsidRPr="00983C26">
              <w:rPr>
                <w:rFonts w:ascii="Times New Roman" w:hAnsi="Times New Roman"/>
                <w:i/>
                <w:sz w:val="24"/>
              </w:rPr>
              <w:t>euro</w:t>
            </w:r>
          </w:p>
          <w:p w:rsidR="006C5E77" w:rsidRPr="00497088" w:rsidRDefault="006C5E77" w:rsidP="006C5E77">
            <w:pPr>
              <w:pStyle w:val="Paraststmeklis"/>
              <w:spacing w:before="0" w:beforeAutospacing="0" w:after="0" w:afterAutospacing="0"/>
              <w:jc w:val="both"/>
            </w:pPr>
            <w:r w:rsidRPr="00497088">
              <w:t>I</w:t>
            </w:r>
            <w:r>
              <w:t>esniegumu</w:t>
            </w:r>
            <w:r w:rsidRPr="00497088">
              <w:t xml:space="preserve"> </w:t>
            </w:r>
            <w:r>
              <w:t>izvērtēšana</w:t>
            </w:r>
            <w:r w:rsidRPr="00497088">
              <w:t xml:space="preserve"> Lauku atbalsta dienestam radīs izmaksas </w:t>
            </w:r>
            <w:r w:rsidR="00DB5382">
              <w:t>3</w:t>
            </w:r>
            <w:r w:rsidR="0027196D">
              <w:t>2</w:t>
            </w:r>
            <w:r w:rsidR="00DB5382">
              <w:t xml:space="preserve"> </w:t>
            </w:r>
            <w:r w:rsidR="0027196D">
              <w:t>68</w:t>
            </w:r>
            <w:r w:rsidR="00DB5382">
              <w:t>0</w:t>
            </w:r>
            <w:r w:rsidRPr="00497088">
              <w:t xml:space="preserve"> </w:t>
            </w:r>
            <w:r w:rsidRPr="00497088">
              <w:rPr>
                <w:i/>
              </w:rPr>
              <w:t xml:space="preserve">euro </w:t>
            </w:r>
            <w:r w:rsidRPr="00497088">
              <w:t xml:space="preserve">apmērā: </w:t>
            </w:r>
          </w:p>
          <w:p w:rsidR="006C5E77" w:rsidRPr="00497088" w:rsidRDefault="006C5E77" w:rsidP="006C5E77">
            <w:pPr>
              <w:pStyle w:val="Paraststmeklis"/>
              <w:spacing w:before="0" w:beforeAutospacing="0" w:after="0" w:afterAutospacing="0"/>
              <w:jc w:val="both"/>
            </w:pPr>
            <w:r w:rsidRPr="00497088">
              <w:t xml:space="preserve">C = (f x l) x (n x b) = (8,17 x </w:t>
            </w:r>
            <w:r>
              <w:t>4</w:t>
            </w:r>
            <w:r w:rsidRPr="00497088">
              <w:t>) x (</w:t>
            </w:r>
            <w:r w:rsidR="0027196D">
              <w:t>100</w:t>
            </w:r>
            <w:r w:rsidR="00DB5382">
              <w:t>0</w:t>
            </w:r>
            <w:r w:rsidRPr="00497088">
              <w:t xml:space="preserve"> x 1) = </w:t>
            </w:r>
            <w:r w:rsidR="0027196D">
              <w:t>3</w:t>
            </w:r>
            <w:r w:rsidR="00DB5382">
              <w:t>2</w:t>
            </w:r>
            <w:r w:rsidR="0027196D">
              <w:t xml:space="preserve"> 268</w:t>
            </w:r>
            <w:r w:rsidRPr="00A6303F">
              <w:t xml:space="preserve"> </w:t>
            </w:r>
            <w:r w:rsidRPr="00497088">
              <w:rPr>
                <w:i/>
              </w:rPr>
              <w:t>euro</w:t>
            </w:r>
            <w:r w:rsidRPr="00497088">
              <w:t>, kur</w:t>
            </w:r>
          </w:p>
          <w:p w:rsidR="006C5E77" w:rsidRPr="00497088" w:rsidRDefault="006C5E77" w:rsidP="006C5E77">
            <w:pPr>
              <w:pStyle w:val="Paraststmeklis"/>
              <w:spacing w:before="0" w:beforeAutospacing="0" w:after="0" w:afterAutospacing="0"/>
              <w:jc w:val="both"/>
            </w:pPr>
            <w:r w:rsidRPr="00497088">
              <w:t xml:space="preserve">f – viena darbinieka vidējā stundas likme valsts pārvaldē ir 8,17 </w:t>
            </w:r>
            <w:r w:rsidRPr="00497088">
              <w:rPr>
                <w:i/>
              </w:rPr>
              <w:t>euro</w:t>
            </w:r>
            <w:r w:rsidRPr="00497088">
              <w:t>;</w:t>
            </w:r>
          </w:p>
          <w:p w:rsidR="006C5E77" w:rsidRPr="00497088" w:rsidRDefault="006C5E77" w:rsidP="006C5E77">
            <w:pPr>
              <w:pStyle w:val="Paraststmeklis"/>
              <w:spacing w:before="0" w:beforeAutospacing="0" w:after="0" w:afterAutospacing="0"/>
              <w:jc w:val="both"/>
            </w:pPr>
            <w:r w:rsidRPr="00497088">
              <w:t xml:space="preserve">l – </w:t>
            </w:r>
            <w:r>
              <w:t xml:space="preserve">iesnieguma </w:t>
            </w:r>
            <w:r w:rsidRPr="00497088">
              <w:t xml:space="preserve">informācijas </w:t>
            </w:r>
            <w:r>
              <w:t>izvērtēšanai</w:t>
            </w:r>
            <w:r w:rsidRPr="00497088">
              <w:t xml:space="preserve"> </w:t>
            </w:r>
            <w:r>
              <w:t>4</w:t>
            </w:r>
            <w:r w:rsidRPr="00497088">
              <w:t xml:space="preserve"> stunda</w:t>
            </w:r>
            <w:r>
              <w:t>s</w:t>
            </w:r>
            <w:r w:rsidRPr="00497088">
              <w:t>;</w:t>
            </w:r>
          </w:p>
          <w:p w:rsidR="006C5E77" w:rsidRPr="00497088" w:rsidRDefault="006C5E77" w:rsidP="006C5E77">
            <w:pPr>
              <w:pStyle w:val="Paraststmeklis"/>
              <w:spacing w:before="0" w:beforeAutospacing="0" w:after="0" w:afterAutospacing="0"/>
              <w:jc w:val="both"/>
            </w:pPr>
            <w:r w:rsidRPr="00497088">
              <w:t xml:space="preserve">n – </w:t>
            </w:r>
            <w:r>
              <w:t xml:space="preserve">iesniegumu kopējais skaits būs </w:t>
            </w:r>
            <w:r w:rsidR="0027196D">
              <w:t>100</w:t>
            </w:r>
            <w:r w:rsidR="00DB5382">
              <w:t>0</w:t>
            </w:r>
            <w:r w:rsidRPr="00497088">
              <w:t>;</w:t>
            </w:r>
          </w:p>
          <w:p w:rsidR="006C5E77" w:rsidRPr="00A44D47" w:rsidRDefault="006C5E77" w:rsidP="006C5E77">
            <w:pPr>
              <w:shd w:val="clear" w:color="auto" w:fill="FFFFFF"/>
              <w:spacing w:after="0" w:line="240" w:lineRule="auto"/>
              <w:ind w:left="57" w:right="57"/>
              <w:rPr>
                <w:rFonts w:ascii="Times New Roman" w:hAnsi="Times New Roman"/>
                <w:sz w:val="24"/>
              </w:rPr>
            </w:pPr>
            <w:r w:rsidRPr="00497088">
              <w:rPr>
                <w:rFonts w:ascii="Times New Roman" w:hAnsi="Times New Roman"/>
                <w:sz w:val="24"/>
                <w:szCs w:val="24"/>
              </w:rPr>
              <w:t xml:space="preserve">b – </w:t>
            </w:r>
            <w:r>
              <w:rPr>
                <w:rFonts w:ascii="Times New Roman" w:hAnsi="Times New Roman"/>
                <w:sz w:val="24"/>
                <w:szCs w:val="24"/>
              </w:rPr>
              <w:t>iesniegumu izvērtē</w:t>
            </w:r>
            <w:r w:rsidRPr="00497088">
              <w:rPr>
                <w:rFonts w:ascii="Times New Roman" w:hAnsi="Times New Roman"/>
                <w:sz w:val="24"/>
                <w:szCs w:val="24"/>
              </w:rPr>
              <w:t xml:space="preserve"> 1 reizi gadā.</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lastRenderedPageBreak/>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DD3B0D" w:rsidRPr="00DD49B6" w:rsidRDefault="00DD3B0D" w:rsidP="006F5F9F">
      <w:pPr>
        <w:spacing w:after="0" w:line="240" w:lineRule="auto"/>
        <w:rPr>
          <w:rFonts w:ascii="Times New Roman" w:hAnsi="Times New Roman"/>
          <w:sz w:val="24"/>
          <w:szCs w:val="24"/>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555"/>
        <w:gridCol w:w="1276"/>
        <w:gridCol w:w="1372"/>
        <w:gridCol w:w="30"/>
        <w:gridCol w:w="1294"/>
        <w:gridCol w:w="15"/>
        <w:gridCol w:w="1309"/>
      </w:tblGrid>
      <w:tr w:rsidR="00FE72F8" w:rsidRPr="00DD49B6" w:rsidTr="00FE72F8">
        <w:trPr>
          <w:trHeight w:val="361"/>
          <w:jc w:val="center"/>
        </w:trPr>
        <w:tc>
          <w:tcPr>
            <w:tcW w:w="9549" w:type="dxa"/>
            <w:gridSpan w:val="8"/>
            <w:vAlign w:val="center"/>
          </w:tcPr>
          <w:p w:rsidR="00FE72F8" w:rsidRPr="00DD49B6" w:rsidRDefault="00FE72F8" w:rsidP="00420CFD">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FE72F8" w:rsidRPr="00DD49B6" w:rsidTr="00FE72F8">
        <w:trPr>
          <w:jc w:val="center"/>
        </w:trPr>
        <w:tc>
          <w:tcPr>
            <w:tcW w:w="2698" w:type="dxa"/>
            <w:vMerge w:val="restart"/>
            <w:vAlign w:val="center"/>
          </w:tcPr>
          <w:p w:rsidR="00FE72F8" w:rsidRPr="00DD49B6" w:rsidRDefault="00FE72F8" w:rsidP="00420CFD">
            <w:pPr>
              <w:pStyle w:val="naisf"/>
              <w:spacing w:before="0" w:beforeAutospacing="0" w:after="0" w:afterAutospacing="0"/>
              <w:jc w:val="center"/>
              <w:rPr>
                <w:b/>
              </w:rPr>
            </w:pPr>
            <w:r w:rsidRPr="00DD49B6">
              <w:rPr>
                <w:b/>
              </w:rPr>
              <w:t>Rādītāji</w:t>
            </w:r>
          </w:p>
        </w:tc>
        <w:tc>
          <w:tcPr>
            <w:tcW w:w="2831" w:type="dxa"/>
            <w:gridSpan w:val="2"/>
            <w:vMerge w:val="restart"/>
            <w:vAlign w:val="center"/>
          </w:tcPr>
          <w:p w:rsidR="00FE72F8" w:rsidRPr="00DD49B6" w:rsidRDefault="00FE72F8" w:rsidP="00FE72F8">
            <w:pPr>
              <w:pStyle w:val="naisf"/>
              <w:spacing w:before="0" w:beforeAutospacing="0" w:after="0" w:afterAutospacing="0"/>
              <w:jc w:val="center"/>
              <w:rPr>
                <w:b/>
              </w:rPr>
            </w:pPr>
            <w:r>
              <w:rPr>
                <w:b/>
              </w:rPr>
              <w:t>2016.</w:t>
            </w:r>
            <w:r w:rsidRPr="00DD49B6">
              <w:rPr>
                <w:b/>
              </w:rPr>
              <w:t>gads</w:t>
            </w:r>
          </w:p>
        </w:tc>
        <w:tc>
          <w:tcPr>
            <w:tcW w:w="4020" w:type="dxa"/>
            <w:gridSpan w:val="5"/>
            <w:vAlign w:val="center"/>
          </w:tcPr>
          <w:p w:rsidR="00FE72F8" w:rsidRPr="00DD49B6" w:rsidRDefault="00FE72F8" w:rsidP="00420CFD">
            <w:pPr>
              <w:pStyle w:val="naisf"/>
              <w:spacing w:before="0" w:beforeAutospacing="0" w:after="0" w:afterAutospacing="0"/>
              <w:jc w:val="center"/>
              <w:rPr>
                <w:b/>
                <w:i/>
              </w:rPr>
            </w:pPr>
            <w:r w:rsidRPr="00DD49B6">
              <w:t>Turpmākie trīs gadi (</w:t>
            </w:r>
            <w:r w:rsidRPr="00487C57">
              <w:rPr>
                <w:i/>
              </w:rPr>
              <w:t>euro</w:t>
            </w:r>
            <w:r w:rsidRPr="00DD49B6">
              <w:t>)</w:t>
            </w:r>
          </w:p>
        </w:tc>
      </w:tr>
      <w:tr w:rsidR="00FE72F8" w:rsidRPr="00DD49B6" w:rsidTr="00FE72F8">
        <w:trPr>
          <w:jc w:val="center"/>
        </w:trPr>
        <w:tc>
          <w:tcPr>
            <w:tcW w:w="2698" w:type="dxa"/>
            <w:vMerge/>
            <w:vAlign w:val="center"/>
          </w:tcPr>
          <w:p w:rsidR="00FE72F8" w:rsidRPr="00DD49B6" w:rsidRDefault="00FE72F8" w:rsidP="00420CFD">
            <w:pPr>
              <w:pStyle w:val="naisf"/>
              <w:spacing w:before="0" w:beforeAutospacing="0" w:after="0" w:afterAutospacing="0"/>
              <w:jc w:val="center"/>
              <w:rPr>
                <w:b/>
                <w:i/>
              </w:rPr>
            </w:pPr>
          </w:p>
        </w:tc>
        <w:tc>
          <w:tcPr>
            <w:tcW w:w="2831" w:type="dxa"/>
            <w:gridSpan w:val="2"/>
            <w:vMerge/>
            <w:vAlign w:val="center"/>
          </w:tcPr>
          <w:p w:rsidR="00FE72F8" w:rsidRPr="00DD49B6" w:rsidRDefault="00FE72F8" w:rsidP="00420CFD">
            <w:pPr>
              <w:pStyle w:val="naisf"/>
              <w:spacing w:before="0" w:beforeAutospacing="0" w:after="0" w:afterAutospacing="0"/>
              <w:jc w:val="center"/>
              <w:rPr>
                <w:b/>
                <w:i/>
              </w:rPr>
            </w:pPr>
          </w:p>
        </w:tc>
        <w:tc>
          <w:tcPr>
            <w:tcW w:w="1402" w:type="dxa"/>
            <w:gridSpan w:val="2"/>
            <w:vAlign w:val="center"/>
          </w:tcPr>
          <w:p w:rsidR="00FE72F8" w:rsidRPr="00DD49B6" w:rsidRDefault="00FE72F8" w:rsidP="00FE72F8">
            <w:pPr>
              <w:pStyle w:val="naisf"/>
              <w:spacing w:before="0" w:beforeAutospacing="0" w:after="0" w:afterAutospacing="0"/>
              <w:jc w:val="center"/>
              <w:rPr>
                <w:b/>
                <w:i/>
              </w:rPr>
            </w:pPr>
            <w:r>
              <w:rPr>
                <w:b/>
                <w:bCs/>
              </w:rPr>
              <w:t>2017</w:t>
            </w:r>
          </w:p>
        </w:tc>
        <w:tc>
          <w:tcPr>
            <w:tcW w:w="1309" w:type="dxa"/>
            <w:gridSpan w:val="2"/>
            <w:vAlign w:val="center"/>
          </w:tcPr>
          <w:p w:rsidR="00FE72F8" w:rsidRPr="00DD49B6" w:rsidRDefault="00FE72F8" w:rsidP="00FE72F8">
            <w:pPr>
              <w:pStyle w:val="naisf"/>
              <w:spacing w:before="0" w:beforeAutospacing="0" w:after="0" w:afterAutospacing="0"/>
              <w:jc w:val="center"/>
              <w:rPr>
                <w:b/>
                <w:i/>
              </w:rPr>
            </w:pPr>
            <w:r>
              <w:rPr>
                <w:b/>
                <w:bCs/>
              </w:rPr>
              <w:t>2018</w:t>
            </w:r>
          </w:p>
        </w:tc>
        <w:tc>
          <w:tcPr>
            <w:tcW w:w="1309" w:type="dxa"/>
            <w:vAlign w:val="center"/>
          </w:tcPr>
          <w:p w:rsidR="00FE72F8" w:rsidRPr="00DD49B6" w:rsidRDefault="00FE72F8" w:rsidP="00FE72F8">
            <w:pPr>
              <w:pStyle w:val="naisf"/>
              <w:spacing w:before="0" w:beforeAutospacing="0" w:after="0" w:afterAutospacing="0"/>
              <w:jc w:val="center"/>
              <w:rPr>
                <w:b/>
                <w:i/>
              </w:rPr>
            </w:pPr>
            <w:r>
              <w:rPr>
                <w:b/>
                <w:bCs/>
              </w:rPr>
              <w:t>2019</w:t>
            </w:r>
          </w:p>
        </w:tc>
      </w:tr>
      <w:tr w:rsidR="00FE72F8" w:rsidRPr="00DD49B6" w:rsidTr="00FE72F8">
        <w:trPr>
          <w:jc w:val="center"/>
        </w:trPr>
        <w:tc>
          <w:tcPr>
            <w:tcW w:w="2698" w:type="dxa"/>
            <w:vMerge/>
            <w:vAlign w:val="center"/>
          </w:tcPr>
          <w:p w:rsidR="00FE72F8" w:rsidRPr="00DD49B6" w:rsidRDefault="00FE72F8" w:rsidP="00420CFD">
            <w:pPr>
              <w:pStyle w:val="naisf"/>
              <w:spacing w:before="0" w:beforeAutospacing="0" w:after="0" w:afterAutospacing="0"/>
              <w:jc w:val="center"/>
              <w:rPr>
                <w:b/>
                <w:i/>
              </w:rPr>
            </w:pPr>
          </w:p>
        </w:tc>
        <w:tc>
          <w:tcPr>
            <w:tcW w:w="1555" w:type="dxa"/>
            <w:vAlign w:val="center"/>
          </w:tcPr>
          <w:p w:rsidR="00FE72F8" w:rsidRPr="00DD49B6" w:rsidRDefault="00FE72F8" w:rsidP="00420CFD">
            <w:pPr>
              <w:pStyle w:val="naisf"/>
              <w:spacing w:before="0" w:beforeAutospacing="0" w:after="0" w:afterAutospacing="0"/>
              <w:jc w:val="center"/>
              <w:rPr>
                <w:b/>
                <w:i/>
              </w:rPr>
            </w:pPr>
            <w:r>
              <w:t>s</w:t>
            </w:r>
            <w:r w:rsidRPr="00DD49B6">
              <w:t>askaņā ar valsts budžetu kārtējam gadam</w:t>
            </w:r>
          </w:p>
        </w:tc>
        <w:tc>
          <w:tcPr>
            <w:tcW w:w="1276" w:type="dxa"/>
            <w:vAlign w:val="center"/>
          </w:tcPr>
          <w:p w:rsidR="00FE72F8" w:rsidRPr="00DD49B6" w:rsidRDefault="00FE72F8" w:rsidP="00420CFD">
            <w:pPr>
              <w:pStyle w:val="naisf"/>
              <w:spacing w:before="0" w:beforeAutospacing="0" w:after="0" w:afterAutospacing="0"/>
              <w:jc w:val="center"/>
              <w:rPr>
                <w:b/>
                <w:i/>
              </w:rPr>
            </w:pPr>
            <w:r>
              <w:t>i</w:t>
            </w:r>
            <w:r w:rsidRPr="00DD49B6">
              <w:t>zmaiņas kārtējā gadā, salīdzinot ar budžetu kārtējam gadam</w:t>
            </w:r>
          </w:p>
        </w:tc>
        <w:tc>
          <w:tcPr>
            <w:tcW w:w="1372" w:type="dxa"/>
            <w:vAlign w:val="center"/>
          </w:tcPr>
          <w:p w:rsidR="00FE72F8" w:rsidRPr="00DD49B6" w:rsidRDefault="00FE72F8" w:rsidP="00420CF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E72F8" w:rsidRPr="00DD49B6" w:rsidRDefault="00FE72F8" w:rsidP="00420CF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E72F8" w:rsidRPr="00DD49B6" w:rsidRDefault="00FE72F8" w:rsidP="00420CFD">
            <w:pPr>
              <w:pStyle w:val="naisf"/>
              <w:spacing w:before="0" w:beforeAutospacing="0" w:after="0" w:afterAutospacing="0"/>
              <w:jc w:val="center"/>
              <w:rPr>
                <w:b/>
                <w:i/>
              </w:rPr>
            </w:pPr>
            <w:r>
              <w:t>i</w:t>
            </w:r>
            <w:r w:rsidRPr="00DD49B6">
              <w:t>zmaiņas, salīdzinot ar kārtējo (n) gadu</w:t>
            </w:r>
          </w:p>
        </w:tc>
      </w:tr>
      <w:tr w:rsidR="00FE72F8" w:rsidRPr="00DD49B6" w:rsidTr="00FE72F8">
        <w:trPr>
          <w:jc w:val="center"/>
        </w:trPr>
        <w:tc>
          <w:tcPr>
            <w:tcW w:w="2698" w:type="dxa"/>
            <w:vAlign w:val="center"/>
          </w:tcPr>
          <w:p w:rsidR="00FE72F8" w:rsidRPr="00DD49B6" w:rsidRDefault="00FE72F8" w:rsidP="00420CFD">
            <w:pPr>
              <w:pStyle w:val="naisf"/>
              <w:spacing w:before="0" w:beforeAutospacing="0" w:after="0" w:afterAutospacing="0"/>
              <w:jc w:val="center"/>
              <w:rPr>
                <w:bCs/>
              </w:rPr>
            </w:pPr>
            <w:r w:rsidRPr="00DD49B6">
              <w:rPr>
                <w:bCs/>
              </w:rPr>
              <w:t>1</w:t>
            </w:r>
          </w:p>
        </w:tc>
        <w:tc>
          <w:tcPr>
            <w:tcW w:w="1555" w:type="dxa"/>
            <w:vAlign w:val="center"/>
          </w:tcPr>
          <w:p w:rsidR="00FE72F8" w:rsidRPr="00DD49B6" w:rsidRDefault="00FE72F8" w:rsidP="00420CFD">
            <w:pPr>
              <w:pStyle w:val="naisf"/>
              <w:spacing w:before="0" w:beforeAutospacing="0" w:after="0" w:afterAutospacing="0"/>
              <w:jc w:val="center"/>
              <w:rPr>
                <w:bCs/>
              </w:rPr>
            </w:pPr>
            <w:r w:rsidRPr="00DD49B6">
              <w:rPr>
                <w:bCs/>
              </w:rPr>
              <w:t>2</w:t>
            </w:r>
          </w:p>
        </w:tc>
        <w:tc>
          <w:tcPr>
            <w:tcW w:w="1276" w:type="dxa"/>
            <w:vAlign w:val="center"/>
          </w:tcPr>
          <w:p w:rsidR="00FE72F8" w:rsidRPr="00DD49B6" w:rsidRDefault="00FE72F8" w:rsidP="00420CFD">
            <w:pPr>
              <w:pStyle w:val="naisf"/>
              <w:spacing w:before="0" w:beforeAutospacing="0" w:after="0" w:afterAutospacing="0"/>
              <w:jc w:val="center"/>
              <w:rPr>
                <w:bCs/>
              </w:rPr>
            </w:pPr>
            <w:r w:rsidRPr="00DD49B6">
              <w:rPr>
                <w:bCs/>
              </w:rPr>
              <w:t>3</w:t>
            </w:r>
          </w:p>
        </w:tc>
        <w:tc>
          <w:tcPr>
            <w:tcW w:w="1372" w:type="dxa"/>
            <w:vAlign w:val="center"/>
          </w:tcPr>
          <w:p w:rsidR="00FE72F8" w:rsidRPr="00DD49B6" w:rsidRDefault="00FE72F8" w:rsidP="00420CFD">
            <w:pPr>
              <w:pStyle w:val="naisf"/>
              <w:spacing w:before="0" w:beforeAutospacing="0" w:after="0" w:afterAutospacing="0"/>
              <w:jc w:val="center"/>
              <w:rPr>
                <w:bCs/>
              </w:rPr>
            </w:pPr>
            <w:r w:rsidRPr="00DD49B6">
              <w:rPr>
                <w:bCs/>
              </w:rPr>
              <w:t>4</w:t>
            </w:r>
          </w:p>
        </w:tc>
        <w:tc>
          <w:tcPr>
            <w:tcW w:w="1324" w:type="dxa"/>
            <w:gridSpan w:val="2"/>
            <w:vAlign w:val="center"/>
          </w:tcPr>
          <w:p w:rsidR="00FE72F8" w:rsidRPr="00DD49B6" w:rsidRDefault="00FE72F8" w:rsidP="00420CFD">
            <w:pPr>
              <w:pStyle w:val="naisf"/>
              <w:spacing w:before="0" w:beforeAutospacing="0" w:after="0" w:afterAutospacing="0"/>
              <w:jc w:val="center"/>
              <w:rPr>
                <w:bCs/>
              </w:rPr>
            </w:pPr>
            <w:r w:rsidRPr="00DD49B6">
              <w:rPr>
                <w:bCs/>
              </w:rPr>
              <w:t>5</w:t>
            </w:r>
          </w:p>
        </w:tc>
        <w:tc>
          <w:tcPr>
            <w:tcW w:w="1324" w:type="dxa"/>
            <w:gridSpan w:val="2"/>
            <w:vAlign w:val="center"/>
          </w:tcPr>
          <w:p w:rsidR="00FE72F8" w:rsidRPr="00DD49B6" w:rsidRDefault="00FE72F8" w:rsidP="00420CFD">
            <w:pPr>
              <w:pStyle w:val="naisf"/>
              <w:spacing w:before="0" w:beforeAutospacing="0" w:after="0" w:afterAutospacing="0"/>
              <w:jc w:val="center"/>
              <w:rPr>
                <w:bCs/>
              </w:rPr>
            </w:pPr>
            <w:r w:rsidRPr="00DD49B6">
              <w:rPr>
                <w:bCs/>
              </w:rPr>
              <w:t>6</w:t>
            </w:r>
          </w:p>
        </w:tc>
      </w:tr>
      <w:tr w:rsidR="00FE72F8" w:rsidRPr="00DD49B6" w:rsidTr="00FE72F8">
        <w:trPr>
          <w:jc w:val="center"/>
        </w:trPr>
        <w:tc>
          <w:tcPr>
            <w:tcW w:w="2698" w:type="dxa"/>
          </w:tcPr>
          <w:p w:rsidR="00FE72F8" w:rsidRPr="00DD49B6" w:rsidRDefault="00FE72F8" w:rsidP="00420CFD">
            <w:pPr>
              <w:pStyle w:val="naisf"/>
              <w:spacing w:before="0" w:beforeAutospacing="0" w:after="0" w:afterAutospacing="0"/>
              <w:rPr>
                <w:i/>
              </w:rPr>
            </w:pPr>
            <w:r w:rsidRPr="00DD49B6">
              <w:t>1. Budžeta ieņēmumi:</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7 500 000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 </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pStyle w:val="naisf"/>
              <w:spacing w:before="0" w:beforeAutospacing="0" w:after="0" w:afterAutospacing="0"/>
              <w:rPr>
                <w:i/>
              </w:rPr>
            </w:pPr>
            <w:r w:rsidRPr="00DD49B6">
              <w:t>1.1. valsts pamatbudžets, tai skaitā ieņēmumi no maksas pakalpojumiem un citi pašu ieņēmumi</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7 500 000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pStyle w:val="naisf"/>
              <w:spacing w:before="0" w:beforeAutospacing="0" w:after="0" w:afterAutospacing="0"/>
              <w:rPr>
                <w:i/>
              </w:rPr>
            </w:pPr>
            <w:r w:rsidRPr="00DD49B6">
              <w:t>1.2. valsts speciālais budžets</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trHeight w:val="60"/>
          <w:jc w:val="center"/>
        </w:trPr>
        <w:tc>
          <w:tcPr>
            <w:tcW w:w="2698" w:type="dxa"/>
          </w:tcPr>
          <w:p w:rsidR="00FE72F8" w:rsidRPr="00DD49B6" w:rsidRDefault="00FE72F8" w:rsidP="00420CFD">
            <w:pPr>
              <w:pStyle w:val="naisf"/>
              <w:spacing w:before="0" w:beforeAutospacing="0" w:after="0" w:afterAutospacing="0"/>
              <w:rPr>
                <w:i/>
              </w:rPr>
            </w:pPr>
            <w:r w:rsidRPr="00DD49B6">
              <w:t>1.3. pašvaldību budžets</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10 000 000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2.1. valsts pamatbudžets</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10 000 000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2.3. pašvaldību budžets </w:t>
            </w:r>
          </w:p>
        </w:tc>
        <w:tc>
          <w:tcPr>
            <w:tcW w:w="1555"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555" w:type="dxa"/>
            <w:shd w:val="clear" w:color="auto" w:fill="auto"/>
            <w:vAlign w:val="center"/>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–2 500 000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lastRenderedPageBreak/>
              <w:t>3.1. valsts pamatbudžets</w:t>
            </w:r>
          </w:p>
        </w:tc>
        <w:tc>
          <w:tcPr>
            <w:tcW w:w="1555" w:type="dxa"/>
            <w:shd w:val="clear" w:color="auto" w:fill="auto"/>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–2 500 000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3.2. speciālais budžets</w:t>
            </w:r>
          </w:p>
        </w:tc>
        <w:tc>
          <w:tcPr>
            <w:tcW w:w="1555" w:type="dxa"/>
            <w:shd w:val="clear" w:color="auto" w:fill="auto"/>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555" w:type="dxa"/>
            <w:shd w:val="clear" w:color="auto" w:fill="auto"/>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vMerge w:val="restart"/>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4. Finanšu līdzekļi papildu izdevumu finansēšanai (kompensējošu izdevumu samazinājumu norāda ar "+" zīmi)</w:t>
            </w:r>
          </w:p>
        </w:tc>
        <w:tc>
          <w:tcPr>
            <w:tcW w:w="1555" w:type="dxa"/>
            <w:vMerge w:val="restart"/>
          </w:tcPr>
          <w:p w:rsidR="00FE72F8" w:rsidRPr="00434301" w:rsidRDefault="00FE72F8" w:rsidP="00622396">
            <w:pPr>
              <w:spacing w:after="0" w:line="240" w:lineRule="auto"/>
              <w:rPr>
                <w:rFonts w:ascii="Times New Roman" w:hAnsi="Times New Roman"/>
                <w:sz w:val="24"/>
                <w:szCs w:val="24"/>
              </w:rPr>
            </w:pPr>
            <w:r w:rsidRPr="00434301">
              <w:rPr>
                <w:rFonts w:ascii="Times New Roman" w:hAnsi="Times New Roman"/>
                <w:sz w:val="24"/>
                <w:szCs w:val="24"/>
              </w:rPr>
              <w:t> </w:t>
            </w:r>
            <w:r w:rsidR="00622396" w:rsidRPr="00434301">
              <w:rPr>
                <w:rFonts w:ascii="Times New Roman" w:hAnsi="Times New Roman"/>
                <w:sz w:val="24"/>
                <w:szCs w:val="24"/>
              </w:rPr>
              <w:t>2 500 000</w:t>
            </w:r>
          </w:p>
          <w:p w:rsidR="00FE72F8" w:rsidRPr="00434301" w:rsidRDefault="00FE72F8" w:rsidP="00420CFD">
            <w:pPr>
              <w:spacing w:after="0" w:line="240" w:lineRule="auto"/>
              <w:rPr>
                <w:rFonts w:ascii="Times New Roman" w:hAnsi="Times New Roman"/>
                <w:sz w:val="24"/>
                <w:szCs w:val="24"/>
              </w:rPr>
            </w:pPr>
            <w:r w:rsidRPr="00434301">
              <w:t>  </w:t>
            </w:r>
          </w:p>
          <w:p w:rsidR="00FE72F8" w:rsidRPr="00434301" w:rsidRDefault="00FE72F8" w:rsidP="00420CFD">
            <w:pPr>
              <w:spacing w:after="0" w:line="240" w:lineRule="auto"/>
              <w:rPr>
                <w:rFonts w:ascii="Times New Roman" w:hAnsi="Times New Roman"/>
                <w:sz w:val="24"/>
                <w:szCs w:val="24"/>
              </w:rPr>
            </w:pPr>
            <w:r w:rsidRPr="00434301">
              <w:t>  </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vMerge/>
          </w:tcPr>
          <w:p w:rsidR="00FE72F8" w:rsidRPr="00DD49B6" w:rsidRDefault="00FE72F8" w:rsidP="00420CFD">
            <w:pPr>
              <w:spacing w:after="0" w:line="240" w:lineRule="auto"/>
              <w:rPr>
                <w:rFonts w:ascii="Times New Roman" w:hAnsi="Times New Roman"/>
                <w:sz w:val="24"/>
                <w:szCs w:val="24"/>
              </w:rPr>
            </w:pPr>
          </w:p>
        </w:tc>
        <w:tc>
          <w:tcPr>
            <w:tcW w:w="1555" w:type="dxa"/>
            <w:vMerge/>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420CFD">
            <w:pPr>
              <w:pStyle w:val="naisf"/>
              <w:spacing w:before="0" w:beforeAutospacing="0" w:after="0" w:afterAutospacing="0"/>
              <w:rPr>
                <w:b/>
                <w:i/>
              </w:rPr>
            </w:pPr>
            <w:r w:rsidRPr="00434301">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r>
      <w:tr w:rsidR="00FE72F8" w:rsidRPr="00DD49B6" w:rsidTr="00FE72F8">
        <w:trPr>
          <w:jc w:val="center"/>
        </w:trPr>
        <w:tc>
          <w:tcPr>
            <w:tcW w:w="2698" w:type="dxa"/>
            <w:vMerge/>
          </w:tcPr>
          <w:p w:rsidR="00FE72F8" w:rsidRPr="00DD49B6" w:rsidRDefault="00FE72F8" w:rsidP="00420CFD">
            <w:pPr>
              <w:spacing w:after="0" w:line="240" w:lineRule="auto"/>
              <w:rPr>
                <w:rFonts w:ascii="Times New Roman" w:hAnsi="Times New Roman"/>
                <w:sz w:val="24"/>
                <w:szCs w:val="24"/>
              </w:rPr>
            </w:pPr>
          </w:p>
        </w:tc>
        <w:tc>
          <w:tcPr>
            <w:tcW w:w="1555" w:type="dxa"/>
            <w:vMerge/>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420CFD">
            <w:pPr>
              <w:pStyle w:val="naisf"/>
              <w:spacing w:before="0" w:beforeAutospacing="0" w:after="0" w:afterAutospacing="0"/>
              <w:rPr>
                <w:b/>
                <w:i/>
              </w:rPr>
            </w:pPr>
            <w:r w:rsidRPr="00434301">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555" w:type="dxa"/>
            <w:vMerge w:val="restart"/>
          </w:tcPr>
          <w:p w:rsidR="00FE72F8" w:rsidRPr="00434301" w:rsidRDefault="00622396" w:rsidP="00420CFD">
            <w:pPr>
              <w:spacing w:after="0" w:line="240" w:lineRule="auto"/>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420CFD">
            <w:pPr>
              <w:spacing w:after="0" w:line="240" w:lineRule="auto"/>
              <w:rPr>
                <w:rFonts w:ascii="Times New Roman" w:hAnsi="Times New Roman"/>
                <w:sz w:val="24"/>
                <w:szCs w:val="24"/>
              </w:rPr>
            </w:pPr>
            <w:r w:rsidRPr="00434301">
              <w:rPr>
                <w:rFonts w:ascii="Times New Roman" w:hAnsi="Times New Roman"/>
                <w:sz w:val="24"/>
                <w:szCs w:val="24"/>
              </w:rPr>
              <w:t xml:space="preserve">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420CFD">
            <w:pPr>
              <w:pStyle w:val="naisf"/>
              <w:spacing w:before="0" w:beforeAutospacing="0" w:after="0" w:afterAutospacing="0"/>
              <w:rPr>
                <w:b/>
                <w:i/>
              </w:rPr>
            </w:pPr>
            <w:r w:rsidRPr="00434301">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420CFD">
            <w:pPr>
              <w:pStyle w:val="naisf"/>
              <w:spacing w:before="0" w:beforeAutospacing="0" w:after="0" w:afterAutospacing="0"/>
              <w:rPr>
                <w:b/>
                <w:i/>
              </w:rPr>
            </w:pPr>
            <w:r w:rsidRPr="00434301">
              <w:t>  0</w:t>
            </w:r>
          </w:p>
        </w:tc>
        <w:tc>
          <w:tcPr>
            <w:tcW w:w="1372" w:type="dxa"/>
          </w:tcPr>
          <w:p w:rsidR="00FE72F8" w:rsidRPr="00434301" w:rsidRDefault="00FE72F8" w:rsidP="00420CFD">
            <w:pPr>
              <w:spacing w:after="0"/>
              <w:jc w:val="center"/>
              <w:rPr>
                <w:rFonts w:ascii="Times New Roman" w:hAnsi="Times New Roman"/>
                <w:sz w:val="24"/>
                <w:szCs w:val="24"/>
              </w:rPr>
            </w:pPr>
            <w:r w:rsidRPr="00434301">
              <w:rPr>
                <w:rFonts w:ascii="Times New Roman" w:hAnsi="Times New Roman"/>
                <w:sz w:val="24"/>
                <w:szCs w:val="24"/>
              </w:rPr>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c>
          <w:tcPr>
            <w:tcW w:w="1324" w:type="dxa"/>
            <w:gridSpan w:val="2"/>
          </w:tcPr>
          <w:p w:rsidR="00FE72F8" w:rsidRPr="00434301" w:rsidRDefault="00FE72F8" w:rsidP="00420CFD">
            <w:pPr>
              <w:pStyle w:val="naisf"/>
              <w:spacing w:before="0" w:beforeAutospacing="0" w:after="0" w:afterAutospacing="0"/>
              <w:rPr>
                <w:b/>
                <w:i/>
              </w:rPr>
            </w:pPr>
            <w:r w:rsidRPr="00434301">
              <w:t>Nav attiecināms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851" w:type="dxa"/>
            <w:gridSpan w:val="7"/>
            <w:vMerge w:val="restart"/>
            <w:vAlign w:val="center"/>
          </w:tcPr>
          <w:p w:rsidR="00FE72F8" w:rsidRPr="00434301" w:rsidRDefault="00FE72F8" w:rsidP="00420CFD">
            <w:pPr>
              <w:spacing w:after="0" w:line="240" w:lineRule="auto"/>
              <w:jc w:val="both"/>
              <w:rPr>
                <w:rFonts w:ascii="Times New Roman" w:hAnsi="Times New Roman"/>
                <w:sz w:val="24"/>
                <w:szCs w:val="24"/>
              </w:rPr>
            </w:pPr>
            <w:r w:rsidRPr="00434301">
              <w:rPr>
                <w:rFonts w:ascii="Times New Roman" w:hAnsi="Times New Roman"/>
                <w:sz w:val="24"/>
                <w:szCs w:val="24"/>
              </w:rPr>
              <w:t>  Nav precīzi aprēķināms.</w:t>
            </w: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851" w:type="dxa"/>
            <w:gridSpan w:val="7"/>
            <w:vMerge/>
            <w:vAlign w:val="center"/>
          </w:tcPr>
          <w:p w:rsidR="00FE72F8" w:rsidRPr="00434301" w:rsidRDefault="00FE72F8" w:rsidP="00420CFD">
            <w:pPr>
              <w:pStyle w:val="naisf"/>
              <w:spacing w:before="0" w:beforeAutospacing="0" w:after="0" w:afterAutospacing="0"/>
              <w:rPr>
                <w:b/>
                <w:i/>
              </w:rPr>
            </w:pPr>
          </w:p>
        </w:tc>
      </w:tr>
      <w:tr w:rsidR="00FE72F8" w:rsidRPr="00DD49B6" w:rsidTr="00FE72F8">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851" w:type="dxa"/>
            <w:gridSpan w:val="7"/>
            <w:vMerge/>
            <w:vAlign w:val="center"/>
          </w:tcPr>
          <w:p w:rsidR="00FE72F8" w:rsidRPr="00434301" w:rsidRDefault="00FE72F8" w:rsidP="00420CFD">
            <w:pPr>
              <w:pStyle w:val="naisf"/>
              <w:spacing w:before="0" w:beforeAutospacing="0" w:after="0" w:afterAutospacing="0"/>
              <w:rPr>
                <w:b/>
                <w:i/>
              </w:rPr>
            </w:pPr>
          </w:p>
        </w:tc>
      </w:tr>
      <w:tr w:rsidR="00FE72F8" w:rsidRPr="00DD49B6" w:rsidTr="00FE72F8">
        <w:trPr>
          <w:trHeight w:val="556"/>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7. Cita informācija</w:t>
            </w:r>
          </w:p>
        </w:tc>
        <w:tc>
          <w:tcPr>
            <w:tcW w:w="6851" w:type="dxa"/>
            <w:gridSpan w:val="7"/>
          </w:tcPr>
          <w:p w:rsidR="00FE72F8" w:rsidRPr="00434301" w:rsidRDefault="00FE72F8" w:rsidP="00420CFD">
            <w:pPr>
              <w:spacing w:after="0" w:line="240" w:lineRule="auto"/>
              <w:jc w:val="both"/>
              <w:rPr>
                <w:rFonts w:ascii="Times New Roman" w:hAnsi="Times New Roman"/>
                <w:sz w:val="24"/>
                <w:szCs w:val="24"/>
              </w:rPr>
            </w:pPr>
            <w:r w:rsidRPr="00434301">
              <w:rPr>
                <w:rFonts w:ascii="Times New Roman" w:hAnsi="Times New Roman"/>
                <w:sz w:val="24"/>
                <w:szCs w:val="24"/>
              </w:rPr>
              <w:t xml:space="preserve">Atbalsts kredītprocentu daļējai dzēšanai un investīcijām materiālās bāzes pilnveidošanai 10 000 000 </w:t>
            </w:r>
            <w:r w:rsidRPr="00434301">
              <w:rPr>
                <w:rFonts w:ascii="Times New Roman" w:hAnsi="Times New Roman"/>
                <w:i/>
                <w:sz w:val="24"/>
                <w:szCs w:val="24"/>
              </w:rPr>
              <w:t>euro</w:t>
            </w:r>
            <w:r w:rsidRPr="00434301">
              <w:rPr>
                <w:rFonts w:ascii="Times New Roman" w:hAnsi="Times New Roman"/>
                <w:sz w:val="24"/>
                <w:szCs w:val="24"/>
              </w:rPr>
              <w:t xml:space="preserve"> apmērā tiks izmaksāts no Zemkopības ministrijas budžeta programmas 65.00.00. „Eiropas Lauksaimniecības fonda lauku attīstībai (ELFLA) projektu un pasākumu ī</w:t>
            </w:r>
            <w:r w:rsidR="00B545D4" w:rsidRPr="00434301">
              <w:rPr>
                <w:rFonts w:ascii="Times New Roman" w:hAnsi="Times New Roman"/>
                <w:sz w:val="24"/>
                <w:szCs w:val="24"/>
              </w:rPr>
              <w:t>stenošana” apakšprogrammas 65.08</w:t>
            </w:r>
            <w:r w:rsidRPr="00434301">
              <w:rPr>
                <w:rFonts w:ascii="Times New Roman" w:hAnsi="Times New Roman"/>
                <w:sz w:val="24"/>
                <w:szCs w:val="24"/>
              </w:rPr>
              <w:t>.00. „Maksājumu iestādes izdevumi Eiropas Lauksaimniecības fonda lauku attīstībai (ELFLA) projektu un pasākumu īstenošanai (20</w:t>
            </w:r>
            <w:r w:rsidR="006F0604" w:rsidRPr="00434301">
              <w:rPr>
                <w:rFonts w:ascii="Times New Roman" w:hAnsi="Times New Roman"/>
                <w:sz w:val="24"/>
                <w:szCs w:val="24"/>
              </w:rPr>
              <w:t>14</w:t>
            </w:r>
            <w:r w:rsidRPr="00434301">
              <w:rPr>
                <w:rFonts w:ascii="Times New Roman" w:hAnsi="Times New Roman"/>
                <w:sz w:val="24"/>
                <w:szCs w:val="24"/>
              </w:rPr>
              <w:t>–20</w:t>
            </w:r>
            <w:r w:rsidR="006F0604" w:rsidRPr="00434301">
              <w:rPr>
                <w:rFonts w:ascii="Times New Roman" w:hAnsi="Times New Roman"/>
                <w:sz w:val="24"/>
                <w:szCs w:val="24"/>
              </w:rPr>
              <w:t>20</w:t>
            </w:r>
            <w:r w:rsidRPr="00434301">
              <w:rPr>
                <w:rFonts w:ascii="Times New Roman" w:hAnsi="Times New Roman"/>
                <w:sz w:val="24"/>
                <w:szCs w:val="24"/>
              </w:rPr>
              <w:t>)” 201</w:t>
            </w:r>
            <w:r w:rsidR="006F0604" w:rsidRPr="00434301">
              <w:rPr>
                <w:rFonts w:ascii="Times New Roman" w:hAnsi="Times New Roman"/>
                <w:sz w:val="24"/>
                <w:szCs w:val="24"/>
              </w:rPr>
              <w:t>6</w:t>
            </w:r>
            <w:r w:rsidR="00B545D4" w:rsidRPr="00434301">
              <w:rPr>
                <w:rFonts w:ascii="Times New Roman" w:hAnsi="Times New Roman"/>
                <w:sz w:val="24"/>
                <w:szCs w:val="24"/>
              </w:rPr>
              <w:t>.gadam piešķirtā finansējuma</w:t>
            </w:r>
            <w:r w:rsidRPr="00434301">
              <w:rPr>
                <w:rFonts w:ascii="Times New Roman" w:hAnsi="Times New Roman"/>
                <w:sz w:val="24"/>
                <w:szCs w:val="24"/>
              </w:rPr>
              <w:t xml:space="preserve"> Latvijas Lauku attīstības programmas 20</w:t>
            </w:r>
            <w:r w:rsidR="006F0604" w:rsidRPr="00434301">
              <w:rPr>
                <w:rFonts w:ascii="Times New Roman" w:hAnsi="Times New Roman"/>
                <w:sz w:val="24"/>
                <w:szCs w:val="24"/>
              </w:rPr>
              <w:t>14</w:t>
            </w:r>
            <w:r w:rsidRPr="00434301">
              <w:rPr>
                <w:rFonts w:ascii="Times New Roman" w:hAnsi="Times New Roman"/>
                <w:sz w:val="24"/>
                <w:szCs w:val="24"/>
              </w:rPr>
              <w:t>.–20</w:t>
            </w:r>
            <w:r w:rsidR="006F0604" w:rsidRPr="00434301">
              <w:rPr>
                <w:rFonts w:ascii="Times New Roman" w:hAnsi="Times New Roman"/>
                <w:sz w:val="24"/>
                <w:szCs w:val="24"/>
              </w:rPr>
              <w:t>20.gadam pasākum</w:t>
            </w:r>
            <w:r w:rsidR="009F7371">
              <w:rPr>
                <w:rFonts w:ascii="Times New Roman" w:hAnsi="Times New Roman"/>
                <w:sz w:val="24"/>
                <w:szCs w:val="24"/>
              </w:rPr>
              <w:t>ā</w:t>
            </w:r>
            <w:r w:rsidR="006F0604" w:rsidRPr="00434301">
              <w:rPr>
                <w:rFonts w:ascii="Times New Roman" w:hAnsi="Times New Roman"/>
                <w:sz w:val="24"/>
                <w:szCs w:val="24"/>
              </w:rPr>
              <w:t xml:space="preserve"> M04 </w:t>
            </w:r>
            <w:r w:rsidR="009F7371">
              <w:rPr>
                <w:rFonts w:ascii="Times New Roman" w:hAnsi="Times New Roman"/>
                <w:sz w:val="24"/>
                <w:szCs w:val="24"/>
              </w:rPr>
              <w:t>–</w:t>
            </w:r>
            <w:r w:rsidR="006F0604" w:rsidRPr="00434301">
              <w:rPr>
                <w:rFonts w:ascii="Times New Roman" w:hAnsi="Times New Roman"/>
                <w:sz w:val="24"/>
                <w:szCs w:val="24"/>
              </w:rPr>
              <w:t xml:space="preserve"> Ieguldījumi fiziskajos aktīvos.</w:t>
            </w:r>
          </w:p>
          <w:p w:rsidR="00FE72F8" w:rsidRPr="00434301" w:rsidRDefault="00FE72F8" w:rsidP="00B545D4">
            <w:pPr>
              <w:spacing w:after="0" w:line="240" w:lineRule="auto"/>
              <w:jc w:val="both"/>
              <w:rPr>
                <w:rFonts w:ascii="Times New Roman" w:hAnsi="Times New Roman"/>
                <w:sz w:val="24"/>
                <w:szCs w:val="24"/>
              </w:rPr>
            </w:pPr>
            <w:r w:rsidRPr="00434301">
              <w:rPr>
                <w:rFonts w:ascii="Times New Roman" w:hAnsi="Times New Roman"/>
                <w:bCs/>
                <w:sz w:val="24"/>
                <w:szCs w:val="24"/>
              </w:rPr>
              <w:t>Lauku attīstības programmas 20</w:t>
            </w:r>
            <w:r w:rsidR="008E0E43" w:rsidRPr="00434301">
              <w:rPr>
                <w:rFonts w:ascii="Times New Roman" w:hAnsi="Times New Roman"/>
                <w:bCs/>
                <w:sz w:val="24"/>
                <w:szCs w:val="24"/>
              </w:rPr>
              <w:t>14</w:t>
            </w:r>
            <w:r w:rsidRPr="00434301">
              <w:rPr>
                <w:rFonts w:ascii="Times New Roman" w:hAnsi="Times New Roman"/>
                <w:bCs/>
                <w:sz w:val="24"/>
                <w:szCs w:val="24"/>
              </w:rPr>
              <w:t>.–20</w:t>
            </w:r>
            <w:r w:rsidR="008E0E43" w:rsidRPr="00434301">
              <w:rPr>
                <w:rFonts w:ascii="Times New Roman" w:hAnsi="Times New Roman"/>
                <w:bCs/>
                <w:sz w:val="24"/>
                <w:szCs w:val="24"/>
              </w:rPr>
              <w:t>20</w:t>
            </w:r>
            <w:r w:rsidRPr="00434301">
              <w:rPr>
                <w:rFonts w:ascii="Times New Roman" w:hAnsi="Times New Roman"/>
                <w:bCs/>
                <w:sz w:val="24"/>
                <w:szCs w:val="24"/>
              </w:rPr>
              <w:t xml:space="preserve">.gadam (turpmāk – LAP) kopējais pieejamais finansējums netiks pārsniegts, </w:t>
            </w:r>
            <w:r w:rsidR="008E0E43" w:rsidRPr="00434301">
              <w:rPr>
                <w:rFonts w:ascii="Times New Roman" w:hAnsi="Times New Roman"/>
                <w:bCs/>
                <w:sz w:val="24"/>
                <w:szCs w:val="24"/>
              </w:rPr>
              <w:t>jo</w:t>
            </w:r>
            <w:r w:rsidRPr="00434301">
              <w:rPr>
                <w:rFonts w:ascii="Times New Roman" w:hAnsi="Times New Roman"/>
                <w:bCs/>
                <w:sz w:val="24"/>
                <w:szCs w:val="24"/>
              </w:rPr>
              <w:t xml:space="preserve"> ir atbrīvojušies finanšu līdzekļi</w:t>
            </w:r>
            <w:r w:rsidR="008E0E43" w:rsidRPr="00434301">
              <w:rPr>
                <w:rFonts w:ascii="Times New Roman" w:hAnsi="Times New Roman"/>
                <w:bCs/>
                <w:sz w:val="24"/>
                <w:szCs w:val="24"/>
              </w:rPr>
              <w:t xml:space="preserve"> </w:t>
            </w:r>
            <w:r w:rsidR="008E0E43" w:rsidRPr="00434301">
              <w:rPr>
                <w:rFonts w:ascii="Times New Roman" w:hAnsi="Times New Roman"/>
                <w:sz w:val="24"/>
                <w:szCs w:val="24"/>
              </w:rPr>
              <w:t>pasākum</w:t>
            </w:r>
            <w:r w:rsidR="009F7371">
              <w:rPr>
                <w:rFonts w:ascii="Times New Roman" w:hAnsi="Times New Roman"/>
                <w:sz w:val="24"/>
                <w:szCs w:val="24"/>
              </w:rPr>
              <w:t>ā</w:t>
            </w:r>
            <w:r w:rsidR="008E0E43" w:rsidRPr="00434301">
              <w:rPr>
                <w:rFonts w:ascii="Times New Roman" w:hAnsi="Times New Roman"/>
                <w:sz w:val="24"/>
                <w:szCs w:val="24"/>
              </w:rPr>
              <w:t xml:space="preserve"> M04 </w:t>
            </w:r>
            <w:r w:rsidR="009F7371">
              <w:rPr>
                <w:rFonts w:ascii="Times New Roman" w:hAnsi="Times New Roman"/>
                <w:sz w:val="24"/>
                <w:szCs w:val="24"/>
              </w:rPr>
              <w:t>–</w:t>
            </w:r>
            <w:r w:rsidR="008E0E43" w:rsidRPr="00434301">
              <w:rPr>
                <w:rFonts w:ascii="Times New Roman" w:hAnsi="Times New Roman"/>
                <w:sz w:val="24"/>
                <w:szCs w:val="24"/>
              </w:rPr>
              <w:t xml:space="preserve"> Ieguldījumi fiziskajos aktīvos, </w:t>
            </w:r>
            <w:r w:rsidR="009F7371">
              <w:rPr>
                <w:rFonts w:ascii="Times New Roman" w:hAnsi="Times New Roman"/>
                <w:sz w:val="24"/>
                <w:szCs w:val="24"/>
              </w:rPr>
              <w:t>tāpēc ka</w:t>
            </w:r>
            <w:r w:rsidR="008E0E43" w:rsidRPr="00434301">
              <w:rPr>
                <w:rFonts w:ascii="Times New Roman" w:hAnsi="Times New Roman"/>
                <w:sz w:val="24"/>
                <w:szCs w:val="24"/>
              </w:rPr>
              <w:t xml:space="preserve"> </w:t>
            </w:r>
            <w:r w:rsidR="0069348D" w:rsidRPr="00434301">
              <w:rPr>
                <w:rFonts w:ascii="Times New Roman" w:hAnsi="Times New Roman"/>
                <w:sz w:val="24"/>
                <w:szCs w:val="24"/>
              </w:rPr>
              <w:t xml:space="preserve">neplānoti ir tikuši lauzti </w:t>
            </w:r>
            <w:r w:rsidR="0069348D" w:rsidRPr="00434301">
              <w:rPr>
                <w:rFonts w:ascii="Times New Roman" w:hAnsi="Times New Roman"/>
                <w:bCs/>
                <w:sz w:val="24"/>
                <w:szCs w:val="24"/>
              </w:rPr>
              <w:t>vairāki liela apjoma līgumi</w:t>
            </w:r>
            <w:r w:rsidRPr="00434301">
              <w:rPr>
                <w:rFonts w:ascii="Times New Roman" w:hAnsi="Times New Roman"/>
                <w:bCs/>
                <w:sz w:val="24"/>
                <w:szCs w:val="24"/>
              </w:rPr>
              <w:t xml:space="preserve">. </w:t>
            </w:r>
            <w:r w:rsidR="009F7371">
              <w:rPr>
                <w:rFonts w:ascii="Times New Roman" w:hAnsi="Times New Roman"/>
                <w:bCs/>
                <w:sz w:val="24"/>
                <w:szCs w:val="24"/>
              </w:rPr>
              <w:t>Līdz ar to</w:t>
            </w:r>
            <w:r w:rsidR="0069348D" w:rsidRPr="00434301">
              <w:rPr>
                <w:rFonts w:ascii="Times New Roman" w:hAnsi="Times New Roman"/>
                <w:bCs/>
                <w:sz w:val="24"/>
                <w:szCs w:val="24"/>
              </w:rPr>
              <w:t xml:space="preserve"> ir radusies valsts budžeta līdzekļu ekonomija un tos iespējams novirzīt citu atbalsta pasākumu segšanai. </w:t>
            </w:r>
          </w:p>
        </w:tc>
      </w:tr>
    </w:tbl>
    <w:p w:rsidR="006F5F9F" w:rsidRPr="00DD49B6" w:rsidRDefault="006F5F9F" w:rsidP="006F5F9F">
      <w:pPr>
        <w:spacing w:after="0" w:line="240" w:lineRule="auto"/>
        <w:rPr>
          <w:rFonts w:ascii="Times New Roman" w:hAnsi="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533"/>
        <w:gridCol w:w="387"/>
        <w:gridCol w:w="740"/>
        <w:gridCol w:w="1103"/>
        <w:gridCol w:w="1173"/>
        <w:gridCol w:w="1656"/>
        <w:gridCol w:w="3001"/>
      </w:tblGrid>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lastRenderedPageBreak/>
              <w:t>V. Tiesību akta projekta atbilstība Latvijas Republikas starptautiskajām saistībām</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6F5F9F" w:rsidRDefault="00FE39F2" w:rsidP="00FE39F2">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Eiropas Parlamenta un Padomes 2013.gada 17.decembra Regul</w:t>
            </w:r>
            <w:r w:rsidR="00D97368">
              <w:rPr>
                <w:rFonts w:ascii="Times New Roman" w:hAnsi="Times New Roman"/>
                <w:sz w:val="24"/>
                <w:szCs w:val="24"/>
              </w:rPr>
              <w:t>a</w:t>
            </w:r>
            <w:r w:rsidRPr="00FE39F2">
              <w:rPr>
                <w:rFonts w:ascii="Times New Roman" w:hAnsi="Times New Roman"/>
                <w:sz w:val="24"/>
                <w:szCs w:val="24"/>
              </w:rPr>
              <w:t xml:space="preserve"> (ES) Nr.1305/2013 par atbalstu lauku attīstībai no Eiropas lauksaimniecības fonda lauku attīstībai (ELFLA) un ar ko atceļ Padomes Regulu (EK) Nr.1698/2005 (Eiropas Savienības Oficiālais Vēstnesis, 2013. gada 20. decembris, Nr.L347)</w:t>
            </w:r>
            <w:r w:rsidR="00420CFD">
              <w:rPr>
                <w:rFonts w:ascii="Times New Roman" w:hAnsi="Times New Roman"/>
                <w:sz w:val="24"/>
                <w:szCs w:val="24"/>
              </w:rPr>
              <w:t>;</w:t>
            </w:r>
          </w:p>
          <w:p w:rsidR="006B4A74" w:rsidRDefault="006B4A74" w:rsidP="00FE39F2">
            <w:pPr>
              <w:autoSpaceDE w:val="0"/>
              <w:autoSpaceDN w:val="0"/>
              <w:adjustRightInd w:val="0"/>
              <w:spacing w:after="0" w:line="240" w:lineRule="auto"/>
              <w:jc w:val="both"/>
              <w:rPr>
                <w:rFonts w:ascii="Times New Roman" w:hAnsi="Times New Roman"/>
                <w:sz w:val="24"/>
                <w:szCs w:val="24"/>
              </w:rPr>
            </w:pPr>
            <w:r w:rsidRPr="006B4A74">
              <w:rPr>
                <w:rFonts w:ascii="Times New Roman" w:hAnsi="Times New Roman"/>
                <w:sz w:val="24"/>
                <w:szCs w:val="24"/>
              </w:rPr>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w:t>
            </w:r>
          </w:p>
          <w:p w:rsidR="00B622FE" w:rsidRDefault="00B622FE" w:rsidP="00B622FE">
            <w:pPr>
              <w:spacing w:after="0" w:line="240" w:lineRule="auto"/>
              <w:jc w:val="both"/>
              <w:rPr>
                <w:rFonts w:ascii="Times New Roman" w:hAnsi="Times New Roman"/>
                <w:sz w:val="24"/>
                <w:szCs w:val="24"/>
              </w:rPr>
            </w:pPr>
            <w:r w:rsidRPr="007A137C">
              <w:rPr>
                <w:rFonts w:ascii="Times New Roman" w:hAnsi="Times New Roman"/>
                <w:iCs/>
                <w:sz w:val="24"/>
                <w:szCs w:val="24"/>
              </w:rPr>
              <w:t>Komisijas 2014. gada 27. jūnija Regul</w:t>
            </w:r>
            <w:r>
              <w:rPr>
                <w:rFonts w:ascii="Times New Roman" w:hAnsi="Times New Roman"/>
                <w:iCs/>
                <w:sz w:val="24"/>
                <w:szCs w:val="24"/>
              </w:rPr>
              <w:t>a</w:t>
            </w:r>
            <w:r w:rsidRPr="007A137C">
              <w:rPr>
                <w:rFonts w:ascii="Times New Roman" w:hAnsi="Times New Roman"/>
                <w:iCs/>
                <w:sz w:val="24"/>
                <w:szCs w:val="24"/>
              </w:rPr>
              <w:t xml:space="preserve"> (EK) Nr. </w:t>
            </w:r>
            <w:hyperlink r:id="rId9"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Eiropas Savienības darbību 107. un 108. panta piemērošanu </w:t>
            </w:r>
            <w:r w:rsidRPr="007A137C">
              <w:rPr>
                <w:rFonts w:ascii="Times New Roman" w:hAnsi="Times New Roman"/>
                <w:i/>
                <w:iCs/>
                <w:sz w:val="24"/>
                <w:szCs w:val="24"/>
              </w:rPr>
              <w:t>de minimis</w:t>
            </w:r>
            <w:r w:rsidRPr="007A137C">
              <w:rPr>
                <w:rFonts w:ascii="Times New Roman" w:hAnsi="Times New Roman"/>
                <w:iCs/>
                <w:sz w:val="24"/>
                <w:szCs w:val="24"/>
              </w:rPr>
              <w:t xml:space="preserve"> atbalstam zvejniecības un akvakultūras nozarē (Eiropas Savienības Oficiālais Vēstnesis, 2014. gada 28. jūnijs, Nr. L190)</w:t>
            </w:r>
            <w:r>
              <w:rPr>
                <w:rFonts w:ascii="Times New Roman" w:hAnsi="Times New Roman"/>
                <w:iCs/>
                <w:sz w:val="24"/>
                <w:szCs w:val="24"/>
              </w:rPr>
              <w:t>;</w:t>
            </w:r>
          </w:p>
          <w:p w:rsidR="000B5326" w:rsidRDefault="000B5326" w:rsidP="000B5326">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0"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r w:rsidRPr="007A137C">
              <w:rPr>
                <w:rFonts w:ascii="Times New Roman" w:hAnsi="Times New Roman"/>
                <w:i/>
                <w:sz w:val="24"/>
                <w:szCs w:val="24"/>
              </w:rPr>
              <w:t>de minimis</w:t>
            </w:r>
            <w:r w:rsidRPr="007A137C">
              <w:rPr>
                <w:rFonts w:ascii="Times New Roman" w:hAnsi="Times New Roman"/>
                <w:sz w:val="24"/>
                <w:szCs w:val="24"/>
              </w:rPr>
              <w:t xml:space="preserve"> atbalstam lauksaimniecības nozarē (Eiropas Savienības Oficiālais Vēstnesis, 2013.gada 24.decembris, Nr. L 352);</w:t>
            </w:r>
          </w:p>
          <w:p w:rsidR="00FA54E3" w:rsidRPr="007A137C" w:rsidRDefault="00FA54E3" w:rsidP="00FA54E3">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1"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r w:rsidRPr="007A137C">
              <w:rPr>
                <w:rFonts w:ascii="Times New Roman" w:hAnsi="Times New Roman"/>
                <w:i/>
                <w:sz w:val="24"/>
                <w:szCs w:val="24"/>
              </w:rPr>
              <w:t>de minimis</w:t>
            </w:r>
            <w:r w:rsidRPr="007A137C">
              <w:rPr>
                <w:rFonts w:ascii="Times New Roman" w:hAnsi="Times New Roman"/>
                <w:sz w:val="24"/>
                <w:szCs w:val="24"/>
              </w:rPr>
              <w:t xml:space="preserve"> atbalstam (Eiropas Savienības Oficiālais Vēstnesis, 2013.gada 24.decembris, Nr. L 352)</w:t>
            </w:r>
            <w:r w:rsidR="00C57F42">
              <w:rPr>
                <w:rFonts w:ascii="Times New Roman" w:hAnsi="Times New Roman"/>
                <w:sz w:val="24"/>
                <w:szCs w:val="24"/>
              </w:rPr>
              <w:t>;</w:t>
            </w:r>
          </w:p>
          <w:p w:rsidR="00420CFD" w:rsidRPr="00091D8A" w:rsidRDefault="000B5326" w:rsidP="000B5326">
            <w:pPr>
              <w:autoSpaceDE w:val="0"/>
              <w:autoSpaceDN w:val="0"/>
              <w:adjustRightInd w:val="0"/>
              <w:spacing w:after="0" w:line="240" w:lineRule="auto"/>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Pr>
                <w:rFonts w:ascii="Times New Roman" w:hAnsi="Times New Roman"/>
                <w:sz w:val="24"/>
                <w:szCs w:val="24"/>
              </w:rPr>
              <w:t>.</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3665A2">
              <w:rPr>
                <w:rFonts w:ascii="Times New Roman" w:hAnsi="Times New Roman"/>
                <w:color w:val="000000"/>
                <w:sz w:val="24"/>
                <w:szCs w:val="24"/>
              </w:rPr>
              <w:t>Projekts šo jomu neskar.</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C301E7" w:rsidRDefault="00C56EF9" w:rsidP="00C030DD">
            <w:pPr>
              <w:pStyle w:val="Default"/>
              <w:jc w:val="both"/>
              <w:rPr>
                <w:rFonts w:ascii="Times New Roman" w:hAnsi="Times New Roman"/>
                <w:color w:val="auto"/>
              </w:rPr>
            </w:pPr>
            <w:r>
              <w:rPr>
                <w:rFonts w:ascii="Times New Roman" w:hAnsi="Times New Roman"/>
                <w:color w:val="auto"/>
              </w:rPr>
              <w:t>Nav.</w:t>
            </w:r>
          </w:p>
        </w:tc>
      </w:tr>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1.tabula</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b/>
                <w:sz w:val="24"/>
                <w:szCs w:val="24"/>
              </w:rPr>
              <w:t>Tiesību akta projekta atbilstība ES tiesību aktiem</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datums, numurs un nosaukums</w:t>
            </w:r>
          </w:p>
        </w:tc>
        <w:tc>
          <w:tcPr>
            <w:tcW w:w="8060" w:type="dxa"/>
            <w:gridSpan w:val="6"/>
            <w:tcBorders>
              <w:top w:val="outset" w:sz="6" w:space="0" w:color="auto"/>
              <w:left w:val="outset" w:sz="6" w:space="0" w:color="auto"/>
              <w:bottom w:val="outset" w:sz="6" w:space="0" w:color="auto"/>
              <w:right w:val="outset" w:sz="6" w:space="0" w:color="auto"/>
            </w:tcBorders>
          </w:tcPr>
          <w:p w:rsidR="00FE39F2" w:rsidRDefault="00FE39F2" w:rsidP="00FE39F2">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Eiropas Parlamenta un Padomes 2013.gada 17.decembra Regul</w:t>
            </w:r>
            <w:r w:rsidR="00D97368">
              <w:rPr>
                <w:rFonts w:ascii="Times New Roman" w:hAnsi="Times New Roman"/>
                <w:sz w:val="24"/>
                <w:szCs w:val="24"/>
              </w:rPr>
              <w:t>a</w:t>
            </w:r>
            <w:r w:rsidRPr="00FE39F2">
              <w:rPr>
                <w:rFonts w:ascii="Times New Roman" w:hAnsi="Times New Roman"/>
                <w:sz w:val="24"/>
                <w:szCs w:val="24"/>
              </w:rPr>
              <w:t xml:space="preserve"> (ES) Nr.1305/2013 par atbalstu lauku attīstībai no Eiropas lauksaimniecības fonda lauku attīstībai (ELFLA) un ar ko atceļ Padomes Regulu (EK) Nr.1698/2005 (Eiropas Savienības Oficiālais Vēstnesis, 2013. gada 20. decembris, Nr.L347)</w:t>
            </w:r>
            <w:r>
              <w:rPr>
                <w:rFonts w:ascii="Times New Roman" w:hAnsi="Times New Roman"/>
                <w:sz w:val="24"/>
                <w:szCs w:val="24"/>
              </w:rPr>
              <w:t xml:space="preserve"> </w:t>
            </w:r>
            <w:r w:rsidRPr="00FE39F2">
              <w:rPr>
                <w:rFonts w:ascii="Times New Roman" w:hAnsi="Times New Roman"/>
                <w:sz w:val="24"/>
                <w:szCs w:val="24"/>
              </w:rPr>
              <w:t>(turpmāk – Padomes Regula Nr.1305/2013)</w:t>
            </w:r>
            <w:r w:rsidR="0096163B">
              <w:rPr>
                <w:rFonts w:ascii="Times New Roman" w:hAnsi="Times New Roman"/>
                <w:sz w:val="24"/>
                <w:szCs w:val="24"/>
              </w:rPr>
              <w:t>;</w:t>
            </w:r>
          </w:p>
          <w:p w:rsidR="006B4A74" w:rsidRDefault="006B4A74" w:rsidP="00FE39F2">
            <w:pPr>
              <w:autoSpaceDE w:val="0"/>
              <w:autoSpaceDN w:val="0"/>
              <w:adjustRightInd w:val="0"/>
              <w:spacing w:after="0" w:line="240" w:lineRule="auto"/>
              <w:jc w:val="both"/>
              <w:rPr>
                <w:rFonts w:ascii="Times New Roman" w:hAnsi="Times New Roman"/>
                <w:sz w:val="24"/>
                <w:szCs w:val="24"/>
              </w:rPr>
            </w:pPr>
            <w:r w:rsidRPr="006B4A74">
              <w:rPr>
                <w:rFonts w:ascii="Times New Roman" w:hAnsi="Times New Roman"/>
                <w:sz w:val="24"/>
                <w:szCs w:val="24"/>
              </w:rPr>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w:t>
            </w:r>
            <w:r>
              <w:rPr>
                <w:rFonts w:ascii="Times New Roman" w:hAnsi="Times New Roman"/>
                <w:sz w:val="24"/>
                <w:szCs w:val="24"/>
              </w:rPr>
              <w:t xml:space="preserve"> </w:t>
            </w:r>
            <w:r w:rsidRPr="00FE39F2">
              <w:rPr>
                <w:rFonts w:ascii="Times New Roman" w:hAnsi="Times New Roman"/>
                <w:sz w:val="24"/>
                <w:szCs w:val="24"/>
              </w:rPr>
              <w:t>(turpmāk – Padomes Regula Nr.130</w:t>
            </w:r>
            <w:r w:rsidR="00E5244D">
              <w:rPr>
                <w:rFonts w:ascii="Times New Roman" w:hAnsi="Times New Roman"/>
                <w:sz w:val="24"/>
                <w:szCs w:val="24"/>
              </w:rPr>
              <w:t>7</w:t>
            </w:r>
            <w:r w:rsidRPr="00FE39F2">
              <w:rPr>
                <w:rFonts w:ascii="Times New Roman" w:hAnsi="Times New Roman"/>
                <w:sz w:val="24"/>
                <w:szCs w:val="24"/>
              </w:rPr>
              <w:t>/2013</w:t>
            </w:r>
            <w:r w:rsidR="00E5244D">
              <w:rPr>
                <w:rFonts w:ascii="Times New Roman" w:hAnsi="Times New Roman"/>
                <w:sz w:val="24"/>
                <w:szCs w:val="24"/>
              </w:rPr>
              <w:t>)</w:t>
            </w:r>
            <w:r w:rsidRPr="006B4A74">
              <w:rPr>
                <w:rFonts w:ascii="Times New Roman" w:hAnsi="Times New Roman"/>
                <w:sz w:val="24"/>
                <w:szCs w:val="24"/>
              </w:rPr>
              <w:t>;</w:t>
            </w:r>
          </w:p>
          <w:p w:rsidR="00B622FE" w:rsidRPr="00B622FE" w:rsidRDefault="00B622FE" w:rsidP="00B622FE">
            <w:pPr>
              <w:spacing w:after="0" w:line="240" w:lineRule="auto"/>
              <w:jc w:val="both"/>
              <w:rPr>
                <w:rFonts w:ascii="Times New Roman" w:hAnsi="Times New Roman"/>
                <w:iCs/>
                <w:sz w:val="24"/>
                <w:szCs w:val="24"/>
              </w:rPr>
            </w:pPr>
            <w:r w:rsidRPr="007A137C">
              <w:rPr>
                <w:rFonts w:ascii="Times New Roman" w:hAnsi="Times New Roman"/>
                <w:iCs/>
                <w:sz w:val="24"/>
                <w:szCs w:val="24"/>
              </w:rPr>
              <w:t>Komisijas 2014. gada 27. jūnija Regul</w:t>
            </w:r>
            <w:r>
              <w:rPr>
                <w:rFonts w:ascii="Times New Roman" w:hAnsi="Times New Roman"/>
                <w:iCs/>
                <w:sz w:val="24"/>
                <w:szCs w:val="24"/>
              </w:rPr>
              <w:t>a</w:t>
            </w:r>
            <w:r w:rsidRPr="007A137C">
              <w:rPr>
                <w:rFonts w:ascii="Times New Roman" w:hAnsi="Times New Roman"/>
                <w:iCs/>
                <w:sz w:val="24"/>
                <w:szCs w:val="24"/>
              </w:rPr>
              <w:t xml:space="preserve"> (EK) Nr. </w:t>
            </w:r>
            <w:hyperlink r:id="rId12"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Eiropas Savienības darbību 107. un 108. panta piemērošanu </w:t>
            </w:r>
            <w:r w:rsidRPr="007A137C">
              <w:rPr>
                <w:rFonts w:ascii="Times New Roman" w:hAnsi="Times New Roman"/>
                <w:i/>
                <w:iCs/>
                <w:sz w:val="24"/>
                <w:szCs w:val="24"/>
              </w:rPr>
              <w:t>de minimis</w:t>
            </w:r>
            <w:r w:rsidRPr="007A137C">
              <w:rPr>
                <w:rFonts w:ascii="Times New Roman" w:hAnsi="Times New Roman"/>
                <w:iCs/>
                <w:sz w:val="24"/>
                <w:szCs w:val="24"/>
              </w:rPr>
              <w:t xml:space="preserve"> atbalstam zvejniecības un akvakultūras nozarē (Eiropas Savienības Oficiālais Vēstnesis, 2014. gada 28. jūnijs, Nr. L190) (turpmāk – Komisijas regula Nr. </w:t>
            </w:r>
            <w:hyperlink r:id="rId13" w:tgtFrame="_blank" w:history="1">
              <w:r w:rsidRPr="007A137C">
                <w:rPr>
                  <w:rFonts w:ascii="Times New Roman" w:hAnsi="Times New Roman"/>
                  <w:iCs/>
                  <w:sz w:val="24"/>
                  <w:szCs w:val="24"/>
                </w:rPr>
                <w:t>717/2014</w:t>
              </w:r>
            </w:hyperlink>
            <w:r w:rsidRPr="007A137C">
              <w:rPr>
                <w:rFonts w:ascii="Times New Roman" w:hAnsi="Times New Roman"/>
                <w:iCs/>
                <w:sz w:val="24"/>
                <w:szCs w:val="24"/>
              </w:rPr>
              <w:t>);</w:t>
            </w:r>
          </w:p>
          <w:p w:rsidR="00FA54E3" w:rsidRPr="007A137C" w:rsidRDefault="00FA54E3" w:rsidP="00FA54E3">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4"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r w:rsidRPr="007A137C">
              <w:rPr>
                <w:rFonts w:ascii="Times New Roman" w:hAnsi="Times New Roman"/>
                <w:i/>
                <w:sz w:val="24"/>
                <w:szCs w:val="24"/>
              </w:rPr>
              <w:t>de minimis</w:t>
            </w:r>
            <w:r w:rsidRPr="007A137C">
              <w:rPr>
                <w:rFonts w:ascii="Times New Roman" w:hAnsi="Times New Roman"/>
                <w:sz w:val="24"/>
                <w:szCs w:val="24"/>
              </w:rPr>
              <w:t xml:space="preserve"> atbalstam (Eiropas Savienības Oficiālais Vēstnesis, 2013.gada 24.decembris, Nr. L 352) </w:t>
            </w:r>
            <w:r w:rsidRPr="007A137C">
              <w:rPr>
                <w:rFonts w:ascii="Times New Roman" w:hAnsi="Times New Roman"/>
                <w:sz w:val="24"/>
                <w:szCs w:val="24"/>
              </w:rPr>
              <w:lastRenderedPageBreak/>
              <w:t>(turpmāk – Komisijas regula Nr.</w:t>
            </w:r>
            <w:hyperlink r:id="rId15" w:tgtFrame="_blank" w:history="1">
              <w:r w:rsidRPr="007A137C">
                <w:rPr>
                  <w:rFonts w:ascii="Times New Roman" w:hAnsi="Times New Roman"/>
                  <w:sz w:val="24"/>
                  <w:szCs w:val="24"/>
                </w:rPr>
                <w:t>1407/2013</w:t>
              </w:r>
            </w:hyperlink>
            <w:r w:rsidRPr="007A137C">
              <w:rPr>
                <w:rFonts w:ascii="Times New Roman" w:hAnsi="Times New Roman"/>
                <w:sz w:val="24"/>
                <w:szCs w:val="24"/>
              </w:rPr>
              <w:t>);</w:t>
            </w:r>
          </w:p>
          <w:p w:rsidR="0096163B" w:rsidRPr="00462BE4" w:rsidRDefault="0096163B" w:rsidP="0096163B">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6"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r w:rsidRPr="006B4A74">
              <w:rPr>
                <w:rFonts w:ascii="Times New Roman" w:hAnsi="Times New Roman"/>
                <w:i/>
                <w:sz w:val="24"/>
                <w:szCs w:val="24"/>
              </w:rPr>
              <w:t>de minimi</w:t>
            </w:r>
            <w:r w:rsidRPr="006B4A74">
              <w:rPr>
                <w:rFonts w:ascii="Times New Roman" w:hAnsi="Times New Roman"/>
                <w:sz w:val="24"/>
                <w:szCs w:val="24"/>
              </w:rPr>
              <w:t>s</w:t>
            </w:r>
            <w:r w:rsidRPr="007A137C">
              <w:rPr>
                <w:rFonts w:ascii="Times New Roman" w:hAnsi="Times New Roman"/>
                <w:sz w:val="24"/>
                <w:szCs w:val="24"/>
              </w:rPr>
              <w:t xml:space="preserve"> atbalstam lauksaimniecības nozarē (Eiropas Savienības Oficiālais Vēstnesis, 2013.gada 24.decembris, Nr. L 352) (turpmāk – Komisijas regula Nr.</w:t>
            </w:r>
            <w:hyperlink r:id="rId17" w:tgtFrame="_blank" w:history="1">
              <w:r w:rsidRPr="007A137C">
                <w:rPr>
                  <w:rFonts w:ascii="Times New Roman" w:hAnsi="Times New Roman"/>
                  <w:sz w:val="24"/>
                  <w:szCs w:val="24"/>
                </w:rPr>
                <w:t>1408/2013</w:t>
              </w:r>
            </w:hyperlink>
            <w:r w:rsidRPr="007A137C">
              <w:rPr>
                <w:rFonts w:ascii="Times New Roman" w:hAnsi="Times New Roman"/>
                <w:sz w:val="24"/>
                <w:szCs w:val="24"/>
              </w:rPr>
              <w:t>);</w:t>
            </w:r>
          </w:p>
          <w:p w:rsidR="0096163B" w:rsidRPr="00B84678" w:rsidRDefault="0096163B" w:rsidP="00FE39F2">
            <w:pPr>
              <w:autoSpaceDE w:val="0"/>
              <w:autoSpaceDN w:val="0"/>
              <w:adjustRightInd w:val="0"/>
              <w:spacing w:after="0" w:line="240" w:lineRule="auto"/>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 (turpmāk – Komisijas regula Nr.702/2014)</w:t>
            </w:r>
            <w:r>
              <w:rPr>
                <w:rFonts w:ascii="Times New Roman" w:hAnsi="Times New Roman"/>
                <w:sz w:val="24"/>
                <w:szCs w:val="24"/>
              </w:rPr>
              <w:t>.</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A</w:t>
            </w:r>
          </w:p>
        </w:tc>
        <w:tc>
          <w:tcPr>
            <w:tcW w:w="2230" w:type="dxa"/>
            <w:gridSpan w:val="3"/>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D</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panta numurs (uzskaitot katru tiesību akta vienību – pantu, daļu, punktu, apakšpunktu)</w:t>
            </w:r>
          </w:p>
        </w:tc>
        <w:tc>
          <w:tcPr>
            <w:tcW w:w="223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A ailē minētās ES tiesību akta vienības tiek pārņemtas vai ieviestas pilnībā vai daļēji.</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B ailē minētās projekta vienības paredz stingrākas prasības nekā šīs tabulas A ailē minētās ES tiesību akta vienības.</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projekts satur stingrā</w:t>
            </w:r>
            <w:r w:rsidRPr="00B84678">
              <w:rPr>
                <w:rFonts w:ascii="Times New Roman" w:hAnsi="Times New Roman"/>
                <w:sz w:val="24"/>
                <w:szCs w:val="24"/>
              </w:rPr>
              <w:softHyphen/>
              <w:t>kas prasības nekā attie</w:t>
            </w:r>
            <w:r w:rsidRPr="00B84678">
              <w:rPr>
                <w:rFonts w:ascii="Times New Roman" w:hAnsi="Times New Roman"/>
                <w:sz w:val="24"/>
                <w:szCs w:val="24"/>
              </w:rPr>
              <w:softHyphen/>
              <w:t>cīgais ES tiesību akts, norāda pamatojumu un samērīgumu.</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3469A" w:rsidRPr="007A7182" w:rsidRDefault="0063469A" w:rsidP="00C533E3">
            <w:pPr>
              <w:spacing w:after="0" w:line="240" w:lineRule="auto"/>
              <w:rPr>
                <w:rFonts w:ascii="Times New Roman" w:hAnsi="Times New Roman"/>
                <w:sz w:val="24"/>
                <w:szCs w:val="24"/>
              </w:rPr>
            </w:pPr>
            <w:r w:rsidRPr="007A7182">
              <w:rPr>
                <w:rFonts w:ascii="Times New Roman" w:hAnsi="Times New Roman"/>
                <w:sz w:val="24"/>
                <w:szCs w:val="24"/>
              </w:rPr>
              <w:t>Padomes Regula</w:t>
            </w:r>
            <w:r w:rsidR="009F7371">
              <w:rPr>
                <w:rFonts w:ascii="Times New Roman" w:hAnsi="Times New Roman"/>
                <w:sz w:val="24"/>
                <w:szCs w:val="24"/>
              </w:rPr>
              <w:t>s</w:t>
            </w:r>
            <w:r w:rsidRPr="007A7182">
              <w:rPr>
                <w:rFonts w:ascii="Times New Roman" w:hAnsi="Times New Roman"/>
                <w:sz w:val="24"/>
                <w:szCs w:val="24"/>
              </w:rPr>
              <w:t xml:space="preserve"> Nr.1305/2013 </w:t>
            </w:r>
            <w:r w:rsidR="00E5244D">
              <w:rPr>
                <w:rFonts w:ascii="Times New Roman" w:hAnsi="Times New Roman"/>
                <w:sz w:val="24"/>
                <w:szCs w:val="24"/>
              </w:rPr>
              <w:t xml:space="preserve">2.panta </w:t>
            </w:r>
            <w:r w:rsidR="00DD6014">
              <w:rPr>
                <w:rFonts w:ascii="Times New Roman" w:hAnsi="Times New Roman"/>
                <w:sz w:val="24"/>
                <w:szCs w:val="24"/>
              </w:rPr>
              <w:t>1.punkta „</w:t>
            </w:r>
            <w:r w:rsidR="00E5244D">
              <w:rPr>
                <w:rFonts w:ascii="Times New Roman" w:hAnsi="Times New Roman"/>
                <w:sz w:val="24"/>
                <w:szCs w:val="24"/>
              </w:rPr>
              <w:t xml:space="preserve">n” apakšpunkts un </w:t>
            </w:r>
            <w:r w:rsidR="0077427E">
              <w:rPr>
                <w:rFonts w:ascii="Times New Roman" w:hAnsi="Times New Roman"/>
                <w:sz w:val="24"/>
                <w:szCs w:val="24"/>
              </w:rPr>
              <w:t>32</w:t>
            </w:r>
            <w:r w:rsidRPr="007A7182">
              <w:rPr>
                <w:rFonts w:ascii="Times New Roman" w:hAnsi="Times New Roman"/>
                <w:sz w:val="24"/>
                <w:szCs w:val="24"/>
              </w:rPr>
              <w:t>.</w:t>
            </w:r>
            <w:r w:rsidR="00E5244D">
              <w:rPr>
                <w:rFonts w:ascii="Times New Roman" w:hAnsi="Times New Roman"/>
                <w:sz w:val="24"/>
                <w:szCs w:val="24"/>
              </w:rPr>
              <w:t xml:space="preserve"> </w:t>
            </w:r>
            <w:r w:rsidRPr="007A7182">
              <w:rPr>
                <w:rFonts w:ascii="Times New Roman" w:hAnsi="Times New Roman"/>
                <w:sz w:val="24"/>
                <w:szCs w:val="24"/>
              </w:rPr>
              <w:t>pant</w:t>
            </w:r>
            <w:r w:rsidR="00203E87">
              <w:rPr>
                <w:rFonts w:ascii="Times New Roman" w:hAnsi="Times New Roman"/>
                <w:sz w:val="24"/>
                <w:szCs w:val="24"/>
              </w:rPr>
              <w:t>s</w:t>
            </w:r>
          </w:p>
        </w:tc>
        <w:tc>
          <w:tcPr>
            <w:tcW w:w="2230" w:type="dxa"/>
            <w:gridSpan w:val="3"/>
            <w:tcBorders>
              <w:top w:val="outset" w:sz="6" w:space="0" w:color="auto"/>
              <w:left w:val="outset" w:sz="6" w:space="0" w:color="auto"/>
              <w:bottom w:val="outset" w:sz="6" w:space="0" w:color="auto"/>
              <w:right w:val="outset" w:sz="6" w:space="0" w:color="auto"/>
            </w:tcBorders>
          </w:tcPr>
          <w:p w:rsidR="0063469A" w:rsidRPr="007A7182" w:rsidRDefault="0063469A"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D65D67">
              <w:rPr>
                <w:rFonts w:ascii="Times New Roman" w:hAnsi="Times New Roman"/>
                <w:sz w:val="24"/>
                <w:szCs w:val="24"/>
              </w:rPr>
              <w:t>10</w:t>
            </w:r>
            <w:r w:rsidRPr="007A7182">
              <w:rPr>
                <w:rFonts w:ascii="Times New Roman" w:hAnsi="Times New Roman"/>
                <w:sz w:val="24"/>
                <w:szCs w:val="24"/>
              </w:rPr>
              <w:t>.punkts</w:t>
            </w:r>
          </w:p>
          <w:p w:rsidR="0063469A" w:rsidRPr="007A7182" w:rsidRDefault="0063469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63469A" w:rsidRPr="007A7182" w:rsidRDefault="0063469A" w:rsidP="00C533E3">
            <w:pPr>
              <w:spacing w:after="0" w:line="240" w:lineRule="auto"/>
              <w:rPr>
                <w:rFonts w:ascii="Times New Roman" w:hAnsi="Times New Roman"/>
                <w:sz w:val="24"/>
                <w:szCs w:val="24"/>
              </w:rPr>
            </w:pPr>
            <w:r w:rsidRPr="007A7182">
              <w:rPr>
                <w:rFonts w:ascii="Times New Roman" w:hAnsi="Times New Roman"/>
                <w:sz w:val="24"/>
                <w:szCs w:val="24"/>
              </w:rPr>
              <w:t>Padomes Regulas Nr.1305/2013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3469A" w:rsidRPr="007A7182" w:rsidRDefault="0063469A"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27941" w:rsidRPr="007A7182" w:rsidTr="00F113FF">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27941" w:rsidRPr="007A7182" w:rsidRDefault="00B27941" w:rsidP="00215832">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18" w:tgtFrame="_blank" w:history="1">
              <w:r w:rsidRPr="007A137C">
                <w:rPr>
                  <w:rFonts w:ascii="Times New Roman" w:hAnsi="Times New Roman"/>
                  <w:sz w:val="24"/>
                  <w:szCs w:val="24"/>
                </w:rPr>
                <w:t>1408/2013</w:t>
              </w:r>
            </w:hyperlink>
            <w:r>
              <w:rPr>
                <w:rFonts w:ascii="Times New Roman" w:hAnsi="Times New Roman"/>
                <w:sz w:val="24"/>
                <w:szCs w:val="24"/>
              </w:rPr>
              <w:t xml:space="preserve"> 2.panta 2.punkts</w:t>
            </w:r>
          </w:p>
        </w:tc>
        <w:tc>
          <w:tcPr>
            <w:tcW w:w="2230" w:type="dxa"/>
            <w:gridSpan w:val="3"/>
            <w:tcBorders>
              <w:top w:val="outset" w:sz="6" w:space="0" w:color="auto"/>
              <w:left w:val="outset" w:sz="6" w:space="0" w:color="auto"/>
              <w:bottom w:val="outset" w:sz="6" w:space="0" w:color="auto"/>
              <w:right w:val="outset" w:sz="6" w:space="0" w:color="auto"/>
            </w:tcBorders>
          </w:tcPr>
          <w:p w:rsidR="00B27941" w:rsidRPr="007A7182" w:rsidRDefault="00B27941"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w:t>
            </w:r>
            <w:r w:rsidRPr="007A7182">
              <w:rPr>
                <w:rFonts w:ascii="Times New Roman" w:hAnsi="Times New Roman"/>
                <w:sz w:val="24"/>
                <w:szCs w:val="24"/>
              </w:rPr>
              <w:t>.punkts</w:t>
            </w:r>
          </w:p>
          <w:p w:rsidR="00B27941" w:rsidRPr="007A7182" w:rsidRDefault="00B27941" w:rsidP="00F113FF">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27941" w:rsidRPr="007A7182" w:rsidRDefault="00B27941" w:rsidP="00F113FF">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27941" w:rsidRPr="007A7182" w:rsidRDefault="00B27941" w:rsidP="00F113FF">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170C47"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170C47" w:rsidRPr="007A7182" w:rsidRDefault="00170C47" w:rsidP="00215832">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19" w:tgtFrame="_blank" w:history="1">
              <w:r w:rsidRPr="007A137C">
                <w:rPr>
                  <w:rFonts w:ascii="Times New Roman" w:hAnsi="Times New Roman"/>
                  <w:sz w:val="24"/>
                  <w:szCs w:val="24"/>
                </w:rPr>
                <w:t>1408/2013</w:t>
              </w:r>
            </w:hyperlink>
            <w:r>
              <w:rPr>
                <w:rFonts w:ascii="Times New Roman" w:hAnsi="Times New Roman"/>
                <w:sz w:val="24"/>
                <w:szCs w:val="24"/>
              </w:rPr>
              <w:t xml:space="preserve"> 1.panta 1.punkts</w:t>
            </w:r>
          </w:p>
        </w:tc>
        <w:tc>
          <w:tcPr>
            <w:tcW w:w="2230" w:type="dxa"/>
            <w:gridSpan w:val="3"/>
            <w:tcBorders>
              <w:top w:val="outset" w:sz="6" w:space="0" w:color="auto"/>
              <w:left w:val="outset" w:sz="6" w:space="0" w:color="auto"/>
              <w:bottom w:val="outset" w:sz="6" w:space="0" w:color="auto"/>
              <w:right w:val="outset" w:sz="6" w:space="0" w:color="auto"/>
            </w:tcBorders>
          </w:tcPr>
          <w:p w:rsidR="00170C47" w:rsidRPr="007A7182" w:rsidRDefault="00170C47"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w:t>
            </w:r>
            <w:r w:rsidRPr="007A7182">
              <w:rPr>
                <w:rFonts w:ascii="Times New Roman" w:hAnsi="Times New Roman"/>
                <w:sz w:val="24"/>
                <w:szCs w:val="24"/>
              </w:rPr>
              <w:t>.punkts</w:t>
            </w:r>
          </w:p>
          <w:p w:rsidR="00170C47" w:rsidRPr="007A7182" w:rsidRDefault="00170C47"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170C47" w:rsidRPr="007A7182" w:rsidRDefault="00170C47"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170C47" w:rsidRPr="007A7182" w:rsidRDefault="00170C47"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235345"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235345" w:rsidRPr="007A7182" w:rsidRDefault="00235345"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0" w:tgtFrame="_blank" w:history="1">
              <w:r w:rsidRPr="007A137C">
                <w:rPr>
                  <w:rFonts w:ascii="Times New Roman" w:hAnsi="Times New Roman"/>
                  <w:sz w:val="24"/>
                  <w:szCs w:val="24"/>
                </w:rPr>
                <w:t>1408/2013</w:t>
              </w:r>
            </w:hyperlink>
            <w:r>
              <w:rPr>
                <w:rFonts w:ascii="Times New Roman" w:hAnsi="Times New Roman"/>
                <w:sz w:val="24"/>
                <w:szCs w:val="24"/>
              </w:rPr>
              <w:t xml:space="preserve"> 3.panta 2.punkts</w:t>
            </w:r>
          </w:p>
        </w:tc>
        <w:tc>
          <w:tcPr>
            <w:tcW w:w="2230" w:type="dxa"/>
            <w:gridSpan w:val="3"/>
            <w:tcBorders>
              <w:top w:val="outset" w:sz="6" w:space="0" w:color="auto"/>
              <w:left w:val="outset" w:sz="6" w:space="0" w:color="auto"/>
              <w:bottom w:val="outset" w:sz="6" w:space="0" w:color="auto"/>
              <w:right w:val="outset" w:sz="6" w:space="0" w:color="auto"/>
            </w:tcBorders>
          </w:tcPr>
          <w:p w:rsidR="00235345" w:rsidRPr="007A7182" w:rsidRDefault="00235345"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5D4E74">
              <w:rPr>
                <w:rFonts w:ascii="Times New Roman" w:hAnsi="Times New Roman"/>
                <w:sz w:val="24"/>
                <w:szCs w:val="24"/>
              </w:rPr>
              <w:t>5</w:t>
            </w:r>
            <w:r w:rsidRPr="007A7182">
              <w:rPr>
                <w:rFonts w:ascii="Times New Roman" w:hAnsi="Times New Roman"/>
                <w:sz w:val="24"/>
                <w:szCs w:val="24"/>
              </w:rPr>
              <w:t>.punkts</w:t>
            </w:r>
          </w:p>
          <w:p w:rsidR="00235345" w:rsidRPr="007A7182" w:rsidRDefault="00235345"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235345" w:rsidRPr="007A7182" w:rsidRDefault="00235345"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35345" w:rsidRPr="007A7182" w:rsidRDefault="00235345"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42318A"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1" w:tgtFrame="_blank" w:history="1">
              <w:r w:rsidRPr="007A137C">
                <w:rPr>
                  <w:rFonts w:ascii="Times New Roman" w:hAnsi="Times New Roman"/>
                  <w:sz w:val="24"/>
                  <w:szCs w:val="24"/>
                </w:rPr>
                <w:t>1408/2013</w:t>
              </w:r>
            </w:hyperlink>
            <w:r>
              <w:rPr>
                <w:rFonts w:ascii="Times New Roman" w:hAnsi="Times New Roman"/>
                <w:sz w:val="24"/>
                <w:szCs w:val="24"/>
              </w:rPr>
              <w:t xml:space="preserve"> </w:t>
            </w:r>
            <w:r>
              <w:rPr>
                <w:rFonts w:ascii="Times New Roman" w:hAnsi="Times New Roman"/>
                <w:sz w:val="24"/>
                <w:szCs w:val="24"/>
              </w:rPr>
              <w:lastRenderedPageBreak/>
              <w:t xml:space="preserve">5.panta 1., 2. </w:t>
            </w:r>
            <w:r w:rsidR="00235345">
              <w:rPr>
                <w:rFonts w:ascii="Times New Roman" w:hAnsi="Times New Roman"/>
                <w:sz w:val="24"/>
                <w:szCs w:val="24"/>
              </w:rPr>
              <w:t>u</w:t>
            </w:r>
            <w:r>
              <w:rPr>
                <w:rFonts w:ascii="Times New Roman" w:hAnsi="Times New Roman"/>
                <w:sz w:val="24"/>
                <w:szCs w:val="24"/>
              </w:rPr>
              <w:t>n 3.punkts</w:t>
            </w:r>
          </w:p>
        </w:tc>
        <w:tc>
          <w:tcPr>
            <w:tcW w:w="2230" w:type="dxa"/>
            <w:gridSpan w:val="3"/>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lastRenderedPageBreak/>
              <w:t xml:space="preserve">Noteikumu projekta </w:t>
            </w:r>
            <w:r w:rsidR="005D4E74">
              <w:rPr>
                <w:rFonts w:ascii="Times New Roman" w:hAnsi="Times New Roman"/>
                <w:sz w:val="24"/>
                <w:szCs w:val="24"/>
              </w:rPr>
              <w:t>5</w:t>
            </w:r>
            <w:r w:rsidRPr="007A7182">
              <w:rPr>
                <w:rFonts w:ascii="Times New Roman" w:hAnsi="Times New Roman"/>
                <w:sz w:val="24"/>
                <w:szCs w:val="24"/>
              </w:rPr>
              <w:t>.punkts</w:t>
            </w:r>
          </w:p>
          <w:p w:rsidR="0042318A" w:rsidRPr="007A7182" w:rsidRDefault="0042318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C32B4C">
              <w:rPr>
                <w:rFonts w:ascii="Times New Roman" w:hAnsi="Times New Roman"/>
                <w:sz w:val="24"/>
                <w:szCs w:val="24"/>
              </w:rPr>
              <w:lastRenderedPageBreak/>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w:t>
            </w:r>
            <w:r w:rsidRPr="00C32B4C">
              <w:rPr>
                <w:rFonts w:ascii="Times New Roman" w:hAnsi="Times New Roman"/>
                <w:sz w:val="24"/>
                <w:szCs w:val="24"/>
              </w:rPr>
              <w:lastRenderedPageBreak/>
              <w:t>ieviestas pilnībā.</w:t>
            </w:r>
          </w:p>
        </w:tc>
        <w:tc>
          <w:tcPr>
            <w:tcW w:w="3001" w:type="dxa"/>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lastRenderedPageBreak/>
              <w:t xml:space="preserve">Noteikumu projekta vienības neparedz stingrākas prasības </w:t>
            </w:r>
            <w:r w:rsidRPr="007A7182">
              <w:rPr>
                <w:rFonts w:ascii="Times New Roman" w:hAnsi="Times New Roman"/>
                <w:sz w:val="24"/>
                <w:szCs w:val="24"/>
              </w:rPr>
              <w:lastRenderedPageBreak/>
              <w:t>kā šīs tabulas A ailē minētās ES tiesību akta vienības.</w:t>
            </w:r>
          </w:p>
        </w:tc>
      </w:tr>
      <w:tr w:rsidR="006B4A74"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B4A74" w:rsidRPr="007A7182" w:rsidRDefault="006B4A74" w:rsidP="00C533E3">
            <w:pPr>
              <w:spacing w:after="0" w:line="240" w:lineRule="auto"/>
              <w:rPr>
                <w:rFonts w:ascii="Times New Roman" w:hAnsi="Times New Roman"/>
                <w:sz w:val="24"/>
                <w:szCs w:val="24"/>
              </w:rPr>
            </w:pPr>
            <w:r w:rsidRPr="007A137C">
              <w:rPr>
                <w:rFonts w:ascii="Times New Roman" w:hAnsi="Times New Roman"/>
                <w:sz w:val="24"/>
                <w:szCs w:val="24"/>
              </w:rPr>
              <w:lastRenderedPageBreak/>
              <w:t>Komisijas regula</w:t>
            </w:r>
            <w:r>
              <w:rPr>
                <w:rFonts w:ascii="Times New Roman" w:hAnsi="Times New Roman"/>
                <w:sz w:val="24"/>
                <w:szCs w:val="24"/>
              </w:rPr>
              <w:t>s</w:t>
            </w:r>
            <w:r w:rsidRPr="007A137C">
              <w:rPr>
                <w:rFonts w:ascii="Times New Roman" w:hAnsi="Times New Roman"/>
                <w:sz w:val="24"/>
                <w:szCs w:val="24"/>
              </w:rPr>
              <w:t xml:space="preserve"> Nr.</w:t>
            </w:r>
            <w:hyperlink r:id="rId22" w:tgtFrame="_blank" w:history="1">
              <w:r w:rsidRPr="007A137C">
                <w:rPr>
                  <w:rFonts w:ascii="Times New Roman" w:hAnsi="Times New Roman"/>
                  <w:sz w:val="24"/>
                  <w:szCs w:val="24"/>
                </w:rPr>
                <w:t>1408/2013</w:t>
              </w:r>
            </w:hyperlink>
            <w:r>
              <w:rPr>
                <w:rFonts w:ascii="Times New Roman" w:hAnsi="Times New Roman"/>
                <w:sz w:val="24"/>
                <w:szCs w:val="24"/>
              </w:rPr>
              <w:t xml:space="preserve"> 6.panta 1.</w:t>
            </w:r>
            <w:r w:rsidR="00E5244D">
              <w:rPr>
                <w:rFonts w:ascii="Times New Roman" w:hAnsi="Times New Roman"/>
                <w:sz w:val="24"/>
                <w:szCs w:val="24"/>
              </w:rPr>
              <w:t xml:space="preserve"> </w:t>
            </w:r>
            <w:r>
              <w:rPr>
                <w:rFonts w:ascii="Times New Roman" w:hAnsi="Times New Roman"/>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6B4A74" w:rsidRPr="005E617B" w:rsidRDefault="006B4A74" w:rsidP="00C533E3">
            <w:pPr>
              <w:spacing w:after="0" w:line="240" w:lineRule="auto"/>
              <w:rPr>
                <w:rFonts w:ascii="Times New Roman" w:hAnsi="Times New Roman"/>
                <w:sz w:val="24"/>
                <w:szCs w:val="24"/>
              </w:rPr>
            </w:pPr>
            <w:r w:rsidRPr="005E617B">
              <w:rPr>
                <w:rFonts w:ascii="Times New Roman" w:hAnsi="Times New Roman"/>
                <w:sz w:val="24"/>
                <w:szCs w:val="24"/>
              </w:rPr>
              <w:t xml:space="preserve">Noteikumu projekta </w:t>
            </w:r>
            <w:r w:rsidR="005D4E74" w:rsidRPr="005E617B">
              <w:rPr>
                <w:rFonts w:ascii="Times New Roman" w:hAnsi="Times New Roman"/>
                <w:sz w:val="24"/>
                <w:szCs w:val="24"/>
              </w:rPr>
              <w:t>8</w:t>
            </w:r>
            <w:r w:rsidRPr="005E617B">
              <w:rPr>
                <w:rFonts w:ascii="Times New Roman" w:hAnsi="Times New Roman"/>
                <w:sz w:val="24"/>
                <w:szCs w:val="24"/>
              </w:rPr>
              <w:t>.punkts</w:t>
            </w:r>
          </w:p>
          <w:p w:rsidR="006B4A74" w:rsidRPr="005E617B" w:rsidRDefault="006B4A74"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6B4A74" w:rsidRDefault="006B4A74" w:rsidP="00C533E3">
            <w:pPr>
              <w:spacing w:after="0" w:line="240" w:lineRule="auto"/>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B4A74" w:rsidRPr="007A7182" w:rsidRDefault="006B4A74"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6A44A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A44A2" w:rsidRPr="007A137C" w:rsidRDefault="006A44A2" w:rsidP="00215832">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3" w:tgtFrame="_blank" w:history="1">
              <w:r w:rsidRPr="007A137C">
                <w:rPr>
                  <w:rFonts w:ascii="Times New Roman" w:hAnsi="Times New Roman"/>
                  <w:sz w:val="24"/>
                  <w:szCs w:val="24"/>
                </w:rPr>
                <w:t>1408/2013</w:t>
              </w:r>
            </w:hyperlink>
            <w:r>
              <w:rPr>
                <w:rFonts w:ascii="Times New Roman" w:hAnsi="Times New Roman"/>
                <w:sz w:val="24"/>
                <w:szCs w:val="24"/>
              </w:rPr>
              <w:t xml:space="preserve"> 6.panta 4. punkts</w:t>
            </w:r>
          </w:p>
        </w:tc>
        <w:tc>
          <w:tcPr>
            <w:tcW w:w="2230" w:type="dxa"/>
            <w:gridSpan w:val="3"/>
            <w:tcBorders>
              <w:top w:val="outset" w:sz="6" w:space="0" w:color="auto"/>
              <w:left w:val="outset" w:sz="6" w:space="0" w:color="auto"/>
              <w:bottom w:val="outset" w:sz="6" w:space="0" w:color="auto"/>
              <w:right w:val="outset" w:sz="6" w:space="0" w:color="auto"/>
            </w:tcBorders>
          </w:tcPr>
          <w:p w:rsidR="006A44A2" w:rsidRPr="005E617B" w:rsidRDefault="006A44A2" w:rsidP="00F113FF">
            <w:pPr>
              <w:spacing w:after="0" w:line="240" w:lineRule="auto"/>
              <w:rPr>
                <w:rFonts w:ascii="Times New Roman" w:hAnsi="Times New Roman"/>
                <w:sz w:val="24"/>
                <w:szCs w:val="24"/>
              </w:rPr>
            </w:pPr>
            <w:r w:rsidRPr="005E617B">
              <w:rPr>
                <w:rFonts w:ascii="Times New Roman" w:hAnsi="Times New Roman"/>
                <w:sz w:val="24"/>
                <w:szCs w:val="24"/>
              </w:rPr>
              <w:t>Noteikumu projekta 5.punkts</w:t>
            </w:r>
          </w:p>
          <w:p w:rsidR="006A44A2" w:rsidRPr="005E617B" w:rsidRDefault="006A44A2"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6A44A2" w:rsidRPr="00C32B4C" w:rsidRDefault="006A44A2"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A44A2" w:rsidRPr="007A7182" w:rsidRDefault="006A44A2"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6B4A74"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B4A74" w:rsidRPr="007A7182" w:rsidRDefault="006B4A74"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4" w:tgtFrame="_blank" w:history="1">
              <w:r w:rsidRPr="007A137C">
                <w:rPr>
                  <w:rFonts w:ascii="Times New Roman" w:hAnsi="Times New Roman"/>
                  <w:sz w:val="24"/>
                  <w:szCs w:val="24"/>
                </w:rPr>
                <w:t>1408/2013</w:t>
              </w:r>
            </w:hyperlink>
            <w:r>
              <w:rPr>
                <w:rFonts w:ascii="Times New Roman" w:hAnsi="Times New Roman"/>
                <w:sz w:val="24"/>
                <w:szCs w:val="24"/>
              </w:rPr>
              <w:t xml:space="preserve"> 1.</w:t>
            </w:r>
            <w:r w:rsidR="00E5244D">
              <w:rPr>
                <w:rFonts w:ascii="Times New Roman" w:hAnsi="Times New Roman"/>
                <w:sz w:val="24"/>
                <w:szCs w:val="24"/>
              </w:rPr>
              <w:t xml:space="preserve"> </w:t>
            </w:r>
            <w:r>
              <w:rPr>
                <w:rFonts w:ascii="Times New Roman" w:hAnsi="Times New Roman"/>
                <w:sz w:val="24"/>
                <w:szCs w:val="24"/>
              </w:rPr>
              <w:t>panta 2. un 3.punkts</w:t>
            </w:r>
          </w:p>
        </w:tc>
        <w:tc>
          <w:tcPr>
            <w:tcW w:w="2230" w:type="dxa"/>
            <w:gridSpan w:val="3"/>
            <w:tcBorders>
              <w:top w:val="outset" w:sz="6" w:space="0" w:color="auto"/>
              <w:left w:val="outset" w:sz="6" w:space="0" w:color="auto"/>
              <w:bottom w:val="outset" w:sz="6" w:space="0" w:color="auto"/>
              <w:right w:val="outset" w:sz="6" w:space="0" w:color="auto"/>
            </w:tcBorders>
          </w:tcPr>
          <w:p w:rsidR="006B4A74" w:rsidRPr="007A7182" w:rsidRDefault="006B4A74"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5D4E74">
              <w:rPr>
                <w:rFonts w:ascii="Times New Roman" w:hAnsi="Times New Roman"/>
                <w:sz w:val="24"/>
                <w:szCs w:val="24"/>
              </w:rPr>
              <w:t>8</w:t>
            </w:r>
            <w:r w:rsidRPr="007A7182">
              <w:rPr>
                <w:rFonts w:ascii="Times New Roman" w:hAnsi="Times New Roman"/>
                <w:sz w:val="24"/>
                <w:szCs w:val="24"/>
              </w:rPr>
              <w:t>.punkts</w:t>
            </w:r>
          </w:p>
          <w:p w:rsidR="006B4A74" w:rsidRPr="007A7182" w:rsidRDefault="006B4A74"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6B4A74" w:rsidRDefault="006B4A74" w:rsidP="00C533E3">
            <w:pPr>
              <w:spacing w:after="0" w:line="240" w:lineRule="auto"/>
            </w:pPr>
            <w:r w:rsidRPr="00C32B4C">
              <w:rPr>
                <w:rFonts w:ascii="Times New Roman" w:hAnsi="Times New Roman"/>
                <w:sz w:val="24"/>
                <w:szCs w:val="24"/>
              </w:rPr>
              <w:t>Komisijas regulas Nr.</w:t>
            </w:r>
            <w:r>
              <w:rPr>
                <w:rFonts w:ascii="Times New Roman" w:hAnsi="Times New Roman"/>
                <w:sz w:val="24"/>
                <w:szCs w:val="24"/>
              </w:rPr>
              <w:t>1408</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B4A74" w:rsidRPr="007A7182" w:rsidRDefault="006B4A74"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203E87"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203E87" w:rsidRPr="007A7182" w:rsidRDefault="00E5244D" w:rsidP="00C533E3">
            <w:pPr>
              <w:spacing w:after="0" w:line="240" w:lineRule="auto"/>
              <w:rPr>
                <w:rFonts w:ascii="Times New Roman" w:hAnsi="Times New Roman"/>
                <w:sz w:val="24"/>
                <w:szCs w:val="24"/>
              </w:rPr>
            </w:pPr>
            <w:r w:rsidRPr="00FE39F2">
              <w:rPr>
                <w:rFonts w:ascii="Times New Roman" w:hAnsi="Times New Roman"/>
                <w:sz w:val="24"/>
                <w:szCs w:val="24"/>
              </w:rPr>
              <w:t>Padomes Regula</w:t>
            </w:r>
            <w:r w:rsidR="009F7371">
              <w:rPr>
                <w:rFonts w:ascii="Times New Roman" w:hAnsi="Times New Roman"/>
                <w:sz w:val="24"/>
                <w:szCs w:val="24"/>
              </w:rPr>
              <w:t>s</w:t>
            </w:r>
            <w:r w:rsidRPr="00FE39F2">
              <w:rPr>
                <w:rFonts w:ascii="Times New Roman" w:hAnsi="Times New Roman"/>
                <w:sz w:val="24"/>
                <w:szCs w:val="24"/>
              </w:rPr>
              <w:t xml:space="preserve"> Nr.130</w:t>
            </w:r>
            <w:r>
              <w:rPr>
                <w:rFonts w:ascii="Times New Roman" w:hAnsi="Times New Roman"/>
                <w:sz w:val="24"/>
                <w:szCs w:val="24"/>
              </w:rPr>
              <w:t>7</w:t>
            </w:r>
            <w:r w:rsidRPr="00FE39F2">
              <w:rPr>
                <w:rFonts w:ascii="Times New Roman" w:hAnsi="Times New Roman"/>
                <w:sz w:val="24"/>
                <w:szCs w:val="24"/>
              </w:rPr>
              <w:t>/2013</w:t>
            </w:r>
            <w:r>
              <w:rPr>
                <w:rFonts w:ascii="Times New Roman" w:hAnsi="Times New Roman"/>
                <w:sz w:val="24"/>
                <w:szCs w:val="24"/>
              </w:rPr>
              <w:t xml:space="preserve"> 9.pants</w:t>
            </w:r>
          </w:p>
        </w:tc>
        <w:tc>
          <w:tcPr>
            <w:tcW w:w="2230" w:type="dxa"/>
            <w:gridSpan w:val="3"/>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5D4E74">
              <w:rPr>
                <w:rFonts w:ascii="Times New Roman" w:hAnsi="Times New Roman"/>
                <w:sz w:val="24"/>
                <w:szCs w:val="24"/>
              </w:rPr>
              <w:t>9</w:t>
            </w:r>
            <w:r w:rsidRPr="007A7182">
              <w:rPr>
                <w:rFonts w:ascii="Times New Roman" w:hAnsi="Times New Roman"/>
                <w:sz w:val="24"/>
                <w:szCs w:val="24"/>
              </w:rPr>
              <w:t>.punkts</w:t>
            </w:r>
          </w:p>
          <w:p w:rsidR="00203E87" w:rsidRPr="007A7182" w:rsidRDefault="00203E87"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203E87"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Padomes Regulas Nr.130</w:t>
            </w:r>
            <w:r>
              <w:rPr>
                <w:rFonts w:ascii="Times New Roman" w:hAnsi="Times New Roman"/>
                <w:sz w:val="24"/>
                <w:szCs w:val="24"/>
              </w:rPr>
              <w:t>7</w:t>
            </w:r>
            <w:r w:rsidRPr="007A7182">
              <w:rPr>
                <w:rFonts w:ascii="Times New Roman" w:hAnsi="Times New Roman"/>
                <w:sz w:val="24"/>
                <w:szCs w:val="24"/>
              </w:rPr>
              <w:t>/2013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03E87"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E5244D"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E5244D" w:rsidRPr="00FE39F2" w:rsidRDefault="00E5244D"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Nr.702/2014</w:t>
            </w:r>
            <w:r>
              <w:rPr>
                <w:rFonts w:ascii="Times New Roman" w:hAnsi="Times New Roman"/>
                <w:sz w:val="24"/>
                <w:szCs w:val="24"/>
              </w:rPr>
              <w:t xml:space="preserve"> I pielikums</w:t>
            </w:r>
          </w:p>
        </w:tc>
        <w:tc>
          <w:tcPr>
            <w:tcW w:w="2230" w:type="dxa"/>
            <w:gridSpan w:val="3"/>
            <w:tcBorders>
              <w:top w:val="outset" w:sz="6" w:space="0" w:color="auto"/>
              <w:left w:val="outset" w:sz="6" w:space="0" w:color="auto"/>
              <w:bottom w:val="outset" w:sz="6" w:space="0" w:color="auto"/>
              <w:right w:val="outset" w:sz="6" w:space="0" w:color="auto"/>
            </w:tcBorders>
          </w:tcPr>
          <w:p w:rsidR="00AA67E0"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Noteikumu projekta</w:t>
            </w:r>
          </w:p>
          <w:p w:rsidR="00E5244D" w:rsidRPr="007A7182" w:rsidRDefault="00E5244D" w:rsidP="00C57F42">
            <w:pPr>
              <w:spacing w:after="0" w:line="240" w:lineRule="auto"/>
              <w:rPr>
                <w:rFonts w:ascii="Times New Roman" w:hAnsi="Times New Roman"/>
                <w:sz w:val="24"/>
                <w:szCs w:val="24"/>
              </w:rPr>
            </w:pPr>
            <w:r w:rsidRPr="007A7182">
              <w:rPr>
                <w:rFonts w:ascii="Times New Roman" w:hAnsi="Times New Roman"/>
                <w:sz w:val="24"/>
                <w:szCs w:val="24"/>
              </w:rPr>
              <w:t xml:space="preserve"> </w:t>
            </w:r>
            <w:r w:rsidR="00244604">
              <w:rPr>
                <w:rFonts w:ascii="Times New Roman" w:hAnsi="Times New Roman"/>
                <w:sz w:val="24"/>
                <w:szCs w:val="24"/>
              </w:rPr>
              <w:t xml:space="preserve">1., </w:t>
            </w:r>
            <w:r w:rsidR="005D4E74">
              <w:rPr>
                <w:rFonts w:ascii="Times New Roman" w:hAnsi="Times New Roman"/>
                <w:sz w:val="24"/>
                <w:szCs w:val="24"/>
              </w:rPr>
              <w:t>13</w:t>
            </w:r>
            <w:r w:rsidR="00AA67E0">
              <w:rPr>
                <w:rFonts w:ascii="Times New Roman" w:hAnsi="Times New Roman"/>
                <w:sz w:val="24"/>
                <w:szCs w:val="24"/>
              </w:rPr>
              <w:t xml:space="preserve">., </w:t>
            </w:r>
            <w:r w:rsidR="005D4E74">
              <w:rPr>
                <w:rFonts w:ascii="Times New Roman" w:hAnsi="Times New Roman"/>
                <w:sz w:val="24"/>
                <w:szCs w:val="24"/>
              </w:rPr>
              <w:t>17</w:t>
            </w:r>
            <w:r w:rsidR="00AA67E0">
              <w:rPr>
                <w:rFonts w:ascii="Times New Roman" w:hAnsi="Times New Roman"/>
                <w:sz w:val="24"/>
                <w:szCs w:val="24"/>
              </w:rPr>
              <w:t>.</w:t>
            </w:r>
            <w:r w:rsidR="00D15F14">
              <w:rPr>
                <w:rFonts w:ascii="Times New Roman" w:hAnsi="Times New Roman"/>
                <w:sz w:val="24"/>
                <w:szCs w:val="24"/>
              </w:rPr>
              <w:t xml:space="preserve"> un </w:t>
            </w:r>
            <w:r w:rsidR="005D4E74">
              <w:rPr>
                <w:rFonts w:ascii="Times New Roman" w:hAnsi="Times New Roman"/>
                <w:sz w:val="24"/>
                <w:szCs w:val="24"/>
              </w:rPr>
              <w:t>20</w:t>
            </w:r>
            <w:r w:rsidR="00D15F14">
              <w:rPr>
                <w:rFonts w:ascii="Times New Roman" w:hAnsi="Times New Roman"/>
                <w:sz w:val="24"/>
                <w:szCs w:val="24"/>
              </w:rPr>
              <w:t>.</w:t>
            </w:r>
            <w:r w:rsidR="00AA67E0">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203E87">
              <w:rPr>
                <w:rFonts w:ascii="Times New Roman" w:hAnsi="Times New Roman"/>
                <w:sz w:val="24"/>
                <w:szCs w:val="24"/>
              </w:rPr>
              <w:t>Komisijas regulas Nr.702/2014</w:t>
            </w:r>
            <w:r>
              <w:rPr>
                <w:rFonts w:ascii="Times New Roman" w:hAnsi="Times New Roman"/>
                <w:sz w:val="24"/>
                <w:szCs w:val="24"/>
              </w:rPr>
              <w:t xml:space="preserve"> </w:t>
            </w:r>
            <w:r w:rsidRPr="007A7182">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8D37C9"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8D37C9" w:rsidRPr="007A137C" w:rsidRDefault="008D37C9"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Nr.702/2014</w:t>
            </w:r>
            <w:r>
              <w:rPr>
                <w:rFonts w:ascii="Times New Roman" w:hAnsi="Times New Roman"/>
                <w:sz w:val="24"/>
                <w:szCs w:val="24"/>
              </w:rPr>
              <w:t xml:space="preserve"> 9.panta 2. punkts</w:t>
            </w:r>
          </w:p>
        </w:tc>
        <w:tc>
          <w:tcPr>
            <w:tcW w:w="2230" w:type="dxa"/>
            <w:gridSpan w:val="3"/>
            <w:tcBorders>
              <w:top w:val="outset" w:sz="6" w:space="0" w:color="auto"/>
              <w:left w:val="outset" w:sz="6" w:space="0" w:color="auto"/>
              <w:bottom w:val="outset" w:sz="6" w:space="0" w:color="auto"/>
              <w:right w:val="outset" w:sz="6" w:space="0" w:color="auto"/>
            </w:tcBorders>
          </w:tcPr>
          <w:p w:rsidR="008D37C9" w:rsidRPr="007A7182" w:rsidRDefault="008D37C9" w:rsidP="00C533E3">
            <w:pPr>
              <w:spacing w:after="0" w:line="240" w:lineRule="auto"/>
              <w:rPr>
                <w:rFonts w:ascii="Times New Roman" w:hAnsi="Times New Roman"/>
                <w:sz w:val="24"/>
                <w:szCs w:val="24"/>
              </w:rPr>
            </w:pPr>
            <w:r>
              <w:rPr>
                <w:rFonts w:ascii="Times New Roman" w:hAnsi="Times New Roman"/>
                <w:sz w:val="24"/>
                <w:szCs w:val="24"/>
              </w:rPr>
              <w:t xml:space="preserve">Noteikumu projekta 5.punkts </w:t>
            </w:r>
          </w:p>
        </w:tc>
        <w:tc>
          <w:tcPr>
            <w:tcW w:w="2829" w:type="dxa"/>
            <w:gridSpan w:val="2"/>
            <w:tcBorders>
              <w:top w:val="outset" w:sz="6" w:space="0" w:color="auto"/>
              <w:left w:val="outset" w:sz="6" w:space="0" w:color="auto"/>
              <w:bottom w:val="outset" w:sz="6" w:space="0" w:color="auto"/>
              <w:right w:val="outset" w:sz="6" w:space="0" w:color="auto"/>
            </w:tcBorders>
          </w:tcPr>
          <w:p w:rsidR="008D37C9" w:rsidRPr="00203E87" w:rsidRDefault="008D37C9" w:rsidP="00C533E3">
            <w:pPr>
              <w:spacing w:after="0" w:line="240" w:lineRule="auto"/>
              <w:rPr>
                <w:rFonts w:ascii="Times New Roman" w:hAnsi="Times New Roman"/>
                <w:sz w:val="24"/>
                <w:szCs w:val="24"/>
              </w:rPr>
            </w:pPr>
            <w:r w:rsidRPr="00203E87">
              <w:rPr>
                <w:rFonts w:ascii="Times New Roman" w:hAnsi="Times New Roman"/>
                <w:sz w:val="24"/>
                <w:szCs w:val="24"/>
              </w:rPr>
              <w:t>Komisijas regulas Nr.702/2014</w:t>
            </w:r>
            <w:r>
              <w:rPr>
                <w:rFonts w:ascii="Times New Roman" w:hAnsi="Times New Roman"/>
                <w:sz w:val="24"/>
                <w:szCs w:val="24"/>
              </w:rPr>
              <w:t xml:space="preserve"> </w:t>
            </w:r>
            <w:r w:rsidRPr="007A7182">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8D37C9" w:rsidRPr="007A7182" w:rsidRDefault="008D37C9"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E5244D"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E5244D" w:rsidRPr="00FE39F2" w:rsidRDefault="00E5244D"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Nr.702/2014</w:t>
            </w:r>
            <w:r>
              <w:rPr>
                <w:rFonts w:ascii="Times New Roman" w:hAnsi="Times New Roman"/>
                <w:sz w:val="24"/>
                <w:szCs w:val="24"/>
              </w:rPr>
              <w:t xml:space="preserve"> 9.panta 5.punkts</w:t>
            </w:r>
          </w:p>
        </w:tc>
        <w:tc>
          <w:tcPr>
            <w:tcW w:w="2230" w:type="dxa"/>
            <w:gridSpan w:val="3"/>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9B20E0">
              <w:rPr>
                <w:rFonts w:ascii="Times New Roman" w:hAnsi="Times New Roman"/>
                <w:sz w:val="24"/>
                <w:szCs w:val="24"/>
              </w:rPr>
              <w:t>20.punkts</w:t>
            </w:r>
          </w:p>
          <w:p w:rsidR="00E5244D" w:rsidRPr="007A7182" w:rsidRDefault="00E5244D"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203E87">
              <w:rPr>
                <w:rFonts w:ascii="Times New Roman" w:hAnsi="Times New Roman"/>
                <w:sz w:val="24"/>
                <w:szCs w:val="24"/>
              </w:rPr>
              <w:t>Komisijas regulas Nr.702/2014</w:t>
            </w:r>
            <w:r>
              <w:rPr>
                <w:rFonts w:ascii="Times New Roman" w:hAnsi="Times New Roman"/>
                <w:sz w:val="24"/>
                <w:szCs w:val="24"/>
              </w:rPr>
              <w:t xml:space="preserve"> </w:t>
            </w:r>
            <w:r w:rsidRPr="007A7182">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5244D" w:rsidRPr="007A7182" w:rsidRDefault="00E5244D"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47461"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47461" w:rsidRPr="007A137C" w:rsidRDefault="00B47461" w:rsidP="00C533E3">
            <w:pPr>
              <w:spacing w:after="0" w:line="240" w:lineRule="auto"/>
              <w:rPr>
                <w:rFonts w:ascii="Times New Roman" w:hAnsi="Times New Roman"/>
                <w:sz w:val="24"/>
                <w:szCs w:val="24"/>
              </w:rPr>
            </w:pPr>
            <w:r w:rsidRPr="00434301">
              <w:rPr>
                <w:rFonts w:ascii="Times New Roman" w:hAnsi="Times New Roman"/>
                <w:iCs/>
                <w:sz w:val="24"/>
                <w:szCs w:val="24"/>
              </w:rPr>
              <w:t xml:space="preserve">Komisijas regulas Nr.702/2014 </w:t>
            </w:r>
            <w:r>
              <w:rPr>
                <w:rFonts w:ascii="Times New Roman" w:hAnsi="Times New Roman"/>
                <w:iCs/>
                <w:sz w:val="24"/>
                <w:szCs w:val="24"/>
              </w:rPr>
              <w:t>31</w:t>
            </w:r>
            <w:r w:rsidRPr="00434301">
              <w:rPr>
                <w:rFonts w:ascii="Times New Roman" w:hAnsi="Times New Roman"/>
                <w:iCs/>
                <w:sz w:val="24"/>
                <w:szCs w:val="24"/>
              </w:rPr>
              <w:t xml:space="preserve">.panta </w:t>
            </w:r>
            <w:r>
              <w:rPr>
                <w:rFonts w:ascii="Times New Roman" w:hAnsi="Times New Roman"/>
                <w:iCs/>
                <w:sz w:val="24"/>
                <w:szCs w:val="24"/>
              </w:rPr>
              <w:t>3</w:t>
            </w:r>
            <w:r w:rsidRPr="00434301">
              <w:rPr>
                <w:rFonts w:ascii="Times New Roman" w:hAnsi="Times New Roman"/>
                <w:iCs/>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B47461" w:rsidRPr="007A7182" w:rsidRDefault="00B47461" w:rsidP="00C533E3">
            <w:pPr>
              <w:spacing w:after="0" w:line="240" w:lineRule="auto"/>
              <w:rPr>
                <w:rFonts w:ascii="Times New Roman" w:hAnsi="Times New Roman"/>
                <w:sz w:val="24"/>
                <w:szCs w:val="24"/>
              </w:rPr>
            </w:pPr>
            <w:r w:rsidRPr="00434301">
              <w:rPr>
                <w:rFonts w:ascii="Times New Roman" w:hAnsi="Times New Roman"/>
                <w:iCs/>
                <w:sz w:val="24"/>
                <w:szCs w:val="24"/>
              </w:rPr>
              <w:t xml:space="preserve">Noteikumu projekta </w:t>
            </w:r>
            <w:r>
              <w:rPr>
                <w:rFonts w:ascii="Times New Roman" w:hAnsi="Times New Roman"/>
                <w:iCs/>
                <w:sz w:val="24"/>
                <w:szCs w:val="24"/>
              </w:rPr>
              <w:t xml:space="preserve">25. </w:t>
            </w:r>
            <w:r w:rsidRPr="00434301">
              <w:rPr>
                <w:rFonts w:ascii="Times New Roman" w:hAnsi="Times New Roman"/>
                <w:iCs/>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B47461" w:rsidRPr="00203E87" w:rsidRDefault="00B47461" w:rsidP="00C533E3">
            <w:pPr>
              <w:spacing w:after="0" w:line="240" w:lineRule="auto"/>
              <w:rPr>
                <w:rFonts w:ascii="Times New Roman" w:hAnsi="Times New Roman"/>
                <w:sz w:val="24"/>
                <w:szCs w:val="24"/>
              </w:rPr>
            </w:pPr>
            <w:r w:rsidRPr="00203E87">
              <w:rPr>
                <w:rFonts w:ascii="Times New Roman" w:hAnsi="Times New Roman"/>
                <w:sz w:val="24"/>
                <w:szCs w:val="24"/>
              </w:rPr>
              <w:t>Komisijas regulas Nr.702/2014</w:t>
            </w:r>
            <w:r>
              <w:rPr>
                <w:rFonts w:ascii="Times New Roman" w:hAnsi="Times New Roman"/>
                <w:sz w:val="24"/>
                <w:szCs w:val="24"/>
              </w:rPr>
              <w:t xml:space="preserve"> </w:t>
            </w:r>
            <w:r w:rsidRPr="007A7182">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47461" w:rsidRPr="007A7182" w:rsidRDefault="00B47461"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622FE"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622FE" w:rsidRPr="007A137C" w:rsidRDefault="00B622FE" w:rsidP="00C533E3">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5" w:tgtFrame="_blank" w:history="1">
              <w:r w:rsidRPr="007A137C">
                <w:rPr>
                  <w:rFonts w:ascii="Times New Roman" w:hAnsi="Times New Roman"/>
                  <w:sz w:val="24"/>
                  <w:szCs w:val="24"/>
                </w:rPr>
                <w:t>1407/2013</w:t>
              </w:r>
            </w:hyperlink>
            <w:r>
              <w:rPr>
                <w:rFonts w:ascii="Times New Roman" w:hAnsi="Times New Roman"/>
                <w:sz w:val="24"/>
                <w:szCs w:val="24"/>
              </w:rPr>
              <w:t xml:space="preserve"> 1.panta 2.punkts</w:t>
            </w:r>
          </w:p>
        </w:tc>
        <w:tc>
          <w:tcPr>
            <w:tcW w:w="2230" w:type="dxa"/>
            <w:gridSpan w:val="3"/>
            <w:tcBorders>
              <w:top w:val="outset" w:sz="6" w:space="0" w:color="auto"/>
              <w:left w:val="outset" w:sz="6" w:space="0" w:color="auto"/>
              <w:bottom w:val="outset" w:sz="6" w:space="0" w:color="auto"/>
              <w:right w:val="outset" w:sz="6" w:space="0" w:color="auto"/>
            </w:tcBorders>
          </w:tcPr>
          <w:p w:rsidR="00B622FE" w:rsidRPr="007A7182" w:rsidRDefault="00B622FE"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9B20E0">
              <w:rPr>
                <w:rFonts w:ascii="Times New Roman" w:hAnsi="Times New Roman"/>
                <w:sz w:val="24"/>
                <w:szCs w:val="24"/>
              </w:rPr>
              <w:t>20</w:t>
            </w:r>
            <w:r w:rsidR="000A75B7">
              <w:rPr>
                <w:rFonts w:ascii="Times New Roman" w:hAnsi="Times New Roman"/>
                <w:sz w:val="24"/>
                <w:szCs w:val="24"/>
              </w:rPr>
              <w:t>.</w:t>
            </w:r>
            <w:r>
              <w:rPr>
                <w:rFonts w:ascii="Times New Roman" w:hAnsi="Times New Roman"/>
                <w:sz w:val="24"/>
                <w:szCs w:val="24"/>
              </w:rPr>
              <w:t xml:space="preserve"> punkts</w:t>
            </w:r>
          </w:p>
          <w:p w:rsidR="00B622FE" w:rsidRPr="007A7182" w:rsidRDefault="00B622FE"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622FE" w:rsidRDefault="00B622FE" w:rsidP="00C533E3">
            <w:pPr>
              <w:spacing w:after="0" w:line="240" w:lineRule="auto"/>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622FE" w:rsidRPr="007A7182" w:rsidRDefault="00B622FE"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27941"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27941" w:rsidRPr="007A137C" w:rsidRDefault="00B27941" w:rsidP="00215832">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6" w:tgtFrame="_blank" w:history="1">
              <w:r w:rsidRPr="007A137C">
                <w:rPr>
                  <w:rFonts w:ascii="Times New Roman" w:hAnsi="Times New Roman"/>
                  <w:sz w:val="24"/>
                  <w:szCs w:val="24"/>
                </w:rPr>
                <w:t>1407/2013</w:t>
              </w:r>
            </w:hyperlink>
            <w:r>
              <w:rPr>
                <w:rFonts w:ascii="Times New Roman" w:hAnsi="Times New Roman"/>
                <w:sz w:val="24"/>
                <w:szCs w:val="24"/>
              </w:rPr>
              <w:t xml:space="preserve"> 1.panta 1.punkts</w:t>
            </w:r>
          </w:p>
        </w:tc>
        <w:tc>
          <w:tcPr>
            <w:tcW w:w="2230" w:type="dxa"/>
            <w:gridSpan w:val="3"/>
            <w:tcBorders>
              <w:top w:val="outset" w:sz="6" w:space="0" w:color="auto"/>
              <w:left w:val="outset" w:sz="6" w:space="0" w:color="auto"/>
              <w:bottom w:val="outset" w:sz="6" w:space="0" w:color="auto"/>
              <w:right w:val="outset" w:sz="6" w:space="0" w:color="auto"/>
            </w:tcBorders>
          </w:tcPr>
          <w:p w:rsidR="00B27941" w:rsidRPr="007A7182" w:rsidRDefault="00B27941"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D266C5">
              <w:rPr>
                <w:rFonts w:ascii="Times New Roman" w:hAnsi="Times New Roman"/>
                <w:sz w:val="24"/>
                <w:szCs w:val="24"/>
              </w:rPr>
              <w:t>5</w:t>
            </w:r>
            <w:r>
              <w:rPr>
                <w:rFonts w:ascii="Times New Roman" w:hAnsi="Times New Roman"/>
                <w:sz w:val="24"/>
                <w:szCs w:val="24"/>
              </w:rPr>
              <w:t>.punkts</w:t>
            </w:r>
          </w:p>
          <w:p w:rsidR="00B27941" w:rsidRPr="007A7182" w:rsidRDefault="00B27941"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27941" w:rsidRPr="00C32B4C" w:rsidRDefault="00B27941"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27941" w:rsidRPr="007A7182" w:rsidRDefault="00B27941"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27941"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27941" w:rsidRPr="007A137C" w:rsidRDefault="00B27941" w:rsidP="00215832">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hyperlink r:id="rId27" w:tgtFrame="_blank" w:history="1">
              <w:r w:rsidRPr="007A137C">
                <w:rPr>
                  <w:rFonts w:ascii="Times New Roman" w:hAnsi="Times New Roman"/>
                  <w:sz w:val="24"/>
                  <w:szCs w:val="24"/>
                </w:rPr>
                <w:t>1407/2013</w:t>
              </w:r>
            </w:hyperlink>
            <w:r>
              <w:rPr>
                <w:rFonts w:ascii="Times New Roman" w:hAnsi="Times New Roman"/>
                <w:sz w:val="24"/>
                <w:szCs w:val="24"/>
              </w:rPr>
              <w:t xml:space="preserve"> 2.panta 2.punkts</w:t>
            </w:r>
          </w:p>
        </w:tc>
        <w:tc>
          <w:tcPr>
            <w:tcW w:w="2230" w:type="dxa"/>
            <w:gridSpan w:val="3"/>
            <w:tcBorders>
              <w:top w:val="outset" w:sz="6" w:space="0" w:color="auto"/>
              <w:left w:val="outset" w:sz="6" w:space="0" w:color="auto"/>
              <w:bottom w:val="outset" w:sz="6" w:space="0" w:color="auto"/>
              <w:right w:val="outset" w:sz="6" w:space="0" w:color="auto"/>
            </w:tcBorders>
          </w:tcPr>
          <w:p w:rsidR="00B27941" w:rsidRPr="007A7182" w:rsidRDefault="00B27941"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5.punkts</w:t>
            </w:r>
          </w:p>
          <w:p w:rsidR="00B27941" w:rsidRPr="007A7182" w:rsidRDefault="00B27941"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27941" w:rsidRPr="00C32B4C" w:rsidRDefault="00B27941"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27941" w:rsidRPr="007A7182" w:rsidRDefault="00B27941"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FE33FF"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E33FF" w:rsidRPr="007A137C" w:rsidRDefault="00FE33FF" w:rsidP="00C533E3">
            <w:pPr>
              <w:spacing w:after="0" w:line="240" w:lineRule="auto"/>
              <w:rPr>
                <w:rFonts w:ascii="Times New Roman" w:hAnsi="Times New Roman"/>
                <w:sz w:val="24"/>
                <w:szCs w:val="24"/>
              </w:rPr>
            </w:pPr>
            <w:r w:rsidRPr="0042318A">
              <w:rPr>
                <w:rFonts w:ascii="Times New Roman" w:hAnsi="Times New Roman"/>
                <w:sz w:val="24"/>
                <w:szCs w:val="24"/>
              </w:rPr>
              <w:t xml:space="preserve">Komisijas regulas Nr.1407/2013 </w:t>
            </w:r>
            <w:r>
              <w:rPr>
                <w:rFonts w:ascii="Times New Roman" w:hAnsi="Times New Roman"/>
                <w:sz w:val="24"/>
                <w:szCs w:val="24"/>
              </w:rPr>
              <w:lastRenderedPageBreak/>
              <w:t>3</w:t>
            </w:r>
            <w:r w:rsidRPr="0042318A">
              <w:rPr>
                <w:rFonts w:ascii="Times New Roman" w:hAnsi="Times New Roman"/>
                <w:sz w:val="24"/>
                <w:szCs w:val="24"/>
              </w:rPr>
              <w:t xml:space="preserve">.panta </w:t>
            </w:r>
            <w:r>
              <w:rPr>
                <w:rFonts w:ascii="Times New Roman" w:hAnsi="Times New Roman"/>
                <w:sz w:val="24"/>
                <w:szCs w:val="24"/>
              </w:rPr>
              <w:t>2.</w:t>
            </w:r>
            <w:r w:rsidRPr="0042318A">
              <w:rPr>
                <w:rFonts w:ascii="Times New Roman" w:hAnsi="Times New Roman"/>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FE33FF" w:rsidRPr="007A7182" w:rsidRDefault="00FE33FF" w:rsidP="00C533E3">
            <w:pPr>
              <w:spacing w:after="0" w:line="240" w:lineRule="auto"/>
              <w:rPr>
                <w:rFonts w:ascii="Times New Roman" w:hAnsi="Times New Roman"/>
                <w:sz w:val="24"/>
                <w:szCs w:val="24"/>
              </w:rPr>
            </w:pPr>
            <w:r w:rsidRPr="007A7182">
              <w:rPr>
                <w:rFonts w:ascii="Times New Roman" w:hAnsi="Times New Roman"/>
                <w:sz w:val="24"/>
                <w:szCs w:val="24"/>
              </w:rPr>
              <w:lastRenderedPageBreak/>
              <w:t xml:space="preserve">Noteikumu projekta </w:t>
            </w:r>
            <w:r w:rsidR="009B20E0">
              <w:rPr>
                <w:rFonts w:ascii="Times New Roman" w:hAnsi="Times New Roman"/>
                <w:sz w:val="24"/>
                <w:szCs w:val="24"/>
              </w:rPr>
              <w:t>5</w:t>
            </w:r>
            <w:r>
              <w:rPr>
                <w:rFonts w:ascii="Times New Roman" w:hAnsi="Times New Roman"/>
                <w:sz w:val="24"/>
                <w:szCs w:val="24"/>
              </w:rPr>
              <w:t>.punkts</w:t>
            </w:r>
          </w:p>
          <w:p w:rsidR="00FE33FF" w:rsidRPr="007A7182" w:rsidRDefault="00FE33FF"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FE33FF" w:rsidRPr="00C32B4C" w:rsidRDefault="00FE33FF" w:rsidP="00C533E3">
            <w:pPr>
              <w:spacing w:after="0" w:line="240" w:lineRule="auto"/>
              <w:rPr>
                <w:rFonts w:ascii="Times New Roman" w:hAnsi="Times New Roman"/>
                <w:sz w:val="24"/>
                <w:szCs w:val="24"/>
              </w:rPr>
            </w:pPr>
            <w:r w:rsidRPr="00C32B4C">
              <w:rPr>
                <w:rFonts w:ascii="Times New Roman" w:hAnsi="Times New Roman"/>
                <w:sz w:val="24"/>
                <w:szCs w:val="24"/>
              </w:rPr>
              <w:lastRenderedPageBreak/>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w:t>
            </w:r>
            <w:r w:rsidRPr="00C32B4C">
              <w:rPr>
                <w:rFonts w:ascii="Times New Roman" w:hAnsi="Times New Roman"/>
                <w:sz w:val="24"/>
                <w:szCs w:val="24"/>
              </w:rPr>
              <w:lastRenderedPageBreak/>
              <w:t>ieviestas pilnībā.</w:t>
            </w:r>
          </w:p>
        </w:tc>
        <w:tc>
          <w:tcPr>
            <w:tcW w:w="3001" w:type="dxa"/>
            <w:tcBorders>
              <w:top w:val="outset" w:sz="6" w:space="0" w:color="auto"/>
              <w:left w:val="outset" w:sz="6" w:space="0" w:color="auto"/>
              <w:bottom w:val="outset" w:sz="6" w:space="0" w:color="auto"/>
              <w:right w:val="outset" w:sz="6" w:space="0" w:color="auto"/>
            </w:tcBorders>
          </w:tcPr>
          <w:p w:rsidR="00FE33FF" w:rsidRPr="007A7182" w:rsidRDefault="00FE33FF" w:rsidP="00C533E3">
            <w:pPr>
              <w:spacing w:after="0" w:line="240" w:lineRule="auto"/>
              <w:rPr>
                <w:rFonts w:ascii="Times New Roman" w:hAnsi="Times New Roman"/>
                <w:sz w:val="24"/>
                <w:szCs w:val="24"/>
              </w:rPr>
            </w:pPr>
            <w:r w:rsidRPr="007A7182">
              <w:rPr>
                <w:rFonts w:ascii="Times New Roman" w:hAnsi="Times New Roman"/>
                <w:sz w:val="24"/>
                <w:szCs w:val="24"/>
              </w:rPr>
              <w:lastRenderedPageBreak/>
              <w:t xml:space="preserve">Noteikumu projekta vienības neparedz stingrākas prasības </w:t>
            </w:r>
            <w:r w:rsidRPr="007A7182">
              <w:rPr>
                <w:rFonts w:ascii="Times New Roman" w:hAnsi="Times New Roman"/>
                <w:sz w:val="24"/>
                <w:szCs w:val="24"/>
              </w:rPr>
              <w:lastRenderedPageBreak/>
              <w:t>kā šīs tabulas A ailē minētās ES tiesību akta vienības.</w:t>
            </w:r>
          </w:p>
        </w:tc>
      </w:tr>
      <w:tr w:rsidR="0042318A"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42318A" w:rsidRPr="007A137C" w:rsidRDefault="0042318A" w:rsidP="00C533E3">
            <w:pPr>
              <w:spacing w:after="0" w:line="240" w:lineRule="auto"/>
              <w:rPr>
                <w:rFonts w:ascii="Times New Roman" w:hAnsi="Times New Roman"/>
                <w:sz w:val="24"/>
                <w:szCs w:val="24"/>
              </w:rPr>
            </w:pPr>
            <w:r w:rsidRPr="0042318A">
              <w:rPr>
                <w:rFonts w:ascii="Times New Roman" w:hAnsi="Times New Roman"/>
                <w:sz w:val="24"/>
                <w:szCs w:val="24"/>
              </w:rPr>
              <w:lastRenderedPageBreak/>
              <w:t xml:space="preserve">Komisijas regulas Nr.1407/2013 </w:t>
            </w:r>
            <w:r>
              <w:rPr>
                <w:rFonts w:ascii="Times New Roman" w:hAnsi="Times New Roman"/>
                <w:sz w:val="24"/>
                <w:szCs w:val="24"/>
              </w:rPr>
              <w:t>5</w:t>
            </w:r>
            <w:r w:rsidRPr="0042318A">
              <w:rPr>
                <w:rFonts w:ascii="Times New Roman" w:hAnsi="Times New Roman"/>
                <w:sz w:val="24"/>
                <w:szCs w:val="24"/>
              </w:rPr>
              <w:t xml:space="preserve">.panta </w:t>
            </w:r>
            <w:r>
              <w:rPr>
                <w:rFonts w:ascii="Times New Roman" w:hAnsi="Times New Roman"/>
                <w:sz w:val="24"/>
                <w:szCs w:val="24"/>
              </w:rPr>
              <w:t>1</w:t>
            </w:r>
            <w:r w:rsidRPr="0042318A">
              <w:rPr>
                <w:rFonts w:ascii="Times New Roman" w:hAnsi="Times New Roman"/>
                <w:sz w:val="24"/>
                <w:szCs w:val="24"/>
              </w:rPr>
              <w:t>.</w:t>
            </w:r>
            <w:r>
              <w:rPr>
                <w:rFonts w:ascii="Times New Roman" w:hAnsi="Times New Roman"/>
                <w:sz w:val="24"/>
                <w:szCs w:val="24"/>
              </w:rPr>
              <w:t xml:space="preserve"> un 2.</w:t>
            </w:r>
            <w:r w:rsidRPr="0042318A">
              <w:rPr>
                <w:rFonts w:ascii="Times New Roman" w:hAnsi="Times New Roman"/>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9B20E0">
              <w:rPr>
                <w:rFonts w:ascii="Times New Roman" w:hAnsi="Times New Roman"/>
                <w:sz w:val="24"/>
                <w:szCs w:val="24"/>
              </w:rPr>
              <w:t>5</w:t>
            </w:r>
            <w:r>
              <w:rPr>
                <w:rFonts w:ascii="Times New Roman" w:hAnsi="Times New Roman"/>
                <w:sz w:val="24"/>
                <w:szCs w:val="24"/>
              </w:rPr>
              <w:t>.punkts</w:t>
            </w:r>
          </w:p>
          <w:p w:rsidR="0042318A" w:rsidRPr="007A7182" w:rsidRDefault="0042318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42318A" w:rsidRPr="00C32B4C" w:rsidRDefault="0042318A"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10224"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710224" w:rsidRPr="007A137C" w:rsidRDefault="00710224" w:rsidP="00C533E3">
            <w:pPr>
              <w:spacing w:after="0" w:line="240" w:lineRule="auto"/>
              <w:rPr>
                <w:rFonts w:ascii="Times New Roman" w:hAnsi="Times New Roman"/>
                <w:sz w:val="24"/>
                <w:szCs w:val="24"/>
              </w:rPr>
            </w:pPr>
            <w:r w:rsidRPr="00710224">
              <w:rPr>
                <w:rFonts w:ascii="Times New Roman" w:hAnsi="Times New Roman"/>
                <w:sz w:val="24"/>
                <w:szCs w:val="24"/>
              </w:rPr>
              <w:t>Komisijas regulas Nr.</w:t>
            </w:r>
            <w:r w:rsidR="00C533E3" w:rsidRPr="00C533E3">
              <w:rPr>
                <w:rFonts w:ascii="Times New Roman" w:hAnsi="Times New Roman"/>
                <w:sz w:val="24"/>
                <w:szCs w:val="24"/>
              </w:rPr>
              <w:t>1407/2013</w:t>
            </w:r>
            <w:r w:rsidRPr="00710224">
              <w:rPr>
                <w:rFonts w:ascii="Times New Roman" w:hAnsi="Times New Roman"/>
                <w:sz w:val="24"/>
                <w:szCs w:val="24"/>
              </w:rPr>
              <w:t xml:space="preserve"> </w:t>
            </w:r>
            <w:r>
              <w:rPr>
                <w:rFonts w:ascii="Times New Roman" w:hAnsi="Times New Roman"/>
                <w:sz w:val="24"/>
                <w:szCs w:val="24"/>
              </w:rPr>
              <w:t>6</w:t>
            </w:r>
            <w:r w:rsidRPr="00710224">
              <w:rPr>
                <w:rFonts w:ascii="Times New Roman" w:hAnsi="Times New Roman"/>
                <w:sz w:val="24"/>
                <w:szCs w:val="24"/>
              </w:rPr>
              <w:t xml:space="preserve">.panta </w:t>
            </w:r>
            <w:r>
              <w:rPr>
                <w:rFonts w:ascii="Times New Roman" w:hAnsi="Times New Roman"/>
                <w:sz w:val="24"/>
                <w:szCs w:val="24"/>
              </w:rPr>
              <w:t>4</w:t>
            </w:r>
            <w:r w:rsidRPr="00710224">
              <w:rPr>
                <w:rFonts w:ascii="Times New Roman" w:hAnsi="Times New Roman"/>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710224" w:rsidRPr="007A7182" w:rsidRDefault="00710224"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9B20E0">
              <w:rPr>
                <w:rFonts w:ascii="Times New Roman" w:hAnsi="Times New Roman"/>
                <w:sz w:val="24"/>
                <w:szCs w:val="24"/>
              </w:rPr>
              <w:t>3</w:t>
            </w:r>
            <w:r>
              <w:rPr>
                <w:rFonts w:ascii="Times New Roman" w:hAnsi="Times New Roman"/>
                <w:sz w:val="24"/>
                <w:szCs w:val="24"/>
              </w:rPr>
              <w:t>.</w:t>
            </w:r>
            <w:r w:rsidR="00B7647A">
              <w:rPr>
                <w:rFonts w:ascii="Times New Roman" w:hAnsi="Times New Roman"/>
                <w:sz w:val="24"/>
                <w:szCs w:val="24"/>
              </w:rPr>
              <w:t xml:space="preserve"> un 5.</w:t>
            </w:r>
            <w:r>
              <w:rPr>
                <w:rFonts w:ascii="Times New Roman" w:hAnsi="Times New Roman"/>
                <w:sz w:val="24"/>
                <w:szCs w:val="24"/>
              </w:rPr>
              <w:t>punkts</w:t>
            </w:r>
          </w:p>
          <w:p w:rsidR="00710224" w:rsidRPr="007A7182" w:rsidRDefault="00710224"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710224" w:rsidRPr="00C32B4C" w:rsidRDefault="00710224"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710224" w:rsidRPr="007A7182" w:rsidRDefault="00710224"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5256DA"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256DA" w:rsidRPr="00710224" w:rsidRDefault="005256DA" w:rsidP="00C533E3">
            <w:pPr>
              <w:spacing w:after="0" w:line="240" w:lineRule="auto"/>
              <w:rPr>
                <w:rFonts w:ascii="Times New Roman" w:hAnsi="Times New Roman"/>
                <w:sz w:val="24"/>
                <w:szCs w:val="24"/>
              </w:rPr>
            </w:pPr>
            <w:r w:rsidRPr="00710224">
              <w:rPr>
                <w:rFonts w:ascii="Times New Roman" w:hAnsi="Times New Roman"/>
                <w:sz w:val="24"/>
                <w:szCs w:val="24"/>
              </w:rPr>
              <w:t>Komisijas regulas Nr.</w:t>
            </w:r>
            <w:r w:rsidR="00C533E3" w:rsidRPr="00C533E3">
              <w:rPr>
                <w:rFonts w:ascii="Times New Roman" w:hAnsi="Times New Roman"/>
                <w:sz w:val="24"/>
                <w:szCs w:val="24"/>
              </w:rPr>
              <w:t>1407/2013</w:t>
            </w:r>
            <w:r w:rsidRPr="00710224">
              <w:rPr>
                <w:rFonts w:ascii="Times New Roman" w:hAnsi="Times New Roman"/>
                <w:sz w:val="24"/>
                <w:szCs w:val="24"/>
              </w:rPr>
              <w:t xml:space="preserve"> </w:t>
            </w:r>
            <w:r>
              <w:rPr>
                <w:rFonts w:ascii="Times New Roman" w:hAnsi="Times New Roman"/>
                <w:sz w:val="24"/>
                <w:szCs w:val="24"/>
              </w:rPr>
              <w:t>7</w:t>
            </w:r>
            <w:r w:rsidRPr="00710224">
              <w:rPr>
                <w:rFonts w:ascii="Times New Roman" w:hAnsi="Times New Roman"/>
                <w:sz w:val="24"/>
                <w:szCs w:val="24"/>
              </w:rPr>
              <w:t xml:space="preserve">.panta </w:t>
            </w:r>
            <w:r>
              <w:rPr>
                <w:rFonts w:ascii="Times New Roman" w:hAnsi="Times New Roman"/>
                <w:sz w:val="24"/>
                <w:szCs w:val="24"/>
              </w:rPr>
              <w:t>4</w:t>
            </w:r>
            <w:r w:rsidRPr="00710224">
              <w:rPr>
                <w:rFonts w:ascii="Times New Roman" w:hAnsi="Times New Roman"/>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5256DA" w:rsidRPr="007A7182" w:rsidRDefault="005256DA"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530C1C">
              <w:rPr>
                <w:rFonts w:ascii="Times New Roman" w:hAnsi="Times New Roman"/>
                <w:sz w:val="24"/>
                <w:szCs w:val="24"/>
              </w:rPr>
              <w:t>5</w:t>
            </w:r>
            <w:r>
              <w:rPr>
                <w:rFonts w:ascii="Times New Roman" w:hAnsi="Times New Roman"/>
                <w:sz w:val="24"/>
                <w:szCs w:val="24"/>
              </w:rPr>
              <w:t>.punkts</w:t>
            </w:r>
          </w:p>
          <w:p w:rsidR="005256DA" w:rsidRPr="007A7182" w:rsidRDefault="005256D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5256DA" w:rsidRPr="00C32B4C" w:rsidRDefault="005256DA"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256DA" w:rsidRPr="007A7182" w:rsidRDefault="005256DA"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D266C5" w:rsidRPr="007A7182" w:rsidTr="00F113FF">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266C5" w:rsidRPr="007A137C" w:rsidRDefault="00D266C5" w:rsidP="00215832">
            <w:pPr>
              <w:spacing w:after="0" w:line="240" w:lineRule="auto"/>
              <w:rPr>
                <w:rFonts w:ascii="Times New Roman" w:hAnsi="Times New Roman"/>
                <w:iCs/>
                <w:sz w:val="24"/>
                <w:szCs w:val="24"/>
              </w:rPr>
            </w:pPr>
            <w:r w:rsidRPr="0042318A">
              <w:rPr>
                <w:rFonts w:ascii="Times New Roman" w:hAnsi="Times New Roman"/>
                <w:iCs/>
                <w:sz w:val="24"/>
                <w:szCs w:val="24"/>
              </w:rPr>
              <w:t xml:space="preserve">Komisijas regulas Nr.717/2014 </w:t>
            </w:r>
            <w:r>
              <w:rPr>
                <w:rFonts w:ascii="Times New Roman" w:hAnsi="Times New Roman"/>
                <w:iCs/>
                <w:sz w:val="24"/>
                <w:szCs w:val="24"/>
              </w:rPr>
              <w:t>1.</w:t>
            </w:r>
            <w:r w:rsidRPr="0042318A">
              <w:rPr>
                <w:rFonts w:ascii="Times New Roman" w:hAnsi="Times New Roman"/>
                <w:iCs/>
                <w:sz w:val="24"/>
                <w:szCs w:val="24"/>
              </w:rPr>
              <w:t xml:space="preserve">panta </w:t>
            </w:r>
            <w:r>
              <w:rPr>
                <w:rFonts w:ascii="Times New Roman" w:hAnsi="Times New Roman"/>
                <w:iCs/>
                <w:sz w:val="24"/>
                <w:szCs w:val="24"/>
              </w:rPr>
              <w:t>1.</w:t>
            </w:r>
            <w:r w:rsidRPr="0042318A">
              <w:rPr>
                <w:rFonts w:ascii="Times New Roman" w:hAnsi="Times New Roman"/>
                <w:iCs/>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D266C5" w:rsidRPr="007A7182" w:rsidRDefault="00D266C5"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5.punkts</w:t>
            </w:r>
          </w:p>
          <w:p w:rsidR="00D266C5" w:rsidRPr="007A7182" w:rsidRDefault="00D266C5" w:rsidP="00F113FF">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D266C5" w:rsidRPr="00C32B4C" w:rsidRDefault="00D266C5" w:rsidP="00F113FF">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Pr="0042318A">
              <w:rPr>
                <w:rFonts w:ascii="Times New Roman" w:hAnsi="Times New Roman"/>
                <w:iCs/>
                <w:sz w:val="24"/>
                <w:szCs w:val="24"/>
              </w:rPr>
              <w:t xml:space="preserve">717/2014 </w:t>
            </w:r>
            <w:r w:rsidRPr="00C32B4C">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266C5" w:rsidRPr="007A7182" w:rsidRDefault="00D266C5" w:rsidP="00F113FF">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FA54E3"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A54E3" w:rsidRPr="007A137C" w:rsidRDefault="00B622FE" w:rsidP="00215832">
            <w:pPr>
              <w:spacing w:after="0" w:line="240" w:lineRule="auto"/>
              <w:rPr>
                <w:rFonts w:ascii="Times New Roman" w:hAnsi="Times New Roman"/>
                <w:sz w:val="24"/>
                <w:szCs w:val="24"/>
              </w:rPr>
            </w:pPr>
            <w:r w:rsidRPr="007A137C">
              <w:rPr>
                <w:rFonts w:ascii="Times New Roman" w:hAnsi="Times New Roman"/>
                <w:iCs/>
                <w:sz w:val="24"/>
                <w:szCs w:val="24"/>
              </w:rPr>
              <w:t>Komisijas regula</w:t>
            </w:r>
            <w:r w:rsidR="009F7371">
              <w:rPr>
                <w:rFonts w:ascii="Times New Roman" w:hAnsi="Times New Roman"/>
                <w:iCs/>
                <w:sz w:val="24"/>
                <w:szCs w:val="24"/>
              </w:rPr>
              <w:t>s</w:t>
            </w:r>
            <w:r w:rsidRPr="007A137C">
              <w:rPr>
                <w:rFonts w:ascii="Times New Roman" w:hAnsi="Times New Roman"/>
                <w:iCs/>
                <w:sz w:val="24"/>
                <w:szCs w:val="24"/>
              </w:rPr>
              <w:t xml:space="preserve"> Nr.</w:t>
            </w:r>
            <w:hyperlink r:id="rId28" w:tgtFrame="_blank" w:history="1">
              <w:r w:rsidRPr="007A137C">
                <w:rPr>
                  <w:rFonts w:ascii="Times New Roman" w:hAnsi="Times New Roman"/>
                  <w:iCs/>
                  <w:sz w:val="24"/>
                  <w:szCs w:val="24"/>
                </w:rPr>
                <w:t>717/2014</w:t>
              </w:r>
            </w:hyperlink>
            <w:r>
              <w:rPr>
                <w:rFonts w:ascii="Times New Roman" w:hAnsi="Times New Roman"/>
                <w:iCs/>
                <w:sz w:val="24"/>
                <w:szCs w:val="24"/>
              </w:rPr>
              <w:t xml:space="preserve"> 1.panta 2. un 3.punkts</w:t>
            </w:r>
          </w:p>
        </w:tc>
        <w:tc>
          <w:tcPr>
            <w:tcW w:w="2230" w:type="dxa"/>
            <w:gridSpan w:val="3"/>
            <w:tcBorders>
              <w:top w:val="outset" w:sz="6" w:space="0" w:color="auto"/>
              <w:left w:val="outset" w:sz="6" w:space="0" w:color="auto"/>
              <w:bottom w:val="outset" w:sz="6" w:space="0" w:color="auto"/>
              <w:right w:val="outset" w:sz="6" w:space="0" w:color="auto"/>
            </w:tcBorders>
          </w:tcPr>
          <w:p w:rsidR="00B622FE" w:rsidRPr="007A7182" w:rsidRDefault="00B622FE"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383991">
              <w:rPr>
                <w:rFonts w:ascii="Times New Roman" w:hAnsi="Times New Roman"/>
                <w:sz w:val="24"/>
                <w:szCs w:val="24"/>
              </w:rPr>
              <w:t xml:space="preserve">20. </w:t>
            </w:r>
            <w:r>
              <w:rPr>
                <w:rFonts w:ascii="Times New Roman" w:hAnsi="Times New Roman"/>
                <w:sz w:val="24"/>
                <w:szCs w:val="24"/>
              </w:rPr>
              <w:t>punkts</w:t>
            </w:r>
          </w:p>
          <w:p w:rsidR="00FA54E3" w:rsidRPr="007A7182" w:rsidRDefault="00FA54E3"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FA54E3" w:rsidRPr="00203E87" w:rsidRDefault="00B622FE"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Pr>
                <w:rFonts w:ascii="Times New Roman" w:hAnsi="Times New Roman"/>
                <w:sz w:val="24"/>
                <w:szCs w:val="24"/>
              </w:rPr>
              <w:t>717</w:t>
            </w:r>
            <w:r w:rsidRPr="00C32B4C">
              <w:rPr>
                <w:rFonts w:ascii="Times New Roman" w:hAnsi="Times New Roman"/>
                <w:sz w:val="24"/>
                <w:szCs w:val="24"/>
              </w:rPr>
              <w:t>/201</w:t>
            </w:r>
            <w:r>
              <w:rPr>
                <w:rFonts w:ascii="Times New Roman" w:hAnsi="Times New Roman"/>
                <w:sz w:val="24"/>
                <w:szCs w:val="24"/>
              </w:rPr>
              <w:t>4</w:t>
            </w:r>
            <w:r w:rsidRPr="00C32B4C">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A54E3" w:rsidRPr="007A7182" w:rsidRDefault="00B622FE"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0E4D7E"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E4D7E" w:rsidRPr="007A137C" w:rsidRDefault="000E4D7E" w:rsidP="00215832">
            <w:pPr>
              <w:spacing w:after="0" w:line="240" w:lineRule="auto"/>
              <w:rPr>
                <w:rFonts w:ascii="Times New Roman" w:hAnsi="Times New Roman"/>
                <w:iCs/>
                <w:sz w:val="24"/>
                <w:szCs w:val="24"/>
              </w:rPr>
            </w:pPr>
            <w:r w:rsidRPr="0042318A">
              <w:rPr>
                <w:rFonts w:ascii="Times New Roman" w:hAnsi="Times New Roman"/>
                <w:iCs/>
                <w:sz w:val="24"/>
                <w:szCs w:val="24"/>
              </w:rPr>
              <w:t xml:space="preserve">Komisijas regulas Nr.717/2014 </w:t>
            </w:r>
            <w:r>
              <w:rPr>
                <w:rFonts w:ascii="Times New Roman" w:hAnsi="Times New Roman"/>
                <w:iCs/>
                <w:sz w:val="24"/>
                <w:szCs w:val="24"/>
              </w:rPr>
              <w:t>2</w:t>
            </w:r>
            <w:r w:rsidR="006A44A2">
              <w:rPr>
                <w:rFonts w:ascii="Times New Roman" w:hAnsi="Times New Roman"/>
                <w:iCs/>
                <w:sz w:val="24"/>
                <w:szCs w:val="24"/>
              </w:rPr>
              <w:t>.</w:t>
            </w:r>
            <w:r w:rsidRPr="0042318A">
              <w:rPr>
                <w:rFonts w:ascii="Times New Roman" w:hAnsi="Times New Roman"/>
                <w:iCs/>
                <w:sz w:val="24"/>
                <w:szCs w:val="24"/>
              </w:rPr>
              <w:t xml:space="preserve">panta </w:t>
            </w:r>
            <w:r>
              <w:rPr>
                <w:rFonts w:ascii="Times New Roman" w:hAnsi="Times New Roman"/>
                <w:iCs/>
                <w:sz w:val="24"/>
                <w:szCs w:val="24"/>
              </w:rPr>
              <w:t>2.</w:t>
            </w:r>
            <w:r w:rsidRPr="0042318A">
              <w:rPr>
                <w:rFonts w:ascii="Times New Roman" w:hAnsi="Times New Roman"/>
                <w:iCs/>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0E4D7E" w:rsidRPr="007A7182" w:rsidRDefault="000E4D7E"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5.punkts</w:t>
            </w:r>
          </w:p>
          <w:p w:rsidR="000E4D7E" w:rsidRPr="007A7182" w:rsidRDefault="000E4D7E"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0E4D7E" w:rsidRPr="00C32B4C" w:rsidRDefault="000E4D7E"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Pr="0042318A">
              <w:rPr>
                <w:rFonts w:ascii="Times New Roman" w:hAnsi="Times New Roman"/>
                <w:iCs/>
                <w:sz w:val="24"/>
                <w:szCs w:val="24"/>
              </w:rPr>
              <w:t xml:space="preserve">717/2014 </w:t>
            </w:r>
            <w:r w:rsidRPr="00C32B4C">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E4D7E" w:rsidRPr="007A7182" w:rsidRDefault="000E4D7E"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FE33FF"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E33FF" w:rsidRPr="007A137C" w:rsidRDefault="00FE33FF" w:rsidP="00215832">
            <w:pPr>
              <w:spacing w:after="0" w:line="240" w:lineRule="auto"/>
              <w:rPr>
                <w:rFonts w:ascii="Times New Roman" w:hAnsi="Times New Roman"/>
                <w:iCs/>
                <w:sz w:val="24"/>
                <w:szCs w:val="24"/>
              </w:rPr>
            </w:pPr>
            <w:r w:rsidRPr="0042318A">
              <w:rPr>
                <w:rFonts w:ascii="Times New Roman" w:hAnsi="Times New Roman"/>
                <w:iCs/>
                <w:sz w:val="24"/>
                <w:szCs w:val="24"/>
              </w:rPr>
              <w:t xml:space="preserve">Komisijas regulas Nr.717/2014 </w:t>
            </w:r>
            <w:r>
              <w:rPr>
                <w:rFonts w:ascii="Times New Roman" w:hAnsi="Times New Roman"/>
                <w:iCs/>
                <w:sz w:val="24"/>
                <w:szCs w:val="24"/>
              </w:rPr>
              <w:t>3</w:t>
            </w:r>
            <w:r w:rsidRPr="0042318A">
              <w:rPr>
                <w:rFonts w:ascii="Times New Roman" w:hAnsi="Times New Roman"/>
                <w:iCs/>
                <w:sz w:val="24"/>
                <w:szCs w:val="24"/>
              </w:rPr>
              <w:t xml:space="preserve">.panta </w:t>
            </w:r>
            <w:r>
              <w:rPr>
                <w:rFonts w:ascii="Times New Roman" w:hAnsi="Times New Roman"/>
                <w:iCs/>
                <w:sz w:val="24"/>
                <w:szCs w:val="24"/>
              </w:rPr>
              <w:t>2.</w:t>
            </w:r>
            <w:r w:rsidRPr="0042318A">
              <w:rPr>
                <w:rFonts w:ascii="Times New Roman" w:hAnsi="Times New Roman"/>
                <w:iCs/>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FE33FF" w:rsidRPr="007A7182" w:rsidRDefault="00FE33FF"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383991">
              <w:rPr>
                <w:rFonts w:ascii="Times New Roman" w:hAnsi="Times New Roman"/>
                <w:sz w:val="24"/>
                <w:szCs w:val="24"/>
              </w:rPr>
              <w:t>5</w:t>
            </w:r>
            <w:r>
              <w:rPr>
                <w:rFonts w:ascii="Times New Roman" w:hAnsi="Times New Roman"/>
                <w:sz w:val="24"/>
                <w:szCs w:val="24"/>
              </w:rPr>
              <w:t>.punkts</w:t>
            </w:r>
          </w:p>
          <w:p w:rsidR="00FE33FF" w:rsidRPr="007A7182" w:rsidRDefault="00FE33FF"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FE33FF" w:rsidRPr="00C32B4C" w:rsidRDefault="00FE33FF"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Pr="0042318A">
              <w:rPr>
                <w:rFonts w:ascii="Times New Roman" w:hAnsi="Times New Roman"/>
                <w:iCs/>
                <w:sz w:val="24"/>
                <w:szCs w:val="24"/>
              </w:rPr>
              <w:t xml:space="preserve">717/2014 </w:t>
            </w:r>
            <w:r w:rsidRPr="00C32B4C">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E33FF" w:rsidRPr="007A7182" w:rsidRDefault="00FE33FF"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42318A"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42318A" w:rsidRPr="007A137C" w:rsidRDefault="0042318A" w:rsidP="00215832">
            <w:pPr>
              <w:spacing w:after="0" w:line="240" w:lineRule="auto"/>
              <w:rPr>
                <w:rFonts w:ascii="Times New Roman" w:hAnsi="Times New Roman"/>
                <w:iCs/>
                <w:sz w:val="24"/>
                <w:szCs w:val="24"/>
              </w:rPr>
            </w:pPr>
            <w:r w:rsidRPr="0042318A">
              <w:rPr>
                <w:rFonts w:ascii="Times New Roman" w:hAnsi="Times New Roman"/>
                <w:iCs/>
                <w:sz w:val="24"/>
                <w:szCs w:val="24"/>
              </w:rPr>
              <w:t xml:space="preserve">Komisijas regulas Nr.717/2014 </w:t>
            </w:r>
            <w:r>
              <w:rPr>
                <w:rFonts w:ascii="Times New Roman" w:hAnsi="Times New Roman"/>
                <w:iCs/>
                <w:sz w:val="24"/>
                <w:szCs w:val="24"/>
              </w:rPr>
              <w:t>5</w:t>
            </w:r>
            <w:r w:rsidRPr="0042318A">
              <w:rPr>
                <w:rFonts w:ascii="Times New Roman" w:hAnsi="Times New Roman"/>
                <w:iCs/>
                <w:sz w:val="24"/>
                <w:szCs w:val="24"/>
              </w:rPr>
              <w:t xml:space="preserve">.panta </w:t>
            </w:r>
            <w:r>
              <w:rPr>
                <w:rFonts w:ascii="Times New Roman" w:hAnsi="Times New Roman"/>
                <w:iCs/>
                <w:sz w:val="24"/>
                <w:szCs w:val="24"/>
              </w:rPr>
              <w:t>1., 2</w:t>
            </w:r>
            <w:r w:rsidRPr="0042318A">
              <w:rPr>
                <w:rFonts w:ascii="Times New Roman" w:hAnsi="Times New Roman"/>
                <w:iCs/>
                <w:sz w:val="24"/>
                <w:szCs w:val="24"/>
              </w:rPr>
              <w:t>. un 3.punkts</w:t>
            </w:r>
          </w:p>
        </w:tc>
        <w:tc>
          <w:tcPr>
            <w:tcW w:w="2230" w:type="dxa"/>
            <w:gridSpan w:val="3"/>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sidR="00383991">
              <w:rPr>
                <w:rFonts w:ascii="Times New Roman" w:hAnsi="Times New Roman"/>
                <w:sz w:val="24"/>
                <w:szCs w:val="24"/>
              </w:rPr>
              <w:t>5</w:t>
            </w:r>
            <w:r>
              <w:rPr>
                <w:rFonts w:ascii="Times New Roman" w:hAnsi="Times New Roman"/>
                <w:sz w:val="24"/>
                <w:szCs w:val="24"/>
              </w:rPr>
              <w:t>.punkts</w:t>
            </w:r>
          </w:p>
          <w:p w:rsidR="0042318A" w:rsidRPr="007A7182" w:rsidRDefault="0042318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42318A" w:rsidRPr="00C32B4C" w:rsidRDefault="0042318A"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00A94F9B" w:rsidRPr="0042318A">
              <w:rPr>
                <w:rFonts w:ascii="Times New Roman" w:hAnsi="Times New Roman"/>
                <w:iCs/>
                <w:sz w:val="24"/>
                <w:szCs w:val="24"/>
              </w:rPr>
              <w:t xml:space="preserve">717/2014 </w:t>
            </w:r>
            <w:r w:rsidRPr="00C32B4C">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42318A" w:rsidRPr="007A7182" w:rsidRDefault="0042318A"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B7647A"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B7647A" w:rsidRPr="0042318A" w:rsidRDefault="00B7647A" w:rsidP="00215832">
            <w:pPr>
              <w:spacing w:after="0" w:line="240" w:lineRule="auto"/>
              <w:rPr>
                <w:rFonts w:ascii="Times New Roman" w:hAnsi="Times New Roman"/>
                <w:iCs/>
                <w:sz w:val="24"/>
                <w:szCs w:val="24"/>
              </w:rPr>
            </w:pPr>
            <w:r w:rsidRPr="0042318A">
              <w:rPr>
                <w:rFonts w:ascii="Times New Roman" w:hAnsi="Times New Roman"/>
                <w:iCs/>
                <w:sz w:val="24"/>
                <w:szCs w:val="24"/>
              </w:rPr>
              <w:t xml:space="preserve">Komisijas regulas Nr.717/2014 </w:t>
            </w:r>
            <w:r>
              <w:rPr>
                <w:rFonts w:ascii="Times New Roman" w:hAnsi="Times New Roman"/>
                <w:iCs/>
                <w:sz w:val="24"/>
                <w:szCs w:val="24"/>
              </w:rPr>
              <w:t>6.</w:t>
            </w:r>
            <w:r w:rsidRPr="0042318A">
              <w:rPr>
                <w:rFonts w:ascii="Times New Roman" w:hAnsi="Times New Roman"/>
                <w:iCs/>
                <w:sz w:val="24"/>
                <w:szCs w:val="24"/>
              </w:rPr>
              <w:t xml:space="preserve">panta </w:t>
            </w:r>
            <w:r>
              <w:rPr>
                <w:rFonts w:ascii="Times New Roman" w:hAnsi="Times New Roman"/>
                <w:iCs/>
                <w:sz w:val="24"/>
                <w:szCs w:val="24"/>
              </w:rPr>
              <w:t>4.</w:t>
            </w:r>
            <w:r w:rsidRPr="0042318A">
              <w:rPr>
                <w:rFonts w:ascii="Times New Roman" w:hAnsi="Times New Roman"/>
                <w:iCs/>
                <w:sz w:val="24"/>
                <w:szCs w:val="24"/>
              </w:rPr>
              <w:t>punkts</w:t>
            </w:r>
          </w:p>
        </w:tc>
        <w:tc>
          <w:tcPr>
            <w:tcW w:w="2230" w:type="dxa"/>
            <w:gridSpan w:val="3"/>
            <w:tcBorders>
              <w:top w:val="outset" w:sz="6" w:space="0" w:color="auto"/>
              <w:left w:val="outset" w:sz="6" w:space="0" w:color="auto"/>
              <w:bottom w:val="outset" w:sz="6" w:space="0" w:color="auto"/>
              <w:right w:val="outset" w:sz="6" w:space="0" w:color="auto"/>
            </w:tcBorders>
          </w:tcPr>
          <w:p w:rsidR="00B7647A" w:rsidRPr="007A7182" w:rsidRDefault="00B7647A" w:rsidP="00F113F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5.punkts</w:t>
            </w:r>
          </w:p>
          <w:p w:rsidR="00B7647A" w:rsidRPr="007A7182" w:rsidRDefault="00B7647A" w:rsidP="00C533E3">
            <w:pPr>
              <w:spacing w:after="0" w:line="240" w:lineRule="auto"/>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7647A" w:rsidRPr="00C32B4C" w:rsidRDefault="00B7647A" w:rsidP="00C533E3">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Pr="0042318A">
              <w:rPr>
                <w:rFonts w:ascii="Times New Roman" w:hAnsi="Times New Roman"/>
                <w:iCs/>
                <w:sz w:val="24"/>
                <w:szCs w:val="24"/>
              </w:rPr>
              <w:t xml:space="preserve">717/2014 </w:t>
            </w:r>
            <w:r w:rsidRPr="00C32B4C">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7647A" w:rsidRPr="007A7182" w:rsidRDefault="00B7647A" w:rsidP="00C533E3">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0D5276"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Kā ir izmantota ES tiesību aktā paredzētā rīcības brīvība dalībvalstij pārņemt vai ieviest noteiktas ES tiesību akta normas?</w:t>
            </w:r>
          </w:p>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Kādēļ?</w:t>
            </w:r>
          </w:p>
        </w:tc>
        <w:tc>
          <w:tcPr>
            <w:tcW w:w="8060" w:type="dxa"/>
            <w:gridSpan w:val="6"/>
            <w:tcBorders>
              <w:top w:val="outset" w:sz="6" w:space="0" w:color="auto"/>
              <w:left w:val="outset" w:sz="6" w:space="0" w:color="auto"/>
              <w:bottom w:val="outset" w:sz="6" w:space="0" w:color="auto"/>
              <w:right w:val="outset" w:sz="6" w:space="0" w:color="auto"/>
            </w:tcBorders>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0D5276"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w:t>
            </w:r>
            <w:r w:rsidRPr="007A7182">
              <w:rPr>
                <w:rFonts w:ascii="Times New Roman" w:hAnsi="Times New Roman"/>
                <w:sz w:val="24"/>
                <w:szCs w:val="24"/>
              </w:rPr>
              <w:softHyphen/>
              <w:t>šanas un finanšu noteikumu (attiecībā uz monetāro politiku) projektiem</w:t>
            </w:r>
          </w:p>
        </w:tc>
        <w:tc>
          <w:tcPr>
            <w:tcW w:w="8060" w:type="dxa"/>
            <w:gridSpan w:val="6"/>
            <w:tcBorders>
              <w:top w:val="outset" w:sz="6" w:space="0" w:color="auto"/>
              <w:left w:val="outset" w:sz="6" w:space="0" w:color="auto"/>
              <w:bottom w:val="outset" w:sz="6" w:space="0" w:color="auto"/>
              <w:right w:val="outset" w:sz="6" w:space="0" w:color="auto"/>
            </w:tcBorders>
          </w:tcPr>
          <w:p w:rsidR="000D5276" w:rsidRDefault="000D5276" w:rsidP="004A07AB">
            <w:pPr>
              <w:pStyle w:val="Default"/>
              <w:jc w:val="both"/>
              <w:rPr>
                <w:rFonts w:ascii="Times New Roman" w:hAnsi="Times New Roman"/>
                <w:color w:val="auto"/>
              </w:rPr>
            </w:pPr>
            <w:r w:rsidRPr="003175A7">
              <w:rPr>
                <w:rFonts w:ascii="Times New Roman" w:hAnsi="Times New Roman"/>
                <w:color w:val="auto"/>
              </w:rPr>
              <w:t xml:space="preserve">Eiropas Savienības pamatnostādnes par valsts atbalstu lauksaimniecības un mežsaimniecības nozarē un lauku apvidos 2014.–2020.gadam (Eiropas Savienības Oficiālais Vēstnesis, 2014.gada 1.jūlijs, C 204) </w:t>
            </w:r>
            <w:r>
              <w:rPr>
                <w:rFonts w:ascii="Times New Roman" w:hAnsi="Times New Roman"/>
                <w:color w:val="auto"/>
              </w:rPr>
              <w:t>(</w:t>
            </w:r>
            <w:r w:rsidRPr="003175A7">
              <w:rPr>
                <w:rFonts w:ascii="Times New Roman" w:hAnsi="Times New Roman"/>
                <w:color w:val="auto"/>
              </w:rPr>
              <w:t>turpmāk – pamatnostādnes).</w:t>
            </w:r>
          </w:p>
          <w:p w:rsidR="000D5276" w:rsidRDefault="000D5276">
            <w:pPr>
              <w:spacing w:after="0" w:line="240" w:lineRule="auto"/>
              <w:jc w:val="both"/>
              <w:rPr>
                <w:rFonts w:ascii="Times New Roman" w:hAnsi="Times New Roman"/>
                <w:sz w:val="24"/>
                <w:szCs w:val="24"/>
              </w:rPr>
            </w:pPr>
            <w:r w:rsidRPr="003175A7">
              <w:rPr>
                <w:rFonts w:ascii="Times New Roman" w:hAnsi="Times New Roman"/>
                <w:sz w:val="24"/>
                <w:szCs w:val="24"/>
              </w:rPr>
              <w:t xml:space="preserve">Pamatnostādņu 1.1.1. apakšnodaļas nosacījumi atbilst noteikumu projekta </w:t>
            </w:r>
            <w:r w:rsidR="00274708">
              <w:rPr>
                <w:rFonts w:ascii="Times New Roman" w:hAnsi="Times New Roman"/>
                <w:sz w:val="24"/>
                <w:szCs w:val="24"/>
              </w:rPr>
              <w:t>5</w:t>
            </w:r>
            <w:r>
              <w:rPr>
                <w:rFonts w:ascii="Times New Roman" w:hAnsi="Times New Roman"/>
                <w:sz w:val="24"/>
                <w:szCs w:val="24"/>
              </w:rPr>
              <w:t>.</w:t>
            </w:r>
            <w:r w:rsidR="0077427E">
              <w:rPr>
                <w:rFonts w:ascii="Times New Roman" w:hAnsi="Times New Roman"/>
                <w:sz w:val="24"/>
                <w:szCs w:val="24"/>
              </w:rPr>
              <w:t xml:space="preserve">, </w:t>
            </w:r>
            <w:r w:rsidR="00274708">
              <w:rPr>
                <w:rFonts w:ascii="Times New Roman" w:hAnsi="Times New Roman"/>
                <w:sz w:val="24"/>
                <w:szCs w:val="24"/>
              </w:rPr>
              <w:t>9</w:t>
            </w:r>
            <w:r w:rsidR="0077427E">
              <w:rPr>
                <w:rFonts w:ascii="Times New Roman" w:hAnsi="Times New Roman"/>
                <w:sz w:val="24"/>
                <w:szCs w:val="24"/>
              </w:rPr>
              <w:t>.</w:t>
            </w:r>
            <w:r w:rsidR="00C57F42">
              <w:rPr>
                <w:rFonts w:ascii="Times New Roman" w:hAnsi="Times New Roman"/>
                <w:sz w:val="24"/>
                <w:szCs w:val="24"/>
              </w:rPr>
              <w:t xml:space="preserve">, </w:t>
            </w:r>
            <w:r w:rsidR="00274708">
              <w:rPr>
                <w:rFonts w:ascii="Times New Roman" w:hAnsi="Times New Roman"/>
                <w:sz w:val="24"/>
                <w:szCs w:val="24"/>
              </w:rPr>
              <w:t>11</w:t>
            </w:r>
            <w:r w:rsidR="0077427E">
              <w:rPr>
                <w:rFonts w:ascii="Times New Roman" w:hAnsi="Times New Roman"/>
                <w:sz w:val="24"/>
                <w:szCs w:val="24"/>
              </w:rPr>
              <w:t>.</w:t>
            </w:r>
            <w:r w:rsidR="009C0121">
              <w:rPr>
                <w:rFonts w:ascii="Times New Roman" w:hAnsi="Times New Roman"/>
                <w:sz w:val="24"/>
                <w:szCs w:val="24"/>
              </w:rPr>
              <w:t xml:space="preserve"> un 1</w:t>
            </w:r>
            <w:r w:rsidR="00274708">
              <w:rPr>
                <w:rFonts w:ascii="Times New Roman" w:hAnsi="Times New Roman"/>
                <w:sz w:val="24"/>
                <w:szCs w:val="24"/>
              </w:rPr>
              <w:t>8</w:t>
            </w:r>
            <w:r w:rsidR="009C0121">
              <w:rPr>
                <w:rFonts w:ascii="Times New Roman" w:hAnsi="Times New Roman"/>
                <w:sz w:val="24"/>
                <w:szCs w:val="24"/>
              </w:rPr>
              <w:t>.</w:t>
            </w:r>
            <w:r>
              <w:rPr>
                <w:rFonts w:ascii="Times New Roman" w:hAnsi="Times New Roman"/>
                <w:sz w:val="24"/>
                <w:szCs w:val="24"/>
              </w:rPr>
              <w:t>punkta</w:t>
            </w:r>
            <w:r w:rsidR="00D97368">
              <w:rPr>
                <w:rFonts w:ascii="Times New Roman" w:hAnsi="Times New Roman"/>
                <w:sz w:val="24"/>
                <w:szCs w:val="24"/>
              </w:rPr>
              <w:t>m</w:t>
            </w:r>
            <w:r w:rsidRPr="003175A7">
              <w:rPr>
                <w:rFonts w:ascii="Times New Roman" w:hAnsi="Times New Roman"/>
                <w:sz w:val="24"/>
                <w:szCs w:val="24"/>
              </w:rPr>
              <w:t>.</w:t>
            </w:r>
          </w:p>
          <w:p w:rsidR="00377221" w:rsidRPr="003175A7" w:rsidRDefault="00377221">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E456E6">
              <w:rPr>
                <w:rFonts w:ascii="Times New Roman" w:hAnsi="Times New Roman"/>
                <w:sz w:val="24"/>
                <w:szCs w:val="24"/>
              </w:rPr>
              <w:t>5</w:t>
            </w:r>
            <w:r>
              <w:rPr>
                <w:rFonts w:ascii="Times New Roman" w:hAnsi="Times New Roman"/>
                <w:sz w:val="24"/>
                <w:szCs w:val="24"/>
              </w:rPr>
              <w:t>.punkta 11.</w:t>
            </w:r>
            <w:r w:rsidR="0072209B">
              <w:rPr>
                <w:rFonts w:ascii="Times New Roman" w:hAnsi="Times New Roman"/>
                <w:sz w:val="24"/>
                <w:szCs w:val="24"/>
              </w:rPr>
              <w:t>1</w:t>
            </w:r>
            <w:r w:rsidR="00C57F42">
              <w:rPr>
                <w:rFonts w:ascii="Times New Roman" w:hAnsi="Times New Roman"/>
                <w:sz w:val="24"/>
                <w:szCs w:val="24"/>
              </w:rPr>
              <w:t>2</w:t>
            </w:r>
            <w:r>
              <w:rPr>
                <w:rFonts w:ascii="Times New Roman" w:hAnsi="Times New Roman"/>
                <w:sz w:val="24"/>
                <w:szCs w:val="24"/>
              </w:rPr>
              <w:t>.apakšpunktā minētās prasības atbilst pamatnostādņu 3.7.apakšnodaļas nosacījumiem.</w:t>
            </w:r>
          </w:p>
          <w:p w:rsidR="000D5276" w:rsidRPr="003175A7" w:rsidRDefault="000D5276" w:rsidP="00377221">
            <w:pPr>
              <w:spacing w:after="0" w:line="240" w:lineRule="auto"/>
              <w:jc w:val="both"/>
              <w:rPr>
                <w:rFonts w:ascii="Times New Roman" w:hAnsi="Times New Roman"/>
                <w:sz w:val="24"/>
                <w:szCs w:val="24"/>
              </w:rPr>
            </w:pPr>
            <w:r w:rsidRPr="003175A7">
              <w:rPr>
                <w:rFonts w:ascii="Times New Roman" w:hAnsi="Times New Roman"/>
                <w:sz w:val="24"/>
                <w:szCs w:val="24"/>
              </w:rPr>
              <w:t>Pamatojoties uz pamatnostādnēm, noteikumu projekta</w:t>
            </w:r>
            <w:r>
              <w:rPr>
                <w:rFonts w:ascii="Times New Roman" w:hAnsi="Times New Roman"/>
                <w:sz w:val="24"/>
                <w:szCs w:val="24"/>
              </w:rPr>
              <w:t xml:space="preserve"> </w:t>
            </w:r>
            <w:r w:rsidR="00377221">
              <w:rPr>
                <w:rFonts w:ascii="Times New Roman" w:hAnsi="Times New Roman"/>
                <w:sz w:val="24"/>
                <w:szCs w:val="24"/>
              </w:rPr>
              <w:t>5</w:t>
            </w:r>
            <w:r>
              <w:rPr>
                <w:rFonts w:ascii="Times New Roman" w:hAnsi="Times New Roman"/>
                <w:sz w:val="24"/>
                <w:szCs w:val="24"/>
              </w:rPr>
              <w:t>.punkt</w:t>
            </w:r>
            <w:r w:rsidR="0077427E">
              <w:rPr>
                <w:rFonts w:ascii="Times New Roman" w:hAnsi="Times New Roman"/>
                <w:sz w:val="24"/>
                <w:szCs w:val="24"/>
              </w:rPr>
              <w:t>ā paredzēto atbalstu</w:t>
            </w:r>
            <w:r w:rsidRPr="003175A7">
              <w:rPr>
                <w:rFonts w:ascii="Times New Roman" w:hAnsi="Times New Roman"/>
                <w:sz w:val="24"/>
                <w:szCs w:val="24"/>
              </w:rPr>
              <w:t xml:space="preserve"> paredzēts</w:t>
            </w:r>
            <w:r w:rsidR="0077427E">
              <w:rPr>
                <w:rFonts w:ascii="Times New Roman" w:hAnsi="Times New Roman"/>
                <w:sz w:val="24"/>
                <w:szCs w:val="24"/>
              </w:rPr>
              <w:t xml:space="preserve"> īstenot</w:t>
            </w:r>
            <w:r w:rsidRPr="003175A7">
              <w:rPr>
                <w:rFonts w:ascii="Times New Roman" w:hAnsi="Times New Roman"/>
                <w:sz w:val="24"/>
                <w:szCs w:val="24"/>
              </w:rPr>
              <w:t xml:space="preserve"> </w:t>
            </w:r>
            <w:r w:rsidR="002205DC">
              <w:rPr>
                <w:rFonts w:ascii="Times New Roman" w:hAnsi="Times New Roman"/>
                <w:sz w:val="24"/>
                <w:szCs w:val="24"/>
              </w:rPr>
              <w:t xml:space="preserve">saskaņā ar </w:t>
            </w:r>
            <w:r>
              <w:rPr>
                <w:rFonts w:ascii="Times New Roman" w:hAnsi="Times New Roman"/>
                <w:sz w:val="24"/>
                <w:szCs w:val="24"/>
              </w:rPr>
              <w:t>17</w:t>
            </w:r>
            <w:r w:rsidRPr="003175A7">
              <w:rPr>
                <w:rFonts w:ascii="Times New Roman" w:hAnsi="Times New Roman"/>
                <w:sz w:val="24"/>
                <w:szCs w:val="24"/>
              </w:rPr>
              <w:t>.</w:t>
            </w:r>
            <w:r>
              <w:rPr>
                <w:rFonts w:ascii="Times New Roman" w:hAnsi="Times New Roman"/>
                <w:sz w:val="24"/>
                <w:szCs w:val="24"/>
              </w:rPr>
              <w:t>08</w:t>
            </w:r>
            <w:r w:rsidRPr="003175A7">
              <w:rPr>
                <w:rFonts w:ascii="Times New Roman" w:hAnsi="Times New Roman"/>
                <w:sz w:val="24"/>
                <w:szCs w:val="24"/>
              </w:rPr>
              <w:t>.201</w:t>
            </w:r>
            <w:r>
              <w:rPr>
                <w:rFonts w:ascii="Times New Roman" w:hAnsi="Times New Roman"/>
                <w:sz w:val="24"/>
                <w:szCs w:val="24"/>
              </w:rPr>
              <w:t>5</w:t>
            </w:r>
            <w:r w:rsidRPr="003175A7">
              <w:rPr>
                <w:rFonts w:ascii="Times New Roman" w:hAnsi="Times New Roman"/>
                <w:sz w:val="24"/>
                <w:szCs w:val="24"/>
              </w:rPr>
              <w:t xml:space="preserve">. pieņemto Eiropas Komisijas lēmumu </w:t>
            </w:r>
            <w:r w:rsidRPr="008F20DD">
              <w:rPr>
                <w:rFonts w:ascii="Times New Roman" w:hAnsi="Times New Roman"/>
                <w:sz w:val="24"/>
                <w:szCs w:val="24"/>
              </w:rPr>
              <w:t>Nr.SA.41388</w:t>
            </w:r>
            <w:r w:rsidRPr="008F20DD">
              <w:rPr>
                <w:rFonts w:ascii="Times New Roman" w:hAnsi="Times New Roman"/>
              </w:rPr>
              <w:t xml:space="preserve"> (</w:t>
            </w:r>
            <w:r w:rsidRPr="008F20DD">
              <w:rPr>
                <w:rFonts w:ascii="Times New Roman" w:hAnsi="Times New Roman"/>
                <w:sz w:val="24"/>
                <w:szCs w:val="24"/>
              </w:rPr>
              <w:t>2015/N)</w:t>
            </w:r>
            <w:r w:rsidRPr="008F20DD">
              <w:rPr>
                <w:rFonts w:ascii="Times New Roman" w:hAnsi="Times New Roman"/>
              </w:rPr>
              <w:t xml:space="preserve"> </w:t>
            </w:r>
            <w:r w:rsidRPr="003175A7">
              <w:rPr>
                <w:rFonts w:ascii="Times New Roman" w:hAnsi="Times New Roman"/>
                <w:sz w:val="24"/>
                <w:szCs w:val="24"/>
              </w:rPr>
              <w:t xml:space="preserve">„Atbalsts kredītprocentu daļējai dzēšanai”. Valsts atbalsts kredītprocentu daļējai dzēšanai lauksaimniekiem un lauksaimniecības pakalpojumu kooperatīvajām sabiedrībām </w:t>
            </w:r>
            <w:r>
              <w:rPr>
                <w:rFonts w:ascii="Times New Roman" w:hAnsi="Times New Roman"/>
                <w:sz w:val="24"/>
                <w:szCs w:val="24"/>
              </w:rPr>
              <w:t xml:space="preserve">ir </w:t>
            </w:r>
            <w:r w:rsidRPr="003175A7">
              <w:rPr>
                <w:rFonts w:ascii="Times New Roman" w:hAnsi="Times New Roman"/>
                <w:sz w:val="24"/>
                <w:szCs w:val="24"/>
              </w:rPr>
              <w:t>saskaņots līdz 2019.gada 31.decembrim.</w:t>
            </w:r>
          </w:p>
        </w:tc>
      </w:tr>
      <w:tr w:rsidR="000D5276"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Cita informācija</w:t>
            </w:r>
          </w:p>
        </w:tc>
        <w:tc>
          <w:tcPr>
            <w:tcW w:w="8060" w:type="dxa"/>
            <w:gridSpan w:val="6"/>
            <w:tcBorders>
              <w:top w:val="outset" w:sz="6" w:space="0" w:color="auto"/>
              <w:left w:val="outset" w:sz="6" w:space="0" w:color="auto"/>
              <w:bottom w:val="outset" w:sz="6" w:space="0" w:color="auto"/>
              <w:right w:val="outset" w:sz="6" w:space="0" w:color="auto"/>
            </w:tcBorders>
          </w:tcPr>
          <w:p w:rsidR="000D5276" w:rsidRPr="003175A7" w:rsidRDefault="000D5276" w:rsidP="008B5311">
            <w:pPr>
              <w:spacing w:after="0" w:line="240" w:lineRule="auto"/>
              <w:rPr>
                <w:rFonts w:ascii="Times New Roman" w:hAnsi="Times New Roman"/>
                <w:sz w:val="24"/>
                <w:szCs w:val="24"/>
              </w:rPr>
            </w:pPr>
            <w:r w:rsidRPr="003175A7">
              <w:rPr>
                <w:rFonts w:ascii="Times New Roman" w:hAnsi="Times New Roman"/>
                <w:sz w:val="24"/>
                <w:szCs w:val="24"/>
              </w:rPr>
              <w:t>Nav.</w:t>
            </w:r>
          </w:p>
        </w:tc>
      </w:tr>
      <w:tr w:rsidR="000D5276" w:rsidRPr="007A7182"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0D5276" w:rsidRPr="007A7182" w:rsidRDefault="000D5276" w:rsidP="008B5311">
            <w:pPr>
              <w:spacing w:after="0" w:line="240" w:lineRule="auto"/>
              <w:rPr>
                <w:rFonts w:ascii="Times New Roman" w:hAnsi="Times New Roman"/>
                <w:b/>
                <w:sz w:val="24"/>
                <w:szCs w:val="24"/>
              </w:rPr>
            </w:pPr>
            <w:r w:rsidRPr="007A7182">
              <w:rPr>
                <w:rFonts w:ascii="Times New Roman" w:hAnsi="Times New Roman"/>
                <w:b/>
                <w:sz w:val="24"/>
                <w:szCs w:val="24"/>
              </w:rPr>
              <w:t>2.tabula</w:t>
            </w:r>
          </w:p>
          <w:p w:rsidR="000D5276" w:rsidRPr="007A7182" w:rsidRDefault="000D5276" w:rsidP="008B5311">
            <w:pPr>
              <w:spacing w:after="0" w:line="240" w:lineRule="auto"/>
              <w:rPr>
                <w:rFonts w:ascii="Times New Roman" w:hAnsi="Times New Roman"/>
                <w:b/>
                <w:sz w:val="24"/>
                <w:szCs w:val="24"/>
              </w:rPr>
            </w:pPr>
            <w:r w:rsidRPr="007A718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0D5276" w:rsidRPr="007A7182" w:rsidRDefault="000D5276" w:rsidP="008B5311">
            <w:pPr>
              <w:spacing w:after="0" w:line="240" w:lineRule="auto"/>
              <w:rPr>
                <w:rFonts w:ascii="Times New Roman" w:hAnsi="Times New Roman"/>
                <w:b/>
                <w:sz w:val="24"/>
                <w:szCs w:val="24"/>
              </w:rPr>
            </w:pPr>
            <w:r w:rsidRPr="007A7182">
              <w:rPr>
                <w:rFonts w:ascii="Times New Roman" w:hAnsi="Times New Roman"/>
                <w:b/>
                <w:sz w:val="24"/>
                <w:szCs w:val="24"/>
              </w:rPr>
              <w:t>Pasākumi šo saistību izpildei</w:t>
            </w:r>
          </w:p>
        </w:tc>
      </w:tr>
      <w:tr w:rsidR="000D5276" w:rsidRPr="007A7182"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0D5276" w:rsidRPr="007A7182" w:rsidRDefault="000D5276" w:rsidP="008B5311">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0D5276"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0D5276" w:rsidRPr="00610E3E" w:rsidRDefault="000D5276" w:rsidP="008B5311">
            <w:pPr>
              <w:spacing w:after="0" w:line="240" w:lineRule="auto"/>
              <w:rPr>
                <w:rFonts w:ascii="Times New Roman" w:hAnsi="Times New Roman"/>
                <w:sz w:val="24"/>
                <w:szCs w:val="24"/>
              </w:rPr>
            </w:pPr>
            <w:r w:rsidRPr="00610E3E">
              <w:rPr>
                <w:rFonts w:ascii="Times New Roman" w:hAnsi="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0D5276" w:rsidRPr="00610E3E" w:rsidRDefault="000D5276" w:rsidP="008B5311">
            <w:pPr>
              <w:spacing w:after="0" w:line="240" w:lineRule="auto"/>
              <w:rPr>
                <w:rFonts w:ascii="Times New Roman" w:hAnsi="Times New Roman"/>
                <w:sz w:val="24"/>
                <w:szCs w:val="24"/>
              </w:rPr>
            </w:pPr>
            <w:r w:rsidRPr="00610E3E">
              <w:rPr>
                <w:rFonts w:ascii="Times New Roman" w:hAnsi="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0D5276" w:rsidRPr="00016696" w:rsidRDefault="000D5276" w:rsidP="008B5311">
            <w:pPr>
              <w:spacing w:after="0" w:line="240" w:lineRule="auto"/>
              <w:rPr>
                <w:rFonts w:ascii="Times New Roman" w:hAnsi="Times New Roman"/>
                <w:sz w:val="24"/>
                <w:szCs w:val="24"/>
              </w:rPr>
            </w:pPr>
            <w:r w:rsidRPr="00016696">
              <w:rPr>
                <w:rFonts w:ascii="Times New Roman" w:hAnsi="Times New Roman"/>
                <w:sz w:val="24"/>
                <w:szCs w:val="24"/>
              </w:rPr>
              <w:t>C</w:t>
            </w:r>
          </w:p>
        </w:tc>
      </w:tr>
      <w:tr w:rsidR="000D5276"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D5276" w:rsidRPr="00610E3E" w:rsidRDefault="000D5276" w:rsidP="008B5311">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rsidR="000D5276" w:rsidRPr="00610E3E" w:rsidRDefault="000D5276" w:rsidP="008B5311">
            <w:pPr>
              <w:spacing w:after="0" w:line="240" w:lineRule="auto"/>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0D5276" w:rsidRPr="00610E3E" w:rsidRDefault="000D5276" w:rsidP="008B5311">
            <w:pPr>
              <w:spacing w:after="0" w:line="240" w:lineRule="auto"/>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0D5276" w:rsidRPr="00016696" w:rsidRDefault="000D5276" w:rsidP="008B5311">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rsidR="000D5276" w:rsidRPr="00016696" w:rsidRDefault="000D5276" w:rsidP="008B5311">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0D5276" w:rsidRPr="00016696" w:rsidRDefault="000D5276" w:rsidP="008B5311">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0D5276"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 xml:space="preserve">Iekļauj informāciju atbilstoši instrukcijas 58.1.apakšpunktā </w:t>
            </w:r>
            <w:r w:rsidRPr="00B84678">
              <w:rPr>
                <w:rFonts w:ascii="Times New Roman" w:hAnsi="Times New Roman"/>
                <w:sz w:val="24"/>
                <w:szCs w:val="24"/>
              </w:rPr>
              <w:lastRenderedPageBreak/>
              <w:t>noteiktajam</w:t>
            </w:r>
            <w:r w:rsidR="00F34FE5">
              <w:rPr>
                <w:rFonts w:ascii="Times New Roman" w:hAnsi="Times New Roman"/>
                <w:sz w:val="24"/>
                <w:szCs w:val="24"/>
              </w:rPr>
              <w:t>.</w:t>
            </w:r>
          </w:p>
        </w:tc>
        <w:tc>
          <w:tcPr>
            <w:tcW w:w="3016" w:type="dxa"/>
            <w:gridSpan w:val="3"/>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0D5276"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Vai starptautiskajā dokumentā paredzētās saistības nav pretrunā ar jau esošajām Latvijas Republikas starptautis</w:t>
            </w:r>
            <w:r w:rsidRPr="00B84678">
              <w:rPr>
                <w:rFonts w:ascii="Times New Roman" w:hAnsi="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0D5276"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0D5276" w:rsidRPr="00B84678" w:rsidRDefault="000D5276"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bl>
    <w:p w:rsidR="006F5F9F" w:rsidRPr="00DD49B6" w:rsidDel="009D1634" w:rsidRDefault="006F5F9F" w:rsidP="006F5F9F">
      <w:pPr>
        <w:spacing w:after="0" w:line="240" w:lineRule="auto"/>
        <w:rPr>
          <w:rFonts w:ascii="Times New Roman" w:hAnsi="Times New Roman"/>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842"/>
        <w:gridCol w:w="6206"/>
      </w:tblGrid>
      <w:tr w:rsidR="006F5F9F" w:rsidRPr="00190B7B" w:rsidTr="007A7182">
        <w:trPr>
          <w:trHeight w:val="421"/>
          <w:jc w:val="center"/>
        </w:trPr>
        <w:tc>
          <w:tcPr>
            <w:tcW w:w="9900" w:type="dxa"/>
            <w:gridSpan w:val="3"/>
            <w:vAlign w:val="center"/>
          </w:tcPr>
          <w:p w:rsidR="006F5F9F" w:rsidRPr="00190B7B" w:rsidRDefault="006F5F9F" w:rsidP="00C301E7">
            <w:pPr>
              <w:pStyle w:val="naisnod"/>
              <w:spacing w:before="0" w:beforeAutospacing="0" w:after="0" w:afterAutospacing="0"/>
              <w:ind w:left="57" w:right="57"/>
              <w:jc w:val="center"/>
              <w:rPr>
                <w:highlight w:val="yellow"/>
              </w:rPr>
            </w:pPr>
            <w:r w:rsidRPr="00487C57">
              <w:rPr>
                <w:b/>
              </w:rPr>
              <w:t>VI. Sabiedrības līdzdalība un komunikācijas aktivitāte</w:t>
            </w:r>
          </w:p>
        </w:tc>
      </w:tr>
      <w:tr w:rsidR="006F5F9F" w:rsidRPr="00DD49B6" w:rsidTr="007A7182">
        <w:trPr>
          <w:trHeight w:val="553"/>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6F5F9F" w:rsidP="006F5F9F">
            <w:pPr>
              <w:shd w:val="clear" w:color="auto" w:fill="FFFFFF"/>
              <w:spacing w:after="0" w:line="240" w:lineRule="auto"/>
              <w:ind w:left="169"/>
              <w:jc w:val="both"/>
              <w:rPr>
                <w:rFonts w:ascii="Times New Roman" w:hAnsi="Times New Roman"/>
                <w:sz w:val="24"/>
                <w:szCs w:val="24"/>
              </w:rPr>
            </w:pPr>
            <w:bookmarkStart w:id="3" w:name="p61"/>
            <w:bookmarkEnd w:id="3"/>
            <w:r w:rsidRPr="00A2430A">
              <w:rPr>
                <w:rFonts w:ascii="Times New Roman" w:hAnsi="Times New Roman"/>
                <w:iCs/>
                <w:sz w:val="24"/>
                <w:szCs w:val="24"/>
              </w:rPr>
              <w:t>Par noteikumu projektu lauksaimnieku nevalstiskās organizācijas ir informētas, nosūtot noteikumu projektu uz to e-pasta adres</w:t>
            </w:r>
            <w:r w:rsidR="002205DC">
              <w:rPr>
                <w:rFonts w:ascii="Times New Roman" w:hAnsi="Times New Roman"/>
                <w:iCs/>
                <w:sz w:val="24"/>
                <w:szCs w:val="24"/>
              </w:rPr>
              <w:t>i</w:t>
            </w:r>
            <w:r w:rsidRPr="00A2430A">
              <w:rPr>
                <w:rFonts w:ascii="Times New Roman" w:hAnsi="Times New Roman"/>
                <w:iCs/>
                <w:sz w:val="24"/>
                <w:szCs w:val="24"/>
              </w:rPr>
              <w:t>.</w:t>
            </w:r>
          </w:p>
        </w:tc>
      </w:tr>
      <w:tr w:rsidR="006F5F9F" w:rsidRPr="00DD49B6" w:rsidTr="007A7182">
        <w:trPr>
          <w:trHeight w:val="339"/>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6F5F9F" w:rsidP="006C5E77">
            <w:pPr>
              <w:shd w:val="clear" w:color="auto" w:fill="FFFFFF"/>
              <w:spacing w:after="0" w:line="240" w:lineRule="auto"/>
              <w:ind w:left="169"/>
              <w:jc w:val="both"/>
              <w:rPr>
                <w:rFonts w:ascii="Times New Roman" w:hAnsi="Times New Roman"/>
                <w:sz w:val="24"/>
                <w:szCs w:val="24"/>
                <w:lang w:eastAsia="lv-LV"/>
              </w:rPr>
            </w:pPr>
            <w:bookmarkStart w:id="4" w:name="p62"/>
            <w:bookmarkEnd w:id="4"/>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lang w:eastAsia="lv-LV"/>
              </w:rPr>
              <w:t>Lauksaimn</w:t>
            </w:r>
            <w:r w:rsidR="006C5E77">
              <w:rPr>
                <w:rFonts w:ascii="Times New Roman" w:hAnsi="Times New Roman"/>
                <w:sz w:val="24"/>
                <w:szCs w:val="24"/>
                <w:lang w:eastAsia="lv-LV"/>
              </w:rPr>
              <w:t>ieku</w:t>
            </w:r>
            <w:r w:rsidRPr="00B232A4">
              <w:rPr>
                <w:rFonts w:ascii="Times New Roman" w:hAnsi="Times New Roman"/>
                <w:sz w:val="24"/>
                <w:szCs w:val="24"/>
                <w:lang w:eastAsia="lv-LV"/>
              </w:rPr>
              <w:t xml:space="preserve"> </w:t>
            </w:r>
            <w:r>
              <w:rPr>
                <w:rFonts w:ascii="Times New Roman" w:hAnsi="Times New Roman"/>
                <w:sz w:val="24"/>
                <w:szCs w:val="24"/>
                <w:lang w:eastAsia="lv-LV"/>
              </w:rPr>
              <w:t>O</w:t>
            </w:r>
            <w:r w:rsidRPr="00B232A4">
              <w:rPr>
                <w:rFonts w:ascii="Times New Roman" w:hAnsi="Times New Roman"/>
                <w:sz w:val="24"/>
                <w:szCs w:val="24"/>
                <w:lang w:eastAsia="lv-LV"/>
              </w:rPr>
              <w:t>rganizāciju sadarbības pad</w:t>
            </w:r>
            <w:r>
              <w:rPr>
                <w:rFonts w:ascii="Times New Roman" w:hAnsi="Times New Roman"/>
                <w:sz w:val="24"/>
                <w:szCs w:val="24"/>
                <w:lang w:eastAsia="lv-LV"/>
              </w:rPr>
              <w:t xml:space="preserve">ome, </w:t>
            </w:r>
            <w:r w:rsidR="002756BB" w:rsidRPr="002756BB">
              <w:rPr>
                <w:rFonts w:ascii="Times New Roman" w:hAnsi="Times New Roman"/>
                <w:sz w:val="24"/>
                <w:szCs w:val="24"/>
                <w:lang w:eastAsia="lv-LV"/>
              </w:rPr>
              <w:t>Latvijas Lauksaimniecības kooperatīvu asociācija</w:t>
            </w:r>
            <w:r w:rsidR="006C5E77">
              <w:rPr>
                <w:rFonts w:ascii="Times New Roman" w:hAnsi="Times New Roman"/>
                <w:sz w:val="24"/>
                <w:szCs w:val="24"/>
                <w:lang w:eastAsia="lv-LV"/>
              </w:rPr>
              <w:t xml:space="preserve"> un</w:t>
            </w:r>
            <w:r w:rsidR="002756BB">
              <w:rPr>
                <w:rFonts w:ascii="Times New Roman" w:hAnsi="Times New Roman"/>
                <w:sz w:val="24"/>
                <w:szCs w:val="24"/>
                <w:lang w:eastAsia="lv-LV"/>
              </w:rPr>
              <w:t xml:space="preserve"> </w:t>
            </w:r>
            <w:r>
              <w:rPr>
                <w:rFonts w:ascii="Times New Roman" w:hAnsi="Times New Roman"/>
                <w:sz w:val="24"/>
                <w:szCs w:val="24"/>
                <w:lang w:eastAsia="lv-LV"/>
              </w:rPr>
              <w:t>biedrība „Zemnieku saeima”</w:t>
            </w:r>
            <w:r w:rsidRPr="00B232A4">
              <w:rPr>
                <w:rFonts w:ascii="Times New Roman" w:hAnsi="Times New Roman"/>
                <w:sz w:val="24"/>
                <w:szCs w:val="24"/>
                <w:lang w:eastAsia="lv-LV"/>
              </w:rPr>
              <w:t>.</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6F5F9F" w:rsidP="006C5E77">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lang w:eastAsia="lv-LV"/>
              </w:rPr>
              <w:t xml:space="preserve">Noteikumu projekts </w:t>
            </w:r>
            <w:r w:rsidR="00965F14">
              <w:rPr>
                <w:rFonts w:ascii="Times New Roman" w:hAnsi="Times New Roman"/>
                <w:sz w:val="24"/>
                <w:szCs w:val="24"/>
                <w:lang w:eastAsia="lv-LV"/>
              </w:rPr>
              <w:t>ir</w:t>
            </w:r>
            <w:r w:rsidR="00D84D32">
              <w:rPr>
                <w:rFonts w:ascii="Times New Roman" w:hAnsi="Times New Roman"/>
                <w:sz w:val="24"/>
                <w:szCs w:val="24"/>
                <w:lang w:eastAsia="lv-LV"/>
              </w:rPr>
              <w:t xml:space="preserve"> </w:t>
            </w:r>
            <w:r>
              <w:rPr>
                <w:rFonts w:ascii="Times New Roman" w:hAnsi="Times New Roman"/>
                <w:sz w:val="24"/>
                <w:szCs w:val="24"/>
                <w:lang w:eastAsia="lv-LV"/>
              </w:rPr>
              <w:t xml:space="preserve">saskaņots ar </w:t>
            </w:r>
            <w:r w:rsidR="002756BB" w:rsidRPr="00B232A4">
              <w:rPr>
                <w:rFonts w:ascii="Times New Roman" w:hAnsi="Times New Roman"/>
                <w:sz w:val="24"/>
                <w:szCs w:val="24"/>
                <w:lang w:eastAsia="lv-LV"/>
              </w:rPr>
              <w:t>Lauksaimnie</w:t>
            </w:r>
            <w:r w:rsidR="006C5E77">
              <w:rPr>
                <w:rFonts w:ascii="Times New Roman" w:hAnsi="Times New Roman"/>
                <w:sz w:val="24"/>
                <w:szCs w:val="24"/>
                <w:lang w:eastAsia="lv-LV"/>
              </w:rPr>
              <w:t>ku</w:t>
            </w:r>
            <w:r w:rsidR="002756BB" w:rsidRPr="00B232A4">
              <w:rPr>
                <w:rFonts w:ascii="Times New Roman" w:hAnsi="Times New Roman"/>
                <w:sz w:val="24"/>
                <w:szCs w:val="24"/>
                <w:lang w:eastAsia="lv-LV"/>
              </w:rPr>
              <w:t xml:space="preserve"> </w:t>
            </w:r>
            <w:r w:rsidR="002756BB">
              <w:rPr>
                <w:rFonts w:ascii="Times New Roman" w:hAnsi="Times New Roman"/>
                <w:sz w:val="24"/>
                <w:szCs w:val="24"/>
                <w:lang w:eastAsia="lv-LV"/>
              </w:rPr>
              <w:t>O</w:t>
            </w:r>
            <w:r w:rsidR="002756BB" w:rsidRPr="00B232A4">
              <w:rPr>
                <w:rFonts w:ascii="Times New Roman" w:hAnsi="Times New Roman"/>
                <w:sz w:val="24"/>
                <w:szCs w:val="24"/>
                <w:lang w:eastAsia="lv-LV"/>
              </w:rPr>
              <w:t>rganizāciju sadarbības pad</w:t>
            </w:r>
            <w:r w:rsidR="002756BB">
              <w:rPr>
                <w:rFonts w:ascii="Times New Roman" w:hAnsi="Times New Roman"/>
                <w:sz w:val="24"/>
                <w:szCs w:val="24"/>
                <w:lang w:eastAsia="lv-LV"/>
              </w:rPr>
              <w:t xml:space="preserve">omi, </w:t>
            </w:r>
            <w:r w:rsidR="002756BB" w:rsidRPr="002756BB">
              <w:rPr>
                <w:rFonts w:ascii="Times New Roman" w:hAnsi="Times New Roman"/>
                <w:sz w:val="24"/>
                <w:szCs w:val="24"/>
                <w:lang w:eastAsia="lv-LV"/>
              </w:rPr>
              <w:t>Latvijas Lauksaimniecības kooperatīvu asociācij</w:t>
            </w:r>
            <w:r w:rsidR="002756BB">
              <w:rPr>
                <w:rFonts w:ascii="Times New Roman" w:hAnsi="Times New Roman"/>
                <w:sz w:val="24"/>
                <w:szCs w:val="24"/>
                <w:lang w:eastAsia="lv-LV"/>
              </w:rPr>
              <w:t>u, biedrību „Zemnieku saeima” un Latvijas pārtikas uzņēmumu federāciju</w:t>
            </w:r>
            <w:r w:rsidR="002756BB" w:rsidRPr="00B232A4">
              <w:rPr>
                <w:rFonts w:ascii="Times New Roman" w:hAnsi="Times New Roman"/>
                <w:sz w:val="24"/>
                <w:szCs w:val="24"/>
                <w:lang w:eastAsia="lv-LV"/>
              </w:rPr>
              <w:t>.</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384017" w:rsidRDefault="00384017" w:rsidP="00384017">
      <w:pPr>
        <w:pStyle w:val="Paraststmeklis"/>
        <w:spacing w:before="0" w:beforeAutospacing="0" w:after="0" w:afterAutospacing="0"/>
        <w:rPr>
          <w:i/>
        </w:rPr>
      </w:pPr>
      <w:r>
        <w:rPr>
          <w:i/>
        </w:rPr>
        <w:t>Anotācijas IV sadaļa – projekts šo jomu neskar.</w:t>
      </w:r>
    </w:p>
    <w:p w:rsidR="00B45C8D" w:rsidRDefault="00B45C8D" w:rsidP="000E1C40">
      <w:pPr>
        <w:spacing w:after="0" w:line="240" w:lineRule="auto"/>
        <w:rPr>
          <w:rFonts w:ascii="Times New Roman" w:hAnsi="Times New Roman"/>
          <w:i/>
          <w:iCs/>
          <w:sz w:val="24"/>
          <w:szCs w:val="28"/>
          <w:lang w:eastAsia="lv-LV"/>
        </w:rPr>
      </w:pPr>
    </w:p>
    <w:p w:rsidR="004A07AB" w:rsidRPr="000E1C40" w:rsidRDefault="004A07AB" w:rsidP="000E1C40">
      <w:pPr>
        <w:spacing w:after="0" w:line="240" w:lineRule="auto"/>
        <w:rPr>
          <w:rFonts w:ascii="Times New Roman" w:hAnsi="Times New Roman"/>
          <w:i/>
          <w:sz w:val="24"/>
          <w:szCs w:val="28"/>
        </w:rPr>
      </w:pPr>
    </w:p>
    <w:p w:rsidR="007D3B2C" w:rsidRPr="00221248" w:rsidRDefault="00221248" w:rsidP="00221248">
      <w:pPr>
        <w:spacing w:after="0" w:line="240" w:lineRule="auto"/>
        <w:rPr>
          <w:rFonts w:ascii="Times New Roman" w:hAnsi="Times New Roman"/>
          <w:sz w:val="20"/>
          <w:szCs w:val="20"/>
        </w:rPr>
      </w:pPr>
      <w:r w:rsidRPr="00221248">
        <w:rPr>
          <w:rFonts w:ascii="Times New Roman" w:hAnsi="Times New Roman"/>
          <w:sz w:val="24"/>
          <w:szCs w:val="24"/>
        </w:rPr>
        <w:t>Zemkopības ministr</w:t>
      </w:r>
      <w:r w:rsidR="006E2484">
        <w:rPr>
          <w:rFonts w:ascii="Times New Roman" w:hAnsi="Times New Roman"/>
          <w:sz w:val="24"/>
          <w:szCs w:val="24"/>
        </w:rPr>
        <w:t>s</w:t>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0020145C">
        <w:rPr>
          <w:rFonts w:ascii="Times New Roman" w:hAnsi="Times New Roman"/>
          <w:sz w:val="24"/>
          <w:szCs w:val="24"/>
        </w:rPr>
        <w:tab/>
      </w:r>
      <w:r w:rsidR="006E2484">
        <w:rPr>
          <w:rFonts w:ascii="Times New Roman" w:hAnsi="Times New Roman"/>
          <w:sz w:val="24"/>
          <w:szCs w:val="24"/>
        </w:rPr>
        <w:t>J.Dūklavs</w:t>
      </w:r>
    </w:p>
    <w:p w:rsidR="004A07AB" w:rsidRDefault="004A07AB" w:rsidP="000D6F10">
      <w:pPr>
        <w:spacing w:after="0"/>
        <w:rPr>
          <w:rFonts w:ascii="Times New Roman" w:hAnsi="Times New Roman"/>
          <w:sz w:val="20"/>
          <w:szCs w:val="20"/>
        </w:rPr>
      </w:pPr>
    </w:p>
    <w:p w:rsidR="00384017" w:rsidRDefault="00384017" w:rsidP="000D6F10">
      <w:pPr>
        <w:spacing w:after="0"/>
        <w:rPr>
          <w:rFonts w:ascii="Times New Roman" w:hAnsi="Times New Roman"/>
          <w:sz w:val="20"/>
          <w:szCs w:val="20"/>
        </w:rPr>
      </w:pPr>
    </w:p>
    <w:p w:rsidR="00384017" w:rsidRDefault="00384017" w:rsidP="000D6F10">
      <w:pPr>
        <w:spacing w:after="0"/>
        <w:rPr>
          <w:rFonts w:ascii="Times New Roman" w:hAnsi="Times New Roman"/>
          <w:sz w:val="20"/>
          <w:szCs w:val="20"/>
        </w:rPr>
      </w:pPr>
    </w:p>
    <w:p w:rsidR="00384017" w:rsidRPr="00B32DF9" w:rsidRDefault="00384017" w:rsidP="000D6F10">
      <w:pPr>
        <w:spacing w:after="0"/>
        <w:rPr>
          <w:rFonts w:ascii="Times New Roman" w:hAnsi="Times New Roman"/>
          <w:sz w:val="20"/>
          <w:szCs w:val="20"/>
        </w:rPr>
      </w:pPr>
      <w:bookmarkStart w:id="9" w:name="_GoBack"/>
      <w:bookmarkEnd w:id="9"/>
    </w:p>
    <w:p w:rsidR="0020145C" w:rsidRDefault="0020145C" w:rsidP="000D6F10">
      <w:pPr>
        <w:spacing w:after="0"/>
        <w:rPr>
          <w:rFonts w:ascii="Times New Roman" w:hAnsi="Times New Roman"/>
          <w:sz w:val="20"/>
          <w:szCs w:val="20"/>
        </w:rPr>
      </w:pPr>
      <w:r>
        <w:rPr>
          <w:rFonts w:ascii="Times New Roman" w:hAnsi="Times New Roman"/>
          <w:sz w:val="20"/>
          <w:szCs w:val="20"/>
        </w:rPr>
        <w:t>10.03.2016. 9:56</w:t>
      </w:r>
    </w:p>
    <w:p w:rsidR="0020145C" w:rsidRPr="0020145C" w:rsidRDefault="0020145C" w:rsidP="00B74435">
      <w:pPr>
        <w:spacing w:after="0"/>
        <w:rPr>
          <w:rFonts w:ascii="Times New Roman" w:hAnsi="Times New Roman"/>
          <w:sz w:val="20"/>
          <w:szCs w:val="20"/>
        </w:rPr>
      </w:pPr>
      <w:r w:rsidRPr="0020145C">
        <w:rPr>
          <w:rFonts w:ascii="Times New Roman" w:hAnsi="Times New Roman"/>
          <w:sz w:val="20"/>
          <w:szCs w:val="20"/>
        </w:rPr>
        <w:fldChar w:fldCharType="begin"/>
      </w:r>
      <w:r w:rsidRPr="0020145C">
        <w:rPr>
          <w:rFonts w:ascii="Times New Roman" w:hAnsi="Times New Roman"/>
          <w:sz w:val="20"/>
          <w:szCs w:val="20"/>
        </w:rPr>
        <w:instrText xml:space="preserve"> NUMWORDS   \* MERGEFORMAT </w:instrText>
      </w:r>
      <w:r w:rsidRPr="0020145C">
        <w:rPr>
          <w:rFonts w:ascii="Times New Roman" w:hAnsi="Times New Roman"/>
          <w:sz w:val="20"/>
          <w:szCs w:val="20"/>
        </w:rPr>
        <w:fldChar w:fldCharType="separate"/>
      </w:r>
      <w:r w:rsidRPr="0020145C">
        <w:rPr>
          <w:rFonts w:ascii="Times New Roman" w:hAnsi="Times New Roman"/>
          <w:noProof/>
          <w:sz w:val="20"/>
          <w:szCs w:val="20"/>
        </w:rPr>
        <w:t>3791</w:t>
      </w:r>
      <w:r w:rsidRPr="0020145C">
        <w:rPr>
          <w:rFonts w:ascii="Times New Roman" w:hAnsi="Times New Roman"/>
          <w:sz w:val="20"/>
          <w:szCs w:val="20"/>
        </w:rPr>
        <w:fldChar w:fldCharType="end"/>
      </w:r>
    </w:p>
    <w:p w:rsidR="003955CF" w:rsidRDefault="003955CF" w:rsidP="00B74435">
      <w:pPr>
        <w:spacing w:after="0"/>
        <w:rPr>
          <w:rFonts w:ascii="Times New Roman" w:hAnsi="Times New Roman"/>
          <w:sz w:val="20"/>
          <w:szCs w:val="20"/>
        </w:rPr>
      </w:pPr>
      <w:r>
        <w:rPr>
          <w:rFonts w:ascii="Times New Roman" w:hAnsi="Times New Roman"/>
          <w:sz w:val="20"/>
          <w:szCs w:val="20"/>
        </w:rPr>
        <w:t>R.Zapereckis</w:t>
      </w:r>
      <w:r w:rsidR="00B74435" w:rsidRPr="00B74435">
        <w:rPr>
          <w:rFonts w:ascii="Times New Roman" w:hAnsi="Times New Roman"/>
          <w:sz w:val="20"/>
          <w:szCs w:val="20"/>
        </w:rPr>
        <w:t>,</w:t>
      </w:r>
    </w:p>
    <w:p w:rsidR="00D05448" w:rsidRPr="00B74435" w:rsidRDefault="00B74435" w:rsidP="00B74435">
      <w:pPr>
        <w:spacing w:after="0"/>
        <w:rPr>
          <w:rFonts w:ascii="Times New Roman" w:hAnsi="Times New Roman"/>
          <w:sz w:val="20"/>
          <w:szCs w:val="20"/>
        </w:rPr>
      </w:pPr>
      <w:r w:rsidRPr="00B74435">
        <w:rPr>
          <w:rFonts w:ascii="Times New Roman" w:hAnsi="Times New Roman"/>
          <w:sz w:val="20"/>
          <w:szCs w:val="20"/>
        </w:rPr>
        <w:t xml:space="preserve"> </w:t>
      </w:r>
      <w:r w:rsidR="003955CF" w:rsidRPr="00B74435">
        <w:rPr>
          <w:rFonts w:ascii="Times New Roman" w:hAnsi="Times New Roman"/>
          <w:sz w:val="20"/>
          <w:szCs w:val="20"/>
        </w:rPr>
        <w:t>67027</w:t>
      </w:r>
      <w:r w:rsidR="003955CF">
        <w:rPr>
          <w:rFonts w:ascii="Times New Roman" w:hAnsi="Times New Roman"/>
          <w:sz w:val="20"/>
          <w:szCs w:val="20"/>
        </w:rPr>
        <w:t>301</w:t>
      </w:r>
      <w:r w:rsidR="007108AD" w:rsidRPr="00B74435">
        <w:rPr>
          <w:rFonts w:ascii="Times New Roman" w:hAnsi="Times New Roman"/>
          <w:sz w:val="20"/>
          <w:szCs w:val="20"/>
        </w:rPr>
        <w:t xml:space="preserve">, </w:t>
      </w:r>
      <w:r w:rsidR="003955CF">
        <w:rPr>
          <w:rFonts w:ascii="Times New Roman" w:hAnsi="Times New Roman"/>
          <w:sz w:val="20"/>
          <w:szCs w:val="20"/>
        </w:rPr>
        <w:t>Ritvars.Zapereckis</w:t>
      </w:r>
      <w:r w:rsidR="00D05448" w:rsidRPr="00B74435">
        <w:rPr>
          <w:rFonts w:ascii="Times New Roman" w:hAnsi="Times New Roman"/>
          <w:sz w:val="20"/>
          <w:szCs w:val="20"/>
        </w:rPr>
        <w:t>@zm.gov.lv</w:t>
      </w:r>
    </w:p>
    <w:sectPr w:rsidR="00D05448" w:rsidRPr="00B74435" w:rsidSect="0020145C">
      <w:headerReference w:type="default" r:id="rId29"/>
      <w:footerReference w:type="default" r:id="rId30"/>
      <w:footerReference w:type="first" r:id="rId3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A0" w:rsidRDefault="00112FA0" w:rsidP="000D6F10">
      <w:pPr>
        <w:spacing w:after="0" w:line="240" w:lineRule="auto"/>
      </w:pPr>
      <w:r>
        <w:separator/>
      </w:r>
    </w:p>
  </w:endnote>
  <w:endnote w:type="continuationSeparator" w:id="0">
    <w:p w:rsidR="00112FA0" w:rsidRDefault="00112FA0"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B" w:rsidRPr="006C5E77" w:rsidRDefault="003177DB" w:rsidP="006C5E77">
    <w:pPr>
      <w:pStyle w:val="naiskr"/>
      <w:spacing w:before="0" w:after="0"/>
      <w:jc w:val="both"/>
      <w:rPr>
        <w:sz w:val="20"/>
        <w:szCs w:val="20"/>
      </w:rPr>
    </w:pPr>
    <w:r w:rsidRPr="00F973E8">
      <w:rPr>
        <w:sz w:val="20"/>
        <w:szCs w:val="20"/>
      </w:rPr>
      <w:t>ZM</w:t>
    </w:r>
    <w:r>
      <w:rPr>
        <w:sz w:val="20"/>
        <w:szCs w:val="20"/>
      </w:rPr>
      <w:t>Anot_</w:t>
    </w:r>
    <w:r w:rsidR="00384017">
      <w:rPr>
        <w:sz w:val="20"/>
        <w:szCs w:val="20"/>
      </w:rPr>
      <w:t>0</w:t>
    </w:r>
    <w:r w:rsidR="002235F3">
      <w:rPr>
        <w:sz w:val="20"/>
        <w:szCs w:val="20"/>
      </w:rPr>
      <w:t>9</w:t>
    </w:r>
    <w:r w:rsidR="00384017">
      <w:rPr>
        <w:sz w:val="20"/>
        <w:szCs w:val="20"/>
      </w:rPr>
      <w:t>0316</w:t>
    </w:r>
    <w:r w:rsidRPr="00F973E8">
      <w:rPr>
        <w:sz w:val="20"/>
        <w:szCs w:val="20"/>
      </w:rPr>
      <w:t xml:space="preserve">; </w:t>
    </w:r>
    <w:r w:rsidRPr="008C5E6A">
      <w:rPr>
        <w:sz w:val="20"/>
        <w:szCs w:val="20"/>
      </w:rPr>
      <w:t>Grozījumi Ministru kabineta 201</w:t>
    </w:r>
    <w:r>
      <w:rPr>
        <w:sz w:val="20"/>
        <w:szCs w:val="20"/>
      </w:rPr>
      <w:t>5</w:t>
    </w:r>
    <w:r w:rsidRPr="008C5E6A">
      <w:rPr>
        <w:sz w:val="20"/>
        <w:szCs w:val="20"/>
      </w:rPr>
      <w:t xml:space="preserve">.gada </w:t>
    </w:r>
    <w:r>
      <w:rPr>
        <w:sz w:val="20"/>
        <w:szCs w:val="20"/>
      </w:rPr>
      <w:t>3.februāra</w:t>
    </w:r>
    <w:r w:rsidRPr="008C5E6A">
      <w:rPr>
        <w:sz w:val="20"/>
        <w:szCs w:val="20"/>
      </w:rPr>
      <w:t xml:space="preserve"> noteikumos Nr.</w:t>
    </w:r>
    <w:r>
      <w:rPr>
        <w:sz w:val="20"/>
        <w:szCs w:val="20"/>
      </w:rPr>
      <w:t>59</w:t>
    </w:r>
    <w:r w:rsidRPr="008C5E6A">
      <w:rPr>
        <w:sz w:val="20"/>
        <w:szCs w:val="20"/>
      </w:rPr>
      <w:t xml:space="preserve"> „</w:t>
    </w:r>
    <w:r w:rsidRPr="008B284C">
      <w:rPr>
        <w:sz w:val="20"/>
        <w:szCs w:val="20"/>
      </w:rPr>
      <w:t>Valsts un Eiropas Savienības atbalsta piešķiršanas kārtība investīciju veicināšanai lauksaimniecībā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B" w:rsidRPr="006C5E77" w:rsidRDefault="003177DB" w:rsidP="006C5E77">
    <w:pPr>
      <w:pStyle w:val="naiskr"/>
      <w:spacing w:before="0" w:after="0"/>
      <w:jc w:val="both"/>
      <w:rPr>
        <w:sz w:val="20"/>
        <w:szCs w:val="20"/>
      </w:rPr>
    </w:pPr>
    <w:r w:rsidRPr="00F973E8">
      <w:rPr>
        <w:sz w:val="20"/>
        <w:szCs w:val="20"/>
      </w:rPr>
      <w:t>ZM</w:t>
    </w:r>
    <w:r>
      <w:rPr>
        <w:sz w:val="20"/>
        <w:szCs w:val="20"/>
      </w:rPr>
      <w:t>Anot_</w:t>
    </w:r>
    <w:r w:rsidR="00384017">
      <w:rPr>
        <w:sz w:val="20"/>
        <w:szCs w:val="20"/>
      </w:rPr>
      <w:t>0</w:t>
    </w:r>
    <w:r w:rsidR="002235F3">
      <w:rPr>
        <w:sz w:val="20"/>
        <w:szCs w:val="20"/>
      </w:rPr>
      <w:t>9</w:t>
    </w:r>
    <w:r w:rsidR="00384017">
      <w:rPr>
        <w:sz w:val="20"/>
        <w:szCs w:val="20"/>
      </w:rPr>
      <w:t>0316</w:t>
    </w:r>
    <w:r w:rsidRPr="00F973E8">
      <w:rPr>
        <w:sz w:val="20"/>
        <w:szCs w:val="20"/>
      </w:rPr>
      <w:t xml:space="preserve">; </w:t>
    </w:r>
    <w:r w:rsidRPr="008C5E6A">
      <w:rPr>
        <w:sz w:val="20"/>
        <w:szCs w:val="20"/>
      </w:rPr>
      <w:t>Grozījumi Ministru kabineta 201</w:t>
    </w:r>
    <w:r>
      <w:rPr>
        <w:sz w:val="20"/>
        <w:szCs w:val="20"/>
      </w:rPr>
      <w:t>5</w:t>
    </w:r>
    <w:r w:rsidRPr="008C5E6A">
      <w:rPr>
        <w:sz w:val="20"/>
        <w:szCs w:val="20"/>
      </w:rPr>
      <w:t xml:space="preserve">.gada </w:t>
    </w:r>
    <w:r>
      <w:rPr>
        <w:sz w:val="20"/>
        <w:szCs w:val="20"/>
      </w:rPr>
      <w:t>3.februāra</w:t>
    </w:r>
    <w:r w:rsidRPr="008C5E6A">
      <w:rPr>
        <w:sz w:val="20"/>
        <w:szCs w:val="20"/>
      </w:rPr>
      <w:t xml:space="preserve"> noteikumos Nr.</w:t>
    </w:r>
    <w:r>
      <w:rPr>
        <w:sz w:val="20"/>
        <w:szCs w:val="20"/>
      </w:rPr>
      <w:t>59</w:t>
    </w:r>
    <w:r w:rsidRPr="008C5E6A">
      <w:rPr>
        <w:sz w:val="20"/>
        <w:szCs w:val="20"/>
      </w:rPr>
      <w:t xml:space="preserve"> „</w:t>
    </w:r>
    <w:r w:rsidRPr="008B284C">
      <w:rPr>
        <w:sz w:val="20"/>
        <w:szCs w:val="20"/>
      </w:rPr>
      <w:t>Valsts un Eiropas Savienības atbalsta piešķiršanas kārtība investīciju veicināšanai lauksaimniecībā</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A0" w:rsidRDefault="00112FA0" w:rsidP="000D6F10">
      <w:pPr>
        <w:spacing w:after="0" w:line="240" w:lineRule="auto"/>
      </w:pPr>
      <w:r>
        <w:separator/>
      </w:r>
    </w:p>
  </w:footnote>
  <w:footnote w:type="continuationSeparator" w:id="0">
    <w:p w:rsidR="00112FA0" w:rsidRDefault="00112FA0"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B" w:rsidRDefault="003177DB" w:rsidP="00EC59B6">
    <w:pPr>
      <w:pStyle w:val="Galvene"/>
      <w:jc w:val="center"/>
    </w:pPr>
    <w:r>
      <w:fldChar w:fldCharType="begin"/>
    </w:r>
    <w:r>
      <w:instrText xml:space="preserve"> PAGE   \* MERGEFORMAT </w:instrText>
    </w:r>
    <w:r>
      <w:fldChar w:fldCharType="separate"/>
    </w:r>
    <w:r w:rsidR="0020145C">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15:restartNumberingAfterBreak="0">
    <w:nsid w:val="4CAC29EB"/>
    <w:multiLevelType w:val="hybridMultilevel"/>
    <w:tmpl w:val="EC40E3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60486AA8"/>
    <w:multiLevelType w:val="hybridMultilevel"/>
    <w:tmpl w:val="AA8EA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7"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330C"/>
    <w:rsid w:val="00016696"/>
    <w:rsid w:val="00017282"/>
    <w:rsid w:val="0002194E"/>
    <w:rsid w:val="000231BB"/>
    <w:rsid w:val="00024F53"/>
    <w:rsid w:val="00030E56"/>
    <w:rsid w:val="0003397F"/>
    <w:rsid w:val="00053B16"/>
    <w:rsid w:val="00054DB4"/>
    <w:rsid w:val="00060F03"/>
    <w:rsid w:val="000748C0"/>
    <w:rsid w:val="00084BF1"/>
    <w:rsid w:val="00087D58"/>
    <w:rsid w:val="00091D8A"/>
    <w:rsid w:val="00091FEA"/>
    <w:rsid w:val="00096C32"/>
    <w:rsid w:val="000A010B"/>
    <w:rsid w:val="000A4C3A"/>
    <w:rsid w:val="000A75B7"/>
    <w:rsid w:val="000B0ACF"/>
    <w:rsid w:val="000B494B"/>
    <w:rsid w:val="000B5326"/>
    <w:rsid w:val="000C3925"/>
    <w:rsid w:val="000C4A47"/>
    <w:rsid w:val="000C54EC"/>
    <w:rsid w:val="000C6429"/>
    <w:rsid w:val="000C6811"/>
    <w:rsid w:val="000D5276"/>
    <w:rsid w:val="000D6F10"/>
    <w:rsid w:val="000E1C40"/>
    <w:rsid w:val="000E2990"/>
    <w:rsid w:val="000E4D7E"/>
    <w:rsid w:val="000F693C"/>
    <w:rsid w:val="000F7418"/>
    <w:rsid w:val="00100582"/>
    <w:rsid w:val="00102227"/>
    <w:rsid w:val="0010413A"/>
    <w:rsid w:val="001069B2"/>
    <w:rsid w:val="00112FA0"/>
    <w:rsid w:val="00114F71"/>
    <w:rsid w:val="00116002"/>
    <w:rsid w:val="0011732C"/>
    <w:rsid w:val="001205FA"/>
    <w:rsid w:val="0012274B"/>
    <w:rsid w:val="00125E72"/>
    <w:rsid w:val="00127926"/>
    <w:rsid w:val="0013147D"/>
    <w:rsid w:val="00150615"/>
    <w:rsid w:val="00152210"/>
    <w:rsid w:val="0015290B"/>
    <w:rsid w:val="00155970"/>
    <w:rsid w:val="0015792F"/>
    <w:rsid w:val="001659BE"/>
    <w:rsid w:val="00170C47"/>
    <w:rsid w:val="00171074"/>
    <w:rsid w:val="00175072"/>
    <w:rsid w:val="00183ADE"/>
    <w:rsid w:val="001908E6"/>
    <w:rsid w:val="00190EC7"/>
    <w:rsid w:val="0019782C"/>
    <w:rsid w:val="001A11B1"/>
    <w:rsid w:val="001A696C"/>
    <w:rsid w:val="001B0512"/>
    <w:rsid w:val="001B3D4F"/>
    <w:rsid w:val="001C68E5"/>
    <w:rsid w:val="001D4C0F"/>
    <w:rsid w:val="001E528F"/>
    <w:rsid w:val="001E592D"/>
    <w:rsid w:val="001F267B"/>
    <w:rsid w:val="001F4AD2"/>
    <w:rsid w:val="0020145C"/>
    <w:rsid w:val="00203AD0"/>
    <w:rsid w:val="00203E87"/>
    <w:rsid w:val="0020745B"/>
    <w:rsid w:val="002102EB"/>
    <w:rsid w:val="0021269C"/>
    <w:rsid w:val="00212CC3"/>
    <w:rsid w:val="00215577"/>
    <w:rsid w:val="00215832"/>
    <w:rsid w:val="00216D0D"/>
    <w:rsid w:val="002205DC"/>
    <w:rsid w:val="00220A48"/>
    <w:rsid w:val="00221248"/>
    <w:rsid w:val="002217DF"/>
    <w:rsid w:val="002235F3"/>
    <w:rsid w:val="00224CA9"/>
    <w:rsid w:val="00230A96"/>
    <w:rsid w:val="00230D39"/>
    <w:rsid w:val="00235345"/>
    <w:rsid w:val="002445B2"/>
    <w:rsid w:val="00244604"/>
    <w:rsid w:val="00246BB5"/>
    <w:rsid w:val="00251B0C"/>
    <w:rsid w:val="00261C13"/>
    <w:rsid w:val="002629B4"/>
    <w:rsid w:val="00263457"/>
    <w:rsid w:val="00265894"/>
    <w:rsid w:val="002662E1"/>
    <w:rsid w:val="0027196D"/>
    <w:rsid w:val="00272BBB"/>
    <w:rsid w:val="002744F0"/>
    <w:rsid w:val="00274708"/>
    <w:rsid w:val="002756BB"/>
    <w:rsid w:val="002855A3"/>
    <w:rsid w:val="0028773B"/>
    <w:rsid w:val="00293F9C"/>
    <w:rsid w:val="002A23E8"/>
    <w:rsid w:val="002B0002"/>
    <w:rsid w:val="002B0805"/>
    <w:rsid w:val="002B1BC2"/>
    <w:rsid w:val="002B2A8C"/>
    <w:rsid w:val="002B4891"/>
    <w:rsid w:val="002B71A5"/>
    <w:rsid w:val="002C27C8"/>
    <w:rsid w:val="002C3263"/>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5F80"/>
    <w:rsid w:val="00316466"/>
    <w:rsid w:val="003175A7"/>
    <w:rsid w:val="003177DB"/>
    <w:rsid w:val="00323975"/>
    <w:rsid w:val="003312F1"/>
    <w:rsid w:val="00336E76"/>
    <w:rsid w:val="00351238"/>
    <w:rsid w:val="00354B2D"/>
    <w:rsid w:val="003575DD"/>
    <w:rsid w:val="00365CE3"/>
    <w:rsid w:val="00377221"/>
    <w:rsid w:val="003813AA"/>
    <w:rsid w:val="00381CC5"/>
    <w:rsid w:val="00383991"/>
    <w:rsid w:val="00384017"/>
    <w:rsid w:val="00386250"/>
    <w:rsid w:val="0039030C"/>
    <w:rsid w:val="003909C0"/>
    <w:rsid w:val="003955CF"/>
    <w:rsid w:val="00396268"/>
    <w:rsid w:val="003A086F"/>
    <w:rsid w:val="003A1E94"/>
    <w:rsid w:val="003A2EB0"/>
    <w:rsid w:val="003A4BAB"/>
    <w:rsid w:val="003A6E81"/>
    <w:rsid w:val="003A789E"/>
    <w:rsid w:val="003B33B7"/>
    <w:rsid w:val="003B3F4F"/>
    <w:rsid w:val="003B5362"/>
    <w:rsid w:val="003B6079"/>
    <w:rsid w:val="003B74AB"/>
    <w:rsid w:val="003C1175"/>
    <w:rsid w:val="003C3E32"/>
    <w:rsid w:val="003D284A"/>
    <w:rsid w:val="003E0EA4"/>
    <w:rsid w:val="003E4683"/>
    <w:rsid w:val="003E5D82"/>
    <w:rsid w:val="003E5EFA"/>
    <w:rsid w:val="003F0D45"/>
    <w:rsid w:val="003F4FE0"/>
    <w:rsid w:val="0040434F"/>
    <w:rsid w:val="004109D9"/>
    <w:rsid w:val="00413A83"/>
    <w:rsid w:val="0041578D"/>
    <w:rsid w:val="00416CCF"/>
    <w:rsid w:val="00417FBF"/>
    <w:rsid w:val="00420CFD"/>
    <w:rsid w:val="0042318A"/>
    <w:rsid w:val="004264CD"/>
    <w:rsid w:val="00434301"/>
    <w:rsid w:val="00435D3C"/>
    <w:rsid w:val="00437E4A"/>
    <w:rsid w:val="004409AA"/>
    <w:rsid w:val="004549EF"/>
    <w:rsid w:val="00462228"/>
    <w:rsid w:val="00462AAA"/>
    <w:rsid w:val="00467810"/>
    <w:rsid w:val="00476070"/>
    <w:rsid w:val="00476492"/>
    <w:rsid w:val="00477669"/>
    <w:rsid w:val="0048403F"/>
    <w:rsid w:val="0048636A"/>
    <w:rsid w:val="004964FB"/>
    <w:rsid w:val="0049736E"/>
    <w:rsid w:val="004A07AB"/>
    <w:rsid w:val="004A0BDF"/>
    <w:rsid w:val="004A6FE8"/>
    <w:rsid w:val="004B07EA"/>
    <w:rsid w:val="004B708C"/>
    <w:rsid w:val="004D6E18"/>
    <w:rsid w:val="004E17FF"/>
    <w:rsid w:val="004E38B3"/>
    <w:rsid w:val="004F0B5A"/>
    <w:rsid w:val="004F1D37"/>
    <w:rsid w:val="00502978"/>
    <w:rsid w:val="0050577E"/>
    <w:rsid w:val="00515677"/>
    <w:rsid w:val="00522F94"/>
    <w:rsid w:val="00523298"/>
    <w:rsid w:val="005256DA"/>
    <w:rsid w:val="005270E4"/>
    <w:rsid w:val="00530C1C"/>
    <w:rsid w:val="00533B4D"/>
    <w:rsid w:val="0053550A"/>
    <w:rsid w:val="00545652"/>
    <w:rsid w:val="00545FC5"/>
    <w:rsid w:val="00553AAB"/>
    <w:rsid w:val="005554F8"/>
    <w:rsid w:val="005560FA"/>
    <w:rsid w:val="005620FC"/>
    <w:rsid w:val="00565963"/>
    <w:rsid w:val="00567186"/>
    <w:rsid w:val="00567E97"/>
    <w:rsid w:val="00577536"/>
    <w:rsid w:val="00577A21"/>
    <w:rsid w:val="00577A3D"/>
    <w:rsid w:val="00581B0D"/>
    <w:rsid w:val="00582C41"/>
    <w:rsid w:val="0058384B"/>
    <w:rsid w:val="005907EC"/>
    <w:rsid w:val="005B7F8A"/>
    <w:rsid w:val="005C0F14"/>
    <w:rsid w:val="005C4939"/>
    <w:rsid w:val="005C4A1D"/>
    <w:rsid w:val="005C62CD"/>
    <w:rsid w:val="005C6719"/>
    <w:rsid w:val="005D4E74"/>
    <w:rsid w:val="005E5293"/>
    <w:rsid w:val="005E603A"/>
    <w:rsid w:val="005E617B"/>
    <w:rsid w:val="005E6639"/>
    <w:rsid w:val="005E7DA8"/>
    <w:rsid w:val="005F4330"/>
    <w:rsid w:val="00600CD4"/>
    <w:rsid w:val="0060520F"/>
    <w:rsid w:val="0061075B"/>
    <w:rsid w:val="00610E3E"/>
    <w:rsid w:val="0061128F"/>
    <w:rsid w:val="006217C6"/>
    <w:rsid w:val="00622396"/>
    <w:rsid w:val="0063469A"/>
    <w:rsid w:val="00635C74"/>
    <w:rsid w:val="0065787F"/>
    <w:rsid w:val="00670052"/>
    <w:rsid w:val="00673B0D"/>
    <w:rsid w:val="00674B8F"/>
    <w:rsid w:val="006829B0"/>
    <w:rsid w:val="006833CA"/>
    <w:rsid w:val="00687CB4"/>
    <w:rsid w:val="00691224"/>
    <w:rsid w:val="006918D8"/>
    <w:rsid w:val="0069348D"/>
    <w:rsid w:val="006A0964"/>
    <w:rsid w:val="006A180A"/>
    <w:rsid w:val="006A44A2"/>
    <w:rsid w:val="006A53F8"/>
    <w:rsid w:val="006A626F"/>
    <w:rsid w:val="006B172E"/>
    <w:rsid w:val="006B1A69"/>
    <w:rsid w:val="006B4A74"/>
    <w:rsid w:val="006B7036"/>
    <w:rsid w:val="006B79A8"/>
    <w:rsid w:val="006C1BB0"/>
    <w:rsid w:val="006C2C1A"/>
    <w:rsid w:val="006C5DC4"/>
    <w:rsid w:val="006C5E77"/>
    <w:rsid w:val="006D296B"/>
    <w:rsid w:val="006E2484"/>
    <w:rsid w:val="006E3FF4"/>
    <w:rsid w:val="006E4EF1"/>
    <w:rsid w:val="006E63FC"/>
    <w:rsid w:val="006E66AE"/>
    <w:rsid w:val="006F0604"/>
    <w:rsid w:val="006F246B"/>
    <w:rsid w:val="006F40AB"/>
    <w:rsid w:val="006F5F9F"/>
    <w:rsid w:val="00701F6E"/>
    <w:rsid w:val="00702251"/>
    <w:rsid w:val="00704084"/>
    <w:rsid w:val="00705DE5"/>
    <w:rsid w:val="00710224"/>
    <w:rsid w:val="007108AD"/>
    <w:rsid w:val="0071281F"/>
    <w:rsid w:val="00713414"/>
    <w:rsid w:val="0072209B"/>
    <w:rsid w:val="00770721"/>
    <w:rsid w:val="0077427E"/>
    <w:rsid w:val="00776F85"/>
    <w:rsid w:val="0078377A"/>
    <w:rsid w:val="00783EEA"/>
    <w:rsid w:val="007862F4"/>
    <w:rsid w:val="00790C83"/>
    <w:rsid w:val="0079281C"/>
    <w:rsid w:val="00796649"/>
    <w:rsid w:val="007A1054"/>
    <w:rsid w:val="007A42EF"/>
    <w:rsid w:val="007A6170"/>
    <w:rsid w:val="007A7182"/>
    <w:rsid w:val="007B107B"/>
    <w:rsid w:val="007B1980"/>
    <w:rsid w:val="007D3B2C"/>
    <w:rsid w:val="007E15D3"/>
    <w:rsid w:val="007E2AF6"/>
    <w:rsid w:val="007E7967"/>
    <w:rsid w:val="007E797C"/>
    <w:rsid w:val="007F4174"/>
    <w:rsid w:val="0081091E"/>
    <w:rsid w:val="00815F63"/>
    <w:rsid w:val="008258F8"/>
    <w:rsid w:val="00830D8C"/>
    <w:rsid w:val="008347F6"/>
    <w:rsid w:val="00840271"/>
    <w:rsid w:val="00842CB7"/>
    <w:rsid w:val="00844CB2"/>
    <w:rsid w:val="00844D64"/>
    <w:rsid w:val="00844D7F"/>
    <w:rsid w:val="00851920"/>
    <w:rsid w:val="00854149"/>
    <w:rsid w:val="00854192"/>
    <w:rsid w:val="0085704D"/>
    <w:rsid w:val="00864302"/>
    <w:rsid w:val="008648ED"/>
    <w:rsid w:val="008776F6"/>
    <w:rsid w:val="00877F9A"/>
    <w:rsid w:val="00880B88"/>
    <w:rsid w:val="00885424"/>
    <w:rsid w:val="00890C56"/>
    <w:rsid w:val="008A6621"/>
    <w:rsid w:val="008B5311"/>
    <w:rsid w:val="008C0D20"/>
    <w:rsid w:val="008C60DD"/>
    <w:rsid w:val="008C6D14"/>
    <w:rsid w:val="008D1BFB"/>
    <w:rsid w:val="008D37C9"/>
    <w:rsid w:val="008D3F80"/>
    <w:rsid w:val="008E0E43"/>
    <w:rsid w:val="008E38B4"/>
    <w:rsid w:val="008E4705"/>
    <w:rsid w:val="008F1C51"/>
    <w:rsid w:val="008F20DD"/>
    <w:rsid w:val="008F30F8"/>
    <w:rsid w:val="00910906"/>
    <w:rsid w:val="00913C8E"/>
    <w:rsid w:val="00916A7A"/>
    <w:rsid w:val="00925D26"/>
    <w:rsid w:val="00925E8B"/>
    <w:rsid w:val="0093399B"/>
    <w:rsid w:val="009347A1"/>
    <w:rsid w:val="00940A95"/>
    <w:rsid w:val="009446E2"/>
    <w:rsid w:val="00955F47"/>
    <w:rsid w:val="00960EA4"/>
    <w:rsid w:val="0096163B"/>
    <w:rsid w:val="00965F14"/>
    <w:rsid w:val="00980533"/>
    <w:rsid w:val="0098072E"/>
    <w:rsid w:val="00984910"/>
    <w:rsid w:val="00987227"/>
    <w:rsid w:val="0099264F"/>
    <w:rsid w:val="00992F66"/>
    <w:rsid w:val="009957BB"/>
    <w:rsid w:val="00996F3A"/>
    <w:rsid w:val="0099723A"/>
    <w:rsid w:val="009A0765"/>
    <w:rsid w:val="009A19F8"/>
    <w:rsid w:val="009A2CFF"/>
    <w:rsid w:val="009A5CDB"/>
    <w:rsid w:val="009B00EB"/>
    <w:rsid w:val="009B20E0"/>
    <w:rsid w:val="009C0121"/>
    <w:rsid w:val="009C2290"/>
    <w:rsid w:val="009D1A6E"/>
    <w:rsid w:val="009D27D4"/>
    <w:rsid w:val="009D28FE"/>
    <w:rsid w:val="009E00E0"/>
    <w:rsid w:val="009E42DA"/>
    <w:rsid w:val="009E43C2"/>
    <w:rsid w:val="009E487B"/>
    <w:rsid w:val="009E69BC"/>
    <w:rsid w:val="009E6F7D"/>
    <w:rsid w:val="009F46EC"/>
    <w:rsid w:val="009F5C63"/>
    <w:rsid w:val="009F5CA2"/>
    <w:rsid w:val="009F7371"/>
    <w:rsid w:val="00A02A4B"/>
    <w:rsid w:val="00A02EEC"/>
    <w:rsid w:val="00A071DA"/>
    <w:rsid w:val="00A1104D"/>
    <w:rsid w:val="00A13BEA"/>
    <w:rsid w:val="00A26BB4"/>
    <w:rsid w:val="00A30A9B"/>
    <w:rsid w:val="00A50C8A"/>
    <w:rsid w:val="00A57037"/>
    <w:rsid w:val="00A666BF"/>
    <w:rsid w:val="00A6674F"/>
    <w:rsid w:val="00A70317"/>
    <w:rsid w:val="00A76ADD"/>
    <w:rsid w:val="00A92D1D"/>
    <w:rsid w:val="00A94F9B"/>
    <w:rsid w:val="00AA67E0"/>
    <w:rsid w:val="00AB0A0C"/>
    <w:rsid w:val="00AB3085"/>
    <w:rsid w:val="00AB4827"/>
    <w:rsid w:val="00AC23AE"/>
    <w:rsid w:val="00AC30E6"/>
    <w:rsid w:val="00AC4A36"/>
    <w:rsid w:val="00AC4F6D"/>
    <w:rsid w:val="00AD0063"/>
    <w:rsid w:val="00AD221F"/>
    <w:rsid w:val="00AD52EB"/>
    <w:rsid w:val="00AD703E"/>
    <w:rsid w:val="00AE77F1"/>
    <w:rsid w:val="00AE7A22"/>
    <w:rsid w:val="00AF227B"/>
    <w:rsid w:val="00B03BC2"/>
    <w:rsid w:val="00B10DBA"/>
    <w:rsid w:val="00B20DCE"/>
    <w:rsid w:val="00B232A4"/>
    <w:rsid w:val="00B27941"/>
    <w:rsid w:val="00B32B97"/>
    <w:rsid w:val="00B32DF9"/>
    <w:rsid w:val="00B345CF"/>
    <w:rsid w:val="00B4008E"/>
    <w:rsid w:val="00B45415"/>
    <w:rsid w:val="00B45C8D"/>
    <w:rsid w:val="00B46980"/>
    <w:rsid w:val="00B47461"/>
    <w:rsid w:val="00B47897"/>
    <w:rsid w:val="00B5180C"/>
    <w:rsid w:val="00B51F43"/>
    <w:rsid w:val="00B545D4"/>
    <w:rsid w:val="00B60166"/>
    <w:rsid w:val="00B60FC5"/>
    <w:rsid w:val="00B61964"/>
    <w:rsid w:val="00B621D1"/>
    <w:rsid w:val="00B622FE"/>
    <w:rsid w:val="00B65050"/>
    <w:rsid w:val="00B6723D"/>
    <w:rsid w:val="00B74435"/>
    <w:rsid w:val="00B7472E"/>
    <w:rsid w:val="00B7647A"/>
    <w:rsid w:val="00B80AE0"/>
    <w:rsid w:val="00B84687"/>
    <w:rsid w:val="00B84DD2"/>
    <w:rsid w:val="00B8549D"/>
    <w:rsid w:val="00B92C9B"/>
    <w:rsid w:val="00B93385"/>
    <w:rsid w:val="00B93835"/>
    <w:rsid w:val="00B94CE1"/>
    <w:rsid w:val="00B9618A"/>
    <w:rsid w:val="00B97C52"/>
    <w:rsid w:val="00BA37B9"/>
    <w:rsid w:val="00BA7C9D"/>
    <w:rsid w:val="00BC5D15"/>
    <w:rsid w:val="00BC6686"/>
    <w:rsid w:val="00BD3C7E"/>
    <w:rsid w:val="00BD6A06"/>
    <w:rsid w:val="00BE2051"/>
    <w:rsid w:val="00BE4809"/>
    <w:rsid w:val="00BF11B6"/>
    <w:rsid w:val="00BF45E4"/>
    <w:rsid w:val="00BF68B3"/>
    <w:rsid w:val="00BF7B1C"/>
    <w:rsid w:val="00C00E54"/>
    <w:rsid w:val="00C02605"/>
    <w:rsid w:val="00C030DD"/>
    <w:rsid w:val="00C051F7"/>
    <w:rsid w:val="00C10C53"/>
    <w:rsid w:val="00C11985"/>
    <w:rsid w:val="00C1199B"/>
    <w:rsid w:val="00C234C8"/>
    <w:rsid w:val="00C301E7"/>
    <w:rsid w:val="00C4248B"/>
    <w:rsid w:val="00C44C32"/>
    <w:rsid w:val="00C503D3"/>
    <w:rsid w:val="00C533E3"/>
    <w:rsid w:val="00C56EF9"/>
    <w:rsid w:val="00C5717D"/>
    <w:rsid w:val="00C57F42"/>
    <w:rsid w:val="00C6470A"/>
    <w:rsid w:val="00C70F1F"/>
    <w:rsid w:val="00C74FCC"/>
    <w:rsid w:val="00C769AC"/>
    <w:rsid w:val="00C77227"/>
    <w:rsid w:val="00CA19EF"/>
    <w:rsid w:val="00CD38DF"/>
    <w:rsid w:val="00CD676C"/>
    <w:rsid w:val="00CE62CB"/>
    <w:rsid w:val="00CF0EA1"/>
    <w:rsid w:val="00CF2CF8"/>
    <w:rsid w:val="00CF3766"/>
    <w:rsid w:val="00CF5E8F"/>
    <w:rsid w:val="00D007D4"/>
    <w:rsid w:val="00D01A12"/>
    <w:rsid w:val="00D05448"/>
    <w:rsid w:val="00D06870"/>
    <w:rsid w:val="00D15EEE"/>
    <w:rsid w:val="00D15F14"/>
    <w:rsid w:val="00D176C7"/>
    <w:rsid w:val="00D23CFA"/>
    <w:rsid w:val="00D247BA"/>
    <w:rsid w:val="00D2573D"/>
    <w:rsid w:val="00D25E38"/>
    <w:rsid w:val="00D266C5"/>
    <w:rsid w:val="00D30F1D"/>
    <w:rsid w:val="00D31790"/>
    <w:rsid w:val="00D3305D"/>
    <w:rsid w:val="00D3434A"/>
    <w:rsid w:val="00D3758F"/>
    <w:rsid w:val="00D379DE"/>
    <w:rsid w:val="00D4065C"/>
    <w:rsid w:val="00D431AD"/>
    <w:rsid w:val="00D45354"/>
    <w:rsid w:val="00D50B3C"/>
    <w:rsid w:val="00D5133C"/>
    <w:rsid w:val="00D55AAC"/>
    <w:rsid w:val="00D61552"/>
    <w:rsid w:val="00D635C0"/>
    <w:rsid w:val="00D64466"/>
    <w:rsid w:val="00D65D67"/>
    <w:rsid w:val="00D67627"/>
    <w:rsid w:val="00D763BF"/>
    <w:rsid w:val="00D831F4"/>
    <w:rsid w:val="00D83223"/>
    <w:rsid w:val="00D83926"/>
    <w:rsid w:val="00D84D32"/>
    <w:rsid w:val="00D84E47"/>
    <w:rsid w:val="00D8718B"/>
    <w:rsid w:val="00D87687"/>
    <w:rsid w:val="00D94661"/>
    <w:rsid w:val="00D951B0"/>
    <w:rsid w:val="00D97368"/>
    <w:rsid w:val="00DA261C"/>
    <w:rsid w:val="00DA36BA"/>
    <w:rsid w:val="00DA52DC"/>
    <w:rsid w:val="00DB5382"/>
    <w:rsid w:val="00DB550A"/>
    <w:rsid w:val="00DC5223"/>
    <w:rsid w:val="00DD3B0D"/>
    <w:rsid w:val="00DD599D"/>
    <w:rsid w:val="00DD6014"/>
    <w:rsid w:val="00DE04C6"/>
    <w:rsid w:val="00DE2665"/>
    <w:rsid w:val="00DE37D5"/>
    <w:rsid w:val="00DE4BA6"/>
    <w:rsid w:val="00DE5CEF"/>
    <w:rsid w:val="00DE5DFD"/>
    <w:rsid w:val="00E06C8B"/>
    <w:rsid w:val="00E13C62"/>
    <w:rsid w:val="00E14524"/>
    <w:rsid w:val="00E148BA"/>
    <w:rsid w:val="00E159FE"/>
    <w:rsid w:val="00E15D63"/>
    <w:rsid w:val="00E2230B"/>
    <w:rsid w:val="00E23B65"/>
    <w:rsid w:val="00E241CE"/>
    <w:rsid w:val="00E32757"/>
    <w:rsid w:val="00E456E6"/>
    <w:rsid w:val="00E45D40"/>
    <w:rsid w:val="00E45FBD"/>
    <w:rsid w:val="00E509AD"/>
    <w:rsid w:val="00E51774"/>
    <w:rsid w:val="00E5244D"/>
    <w:rsid w:val="00E55705"/>
    <w:rsid w:val="00E559AE"/>
    <w:rsid w:val="00E564BB"/>
    <w:rsid w:val="00E66B53"/>
    <w:rsid w:val="00E67168"/>
    <w:rsid w:val="00E75155"/>
    <w:rsid w:val="00E757D4"/>
    <w:rsid w:val="00E82DC2"/>
    <w:rsid w:val="00E83EEF"/>
    <w:rsid w:val="00E8439D"/>
    <w:rsid w:val="00E878B8"/>
    <w:rsid w:val="00EA0323"/>
    <w:rsid w:val="00EA1AD7"/>
    <w:rsid w:val="00EA20B0"/>
    <w:rsid w:val="00EC03EA"/>
    <w:rsid w:val="00EC3669"/>
    <w:rsid w:val="00EC59B6"/>
    <w:rsid w:val="00ED186E"/>
    <w:rsid w:val="00ED4067"/>
    <w:rsid w:val="00ED4A2B"/>
    <w:rsid w:val="00EF21F0"/>
    <w:rsid w:val="00EF630C"/>
    <w:rsid w:val="00EF6537"/>
    <w:rsid w:val="00EF75E5"/>
    <w:rsid w:val="00F0443A"/>
    <w:rsid w:val="00F0533F"/>
    <w:rsid w:val="00F05789"/>
    <w:rsid w:val="00F0618D"/>
    <w:rsid w:val="00F10C2F"/>
    <w:rsid w:val="00F1261B"/>
    <w:rsid w:val="00F1271A"/>
    <w:rsid w:val="00F21AE1"/>
    <w:rsid w:val="00F235A5"/>
    <w:rsid w:val="00F25EB8"/>
    <w:rsid w:val="00F26C83"/>
    <w:rsid w:val="00F32794"/>
    <w:rsid w:val="00F34878"/>
    <w:rsid w:val="00F34B14"/>
    <w:rsid w:val="00F34FE5"/>
    <w:rsid w:val="00F36FCB"/>
    <w:rsid w:val="00F40865"/>
    <w:rsid w:val="00F50AB1"/>
    <w:rsid w:val="00F62CB4"/>
    <w:rsid w:val="00F64A17"/>
    <w:rsid w:val="00F65B62"/>
    <w:rsid w:val="00F74B70"/>
    <w:rsid w:val="00F74C86"/>
    <w:rsid w:val="00F81338"/>
    <w:rsid w:val="00F821D2"/>
    <w:rsid w:val="00F82333"/>
    <w:rsid w:val="00F878CE"/>
    <w:rsid w:val="00F950B2"/>
    <w:rsid w:val="00F97D65"/>
    <w:rsid w:val="00FA078F"/>
    <w:rsid w:val="00FA0B91"/>
    <w:rsid w:val="00FA54E3"/>
    <w:rsid w:val="00FB12C1"/>
    <w:rsid w:val="00FD6C0B"/>
    <w:rsid w:val="00FE33FF"/>
    <w:rsid w:val="00FE39F2"/>
    <w:rsid w:val="00FE702D"/>
    <w:rsid w:val="00FE72F8"/>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963E0A07-5372-4EDB-A11A-1DCEFCA0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941"/>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uiPriority w:val="99"/>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tv2132">
    <w:name w:val="tv2132"/>
    <w:basedOn w:val="Parasts"/>
    <w:rsid w:val="003A6E81"/>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8242527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6964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7">
          <w:marLeft w:val="0"/>
          <w:marRight w:val="0"/>
          <w:marTop w:val="0"/>
          <w:marBottom w:val="0"/>
          <w:divBdr>
            <w:top w:val="none" w:sz="0" w:space="0" w:color="auto"/>
            <w:left w:val="none" w:sz="0" w:space="0" w:color="auto"/>
            <w:bottom w:val="none" w:sz="0" w:space="0" w:color="auto"/>
            <w:right w:val="none" w:sz="0" w:space="0" w:color="auto"/>
          </w:divBdr>
          <w:divsChild>
            <w:div w:id="571431778">
              <w:marLeft w:val="0"/>
              <w:marRight w:val="0"/>
              <w:marTop w:val="0"/>
              <w:marBottom w:val="0"/>
              <w:divBdr>
                <w:top w:val="none" w:sz="0" w:space="0" w:color="auto"/>
                <w:left w:val="none" w:sz="0" w:space="0" w:color="auto"/>
                <w:bottom w:val="none" w:sz="0" w:space="0" w:color="auto"/>
                <w:right w:val="none" w:sz="0" w:space="0" w:color="auto"/>
              </w:divBdr>
              <w:divsChild>
                <w:div w:id="997533953">
                  <w:marLeft w:val="0"/>
                  <w:marRight w:val="0"/>
                  <w:marTop w:val="0"/>
                  <w:marBottom w:val="0"/>
                  <w:divBdr>
                    <w:top w:val="none" w:sz="0" w:space="0" w:color="auto"/>
                    <w:left w:val="none" w:sz="0" w:space="0" w:color="auto"/>
                    <w:bottom w:val="none" w:sz="0" w:space="0" w:color="auto"/>
                    <w:right w:val="none" w:sz="0" w:space="0" w:color="auto"/>
                  </w:divBdr>
                  <w:divsChild>
                    <w:div w:id="1262252655">
                      <w:marLeft w:val="0"/>
                      <w:marRight w:val="0"/>
                      <w:marTop w:val="0"/>
                      <w:marBottom w:val="0"/>
                      <w:divBdr>
                        <w:top w:val="none" w:sz="0" w:space="0" w:color="auto"/>
                        <w:left w:val="none" w:sz="0" w:space="0" w:color="auto"/>
                        <w:bottom w:val="none" w:sz="0" w:space="0" w:color="auto"/>
                        <w:right w:val="none" w:sz="0" w:space="0" w:color="auto"/>
                      </w:divBdr>
                      <w:divsChild>
                        <w:div w:id="1142507339">
                          <w:marLeft w:val="0"/>
                          <w:marRight w:val="0"/>
                          <w:marTop w:val="0"/>
                          <w:marBottom w:val="0"/>
                          <w:divBdr>
                            <w:top w:val="none" w:sz="0" w:space="0" w:color="auto"/>
                            <w:left w:val="none" w:sz="0" w:space="0" w:color="auto"/>
                            <w:bottom w:val="none" w:sz="0" w:space="0" w:color="auto"/>
                            <w:right w:val="none" w:sz="0" w:space="0" w:color="auto"/>
                          </w:divBdr>
                          <w:divsChild>
                            <w:div w:id="2054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yperlink" Target="http://eur-lex.europa.eu/eli/reg/2014/717?locale=LV" TargetMode="External"/><Relationship Id="rId18" Type="http://schemas.openxmlformats.org/officeDocument/2006/relationships/hyperlink" Target="http://eur-lex.europa.eu/LexUriServ/LexUriServ.do?uri=OJ:L:2006:379:0005:01:LV:HTML" TargetMode="External"/><Relationship Id="rId26" Type="http://schemas.openxmlformats.org/officeDocument/2006/relationships/hyperlink" Target="http://eur-lex.europa.eu/LexUriServ/LexUriServ.do?uri=OJ:L:2006:379:0005:01:LV:HTML" TargetMode="External"/><Relationship Id="rId3" Type="http://schemas.openxmlformats.org/officeDocument/2006/relationships/styles" Target="styles.xml"/><Relationship Id="rId21" Type="http://schemas.openxmlformats.org/officeDocument/2006/relationships/hyperlink" Target="http://eur-lex.europa.eu/LexUriServ/LexUriServ.do?uri=OJ:L:2006:379:0005:01:LV:HTML" TargetMode="External"/><Relationship Id="rId7" Type="http://schemas.openxmlformats.org/officeDocument/2006/relationships/endnotes" Target="endnotes.xml"/><Relationship Id="rId12" Type="http://schemas.openxmlformats.org/officeDocument/2006/relationships/hyperlink" Target="http://eur-lex.europa.eu/eli/reg/2014/717?locale=LV" TargetMode="External"/><Relationship Id="rId17" Type="http://schemas.openxmlformats.org/officeDocument/2006/relationships/hyperlink" Target="http://eur-lex.europa.eu/LexUriServ/LexUriServ.do?uri=OJ:L:2006:379:0005:01:LV:HTML" TargetMode="External"/><Relationship Id="rId25" Type="http://schemas.openxmlformats.org/officeDocument/2006/relationships/hyperlink" Target="http://eur-lex.europa.eu/LexUriServ/LexUriServ.do?uri=OJ:L:2006:379:0005:01:LV: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LexUriServ/LexUriServ.do?uri=OJ:L:2006:379:0005:01:LV: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24" Type="http://schemas.openxmlformats.org/officeDocument/2006/relationships/hyperlink" Target="http://eur-lex.europa.eu/LexUriServ/LexUriServ.do?uri=OJ:L:2006:379:0005:01:LV: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23" Type="http://schemas.openxmlformats.org/officeDocument/2006/relationships/hyperlink" Target="http://eur-lex.europa.eu/LexUriServ/LexUriServ.do?uri=OJ:L:2006:379:0005:01:LV:HTML" TargetMode="External"/><Relationship Id="rId28" Type="http://schemas.openxmlformats.org/officeDocument/2006/relationships/hyperlink" Target="http://eur-lex.europa.eu/eli/reg/2014/717?locale=LV" TargetMode="External"/><Relationship Id="rId10" Type="http://schemas.openxmlformats.org/officeDocument/2006/relationships/hyperlink" Target="http://eur-lex.europa.eu/LexUriServ/LexUriServ.do?uri=OJ:L:2006:379:0005:01:LV:HTML" TargetMode="External"/><Relationship Id="rId19" Type="http://schemas.openxmlformats.org/officeDocument/2006/relationships/hyperlink" Target="http://eur-lex.europa.eu/LexUriServ/LexUriServ.do?uri=OJ:L:2006:379:0005:01:LV: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717?locale=LV"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hyperlink" Target="http://eur-lex.europa.eu/LexUriServ/LexUriServ.do?uri=OJ:L:2006:379:0005:01:LV:HTML" TargetMode="External"/><Relationship Id="rId27" Type="http://schemas.openxmlformats.org/officeDocument/2006/relationships/hyperlink" Target="http://eur-lex.europa.eu/LexUriServ/LexUriServ.do?uri=OJ:L:2006:379:0005:01:LV:HTML"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785B-999E-47B2-B44D-CEF3623C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4112</Words>
  <Characters>28170</Characters>
  <Application>Microsoft Office Word</Application>
  <DocSecurity>0</DocSecurity>
  <Lines>1280</Lines>
  <Paragraphs>512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31770</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3.februāra noteikumos Nr.59 „Valsts un Eiropas Savienības atbalsta piešķiršanas kārtība investīciju veicināšanai lauksaimniecībā”” sākotnējās ietekmes novērtējuma ziņojums (anotācija)</dc:title>
  <dc:subject>Anotācija</dc:subject>
  <dc:creator>Ritvars Zapereckis</dc:creator>
  <cp:lastModifiedBy>Sanita Žagare</cp:lastModifiedBy>
  <cp:revision>3</cp:revision>
  <cp:lastPrinted>2014-04-23T07:37:00Z</cp:lastPrinted>
  <dcterms:created xsi:type="dcterms:W3CDTF">2016-03-10T07:23:00Z</dcterms:created>
  <dcterms:modified xsi:type="dcterms:W3CDTF">2016-03-10T07:56:00Z</dcterms:modified>
</cp:coreProperties>
</file>