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AC" w:rsidRPr="00716907" w:rsidRDefault="00210CAC" w:rsidP="00811999">
      <w:pPr>
        <w:jc w:val="center"/>
        <w:rPr>
          <w:b/>
          <w:sz w:val="26"/>
          <w:szCs w:val="26"/>
        </w:rPr>
      </w:pPr>
      <w:r w:rsidRPr="00716907">
        <w:rPr>
          <w:b/>
          <w:sz w:val="26"/>
          <w:szCs w:val="26"/>
        </w:rPr>
        <w:t>Ministru kabineta noteikumu projekta „</w:t>
      </w:r>
      <w:r w:rsidR="00811999" w:rsidRPr="00811999">
        <w:rPr>
          <w:b/>
          <w:sz w:val="26"/>
          <w:szCs w:val="26"/>
        </w:rPr>
        <w:t>Grozījums Ministru kabineta 2009.</w:t>
      </w:r>
      <w:r w:rsidR="003B3F60">
        <w:rPr>
          <w:b/>
          <w:sz w:val="26"/>
          <w:szCs w:val="26"/>
        </w:rPr>
        <w:t> </w:t>
      </w:r>
      <w:r w:rsidR="00811999" w:rsidRPr="00811999">
        <w:rPr>
          <w:b/>
          <w:sz w:val="26"/>
          <w:szCs w:val="26"/>
        </w:rPr>
        <w:t>gada 15.</w:t>
      </w:r>
      <w:r w:rsidR="003B3F60">
        <w:rPr>
          <w:b/>
          <w:sz w:val="26"/>
          <w:szCs w:val="26"/>
        </w:rPr>
        <w:t> </w:t>
      </w:r>
      <w:r w:rsidR="00811999" w:rsidRPr="00811999">
        <w:rPr>
          <w:b/>
          <w:sz w:val="26"/>
          <w:szCs w:val="26"/>
        </w:rPr>
        <w:t>decembra noteikumos Nr.</w:t>
      </w:r>
      <w:r w:rsidR="003B3F60">
        <w:rPr>
          <w:b/>
          <w:sz w:val="26"/>
          <w:szCs w:val="26"/>
        </w:rPr>
        <w:t> </w:t>
      </w:r>
      <w:r w:rsidR="00811999" w:rsidRPr="00811999">
        <w:rPr>
          <w:b/>
          <w:sz w:val="26"/>
          <w:szCs w:val="26"/>
        </w:rPr>
        <w:t>1418 “Valsts aizsardzīb</w:t>
      </w:r>
      <w:r w:rsidR="005D34DF">
        <w:rPr>
          <w:b/>
          <w:sz w:val="26"/>
          <w:szCs w:val="26"/>
        </w:rPr>
        <w:t>as militāro objektu un iepirkumu</w:t>
      </w:r>
      <w:r w:rsidR="00811999" w:rsidRPr="00811999">
        <w:rPr>
          <w:b/>
          <w:sz w:val="26"/>
          <w:szCs w:val="26"/>
        </w:rPr>
        <w:t xml:space="preserve"> centra nolikums”</w:t>
      </w:r>
      <w:r w:rsidR="00E72159">
        <w:rPr>
          <w:b/>
          <w:sz w:val="26"/>
          <w:szCs w:val="26"/>
        </w:rPr>
        <w:t>”</w:t>
      </w:r>
      <w:r w:rsidR="00811999">
        <w:rPr>
          <w:b/>
          <w:sz w:val="26"/>
          <w:szCs w:val="26"/>
        </w:rPr>
        <w:t xml:space="preserve"> </w:t>
      </w:r>
      <w:r w:rsidR="00084286">
        <w:rPr>
          <w:b/>
          <w:sz w:val="26"/>
          <w:szCs w:val="26"/>
        </w:rPr>
        <w:t>sākotnējās ietekmes novērtējuma ziņojums (</w:t>
      </w:r>
      <w:r w:rsidR="00811999">
        <w:rPr>
          <w:b/>
          <w:sz w:val="26"/>
          <w:szCs w:val="26"/>
        </w:rPr>
        <w:t>anotācija</w:t>
      </w:r>
      <w:r w:rsidR="00084286">
        <w:rPr>
          <w:b/>
          <w:sz w:val="26"/>
          <w:szCs w:val="26"/>
        </w:rPr>
        <w:t>)</w:t>
      </w:r>
    </w:p>
    <w:p w:rsidR="00210CAC" w:rsidRPr="009A2715" w:rsidRDefault="00210CAC" w:rsidP="00210CAC">
      <w:pPr>
        <w:jc w:val="center"/>
        <w:rPr>
          <w:b/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81"/>
      </w:tblGrid>
      <w:tr w:rsidR="00210CAC" w:rsidRPr="00155FCC" w:rsidTr="00E72159">
        <w:trPr>
          <w:trHeight w:val="171"/>
        </w:trPr>
        <w:tc>
          <w:tcPr>
            <w:tcW w:w="5000" w:type="pct"/>
            <w:gridSpan w:val="2"/>
          </w:tcPr>
          <w:p w:rsidR="00210CAC" w:rsidRDefault="00210CAC" w:rsidP="00253E48">
            <w:pPr>
              <w:pStyle w:val="naisc"/>
              <w:spacing w:before="0" w:after="0"/>
              <w:rPr>
                <w:b/>
                <w:bCs/>
                <w:sz w:val="24"/>
                <w:szCs w:val="24"/>
              </w:rPr>
            </w:pPr>
          </w:p>
          <w:p w:rsidR="00210CAC" w:rsidRDefault="00210CAC" w:rsidP="00253E48">
            <w:pPr>
              <w:pStyle w:val="naisc"/>
              <w:spacing w:before="0" w:after="0"/>
              <w:rPr>
                <w:b/>
                <w:bCs/>
                <w:sz w:val="24"/>
                <w:szCs w:val="24"/>
              </w:rPr>
            </w:pPr>
            <w:r w:rsidRPr="00E44A25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  <w:p w:rsidR="00210CAC" w:rsidRPr="00E44A25" w:rsidRDefault="00210CAC" w:rsidP="00253E48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</w:tr>
      <w:tr w:rsidR="00210CAC" w:rsidRPr="00DE62A7" w:rsidTr="00E72159">
        <w:tc>
          <w:tcPr>
            <w:tcW w:w="1527" w:type="pct"/>
          </w:tcPr>
          <w:p w:rsidR="00210CAC" w:rsidRPr="00155FCC" w:rsidRDefault="00210CAC" w:rsidP="00253E48">
            <w:pPr>
              <w:pStyle w:val="naisf"/>
              <w:tabs>
                <w:tab w:val="left" w:pos="180"/>
              </w:tabs>
              <w:spacing w:before="0" w:after="0"/>
              <w:ind w:firstLine="0"/>
            </w:pPr>
            <w:r w:rsidRPr="00155FCC">
              <w:t>1.</w:t>
            </w:r>
            <w:r w:rsidR="005228C9">
              <w:t xml:space="preserve"> </w:t>
            </w:r>
            <w:r w:rsidRPr="00155FCC">
              <w:t>Pamatojums</w:t>
            </w:r>
          </w:p>
        </w:tc>
        <w:tc>
          <w:tcPr>
            <w:tcW w:w="3473" w:type="pct"/>
          </w:tcPr>
          <w:p w:rsidR="00F1166D" w:rsidRDefault="00711923" w:rsidP="000110A8">
            <w:pPr>
              <w:jc w:val="both"/>
              <w:rPr>
                <w:rStyle w:val="spelle"/>
                <w:u w:val="single"/>
              </w:rPr>
            </w:pPr>
            <w:r w:rsidRPr="00F615EE">
              <w:rPr>
                <w:u w:val="single"/>
              </w:rPr>
              <w:t>Pamatojoties uz Ministru kabineta</w:t>
            </w:r>
            <w:r w:rsidR="00824B03" w:rsidRPr="00F615EE">
              <w:rPr>
                <w:u w:val="single"/>
              </w:rPr>
              <w:t xml:space="preserve"> (</w:t>
            </w:r>
            <w:r w:rsidR="00204BF7" w:rsidRPr="00F615EE">
              <w:rPr>
                <w:u w:val="single"/>
              </w:rPr>
              <w:t xml:space="preserve">turpmāk </w:t>
            </w:r>
            <w:r w:rsidR="005873B9">
              <w:rPr>
                <w:u w:val="single"/>
              </w:rPr>
              <w:t xml:space="preserve">– </w:t>
            </w:r>
            <w:r w:rsidR="00274797" w:rsidRPr="00F615EE">
              <w:rPr>
                <w:u w:val="single"/>
              </w:rPr>
              <w:t>MK)</w:t>
            </w:r>
            <w:r w:rsidRPr="00F615EE">
              <w:rPr>
                <w:u w:val="single"/>
              </w:rPr>
              <w:t xml:space="preserve"> 2015.</w:t>
            </w:r>
            <w:r w:rsidR="005873B9">
              <w:rPr>
                <w:u w:val="single"/>
              </w:rPr>
              <w:t> </w:t>
            </w:r>
            <w:r w:rsidRPr="00F615EE">
              <w:rPr>
                <w:u w:val="single"/>
              </w:rPr>
              <w:t>gada 22.</w:t>
            </w:r>
            <w:r w:rsidR="005873B9">
              <w:rPr>
                <w:u w:val="single"/>
              </w:rPr>
              <w:t> </w:t>
            </w:r>
            <w:r w:rsidRPr="00F615EE">
              <w:rPr>
                <w:u w:val="single"/>
              </w:rPr>
              <w:t xml:space="preserve">decembra </w:t>
            </w:r>
            <w:proofErr w:type="spellStart"/>
            <w:r w:rsidRPr="00F615EE">
              <w:rPr>
                <w:u w:val="single"/>
              </w:rPr>
              <w:t>protokollēmuma</w:t>
            </w:r>
            <w:proofErr w:type="spellEnd"/>
            <w:r w:rsidRPr="00F615EE">
              <w:rPr>
                <w:u w:val="single"/>
              </w:rPr>
              <w:t xml:space="preserve"> Nr.</w:t>
            </w:r>
            <w:r w:rsidR="005873B9">
              <w:rPr>
                <w:u w:val="single"/>
              </w:rPr>
              <w:t> </w:t>
            </w:r>
            <w:r w:rsidRPr="00F615EE">
              <w:rPr>
                <w:u w:val="single"/>
              </w:rPr>
              <w:t xml:space="preserve">68 </w:t>
            </w:r>
            <w:r w:rsidR="00C86442">
              <w:rPr>
                <w:rStyle w:val="spelle"/>
              </w:rPr>
              <w:t>“</w:t>
            </w:r>
            <w:r w:rsidRPr="00F615EE">
              <w:rPr>
                <w:rStyle w:val="spelle"/>
                <w:u w:val="single"/>
              </w:rPr>
              <w:t>Par Nacionālo bruņoto spēku mācību infrastrukt</w:t>
            </w:r>
            <w:r w:rsidR="008C6194" w:rsidRPr="00F615EE">
              <w:rPr>
                <w:rStyle w:val="spelle"/>
                <w:u w:val="single"/>
              </w:rPr>
              <w:t>ū</w:t>
            </w:r>
            <w:r w:rsidR="00824B03" w:rsidRPr="00F615EE">
              <w:rPr>
                <w:rStyle w:val="spelle"/>
                <w:u w:val="single"/>
              </w:rPr>
              <w:t>ras attīstību un paplašināšanu”</w:t>
            </w:r>
            <w:r w:rsidR="008C6194" w:rsidRPr="00F615EE">
              <w:rPr>
                <w:rStyle w:val="spelle"/>
                <w:u w:val="single"/>
              </w:rPr>
              <w:t xml:space="preserve"> </w:t>
            </w:r>
            <w:r w:rsidR="005873B9">
              <w:rPr>
                <w:rStyle w:val="spelle"/>
                <w:u w:val="single"/>
              </w:rPr>
              <w:br/>
            </w:r>
            <w:r w:rsidR="008C6194" w:rsidRPr="00F615EE">
              <w:rPr>
                <w:rStyle w:val="spelle"/>
                <w:u w:val="single"/>
              </w:rPr>
              <w:t xml:space="preserve">(turpmāk – MK </w:t>
            </w:r>
            <w:proofErr w:type="spellStart"/>
            <w:r w:rsidR="00164367" w:rsidRPr="00F615EE">
              <w:rPr>
                <w:rStyle w:val="spelle"/>
                <w:u w:val="single"/>
              </w:rPr>
              <w:t>protokollēmums</w:t>
            </w:r>
            <w:proofErr w:type="spellEnd"/>
            <w:r w:rsidR="008C6194" w:rsidRPr="00F615EE">
              <w:rPr>
                <w:rStyle w:val="spelle"/>
                <w:u w:val="single"/>
              </w:rPr>
              <w:t xml:space="preserve"> par NBS mācību infrastruktūras </w:t>
            </w:r>
            <w:r w:rsidR="000B41EE" w:rsidRPr="00F615EE">
              <w:rPr>
                <w:rStyle w:val="spelle"/>
                <w:u w:val="single"/>
              </w:rPr>
              <w:t>attīstību</w:t>
            </w:r>
            <w:r w:rsidR="008C6194" w:rsidRPr="00F615EE">
              <w:rPr>
                <w:rStyle w:val="spelle"/>
                <w:u w:val="single"/>
              </w:rPr>
              <w:t>)</w:t>
            </w:r>
            <w:r w:rsidRPr="00F615EE">
              <w:rPr>
                <w:rStyle w:val="spelle"/>
                <w:u w:val="single"/>
              </w:rPr>
              <w:t xml:space="preserve"> 2.</w:t>
            </w:r>
            <w:r w:rsidR="005873B9">
              <w:rPr>
                <w:rStyle w:val="spelle"/>
                <w:u w:val="single"/>
              </w:rPr>
              <w:t> </w:t>
            </w:r>
            <w:r w:rsidRPr="00F615EE">
              <w:rPr>
                <w:rStyle w:val="spelle"/>
                <w:u w:val="single"/>
              </w:rPr>
              <w:t>punktu</w:t>
            </w:r>
            <w:r w:rsidR="00274797" w:rsidRPr="00F615EE">
              <w:rPr>
                <w:rStyle w:val="spelle"/>
                <w:u w:val="single"/>
              </w:rPr>
              <w:t>, MK</w:t>
            </w:r>
            <w:r w:rsidRPr="00F615EE">
              <w:rPr>
                <w:rStyle w:val="spelle"/>
                <w:u w:val="single"/>
              </w:rPr>
              <w:t xml:space="preserve"> konceptuāli </w:t>
            </w:r>
            <w:r w:rsidR="00274797" w:rsidRPr="00F615EE">
              <w:rPr>
                <w:rStyle w:val="spelle"/>
                <w:u w:val="single"/>
              </w:rPr>
              <w:t>atbalstījis</w:t>
            </w:r>
            <w:r w:rsidRPr="00F615EE">
              <w:rPr>
                <w:rStyle w:val="spelle"/>
                <w:u w:val="single"/>
              </w:rPr>
              <w:t xml:space="preserve"> Ādažu poligona teritorijas un mācību lauka </w:t>
            </w:r>
            <w:r w:rsidR="005873B9">
              <w:rPr>
                <w:rStyle w:val="spelle"/>
                <w:u w:val="single"/>
              </w:rPr>
              <w:t>“</w:t>
            </w:r>
            <w:proofErr w:type="spellStart"/>
            <w:r w:rsidRPr="00F615EE">
              <w:rPr>
                <w:rStyle w:val="spelle"/>
                <w:u w:val="single"/>
              </w:rPr>
              <w:t>Lāčusils</w:t>
            </w:r>
            <w:proofErr w:type="spellEnd"/>
            <w:r w:rsidR="005873B9">
              <w:rPr>
                <w:rStyle w:val="spelle"/>
                <w:u w:val="single"/>
              </w:rPr>
              <w:t>”</w:t>
            </w:r>
            <w:r w:rsidRPr="00F615EE">
              <w:rPr>
                <w:rStyle w:val="spelle"/>
                <w:u w:val="single"/>
              </w:rPr>
              <w:t xml:space="preserve"> teritorijas paplašināšan</w:t>
            </w:r>
            <w:r w:rsidR="00274797" w:rsidRPr="00F615EE">
              <w:rPr>
                <w:rStyle w:val="spelle"/>
                <w:u w:val="single"/>
              </w:rPr>
              <w:t>u</w:t>
            </w:r>
            <w:r w:rsidRPr="00F615EE">
              <w:rPr>
                <w:rStyle w:val="spelle"/>
                <w:u w:val="single"/>
              </w:rPr>
              <w:t>.</w:t>
            </w:r>
          </w:p>
          <w:p w:rsidR="000110A8" w:rsidRPr="00F1166D" w:rsidRDefault="00F1166D" w:rsidP="00B65865">
            <w:pPr>
              <w:jc w:val="both"/>
              <w:rPr>
                <w:u w:val="single"/>
              </w:rPr>
            </w:pPr>
            <w:r w:rsidRPr="00F615EE">
              <w:rPr>
                <w:rStyle w:val="spelle"/>
                <w:u w:val="single"/>
              </w:rPr>
              <w:t xml:space="preserve">Tiesību akts </w:t>
            </w:r>
            <w:r>
              <w:rPr>
                <w:rStyle w:val="spelle"/>
                <w:u w:val="single"/>
              </w:rPr>
              <w:t xml:space="preserve">ir svarīgs priekšnoteikums, </w:t>
            </w:r>
            <w:r w:rsidRPr="00F615EE">
              <w:rPr>
                <w:rStyle w:val="spelle"/>
                <w:u w:val="single"/>
              </w:rPr>
              <w:t xml:space="preserve">lai varētu īstenot </w:t>
            </w:r>
            <w:r>
              <w:rPr>
                <w:rStyle w:val="spelle"/>
                <w:u w:val="single"/>
              </w:rPr>
              <w:t>minētos</w:t>
            </w:r>
            <w:r w:rsidR="00B65865">
              <w:rPr>
                <w:rStyle w:val="spelle"/>
                <w:u w:val="single"/>
              </w:rPr>
              <w:t xml:space="preserve"> un citus</w:t>
            </w:r>
            <w:r>
              <w:rPr>
                <w:rStyle w:val="spelle"/>
                <w:u w:val="single"/>
              </w:rPr>
              <w:t xml:space="preserve"> NBS</w:t>
            </w:r>
            <w:r w:rsidRPr="00F615EE">
              <w:rPr>
                <w:rStyle w:val="spelle"/>
                <w:u w:val="single"/>
              </w:rPr>
              <w:t xml:space="preserve"> infrastruktūras attīstības un paplašināšanas projektus, kā arī lai precizētu tiesisko regulējumu, kas nosaka AM valdījumā esošā nekustamā īpašuma pārvaldīšanas un apsaimniekošanas funkcijas.</w:t>
            </w:r>
          </w:p>
        </w:tc>
      </w:tr>
      <w:tr w:rsidR="00210CAC" w:rsidRPr="00155FCC" w:rsidTr="00E72159">
        <w:tc>
          <w:tcPr>
            <w:tcW w:w="1527" w:type="pct"/>
          </w:tcPr>
          <w:p w:rsidR="00210CAC" w:rsidRPr="00155FCC" w:rsidRDefault="00210CAC" w:rsidP="00253E48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  <w:r w:rsidRPr="00155FCC">
              <w:t>2.</w:t>
            </w:r>
            <w:r w:rsidR="005228C9">
              <w:t xml:space="preserve"> </w:t>
            </w:r>
            <w:r w:rsidRPr="00155FCC">
              <w:t>Pašreizējā situācija un problēmas</w:t>
            </w:r>
            <w:r w:rsidR="005228C9">
              <w:t>, kuru risināšanai tiesību akta projekts izstrādāts, tiesiskā regulējuma mērķis un būtība</w:t>
            </w:r>
          </w:p>
          <w:p w:rsidR="00210CAC" w:rsidRPr="00155FCC" w:rsidRDefault="00210CAC" w:rsidP="00253E48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</w:p>
          <w:p w:rsidR="00210CAC" w:rsidRDefault="00210CAC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Default="001765A2" w:rsidP="00460473">
            <w:pPr>
              <w:autoSpaceDE w:val="0"/>
              <w:autoSpaceDN w:val="0"/>
              <w:adjustRightInd w:val="0"/>
              <w:jc w:val="both"/>
            </w:pPr>
          </w:p>
          <w:p w:rsidR="001765A2" w:rsidRPr="00155FCC" w:rsidRDefault="001765A2" w:rsidP="004604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pct"/>
          </w:tcPr>
          <w:p w:rsidR="00C86442" w:rsidRDefault="00274797" w:rsidP="00253E48">
            <w:pPr>
              <w:autoSpaceDE w:val="0"/>
              <w:autoSpaceDN w:val="0"/>
              <w:adjustRightInd w:val="0"/>
              <w:jc w:val="both"/>
            </w:pPr>
            <w:r w:rsidRPr="005D34DF">
              <w:lastRenderedPageBreak/>
              <w:t>Pašreiz AM</w:t>
            </w:r>
            <w:r w:rsidR="006961FE" w:rsidRPr="005D34DF">
              <w:t xml:space="preserve"> valdījumā</w:t>
            </w:r>
            <w:r w:rsidR="005B0E38" w:rsidRPr="005D34DF">
              <w:t xml:space="preserve"> atrodas valsts meža zeme, kas </w:t>
            </w:r>
            <w:r w:rsidRPr="005D34DF">
              <w:t>AM</w:t>
            </w:r>
            <w:r w:rsidR="00F42A4E" w:rsidRPr="005D34DF">
              <w:t xml:space="preserve"> ir </w:t>
            </w:r>
            <w:r w:rsidR="005B0E38" w:rsidRPr="005D34DF">
              <w:t>nodota dažādos laika posmos</w:t>
            </w:r>
            <w:r w:rsidR="00164341" w:rsidRPr="005D34DF">
              <w:t>, pamatojoties uz</w:t>
            </w:r>
            <w:r w:rsidR="006961FE" w:rsidRPr="005D34DF">
              <w:t xml:space="preserve"> </w:t>
            </w:r>
            <w:r w:rsidR="00164341" w:rsidRPr="005D34DF">
              <w:t xml:space="preserve">atsevišķiem </w:t>
            </w:r>
            <w:r w:rsidRPr="005D34DF">
              <w:t xml:space="preserve">MK </w:t>
            </w:r>
            <w:r w:rsidR="00164341" w:rsidRPr="005D34DF">
              <w:t>rīkojumiem</w:t>
            </w:r>
            <w:r w:rsidR="002923E5" w:rsidRPr="005D34DF">
              <w:t xml:space="preserve">. </w:t>
            </w:r>
            <w:r w:rsidR="006961FE" w:rsidRPr="005D34DF">
              <w:t xml:space="preserve">Šobrīd </w:t>
            </w:r>
            <w:r w:rsidRPr="005D34DF">
              <w:t>AM</w:t>
            </w:r>
            <w:r w:rsidR="006961FE" w:rsidRPr="005D34DF">
              <w:t xml:space="preserve"> valdījumā esošās </w:t>
            </w:r>
            <w:r w:rsidR="00E07A35" w:rsidRPr="005D34DF">
              <w:t>valsts zemes kopplatība ir 9139,2931 ha, tai skaitā 4517,</w:t>
            </w:r>
            <w:r w:rsidR="006961FE" w:rsidRPr="005D34DF">
              <w:t>2227 ha ir meža zeme.</w:t>
            </w:r>
            <w:r w:rsidR="003A3622" w:rsidRPr="005D34DF">
              <w:t xml:space="preserve"> </w:t>
            </w:r>
          </w:p>
          <w:p w:rsidR="00C86442" w:rsidRDefault="00C86442" w:rsidP="00253E48">
            <w:pPr>
              <w:autoSpaceDE w:val="0"/>
              <w:autoSpaceDN w:val="0"/>
              <w:adjustRightInd w:val="0"/>
              <w:jc w:val="both"/>
            </w:pPr>
          </w:p>
          <w:p w:rsidR="006F31F7" w:rsidRPr="005D34DF" w:rsidRDefault="00274797" w:rsidP="00253E48">
            <w:pPr>
              <w:autoSpaceDE w:val="0"/>
              <w:autoSpaceDN w:val="0"/>
              <w:adjustRightInd w:val="0"/>
              <w:jc w:val="both"/>
            </w:pPr>
            <w:r w:rsidRPr="006F4425">
              <w:rPr>
                <w:u w:val="single"/>
              </w:rPr>
              <w:t>AM</w:t>
            </w:r>
            <w:r w:rsidR="006F31F7" w:rsidRPr="006F4425">
              <w:rPr>
                <w:u w:val="single"/>
              </w:rPr>
              <w:t xml:space="preserve"> valdījumā esošās meža zemes teritorij</w:t>
            </w:r>
            <w:r w:rsidR="005D1B0D" w:rsidRPr="006F4425">
              <w:rPr>
                <w:u w:val="single"/>
              </w:rPr>
              <w:t>a tiek izmantota gan nacionālajās, gan starptautiskajās militārajās mācībās.</w:t>
            </w:r>
            <w:r w:rsidR="006F31F7" w:rsidRPr="006F4425">
              <w:rPr>
                <w:u w:val="single"/>
              </w:rPr>
              <w:t xml:space="preserve"> </w:t>
            </w:r>
            <w:r w:rsidR="002634FA" w:rsidRPr="006F4425">
              <w:rPr>
                <w:u w:val="single"/>
              </w:rPr>
              <w:t>Atsevišķos gadījumos valsts meža zemes teritorij</w:t>
            </w:r>
            <w:r w:rsidR="00D2165E" w:rsidRPr="006F4425">
              <w:rPr>
                <w:u w:val="single"/>
              </w:rPr>
              <w:t xml:space="preserve">ā tiek </w:t>
            </w:r>
            <w:r w:rsidR="006E189F" w:rsidRPr="006F4425">
              <w:rPr>
                <w:u w:val="single"/>
              </w:rPr>
              <w:t>iz</w:t>
            </w:r>
            <w:r w:rsidR="002634FA" w:rsidRPr="006F4425">
              <w:rPr>
                <w:u w:val="single"/>
              </w:rPr>
              <w:t xml:space="preserve">būvēti </w:t>
            </w:r>
            <w:r w:rsidRPr="006F4425">
              <w:rPr>
                <w:u w:val="single"/>
              </w:rPr>
              <w:t xml:space="preserve">NBS </w:t>
            </w:r>
            <w:r w:rsidR="002634FA" w:rsidRPr="006F4425">
              <w:rPr>
                <w:u w:val="single"/>
              </w:rPr>
              <w:t>infrastruktūras objekti</w:t>
            </w:r>
            <w:r w:rsidR="006F31F7" w:rsidRPr="006F4425">
              <w:rPr>
                <w:u w:val="single"/>
              </w:rPr>
              <w:t xml:space="preserve"> </w:t>
            </w:r>
            <w:r w:rsidR="005873B9">
              <w:rPr>
                <w:u w:val="single"/>
              </w:rPr>
              <w:t xml:space="preserve">– </w:t>
            </w:r>
            <w:r w:rsidR="002634FA" w:rsidRPr="006F4425">
              <w:rPr>
                <w:u w:val="single"/>
              </w:rPr>
              <w:t>noliktavas, šautuves, jo t</w:t>
            </w:r>
            <w:r w:rsidR="003A2A5F" w:rsidRPr="006F4425">
              <w:rPr>
                <w:u w:val="single"/>
              </w:rPr>
              <w:t>ur</w:t>
            </w:r>
            <w:r w:rsidR="002634FA" w:rsidRPr="006F4425">
              <w:rPr>
                <w:u w:val="single"/>
              </w:rPr>
              <w:t xml:space="preserve"> iespējams nodrošināt nepieciešamos drošības at</w:t>
            </w:r>
            <w:r w:rsidR="007874AA" w:rsidRPr="006F4425">
              <w:rPr>
                <w:u w:val="single"/>
              </w:rPr>
              <w:t>tālumus no apdzīvotām vietām</w:t>
            </w:r>
            <w:r w:rsidR="003D1D03" w:rsidRPr="006F4425">
              <w:rPr>
                <w:u w:val="single"/>
              </w:rPr>
              <w:t xml:space="preserve"> un </w:t>
            </w:r>
            <w:r w:rsidR="007874AA" w:rsidRPr="006F4425">
              <w:rPr>
                <w:u w:val="single"/>
              </w:rPr>
              <w:t>publiskajiem ceļiem</w:t>
            </w:r>
            <w:r w:rsidR="00D2165E" w:rsidRPr="006F4425">
              <w:rPr>
                <w:u w:val="single"/>
              </w:rPr>
              <w:t>.</w:t>
            </w:r>
          </w:p>
          <w:p w:rsidR="00460473" w:rsidRDefault="00460473" w:rsidP="00460473"/>
          <w:p w:rsidR="005900B9" w:rsidRDefault="005900B9" w:rsidP="005900B9">
            <w:pPr>
              <w:autoSpaceDE w:val="0"/>
              <w:autoSpaceDN w:val="0"/>
              <w:adjustRightInd w:val="0"/>
              <w:jc w:val="both"/>
            </w:pPr>
            <w:r>
              <w:t>AM</w:t>
            </w:r>
            <w:r w:rsidRPr="003E5C84">
              <w:t xml:space="preserve"> valdījumā esoš</w:t>
            </w:r>
            <w:r>
              <w:t>o nekustamo īpašumu, tai skaitā valsts</w:t>
            </w:r>
            <w:r w:rsidRPr="003E5C84">
              <w:t xml:space="preserve"> </w:t>
            </w:r>
            <w:r>
              <w:t xml:space="preserve">meža </w:t>
            </w:r>
            <w:r w:rsidRPr="003E5C84">
              <w:t>zem</w:t>
            </w:r>
            <w:r>
              <w:t xml:space="preserve">es, apsaimniekošanu, pārvaldīšanu un vides aizsardzību veic Valsts aizsardzības militāro objektu un iepirkumu centrs </w:t>
            </w:r>
            <w:r w:rsidR="005873B9">
              <w:br/>
            </w:r>
            <w:r>
              <w:t>(turpmāk</w:t>
            </w:r>
            <w:r w:rsidR="005873B9">
              <w:t xml:space="preserve"> – </w:t>
            </w:r>
            <w:r>
              <w:t xml:space="preserve">Centrs). Saskaņā ar </w:t>
            </w:r>
            <w:r w:rsidRPr="005D49F1">
              <w:t>Ministru kabineta 2009.</w:t>
            </w:r>
            <w:r>
              <w:t> </w:t>
            </w:r>
            <w:r w:rsidRPr="005D49F1">
              <w:t>gada 15.</w:t>
            </w:r>
            <w:r>
              <w:t> </w:t>
            </w:r>
            <w:r w:rsidRPr="005D49F1">
              <w:t>decembra noteikum</w:t>
            </w:r>
            <w:r>
              <w:t>iem</w:t>
            </w:r>
            <w:r w:rsidRPr="005D49F1">
              <w:t xml:space="preserve"> Nr.</w:t>
            </w:r>
            <w:r>
              <w:t> </w:t>
            </w:r>
            <w:r w:rsidRPr="005D49F1">
              <w:t>1418 “Valsts aizsardzīb</w:t>
            </w:r>
            <w:r>
              <w:t>as militāro objektu un iepirkumu</w:t>
            </w:r>
            <w:r w:rsidRPr="005D49F1">
              <w:t xml:space="preserve"> centra nolikums” (turpmāk </w:t>
            </w:r>
            <w:r>
              <w:t>– MK N</w:t>
            </w:r>
            <w:r w:rsidRPr="005D49F1">
              <w:t xml:space="preserve">oteikumi) </w:t>
            </w:r>
            <w:r>
              <w:t>Centra funkcijā</w:t>
            </w:r>
            <w:r w:rsidR="005873B9">
              <w:t>s</w:t>
            </w:r>
            <w:r>
              <w:t xml:space="preserve"> ietilpst AM</w:t>
            </w:r>
            <w:r w:rsidRPr="005D49F1">
              <w:t xml:space="preserve"> valdījumā esošā nekustamā īpašuma, tajā skaitā valsts militārās aizsardzības objekt</w:t>
            </w:r>
            <w:r>
              <w:t>u, apsaimniekošana (MK Noteikumu 2.1. punkts) un</w:t>
            </w:r>
            <w:r w:rsidRPr="005D49F1">
              <w:t xml:space="preserve"> vides aizsardzības pasākum</w:t>
            </w:r>
            <w:r w:rsidR="005873B9">
              <w:t xml:space="preserve">i </w:t>
            </w:r>
            <w:r w:rsidRPr="005D49F1">
              <w:t>valsts militārās aizsardzības objektos (</w:t>
            </w:r>
            <w:r>
              <w:t xml:space="preserve">MK Noteikumu </w:t>
            </w:r>
            <w:r w:rsidRPr="005D49F1">
              <w:t>2.3.</w:t>
            </w:r>
            <w:r>
              <w:t> </w:t>
            </w:r>
            <w:r w:rsidRPr="005D49F1">
              <w:t>punkts)</w:t>
            </w:r>
            <w:r>
              <w:t>. AM</w:t>
            </w:r>
            <w:r w:rsidRPr="008C6194">
              <w:t xml:space="preserve"> valdījumā esošās valsts meža zemes </w:t>
            </w:r>
            <w:r>
              <w:t xml:space="preserve">pārvaldīšana un </w:t>
            </w:r>
            <w:r w:rsidRPr="008C6194">
              <w:t>apsaimniek</w:t>
            </w:r>
            <w:r>
              <w:t>ošana MK Noteikumos nav iekļauta</w:t>
            </w:r>
            <w:r w:rsidRPr="008C6194">
              <w:t xml:space="preserve"> kā atsevišķa funkcija</w:t>
            </w:r>
            <w:r>
              <w:t xml:space="preserve">. </w:t>
            </w:r>
          </w:p>
          <w:p w:rsidR="005900B9" w:rsidRDefault="005900B9" w:rsidP="005900B9">
            <w:pPr>
              <w:autoSpaceDE w:val="0"/>
              <w:autoSpaceDN w:val="0"/>
              <w:adjustRightInd w:val="0"/>
              <w:jc w:val="both"/>
            </w:pPr>
          </w:p>
          <w:p w:rsidR="00460473" w:rsidRPr="006F4425" w:rsidRDefault="00460473" w:rsidP="00460473">
            <w:pPr>
              <w:jc w:val="both"/>
              <w:rPr>
                <w:u w:val="single"/>
              </w:rPr>
            </w:pPr>
            <w:r w:rsidRPr="00A50C66">
              <w:t>L</w:t>
            </w:r>
            <w:r w:rsidRPr="006F4425">
              <w:rPr>
                <w:u w:val="single"/>
              </w:rPr>
              <w:t xml:space="preserve">ai īstenotu MK </w:t>
            </w:r>
            <w:proofErr w:type="spellStart"/>
            <w:r w:rsidRPr="006F4425">
              <w:rPr>
                <w:u w:val="single"/>
              </w:rPr>
              <w:t>protokollēmumā</w:t>
            </w:r>
            <w:proofErr w:type="spellEnd"/>
            <w:r w:rsidRPr="006F4425">
              <w:rPr>
                <w:u w:val="single"/>
              </w:rPr>
              <w:t xml:space="preserve"> par NBS mācību infrastruktūras attīstību atbalstīto Ādažu poligona teritorijas paplašināšanu, A</w:t>
            </w:r>
            <w:r w:rsidR="00CA753B" w:rsidRPr="006F4425">
              <w:rPr>
                <w:u w:val="single"/>
              </w:rPr>
              <w:t>M</w:t>
            </w:r>
            <w:r w:rsidR="002361A8" w:rsidRPr="006F4425">
              <w:rPr>
                <w:u w:val="single"/>
              </w:rPr>
              <w:t xml:space="preserve"> valdījumā</w:t>
            </w:r>
            <w:r w:rsidR="00CA753B" w:rsidRPr="006F4425">
              <w:rPr>
                <w:u w:val="single"/>
              </w:rPr>
              <w:t xml:space="preserve"> no Zemkopības ministrijas un </w:t>
            </w:r>
            <w:r w:rsidRPr="006F4425">
              <w:rPr>
                <w:u w:val="single"/>
              </w:rPr>
              <w:t>AS “</w:t>
            </w:r>
            <w:r w:rsidR="002361A8" w:rsidRPr="006F4425">
              <w:rPr>
                <w:u w:val="single"/>
              </w:rPr>
              <w:t xml:space="preserve">Latvijas valsts meži” </w:t>
            </w:r>
            <w:r w:rsidRPr="006F4425">
              <w:rPr>
                <w:u w:val="single"/>
              </w:rPr>
              <w:t>jāpārņem valst</w:t>
            </w:r>
            <w:r w:rsidR="0021735B" w:rsidRPr="006F4425">
              <w:rPr>
                <w:u w:val="single"/>
              </w:rPr>
              <w:t>s meža zeme. AM gatavos MK</w:t>
            </w:r>
            <w:r w:rsidRPr="006F4425">
              <w:rPr>
                <w:u w:val="single"/>
              </w:rPr>
              <w:t xml:space="preserve"> rīkojumu par </w:t>
            </w:r>
            <w:r w:rsidRPr="006F4425">
              <w:rPr>
                <w:u w:val="single"/>
              </w:rPr>
              <w:lastRenderedPageBreak/>
              <w:t>~5100</w:t>
            </w:r>
            <w:r w:rsidR="005873B9">
              <w:rPr>
                <w:u w:val="single"/>
              </w:rPr>
              <w:t> </w:t>
            </w:r>
            <w:r w:rsidRPr="006F4425">
              <w:rPr>
                <w:u w:val="single"/>
              </w:rPr>
              <w:t>ha valsts meža zemes Sējas, Ādažu un Saulkrastu novados nodošanu A</w:t>
            </w:r>
            <w:r w:rsidR="0056088C" w:rsidRPr="006F4425">
              <w:rPr>
                <w:u w:val="single"/>
              </w:rPr>
              <w:t xml:space="preserve">M </w:t>
            </w:r>
            <w:r w:rsidRPr="006F4425">
              <w:rPr>
                <w:u w:val="single"/>
              </w:rPr>
              <w:t>valdījum</w:t>
            </w:r>
            <w:r w:rsidR="00221068" w:rsidRPr="006F4425">
              <w:rPr>
                <w:u w:val="single"/>
              </w:rPr>
              <w:t xml:space="preserve">ā. Ar Zemkopības ministriju un </w:t>
            </w:r>
            <w:r w:rsidR="002361A8" w:rsidRPr="006F4425">
              <w:rPr>
                <w:u w:val="single"/>
              </w:rPr>
              <w:t>AS “Latvijas valsts meži</w:t>
            </w:r>
            <w:r w:rsidRPr="006F4425">
              <w:rPr>
                <w:u w:val="single"/>
              </w:rPr>
              <w:t>” ir noslēgta atbilstoša vienošanās.</w:t>
            </w:r>
          </w:p>
          <w:p w:rsidR="00204BF7" w:rsidRDefault="00204BF7" w:rsidP="00460473">
            <w:pPr>
              <w:jc w:val="both"/>
            </w:pPr>
          </w:p>
          <w:p w:rsidR="00460473" w:rsidRPr="00BC3B31" w:rsidRDefault="00460473" w:rsidP="00460473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BC3B31">
              <w:rPr>
                <w:u w:val="single"/>
              </w:rPr>
              <w:t>2014.</w:t>
            </w:r>
            <w:r w:rsidR="005873B9">
              <w:rPr>
                <w:u w:val="single"/>
              </w:rPr>
              <w:t> </w:t>
            </w:r>
            <w:r w:rsidRPr="00BC3B31">
              <w:rPr>
                <w:u w:val="single"/>
              </w:rPr>
              <w:t>gadā AM izstrādāja MK rīkojuma projektu par 42,47 ha valsts meža zemes Vaiņodes novadā (īpašuma kadastra Nr.</w:t>
            </w:r>
            <w:r w:rsidR="005873B9">
              <w:rPr>
                <w:u w:val="single"/>
              </w:rPr>
              <w:t> </w:t>
            </w:r>
            <w:r w:rsidRPr="00BC3B31">
              <w:rPr>
                <w:u w:val="single"/>
              </w:rPr>
              <w:t>64540030173) nodošanu no Zemkopības ministrijas Aizsardzības ministrijas valdījumā. Tieslietu ministrija sniedza iebildumus par projektu</w:t>
            </w:r>
            <w:r w:rsidR="005873B9">
              <w:rPr>
                <w:u w:val="single"/>
              </w:rPr>
              <w:t>,</w:t>
            </w:r>
            <w:r w:rsidRPr="00BC3B31">
              <w:rPr>
                <w:u w:val="single"/>
              </w:rPr>
              <w:t xml:space="preserve"> norādot, ka minēt</w:t>
            </w:r>
            <w:r w:rsidR="00C86442">
              <w:rPr>
                <w:u w:val="single"/>
              </w:rPr>
              <w:t>aj</w:t>
            </w:r>
            <w:r w:rsidRPr="00BC3B31">
              <w:rPr>
                <w:u w:val="single"/>
              </w:rPr>
              <w:t>ā projekta anotācijā nav norādīts tiesiskais pamatojums valsts meža zemes nodošanai AM valdījumā. Tieslietu ministrija atsaucās uz Meža likuma 4.</w:t>
            </w:r>
            <w:r w:rsidR="005873B9">
              <w:rPr>
                <w:u w:val="single"/>
              </w:rPr>
              <w:t> </w:t>
            </w:r>
            <w:r w:rsidRPr="00BC3B31">
              <w:rPr>
                <w:u w:val="single"/>
              </w:rPr>
              <w:t xml:space="preserve">pantu, kas nosaka valsts meža zemes atrašanos Zemkopības ministrijas valdījumā un Vides aizsardzības un reģionālās attīstības ministrijas valdījumā. Tieslietu ministrija atzinumos iebilda arī tam, ka </w:t>
            </w:r>
            <w:r w:rsidR="00042175" w:rsidRPr="00BC3B31">
              <w:rPr>
                <w:u w:val="single"/>
              </w:rPr>
              <w:t xml:space="preserve">MK Noteikumos </w:t>
            </w:r>
            <w:r w:rsidRPr="00BC3B31">
              <w:rPr>
                <w:u w:val="single"/>
              </w:rPr>
              <w:t>tiešā veidā nav noteikta Centra funkcija pārvaldīt un apsai</w:t>
            </w:r>
            <w:r w:rsidR="00042175" w:rsidRPr="00BC3B31">
              <w:rPr>
                <w:u w:val="single"/>
              </w:rPr>
              <w:t xml:space="preserve">mniekot AM </w:t>
            </w:r>
            <w:r w:rsidRPr="00BC3B31">
              <w:rPr>
                <w:u w:val="single"/>
              </w:rPr>
              <w:t>valdījumā esošo valsts meža zemi.</w:t>
            </w:r>
          </w:p>
          <w:p w:rsidR="00460473" w:rsidRDefault="00460473" w:rsidP="006E189F">
            <w:pPr>
              <w:autoSpaceDE w:val="0"/>
              <w:autoSpaceDN w:val="0"/>
              <w:adjustRightInd w:val="0"/>
              <w:jc w:val="both"/>
            </w:pPr>
          </w:p>
          <w:p w:rsidR="00820342" w:rsidRDefault="003A3622" w:rsidP="00253E48">
            <w:pPr>
              <w:autoSpaceDE w:val="0"/>
              <w:autoSpaceDN w:val="0"/>
              <w:adjustRightInd w:val="0"/>
              <w:jc w:val="both"/>
            </w:pPr>
            <w:r w:rsidRPr="006F4425">
              <w:rPr>
                <w:u w:val="single"/>
              </w:rPr>
              <w:t>Ņemot vērā</w:t>
            </w:r>
            <w:r w:rsidR="00EB2A87" w:rsidRPr="006F4425">
              <w:rPr>
                <w:u w:val="single"/>
              </w:rPr>
              <w:t xml:space="preserve"> NBS mācību infrastruktūras paplašināšanas nozīmi valsts aizsardzība</w:t>
            </w:r>
            <w:r w:rsidR="005873B9">
              <w:rPr>
                <w:u w:val="single"/>
              </w:rPr>
              <w:t>s</w:t>
            </w:r>
            <w:r w:rsidR="00EB2A87" w:rsidRPr="006F4425">
              <w:rPr>
                <w:u w:val="single"/>
              </w:rPr>
              <w:t xml:space="preserve"> uzdevumu izpildē, k</w:t>
            </w:r>
            <w:r w:rsidR="005873B9">
              <w:rPr>
                <w:u w:val="single"/>
              </w:rPr>
              <w:t>ā</w:t>
            </w:r>
            <w:r w:rsidR="00EB2A87" w:rsidRPr="006F4425">
              <w:rPr>
                <w:u w:val="single"/>
              </w:rPr>
              <w:t xml:space="preserve"> arī </w:t>
            </w:r>
            <w:r w:rsidRPr="006F4425">
              <w:rPr>
                <w:u w:val="single"/>
              </w:rPr>
              <w:t>Tieslietu ministrijas 2014.</w:t>
            </w:r>
            <w:r w:rsidR="005873B9">
              <w:rPr>
                <w:u w:val="single"/>
              </w:rPr>
              <w:t> </w:t>
            </w:r>
            <w:r w:rsidRPr="006F4425">
              <w:rPr>
                <w:u w:val="single"/>
              </w:rPr>
              <w:t xml:space="preserve">gadā </w:t>
            </w:r>
            <w:r w:rsidR="009E6966" w:rsidRPr="006F4425">
              <w:rPr>
                <w:u w:val="single"/>
              </w:rPr>
              <w:t>izteiktos iebildumus</w:t>
            </w:r>
            <w:r w:rsidR="00F44312" w:rsidRPr="006F4425">
              <w:rPr>
                <w:u w:val="single"/>
              </w:rPr>
              <w:t>,</w:t>
            </w:r>
            <w:r w:rsidR="0091094B" w:rsidRPr="006F4425">
              <w:rPr>
                <w:u w:val="single"/>
              </w:rPr>
              <w:t xml:space="preserve"> ir sagatavots grozījums</w:t>
            </w:r>
            <w:r w:rsidR="006342D2" w:rsidRPr="006F4425">
              <w:rPr>
                <w:u w:val="single"/>
              </w:rPr>
              <w:t xml:space="preserve"> MK N</w:t>
            </w:r>
            <w:r w:rsidR="0091094B" w:rsidRPr="006F4425">
              <w:rPr>
                <w:u w:val="single"/>
              </w:rPr>
              <w:t>oteikumos.</w:t>
            </w:r>
            <w:r w:rsidR="008279EB" w:rsidRPr="00824B03">
              <w:t xml:space="preserve"> </w:t>
            </w:r>
            <w:r w:rsidR="00CC7A77">
              <w:t>Ar grozījumu MK N</w:t>
            </w:r>
            <w:r w:rsidR="009E6966" w:rsidRPr="00824B03">
              <w:t xml:space="preserve">oteikumos tiek precizēts, ka Centrs veic Aizsardzības ministrijas valdījumā esošo nekustamo īpašumu, tajā skaitā valsts militārās aizsardzības objektu un valsts meža zemes, apsaimniekošanu un pārvaldīšanu. </w:t>
            </w:r>
            <w:r w:rsidR="00F44312" w:rsidRPr="00824B03">
              <w:t xml:space="preserve"> </w:t>
            </w:r>
          </w:p>
          <w:p w:rsidR="00546C31" w:rsidRPr="00335BEE" w:rsidRDefault="00546C31" w:rsidP="009E6966">
            <w:pPr>
              <w:autoSpaceDE w:val="0"/>
              <w:autoSpaceDN w:val="0"/>
              <w:adjustRightInd w:val="0"/>
              <w:jc w:val="both"/>
            </w:pPr>
          </w:p>
        </w:tc>
      </w:tr>
      <w:tr w:rsidR="00210CAC" w:rsidRPr="00155FCC" w:rsidTr="00E72159">
        <w:trPr>
          <w:trHeight w:val="426"/>
        </w:trPr>
        <w:tc>
          <w:tcPr>
            <w:tcW w:w="1527" w:type="pct"/>
          </w:tcPr>
          <w:p w:rsidR="00210CAC" w:rsidRPr="00155FCC" w:rsidRDefault="00210CAC" w:rsidP="005228C9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  <w:r w:rsidRPr="00155FCC">
              <w:lastRenderedPageBreak/>
              <w:t>3.</w:t>
            </w:r>
            <w:r w:rsidR="005228C9">
              <w:t xml:space="preserve"> Projekta izstrādē iesaistītās institūcijas</w:t>
            </w:r>
          </w:p>
        </w:tc>
        <w:tc>
          <w:tcPr>
            <w:tcW w:w="3473" w:type="pct"/>
          </w:tcPr>
          <w:p w:rsidR="00210CAC" w:rsidRPr="00335BEE" w:rsidRDefault="003B3F60" w:rsidP="005228C9">
            <w:pPr>
              <w:jc w:val="both"/>
            </w:pPr>
            <w:r>
              <w:t xml:space="preserve">Valsts aizsardzības militāro objektu un iepirkumu centrs </w:t>
            </w:r>
            <w:r w:rsidR="005228C9">
              <w:t>un Aizsardzības ministrija</w:t>
            </w:r>
            <w:r w:rsidR="00F42A4E">
              <w:t>.</w:t>
            </w:r>
          </w:p>
        </w:tc>
      </w:tr>
      <w:tr w:rsidR="00210CAC" w:rsidRPr="00155FCC" w:rsidTr="00E72159">
        <w:tc>
          <w:tcPr>
            <w:tcW w:w="1527" w:type="pct"/>
          </w:tcPr>
          <w:p w:rsidR="00210CAC" w:rsidRPr="00155FCC" w:rsidRDefault="00210CAC" w:rsidP="00253E48">
            <w:pPr>
              <w:pStyle w:val="NormalWeb"/>
              <w:tabs>
                <w:tab w:val="left" w:pos="180"/>
              </w:tabs>
              <w:spacing w:before="0" w:beforeAutospacing="0" w:after="0" w:afterAutospacing="0"/>
            </w:pPr>
            <w:r w:rsidRPr="00155FCC">
              <w:t>4.</w:t>
            </w:r>
            <w:r w:rsidR="005228C9">
              <w:t xml:space="preserve"> Cita informācija</w:t>
            </w:r>
          </w:p>
          <w:p w:rsidR="00210CAC" w:rsidRPr="00155FCC" w:rsidRDefault="00210CAC" w:rsidP="00253E48">
            <w:pPr>
              <w:pStyle w:val="NormalWeb"/>
              <w:tabs>
                <w:tab w:val="left" w:pos="180"/>
              </w:tabs>
              <w:spacing w:before="0" w:beforeAutospacing="0" w:after="0" w:afterAutospacing="0"/>
            </w:pPr>
          </w:p>
        </w:tc>
        <w:tc>
          <w:tcPr>
            <w:tcW w:w="3473" w:type="pct"/>
          </w:tcPr>
          <w:p w:rsidR="005228C9" w:rsidRPr="00335BEE" w:rsidRDefault="005228C9" w:rsidP="005228C9">
            <w:pPr>
              <w:autoSpaceDE w:val="0"/>
              <w:autoSpaceDN w:val="0"/>
              <w:adjustRightInd w:val="0"/>
              <w:jc w:val="both"/>
            </w:pPr>
            <w:r>
              <w:t>Nav</w:t>
            </w:r>
            <w:r w:rsidR="00CC5069">
              <w:t>.</w:t>
            </w:r>
            <w:r w:rsidR="00C24ADC" w:rsidRPr="00335BEE">
              <w:t xml:space="preserve"> </w:t>
            </w:r>
          </w:p>
          <w:p w:rsidR="007C7130" w:rsidRPr="00335BEE" w:rsidRDefault="007C7130" w:rsidP="00F5162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4058E" w:rsidRDefault="0094058E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81"/>
      </w:tblGrid>
      <w:tr w:rsidR="005228C9" w:rsidRPr="00E44A25" w:rsidTr="002F773C">
        <w:trPr>
          <w:trHeight w:val="171"/>
        </w:trPr>
        <w:tc>
          <w:tcPr>
            <w:tcW w:w="5000" w:type="pct"/>
            <w:gridSpan w:val="2"/>
          </w:tcPr>
          <w:p w:rsidR="005228C9" w:rsidRDefault="005228C9" w:rsidP="002F773C">
            <w:pPr>
              <w:pStyle w:val="naisc"/>
              <w:spacing w:before="0" w:after="0"/>
              <w:rPr>
                <w:b/>
                <w:bCs/>
                <w:sz w:val="24"/>
                <w:szCs w:val="24"/>
              </w:rPr>
            </w:pPr>
          </w:p>
          <w:p w:rsidR="005228C9" w:rsidRDefault="005228C9" w:rsidP="002F773C">
            <w:pPr>
              <w:pStyle w:val="naisc"/>
              <w:spacing w:before="0" w:after="0"/>
              <w:rPr>
                <w:b/>
                <w:bCs/>
                <w:sz w:val="24"/>
                <w:szCs w:val="24"/>
              </w:rPr>
            </w:pPr>
            <w:r w:rsidRPr="00E44A25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E44A25">
              <w:rPr>
                <w:b/>
                <w:bCs/>
                <w:sz w:val="24"/>
                <w:szCs w:val="24"/>
              </w:rPr>
              <w:t xml:space="preserve">. Tiesību akta projekta </w:t>
            </w:r>
            <w:r>
              <w:rPr>
                <w:b/>
                <w:bCs/>
                <w:sz w:val="24"/>
                <w:szCs w:val="24"/>
              </w:rPr>
              <w:t xml:space="preserve">ietekme uz sabiedrību, tautsaimniecības attīstību un administratīvo slogu </w:t>
            </w:r>
          </w:p>
          <w:p w:rsidR="005228C9" w:rsidRPr="00E44A25" w:rsidRDefault="005228C9" w:rsidP="002F773C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</w:tr>
      <w:tr w:rsidR="005228C9" w:rsidRPr="00084286" w:rsidTr="002F773C">
        <w:tc>
          <w:tcPr>
            <w:tcW w:w="1527" w:type="pct"/>
          </w:tcPr>
          <w:p w:rsidR="005228C9" w:rsidRPr="00155FCC" w:rsidRDefault="005228C9" w:rsidP="005228C9">
            <w:pPr>
              <w:pStyle w:val="naisf"/>
              <w:tabs>
                <w:tab w:val="left" w:pos="180"/>
              </w:tabs>
              <w:spacing w:before="0" w:after="0"/>
              <w:ind w:firstLine="0"/>
            </w:pPr>
            <w:r w:rsidRPr="00155FCC">
              <w:t>1.</w:t>
            </w:r>
            <w:r>
              <w:t xml:space="preserve"> Sabiedrības </w:t>
            </w:r>
            <w:proofErr w:type="spellStart"/>
            <w:r>
              <w:t>mērķgrupas</w:t>
            </w:r>
            <w:proofErr w:type="spellEnd"/>
            <w:r>
              <w:t>, kuras tiesiskais regulējums ietekmē vai varētu ietekmēt</w:t>
            </w:r>
          </w:p>
        </w:tc>
        <w:tc>
          <w:tcPr>
            <w:tcW w:w="3473" w:type="pct"/>
          </w:tcPr>
          <w:p w:rsidR="005228C9" w:rsidRPr="00084286" w:rsidRDefault="00E30E37" w:rsidP="002F773C">
            <w:pPr>
              <w:jc w:val="both"/>
            </w:pPr>
            <w:r>
              <w:t>Projektam</w:t>
            </w:r>
            <w:r w:rsidR="005228C9">
              <w:t xml:space="preserve"> nav tiešas ietekmes uz sabiedrīb</w:t>
            </w:r>
            <w:r w:rsidR="001765A2">
              <w:t xml:space="preserve">u kopumā, tas attiecas uz Valsts aizsardzības militāro </w:t>
            </w:r>
            <w:r w:rsidR="00A87EF7">
              <w:t>objektu un iepirkumu centra</w:t>
            </w:r>
            <w:r w:rsidR="005228C9">
              <w:t xml:space="preserve"> funkcijām</w:t>
            </w:r>
            <w:r w:rsidR="00CC5069">
              <w:t>.</w:t>
            </w:r>
          </w:p>
        </w:tc>
      </w:tr>
      <w:tr w:rsidR="005228C9" w:rsidRPr="00335BEE" w:rsidTr="002F773C">
        <w:tc>
          <w:tcPr>
            <w:tcW w:w="1527" w:type="pct"/>
          </w:tcPr>
          <w:p w:rsidR="005228C9" w:rsidRPr="00155FCC" w:rsidRDefault="005228C9" w:rsidP="002F773C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  <w:r w:rsidRPr="00155FCC">
              <w:t>2.</w:t>
            </w:r>
            <w:r>
              <w:t xml:space="preserve"> Tiesiskā regulējuma ietekme uz tautsaimniecību un administratīvo slogu</w:t>
            </w:r>
          </w:p>
          <w:p w:rsidR="005228C9" w:rsidRPr="00155FCC" w:rsidRDefault="005228C9" w:rsidP="002F773C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</w:p>
          <w:p w:rsidR="005228C9" w:rsidRPr="00155FCC" w:rsidRDefault="005228C9" w:rsidP="002F773C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</w:p>
        </w:tc>
        <w:tc>
          <w:tcPr>
            <w:tcW w:w="3473" w:type="pct"/>
          </w:tcPr>
          <w:p w:rsidR="005228C9" w:rsidRPr="00335BEE" w:rsidRDefault="005228C9" w:rsidP="002F773C">
            <w:pPr>
              <w:autoSpaceDE w:val="0"/>
              <w:autoSpaceDN w:val="0"/>
              <w:adjustRightInd w:val="0"/>
              <w:jc w:val="both"/>
            </w:pPr>
            <w:r>
              <w:t>Projekts šo jomu neskar.</w:t>
            </w:r>
            <w:r w:rsidR="008A3A5A">
              <w:t xml:space="preserve"> </w:t>
            </w:r>
          </w:p>
        </w:tc>
      </w:tr>
      <w:tr w:rsidR="005228C9" w:rsidRPr="00335BEE" w:rsidTr="002F773C">
        <w:trPr>
          <w:trHeight w:val="426"/>
        </w:trPr>
        <w:tc>
          <w:tcPr>
            <w:tcW w:w="1527" w:type="pct"/>
          </w:tcPr>
          <w:p w:rsidR="005228C9" w:rsidRPr="00155FCC" w:rsidRDefault="005228C9" w:rsidP="005228C9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  <w:r w:rsidRPr="00155FCC">
              <w:t>3.</w:t>
            </w:r>
            <w:r>
              <w:t xml:space="preserve"> Administratīvo izmaksu monetārs novērtējums</w:t>
            </w:r>
          </w:p>
        </w:tc>
        <w:tc>
          <w:tcPr>
            <w:tcW w:w="3473" w:type="pct"/>
          </w:tcPr>
          <w:p w:rsidR="005228C9" w:rsidRPr="00335BEE" w:rsidRDefault="005228C9" w:rsidP="002F773C">
            <w:pPr>
              <w:jc w:val="both"/>
            </w:pPr>
            <w:r>
              <w:t>Projekts šo jomu neskar.</w:t>
            </w:r>
          </w:p>
        </w:tc>
      </w:tr>
      <w:tr w:rsidR="005228C9" w:rsidRPr="00335BEE" w:rsidTr="002F773C">
        <w:tc>
          <w:tcPr>
            <w:tcW w:w="1527" w:type="pct"/>
          </w:tcPr>
          <w:p w:rsidR="005228C9" w:rsidRPr="00155FCC" w:rsidRDefault="005228C9" w:rsidP="008519CF">
            <w:pPr>
              <w:pStyle w:val="NormalWeb"/>
              <w:tabs>
                <w:tab w:val="left" w:pos="180"/>
              </w:tabs>
              <w:spacing w:before="0" w:beforeAutospacing="0" w:after="0" w:afterAutospacing="0"/>
            </w:pPr>
            <w:r w:rsidRPr="00155FCC">
              <w:t>4.</w:t>
            </w:r>
            <w:r>
              <w:t xml:space="preserve"> Cita informācija</w:t>
            </w:r>
          </w:p>
        </w:tc>
        <w:tc>
          <w:tcPr>
            <w:tcW w:w="3473" w:type="pct"/>
          </w:tcPr>
          <w:p w:rsidR="005228C9" w:rsidRPr="00335BEE" w:rsidRDefault="005228C9" w:rsidP="005228C9">
            <w:pPr>
              <w:autoSpaceDE w:val="0"/>
              <w:autoSpaceDN w:val="0"/>
              <w:adjustRightInd w:val="0"/>
              <w:jc w:val="both"/>
            </w:pPr>
            <w:r>
              <w:t>Nav.</w:t>
            </w:r>
            <w:r w:rsidR="008519CF">
              <w:t xml:space="preserve"> </w:t>
            </w:r>
          </w:p>
        </w:tc>
      </w:tr>
    </w:tbl>
    <w:p w:rsidR="00210CAC" w:rsidRDefault="00210CAC" w:rsidP="00210CAC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81"/>
      </w:tblGrid>
      <w:tr w:rsidR="005228C9" w:rsidRPr="00E44A25" w:rsidTr="002F773C">
        <w:trPr>
          <w:trHeight w:val="171"/>
        </w:trPr>
        <w:tc>
          <w:tcPr>
            <w:tcW w:w="5000" w:type="pct"/>
            <w:gridSpan w:val="2"/>
          </w:tcPr>
          <w:p w:rsidR="005228C9" w:rsidRDefault="005228C9" w:rsidP="002F773C">
            <w:pPr>
              <w:pStyle w:val="naisc"/>
              <w:spacing w:before="0" w:after="0"/>
              <w:rPr>
                <w:b/>
                <w:bCs/>
                <w:sz w:val="24"/>
                <w:szCs w:val="24"/>
              </w:rPr>
            </w:pPr>
          </w:p>
          <w:p w:rsidR="005228C9" w:rsidRDefault="005228C9" w:rsidP="002F773C">
            <w:pPr>
              <w:pStyle w:val="naisc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  <w:r w:rsidRPr="00E44A25">
              <w:rPr>
                <w:b/>
                <w:bCs/>
                <w:sz w:val="24"/>
                <w:szCs w:val="24"/>
              </w:rPr>
              <w:t xml:space="preserve">. Tiesību akta projekta </w:t>
            </w:r>
            <w:r>
              <w:rPr>
                <w:b/>
                <w:bCs/>
                <w:sz w:val="24"/>
                <w:szCs w:val="24"/>
              </w:rPr>
              <w:t xml:space="preserve">izpildes nodrošināšana un tā ietekme uz institūcijām </w:t>
            </w:r>
          </w:p>
          <w:p w:rsidR="005228C9" w:rsidRPr="00E44A25" w:rsidRDefault="005228C9" w:rsidP="002F773C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</w:tr>
      <w:tr w:rsidR="005228C9" w:rsidRPr="00084286" w:rsidTr="002F773C">
        <w:tc>
          <w:tcPr>
            <w:tcW w:w="1527" w:type="pct"/>
          </w:tcPr>
          <w:p w:rsidR="005228C9" w:rsidRPr="00155FCC" w:rsidRDefault="005228C9" w:rsidP="005228C9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  <w:r w:rsidRPr="00155FCC">
              <w:lastRenderedPageBreak/>
              <w:t>1.</w:t>
            </w:r>
            <w:r>
              <w:t xml:space="preserve"> Projekta izpildē iesaistītās institūcijas</w:t>
            </w:r>
          </w:p>
        </w:tc>
        <w:tc>
          <w:tcPr>
            <w:tcW w:w="3473" w:type="pct"/>
          </w:tcPr>
          <w:p w:rsidR="005228C9" w:rsidRPr="00084286" w:rsidRDefault="003B3F60" w:rsidP="002F773C">
            <w:pPr>
              <w:jc w:val="both"/>
            </w:pPr>
            <w:r>
              <w:t>Valsts aizsardzības mili</w:t>
            </w:r>
            <w:r w:rsidR="00154B13">
              <w:t>tāro objektu un iepirkumu centrs</w:t>
            </w:r>
            <w:r>
              <w:t xml:space="preserve"> </w:t>
            </w:r>
            <w:r w:rsidR="005228C9">
              <w:t>un Aizsardzības ministrija</w:t>
            </w:r>
            <w:r w:rsidR="00B00310">
              <w:t>.</w:t>
            </w:r>
          </w:p>
        </w:tc>
      </w:tr>
      <w:tr w:rsidR="005228C9" w:rsidRPr="00335BEE" w:rsidTr="002F773C">
        <w:tc>
          <w:tcPr>
            <w:tcW w:w="1527" w:type="pct"/>
          </w:tcPr>
          <w:p w:rsidR="005228C9" w:rsidRPr="00155FCC" w:rsidRDefault="005228C9" w:rsidP="005228C9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  <w:r w:rsidRPr="00155FCC">
              <w:t>2.</w:t>
            </w:r>
            <w:r>
              <w:t xml:space="preserve"> 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473" w:type="pct"/>
          </w:tcPr>
          <w:p w:rsidR="005228C9" w:rsidRPr="00335BEE" w:rsidRDefault="005228C9" w:rsidP="002F773C">
            <w:pPr>
              <w:autoSpaceDE w:val="0"/>
              <w:autoSpaceDN w:val="0"/>
              <w:adjustRightInd w:val="0"/>
              <w:jc w:val="both"/>
            </w:pPr>
            <w:r>
              <w:t xml:space="preserve">Projekta </w:t>
            </w:r>
            <w:r w:rsidR="00CC5069">
              <w:t>izpilde not</w:t>
            </w:r>
            <w:r>
              <w:t>iks esošo pārvaldes funkciju un pieejamo cilvēkresursu ietvaros.</w:t>
            </w:r>
          </w:p>
        </w:tc>
      </w:tr>
      <w:tr w:rsidR="005228C9" w:rsidRPr="00335BEE" w:rsidTr="002F773C">
        <w:trPr>
          <w:trHeight w:val="426"/>
        </w:trPr>
        <w:tc>
          <w:tcPr>
            <w:tcW w:w="1527" w:type="pct"/>
          </w:tcPr>
          <w:p w:rsidR="005228C9" w:rsidRPr="00155FCC" w:rsidRDefault="005228C9" w:rsidP="005228C9">
            <w:pPr>
              <w:pStyle w:val="naisf"/>
              <w:tabs>
                <w:tab w:val="left" w:pos="180"/>
              </w:tabs>
              <w:spacing w:before="0" w:after="0"/>
              <w:ind w:firstLine="0"/>
              <w:jc w:val="left"/>
            </w:pPr>
            <w:r w:rsidRPr="00155FCC">
              <w:t>3.</w:t>
            </w:r>
            <w:r>
              <w:t xml:space="preserve"> Cita informācija</w:t>
            </w:r>
          </w:p>
        </w:tc>
        <w:tc>
          <w:tcPr>
            <w:tcW w:w="3473" w:type="pct"/>
          </w:tcPr>
          <w:p w:rsidR="005228C9" w:rsidRPr="00335BEE" w:rsidRDefault="005228C9" w:rsidP="002F773C">
            <w:pPr>
              <w:jc w:val="both"/>
            </w:pPr>
            <w:r>
              <w:t>Nav.</w:t>
            </w:r>
          </w:p>
        </w:tc>
      </w:tr>
    </w:tbl>
    <w:p w:rsidR="005228C9" w:rsidRDefault="005228C9" w:rsidP="00210CAC"/>
    <w:p w:rsidR="00210CAC" w:rsidRPr="00155FCC" w:rsidRDefault="00210CAC" w:rsidP="00210CAC">
      <w:r w:rsidRPr="00155FCC">
        <w:t xml:space="preserve">Anotācijas </w:t>
      </w:r>
      <w:r w:rsidR="00811999">
        <w:t xml:space="preserve">III, </w:t>
      </w:r>
      <w:r w:rsidR="00CC5069">
        <w:t>IV, V un VI</w:t>
      </w:r>
      <w:r>
        <w:t xml:space="preserve"> sadaļa </w:t>
      </w:r>
      <w:r w:rsidRPr="00155FCC">
        <w:t xml:space="preserve">– </w:t>
      </w:r>
      <w:r>
        <w:t>projekts šīs jomas neskar</w:t>
      </w:r>
      <w:r w:rsidRPr="00155FCC">
        <w:t>.</w:t>
      </w:r>
    </w:p>
    <w:p w:rsidR="00210CAC" w:rsidRPr="00155FCC" w:rsidRDefault="00210CAC" w:rsidP="00210CAC"/>
    <w:p w:rsidR="00210CAC" w:rsidRDefault="00210CAC" w:rsidP="00210CAC"/>
    <w:p w:rsidR="00B00310" w:rsidRDefault="00B00310" w:rsidP="00210CAC">
      <w:pPr>
        <w:rPr>
          <w:sz w:val="26"/>
          <w:szCs w:val="26"/>
        </w:rPr>
      </w:pPr>
    </w:p>
    <w:p w:rsidR="00210CAC" w:rsidRPr="00155FCC" w:rsidRDefault="00210CAC" w:rsidP="00210CAC">
      <w:pPr>
        <w:rPr>
          <w:color w:val="000000"/>
          <w:sz w:val="26"/>
          <w:szCs w:val="26"/>
        </w:rPr>
      </w:pPr>
      <w:r w:rsidRPr="00155FCC">
        <w:rPr>
          <w:sz w:val="26"/>
          <w:szCs w:val="26"/>
        </w:rPr>
        <w:t>Aizsardzības ministrs</w:t>
      </w:r>
      <w:r w:rsidRPr="00155FCC">
        <w:rPr>
          <w:sz w:val="26"/>
          <w:szCs w:val="26"/>
        </w:rPr>
        <w:tab/>
      </w:r>
      <w:r w:rsidRPr="00155FCC">
        <w:rPr>
          <w:color w:val="000000"/>
          <w:sz w:val="26"/>
          <w:szCs w:val="26"/>
        </w:rPr>
        <w:tab/>
      </w:r>
      <w:r w:rsidRPr="00155FCC">
        <w:rPr>
          <w:color w:val="000000"/>
          <w:sz w:val="26"/>
          <w:szCs w:val="26"/>
        </w:rPr>
        <w:tab/>
      </w:r>
      <w:r w:rsidRPr="00155FCC">
        <w:rPr>
          <w:color w:val="000000"/>
          <w:sz w:val="26"/>
          <w:szCs w:val="26"/>
        </w:rPr>
        <w:tab/>
      </w:r>
      <w:r w:rsidRPr="00155FCC">
        <w:rPr>
          <w:color w:val="000000"/>
          <w:sz w:val="26"/>
          <w:szCs w:val="26"/>
        </w:rPr>
        <w:tab/>
      </w:r>
      <w:r w:rsidRPr="00155FC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CC5069">
        <w:rPr>
          <w:color w:val="000000"/>
          <w:sz w:val="26"/>
          <w:szCs w:val="26"/>
        </w:rPr>
        <w:t>R.</w:t>
      </w:r>
      <w:r w:rsidR="003B3F60">
        <w:rPr>
          <w:color w:val="000000"/>
          <w:sz w:val="26"/>
          <w:szCs w:val="26"/>
        </w:rPr>
        <w:t> </w:t>
      </w:r>
      <w:proofErr w:type="spellStart"/>
      <w:r w:rsidR="00CC5069">
        <w:rPr>
          <w:color w:val="000000"/>
          <w:sz w:val="26"/>
          <w:szCs w:val="26"/>
        </w:rPr>
        <w:t>Bergmanis</w:t>
      </w:r>
      <w:proofErr w:type="spellEnd"/>
    </w:p>
    <w:p w:rsidR="00210CAC" w:rsidRPr="00155FCC" w:rsidRDefault="00210CAC" w:rsidP="00210CAC">
      <w:pPr>
        <w:rPr>
          <w:sz w:val="26"/>
          <w:szCs w:val="26"/>
        </w:rPr>
      </w:pPr>
    </w:p>
    <w:p w:rsidR="00210CAC" w:rsidRPr="00155FCC" w:rsidRDefault="00210CAC" w:rsidP="00210CAC">
      <w:pPr>
        <w:rPr>
          <w:sz w:val="26"/>
          <w:szCs w:val="26"/>
        </w:rPr>
      </w:pPr>
    </w:p>
    <w:p w:rsidR="00AC2390" w:rsidRPr="00AC2390" w:rsidRDefault="00AC2390" w:rsidP="00AC2390">
      <w:pPr>
        <w:tabs>
          <w:tab w:val="left" w:pos="6804"/>
        </w:tabs>
        <w:rPr>
          <w:color w:val="000000"/>
        </w:rPr>
      </w:pPr>
      <w:r w:rsidRPr="00AC2390">
        <w:rPr>
          <w:bCs/>
          <w:color w:val="000000"/>
        </w:rPr>
        <w:t xml:space="preserve">Vīza: Aizsardzības ministrijas </w:t>
      </w:r>
      <w:r w:rsidRPr="00AC2390">
        <w:rPr>
          <w:color w:val="000000"/>
        </w:rPr>
        <w:t xml:space="preserve">valsts sekretāra </w:t>
      </w:r>
      <w:proofErr w:type="spellStart"/>
      <w:r w:rsidRPr="00AC2390">
        <w:rPr>
          <w:color w:val="000000"/>
        </w:rPr>
        <w:t>p.i</w:t>
      </w:r>
      <w:proofErr w:type="spellEnd"/>
      <w:r w:rsidRPr="00AC2390">
        <w:rPr>
          <w:color w:val="000000"/>
        </w:rPr>
        <w:t>.</w:t>
      </w:r>
      <w:r w:rsidRPr="00AC2390">
        <w:rPr>
          <w:color w:val="000000"/>
        </w:rPr>
        <w:tab/>
      </w:r>
      <w:r>
        <w:rPr>
          <w:color w:val="000000"/>
        </w:rPr>
        <w:tab/>
      </w:r>
      <w:r w:rsidRPr="00AC2390">
        <w:rPr>
          <w:color w:val="000000"/>
        </w:rPr>
        <w:t>A.Puriņš</w:t>
      </w:r>
    </w:p>
    <w:p w:rsidR="007513D3" w:rsidRDefault="007513D3" w:rsidP="00210CAC">
      <w:pPr>
        <w:tabs>
          <w:tab w:val="left" w:pos="7020"/>
        </w:tabs>
        <w:jc w:val="both"/>
        <w:rPr>
          <w:sz w:val="20"/>
          <w:szCs w:val="20"/>
        </w:rPr>
      </w:pPr>
    </w:p>
    <w:p w:rsidR="00CC5069" w:rsidRDefault="00CC5069" w:rsidP="00210CAC">
      <w:pPr>
        <w:tabs>
          <w:tab w:val="left" w:pos="7020"/>
        </w:tabs>
        <w:jc w:val="both"/>
        <w:rPr>
          <w:sz w:val="20"/>
          <w:szCs w:val="20"/>
        </w:rPr>
      </w:pPr>
    </w:p>
    <w:p w:rsidR="00CC5069" w:rsidRDefault="00CC5069" w:rsidP="00210CAC">
      <w:pPr>
        <w:tabs>
          <w:tab w:val="left" w:pos="7020"/>
        </w:tabs>
        <w:jc w:val="both"/>
        <w:rPr>
          <w:sz w:val="20"/>
          <w:szCs w:val="20"/>
        </w:rPr>
      </w:pPr>
    </w:p>
    <w:p w:rsidR="00B376AF" w:rsidRDefault="00B376AF" w:rsidP="00210CAC">
      <w:pPr>
        <w:tabs>
          <w:tab w:val="left" w:pos="7020"/>
        </w:tabs>
        <w:jc w:val="both"/>
        <w:rPr>
          <w:sz w:val="20"/>
          <w:szCs w:val="20"/>
        </w:rPr>
      </w:pPr>
    </w:p>
    <w:p w:rsidR="00B376AF" w:rsidRDefault="00B376AF" w:rsidP="00210CAC">
      <w:pPr>
        <w:tabs>
          <w:tab w:val="left" w:pos="7020"/>
        </w:tabs>
        <w:jc w:val="both"/>
        <w:rPr>
          <w:sz w:val="20"/>
          <w:szCs w:val="20"/>
        </w:rPr>
      </w:pPr>
    </w:p>
    <w:p w:rsidR="00B376AF" w:rsidRDefault="00B376AF" w:rsidP="00210CAC">
      <w:pPr>
        <w:tabs>
          <w:tab w:val="left" w:pos="7020"/>
        </w:tabs>
        <w:jc w:val="both"/>
        <w:rPr>
          <w:sz w:val="20"/>
          <w:szCs w:val="20"/>
        </w:rPr>
      </w:pPr>
    </w:p>
    <w:p w:rsidR="00CC5069" w:rsidRDefault="00CC5069" w:rsidP="00210CAC">
      <w:pPr>
        <w:tabs>
          <w:tab w:val="left" w:pos="7020"/>
        </w:tabs>
        <w:jc w:val="both"/>
        <w:rPr>
          <w:sz w:val="20"/>
          <w:szCs w:val="20"/>
        </w:rPr>
      </w:pPr>
    </w:p>
    <w:p w:rsidR="00B376AF" w:rsidRPr="00155FCC" w:rsidRDefault="00B376AF" w:rsidP="00B376AF">
      <w:pPr>
        <w:tabs>
          <w:tab w:val="left" w:pos="7020"/>
        </w:tabs>
        <w:jc w:val="both"/>
        <w:rPr>
          <w:sz w:val="20"/>
          <w:szCs w:val="20"/>
        </w:rPr>
      </w:pPr>
      <w:r w:rsidRPr="00155FCC">
        <w:rPr>
          <w:sz w:val="20"/>
          <w:szCs w:val="20"/>
        </w:rPr>
        <w:fldChar w:fldCharType="begin"/>
      </w:r>
      <w:r w:rsidRPr="00155FCC">
        <w:rPr>
          <w:sz w:val="20"/>
          <w:szCs w:val="20"/>
        </w:rPr>
        <w:instrText xml:space="preserve"> DATE  \@ "dd.MM.yyyy. H:mm"  \* MERGEFORMAT </w:instrText>
      </w:r>
      <w:r w:rsidRPr="00155FCC">
        <w:rPr>
          <w:sz w:val="20"/>
          <w:szCs w:val="20"/>
        </w:rPr>
        <w:fldChar w:fldCharType="separate"/>
      </w:r>
      <w:r w:rsidR="008121EB">
        <w:rPr>
          <w:noProof/>
          <w:sz w:val="20"/>
          <w:szCs w:val="20"/>
        </w:rPr>
        <w:t>17.03.2016. 10:53</w:t>
      </w:r>
      <w:bookmarkStart w:id="0" w:name="_GoBack"/>
      <w:bookmarkEnd w:id="0"/>
      <w:r w:rsidRPr="00155FCC">
        <w:rPr>
          <w:sz w:val="20"/>
          <w:szCs w:val="20"/>
        </w:rPr>
        <w:fldChar w:fldCharType="end"/>
      </w:r>
    </w:p>
    <w:p w:rsidR="00920932" w:rsidRDefault="00920932" w:rsidP="00920932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C12C5D">
        <w:rPr>
          <w:noProof/>
          <w:sz w:val="20"/>
        </w:rPr>
        <w:t>688</w:t>
      </w:r>
      <w:r>
        <w:rPr>
          <w:sz w:val="20"/>
        </w:rPr>
        <w:fldChar w:fldCharType="end"/>
      </w:r>
    </w:p>
    <w:p w:rsidR="00B376AF" w:rsidRPr="00CD33F0" w:rsidRDefault="00B376AF" w:rsidP="00B376AF">
      <w:pPr>
        <w:jc w:val="both"/>
        <w:rPr>
          <w:sz w:val="20"/>
          <w:szCs w:val="20"/>
        </w:rPr>
      </w:pPr>
      <w:r>
        <w:rPr>
          <w:sz w:val="20"/>
          <w:szCs w:val="20"/>
        </w:rPr>
        <w:t>V.</w:t>
      </w:r>
      <w:r w:rsidR="005873B9">
        <w:rPr>
          <w:sz w:val="20"/>
          <w:szCs w:val="20"/>
        </w:rPr>
        <w:t> </w:t>
      </w:r>
      <w:r>
        <w:rPr>
          <w:sz w:val="20"/>
          <w:szCs w:val="20"/>
        </w:rPr>
        <w:t>Mileiko</w:t>
      </w:r>
      <w:r w:rsidR="00C86125">
        <w:rPr>
          <w:sz w:val="20"/>
          <w:szCs w:val="20"/>
        </w:rPr>
        <w:t>,</w:t>
      </w:r>
      <w:r w:rsidR="005873B9">
        <w:rPr>
          <w:sz w:val="20"/>
          <w:szCs w:val="20"/>
        </w:rPr>
        <w:t xml:space="preserve"> </w:t>
      </w:r>
      <w:r>
        <w:rPr>
          <w:sz w:val="20"/>
          <w:szCs w:val="20"/>
        </w:rPr>
        <w:t>67335064</w:t>
      </w:r>
      <w:r w:rsidRPr="00CD33F0">
        <w:rPr>
          <w:sz w:val="20"/>
          <w:szCs w:val="20"/>
        </w:rPr>
        <w:t xml:space="preserve"> </w:t>
      </w:r>
    </w:p>
    <w:p w:rsidR="00B376AF" w:rsidRPr="00CD33F0" w:rsidRDefault="00B376AF" w:rsidP="00B376AF">
      <w:pPr>
        <w:jc w:val="both"/>
        <w:rPr>
          <w:sz w:val="20"/>
          <w:szCs w:val="20"/>
        </w:rPr>
      </w:pPr>
      <w:r w:rsidRPr="00B376AF">
        <w:rPr>
          <w:sz w:val="20"/>
          <w:szCs w:val="20"/>
        </w:rPr>
        <w:t>Vineta.Mileiko</w:t>
      </w:r>
      <w:r>
        <w:rPr>
          <w:sz w:val="20"/>
          <w:szCs w:val="20"/>
        </w:rPr>
        <w:t>@mod.gov.lv</w:t>
      </w:r>
    </w:p>
    <w:p w:rsidR="00B376AF" w:rsidRPr="00210CAC" w:rsidRDefault="00B376AF" w:rsidP="00B376AF">
      <w:pPr>
        <w:jc w:val="both"/>
        <w:rPr>
          <w:sz w:val="20"/>
          <w:szCs w:val="20"/>
        </w:rPr>
      </w:pPr>
    </w:p>
    <w:p w:rsidR="007513D3" w:rsidRDefault="007513D3" w:rsidP="00210CAC">
      <w:pPr>
        <w:tabs>
          <w:tab w:val="left" w:pos="7020"/>
        </w:tabs>
        <w:jc w:val="both"/>
        <w:rPr>
          <w:sz w:val="20"/>
          <w:szCs w:val="20"/>
        </w:rPr>
      </w:pPr>
    </w:p>
    <w:p w:rsidR="00210CAC" w:rsidRPr="00CD33F0" w:rsidRDefault="00210CAC" w:rsidP="00210CAC">
      <w:pPr>
        <w:jc w:val="both"/>
        <w:rPr>
          <w:sz w:val="20"/>
          <w:szCs w:val="20"/>
        </w:rPr>
      </w:pPr>
      <w:r w:rsidRPr="00CD33F0">
        <w:rPr>
          <w:sz w:val="20"/>
          <w:szCs w:val="20"/>
        </w:rPr>
        <w:t>E.</w:t>
      </w:r>
      <w:r w:rsidR="003B3F60">
        <w:rPr>
          <w:sz w:val="20"/>
          <w:szCs w:val="20"/>
        </w:rPr>
        <w:t> </w:t>
      </w:r>
      <w:r w:rsidR="00F41F82" w:rsidRPr="00CD33F0">
        <w:rPr>
          <w:sz w:val="20"/>
          <w:szCs w:val="20"/>
        </w:rPr>
        <w:t>Valdmane</w:t>
      </w:r>
    </w:p>
    <w:p w:rsidR="00210CAC" w:rsidRPr="00CD33F0" w:rsidRDefault="00210CAC" w:rsidP="00210CAC">
      <w:pPr>
        <w:jc w:val="both"/>
        <w:rPr>
          <w:sz w:val="20"/>
          <w:szCs w:val="20"/>
        </w:rPr>
      </w:pPr>
      <w:r w:rsidRPr="00CD33F0">
        <w:rPr>
          <w:sz w:val="20"/>
          <w:szCs w:val="20"/>
        </w:rPr>
        <w:t xml:space="preserve">67300252,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CD33F0">
          <w:rPr>
            <w:sz w:val="20"/>
            <w:szCs w:val="20"/>
          </w:rPr>
          <w:t>fakss</w:t>
        </w:r>
      </w:smartTag>
      <w:r w:rsidRPr="00CD33F0">
        <w:rPr>
          <w:sz w:val="20"/>
          <w:szCs w:val="20"/>
        </w:rPr>
        <w:t xml:space="preserve"> 67300207</w:t>
      </w:r>
    </w:p>
    <w:p w:rsidR="00210CAC" w:rsidRPr="00C86125" w:rsidRDefault="008121EB" w:rsidP="00210CAC">
      <w:pPr>
        <w:jc w:val="both"/>
        <w:rPr>
          <w:sz w:val="20"/>
          <w:szCs w:val="20"/>
        </w:rPr>
      </w:pPr>
      <w:hyperlink r:id="rId8" w:history="1">
        <w:r w:rsidR="00F41F82" w:rsidRPr="00C86125">
          <w:rPr>
            <w:rStyle w:val="Hyperlink"/>
            <w:color w:val="auto"/>
            <w:sz w:val="20"/>
            <w:szCs w:val="20"/>
            <w:u w:val="none"/>
          </w:rPr>
          <w:t>Elita.Valdmane@vamoic.gov.lv</w:t>
        </w:r>
      </w:hyperlink>
    </w:p>
    <w:p w:rsidR="00885631" w:rsidRPr="00C86125" w:rsidRDefault="00885631" w:rsidP="00210CAC">
      <w:pPr>
        <w:jc w:val="both"/>
        <w:rPr>
          <w:sz w:val="20"/>
          <w:szCs w:val="20"/>
        </w:rPr>
      </w:pPr>
    </w:p>
    <w:sectPr w:rsidR="00885631" w:rsidRPr="00C86125" w:rsidSect="008A097A">
      <w:headerReference w:type="default" r:id="rId9"/>
      <w:footerReference w:type="default" r:id="rId10"/>
      <w:footerReference w:type="first" r:id="rId11"/>
      <w:pgSz w:w="12240" w:h="15840"/>
      <w:pgMar w:top="1134" w:right="1134" w:bottom="1134" w:left="1701" w:header="425" w:footer="1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14" w:rsidRDefault="00C74914" w:rsidP="00210CAC">
      <w:r>
        <w:separator/>
      </w:r>
    </w:p>
  </w:endnote>
  <w:endnote w:type="continuationSeparator" w:id="0">
    <w:p w:rsidR="00C74914" w:rsidRDefault="00C74914" w:rsidP="0021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26" w:rsidRPr="00EB1226" w:rsidRDefault="00363727" w:rsidP="00EB1226">
    <w:pPr>
      <w:pStyle w:val="Footer"/>
      <w:rPr>
        <w:sz w:val="20"/>
        <w:szCs w:val="20"/>
      </w:rPr>
    </w:pPr>
    <w:r>
      <w:rPr>
        <w:sz w:val="20"/>
        <w:szCs w:val="20"/>
      </w:rPr>
      <w:t>AIManot_1</w:t>
    </w:r>
    <w:r w:rsidR="006E7473">
      <w:rPr>
        <w:sz w:val="20"/>
        <w:szCs w:val="20"/>
      </w:rPr>
      <w:t>703</w:t>
    </w:r>
    <w:r w:rsidR="00B376AF">
      <w:rPr>
        <w:sz w:val="20"/>
        <w:szCs w:val="20"/>
      </w:rPr>
      <w:t>16</w:t>
    </w:r>
    <w:r w:rsidR="00EB1226" w:rsidRPr="00EB1226">
      <w:rPr>
        <w:sz w:val="20"/>
        <w:szCs w:val="20"/>
      </w:rPr>
      <w:t>; Anotācija Ministru kabineta noteikumu projektam „Grozījums Ministru kabineta 2009.gada 15.decembra noteikumos Nr.1418 “Valsts aizsardzīb</w:t>
    </w:r>
    <w:r w:rsidR="00B376AF">
      <w:rPr>
        <w:sz w:val="20"/>
        <w:szCs w:val="20"/>
      </w:rPr>
      <w:t>as militāro objektu un iepirkumu</w:t>
    </w:r>
    <w:r w:rsidR="00EB1226" w:rsidRPr="00EB1226">
      <w:rPr>
        <w:sz w:val="20"/>
        <w:szCs w:val="20"/>
      </w:rPr>
      <w:t xml:space="preserve"> centra nolikums””</w:t>
    </w:r>
  </w:p>
  <w:p w:rsidR="00B10920" w:rsidRDefault="00B1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20" w:rsidRPr="000F6C78" w:rsidRDefault="00B10920" w:rsidP="00253E48">
    <w:pPr>
      <w:pStyle w:val="Footer"/>
      <w:rPr>
        <w:szCs w:val="20"/>
      </w:rPr>
    </w:pPr>
    <w:r>
      <w:rPr>
        <w:sz w:val="20"/>
        <w:szCs w:val="20"/>
      </w:rPr>
      <w:t>AIManot_</w:t>
    </w:r>
    <w:r w:rsidR="00363727">
      <w:rPr>
        <w:sz w:val="20"/>
        <w:szCs w:val="20"/>
      </w:rPr>
      <w:t>1</w:t>
    </w:r>
    <w:r w:rsidR="006E7473">
      <w:rPr>
        <w:sz w:val="20"/>
        <w:szCs w:val="20"/>
      </w:rPr>
      <w:t>703</w:t>
    </w:r>
    <w:r w:rsidR="00B376AF">
      <w:rPr>
        <w:sz w:val="20"/>
        <w:szCs w:val="20"/>
      </w:rPr>
      <w:t>16</w:t>
    </w:r>
    <w:r>
      <w:rPr>
        <w:sz w:val="20"/>
        <w:szCs w:val="20"/>
      </w:rPr>
      <w:t>; A</w:t>
    </w:r>
    <w:r w:rsidRPr="00366C06">
      <w:rPr>
        <w:sz w:val="20"/>
        <w:szCs w:val="20"/>
      </w:rPr>
      <w:t xml:space="preserve">notācija Ministru kabineta </w:t>
    </w:r>
    <w:r>
      <w:rPr>
        <w:sz w:val="20"/>
        <w:szCs w:val="20"/>
      </w:rPr>
      <w:t>noteikumu</w:t>
    </w:r>
    <w:r w:rsidRPr="00366C06">
      <w:rPr>
        <w:sz w:val="20"/>
        <w:szCs w:val="20"/>
      </w:rPr>
      <w:t xml:space="preserve"> projektam </w:t>
    </w:r>
    <w:r w:rsidR="00EB1226" w:rsidRPr="00EB1226">
      <w:rPr>
        <w:sz w:val="20"/>
        <w:szCs w:val="20"/>
      </w:rPr>
      <w:t>„Grozījums Ministru kabineta 2009.gada 15.decembra noteikumos Nr.1418 “Valsts aizsardzīb</w:t>
    </w:r>
    <w:r w:rsidR="00B376AF">
      <w:rPr>
        <w:sz w:val="20"/>
        <w:szCs w:val="20"/>
      </w:rPr>
      <w:t>as militāro objektu un iepirkumu</w:t>
    </w:r>
    <w:r w:rsidR="00EB1226" w:rsidRPr="00EB1226">
      <w:rPr>
        <w:sz w:val="20"/>
        <w:szCs w:val="20"/>
      </w:rPr>
      <w:t xml:space="preserve"> centra nolikums””</w:t>
    </w:r>
  </w:p>
  <w:p w:rsidR="00B10920" w:rsidRDefault="00B1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14" w:rsidRDefault="00C74914" w:rsidP="00210CAC">
      <w:r>
        <w:separator/>
      </w:r>
    </w:p>
  </w:footnote>
  <w:footnote w:type="continuationSeparator" w:id="0">
    <w:p w:rsidR="00C74914" w:rsidRDefault="00C74914" w:rsidP="0021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20" w:rsidRDefault="0010624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1EB">
      <w:rPr>
        <w:noProof/>
      </w:rPr>
      <w:t>3</w:t>
    </w:r>
    <w:r>
      <w:rPr>
        <w:noProof/>
      </w:rPr>
      <w:fldChar w:fldCharType="end"/>
    </w:r>
  </w:p>
  <w:p w:rsidR="00B10920" w:rsidRDefault="00B10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AC"/>
    <w:rsid w:val="000110A8"/>
    <w:rsid w:val="00032C86"/>
    <w:rsid w:val="00033CD2"/>
    <w:rsid w:val="00033FDE"/>
    <w:rsid w:val="00042175"/>
    <w:rsid w:val="00082A30"/>
    <w:rsid w:val="00084286"/>
    <w:rsid w:val="00087943"/>
    <w:rsid w:val="0009643E"/>
    <w:rsid w:val="000B41EE"/>
    <w:rsid w:val="000C5234"/>
    <w:rsid w:val="000C7325"/>
    <w:rsid w:val="0010624F"/>
    <w:rsid w:val="0011033F"/>
    <w:rsid w:val="0013008C"/>
    <w:rsid w:val="00154B13"/>
    <w:rsid w:val="001617C2"/>
    <w:rsid w:val="00164341"/>
    <w:rsid w:val="00164367"/>
    <w:rsid w:val="001765A2"/>
    <w:rsid w:val="00190ED9"/>
    <w:rsid w:val="00192CFF"/>
    <w:rsid w:val="001C28EF"/>
    <w:rsid w:val="001D4E1D"/>
    <w:rsid w:val="001F18E3"/>
    <w:rsid w:val="001F5F9D"/>
    <w:rsid w:val="00204BF7"/>
    <w:rsid w:val="00210CAC"/>
    <w:rsid w:val="0021735B"/>
    <w:rsid w:val="00221068"/>
    <w:rsid w:val="002326A1"/>
    <w:rsid w:val="002361A8"/>
    <w:rsid w:val="00241FFD"/>
    <w:rsid w:val="00244069"/>
    <w:rsid w:val="00244A9D"/>
    <w:rsid w:val="00253E48"/>
    <w:rsid w:val="00255836"/>
    <w:rsid w:val="002634FA"/>
    <w:rsid w:val="00274797"/>
    <w:rsid w:val="0028541C"/>
    <w:rsid w:val="0028602A"/>
    <w:rsid w:val="002923E5"/>
    <w:rsid w:val="002926D6"/>
    <w:rsid w:val="002B13BD"/>
    <w:rsid w:val="002D4F5F"/>
    <w:rsid w:val="002E1F9E"/>
    <w:rsid w:val="002F66B3"/>
    <w:rsid w:val="00333844"/>
    <w:rsid w:val="003349FF"/>
    <w:rsid w:val="00335BEE"/>
    <w:rsid w:val="00341644"/>
    <w:rsid w:val="00360E75"/>
    <w:rsid w:val="00363727"/>
    <w:rsid w:val="00383FC2"/>
    <w:rsid w:val="00384433"/>
    <w:rsid w:val="0038583A"/>
    <w:rsid w:val="003875C3"/>
    <w:rsid w:val="0039557D"/>
    <w:rsid w:val="003A2A5F"/>
    <w:rsid w:val="003A3622"/>
    <w:rsid w:val="003B3F60"/>
    <w:rsid w:val="003B4750"/>
    <w:rsid w:val="003C0FCC"/>
    <w:rsid w:val="003C5035"/>
    <w:rsid w:val="003D1D03"/>
    <w:rsid w:val="003E117D"/>
    <w:rsid w:val="003E5321"/>
    <w:rsid w:val="003E5C84"/>
    <w:rsid w:val="003F7388"/>
    <w:rsid w:val="004229A1"/>
    <w:rsid w:val="00425099"/>
    <w:rsid w:val="00452CE5"/>
    <w:rsid w:val="00457808"/>
    <w:rsid w:val="00460473"/>
    <w:rsid w:val="00464C53"/>
    <w:rsid w:val="004943B5"/>
    <w:rsid w:val="004B2E9F"/>
    <w:rsid w:val="004D56B7"/>
    <w:rsid w:val="004E6589"/>
    <w:rsid w:val="005019B9"/>
    <w:rsid w:val="00510123"/>
    <w:rsid w:val="00515949"/>
    <w:rsid w:val="005228C9"/>
    <w:rsid w:val="005259F8"/>
    <w:rsid w:val="0054684E"/>
    <w:rsid w:val="00546C31"/>
    <w:rsid w:val="00555150"/>
    <w:rsid w:val="0056088C"/>
    <w:rsid w:val="00570374"/>
    <w:rsid w:val="00576680"/>
    <w:rsid w:val="00576CB3"/>
    <w:rsid w:val="005873B9"/>
    <w:rsid w:val="005900B9"/>
    <w:rsid w:val="005952AB"/>
    <w:rsid w:val="00596FFD"/>
    <w:rsid w:val="005B0E38"/>
    <w:rsid w:val="005C317E"/>
    <w:rsid w:val="005C5672"/>
    <w:rsid w:val="005D07F4"/>
    <w:rsid w:val="005D1B0D"/>
    <w:rsid w:val="005D34DF"/>
    <w:rsid w:val="005D49F1"/>
    <w:rsid w:val="005E19D9"/>
    <w:rsid w:val="005F068C"/>
    <w:rsid w:val="005F52AD"/>
    <w:rsid w:val="005F638E"/>
    <w:rsid w:val="00603AF2"/>
    <w:rsid w:val="006219ED"/>
    <w:rsid w:val="006301AF"/>
    <w:rsid w:val="006342D2"/>
    <w:rsid w:val="00643246"/>
    <w:rsid w:val="006463CE"/>
    <w:rsid w:val="00661488"/>
    <w:rsid w:val="006713B8"/>
    <w:rsid w:val="006961FE"/>
    <w:rsid w:val="006A4B35"/>
    <w:rsid w:val="006A5E45"/>
    <w:rsid w:val="006A65CD"/>
    <w:rsid w:val="006B61CB"/>
    <w:rsid w:val="006E03D9"/>
    <w:rsid w:val="006E189F"/>
    <w:rsid w:val="006E7473"/>
    <w:rsid w:val="006F31F7"/>
    <w:rsid w:val="006F4425"/>
    <w:rsid w:val="006F48FD"/>
    <w:rsid w:val="00702DFB"/>
    <w:rsid w:val="00711923"/>
    <w:rsid w:val="00712796"/>
    <w:rsid w:val="00733CA7"/>
    <w:rsid w:val="0075136A"/>
    <w:rsid w:val="007513D3"/>
    <w:rsid w:val="00767755"/>
    <w:rsid w:val="00777AA8"/>
    <w:rsid w:val="007874AA"/>
    <w:rsid w:val="007C5E3B"/>
    <w:rsid w:val="007C633F"/>
    <w:rsid w:val="007C7130"/>
    <w:rsid w:val="007F3095"/>
    <w:rsid w:val="00811999"/>
    <w:rsid w:val="008121EB"/>
    <w:rsid w:val="00820342"/>
    <w:rsid w:val="00824B03"/>
    <w:rsid w:val="008279EB"/>
    <w:rsid w:val="0084589E"/>
    <w:rsid w:val="008519CF"/>
    <w:rsid w:val="00852C05"/>
    <w:rsid w:val="008671F6"/>
    <w:rsid w:val="00873880"/>
    <w:rsid w:val="008830D5"/>
    <w:rsid w:val="00885631"/>
    <w:rsid w:val="008931C4"/>
    <w:rsid w:val="0089514C"/>
    <w:rsid w:val="0089621B"/>
    <w:rsid w:val="008A097A"/>
    <w:rsid w:val="008A3A5A"/>
    <w:rsid w:val="008C6194"/>
    <w:rsid w:val="008E22F8"/>
    <w:rsid w:val="008E4757"/>
    <w:rsid w:val="008F42E4"/>
    <w:rsid w:val="00901578"/>
    <w:rsid w:val="00907444"/>
    <w:rsid w:val="0091094B"/>
    <w:rsid w:val="00911C7B"/>
    <w:rsid w:val="00920932"/>
    <w:rsid w:val="00932DC8"/>
    <w:rsid w:val="00935711"/>
    <w:rsid w:val="0094058E"/>
    <w:rsid w:val="00941E12"/>
    <w:rsid w:val="00974744"/>
    <w:rsid w:val="00976D5A"/>
    <w:rsid w:val="009831DA"/>
    <w:rsid w:val="009A1DF9"/>
    <w:rsid w:val="009B49FB"/>
    <w:rsid w:val="009C4A8E"/>
    <w:rsid w:val="009E48D7"/>
    <w:rsid w:val="009E6966"/>
    <w:rsid w:val="00A124EC"/>
    <w:rsid w:val="00A21B9D"/>
    <w:rsid w:val="00A2629B"/>
    <w:rsid w:val="00A2644F"/>
    <w:rsid w:val="00A50C66"/>
    <w:rsid w:val="00A67F33"/>
    <w:rsid w:val="00A85719"/>
    <w:rsid w:val="00A87CA0"/>
    <w:rsid w:val="00A87EF7"/>
    <w:rsid w:val="00A96126"/>
    <w:rsid w:val="00AC2390"/>
    <w:rsid w:val="00AF6E31"/>
    <w:rsid w:val="00B00310"/>
    <w:rsid w:val="00B00B7F"/>
    <w:rsid w:val="00B0206C"/>
    <w:rsid w:val="00B05F5B"/>
    <w:rsid w:val="00B10920"/>
    <w:rsid w:val="00B13968"/>
    <w:rsid w:val="00B15EA4"/>
    <w:rsid w:val="00B22E0A"/>
    <w:rsid w:val="00B376AF"/>
    <w:rsid w:val="00B51294"/>
    <w:rsid w:val="00B61019"/>
    <w:rsid w:val="00B644A9"/>
    <w:rsid w:val="00B65865"/>
    <w:rsid w:val="00B777F0"/>
    <w:rsid w:val="00B82088"/>
    <w:rsid w:val="00B85209"/>
    <w:rsid w:val="00BB7348"/>
    <w:rsid w:val="00BC3B31"/>
    <w:rsid w:val="00BC4A60"/>
    <w:rsid w:val="00BF08D6"/>
    <w:rsid w:val="00C0090C"/>
    <w:rsid w:val="00C01AFF"/>
    <w:rsid w:val="00C12C5D"/>
    <w:rsid w:val="00C20B11"/>
    <w:rsid w:val="00C22401"/>
    <w:rsid w:val="00C24ADC"/>
    <w:rsid w:val="00C41691"/>
    <w:rsid w:val="00C538E4"/>
    <w:rsid w:val="00C54A27"/>
    <w:rsid w:val="00C61ABC"/>
    <w:rsid w:val="00C74914"/>
    <w:rsid w:val="00C74E82"/>
    <w:rsid w:val="00C74FE5"/>
    <w:rsid w:val="00C75753"/>
    <w:rsid w:val="00C8432E"/>
    <w:rsid w:val="00C86125"/>
    <w:rsid w:val="00C8642D"/>
    <w:rsid w:val="00C86442"/>
    <w:rsid w:val="00C86995"/>
    <w:rsid w:val="00C92640"/>
    <w:rsid w:val="00C93E46"/>
    <w:rsid w:val="00CA753B"/>
    <w:rsid w:val="00CC3E74"/>
    <w:rsid w:val="00CC5069"/>
    <w:rsid w:val="00CC5B3E"/>
    <w:rsid w:val="00CC79E9"/>
    <w:rsid w:val="00CC7A77"/>
    <w:rsid w:val="00CD318A"/>
    <w:rsid w:val="00CD33F0"/>
    <w:rsid w:val="00CE72C5"/>
    <w:rsid w:val="00CF1D33"/>
    <w:rsid w:val="00CF4337"/>
    <w:rsid w:val="00CF5170"/>
    <w:rsid w:val="00D16F42"/>
    <w:rsid w:val="00D2165E"/>
    <w:rsid w:val="00D370E2"/>
    <w:rsid w:val="00D40B5A"/>
    <w:rsid w:val="00D44972"/>
    <w:rsid w:val="00D45F42"/>
    <w:rsid w:val="00D47F70"/>
    <w:rsid w:val="00D5021A"/>
    <w:rsid w:val="00D551B0"/>
    <w:rsid w:val="00D5663B"/>
    <w:rsid w:val="00DA0ED1"/>
    <w:rsid w:val="00DB5533"/>
    <w:rsid w:val="00DE62A7"/>
    <w:rsid w:val="00DF26C9"/>
    <w:rsid w:val="00E07A35"/>
    <w:rsid w:val="00E216B2"/>
    <w:rsid w:val="00E30E37"/>
    <w:rsid w:val="00E62987"/>
    <w:rsid w:val="00E66F08"/>
    <w:rsid w:val="00E673AB"/>
    <w:rsid w:val="00E72159"/>
    <w:rsid w:val="00E91527"/>
    <w:rsid w:val="00EB1226"/>
    <w:rsid w:val="00EB2A87"/>
    <w:rsid w:val="00EB3064"/>
    <w:rsid w:val="00EB5763"/>
    <w:rsid w:val="00EB762A"/>
    <w:rsid w:val="00EC0F07"/>
    <w:rsid w:val="00ED60DD"/>
    <w:rsid w:val="00F1166D"/>
    <w:rsid w:val="00F14D24"/>
    <w:rsid w:val="00F416BE"/>
    <w:rsid w:val="00F41F82"/>
    <w:rsid w:val="00F42A4E"/>
    <w:rsid w:val="00F44312"/>
    <w:rsid w:val="00F51629"/>
    <w:rsid w:val="00F53928"/>
    <w:rsid w:val="00F5401D"/>
    <w:rsid w:val="00F615EE"/>
    <w:rsid w:val="00F72555"/>
    <w:rsid w:val="00FA266C"/>
    <w:rsid w:val="00FC332D"/>
    <w:rsid w:val="00FC6F11"/>
    <w:rsid w:val="00FF552A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0CAC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10CA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210CAC"/>
    <w:pPr>
      <w:spacing w:before="450" w:after="300"/>
      <w:jc w:val="center"/>
    </w:pPr>
    <w:rPr>
      <w:sz w:val="26"/>
      <w:szCs w:val="26"/>
    </w:rPr>
  </w:style>
  <w:style w:type="paragraph" w:customStyle="1" w:styleId="naisnod">
    <w:name w:val="naisnod"/>
    <w:basedOn w:val="Normal"/>
    <w:rsid w:val="00210CAC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10CA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A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uiPriority w:val="99"/>
    <w:unhideWhenUsed/>
    <w:rsid w:val="00210C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C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0CA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210C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10CA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210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CA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uiPriority w:val="99"/>
    <w:semiHidden/>
    <w:unhideWhenUsed/>
    <w:rsid w:val="0029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26D6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26D6"/>
    <w:rPr>
      <w:rFonts w:ascii="Times New Roman" w:eastAsia="Times New Roman" w:hAnsi="Times New Roman"/>
      <w:b/>
      <w:bCs/>
      <w:lang w:val="lv-LV" w:eastAsia="lv-LV"/>
    </w:rPr>
  </w:style>
  <w:style w:type="character" w:customStyle="1" w:styleId="spelle">
    <w:name w:val="spelle"/>
    <w:basedOn w:val="DefaultParagraphFont"/>
    <w:rsid w:val="00011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0CAC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10CA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210CAC"/>
    <w:pPr>
      <w:spacing w:before="450" w:after="300"/>
      <w:jc w:val="center"/>
    </w:pPr>
    <w:rPr>
      <w:sz w:val="26"/>
      <w:szCs w:val="26"/>
    </w:rPr>
  </w:style>
  <w:style w:type="paragraph" w:customStyle="1" w:styleId="naisnod">
    <w:name w:val="naisnod"/>
    <w:basedOn w:val="Normal"/>
    <w:rsid w:val="00210CAC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10CA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A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uiPriority w:val="99"/>
    <w:unhideWhenUsed/>
    <w:rsid w:val="00210C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C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0CA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210C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10CA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210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CA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uiPriority w:val="99"/>
    <w:semiHidden/>
    <w:unhideWhenUsed/>
    <w:rsid w:val="0029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26D6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26D6"/>
    <w:rPr>
      <w:rFonts w:ascii="Times New Roman" w:eastAsia="Times New Roman" w:hAnsi="Times New Roman"/>
      <w:b/>
      <w:bCs/>
      <w:lang w:val="lv-LV" w:eastAsia="lv-LV"/>
    </w:rPr>
  </w:style>
  <w:style w:type="character" w:customStyle="1" w:styleId="spelle">
    <w:name w:val="spelle"/>
    <w:basedOn w:val="DefaultParagraphFont"/>
    <w:rsid w:val="0001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a.Valdmane@vamoic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AFC0-5D33-493D-B879-4435968D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CFE380C1.dotm</Template>
  <TotalTime>14</TotalTime>
  <Pages>3</Pages>
  <Words>708</Words>
  <Characters>4981</Characters>
  <Application>Microsoft Office Word</Application>
  <DocSecurity>0</DocSecurity>
  <Lines>216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„Grozījums Ministru kabineta 2009.gada 15.decembra noteikumos Nr.1418 “Valsts aizsardzības militāro objektu un iepirkuma centra nolikums””</vt:lpstr>
    </vt:vector>
  </TitlesOfParts>
  <Company>AM, VAMOIC</Company>
  <LinksUpToDate>false</LinksUpToDate>
  <CharactersWithSpaces>5659</CharactersWithSpaces>
  <SharedDoc>false</SharedDoc>
  <HLinks>
    <vt:vector size="12" baseType="variant">
      <vt:variant>
        <vt:i4>8257606</vt:i4>
      </vt:variant>
      <vt:variant>
        <vt:i4>9</vt:i4>
      </vt:variant>
      <vt:variant>
        <vt:i4>0</vt:i4>
      </vt:variant>
      <vt:variant>
        <vt:i4>5</vt:i4>
      </vt:variant>
      <vt:variant>
        <vt:lpwstr>mailto:Ilona.Krutova@vamoic.gov.lv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mailto:Elita.Valdmane@vamoic.gov.lv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2009.gada 15.decembra noteikumos Nr.1418 “Valsts aizsardzības militāro objektu un iepirkuma centra nolikums””</dc:title>
  <dc:subject>Anotācija MK noteikumu projektam</dc:subject>
  <dc:creator>Vineta Mileiko, Elita Valdmane</dc:creator>
  <dc:description>Tālrunis 67300252, fakss 67300207 Elita.Valdmane@vamoic.gov.lv</dc:description>
  <cp:lastModifiedBy>Vineta Mileiko</cp:lastModifiedBy>
  <cp:revision>11</cp:revision>
  <cp:lastPrinted>2016-02-11T17:25:00Z</cp:lastPrinted>
  <dcterms:created xsi:type="dcterms:W3CDTF">2016-03-16T08:30:00Z</dcterms:created>
  <dcterms:modified xsi:type="dcterms:W3CDTF">2016-03-17T08:53:00Z</dcterms:modified>
</cp:coreProperties>
</file>