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1A" w:rsidRPr="0037568D" w:rsidRDefault="00474D1A" w:rsidP="008E3BD9">
      <w:pPr>
        <w:spacing w:line="240" w:lineRule="auto"/>
        <w:ind w:right="-1417"/>
        <w:rPr>
          <w:strike/>
        </w:rPr>
      </w:pPr>
    </w:p>
    <w:p w:rsidR="00474D1A" w:rsidRDefault="00474D1A" w:rsidP="008E3BD9">
      <w:pPr>
        <w:spacing w:line="240" w:lineRule="auto"/>
        <w:jc w:val="center"/>
      </w:pPr>
    </w:p>
    <w:p w:rsidR="00474D1A" w:rsidRDefault="00474D1A" w:rsidP="008E3BD9">
      <w:pPr>
        <w:spacing w:line="240" w:lineRule="auto"/>
        <w:jc w:val="center"/>
      </w:pPr>
    </w:p>
    <w:p w:rsidR="00474D1A" w:rsidRDefault="00474D1A" w:rsidP="008E3BD9">
      <w:pPr>
        <w:spacing w:line="240" w:lineRule="auto"/>
        <w:jc w:val="center"/>
      </w:pPr>
    </w:p>
    <w:p w:rsidR="00474D1A" w:rsidRDefault="00474D1A" w:rsidP="008E3BD9">
      <w:pPr>
        <w:spacing w:line="240" w:lineRule="auto"/>
        <w:jc w:val="center"/>
      </w:pPr>
    </w:p>
    <w:p w:rsidR="00474D1A" w:rsidRDefault="002577EA" w:rsidP="008E3BD9">
      <w:pPr>
        <w:spacing w:line="240" w:lineRule="auto"/>
        <w:jc w:val="center"/>
      </w:pPr>
      <w:r>
        <w:rPr>
          <w:lang w:val="fr-FR"/>
        </w:rPr>
        <w:t>ACCORD</w:t>
      </w:r>
    </w:p>
    <w:p w:rsidR="00474D1A" w:rsidRDefault="00474D1A" w:rsidP="008E3BD9">
      <w:pPr>
        <w:spacing w:line="240" w:lineRule="auto"/>
        <w:jc w:val="center"/>
      </w:pPr>
    </w:p>
    <w:p w:rsidR="00474D1A" w:rsidRDefault="00474D1A" w:rsidP="008E3BD9">
      <w:pPr>
        <w:spacing w:line="240" w:lineRule="auto"/>
        <w:jc w:val="center"/>
      </w:pPr>
    </w:p>
    <w:p w:rsidR="00474D1A" w:rsidRDefault="00474D1A" w:rsidP="008E3BD9">
      <w:pPr>
        <w:spacing w:line="240" w:lineRule="auto"/>
        <w:jc w:val="center"/>
      </w:pPr>
    </w:p>
    <w:p w:rsidR="00474D1A" w:rsidRDefault="00606F3C" w:rsidP="008E3BD9">
      <w:pPr>
        <w:spacing w:line="240" w:lineRule="auto"/>
        <w:jc w:val="center"/>
      </w:pPr>
      <w:r>
        <w:rPr>
          <w:lang w:val="fr-FR"/>
        </w:rPr>
        <w:t xml:space="preserve">ENTRE LE GOUVERNEMENT DE LA REPUBLIQUE FRANCAISE </w:t>
      </w:r>
    </w:p>
    <w:p w:rsidR="00474D1A" w:rsidRDefault="00474D1A" w:rsidP="008E3BD9">
      <w:pPr>
        <w:spacing w:line="240" w:lineRule="auto"/>
        <w:jc w:val="center"/>
      </w:pPr>
    </w:p>
    <w:p w:rsidR="00474D1A" w:rsidRDefault="00474D1A" w:rsidP="008E3BD9">
      <w:pPr>
        <w:spacing w:line="240" w:lineRule="auto"/>
        <w:jc w:val="center"/>
      </w:pPr>
    </w:p>
    <w:p w:rsidR="00474D1A" w:rsidRDefault="00606F3C" w:rsidP="008E3BD9">
      <w:pPr>
        <w:spacing w:line="240" w:lineRule="auto"/>
        <w:jc w:val="center"/>
      </w:pPr>
      <w:r>
        <w:rPr>
          <w:lang w:val="fr-FR"/>
        </w:rPr>
        <w:t xml:space="preserve">ET </w:t>
      </w:r>
    </w:p>
    <w:p w:rsidR="00474D1A" w:rsidRDefault="00474D1A" w:rsidP="008E3BD9">
      <w:pPr>
        <w:spacing w:line="240" w:lineRule="auto"/>
        <w:jc w:val="center"/>
      </w:pPr>
    </w:p>
    <w:p w:rsidR="00474D1A" w:rsidRDefault="00474D1A" w:rsidP="008E3BD9">
      <w:pPr>
        <w:spacing w:line="240" w:lineRule="auto"/>
        <w:jc w:val="center"/>
      </w:pPr>
    </w:p>
    <w:p w:rsidR="00474D1A" w:rsidRDefault="00606F3C" w:rsidP="008E3BD9">
      <w:pPr>
        <w:spacing w:line="240" w:lineRule="auto"/>
        <w:jc w:val="center"/>
      </w:pPr>
      <w:r>
        <w:rPr>
          <w:lang w:val="fr-FR"/>
        </w:rPr>
        <w:t>LE GOUVERNEMENT DE LA REPUBLIQUE DE LET</w:t>
      </w:r>
      <w:r w:rsidR="00BD0395">
        <w:rPr>
          <w:lang w:val="fr-FR"/>
        </w:rPr>
        <w:t>T</w:t>
      </w:r>
      <w:r>
        <w:rPr>
          <w:lang w:val="fr-FR"/>
        </w:rPr>
        <w:t xml:space="preserve">ONIE </w:t>
      </w:r>
    </w:p>
    <w:p w:rsidR="00474D1A" w:rsidRDefault="00474D1A" w:rsidP="008E3BD9">
      <w:pPr>
        <w:spacing w:line="240" w:lineRule="auto"/>
        <w:jc w:val="center"/>
      </w:pPr>
    </w:p>
    <w:p w:rsidR="00474D1A" w:rsidRDefault="00474D1A" w:rsidP="008E3BD9">
      <w:pPr>
        <w:spacing w:line="240" w:lineRule="auto"/>
        <w:jc w:val="center"/>
      </w:pPr>
    </w:p>
    <w:p w:rsidR="00474D1A" w:rsidRDefault="00474D1A" w:rsidP="008E3BD9">
      <w:pPr>
        <w:spacing w:line="240" w:lineRule="auto"/>
        <w:jc w:val="center"/>
      </w:pPr>
    </w:p>
    <w:p w:rsidR="00474D1A" w:rsidRDefault="00474D1A" w:rsidP="008E3BD9">
      <w:pPr>
        <w:spacing w:line="240" w:lineRule="auto"/>
        <w:jc w:val="center"/>
      </w:pPr>
    </w:p>
    <w:p w:rsidR="00474D1A" w:rsidRDefault="00606F3C" w:rsidP="008E3BD9">
      <w:pPr>
        <w:spacing w:line="240" w:lineRule="auto"/>
        <w:jc w:val="center"/>
      </w:pPr>
      <w:r>
        <w:rPr>
          <w:lang w:val="fr-FR"/>
        </w:rPr>
        <w:t>RELATIF A LA COOPERATION DANS LE DOMAINE DE LA DEFENSE</w:t>
      </w:r>
    </w:p>
    <w:p w:rsidR="00474D1A" w:rsidRDefault="00474D1A" w:rsidP="008E3BD9">
      <w:pPr>
        <w:spacing w:line="240" w:lineRule="auto"/>
        <w:jc w:val="center"/>
      </w:pPr>
    </w:p>
    <w:p w:rsidR="00474D1A" w:rsidRDefault="00474D1A" w:rsidP="008E3BD9">
      <w:pPr>
        <w:spacing w:line="240" w:lineRule="auto"/>
        <w:jc w:val="center"/>
      </w:pPr>
    </w:p>
    <w:p w:rsidR="00474D1A" w:rsidRDefault="00474D1A" w:rsidP="008E3BD9">
      <w:pPr>
        <w:spacing w:line="240" w:lineRule="auto"/>
        <w:jc w:val="center"/>
      </w:pPr>
    </w:p>
    <w:p w:rsidR="00474D1A" w:rsidRDefault="00474D1A" w:rsidP="008E3BD9">
      <w:pPr>
        <w:spacing w:line="240" w:lineRule="auto"/>
        <w:jc w:val="center"/>
      </w:pPr>
    </w:p>
    <w:p w:rsidR="00474D1A" w:rsidRDefault="00474D1A" w:rsidP="008E3BD9">
      <w:pPr>
        <w:pageBreakBefore/>
        <w:spacing w:line="240" w:lineRule="auto"/>
        <w:jc w:val="center"/>
      </w:pPr>
    </w:p>
    <w:p w:rsidR="00474D1A" w:rsidRDefault="00606F3C" w:rsidP="008E3BD9">
      <w:pPr>
        <w:spacing w:line="240" w:lineRule="auto"/>
        <w:jc w:val="both"/>
        <w:rPr>
          <w:lang w:val="fr-FR"/>
        </w:rPr>
      </w:pPr>
      <w:r>
        <w:rPr>
          <w:lang w:val="fr-FR"/>
        </w:rPr>
        <w:t>Le gouvernement de la République française</w:t>
      </w:r>
      <w:r w:rsidR="003731B8">
        <w:rPr>
          <w:lang w:val="fr-FR"/>
        </w:rPr>
        <w:t>,</w:t>
      </w:r>
      <w:r w:rsidR="00AA6DCB">
        <w:rPr>
          <w:lang w:val="fr-FR"/>
        </w:rPr>
        <w:t xml:space="preserve"> </w:t>
      </w:r>
      <w:r>
        <w:rPr>
          <w:lang w:val="fr-FR"/>
        </w:rPr>
        <w:t>et</w:t>
      </w:r>
      <w:r w:rsidR="00AA6DCB">
        <w:rPr>
          <w:lang w:val="fr-FR"/>
        </w:rPr>
        <w:t xml:space="preserve"> </w:t>
      </w:r>
      <w:r>
        <w:rPr>
          <w:lang w:val="fr-FR"/>
        </w:rPr>
        <w:t xml:space="preserve">Le gouvernement de la République de Lettonie, </w:t>
      </w:r>
    </w:p>
    <w:p w:rsidR="00474D1A" w:rsidRDefault="00606F3C" w:rsidP="008E3BD9">
      <w:pPr>
        <w:spacing w:line="240" w:lineRule="auto"/>
        <w:jc w:val="both"/>
      </w:pPr>
      <w:r>
        <w:rPr>
          <w:lang w:val="fr-FR"/>
        </w:rPr>
        <w:t>Conjointement dénommés les « Parties »,</w:t>
      </w:r>
    </w:p>
    <w:p w:rsidR="00474D1A" w:rsidRDefault="00A836BF" w:rsidP="008E3BD9">
      <w:pPr>
        <w:spacing w:line="240" w:lineRule="auto"/>
        <w:jc w:val="both"/>
      </w:pPr>
      <w:r>
        <w:rPr>
          <w:lang w:val="fr-FR"/>
        </w:rPr>
        <w:t xml:space="preserve">Désireux d’améliorer </w:t>
      </w:r>
      <w:r w:rsidR="00606F3C">
        <w:rPr>
          <w:lang w:val="fr-FR"/>
        </w:rPr>
        <w:t>la coopération entre les Parties dans le domaine de la défense et de la sécurité,</w:t>
      </w:r>
    </w:p>
    <w:p w:rsidR="00474D1A" w:rsidRDefault="00BD0395" w:rsidP="008E3BD9">
      <w:pPr>
        <w:spacing w:line="240" w:lineRule="auto"/>
        <w:jc w:val="both"/>
      </w:pPr>
      <w:r>
        <w:rPr>
          <w:lang w:val="fr-FR"/>
        </w:rPr>
        <w:t>Démontrant leur</w:t>
      </w:r>
      <w:r w:rsidR="00606F3C">
        <w:rPr>
          <w:lang w:val="fr-FR"/>
        </w:rPr>
        <w:t xml:space="preserve"> engagement</w:t>
      </w:r>
      <w:r>
        <w:rPr>
          <w:lang w:val="fr-FR"/>
        </w:rPr>
        <w:t xml:space="preserve"> à</w:t>
      </w:r>
      <w:r w:rsidR="00606F3C">
        <w:rPr>
          <w:lang w:val="fr-FR"/>
        </w:rPr>
        <w:t xml:space="preserve"> se conformer </w:t>
      </w:r>
      <w:r w:rsidR="00606F3C">
        <w:rPr>
          <w:rFonts w:cs="Times New Roman"/>
          <w:lang w:val="fr-FR"/>
        </w:rPr>
        <w:t>à</w:t>
      </w:r>
      <w:r w:rsidR="00606F3C">
        <w:rPr>
          <w:lang w:val="fr-FR"/>
        </w:rPr>
        <w:t xml:space="preserve"> la Charte des Nations Unies, signée</w:t>
      </w:r>
      <w:r w:rsidR="003731B8" w:rsidRPr="003731B8">
        <w:rPr>
          <w:lang w:val="fr-FR"/>
        </w:rPr>
        <w:t xml:space="preserve"> </w:t>
      </w:r>
      <w:r w:rsidR="003731B8">
        <w:rPr>
          <w:lang w:val="fr-FR"/>
        </w:rPr>
        <w:t>à San Francisco</w:t>
      </w:r>
      <w:r w:rsidR="00606F3C">
        <w:rPr>
          <w:lang w:val="fr-FR"/>
        </w:rPr>
        <w:t xml:space="preserve"> le 26 juin </w:t>
      </w:r>
      <w:r w:rsidR="004501DD">
        <w:rPr>
          <w:lang w:val="fr-FR"/>
        </w:rPr>
        <w:t>1945</w:t>
      </w:r>
      <w:r w:rsidR="00606F3C">
        <w:rPr>
          <w:lang w:val="fr-FR"/>
        </w:rPr>
        <w:t>,</w:t>
      </w:r>
    </w:p>
    <w:p w:rsidR="002C0DE7" w:rsidRDefault="002C0DE7" w:rsidP="008E3BD9">
      <w:pPr>
        <w:spacing w:line="240" w:lineRule="auto"/>
        <w:jc w:val="both"/>
        <w:rPr>
          <w:lang w:val="fr-FR"/>
        </w:rPr>
      </w:pPr>
      <w:r>
        <w:rPr>
          <w:lang w:val="fr-FR"/>
        </w:rPr>
        <w:t xml:space="preserve">Considérant le traité de l’Atlantique Nord, signé le </w:t>
      </w:r>
      <w:r w:rsidR="00F22B79">
        <w:rPr>
          <w:lang w:val="fr-FR"/>
        </w:rPr>
        <w:t xml:space="preserve">4 avril 1949, </w:t>
      </w:r>
    </w:p>
    <w:p w:rsidR="00474D1A" w:rsidRDefault="00606F3C" w:rsidP="008E3BD9">
      <w:pPr>
        <w:spacing w:line="240" w:lineRule="auto"/>
        <w:jc w:val="both"/>
      </w:pPr>
      <w:r>
        <w:rPr>
          <w:lang w:val="fr-FR"/>
        </w:rPr>
        <w:t>Considérant la Convention entre les États Parties au Traité de l’Atlantique Nor</w:t>
      </w:r>
      <w:bookmarkStart w:id="0" w:name="__DdeLink__2240_531889437"/>
      <w:r w:rsidR="005023A4">
        <w:rPr>
          <w:lang w:val="fr-FR"/>
        </w:rPr>
        <w:t xml:space="preserve">d sur le statut de leurs forces, </w:t>
      </w:r>
      <w:bookmarkEnd w:id="0"/>
      <w:r w:rsidR="003731B8">
        <w:rPr>
          <w:lang w:val="fr-FR"/>
        </w:rPr>
        <w:t xml:space="preserve">signée à Londres </w:t>
      </w:r>
      <w:r>
        <w:rPr>
          <w:lang w:val="fr-FR"/>
        </w:rPr>
        <w:t>le 19 juin 1951,</w:t>
      </w:r>
      <w:r w:rsidR="00B946A8" w:rsidRPr="00B946A8">
        <w:rPr>
          <w:lang w:val="fr-FR"/>
        </w:rPr>
        <w:t xml:space="preserve"> </w:t>
      </w:r>
      <w:r w:rsidR="00B946A8">
        <w:rPr>
          <w:lang w:val="fr-FR"/>
        </w:rPr>
        <w:t>ci-après dénommée le « SOFA OTAN »,</w:t>
      </w:r>
    </w:p>
    <w:p w:rsidR="00474D1A" w:rsidRDefault="00606F3C" w:rsidP="008E3BD9">
      <w:pPr>
        <w:spacing w:line="240" w:lineRule="auto"/>
        <w:jc w:val="both"/>
        <w:rPr>
          <w:lang w:val="fr-FR"/>
        </w:rPr>
      </w:pPr>
      <w:r>
        <w:rPr>
          <w:lang w:val="fr-FR"/>
        </w:rPr>
        <w:t xml:space="preserve">Considérant l’Accord </w:t>
      </w:r>
      <w:r w:rsidR="00AA7440">
        <w:rPr>
          <w:lang w:val="fr-FR"/>
        </w:rPr>
        <w:t xml:space="preserve">entre le gouvernement de la République française et le gouvernement de la République de Lettonie concernant </w:t>
      </w:r>
      <w:r>
        <w:rPr>
          <w:lang w:val="fr-FR"/>
        </w:rPr>
        <w:t xml:space="preserve">la protection </w:t>
      </w:r>
      <w:r w:rsidR="00AA7440">
        <w:rPr>
          <w:lang w:val="fr-FR"/>
        </w:rPr>
        <w:t xml:space="preserve">mutuelle </w:t>
      </w:r>
      <w:r>
        <w:rPr>
          <w:lang w:val="fr-FR"/>
        </w:rPr>
        <w:t>des informations classifiées, signé</w:t>
      </w:r>
      <w:r w:rsidR="00AA7440">
        <w:rPr>
          <w:lang w:val="fr-FR"/>
        </w:rPr>
        <w:t xml:space="preserve"> à Riga</w:t>
      </w:r>
      <w:r>
        <w:rPr>
          <w:lang w:val="fr-FR"/>
        </w:rPr>
        <w:t xml:space="preserve"> le 31 mars 2008,</w:t>
      </w:r>
      <w:r w:rsidR="005023A4">
        <w:rPr>
          <w:lang w:val="fr-FR"/>
        </w:rPr>
        <w:t xml:space="preserve"> ci-après dénommé « l’Accord de sécurité »,</w:t>
      </w:r>
    </w:p>
    <w:p w:rsidR="00474D1A" w:rsidRDefault="00606F3C" w:rsidP="008E3BD9">
      <w:pPr>
        <w:spacing w:line="240" w:lineRule="auto"/>
        <w:jc w:val="both"/>
      </w:pPr>
      <w:r>
        <w:rPr>
          <w:lang w:val="fr-FR"/>
        </w:rPr>
        <w:t>Considérant la volonté de renforcer les relations d’amitié et de coopération entre les Parties,</w:t>
      </w:r>
    </w:p>
    <w:p w:rsidR="00474D1A" w:rsidRDefault="00AA7440" w:rsidP="008E3BD9">
      <w:pPr>
        <w:spacing w:line="240" w:lineRule="auto"/>
        <w:jc w:val="both"/>
      </w:pPr>
      <w:r>
        <w:rPr>
          <w:lang w:val="fr-FR"/>
        </w:rPr>
        <w:t>Sont convenus des dispositions suivantes</w:t>
      </w:r>
      <w:r w:rsidR="00B413A0">
        <w:rPr>
          <w:lang w:val="fr-FR"/>
        </w:rPr>
        <w:t xml:space="preserve"> </w:t>
      </w:r>
      <w:r w:rsidR="00606F3C">
        <w:rPr>
          <w:lang w:val="fr-FR"/>
        </w:rPr>
        <w:t xml:space="preserve">: </w:t>
      </w:r>
    </w:p>
    <w:p w:rsidR="008E3BD9" w:rsidRPr="008E3BD9" w:rsidRDefault="00606F3C" w:rsidP="00AA6DCB">
      <w:pPr>
        <w:widowControl/>
        <w:tabs>
          <w:tab w:val="clear" w:pos="709"/>
        </w:tabs>
        <w:suppressAutoHyphens w:val="0"/>
        <w:spacing w:line="240" w:lineRule="auto"/>
        <w:jc w:val="center"/>
      </w:pPr>
      <w:r>
        <w:rPr>
          <w:lang w:val="fr-FR"/>
        </w:rPr>
        <w:t>ARTICLE 1</w:t>
      </w:r>
    </w:p>
    <w:p w:rsidR="00822861" w:rsidRDefault="00FA7E4B" w:rsidP="00FA7E4B">
      <w:pPr>
        <w:spacing w:line="240" w:lineRule="auto"/>
        <w:jc w:val="both"/>
        <w:rPr>
          <w:rFonts w:cs="Times New Roman"/>
          <w:lang w:val="fr-FR"/>
        </w:rPr>
      </w:pPr>
      <w:r>
        <w:rPr>
          <w:lang w:val="fr-FR"/>
        </w:rPr>
        <w:t xml:space="preserve">1. </w:t>
      </w:r>
      <w:r w:rsidR="00891DF6" w:rsidRPr="00FA7E4B">
        <w:rPr>
          <w:lang w:val="fr-FR"/>
        </w:rPr>
        <w:t>Aux</w:t>
      </w:r>
      <w:r w:rsidR="00891DF6">
        <w:rPr>
          <w:rFonts w:cs="Times New Roman"/>
          <w:lang w:val="fr-FR"/>
        </w:rPr>
        <w:t xml:space="preserve"> fins du présent accord, le </w:t>
      </w:r>
      <w:r w:rsidR="00822861">
        <w:rPr>
          <w:rFonts w:cs="Times New Roman"/>
          <w:lang w:val="fr-FR"/>
        </w:rPr>
        <w:t>terme « force » est entendu au sens de la définition figurant à l’article 1</w:t>
      </w:r>
      <w:r w:rsidR="00822861" w:rsidRPr="00891DF6">
        <w:rPr>
          <w:rFonts w:cs="Times New Roman"/>
          <w:vertAlign w:val="superscript"/>
          <w:lang w:val="fr-FR"/>
        </w:rPr>
        <w:t>er</w:t>
      </w:r>
      <w:r w:rsidR="00822861">
        <w:rPr>
          <w:rFonts w:cs="Times New Roman"/>
          <w:lang w:val="fr-FR"/>
        </w:rPr>
        <w:t xml:space="preserve">, paragraphe 1, a, du SOFA OTAN. En application de ces dispositions, les Parties conviennent en outre que tout autre corps militaire </w:t>
      </w:r>
      <w:r w:rsidR="00891DF6">
        <w:rPr>
          <w:rFonts w:cs="Times New Roman"/>
          <w:lang w:val="fr-FR"/>
        </w:rPr>
        <w:t>de</w:t>
      </w:r>
      <w:r w:rsidR="00822861">
        <w:rPr>
          <w:rFonts w:cs="Times New Roman"/>
          <w:lang w:val="fr-FR"/>
        </w:rPr>
        <w:t xml:space="preserve"> l’une des Parties fait partie de la « force » au sens du </w:t>
      </w:r>
      <w:r w:rsidR="00891DF6">
        <w:rPr>
          <w:rFonts w:cs="Times New Roman"/>
          <w:lang w:val="fr-FR"/>
        </w:rPr>
        <w:t xml:space="preserve">SOFA OTAN. </w:t>
      </w:r>
    </w:p>
    <w:p w:rsidR="00822861" w:rsidRDefault="00FA7E4B" w:rsidP="00FA7E4B">
      <w:pPr>
        <w:spacing w:line="240" w:lineRule="auto"/>
        <w:jc w:val="both"/>
        <w:rPr>
          <w:rFonts w:cs="Times New Roman"/>
          <w:lang w:val="fr-FR"/>
        </w:rPr>
      </w:pPr>
      <w:r>
        <w:rPr>
          <w:lang w:val="fr-FR"/>
        </w:rPr>
        <w:t xml:space="preserve">2. </w:t>
      </w:r>
      <w:r w:rsidR="00891DF6">
        <w:rPr>
          <w:rFonts w:cs="Times New Roman"/>
          <w:lang w:val="fr-FR"/>
        </w:rPr>
        <w:t xml:space="preserve">Les termes </w:t>
      </w:r>
      <w:r w:rsidR="00822861">
        <w:rPr>
          <w:rFonts w:cs="Times New Roman"/>
          <w:lang w:val="fr-FR"/>
        </w:rPr>
        <w:t>« élément civil », « personne à charge », « Etat d’origine », « Etat de séjour</w:t>
      </w:r>
      <w:r w:rsidR="00891DF6">
        <w:rPr>
          <w:rFonts w:cs="Times New Roman"/>
          <w:lang w:val="fr-FR"/>
        </w:rPr>
        <w:t> » sont entendus au sens des définitions figurant à l’article 1</w:t>
      </w:r>
      <w:r w:rsidR="00891DF6" w:rsidRPr="00891DF6">
        <w:rPr>
          <w:rFonts w:cs="Times New Roman"/>
          <w:vertAlign w:val="superscript"/>
          <w:lang w:val="fr-FR"/>
        </w:rPr>
        <w:t>er</w:t>
      </w:r>
      <w:r w:rsidR="00891DF6">
        <w:rPr>
          <w:rFonts w:cs="Times New Roman"/>
          <w:lang w:val="fr-FR"/>
        </w:rPr>
        <w:t xml:space="preserve">, paragraphe 1 du SOFA OTAN. </w:t>
      </w:r>
    </w:p>
    <w:p w:rsidR="00891DF6" w:rsidRDefault="00FA7E4B" w:rsidP="00FA7E4B">
      <w:pPr>
        <w:spacing w:line="240" w:lineRule="auto"/>
        <w:jc w:val="both"/>
        <w:rPr>
          <w:rFonts w:cs="Times New Roman"/>
          <w:lang w:val="fr-FR"/>
        </w:rPr>
      </w:pPr>
      <w:r>
        <w:rPr>
          <w:lang w:val="fr-FR"/>
        </w:rPr>
        <w:t xml:space="preserve">3. </w:t>
      </w:r>
      <w:r w:rsidR="00891DF6">
        <w:rPr>
          <w:rFonts w:cs="Times New Roman"/>
          <w:lang w:val="fr-FR"/>
        </w:rPr>
        <w:t>Les termes « membres du personnel » désignent les personnels civils employés par les ministères en charge des questions de</w:t>
      </w:r>
      <w:r w:rsidR="00536F47">
        <w:rPr>
          <w:rFonts w:cs="Times New Roman"/>
          <w:lang w:val="fr-FR"/>
        </w:rPr>
        <w:t xml:space="preserve"> sécurité et de</w:t>
      </w:r>
      <w:r w:rsidR="00891DF6">
        <w:rPr>
          <w:rFonts w:cs="Times New Roman"/>
          <w:lang w:val="fr-FR"/>
        </w:rPr>
        <w:t xml:space="preserve"> défense. </w:t>
      </w:r>
    </w:p>
    <w:p w:rsidR="00891DF6" w:rsidRDefault="00891DF6" w:rsidP="008E3BD9">
      <w:pPr>
        <w:pStyle w:val="Textbody"/>
        <w:spacing w:line="240" w:lineRule="auto"/>
        <w:jc w:val="both"/>
        <w:rPr>
          <w:rFonts w:cs="Times New Roman"/>
          <w:lang w:val="fr-FR"/>
        </w:rPr>
      </w:pPr>
    </w:p>
    <w:p w:rsidR="00474D1A" w:rsidRDefault="00606F3C" w:rsidP="008E3BD9">
      <w:pPr>
        <w:spacing w:line="240" w:lineRule="auto"/>
        <w:jc w:val="center"/>
      </w:pPr>
      <w:r>
        <w:rPr>
          <w:lang w:val="fr-FR" w:eastAsia="lv-LV"/>
        </w:rPr>
        <w:t>ARTICLE 2</w:t>
      </w:r>
    </w:p>
    <w:p w:rsidR="00474D1A" w:rsidRDefault="00606F3C" w:rsidP="008E3BD9">
      <w:pPr>
        <w:spacing w:line="240" w:lineRule="auto"/>
        <w:jc w:val="both"/>
      </w:pPr>
      <w:r>
        <w:rPr>
          <w:lang w:val="fr-FR"/>
        </w:rPr>
        <w:t xml:space="preserve">1. L'objet du présent Accord est de renforcer la coopération entre les Parties dans le domaine de la défense. </w:t>
      </w:r>
    </w:p>
    <w:p w:rsidR="00474D1A" w:rsidRDefault="00606F3C" w:rsidP="008E3BD9">
      <w:pPr>
        <w:spacing w:line="240" w:lineRule="auto"/>
        <w:jc w:val="both"/>
      </w:pPr>
      <w:r>
        <w:rPr>
          <w:lang w:val="fr-FR"/>
        </w:rPr>
        <w:t xml:space="preserve">2. La coopération entre les Parties prend la forme de relations bilatérales entre les ministères chargés des questions de </w:t>
      </w:r>
      <w:r w:rsidR="00536F47">
        <w:rPr>
          <w:lang w:val="fr-FR"/>
        </w:rPr>
        <w:t>sécurité et de défense</w:t>
      </w:r>
      <w:r w:rsidR="0094650E">
        <w:rPr>
          <w:lang w:val="fr-FR"/>
        </w:rPr>
        <w:t xml:space="preserve"> </w:t>
      </w:r>
      <w:r>
        <w:rPr>
          <w:lang w:val="fr-FR"/>
        </w:rPr>
        <w:t xml:space="preserve">ainsi qu’entre les forces armées des Parties. </w:t>
      </w:r>
    </w:p>
    <w:p w:rsidR="00474D1A" w:rsidRPr="00F923FA" w:rsidRDefault="00606F3C" w:rsidP="008E3BD9">
      <w:pPr>
        <w:spacing w:line="240" w:lineRule="auto"/>
        <w:jc w:val="both"/>
      </w:pPr>
      <w:r>
        <w:rPr>
          <w:lang w:val="fr-FR"/>
        </w:rPr>
        <w:t xml:space="preserve">3. </w:t>
      </w:r>
      <w:r w:rsidR="00CA28BB" w:rsidRPr="00CA28BB">
        <w:rPr>
          <w:lang w:val="fr-FR"/>
        </w:rPr>
        <w:t xml:space="preserve">Les membres </w:t>
      </w:r>
      <w:r w:rsidR="008B00E8">
        <w:rPr>
          <w:lang w:val="fr-FR"/>
        </w:rPr>
        <w:t>d’une force ou d’un élément civil</w:t>
      </w:r>
      <w:r w:rsidR="00CA28BB" w:rsidRPr="00CA28BB">
        <w:rPr>
          <w:lang w:val="fr-FR"/>
        </w:rPr>
        <w:t xml:space="preserve"> de </w:t>
      </w:r>
      <w:r w:rsidR="008B00E8">
        <w:rPr>
          <w:lang w:val="fr-FR"/>
        </w:rPr>
        <w:t>l’Etat d’origine</w:t>
      </w:r>
      <w:r w:rsidR="00CA28BB" w:rsidRPr="00CA28BB">
        <w:rPr>
          <w:lang w:val="fr-FR"/>
        </w:rPr>
        <w:t xml:space="preserve">, présents sur le territoire de l’Etat </w:t>
      </w:r>
      <w:r w:rsidR="008B00E8">
        <w:rPr>
          <w:lang w:val="fr-FR"/>
        </w:rPr>
        <w:t>de séjour</w:t>
      </w:r>
      <w:r w:rsidR="00CA28BB" w:rsidRPr="00CA28BB">
        <w:rPr>
          <w:lang w:val="fr-FR"/>
        </w:rPr>
        <w:t xml:space="preserve"> au titre du présent Accord, ne peuvent être associés à la préparation ou à l’exécution d’opérations de guerre ni à des actions de maintien ou de rétablissement de l’ordre, de sécurité publique ou relatives à l'exercice de la souveraineté nationale, ni intervenir dans ces opérations sous quelque forme que ce soit</w:t>
      </w:r>
      <w:r w:rsidR="00891DF6">
        <w:rPr>
          <w:lang w:val="fr-FR"/>
        </w:rPr>
        <w:t>.</w:t>
      </w:r>
    </w:p>
    <w:p w:rsidR="00FD7D77" w:rsidRDefault="00FD7D77" w:rsidP="008E3BD9">
      <w:pPr>
        <w:spacing w:line="240" w:lineRule="auto"/>
        <w:jc w:val="both"/>
      </w:pPr>
    </w:p>
    <w:p w:rsidR="00474D1A" w:rsidRDefault="00606F3C" w:rsidP="008E3BD9">
      <w:pPr>
        <w:spacing w:line="240" w:lineRule="auto"/>
        <w:jc w:val="center"/>
      </w:pPr>
      <w:r>
        <w:rPr>
          <w:lang w:val="fr-FR" w:eastAsia="lv-LV"/>
        </w:rPr>
        <w:t>ARTICLE 3</w:t>
      </w:r>
    </w:p>
    <w:p w:rsidR="00474D1A" w:rsidRDefault="00606F3C" w:rsidP="008E3BD9">
      <w:pPr>
        <w:spacing w:line="240" w:lineRule="auto"/>
        <w:jc w:val="both"/>
      </w:pPr>
      <w:r>
        <w:rPr>
          <w:lang w:val="fr-FR"/>
        </w:rPr>
        <w:t xml:space="preserve">1. Dans le cadre du présent Accord, les Parties mettent en œuvre une coopération qui peut inclure </w:t>
      </w:r>
      <w:r>
        <w:rPr>
          <w:lang w:val="fr-FR"/>
        </w:rPr>
        <w:lastRenderedPageBreak/>
        <w:t xml:space="preserve">les domaines suivants : </w:t>
      </w:r>
    </w:p>
    <w:p w:rsidR="00474D1A" w:rsidRDefault="00606F3C" w:rsidP="008E3BD9">
      <w:pPr>
        <w:spacing w:line="240" w:lineRule="auto"/>
        <w:ind w:left="360"/>
        <w:jc w:val="both"/>
      </w:pPr>
      <w:r>
        <w:rPr>
          <w:lang w:val="fr-FR"/>
        </w:rPr>
        <w:t>- les</w:t>
      </w:r>
      <w:r w:rsidR="004256A1">
        <w:rPr>
          <w:lang w:val="fr-FR"/>
        </w:rPr>
        <w:t xml:space="preserve"> concepts </w:t>
      </w:r>
      <w:r w:rsidR="00103381">
        <w:rPr>
          <w:lang w:val="fr-FR"/>
        </w:rPr>
        <w:t xml:space="preserve">de défense et </w:t>
      </w:r>
      <w:r w:rsidR="004256A1">
        <w:rPr>
          <w:lang w:val="fr-FR"/>
        </w:rPr>
        <w:t>de sécurité</w:t>
      </w:r>
      <w:r>
        <w:rPr>
          <w:lang w:val="fr-FR"/>
        </w:rPr>
        <w:t xml:space="preserve">, particulièrement liés à l’Europe ; </w:t>
      </w:r>
    </w:p>
    <w:p w:rsidR="00474D1A" w:rsidRDefault="00606F3C" w:rsidP="008E3BD9">
      <w:pPr>
        <w:spacing w:line="240" w:lineRule="auto"/>
        <w:ind w:left="360"/>
        <w:jc w:val="both"/>
      </w:pPr>
      <w:r>
        <w:rPr>
          <w:lang w:val="fr-FR"/>
        </w:rPr>
        <w:t>- la communication stratégique ;</w:t>
      </w:r>
    </w:p>
    <w:p w:rsidR="00474D1A" w:rsidRDefault="00606F3C" w:rsidP="008E3BD9">
      <w:pPr>
        <w:spacing w:line="240" w:lineRule="auto"/>
        <w:ind w:left="360"/>
        <w:jc w:val="both"/>
      </w:pPr>
      <w:r>
        <w:rPr>
          <w:lang w:val="fr-FR"/>
        </w:rPr>
        <w:t>- la politique de défense et la planification ;</w:t>
      </w:r>
    </w:p>
    <w:p w:rsidR="00474D1A" w:rsidRDefault="00606F3C" w:rsidP="008E3BD9">
      <w:pPr>
        <w:spacing w:line="240" w:lineRule="auto"/>
        <w:ind w:firstLine="360"/>
        <w:jc w:val="both"/>
      </w:pPr>
      <w:r>
        <w:rPr>
          <w:lang w:val="fr-FR"/>
        </w:rPr>
        <w:t>- la gestion de crise ;</w:t>
      </w:r>
    </w:p>
    <w:p w:rsidR="00474D1A" w:rsidRDefault="00606F3C" w:rsidP="008E3BD9">
      <w:pPr>
        <w:spacing w:line="240" w:lineRule="auto"/>
        <w:ind w:firstLine="360"/>
        <w:jc w:val="both"/>
      </w:pPr>
      <w:r>
        <w:rPr>
          <w:lang w:val="fr-FR"/>
        </w:rPr>
        <w:t>- la cyberdéfense ;</w:t>
      </w:r>
    </w:p>
    <w:p w:rsidR="00474D1A" w:rsidRDefault="00BC51E7" w:rsidP="008E3BD9">
      <w:pPr>
        <w:spacing w:line="240" w:lineRule="auto"/>
        <w:ind w:left="360"/>
        <w:jc w:val="both"/>
      </w:pPr>
      <w:r>
        <w:rPr>
          <w:lang w:val="fr-FR"/>
        </w:rPr>
        <w:t xml:space="preserve">- l’organisation du </w:t>
      </w:r>
      <w:r w:rsidR="00606F3C">
        <w:rPr>
          <w:lang w:val="fr-FR"/>
        </w:rPr>
        <w:t>soutien logistique des forces armées et unités militaires,</w:t>
      </w:r>
      <w:r>
        <w:rPr>
          <w:lang w:val="fr-FR"/>
        </w:rPr>
        <w:t xml:space="preserve"> et la politique de gestion du personnel </w:t>
      </w:r>
      <w:r w:rsidR="00606F3C">
        <w:rPr>
          <w:lang w:val="fr-FR"/>
        </w:rPr>
        <w:t xml:space="preserve">militaire ; </w:t>
      </w:r>
    </w:p>
    <w:p w:rsidR="00474D1A" w:rsidRDefault="00606F3C" w:rsidP="008E3BD9">
      <w:pPr>
        <w:spacing w:line="240" w:lineRule="auto"/>
        <w:ind w:left="360"/>
        <w:jc w:val="both"/>
      </w:pPr>
      <w:r>
        <w:rPr>
          <w:lang w:val="fr-FR"/>
        </w:rPr>
        <w:t>- l’instruction militaire, la formation d</w:t>
      </w:r>
      <w:r w:rsidR="00BC51E7">
        <w:rPr>
          <w:lang w:val="fr-FR"/>
        </w:rPr>
        <w:t xml:space="preserve">u personnel </w:t>
      </w:r>
      <w:r>
        <w:rPr>
          <w:lang w:val="fr-FR"/>
        </w:rPr>
        <w:t>militaire et civil</w:t>
      </w:r>
      <w:r w:rsidR="00BC51E7">
        <w:rPr>
          <w:lang w:val="fr-FR"/>
        </w:rPr>
        <w:t xml:space="preserve"> </w:t>
      </w:r>
      <w:r>
        <w:rPr>
          <w:lang w:val="fr-FR"/>
        </w:rPr>
        <w:t>;</w:t>
      </w:r>
    </w:p>
    <w:p w:rsidR="00474D1A" w:rsidRDefault="00606F3C" w:rsidP="008E3BD9">
      <w:pPr>
        <w:spacing w:line="240" w:lineRule="auto"/>
        <w:ind w:left="360"/>
        <w:jc w:val="both"/>
      </w:pPr>
      <w:r>
        <w:rPr>
          <w:lang w:val="fr-FR"/>
        </w:rPr>
        <w:t>- la formation  linguistique ;</w:t>
      </w:r>
    </w:p>
    <w:p w:rsidR="00474D1A" w:rsidRDefault="00606F3C" w:rsidP="008E3BD9">
      <w:pPr>
        <w:spacing w:line="240" w:lineRule="auto"/>
        <w:ind w:left="360"/>
        <w:jc w:val="both"/>
      </w:pPr>
      <w:r>
        <w:rPr>
          <w:lang w:val="fr-FR"/>
        </w:rPr>
        <w:t>- les exercices militaires</w:t>
      </w:r>
      <w:r w:rsidR="00437F1B">
        <w:rPr>
          <w:lang w:val="fr-FR"/>
        </w:rPr>
        <w:t xml:space="preserve"> </w:t>
      </w:r>
      <w:r>
        <w:rPr>
          <w:lang w:val="fr-FR"/>
        </w:rPr>
        <w:t>;</w:t>
      </w:r>
    </w:p>
    <w:p w:rsidR="00474D1A" w:rsidRDefault="00606F3C" w:rsidP="008E3BD9">
      <w:pPr>
        <w:spacing w:line="240" w:lineRule="auto"/>
        <w:ind w:left="360"/>
        <w:jc w:val="both"/>
      </w:pPr>
      <w:r>
        <w:rPr>
          <w:lang w:val="fr-FR"/>
        </w:rPr>
        <w:t>- les systèmes d'information</w:t>
      </w:r>
      <w:r w:rsidR="00BC51E7">
        <w:rPr>
          <w:lang w:val="fr-FR"/>
        </w:rPr>
        <w:t xml:space="preserve"> et de communication</w:t>
      </w:r>
      <w:r>
        <w:rPr>
          <w:lang w:val="fr-FR"/>
        </w:rPr>
        <w:t xml:space="preserve"> militaire</w:t>
      </w:r>
      <w:r w:rsidR="00BC51E7">
        <w:rPr>
          <w:lang w:val="fr-FR"/>
        </w:rPr>
        <w:t>s</w:t>
      </w:r>
      <w:r>
        <w:rPr>
          <w:lang w:val="fr-FR"/>
        </w:rPr>
        <w:t xml:space="preserve"> et</w:t>
      </w:r>
      <w:r w:rsidR="00BC51E7">
        <w:rPr>
          <w:lang w:val="fr-FR"/>
        </w:rPr>
        <w:t xml:space="preserve"> les</w:t>
      </w:r>
      <w:r>
        <w:rPr>
          <w:lang w:val="fr-FR"/>
        </w:rPr>
        <w:t xml:space="preserve"> technologie</w:t>
      </w:r>
      <w:r w:rsidR="00BC51E7">
        <w:rPr>
          <w:lang w:val="fr-FR"/>
        </w:rPr>
        <w:t>s s’y rapportant</w:t>
      </w:r>
      <w:r>
        <w:rPr>
          <w:lang w:val="fr-FR"/>
        </w:rPr>
        <w:t> ;</w:t>
      </w:r>
    </w:p>
    <w:p w:rsidR="00474D1A" w:rsidRDefault="00606F3C" w:rsidP="008E3BD9">
      <w:pPr>
        <w:spacing w:line="240" w:lineRule="auto"/>
        <w:ind w:left="360"/>
        <w:jc w:val="both"/>
      </w:pPr>
      <w:r>
        <w:rPr>
          <w:color w:val="auto"/>
          <w:lang w:val="fr-FR"/>
        </w:rPr>
        <w:t xml:space="preserve"> - les initiatives dans le domaine d</w:t>
      </w:r>
      <w:r w:rsidR="00BC51E7">
        <w:rPr>
          <w:color w:val="auto"/>
          <w:lang w:val="fr-FR"/>
        </w:rPr>
        <w:t>e l</w:t>
      </w:r>
      <w:r>
        <w:rPr>
          <w:color w:val="auto"/>
          <w:lang w:val="fr-FR"/>
        </w:rPr>
        <w:t xml:space="preserve">'armement et </w:t>
      </w:r>
      <w:r w:rsidR="00BC51E7">
        <w:rPr>
          <w:color w:val="auto"/>
          <w:lang w:val="fr-FR"/>
        </w:rPr>
        <w:t>de l’</w:t>
      </w:r>
      <w:r>
        <w:rPr>
          <w:color w:val="auto"/>
          <w:lang w:val="fr-FR"/>
        </w:rPr>
        <w:t>équipement</w:t>
      </w:r>
      <w:r w:rsidR="00BC51E7">
        <w:rPr>
          <w:color w:val="auto"/>
          <w:lang w:val="fr-FR"/>
        </w:rPr>
        <w:t xml:space="preserve"> militaire, de la recherche</w:t>
      </w:r>
      <w:r>
        <w:rPr>
          <w:color w:val="auto"/>
          <w:lang w:val="fr-FR"/>
        </w:rPr>
        <w:t xml:space="preserve"> et</w:t>
      </w:r>
      <w:r w:rsidR="00BC51E7">
        <w:rPr>
          <w:color w:val="auto"/>
          <w:lang w:val="fr-FR"/>
        </w:rPr>
        <w:t xml:space="preserve"> développement jusqu’à la phase de livraison, ainsi que</w:t>
      </w:r>
      <w:r>
        <w:rPr>
          <w:color w:val="auto"/>
          <w:lang w:val="fr-FR"/>
        </w:rPr>
        <w:t xml:space="preserve"> </w:t>
      </w:r>
      <w:r w:rsidR="00BC51E7">
        <w:rPr>
          <w:color w:val="auto"/>
          <w:lang w:val="fr-FR"/>
        </w:rPr>
        <w:t>l’</w:t>
      </w:r>
      <w:r>
        <w:rPr>
          <w:color w:val="auto"/>
          <w:lang w:val="fr-FR"/>
        </w:rPr>
        <w:t>exploitati</w:t>
      </w:r>
      <w:r w:rsidR="00BC51E7">
        <w:rPr>
          <w:color w:val="auto"/>
          <w:lang w:val="fr-FR"/>
        </w:rPr>
        <w:t>on, la</w:t>
      </w:r>
      <w:r>
        <w:rPr>
          <w:color w:val="auto"/>
          <w:lang w:val="fr-FR"/>
        </w:rPr>
        <w:t xml:space="preserve"> vérification d</w:t>
      </w:r>
      <w:r w:rsidR="00BC51E7">
        <w:rPr>
          <w:color w:val="auto"/>
          <w:lang w:val="fr-FR"/>
        </w:rPr>
        <w:t>e l’</w:t>
      </w:r>
      <w:r>
        <w:rPr>
          <w:color w:val="auto"/>
          <w:lang w:val="fr-FR"/>
        </w:rPr>
        <w:t xml:space="preserve">armement et </w:t>
      </w:r>
      <w:r w:rsidR="00BC51E7">
        <w:rPr>
          <w:color w:val="auto"/>
          <w:lang w:val="fr-FR"/>
        </w:rPr>
        <w:t>de l’</w:t>
      </w:r>
      <w:r>
        <w:rPr>
          <w:color w:val="auto"/>
          <w:lang w:val="fr-FR"/>
        </w:rPr>
        <w:t>équipement ;</w:t>
      </w:r>
    </w:p>
    <w:p w:rsidR="00474D1A" w:rsidRDefault="00606F3C" w:rsidP="008E3BD9">
      <w:pPr>
        <w:spacing w:line="240" w:lineRule="auto"/>
        <w:ind w:left="360"/>
        <w:jc w:val="both"/>
      </w:pPr>
      <w:r>
        <w:rPr>
          <w:color w:val="auto"/>
          <w:lang w:val="fr-FR"/>
        </w:rPr>
        <w:t>- la législation nationale relative aux forces armées</w:t>
      </w:r>
      <w:r w:rsidR="00FA7E4B">
        <w:rPr>
          <w:color w:val="auto"/>
          <w:lang w:val="fr-FR"/>
        </w:rPr>
        <w:t xml:space="preserve"> </w:t>
      </w:r>
      <w:r>
        <w:rPr>
          <w:color w:val="auto"/>
          <w:lang w:val="fr-FR"/>
        </w:rPr>
        <w:t xml:space="preserve">; </w:t>
      </w:r>
    </w:p>
    <w:p w:rsidR="00474D1A" w:rsidRDefault="00606F3C" w:rsidP="008E3BD9">
      <w:pPr>
        <w:spacing w:line="240" w:lineRule="auto"/>
        <w:ind w:left="360"/>
        <w:jc w:val="both"/>
      </w:pPr>
      <w:r>
        <w:rPr>
          <w:color w:val="auto"/>
          <w:lang w:val="fr-FR"/>
        </w:rPr>
        <w:t>- les recherches et sciences militaires ;</w:t>
      </w:r>
    </w:p>
    <w:p w:rsidR="00474D1A" w:rsidRDefault="00606F3C" w:rsidP="008E3BD9">
      <w:pPr>
        <w:spacing w:line="240" w:lineRule="auto"/>
        <w:ind w:left="360"/>
        <w:jc w:val="both"/>
      </w:pPr>
      <w:r>
        <w:rPr>
          <w:color w:val="auto"/>
          <w:lang w:val="fr-FR"/>
        </w:rPr>
        <w:t>- le droit international humanitaire ;</w:t>
      </w:r>
    </w:p>
    <w:p w:rsidR="00474D1A" w:rsidRDefault="00606F3C" w:rsidP="008E3BD9">
      <w:pPr>
        <w:spacing w:line="240" w:lineRule="auto"/>
        <w:ind w:left="360"/>
        <w:jc w:val="both"/>
      </w:pPr>
      <w:r>
        <w:rPr>
          <w:color w:val="auto"/>
          <w:lang w:val="fr-FR"/>
        </w:rPr>
        <w:t>- la médecine militaire ;</w:t>
      </w:r>
    </w:p>
    <w:p w:rsidR="00474D1A" w:rsidRDefault="00606F3C" w:rsidP="008E3BD9">
      <w:pPr>
        <w:spacing w:line="240" w:lineRule="auto"/>
        <w:ind w:left="360"/>
        <w:jc w:val="both"/>
      </w:pPr>
      <w:r>
        <w:rPr>
          <w:color w:val="auto"/>
          <w:lang w:val="fr-FR"/>
        </w:rPr>
        <w:t xml:space="preserve">- </w:t>
      </w:r>
      <w:r w:rsidR="00891DF6">
        <w:rPr>
          <w:color w:val="auto"/>
          <w:lang w:val="fr-FR"/>
        </w:rPr>
        <w:t xml:space="preserve">les </w:t>
      </w:r>
      <w:r>
        <w:rPr>
          <w:color w:val="auto"/>
          <w:lang w:val="fr-FR"/>
        </w:rPr>
        <w:t>carrière</w:t>
      </w:r>
      <w:r w:rsidR="00913EE9">
        <w:rPr>
          <w:color w:val="auto"/>
          <w:lang w:val="fr-FR"/>
        </w:rPr>
        <w:t>s</w:t>
      </w:r>
      <w:r>
        <w:rPr>
          <w:color w:val="auto"/>
          <w:lang w:val="fr-FR"/>
        </w:rPr>
        <w:t xml:space="preserve"> militaire</w:t>
      </w:r>
      <w:r w:rsidR="00913EE9">
        <w:rPr>
          <w:color w:val="auto"/>
          <w:lang w:val="fr-FR"/>
        </w:rPr>
        <w:t>s</w:t>
      </w:r>
      <w:r>
        <w:rPr>
          <w:color w:val="auto"/>
          <w:lang w:val="fr-FR"/>
        </w:rPr>
        <w:t> ;</w:t>
      </w:r>
      <w:r>
        <w:rPr>
          <w:color w:val="auto"/>
        </w:rPr>
        <w:t xml:space="preserve"> </w:t>
      </w:r>
    </w:p>
    <w:p w:rsidR="00474D1A" w:rsidRDefault="00606F3C" w:rsidP="008E3BD9">
      <w:pPr>
        <w:spacing w:line="240" w:lineRule="auto"/>
        <w:ind w:left="360"/>
        <w:jc w:val="both"/>
      </w:pPr>
      <w:r>
        <w:rPr>
          <w:color w:val="auto"/>
          <w:lang w:val="fr-FR"/>
        </w:rPr>
        <w:t>- la géographie militaire ;</w:t>
      </w:r>
    </w:p>
    <w:p w:rsidR="00474D1A" w:rsidRDefault="00606F3C" w:rsidP="008E3BD9">
      <w:pPr>
        <w:spacing w:line="240" w:lineRule="auto"/>
        <w:ind w:left="360"/>
        <w:jc w:val="both"/>
      </w:pPr>
      <w:r>
        <w:rPr>
          <w:color w:val="auto"/>
          <w:lang w:val="fr-FR"/>
        </w:rPr>
        <w:t>- l’histoire militaire</w:t>
      </w:r>
      <w:r w:rsidR="00793946">
        <w:rPr>
          <w:color w:val="auto"/>
          <w:lang w:val="fr-FR"/>
        </w:rPr>
        <w:t> ;</w:t>
      </w:r>
      <w:r>
        <w:rPr>
          <w:color w:val="800000"/>
          <w:lang w:val="fr-FR"/>
        </w:rPr>
        <w:t xml:space="preserve"> </w:t>
      </w:r>
    </w:p>
    <w:p w:rsidR="00474D1A" w:rsidRDefault="00606F3C" w:rsidP="008E3BD9">
      <w:pPr>
        <w:spacing w:line="240" w:lineRule="auto"/>
        <w:ind w:left="360"/>
        <w:jc w:val="both"/>
      </w:pPr>
      <w:r>
        <w:rPr>
          <w:color w:val="auto"/>
          <w:lang w:val="fr-FR"/>
        </w:rPr>
        <w:t xml:space="preserve">- tout autre domaine convenu d’un commun accord entre les Parties et en fonction de leurs intérêts mutuels. </w:t>
      </w:r>
    </w:p>
    <w:p w:rsidR="00474D1A" w:rsidRDefault="0031367F" w:rsidP="008E3BD9">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color w:val="auto"/>
          <w:lang w:val="fr-FR"/>
        </w:rPr>
      </w:pPr>
      <w:r>
        <w:rPr>
          <w:color w:val="auto"/>
          <w:lang w:val="fr-FR"/>
        </w:rPr>
        <w:t xml:space="preserve">2. </w:t>
      </w:r>
      <w:r w:rsidR="00606F3C">
        <w:rPr>
          <w:color w:val="auto"/>
          <w:lang w:val="fr-FR"/>
        </w:rPr>
        <w:t xml:space="preserve">Les conditions de mise en œuvre de la coopération décrite ci-dessus peuvent être précisées par la conclusion d’accords ou d’arrangements </w:t>
      </w:r>
      <w:r w:rsidR="00703BCC">
        <w:rPr>
          <w:color w:val="auto"/>
          <w:lang w:val="fr-FR"/>
        </w:rPr>
        <w:t>ou de documents</w:t>
      </w:r>
      <w:r w:rsidR="00FD7D77">
        <w:rPr>
          <w:color w:val="auto"/>
          <w:lang w:val="fr-FR"/>
        </w:rPr>
        <w:t xml:space="preserve"> </w:t>
      </w:r>
      <w:r>
        <w:rPr>
          <w:color w:val="auto"/>
          <w:lang w:val="fr-FR"/>
        </w:rPr>
        <w:t xml:space="preserve">conjoints de procédure </w:t>
      </w:r>
      <w:r w:rsidR="00FD7D77">
        <w:rPr>
          <w:color w:val="auto"/>
          <w:lang w:val="fr-FR"/>
        </w:rPr>
        <w:t>spécifiques.</w:t>
      </w:r>
    </w:p>
    <w:p w:rsidR="00FD7D77" w:rsidRDefault="00FD7D77" w:rsidP="008E3BD9">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pPr>
    </w:p>
    <w:p w:rsidR="00474D1A" w:rsidRDefault="00606F3C" w:rsidP="008E3BD9">
      <w:pPr>
        <w:spacing w:line="240" w:lineRule="auto"/>
        <w:jc w:val="center"/>
      </w:pPr>
      <w:r>
        <w:rPr>
          <w:color w:val="auto"/>
          <w:lang w:val="fr-FR" w:eastAsia="lv-LV"/>
        </w:rPr>
        <w:t>ARTICLE 4</w:t>
      </w:r>
    </w:p>
    <w:p w:rsidR="00474D1A" w:rsidRDefault="00606F3C" w:rsidP="008E3BD9">
      <w:pPr>
        <w:spacing w:line="240" w:lineRule="auto"/>
        <w:jc w:val="both"/>
      </w:pPr>
      <w:r>
        <w:rPr>
          <w:color w:val="auto"/>
          <w:lang w:val="fr-FR"/>
        </w:rPr>
        <w:t>Les domaines de coopération énoncés à l’article 3 du présent Accord peuvent principalement  prendre les formes suivantes :</w:t>
      </w:r>
    </w:p>
    <w:p w:rsidR="002446A7" w:rsidRDefault="002446A7" w:rsidP="002446A7">
      <w:pPr>
        <w:spacing w:line="240" w:lineRule="auto"/>
        <w:ind w:left="360"/>
        <w:jc w:val="both"/>
      </w:pPr>
      <w:r>
        <w:rPr>
          <w:color w:val="auto"/>
          <w:lang w:val="fr-FR"/>
        </w:rPr>
        <w:t>-</w:t>
      </w:r>
      <w:r w:rsidR="00606F3C">
        <w:rPr>
          <w:color w:val="auto"/>
          <w:lang w:val="fr-FR"/>
        </w:rPr>
        <w:t xml:space="preserve"> </w:t>
      </w:r>
      <w:r>
        <w:rPr>
          <w:color w:val="auto"/>
          <w:lang w:val="fr-FR"/>
        </w:rPr>
        <w:t>v</w:t>
      </w:r>
      <w:r w:rsidR="00606F3C">
        <w:rPr>
          <w:color w:val="auto"/>
          <w:lang w:val="fr-FR"/>
        </w:rPr>
        <w:t>isites officielles et rencontres de travail ;</w:t>
      </w:r>
    </w:p>
    <w:p w:rsidR="002446A7" w:rsidRDefault="002446A7" w:rsidP="002446A7">
      <w:pPr>
        <w:spacing w:line="240" w:lineRule="auto"/>
        <w:ind w:left="360"/>
        <w:jc w:val="both"/>
      </w:pPr>
      <w:r>
        <w:t xml:space="preserve">- </w:t>
      </w:r>
      <w:r>
        <w:rPr>
          <w:color w:val="auto"/>
          <w:lang w:val="fr-FR"/>
        </w:rPr>
        <w:t>v</w:t>
      </w:r>
      <w:r w:rsidR="00606F3C">
        <w:rPr>
          <w:color w:val="auto"/>
          <w:lang w:val="fr-FR"/>
        </w:rPr>
        <w:t>isites et</w:t>
      </w:r>
      <w:r w:rsidR="008D2A34">
        <w:rPr>
          <w:color w:val="auto"/>
          <w:lang w:val="fr-FR"/>
        </w:rPr>
        <w:t>/ou</w:t>
      </w:r>
      <w:r w:rsidR="00606F3C">
        <w:rPr>
          <w:color w:val="auto"/>
          <w:lang w:val="fr-FR"/>
        </w:rPr>
        <w:t xml:space="preserve"> entraînement</w:t>
      </w:r>
      <w:r w:rsidR="008D2A34">
        <w:rPr>
          <w:color w:val="auto"/>
          <w:lang w:val="fr-FR"/>
        </w:rPr>
        <w:t>s</w:t>
      </w:r>
      <w:r w:rsidR="00606F3C">
        <w:rPr>
          <w:color w:val="auto"/>
          <w:lang w:val="fr-FR"/>
        </w:rPr>
        <w:t xml:space="preserve"> des</w:t>
      </w:r>
      <w:r w:rsidR="008D2A34">
        <w:rPr>
          <w:color w:val="auto"/>
          <w:lang w:val="fr-FR"/>
        </w:rPr>
        <w:t xml:space="preserve"> membres de l’élément civil, des membres du person</w:t>
      </w:r>
      <w:r w:rsidR="00FA7E4B">
        <w:rPr>
          <w:color w:val="auto"/>
          <w:lang w:val="fr-FR"/>
        </w:rPr>
        <w:t>nel, ou des membres d’une force ;</w:t>
      </w:r>
    </w:p>
    <w:p w:rsidR="002446A7" w:rsidRDefault="002446A7" w:rsidP="002446A7">
      <w:pPr>
        <w:spacing w:line="240" w:lineRule="auto"/>
        <w:ind w:left="360"/>
        <w:jc w:val="both"/>
      </w:pPr>
      <w:r>
        <w:lastRenderedPageBreak/>
        <w:t xml:space="preserve">- </w:t>
      </w:r>
      <w:r>
        <w:rPr>
          <w:color w:val="auto"/>
          <w:lang w:val="fr-FR"/>
        </w:rPr>
        <w:t>é</w:t>
      </w:r>
      <w:r w:rsidR="00DE5E8E">
        <w:rPr>
          <w:color w:val="auto"/>
          <w:lang w:val="fr-FR"/>
        </w:rPr>
        <w:t xml:space="preserve">change </w:t>
      </w:r>
      <w:r w:rsidR="00606F3C">
        <w:rPr>
          <w:color w:val="auto"/>
          <w:lang w:val="fr-FR"/>
        </w:rPr>
        <w:t>d’expérience au niveau des experts</w:t>
      </w:r>
      <w:r w:rsidR="00606F3C">
        <w:rPr>
          <w:rStyle w:val="Emphasis"/>
          <w:color w:val="auto"/>
          <w:lang w:val="fr-FR"/>
        </w:rPr>
        <w:t> ;</w:t>
      </w:r>
      <w:r w:rsidR="00606F3C">
        <w:rPr>
          <w:color w:val="auto"/>
          <w:lang w:val="fr-FR"/>
        </w:rPr>
        <w:t xml:space="preserve"> </w:t>
      </w:r>
    </w:p>
    <w:p w:rsidR="002446A7" w:rsidRDefault="002446A7" w:rsidP="002446A7">
      <w:pPr>
        <w:spacing w:line="240" w:lineRule="auto"/>
        <w:ind w:left="360"/>
        <w:jc w:val="both"/>
      </w:pPr>
      <w:r>
        <w:t xml:space="preserve">- </w:t>
      </w:r>
      <w:r>
        <w:rPr>
          <w:color w:val="auto"/>
          <w:lang w:val="fr-FR"/>
        </w:rPr>
        <w:t>r</w:t>
      </w:r>
      <w:r w:rsidR="00606F3C">
        <w:rPr>
          <w:color w:val="auto"/>
          <w:lang w:val="fr-FR"/>
        </w:rPr>
        <w:t>encontres, consultations et échanges d’informations lors de séminaires, de conférences et d’autres événements ;</w:t>
      </w:r>
    </w:p>
    <w:p w:rsidR="002446A7" w:rsidRDefault="002446A7" w:rsidP="002446A7">
      <w:pPr>
        <w:spacing w:line="240" w:lineRule="auto"/>
        <w:ind w:left="360"/>
        <w:jc w:val="both"/>
      </w:pPr>
      <w:r>
        <w:t xml:space="preserve">- </w:t>
      </w:r>
      <w:r>
        <w:rPr>
          <w:color w:val="auto"/>
          <w:lang w:val="fr-FR"/>
        </w:rPr>
        <w:t>é</w:t>
      </w:r>
      <w:r w:rsidR="00606F3C">
        <w:rPr>
          <w:color w:val="auto"/>
          <w:lang w:val="fr-FR"/>
        </w:rPr>
        <w:t>change de délégations entre états-majors et unités militaires afin de participer à la planification et à l’exécution d’exercices militaires ;</w:t>
      </w:r>
    </w:p>
    <w:p w:rsidR="002446A7" w:rsidRDefault="002446A7" w:rsidP="002446A7">
      <w:pPr>
        <w:spacing w:line="240" w:lineRule="auto"/>
        <w:ind w:left="360"/>
        <w:jc w:val="both"/>
      </w:pPr>
      <w:r>
        <w:t xml:space="preserve">- </w:t>
      </w:r>
      <w:r>
        <w:rPr>
          <w:color w:val="auto"/>
          <w:lang w:val="fr-FR"/>
        </w:rPr>
        <w:t>p</w:t>
      </w:r>
      <w:r w:rsidR="00606F3C">
        <w:rPr>
          <w:color w:val="auto"/>
          <w:lang w:val="fr-FR"/>
        </w:rPr>
        <w:t>artic</w:t>
      </w:r>
      <w:r w:rsidR="00072EE8">
        <w:rPr>
          <w:color w:val="auto"/>
          <w:lang w:val="fr-FR"/>
        </w:rPr>
        <w:t xml:space="preserve">ipation à </w:t>
      </w:r>
      <w:r w:rsidR="00BC51E7">
        <w:rPr>
          <w:color w:val="auto"/>
          <w:lang w:val="fr-FR"/>
        </w:rPr>
        <w:t xml:space="preserve">des </w:t>
      </w:r>
      <w:r w:rsidR="00606F3C">
        <w:rPr>
          <w:color w:val="auto"/>
          <w:lang w:val="fr-FR"/>
        </w:rPr>
        <w:t>exercices militaires</w:t>
      </w:r>
      <w:r w:rsidR="00FA7E4B">
        <w:rPr>
          <w:color w:val="auto"/>
          <w:lang w:val="fr-FR"/>
        </w:rPr>
        <w:t xml:space="preserve"> </w:t>
      </w:r>
      <w:r w:rsidR="00606F3C">
        <w:rPr>
          <w:color w:val="auto"/>
          <w:lang w:val="fr-FR"/>
        </w:rPr>
        <w:t>;</w:t>
      </w:r>
    </w:p>
    <w:p w:rsidR="002446A7" w:rsidRDefault="002446A7" w:rsidP="002446A7">
      <w:pPr>
        <w:spacing w:line="240" w:lineRule="auto"/>
        <w:ind w:left="360"/>
        <w:jc w:val="both"/>
      </w:pPr>
      <w:r>
        <w:t xml:space="preserve">- </w:t>
      </w:r>
      <w:r>
        <w:rPr>
          <w:color w:val="auto"/>
          <w:lang w:val="fr-FR"/>
        </w:rPr>
        <w:t>e</w:t>
      </w:r>
      <w:r w:rsidR="00606F3C">
        <w:rPr>
          <w:color w:val="auto"/>
          <w:lang w:val="fr-FR"/>
        </w:rPr>
        <w:t>scales d’aéronefs et de navires de guerre ;</w:t>
      </w:r>
    </w:p>
    <w:p w:rsidR="002446A7" w:rsidRDefault="002446A7" w:rsidP="002446A7">
      <w:pPr>
        <w:spacing w:line="240" w:lineRule="auto"/>
        <w:ind w:left="360"/>
        <w:jc w:val="both"/>
        <w:rPr>
          <w:color w:val="auto"/>
          <w:lang w:val="fr-FR"/>
        </w:rPr>
      </w:pPr>
      <w:r>
        <w:t xml:space="preserve">- </w:t>
      </w:r>
      <w:r>
        <w:rPr>
          <w:color w:val="auto"/>
          <w:lang w:val="fr-FR"/>
        </w:rPr>
        <w:t>é</w:t>
      </w:r>
      <w:r w:rsidR="00606F3C">
        <w:rPr>
          <w:color w:val="auto"/>
          <w:lang w:val="fr-FR"/>
        </w:rPr>
        <w:t>change d’informations</w:t>
      </w:r>
      <w:r w:rsidR="00FA7E4B">
        <w:rPr>
          <w:color w:val="auto"/>
          <w:lang w:val="fr-FR"/>
        </w:rPr>
        <w:t>, de documentations et d’études ;</w:t>
      </w:r>
    </w:p>
    <w:p w:rsidR="002446A7" w:rsidRDefault="002446A7" w:rsidP="002446A7">
      <w:pPr>
        <w:spacing w:line="240" w:lineRule="auto"/>
        <w:ind w:left="360"/>
        <w:jc w:val="both"/>
      </w:pPr>
      <w:r>
        <w:rPr>
          <w:color w:val="auto"/>
          <w:lang w:val="fr-FR"/>
        </w:rPr>
        <w:t>- p</w:t>
      </w:r>
      <w:r w:rsidR="00606F3C">
        <w:rPr>
          <w:color w:val="auto"/>
          <w:lang w:val="fr-FR"/>
        </w:rPr>
        <w:t>articipation à des évènements sportifs ;</w:t>
      </w:r>
    </w:p>
    <w:p w:rsidR="002446A7" w:rsidRDefault="002446A7" w:rsidP="002446A7">
      <w:pPr>
        <w:spacing w:line="240" w:lineRule="auto"/>
        <w:ind w:left="360"/>
        <w:jc w:val="both"/>
      </w:pPr>
      <w:r>
        <w:t xml:space="preserve">- </w:t>
      </w:r>
      <w:r>
        <w:rPr>
          <w:color w:val="auto"/>
          <w:lang w:val="fr-FR"/>
        </w:rPr>
        <w:t>p</w:t>
      </w:r>
      <w:r w:rsidR="00606F3C">
        <w:rPr>
          <w:color w:val="auto"/>
          <w:lang w:val="fr-FR"/>
        </w:rPr>
        <w:t>articipation à des activités culturelles ;</w:t>
      </w:r>
    </w:p>
    <w:p w:rsidR="00474D1A" w:rsidRDefault="002446A7" w:rsidP="002446A7">
      <w:pPr>
        <w:spacing w:line="240" w:lineRule="auto"/>
        <w:ind w:left="360"/>
        <w:jc w:val="both"/>
      </w:pPr>
      <w:r>
        <w:t xml:space="preserve">- </w:t>
      </w:r>
      <w:r>
        <w:rPr>
          <w:color w:val="auto"/>
          <w:lang w:val="fr-FR"/>
        </w:rPr>
        <w:t>a</w:t>
      </w:r>
      <w:r w:rsidR="00606F3C">
        <w:rPr>
          <w:color w:val="auto"/>
          <w:lang w:val="fr-FR"/>
        </w:rPr>
        <w:t>utres formes de coopération définies par les Parties.</w:t>
      </w:r>
    </w:p>
    <w:p w:rsidR="002607F9" w:rsidRDefault="002607F9" w:rsidP="008E3BD9">
      <w:pPr>
        <w:spacing w:line="240" w:lineRule="auto"/>
        <w:jc w:val="both"/>
        <w:rPr>
          <w:color w:val="auto"/>
          <w:lang w:val="fr-FR" w:eastAsia="lv-LV"/>
        </w:rPr>
      </w:pPr>
    </w:p>
    <w:p w:rsidR="00474D1A" w:rsidRDefault="00606F3C" w:rsidP="008E3BD9">
      <w:pPr>
        <w:spacing w:line="240" w:lineRule="auto"/>
        <w:jc w:val="center"/>
      </w:pPr>
      <w:r>
        <w:rPr>
          <w:color w:val="auto"/>
          <w:lang w:val="fr-FR" w:eastAsia="lv-LV"/>
        </w:rPr>
        <w:t>ARTICLE 5</w:t>
      </w:r>
    </w:p>
    <w:p w:rsidR="00474D1A" w:rsidRDefault="00606F3C" w:rsidP="008E3BD9">
      <w:pPr>
        <w:spacing w:line="240" w:lineRule="auto"/>
        <w:jc w:val="both"/>
      </w:pPr>
      <w:r>
        <w:rPr>
          <w:color w:val="auto"/>
          <w:lang w:val="fr-FR"/>
        </w:rPr>
        <w:t>1. La coopération dans le domaine de l’armement s’établit sur les thèmes reconnus comme étant d'intérêt mutuel, dans le respect des lois et des règlements de chaque Partie et selon l’intérêt respectif des Parties.</w:t>
      </w:r>
    </w:p>
    <w:p w:rsidR="00474D1A" w:rsidRDefault="00606F3C" w:rsidP="008E3BD9">
      <w:pPr>
        <w:spacing w:line="240" w:lineRule="auto"/>
        <w:jc w:val="both"/>
      </w:pPr>
      <w:r>
        <w:rPr>
          <w:color w:val="auto"/>
          <w:lang w:val="fr-FR"/>
        </w:rPr>
        <w:t>2. A cette fin, les Parties procèdent à des échanges d’information</w:t>
      </w:r>
      <w:r w:rsidR="002446A7">
        <w:rPr>
          <w:color w:val="auto"/>
          <w:lang w:val="fr-FR"/>
        </w:rPr>
        <w:t>s</w:t>
      </w:r>
      <w:r>
        <w:rPr>
          <w:color w:val="auto"/>
          <w:lang w:val="fr-FR"/>
        </w:rPr>
        <w:t xml:space="preserve"> et recensent les secteurs dans lesquels le développement </w:t>
      </w:r>
      <w:r w:rsidR="002446A7">
        <w:rPr>
          <w:color w:val="auto"/>
          <w:lang w:val="fr-FR"/>
        </w:rPr>
        <w:t>de ces échanges</w:t>
      </w:r>
      <w:r>
        <w:rPr>
          <w:color w:val="auto"/>
          <w:lang w:val="fr-FR"/>
        </w:rPr>
        <w:t xml:space="preserve"> doit être réalisé en priorité.</w:t>
      </w:r>
    </w:p>
    <w:p w:rsidR="00474D1A" w:rsidRDefault="00606F3C" w:rsidP="008E3BD9">
      <w:pPr>
        <w:spacing w:line="240" w:lineRule="auto"/>
        <w:jc w:val="both"/>
      </w:pPr>
      <w:r>
        <w:rPr>
          <w:color w:val="auto"/>
          <w:lang w:val="fr-FR"/>
        </w:rPr>
        <w:t>3. Afin de mettre en œuvre, coordonner et contrôler, dans la limite de leurs responsabilités, la coopération dans le domaine de l’armement, les Parties procèdent à des rencontres régulières entre responsables des administrations de chaque Partie chargées de l’armement.</w:t>
      </w:r>
    </w:p>
    <w:p w:rsidR="00474D1A" w:rsidRDefault="00474D1A" w:rsidP="008E3BD9">
      <w:pPr>
        <w:spacing w:line="240" w:lineRule="auto"/>
        <w:jc w:val="both"/>
      </w:pPr>
    </w:p>
    <w:p w:rsidR="00474D1A" w:rsidRDefault="00606F3C" w:rsidP="008E3BD9">
      <w:pPr>
        <w:spacing w:line="240" w:lineRule="auto"/>
        <w:jc w:val="center"/>
      </w:pPr>
      <w:r>
        <w:rPr>
          <w:color w:val="auto"/>
          <w:lang w:val="fr-FR" w:eastAsia="lv-LV"/>
        </w:rPr>
        <w:t>ARTICLE 6</w:t>
      </w:r>
    </w:p>
    <w:p w:rsidR="00474D1A" w:rsidRDefault="00606F3C" w:rsidP="008E3BD9">
      <w:pPr>
        <w:spacing w:line="240" w:lineRule="auto"/>
        <w:jc w:val="both"/>
      </w:pPr>
      <w:r>
        <w:rPr>
          <w:color w:val="auto"/>
          <w:lang w:val="fr-FR"/>
        </w:rPr>
        <w:t xml:space="preserve">1. Des entretiens bilatéraux sont organisés </w:t>
      </w:r>
      <w:r w:rsidR="00F2706B">
        <w:rPr>
          <w:color w:val="auto"/>
          <w:lang w:val="fr-FR"/>
        </w:rPr>
        <w:t>régulièrement</w:t>
      </w:r>
      <w:r>
        <w:rPr>
          <w:color w:val="auto"/>
          <w:lang w:val="fr-FR"/>
        </w:rPr>
        <w:t xml:space="preserve"> sur les sujets politico-militaires d'actualité ainsi que</w:t>
      </w:r>
      <w:r w:rsidR="00DE5E8E">
        <w:rPr>
          <w:color w:val="auto"/>
          <w:lang w:val="fr-FR"/>
        </w:rPr>
        <w:t xml:space="preserve"> sur</w:t>
      </w:r>
      <w:r>
        <w:rPr>
          <w:color w:val="auto"/>
          <w:lang w:val="fr-FR"/>
        </w:rPr>
        <w:t xml:space="preserve"> les questions de coopération bilatérale</w:t>
      </w:r>
      <w:r w:rsidR="00F2706B">
        <w:rPr>
          <w:color w:val="auto"/>
          <w:lang w:val="fr-FR"/>
        </w:rPr>
        <w:t xml:space="preserve"> selon une fréquence à déterminer par les Parties</w:t>
      </w:r>
      <w:r>
        <w:rPr>
          <w:color w:val="auto"/>
          <w:lang w:val="fr-FR"/>
        </w:rPr>
        <w:t>.</w:t>
      </w:r>
    </w:p>
    <w:p w:rsidR="00474D1A" w:rsidRDefault="00606F3C" w:rsidP="008E3BD9">
      <w:pPr>
        <w:spacing w:line="240" w:lineRule="auto"/>
        <w:jc w:val="both"/>
      </w:pPr>
      <w:r>
        <w:rPr>
          <w:color w:val="auto"/>
          <w:lang w:val="fr-FR"/>
        </w:rPr>
        <w:t>2. Les entretiens bilatéraux sont co-présidés par un responsable du ministère de la défense de chacune des Parties. Ils sont, en outre, composés d'un secrétaire, de l'attaché de défense de chacune des Parties et, en fonction des sujets abordés, d'officiers, de représentants des ministères de la défense et des différentes forces armées ou d'experts compétents.</w:t>
      </w:r>
    </w:p>
    <w:p w:rsidR="00474D1A" w:rsidRDefault="00606F3C" w:rsidP="008E3BD9">
      <w:pPr>
        <w:spacing w:line="240" w:lineRule="auto"/>
        <w:jc w:val="both"/>
      </w:pPr>
      <w:r>
        <w:rPr>
          <w:color w:val="auto"/>
          <w:lang w:val="fr-FR"/>
        </w:rPr>
        <w:t xml:space="preserve">3. Les entretiens bilatéraux se tiennent alternativement en </w:t>
      </w:r>
      <w:r w:rsidR="007406EF">
        <w:rPr>
          <w:color w:val="auto"/>
          <w:lang w:val="fr-FR"/>
        </w:rPr>
        <w:t xml:space="preserve">France et en </w:t>
      </w:r>
      <w:r>
        <w:rPr>
          <w:color w:val="auto"/>
          <w:lang w:val="fr-FR"/>
        </w:rPr>
        <w:t>Lettonie.</w:t>
      </w:r>
    </w:p>
    <w:p w:rsidR="00474D1A" w:rsidRDefault="00606F3C" w:rsidP="008E3BD9">
      <w:pPr>
        <w:spacing w:line="240" w:lineRule="auto"/>
        <w:jc w:val="both"/>
      </w:pPr>
      <w:r>
        <w:rPr>
          <w:color w:val="auto"/>
          <w:lang w:val="fr-FR"/>
        </w:rPr>
        <w:t>4.  Les ministères de la défense des Parties peuvent inscrire à l’ordre du jour des entretiens bilatéraux</w:t>
      </w:r>
      <w:r w:rsidR="00DE5E8E">
        <w:rPr>
          <w:color w:val="auto"/>
          <w:lang w:val="fr-FR"/>
        </w:rPr>
        <w:t xml:space="preserve"> </w:t>
      </w:r>
      <w:r>
        <w:rPr>
          <w:color w:val="auto"/>
          <w:lang w:val="fr-FR"/>
        </w:rPr>
        <w:t>tous les sujets qu</w:t>
      </w:r>
      <w:r w:rsidR="007406EF">
        <w:rPr>
          <w:color w:val="auto"/>
          <w:lang w:val="fr-FR"/>
        </w:rPr>
        <w:t xml:space="preserve">’ils </w:t>
      </w:r>
      <w:r>
        <w:rPr>
          <w:color w:val="auto"/>
          <w:lang w:val="fr-FR"/>
        </w:rPr>
        <w:t>jugent de nature à favoriser le renforcement de la coopération au sens du présent Accord, après approbation des deux co-présidents. L'ordre du jour est établi préalablement aux entretiens bilatéraux.</w:t>
      </w:r>
    </w:p>
    <w:p w:rsidR="00474D1A" w:rsidRDefault="00606F3C" w:rsidP="008E3BD9">
      <w:pPr>
        <w:spacing w:line="240" w:lineRule="auto"/>
        <w:jc w:val="both"/>
      </w:pPr>
      <w:r>
        <w:rPr>
          <w:color w:val="auto"/>
          <w:lang w:val="fr-FR"/>
        </w:rPr>
        <w:t>5. Au cours des entretiens bilatéraux,</w:t>
      </w:r>
      <w:r w:rsidR="007406EF">
        <w:rPr>
          <w:color w:val="auto"/>
          <w:lang w:val="fr-FR"/>
        </w:rPr>
        <w:t xml:space="preserve"> </w:t>
      </w:r>
      <w:r>
        <w:rPr>
          <w:color w:val="auto"/>
          <w:lang w:val="fr-FR"/>
        </w:rPr>
        <w:t>le bilan de la coopération réalisée au cours de la période écoulée</w:t>
      </w:r>
      <w:r w:rsidR="007406EF" w:rsidRPr="007406EF">
        <w:rPr>
          <w:color w:val="auto"/>
          <w:lang w:val="fr-FR"/>
        </w:rPr>
        <w:t xml:space="preserve"> </w:t>
      </w:r>
      <w:r w:rsidR="007406EF">
        <w:rPr>
          <w:color w:val="auto"/>
          <w:lang w:val="fr-FR"/>
        </w:rPr>
        <w:t>est dressé</w:t>
      </w:r>
      <w:r>
        <w:rPr>
          <w:color w:val="auto"/>
          <w:lang w:val="fr-FR"/>
        </w:rPr>
        <w:t>.</w:t>
      </w:r>
    </w:p>
    <w:p w:rsidR="00474D1A" w:rsidRDefault="00606F3C" w:rsidP="008E3BD9">
      <w:pPr>
        <w:spacing w:line="240" w:lineRule="auto"/>
        <w:jc w:val="both"/>
      </w:pPr>
      <w:r>
        <w:rPr>
          <w:color w:val="auto"/>
          <w:lang w:val="fr-FR"/>
        </w:rPr>
        <w:t xml:space="preserve">6. Un plan de coopération entre les forces armées, services ou directions est élaboré et coordonné </w:t>
      </w:r>
      <w:r>
        <w:rPr>
          <w:color w:val="auto"/>
          <w:lang w:val="fr-FR"/>
        </w:rPr>
        <w:lastRenderedPageBreak/>
        <w:t xml:space="preserve">par les représentants des ministères de la défense chargés de la coopération bilatérale. </w:t>
      </w:r>
    </w:p>
    <w:p w:rsidR="00474D1A" w:rsidRDefault="00606F3C" w:rsidP="008E3BD9">
      <w:pPr>
        <w:spacing w:line="240" w:lineRule="auto"/>
        <w:jc w:val="both"/>
      </w:pPr>
      <w:r>
        <w:rPr>
          <w:color w:val="auto"/>
          <w:lang w:val="fr-FR"/>
        </w:rPr>
        <w:t>7. Les attachés de défense de</w:t>
      </w:r>
      <w:r w:rsidR="00E052BE">
        <w:rPr>
          <w:color w:val="auto"/>
          <w:lang w:val="fr-FR"/>
        </w:rPr>
        <w:t>s</w:t>
      </w:r>
      <w:r>
        <w:rPr>
          <w:color w:val="auto"/>
          <w:lang w:val="fr-FR"/>
        </w:rPr>
        <w:t xml:space="preserve"> Parties sont informés des actions de coopération et peuvent participer à leur organisation.</w:t>
      </w:r>
    </w:p>
    <w:p w:rsidR="00FD7D77" w:rsidRDefault="00FD7D77" w:rsidP="008E3BD9">
      <w:pPr>
        <w:spacing w:line="240" w:lineRule="auto"/>
        <w:jc w:val="both"/>
      </w:pPr>
    </w:p>
    <w:p w:rsidR="00474D1A" w:rsidRDefault="00606F3C" w:rsidP="008E3BD9">
      <w:pPr>
        <w:spacing w:line="240" w:lineRule="auto"/>
        <w:jc w:val="center"/>
      </w:pPr>
      <w:r>
        <w:rPr>
          <w:color w:val="auto"/>
          <w:lang w:val="fr-FR" w:eastAsia="lv-LV"/>
        </w:rPr>
        <w:t>ARTICLE 7</w:t>
      </w:r>
    </w:p>
    <w:p w:rsidR="00474D1A" w:rsidRDefault="00606F3C" w:rsidP="008E3BD9">
      <w:pPr>
        <w:spacing w:line="240" w:lineRule="auto"/>
        <w:jc w:val="both"/>
      </w:pPr>
      <w:r>
        <w:rPr>
          <w:color w:val="auto"/>
          <w:lang w:val="fr-FR"/>
        </w:rPr>
        <w:t xml:space="preserve">1. Les informations classifiées produites ou échangées dans le cadre de la coopération mise en œuvre au titre du présent Accord sont utilisées, communiquées, conservées, traitées et protégées conformément à </w:t>
      </w:r>
      <w:r w:rsidR="00DE5E8E">
        <w:rPr>
          <w:lang w:val="fr-FR"/>
        </w:rPr>
        <w:t xml:space="preserve">l’Accord </w:t>
      </w:r>
      <w:r w:rsidR="001A7ADF">
        <w:rPr>
          <w:lang w:val="fr-FR"/>
        </w:rPr>
        <w:t>de sécurité</w:t>
      </w:r>
      <w:r>
        <w:rPr>
          <w:color w:val="auto"/>
          <w:lang w:val="fr-FR"/>
        </w:rPr>
        <w:t>.</w:t>
      </w:r>
    </w:p>
    <w:p w:rsidR="00474D1A" w:rsidRDefault="00606F3C" w:rsidP="008E3BD9">
      <w:pPr>
        <w:spacing w:line="240" w:lineRule="auto"/>
        <w:jc w:val="both"/>
        <w:rPr>
          <w:color w:val="auto"/>
          <w:lang w:val="fr-FR"/>
        </w:rPr>
      </w:pPr>
      <w:r>
        <w:rPr>
          <w:color w:val="auto"/>
          <w:lang w:val="fr-FR"/>
        </w:rPr>
        <w:t>2. Les informations non classifiées produites ou échangées dans le cadre de la coopération mise en œuvre au titre du présent Accord, ne sont communiquées qu’à des fins officielles, à moins que la Partie émettrice de l’information n’ait consenti par écrit à l’utilisation de ce</w:t>
      </w:r>
      <w:r w:rsidR="00FD7D77">
        <w:rPr>
          <w:color w:val="auto"/>
          <w:lang w:val="fr-FR"/>
        </w:rPr>
        <w:t>s informations à d’autres fins.</w:t>
      </w:r>
    </w:p>
    <w:p w:rsidR="00FD7D77" w:rsidRDefault="00FD7D77" w:rsidP="008E3BD9">
      <w:pPr>
        <w:spacing w:line="240" w:lineRule="auto"/>
        <w:jc w:val="both"/>
      </w:pPr>
    </w:p>
    <w:p w:rsidR="00474D1A" w:rsidRDefault="00606F3C" w:rsidP="008E3BD9">
      <w:pPr>
        <w:spacing w:line="240" w:lineRule="auto"/>
        <w:jc w:val="center"/>
      </w:pPr>
      <w:r>
        <w:rPr>
          <w:color w:val="auto"/>
          <w:lang w:val="fr-FR" w:eastAsia="lv-LV"/>
        </w:rPr>
        <w:t>ARTICLE 8</w:t>
      </w:r>
    </w:p>
    <w:p w:rsidR="00474D1A" w:rsidRDefault="00606F3C" w:rsidP="008E3BD9">
      <w:pPr>
        <w:spacing w:line="240" w:lineRule="auto"/>
        <w:jc w:val="both"/>
      </w:pPr>
      <w:r>
        <w:rPr>
          <w:color w:val="auto"/>
          <w:lang w:val="fr-FR"/>
        </w:rPr>
        <w:t xml:space="preserve">1. Sauf si elles en décident autrement d’un commun accord, les Parties assument, chacune pour ce qui la concerne, les dépenses liées à la mise en œuvre du présent Accord, conformément aux dispositions </w:t>
      </w:r>
      <w:r w:rsidR="007406EF">
        <w:rPr>
          <w:color w:val="auto"/>
          <w:lang w:val="fr-FR"/>
        </w:rPr>
        <w:t xml:space="preserve">qui suivent. </w:t>
      </w:r>
      <w:r>
        <w:rPr>
          <w:color w:val="auto"/>
          <w:lang w:val="fr-FR"/>
        </w:rPr>
        <w:t xml:space="preserve"> </w:t>
      </w:r>
    </w:p>
    <w:p w:rsidR="00474D1A" w:rsidRDefault="007B1819" w:rsidP="008E3BD9">
      <w:pPr>
        <w:spacing w:line="240" w:lineRule="auto"/>
        <w:jc w:val="both"/>
      </w:pPr>
      <w:r>
        <w:rPr>
          <w:color w:val="auto"/>
          <w:lang w:val="fr-FR"/>
        </w:rPr>
        <w:t>L’Etat</w:t>
      </w:r>
      <w:r w:rsidR="00606F3C">
        <w:rPr>
          <w:color w:val="auto"/>
          <w:lang w:val="fr-FR"/>
        </w:rPr>
        <w:t xml:space="preserve"> </w:t>
      </w:r>
      <w:r>
        <w:rPr>
          <w:color w:val="auto"/>
          <w:lang w:val="fr-FR"/>
        </w:rPr>
        <w:t xml:space="preserve">d’origine </w:t>
      </w:r>
      <w:r w:rsidR="00606F3C">
        <w:rPr>
          <w:color w:val="auto"/>
          <w:lang w:val="fr-FR"/>
        </w:rPr>
        <w:t>assume les frais liés au déplacement de</w:t>
      </w:r>
      <w:r w:rsidR="007406EF">
        <w:rPr>
          <w:color w:val="auto"/>
          <w:lang w:val="fr-FR"/>
        </w:rPr>
        <w:t xml:space="preserve">s </w:t>
      </w:r>
      <w:r w:rsidR="00606F3C">
        <w:rPr>
          <w:color w:val="auto"/>
          <w:lang w:val="fr-FR"/>
        </w:rPr>
        <w:t>membres</w:t>
      </w:r>
      <w:r w:rsidR="007406EF">
        <w:rPr>
          <w:color w:val="auto"/>
          <w:lang w:val="fr-FR"/>
        </w:rPr>
        <w:t xml:space="preserve"> de </w:t>
      </w:r>
      <w:r>
        <w:rPr>
          <w:color w:val="auto"/>
          <w:lang w:val="fr-FR"/>
        </w:rPr>
        <w:t xml:space="preserve">sa force, de son </w:t>
      </w:r>
      <w:r w:rsidR="007406EF">
        <w:rPr>
          <w:color w:val="auto"/>
          <w:lang w:val="fr-FR"/>
        </w:rPr>
        <w:t xml:space="preserve">élément civil, ou </w:t>
      </w:r>
      <w:r>
        <w:rPr>
          <w:color w:val="auto"/>
          <w:lang w:val="fr-FR"/>
        </w:rPr>
        <w:t>de son</w:t>
      </w:r>
      <w:r w:rsidR="007406EF">
        <w:rPr>
          <w:color w:val="auto"/>
          <w:lang w:val="fr-FR"/>
        </w:rPr>
        <w:t xml:space="preserve"> personnel </w:t>
      </w:r>
      <w:r w:rsidR="00606F3C">
        <w:rPr>
          <w:color w:val="auto"/>
          <w:lang w:val="fr-FR"/>
        </w:rPr>
        <w:t xml:space="preserve">vers le territoire de l’Etat de </w:t>
      </w:r>
      <w:r w:rsidR="008B00E8">
        <w:rPr>
          <w:color w:val="auto"/>
          <w:lang w:val="fr-FR"/>
        </w:rPr>
        <w:t>séjour</w:t>
      </w:r>
      <w:r w:rsidR="00606F3C">
        <w:rPr>
          <w:color w:val="auto"/>
          <w:lang w:val="fr-FR"/>
        </w:rPr>
        <w:t>, ainsi qu’à leur restauration et à leur hébergement sur place</w:t>
      </w:r>
      <w:r w:rsidR="007406EF">
        <w:rPr>
          <w:color w:val="auto"/>
          <w:lang w:val="fr-FR"/>
        </w:rPr>
        <w:t>.</w:t>
      </w:r>
    </w:p>
    <w:p w:rsidR="00474D1A" w:rsidRDefault="007B1819" w:rsidP="008E3BD9">
      <w:pPr>
        <w:spacing w:line="240" w:lineRule="auto"/>
        <w:jc w:val="both"/>
      </w:pPr>
      <w:r>
        <w:rPr>
          <w:color w:val="auto"/>
          <w:lang w:val="fr-FR"/>
        </w:rPr>
        <w:t>L’Etat de séjour</w:t>
      </w:r>
      <w:r w:rsidR="00606F3C">
        <w:rPr>
          <w:color w:val="auto"/>
          <w:lang w:val="fr-FR"/>
        </w:rPr>
        <w:t xml:space="preserve"> assume les dépenses liées à l’organisation des actions de coopération, à l’accueil des délégations et à leur éventuel transport par des moyens militaires au sein du territoire de l’Etat de </w:t>
      </w:r>
      <w:r>
        <w:rPr>
          <w:color w:val="auto"/>
          <w:lang w:val="fr-FR"/>
        </w:rPr>
        <w:t>séjour</w:t>
      </w:r>
      <w:r w:rsidR="00606F3C">
        <w:rPr>
          <w:color w:val="auto"/>
          <w:lang w:val="fr-FR"/>
        </w:rPr>
        <w:t xml:space="preserve">. </w:t>
      </w:r>
    </w:p>
    <w:p w:rsidR="00474D1A" w:rsidRDefault="00606F3C" w:rsidP="008E3BD9">
      <w:pPr>
        <w:spacing w:line="240" w:lineRule="auto"/>
        <w:jc w:val="both"/>
      </w:pPr>
      <w:r>
        <w:rPr>
          <w:color w:val="auto"/>
          <w:lang w:val="fr-FR"/>
        </w:rPr>
        <w:t xml:space="preserve">2. Pour les stages dans les organismes militaires de formation ou au sein des unités des forces armées de </w:t>
      </w:r>
      <w:r w:rsidR="007B1819">
        <w:rPr>
          <w:color w:val="auto"/>
          <w:lang w:val="fr-FR"/>
        </w:rPr>
        <w:t>l’Etat de séjour</w:t>
      </w:r>
      <w:r>
        <w:rPr>
          <w:color w:val="auto"/>
          <w:lang w:val="fr-FR"/>
        </w:rPr>
        <w:t>, cel</w:t>
      </w:r>
      <w:r w:rsidR="007B1819">
        <w:rPr>
          <w:color w:val="auto"/>
          <w:lang w:val="fr-FR"/>
        </w:rPr>
        <w:t>ui</w:t>
      </w:r>
      <w:r>
        <w:rPr>
          <w:color w:val="auto"/>
          <w:lang w:val="fr-FR"/>
        </w:rPr>
        <w:t xml:space="preserve">-ci étudie la possibilité de prendre en charge les frais de scolarité ou de formation des membres </w:t>
      </w:r>
      <w:r w:rsidR="007B1819">
        <w:rPr>
          <w:color w:val="auto"/>
          <w:lang w:val="fr-FR"/>
        </w:rPr>
        <w:t>de la force</w:t>
      </w:r>
      <w:r>
        <w:rPr>
          <w:color w:val="auto"/>
          <w:lang w:val="fr-FR"/>
        </w:rPr>
        <w:t xml:space="preserve"> de </w:t>
      </w:r>
      <w:r w:rsidR="008B00E8">
        <w:rPr>
          <w:color w:val="auto"/>
          <w:lang w:val="fr-FR"/>
        </w:rPr>
        <w:t>l’Etat d’origine</w:t>
      </w:r>
      <w:r>
        <w:rPr>
          <w:color w:val="auto"/>
          <w:lang w:val="fr-FR"/>
        </w:rPr>
        <w:t xml:space="preserve">. </w:t>
      </w:r>
      <w:r w:rsidR="007B1819">
        <w:rPr>
          <w:color w:val="auto"/>
          <w:lang w:val="fr-FR"/>
        </w:rPr>
        <w:t>L’Etat de séjour</w:t>
      </w:r>
      <w:r>
        <w:rPr>
          <w:color w:val="auto"/>
          <w:lang w:val="fr-FR"/>
        </w:rPr>
        <w:t xml:space="preserve"> informe </w:t>
      </w:r>
      <w:r w:rsidR="007B1819">
        <w:rPr>
          <w:color w:val="auto"/>
          <w:lang w:val="fr-FR"/>
        </w:rPr>
        <w:t>l’Etat d’origine</w:t>
      </w:r>
      <w:r>
        <w:rPr>
          <w:color w:val="auto"/>
          <w:lang w:val="fr-FR"/>
        </w:rPr>
        <w:t xml:space="preserve"> d’envoi de la décision et des frais pris en charge.</w:t>
      </w:r>
    </w:p>
    <w:p w:rsidR="00730594" w:rsidRDefault="00730594" w:rsidP="008E3BD9">
      <w:pPr>
        <w:spacing w:line="240" w:lineRule="auto"/>
        <w:rPr>
          <w:color w:val="auto"/>
          <w:lang w:val="fr-FR"/>
        </w:rPr>
      </w:pPr>
    </w:p>
    <w:p w:rsidR="00474D1A" w:rsidRDefault="00606F3C" w:rsidP="008E3BD9">
      <w:pPr>
        <w:spacing w:line="240" w:lineRule="auto"/>
        <w:jc w:val="center"/>
      </w:pPr>
      <w:r>
        <w:rPr>
          <w:color w:val="auto"/>
          <w:lang w:val="fr-FR"/>
        </w:rPr>
        <w:t>ARTICLE 9</w:t>
      </w:r>
    </w:p>
    <w:p w:rsidR="00474D1A" w:rsidRDefault="00606F3C" w:rsidP="008E3BD9">
      <w:pPr>
        <w:spacing w:line="240" w:lineRule="auto"/>
        <w:jc w:val="both"/>
      </w:pPr>
      <w:bookmarkStart w:id="1" w:name="result_box"/>
      <w:bookmarkEnd w:id="1"/>
      <w:r>
        <w:rPr>
          <w:color w:val="auto"/>
          <w:lang w:val="fr-FR"/>
        </w:rPr>
        <w:t>1. Les dispositions du SOFA OTAN s’appliquent aux membres</w:t>
      </w:r>
      <w:r w:rsidR="00D00B41">
        <w:rPr>
          <w:color w:val="auto"/>
          <w:lang w:val="fr-FR"/>
        </w:rPr>
        <w:t xml:space="preserve"> d’une force ou d’un élément civil et aux personnes à charge de l’Etat d’origine</w:t>
      </w:r>
      <w:r>
        <w:rPr>
          <w:color w:val="auto"/>
          <w:lang w:val="fr-FR"/>
        </w:rPr>
        <w:t>, présents sur le territoire de</w:t>
      </w:r>
      <w:r w:rsidR="00E052BE">
        <w:rPr>
          <w:color w:val="auto"/>
          <w:lang w:val="fr-FR"/>
        </w:rPr>
        <w:t xml:space="preserve"> l</w:t>
      </w:r>
      <w:r w:rsidR="00D00B41">
        <w:rPr>
          <w:color w:val="auto"/>
          <w:lang w:val="fr-FR"/>
        </w:rPr>
        <w:t xml:space="preserve">’Etat de séjour. </w:t>
      </w:r>
    </w:p>
    <w:p w:rsidR="00474D1A" w:rsidRDefault="00606F3C" w:rsidP="008E3BD9">
      <w:pPr>
        <w:spacing w:line="240" w:lineRule="auto"/>
        <w:jc w:val="both"/>
        <w:rPr>
          <w:color w:val="auto"/>
          <w:lang w:val="fr-FR"/>
        </w:rPr>
      </w:pPr>
      <w:r>
        <w:rPr>
          <w:color w:val="auto"/>
          <w:lang w:val="fr-FR"/>
        </w:rPr>
        <w:t xml:space="preserve">2. </w:t>
      </w:r>
      <w:r w:rsidR="00D00B41">
        <w:rPr>
          <w:color w:val="auto"/>
          <w:lang w:val="fr-FR"/>
        </w:rPr>
        <w:t>L’Etat d’origine</w:t>
      </w:r>
      <w:r>
        <w:rPr>
          <w:color w:val="auto"/>
          <w:lang w:val="fr-FR"/>
        </w:rPr>
        <w:t xml:space="preserve"> communique à l’avance aux autorités compétentes de l</w:t>
      </w:r>
      <w:r w:rsidR="00D00B41">
        <w:rPr>
          <w:color w:val="auto"/>
          <w:lang w:val="fr-FR"/>
        </w:rPr>
        <w:t xml:space="preserve">’Etat de séjour </w:t>
      </w:r>
      <w:r>
        <w:rPr>
          <w:color w:val="auto"/>
          <w:lang w:val="fr-FR"/>
        </w:rPr>
        <w:t xml:space="preserve">l’identité des membres </w:t>
      </w:r>
      <w:r w:rsidR="00D00B41">
        <w:rPr>
          <w:color w:val="auto"/>
          <w:lang w:val="fr-FR"/>
        </w:rPr>
        <w:t>d’une force, d’un élément</w:t>
      </w:r>
      <w:r>
        <w:rPr>
          <w:color w:val="auto"/>
          <w:lang w:val="fr-FR"/>
        </w:rPr>
        <w:t xml:space="preserve"> civil</w:t>
      </w:r>
      <w:r w:rsidR="00D00B41">
        <w:rPr>
          <w:color w:val="auto"/>
          <w:lang w:val="fr-FR"/>
        </w:rPr>
        <w:t xml:space="preserve">, </w:t>
      </w:r>
      <w:r>
        <w:rPr>
          <w:color w:val="auto"/>
          <w:lang w:val="fr-FR"/>
        </w:rPr>
        <w:t>des perso</w:t>
      </w:r>
      <w:r w:rsidR="00C924E1">
        <w:rPr>
          <w:color w:val="auto"/>
          <w:lang w:val="fr-FR"/>
        </w:rPr>
        <w:t xml:space="preserve">nnes à charge </w:t>
      </w:r>
      <w:r w:rsidR="00D00B41">
        <w:rPr>
          <w:color w:val="auto"/>
          <w:lang w:val="fr-FR"/>
        </w:rPr>
        <w:t xml:space="preserve">et des membres du personnel </w:t>
      </w:r>
      <w:r w:rsidR="00C924E1">
        <w:rPr>
          <w:color w:val="auto"/>
          <w:lang w:val="fr-FR"/>
        </w:rPr>
        <w:t xml:space="preserve">se rendant sur </w:t>
      </w:r>
      <w:r w:rsidR="00EE5A0F">
        <w:rPr>
          <w:color w:val="auto"/>
          <w:lang w:val="fr-FR"/>
        </w:rPr>
        <w:t xml:space="preserve">le </w:t>
      </w:r>
      <w:r>
        <w:rPr>
          <w:color w:val="auto"/>
          <w:lang w:val="fr-FR"/>
        </w:rPr>
        <w:t>territoire</w:t>
      </w:r>
      <w:r w:rsidR="00EE5A0F">
        <w:rPr>
          <w:color w:val="auto"/>
          <w:lang w:val="fr-FR"/>
        </w:rPr>
        <w:t xml:space="preserve"> de </w:t>
      </w:r>
      <w:r w:rsidR="008B00E8">
        <w:rPr>
          <w:color w:val="auto"/>
          <w:lang w:val="fr-FR"/>
        </w:rPr>
        <w:t>l’Etat de séjour</w:t>
      </w:r>
      <w:r>
        <w:rPr>
          <w:color w:val="auto"/>
          <w:lang w:val="fr-FR"/>
        </w:rPr>
        <w:t xml:space="preserve">. Lesdites autorités sont également informées de la cessation de fonctions officielles des membres </w:t>
      </w:r>
      <w:r w:rsidR="00EE5A0F">
        <w:rPr>
          <w:color w:val="auto"/>
          <w:lang w:val="fr-FR"/>
        </w:rPr>
        <w:t xml:space="preserve">d’une force, d’un élément </w:t>
      </w:r>
      <w:r>
        <w:rPr>
          <w:color w:val="auto"/>
          <w:lang w:val="fr-FR"/>
        </w:rPr>
        <w:t>civil</w:t>
      </w:r>
      <w:r w:rsidR="00EE5A0F">
        <w:rPr>
          <w:color w:val="auto"/>
          <w:lang w:val="fr-FR"/>
        </w:rPr>
        <w:t xml:space="preserve"> ou des membres du personnel, </w:t>
      </w:r>
      <w:r>
        <w:rPr>
          <w:color w:val="auto"/>
          <w:lang w:val="fr-FR"/>
        </w:rPr>
        <w:t>et de la date de leur départ du territoire de</w:t>
      </w:r>
      <w:r w:rsidR="0031367F">
        <w:rPr>
          <w:color w:val="auto"/>
          <w:lang w:val="fr-FR"/>
        </w:rPr>
        <w:t xml:space="preserve"> l’Etat </w:t>
      </w:r>
      <w:r w:rsidR="00EE5A0F">
        <w:rPr>
          <w:color w:val="auto"/>
          <w:lang w:val="fr-FR"/>
        </w:rPr>
        <w:t>de séjour</w:t>
      </w:r>
      <w:r w:rsidR="0031367F">
        <w:rPr>
          <w:color w:val="auto"/>
          <w:lang w:val="fr-FR"/>
        </w:rPr>
        <w:t>.</w:t>
      </w:r>
    </w:p>
    <w:p w:rsidR="0031367F" w:rsidRPr="009D759B" w:rsidRDefault="0031367F" w:rsidP="008E3BD9">
      <w:pPr>
        <w:spacing w:line="240" w:lineRule="auto"/>
        <w:jc w:val="both"/>
        <w:rPr>
          <w:lang w:val="fr-FR"/>
        </w:rPr>
      </w:pPr>
    </w:p>
    <w:p w:rsidR="00474D1A" w:rsidRDefault="00606F3C" w:rsidP="008E3BD9">
      <w:pPr>
        <w:spacing w:line="240" w:lineRule="auto"/>
        <w:jc w:val="center"/>
      </w:pPr>
      <w:r>
        <w:rPr>
          <w:color w:val="auto"/>
          <w:lang w:val="fr-FR"/>
        </w:rPr>
        <w:t>ARTICLE 10</w:t>
      </w:r>
    </w:p>
    <w:p w:rsidR="002607F9" w:rsidRPr="002607F9" w:rsidRDefault="00F22B79" w:rsidP="008E3BD9">
      <w:pPr>
        <w:spacing w:line="240" w:lineRule="auto"/>
        <w:jc w:val="both"/>
        <w:rPr>
          <w:color w:val="auto"/>
        </w:rPr>
      </w:pPr>
      <w:r>
        <w:rPr>
          <w:color w:val="auto"/>
        </w:rPr>
        <w:t xml:space="preserve">Les demandes d’indemnités sont réglées conformément à l’article VIII du SOFA OTAN. </w:t>
      </w:r>
    </w:p>
    <w:p w:rsidR="002607F9" w:rsidRDefault="002607F9" w:rsidP="008E3BD9">
      <w:pPr>
        <w:spacing w:line="240" w:lineRule="auto"/>
        <w:jc w:val="both"/>
        <w:rPr>
          <w:caps/>
          <w:color w:val="auto"/>
          <w:lang w:val="fr-FR"/>
        </w:rPr>
      </w:pPr>
    </w:p>
    <w:p w:rsidR="00DE5E8E" w:rsidRDefault="00DE5E8E" w:rsidP="008E3BD9">
      <w:pPr>
        <w:spacing w:line="240" w:lineRule="auto"/>
        <w:jc w:val="center"/>
      </w:pPr>
      <w:r w:rsidRPr="00AD0DB2">
        <w:rPr>
          <w:caps/>
          <w:color w:val="auto"/>
          <w:lang w:val="fr-FR"/>
        </w:rPr>
        <w:t>Article</w:t>
      </w:r>
      <w:r>
        <w:rPr>
          <w:color w:val="auto"/>
          <w:lang w:val="fr-FR"/>
        </w:rPr>
        <w:t xml:space="preserve"> 11</w:t>
      </w:r>
    </w:p>
    <w:p w:rsidR="00474D1A" w:rsidRDefault="00606F3C" w:rsidP="008E3BD9">
      <w:pPr>
        <w:spacing w:line="240" w:lineRule="auto"/>
        <w:jc w:val="both"/>
      </w:pPr>
      <w:r>
        <w:rPr>
          <w:color w:val="auto"/>
          <w:lang w:val="fr-FR"/>
        </w:rPr>
        <w:t xml:space="preserve">Tout différend lié à l’interprétation ou à l’application du présent Accord est réglé par voie de consultations ou de négociations entre les Parties. </w:t>
      </w:r>
    </w:p>
    <w:p w:rsidR="00474D1A" w:rsidRDefault="00474D1A" w:rsidP="008E3BD9">
      <w:pPr>
        <w:spacing w:line="240" w:lineRule="auto"/>
        <w:jc w:val="both"/>
      </w:pPr>
    </w:p>
    <w:p w:rsidR="00474D1A" w:rsidRDefault="00606F3C" w:rsidP="008E3BD9">
      <w:pPr>
        <w:spacing w:line="240" w:lineRule="auto"/>
        <w:jc w:val="center"/>
      </w:pPr>
      <w:r>
        <w:rPr>
          <w:color w:val="auto"/>
          <w:lang w:val="fr-FR" w:eastAsia="lv-LV"/>
        </w:rPr>
        <w:t>ARTICLE 12</w:t>
      </w:r>
    </w:p>
    <w:p w:rsidR="00474D1A" w:rsidRDefault="00606F3C" w:rsidP="008E3BD9">
      <w:pPr>
        <w:spacing w:line="240" w:lineRule="auto"/>
        <w:jc w:val="both"/>
      </w:pPr>
      <w:r>
        <w:rPr>
          <w:color w:val="auto"/>
          <w:lang w:val="fr-FR"/>
        </w:rPr>
        <w:t xml:space="preserve">1. Chaque Partie notifie à l’autre l’accomplissement des procédures </w:t>
      </w:r>
      <w:r w:rsidR="00F22B79">
        <w:rPr>
          <w:color w:val="auto"/>
          <w:lang w:val="fr-FR"/>
        </w:rPr>
        <w:t xml:space="preserve">internes </w:t>
      </w:r>
      <w:r>
        <w:rPr>
          <w:color w:val="auto"/>
          <w:lang w:val="fr-FR"/>
        </w:rPr>
        <w:t xml:space="preserve">requises pour l’entrée en vigueur du présent Accord qui prend effet le premier jour du deuxième mois suivant le jour de réception de la dernière notification. </w:t>
      </w:r>
    </w:p>
    <w:p w:rsidR="00474D1A" w:rsidRDefault="00606F3C" w:rsidP="008E3BD9">
      <w:pPr>
        <w:spacing w:line="240" w:lineRule="auto"/>
        <w:jc w:val="both"/>
      </w:pPr>
      <w:r>
        <w:rPr>
          <w:color w:val="auto"/>
          <w:lang w:val="fr-FR"/>
        </w:rPr>
        <w:t xml:space="preserve">2. Les Parties peuvent à tout moment et d’un commun accord amender par écrit le présent Accord. </w:t>
      </w:r>
      <w:r w:rsidR="00F22B79">
        <w:rPr>
          <w:color w:val="auto"/>
          <w:lang w:val="fr-FR"/>
        </w:rPr>
        <w:t>Les</w:t>
      </w:r>
      <w:r>
        <w:rPr>
          <w:color w:val="auto"/>
          <w:lang w:val="fr-FR"/>
        </w:rPr>
        <w:t xml:space="preserve"> amendements </w:t>
      </w:r>
      <w:r w:rsidR="00F22B79">
        <w:rPr>
          <w:color w:val="auto"/>
          <w:lang w:val="fr-FR"/>
        </w:rPr>
        <w:t xml:space="preserve">entrent en vigueur </w:t>
      </w:r>
      <w:r>
        <w:rPr>
          <w:color w:val="auto"/>
          <w:lang w:val="fr-FR"/>
        </w:rPr>
        <w:t xml:space="preserve">conformément aux dispositions du paragraphe 1 du présent article. </w:t>
      </w:r>
    </w:p>
    <w:p w:rsidR="00474D1A" w:rsidRDefault="00606F3C" w:rsidP="008E3BD9">
      <w:pPr>
        <w:spacing w:line="240" w:lineRule="auto"/>
        <w:jc w:val="both"/>
      </w:pPr>
      <w:r>
        <w:rPr>
          <w:color w:val="auto"/>
          <w:lang w:val="fr-FR"/>
        </w:rPr>
        <w:t xml:space="preserve">3.  Le présent Accord est conclu pour une durée indéterminée. </w:t>
      </w:r>
    </w:p>
    <w:p w:rsidR="00474D1A" w:rsidRDefault="00606F3C" w:rsidP="008E3BD9">
      <w:pPr>
        <w:spacing w:line="240" w:lineRule="auto"/>
        <w:jc w:val="both"/>
      </w:pPr>
      <w:r>
        <w:rPr>
          <w:color w:val="auto"/>
          <w:lang w:val="fr-FR"/>
        </w:rPr>
        <w:t>4. Chacune des Parties peut dénoncer le présent Accord à tout moment par le biais d’une notification écrite. Cette dénonciation prend effet 90 (quatre-vingt</w:t>
      </w:r>
      <w:r w:rsidR="00C60414">
        <w:rPr>
          <w:color w:val="auto"/>
          <w:lang w:val="fr-FR"/>
        </w:rPr>
        <w:t>-</w:t>
      </w:r>
      <w:r>
        <w:rPr>
          <w:color w:val="auto"/>
          <w:lang w:val="fr-FR"/>
        </w:rPr>
        <w:t xml:space="preserve">dix) jours après la réception de la notification par l’autre Partie. </w:t>
      </w:r>
    </w:p>
    <w:p w:rsidR="00474D1A" w:rsidRDefault="00606F3C" w:rsidP="008E3BD9">
      <w:pPr>
        <w:spacing w:line="240" w:lineRule="auto"/>
        <w:jc w:val="both"/>
      </w:pPr>
      <w:r>
        <w:rPr>
          <w:color w:val="auto"/>
          <w:lang w:val="fr-FR"/>
        </w:rPr>
        <w:t>5. La dénonciation du présent Accord ne dégage pas les Parties de l’exécution des obligations contractées pendant la durée de son application.</w:t>
      </w:r>
    </w:p>
    <w:p w:rsidR="0031367F" w:rsidRDefault="0031367F" w:rsidP="008E3BD9">
      <w:pPr>
        <w:spacing w:line="240" w:lineRule="auto"/>
        <w:jc w:val="both"/>
      </w:pPr>
    </w:p>
    <w:p w:rsidR="00474D1A" w:rsidRDefault="002607F9" w:rsidP="008E3BD9">
      <w:pPr>
        <w:spacing w:line="240" w:lineRule="auto"/>
        <w:jc w:val="both"/>
      </w:pPr>
      <w:r>
        <w:rPr>
          <w:color w:val="auto"/>
          <w:lang w:val="fr-FR"/>
        </w:rPr>
        <w:t>F</w:t>
      </w:r>
      <w:r w:rsidR="00606F3C">
        <w:rPr>
          <w:color w:val="auto"/>
          <w:lang w:val="fr-FR"/>
        </w:rPr>
        <w:t xml:space="preserve">ait à                                 , le                            , en deux exemplaires originaux, chacun en langues française et </w:t>
      </w:r>
      <w:r>
        <w:rPr>
          <w:color w:val="auto"/>
          <w:lang w:val="fr-FR"/>
        </w:rPr>
        <w:t>lettone</w:t>
      </w:r>
      <w:r w:rsidR="00606F3C">
        <w:rPr>
          <w:color w:val="auto"/>
          <w:lang w:val="fr-FR"/>
        </w:rPr>
        <w:t>, les deux versions faisant également foi.</w:t>
      </w:r>
    </w:p>
    <w:p w:rsidR="002607F9" w:rsidRPr="00AD0DB2" w:rsidRDefault="002607F9" w:rsidP="008E3BD9">
      <w:pPr>
        <w:spacing w:line="240" w:lineRule="auto"/>
        <w:jc w:val="both"/>
      </w:pPr>
    </w:p>
    <w:tbl>
      <w:tblPr>
        <w:tblStyle w:val="TableGrid"/>
        <w:tblW w:w="0" w:type="auto"/>
        <w:tblLook w:val="04A0" w:firstRow="1" w:lastRow="0" w:firstColumn="1" w:lastColumn="0" w:noHBand="0" w:noVBand="1"/>
      </w:tblPr>
      <w:tblGrid>
        <w:gridCol w:w="4605"/>
        <w:gridCol w:w="4605"/>
      </w:tblGrid>
      <w:tr w:rsidR="002607F9" w:rsidTr="002607F9">
        <w:tc>
          <w:tcPr>
            <w:tcW w:w="4605" w:type="dxa"/>
          </w:tcPr>
          <w:p w:rsidR="002607F9" w:rsidRDefault="002607F9" w:rsidP="008E3BD9">
            <w:pPr>
              <w:jc w:val="both"/>
            </w:pPr>
            <w:r>
              <w:t xml:space="preserve">Pour le Gouvernement </w:t>
            </w:r>
          </w:p>
          <w:p w:rsidR="002607F9" w:rsidRDefault="002607F9" w:rsidP="008E3BD9">
            <w:pPr>
              <w:jc w:val="both"/>
            </w:pPr>
            <w:r>
              <w:t>de la République française,</w:t>
            </w:r>
          </w:p>
        </w:tc>
        <w:tc>
          <w:tcPr>
            <w:tcW w:w="4605" w:type="dxa"/>
          </w:tcPr>
          <w:p w:rsidR="002607F9" w:rsidRDefault="002607F9" w:rsidP="008E3BD9">
            <w:pPr>
              <w:jc w:val="both"/>
            </w:pPr>
            <w:r>
              <w:t>Pour le Gouvernement</w:t>
            </w:r>
          </w:p>
          <w:p w:rsidR="002607F9" w:rsidRDefault="002607F9" w:rsidP="008E3BD9">
            <w:pPr>
              <w:jc w:val="both"/>
            </w:pPr>
            <w:r>
              <w:t xml:space="preserve"> de la République de Lettonie,</w:t>
            </w:r>
          </w:p>
        </w:tc>
      </w:tr>
      <w:tr w:rsidR="002607F9" w:rsidTr="002607F9">
        <w:tc>
          <w:tcPr>
            <w:tcW w:w="4605" w:type="dxa"/>
          </w:tcPr>
          <w:p w:rsidR="002607F9" w:rsidRDefault="002607F9" w:rsidP="008E3BD9">
            <w:pPr>
              <w:jc w:val="both"/>
            </w:pPr>
          </w:p>
          <w:p w:rsidR="002607F9" w:rsidRDefault="002607F9" w:rsidP="008E3BD9">
            <w:pPr>
              <w:jc w:val="both"/>
            </w:pPr>
          </w:p>
          <w:p w:rsidR="002607F9" w:rsidRDefault="002607F9" w:rsidP="008E3BD9">
            <w:pPr>
              <w:jc w:val="both"/>
            </w:pPr>
          </w:p>
          <w:p w:rsidR="002607F9" w:rsidRDefault="002607F9" w:rsidP="008E3BD9">
            <w:pPr>
              <w:jc w:val="both"/>
            </w:pPr>
          </w:p>
        </w:tc>
        <w:tc>
          <w:tcPr>
            <w:tcW w:w="4605" w:type="dxa"/>
          </w:tcPr>
          <w:p w:rsidR="002607F9" w:rsidRDefault="002607F9" w:rsidP="008E3BD9">
            <w:pPr>
              <w:jc w:val="both"/>
            </w:pPr>
          </w:p>
        </w:tc>
      </w:tr>
    </w:tbl>
    <w:p w:rsidR="00047DEC" w:rsidRDefault="00047DEC" w:rsidP="008E3BD9">
      <w:pPr>
        <w:spacing w:line="240" w:lineRule="auto"/>
        <w:jc w:val="both"/>
      </w:pPr>
    </w:p>
    <w:p w:rsidR="00047DEC" w:rsidRPr="001964CF" w:rsidRDefault="00047DEC" w:rsidP="00047DEC">
      <w:pPr>
        <w:jc w:val="both"/>
      </w:pPr>
      <w:r>
        <w:t>Aizsardzības ministrs</w:t>
      </w:r>
      <w:r>
        <w:tab/>
      </w:r>
      <w:r>
        <w:tab/>
      </w:r>
      <w:r>
        <w:tab/>
      </w:r>
      <w:r>
        <w:tab/>
      </w:r>
      <w:r>
        <w:tab/>
      </w:r>
      <w:r>
        <w:tab/>
      </w:r>
      <w:proofErr w:type="spellStart"/>
      <w:r>
        <w:t>R.Bergmanis</w:t>
      </w:r>
      <w:proofErr w:type="spellEnd"/>
    </w:p>
    <w:p w:rsidR="00047DEC" w:rsidRPr="001964CF" w:rsidRDefault="00047DEC" w:rsidP="00047DEC">
      <w:pPr>
        <w:jc w:val="both"/>
      </w:pPr>
      <w:r>
        <w:t>Vīza: valsts sekretārs</w:t>
      </w:r>
      <w:r>
        <w:tab/>
      </w:r>
      <w:r w:rsidRPr="001964CF">
        <w:tab/>
      </w:r>
      <w:r w:rsidRPr="001964CF">
        <w:tab/>
      </w:r>
      <w:r w:rsidRPr="001964CF">
        <w:tab/>
      </w:r>
      <w:r>
        <w:tab/>
      </w:r>
      <w:r>
        <w:tab/>
      </w:r>
      <w:proofErr w:type="spellStart"/>
      <w:r>
        <w:t>J.Garisons</w:t>
      </w:r>
      <w:proofErr w:type="spellEnd"/>
    </w:p>
    <w:p w:rsidR="00047DEC" w:rsidRDefault="00047DEC" w:rsidP="00047DEC">
      <w:pPr>
        <w:jc w:val="both"/>
        <w:rPr>
          <w:sz w:val="18"/>
          <w:szCs w:val="18"/>
        </w:rPr>
      </w:pPr>
    </w:p>
    <w:p w:rsidR="00047DEC" w:rsidRDefault="00047DEC" w:rsidP="00047DEC">
      <w:pPr>
        <w:jc w:val="both"/>
        <w:rPr>
          <w:sz w:val="18"/>
          <w:szCs w:val="18"/>
        </w:rPr>
      </w:pPr>
    </w:p>
    <w:p w:rsidR="00047DEC" w:rsidRDefault="00047DEC" w:rsidP="00047DEC">
      <w:pPr>
        <w:spacing w:after="0" w:line="240" w:lineRule="auto"/>
        <w:jc w:val="both"/>
        <w:rPr>
          <w:sz w:val="18"/>
          <w:szCs w:val="18"/>
        </w:rPr>
      </w:pPr>
      <w:bookmarkStart w:id="2" w:name="_GoBack"/>
      <w:bookmarkEnd w:id="2"/>
    </w:p>
    <w:p w:rsidR="00047DEC" w:rsidRDefault="00047DEC" w:rsidP="00047DEC">
      <w:pPr>
        <w:spacing w:after="0" w:line="240" w:lineRule="auto"/>
        <w:jc w:val="both"/>
        <w:rPr>
          <w:sz w:val="18"/>
          <w:szCs w:val="18"/>
        </w:rPr>
      </w:pPr>
      <w:r>
        <w:rPr>
          <w:sz w:val="18"/>
          <w:szCs w:val="18"/>
        </w:rPr>
        <w:fldChar w:fldCharType="begin"/>
      </w:r>
      <w:r>
        <w:rPr>
          <w:sz w:val="18"/>
          <w:szCs w:val="18"/>
        </w:rPr>
        <w:instrText xml:space="preserve"> SAVEDATE  \@ "dd.MM.yyyy.        HH:mm"  \* MERGEFORMAT </w:instrText>
      </w:r>
      <w:r>
        <w:rPr>
          <w:sz w:val="18"/>
          <w:szCs w:val="18"/>
        </w:rPr>
        <w:fldChar w:fldCharType="separate"/>
      </w:r>
      <w:r w:rsidR="006F4FF5">
        <w:rPr>
          <w:noProof/>
          <w:sz w:val="18"/>
          <w:szCs w:val="18"/>
        </w:rPr>
        <w:t>22.02.2016.        12:44</w:t>
      </w:r>
      <w:r>
        <w:rPr>
          <w:sz w:val="18"/>
          <w:szCs w:val="18"/>
        </w:rPr>
        <w:fldChar w:fldCharType="end"/>
      </w:r>
    </w:p>
    <w:p w:rsidR="00047DEC" w:rsidRDefault="00047DEC" w:rsidP="00047DEC">
      <w:pPr>
        <w:spacing w:after="0" w:line="240" w:lineRule="auto"/>
        <w:jc w:val="both"/>
        <w:rPr>
          <w:sz w:val="18"/>
          <w:szCs w:val="18"/>
        </w:rPr>
      </w:pPr>
      <w:r>
        <w:rPr>
          <w:sz w:val="18"/>
          <w:szCs w:val="18"/>
        </w:rPr>
        <w:fldChar w:fldCharType="begin"/>
      </w:r>
      <w:r>
        <w:rPr>
          <w:sz w:val="18"/>
          <w:szCs w:val="18"/>
        </w:rPr>
        <w:instrText xml:space="preserve"> INFO  NumWords  \* MERGEFORMAT </w:instrText>
      </w:r>
      <w:r>
        <w:rPr>
          <w:sz w:val="18"/>
          <w:szCs w:val="18"/>
        </w:rPr>
        <w:fldChar w:fldCharType="separate"/>
      </w:r>
      <w:r w:rsidR="006F4FF5">
        <w:rPr>
          <w:sz w:val="18"/>
          <w:szCs w:val="18"/>
        </w:rPr>
        <w:t>1706</w:t>
      </w:r>
      <w:r>
        <w:rPr>
          <w:sz w:val="18"/>
          <w:szCs w:val="18"/>
        </w:rPr>
        <w:fldChar w:fldCharType="end"/>
      </w:r>
    </w:p>
    <w:p w:rsidR="00047DEC" w:rsidRDefault="00047DEC" w:rsidP="00047DEC">
      <w:pPr>
        <w:spacing w:after="0" w:line="240" w:lineRule="auto"/>
        <w:jc w:val="both"/>
        <w:rPr>
          <w:sz w:val="18"/>
          <w:szCs w:val="18"/>
        </w:rPr>
      </w:pPr>
      <w:r>
        <w:rPr>
          <w:sz w:val="18"/>
          <w:szCs w:val="18"/>
        </w:rPr>
        <w:fldChar w:fldCharType="begin"/>
      </w:r>
      <w:r>
        <w:rPr>
          <w:sz w:val="18"/>
          <w:szCs w:val="18"/>
        </w:rPr>
        <w:instrText xml:space="preserve"> AUTHOR   \* MERGEFORMAT </w:instrText>
      </w:r>
      <w:r>
        <w:rPr>
          <w:sz w:val="18"/>
          <w:szCs w:val="18"/>
        </w:rPr>
        <w:fldChar w:fldCharType="separate"/>
      </w:r>
      <w:r>
        <w:rPr>
          <w:noProof/>
          <w:sz w:val="18"/>
          <w:szCs w:val="18"/>
        </w:rPr>
        <w:t>A.Ķemme</w:t>
      </w:r>
      <w:r>
        <w:rPr>
          <w:sz w:val="18"/>
          <w:szCs w:val="18"/>
        </w:rPr>
        <w:fldChar w:fldCharType="end"/>
      </w:r>
    </w:p>
    <w:p w:rsidR="00047DEC" w:rsidRDefault="00047DEC" w:rsidP="00047DEC">
      <w:pPr>
        <w:spacing w:after="0" w:line="240" w:lineRule="auto"/>
        <w:jc w:val="both"/>
        <w:rPr>
          <w:sz w:val="18"/>
          <w:szCs w:val="18"/>
        </w:rPr>
      </w:pPr>
      <w:r w:rsidRPr="005C0F1A">
        <w:rPr>
          <w:sz w:val="18"/>
          <w:szCs w:val="18"/>
        </w:rPr>
        <w:fldChar w:fldCharType="begin"/>
      </w:r>
      <w:r w:rsidRPr="005C0F1A">
        <w:rPr>
          <w:sz w:val="18"/>
          <w:szCs w:val="18"/>
        </w:rPr>
        <w:instrText xml:space="preserve"> COMMENTS   \* MERGEFORMAT </w:instrText>
      </w:r>
      <w:r w:rsidRPr="005C0F1A">
        <w:rPr>
          <w:sz w:val="18"/>
          <w:szCs w:val="18"/>
        </w:rPr>
        <w:fldChar w:fldCharType="separate"/>
      </w:r>
      <w:r>
        <w:rPr>
          <w:sz w:val="18"/>
          <w:szCs w:val="18"/>
        </w:rPr>
        <w:t>Anda.Kemme@mod.gov.lv</w:t>
      </w:r>
    </w:p>
    <w:p w:rsidR="00047DEC" w:rsidRDefault="00047DEC" w:rsidP="00047DEC">
      <w:pPr>
        <w:spacing w:after="0" w:line="240" w:lineRule="auto"/>
        <w:jc w:val="both"/>
      </w:pPr>
      <w:r>
        <w:rPr>
          <w:sz w:val="18"/>
          <w:szCs w:val="18"/>
        </w:rPr>
        <w:t>tel. 67335077; fakss: 67212307</w:t>
      </w:r>
      <w:r w:rsidRPr="005C0F1A">
        <w:rPr>
          <w:sz w:val="18"/>
          <w:szCs w:val="18"/>
        </w:rPr>
        <w:fldChar w:fldCharType="end"/>
      </w:r>
    </w:p>
    <w:sectPr w:rsidR="00047DEC" w:rsidSect="00AD0DB2">
      <w:footerReference w:type="default" r:id="rId9"/>
      <w:footerReference w:type="first" r:id="rId10"/>
      <w:pgSz w:w="11906" w:h="16838"/>
      <w:pgMar w:top="1134" w:right="1134" w:bottom="1134" w:left="1134" w:header="0" w:footer="0" w:gutter="0"/>
      <w:cols w:space="720"/>
      <w:formProt w:val="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F9" w:rsidRDefault="002607F9">
      <w:pPr>
        <w:spacing w:after="0" w:line="240" w:lineRule="auto"/>
      </w:pPr>
      <w:r>
        <w:separator/>
      </w:r>
    </w:p>
  </w:endnote>
  <w:endnote w:type="continuationSeparator" w:id="0">
    <w:p w:rsidR="002607F9" w:rsidRDefault="0026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80"/>
    <w:family w:val="auto"/>
    <w:pitch w:val="default"/>
  </w:font>
  <w:font w:name="Arial">
    <w:panose1 w:val="020B0604020202020204"/>
    <w:charset w:val="BA"/>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41998"/>
      <w:docPartObj>
        <w:docPartGallery w:val="Page Numbers (Bottom of Page)"/>
        <w:docPartUnique/>
      </w:docPartObj>
    </w:sdtPr>
    <w:sdtEndPr>
      <w:rPr>
        <w:noProof/>
      </w:rPr>
    </w:sdtEndPr>
    <w:sdtContent>
      <w:p w:rsidR="00AA6DCB" w:rsidRDefault="00AA6DCB">
        <w:pPr>
          <w:pStyle w:val="Footer"/>
          <w:jc w:val="center"/>
        </w:pPr>
        <w:r>
          <w:fldChar w:fldCharType="begin"/>
        </w:r>
        <w:r>
          <w:instrText xml:space="preserve"> PAGE   \* MERGEFORMAT </w:instrText>
        </w:r>
        <w:r>
          <w:fldChar w:fldCharType="separate"/>
        </w:r>
        <w:r w:rsidR="006F4FF5">
          <w:rPr>
            <w:noProof/>
          </w:rPr>
          <w:t>6</w:t>
        </w:r>
        <w:r>
          <w:rPr>
            <w:noProof/>
          </w:rPr>
          <w:fldChar w:fldCharType="end"/>
        </w:r>
      </w:p>
    </w:sdtContent>
  </w:sdt>
  <w:p w:rsidR="00AA6DCB" w:rsidRDefault="008130FD">
    <w:pPr>
      <w:pStyle w:val="Footer"/>
    </w:pPr>
    <w:r>
      <w:rPr>
        <w:sz w:val="20"/>
        <w:szCs w:val="20"/>
      </w:rPr>
      <w:t>AIMss_22</w:t>
    </w:r>
    <w:r w:rsidR="00870A45">
      <w:rPr>
        <w:sz w:val="20"/>
        <w:szCs w:val="20"/>
      </w:rPr>
      <w:t>0</w:t>
    </w:r>
    <w:r w:rsidR="003A1C8D">
      <w:rPr>
        <w:sz w:val="20"/>
        <w:szCs w:val="20"/>
      </w:rPr>
      <w:t>2</w:t>
    </w:r>
    <w:r w:rsidR="00870A45">
      <w:rPr>
        <w:sz w:val="20"/>
        <w:szCs w:val="20"/>
      </w:rPr>
      <w:t xml:space="preserve">16_LVA-FRA; </w:t>
    </w:r>
    <w:r w:rsidR="00870A45">
      <w:rPr>
        <w:color w:val="000000"/>
        <w:sz w:val="20"/>
        <w:szCs w:val="20"/>
      </w:rPr>
      <w:t>M</w:t>
    </w:r>
    <w:r w:rsidR="00870A45">
      <w:rPr>
        <w:sz w:val="20"/>
        <w:szCs w:val="20"/>
      </w:rPr>
      <w:t>inistru kabineta noteikumu „Par Latvijas Republikas valdības un Francijas Republikas valdības vienošanos par sadarbību aizsardzības jomā”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45" w:rsidRDefault="008130FD">
    <w:pPr>
      <w:pStyle w:val="Footer"/>
    </w:pPr>
    <w:r>
      <w:rPr>
        <w:sz w:val="20"/>
        <w:szCs w:val="20"/>
      </w:rPr>
      <w:t>AIMss_22</w:t>
    </w:r>
    <w:r w:rsidR="00870A45">
      <w:rPr>
        <w:sz w:val="20"/>
        <w:szCs w:val="20"/>
      </w:rPr>
      <w:t>0</w:t>
    </w:r>
    <w:r w:rsidR="003A1C8D">
      <w:rPr>
        <w:sz w:val="20"/>
        <w:szCs w:val="20"/>
      </w:rPr>
      <w:t>2</w:t>
    </w:r>
    <w:r w:rsidR="00870A45">
      <w:rPr>
        <w:sz w:val="20"/>
        <w:szCs w:val="20"/>
      </w:rPr>
      <w:t xml:space="preserve">16_LVA-FRA; </w:t>
    </w:r>
    <w:r w:rsidR="00870A45">
      <w:rPr>
        <w:color w:val="000000"/>
        <w:sz w:val="20"/>
        <w:szCs w:val="20"/>
      </w:rPr>
      <w:t>M</w:t>
    </w:r>
    <w:r w:rsidR="00870A45">
      <w:rPr>
        <w:sz w:val="20"/>
        <w:szCs w:val="20"/>
      </w:rPr>
      <w:t>inistru kabineta noteikumu „Par Latvijas Republikas valdības un Francijas Republikas valdības vienošanos par sadarbību aizsardzības jomā” projekts</w:t>
    </w:r>
  </w:p>
  <w:p w:rsidR="00AA6DCB" w:rsidRDefault="00AA6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F9" w:rsidRDefault="002607F9">
      <w:pPr>
        <w:spacing w:after="0" w:line="240" w:lineRule="auto"/>
      </w:pPr>
      <w:r>
        <w:separator/>
      </w:r>
    </w:p>
  </w:footnote>
  <w:footnote w:type="continuationSeparator" w:id="0">
    <w:p w:rsidR="002607F9" w:rsidRDefault="00260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774"/>
    <w:multiLevelType w:val="hybridMultilevel"/>
    <w:tmpl w:val="085E5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1A"/>
    <w:rsid w:val="00047DEC"/>
    <w:rsid w:val="00067739"/>
    <w:rsid w:val="00072EE8"/>
    <w:rsid w:val="000D5C7C"/>
    <w:rsid w:val="00103381"/>
    <w:rsid w:val="00175CD6"/>
    <w:rsid w:val="001A7ADF"/>
    <w:rsid w:val="002404EC"/>
    <w:rsid w:val="002446A7"/>
    <w:rsid w:val="002577EA"/>
    <w:rsid w:val="002607F9"/>
    <w:rsid w:val="002829DA"/>
    <w:rsid w:val="002A3043"/>
    <w:rsid w:val="002C0DE7"/>
    <w:rsid w:val="0031367F"/>
    <w:rsid w:val="003731B8"/>
    <w:rsid w:val="0037568D"/>
    <w:rsid w:val="00397BA2"/>
    <w:rsid w:val="003A1C8D"/>
    <w:rsid w:val="004256A1"/>
    <w:rsid w:val="00437F1B"/>
    <w:rsid w:val="004501DD"/>
    <w:rsid w:val="00457461"/>
    <w:rsid w:val="00474D1A"/>
    <w:rsid w:val="00482549"/>
    <w:rsid w:val="004921B5"/>
    <w:rsid w:val="004C7DBC"/>
    <w:rsid w:val="005023A4"/>
    <w:rsid w:val="00503F46"/>
    <w:rsid w:val="00515887"/>
    <w:rsid w:val="00536F47"/>
    <w:rsid w:val="00551383"/>
    <w:rsid w:val="00571EC1"/>
    <w:rsid w:val="005832F5"/>
    <w:rsid w:val="005B5CA4"/>
    <w:rsid w:val="00606F3C"/>
    <w:rsid w:val="006171E8"/>
    <w:rsid w:val="006640B0"/>
    <w:rsid w:val="006F4FF5"/>
    <w:rsid w:val="007014B2"/>
    <w:rsid w:val="00703BCC"/>
    <w:rsid w:val="00730594"/>
    <w:rsid w:val="007406EF"/>
    <w:rsid w:val="00793946"/>
    <w:rsid w:val="00796D62"/>
    <w:rsid w:val="007A4ED4"/>
    <w:rsid w:val="007B1819"/>
    <w:rsid w:val="008130FD"/>
    <w:rsid w:val="00822861"/>
    <w:rsid w:val="00870A45"/>
    <w:rsid w:val="00891DF6"/>
    <w:rsid w:val="008B00E8"/>
    <w:rsid w:val="008D2A34"/>
    <w:rsid w:val="008E3BD9"/>
    <w:rsid w:val="008F4DA1"/>
    <w:rsid w:val="00913EE9"/>
    <w:rsid w:val="0094650E"/>
    <w:rsid w:val="00965FC7"/>
    <w:rsid w:val="009711B1"/>
    <w:rsid w:val="009D0423"/>
    <w:rsid w:val="009D759B"/>
    <w:rsid w:val="00A836BF"/>
    <w:rsid w:val="00AA6DCB"/>
    <w:rsid w:val="00AA7440"/>
    <w:rsid w:val="00AD0DB2"/>
    <w:rsid w:val="00AE0CD3"/>
    <w:rsid w:val="00B101D4"/>
    <w:rsid w:val="00B413A0"/>
    <w:rsid w:val="00B54D14"/>
    <w:rsid w:val="00B56424"/>
    <w:rsid w:val="00B64E1E"/>
    <w:rsid w:val="00B946A8"/>
    <w:rsid w:val="00BA4830"/>
    <w:rsid w:val="00BC51E7"/>
    <w:rsid w:val="00BD0395"/>
    <w:rsid w:val="00C03A63"/>
    <w:rsid w:val="00C60414"/>
    <w:rsid w:val="00C65305"/>
    <w:rsid w:val="00C924E1"/>
    <w:rsid w:val="00CA28BB"/>
    <w:rsid w:val="00D00B41"/>
    <w:rsid w:val="00D26F4C"/>
    <w:rsid w:val="00D500CA"/>
    <w:rsid w:val="00DA36C8"/>
    <w:rsid w:val="00DD3461"/>
    <w:rsid w:val="00DE5E8E"/>
    <w:rsid w:val="00E052BE"/>
    <w:rsid w:val="00E45076"/>
    <w:rsid w:val="00EC0D75"/>
    <w:rsid w:val="00EE5A0F"/>
    <w:rsid w:val="00F22B79"/>
    <w:rsid w:val="00F2706B"/>
    <w:rsid w:val="00F60A43"/>
    <w:rsid w:val="00F85E1C"/>
    <w:rsid w:val="00F923FA"/>
    <w:rsid w:val="00FA014E"/>
    <w:rsid w:val="00FA7E4B"/>
    <w:rsid w:val="00FD56F5"/>
    <w:rsid w:val="00FD7D77"/>
    <w:rsid w:val="00FE7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Times New Roman" w:eastAsia="SimSun" w:hAnsi="Times New Roman"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styleId="Emphasis">
    <w:name w:val="Emphasis"/>
    <w:rPr>
      <w:rFonts w:cs="Times New Roman"/>
      <w:i/>
      <w:iC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071"/>
      </w:tabs>
    </w:pPr>
  </w:style>
  <w:style w:type="paragraph" w:styleId="Footer">
    <w:name w:val="footer"/>
    <w:basedOn w:val="Normal"/>
    <w:link w:val="FooterChar"/>
    <w:uiPriority w:val="99"/>
    <w:pPr>
      <w:suppressLineNumbers/>
      <w:tabs>
        <w:tab w:val="center" w:pos="4153"/>
        <w:tab w:val="right" w:pos="8306"/>
      </w:tabs>
    </w:p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ascii="Times New Roman" w:eastAsia="SimSun" w:hAnsi="Times New Roman" w:cs="Mangal"/>
      <w:color w:val="00000A"/>
      <w:sz w:val="20"/>
      <w:szCs w:val="18"/>
      <w:lang w:eastAsia="zh-CN" w:bidi="hi-IN"/>
    </w:rPr>
  </w:style>
  <w:style w:type="paragraph" w:styleId="BalloonText">
    <w:name w:val="Balloon Text"/>
    <w:basedOn w:val="Normal"/>
    <w:link w:val="BalloonTextChar"/>
    <w:uiPriority w:val="99"/>
    <w:semiHidden/>
    <w:unhideWhenUsed/>
    <w:rsid w:val="00606F3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6F3C"/>
    <w:rPr>
      <w:rFonts w:ascii="Tahoma" w:eastAsia="SimSun" w:hAnsi="Tahoma" w:cs="Mangal"/>
      <w:color w:val="00000A"/>
      <w:sz w:val="16"/>
      <w:szCs w:val="14"/>
      <w:lang w:eastAsia="zh-CN" w:bidi="hi-IN"/>
    </w:rPr>
  </w:style>
  <w:style w:type="paragraph" w:styleId="CommentSubject">
    <w:name w:val="annotation subject"/>
    <w:basedOn w:val="CommentText"/>
    <w:next w:val="CommentText"/>
    <w:link w:val="CommentSubjectChar"/>
    <w:uiPriority w:val="99"/>
    <w:semiHidden/>
    <w:unhideWhenUsed/>
    <w:rsid w:val="006640B0"/>
    <w:rPr>
      <w:b/>
      <w:bCs/>
    </w:rPr>
  </w:style>
  <w:style w:type="character" w:customStyle="1" w:styleId="CommentSubjectChar">
    <w:name w:val="Comment Subject Char"/>
    <w:basedOn w:val="CommentTextChar"/>
    <w:link w:val="CommentSubject"/>
    <w:uiPriority w:val="99"/>
    <w:semiHidden/>
    <w:rsid w:val="006640B0"/>
    <w:rPr>
      <w:rFonts w:ascii="Times New Roman" w:eastAsia="SimSun" w:hAnsi="Times New Roman" w:cs="Mangal"/>
      <w:b/>
      <w:bCs/>
      <w:color w:val="00000A"/>
      <w:sz w:val="20"/>
      <w:szCs w:val="18"/>
      <w:lang w:eastAsia="zh-CN" w:bidi="hi-IN"/>
    </w:rPr>
  </w:style>
  <w:style w:type="paragraph" w:styleId="Revision">
    <w:name w:val="Revision"/>
    <w:hidden/>
    <w:uiPriority w:val="99"/>
    <w:semiHidden/>
    <w:rsid w:val="002607F9"/>
    <w:pPr>
      <w:spacing w:after="0" w:line="240" w:lineRule="auto"/>
    </w:pPr>
    <w:rPr>
      <w:rFonts w:ascii="Times New Roman" w:eastAsia="SimSun" w:hAnsi="Times New Roman" w:cs="Mangal"/>
      <w:color w:val="00000A"/>
      <w:sz w:val="24"/>
      <w:szCs w:val="21"/>
      <w:lang w:eastAsia="zh-CN" w:bidi="hi-IN"/>
    </w:rPr>
  </w:style>
  <w:style w:type="table" w:styleId="TableGrid">
    <w:name w:val="Table Grid"/>
    <w:basedOn w:val="TableNormal"/>
    <w:uiPriority w:val="59"/>
    <w:rsid w:val="0026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A6DCB"/>
    <w:rPr>
      <w:rFonts w:ascii="Times New Roman" w:eastAsia="SimSun" w:hAnsi="Times New Roman" w:cs="Lucida Sans"/>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Times New Roman" w:eastAsia="SimSun" w:hAnsi="Times New Roman"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styleId="Emphasis">
    <w:name w:val="Emphasis"/>
    <w:rPr>
      <w:rFonts w:cs="Times New Roman"/>
      <w:i/>
      <w:iC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071"/>
      </w:tabs>
    </w:pPr>
  </w:style>
  <w:style w:type="paragraph" w:styleId="Footer">
    <w:name w:val="footer"/>
    <w:basedOn w:val="Normal"/>
    <w:link w:val="FooterChar"/>
    <w:uiPriority w:val="99"/>
    <w:pPr>
      <w:suppressLineNumbers/>
      <w:tabs>
        <w:tab w:val="center" w:pos="4153"/>
        <w:tab w:val="right" w:pos="8306"/>
      </w:tabs>
    </w:p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ascii="Times New Roman" w:eastAsia="SimSun" w:hAnsi="Times New Roman" w:cs="Mangal"/>
      <w:color w:val="00000A"/>
      <w:sz w:val="20"/>
      <w:szCs w:val="18"/>
      <w:lang w:eastAsia="zh-CN" w:bidi="hi-IN"/>
    </w:rPr>
  </w:style>
  <w:style w:type="paragraph" w:styleId="BalloonText">
    <w:name w:val="Balloon Text"/>
    <w:basedOn w:val="Normal"/>
    <w:link w:val="BalloonTextChar"/>
    <w:uiPriority w:val="99"/>
    <w:semiHidden/>
    <w:unhideWhenUsed/>
    <w:rsid w:val="00606F3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6F3C"/>
    <w:rPr>
      <w:rFonts w:ascii="Tahoma" w:eastAsia="SimSun" w:hAnsi="Tahoma" w:cs="Mangal"/>
      <w:color w:val="00000A"/>
      <w:sz w:val="16"/>
      <w:szCs w:val="14"/>
      <w:lang w:eastAsia="zh-CN" w:bidi="hi-IN"/>
    </w:rPr>
  </w:style>
  <w:style w:type="paragraph" w:styleId="CommentSubject">
    <w:name w:val="annotation subject"/>
    <w:basedOn w:val="CommentText"/>
    <w:next w:val="CommentText"/>
    <w:link w:val="CommentSubjectChar"/>
    <w:uiPriority w:val="99"/>
    <w:semiHidden/>
    <w:unhideWhenUsed/>
    <w:rsid w:val="006640B0"/>
    <w:rPr>
      <w:b/>
      <w:bCs/>
    </w:rPr>
  </w:style>
  <w:style w:type="character" w:customStyle="1" w:styleId="CommentSubjectChar">
    <w:name w:val="Comment Subject Char"/>
    <w:basedOn w:val="CommentTextChar"/>
    <w:link w:val="CommentSubject"/>
    <w:uiPriority w:val="99"/>
    <w:semiHidden/>
    <w:rsid w:val="006640B0"/>
    <w:rPr>
      <w:rFonts w:ascii="Times New Roman" w:eastAsia="SimSun" w:hAnsi="Times New Roman" w:cs="Mangal"/>
      <w:b/>
      <w:bCs/>
      <w:color w:val="00000A"/>
      <w:sz w:val="20"/>
      <w:szCs w:val="18"/>
      <w:lang w:eastAsia="zh-CN" w:bidi="hi-IN"/>
    </w:rPr>
  </w:style>
  <w:style w:type="paragraph" w:styleId="Revision">
    <w:name w:val="Revision"/>
    <w:hidden/>
    <w:uiPriority w:val="99"/>
    <w:semiHidden/>
    <w:rsid w:val="002607F9"/>
    <w:pPr>
      <w:spacing w:after="0" w:line="240" w:lineRule="auto"/>
    </w:pPr>
    <w:rPr>
      <w:rFonts w:ascii="Times New Roman" w:eastAsia="SimSun" w:hAnsi="Times New Roman" w:cs="Mangal"/>
      <w:color w:val="00000A"/>
      <w:sz w:val="24"/>
      <w:szCs w:val="21"/>
      <w:lang w:eastAsia="zh-CN" w:bidi="hi-IN"/>
    </w:rPr>
  </w:style>
  <w:style w:type="table" w:styleId="TableGrid">
    <w:name w:val="Table Grid"/>
    <w:basedOn w:val="TableNormal"/>
    <w:uiPriority w:val="59"/>
    <w:rsid w:val="0026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A6DCB"/>
    <w:rPr>
      <w:rFonts w:ascii="Times New Roman" w:eastAsia="SimSun" w:hAnsi="Times New Roman" w:cs="Lucida San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CA9D-B714-4319-B7CE-2D38FA59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1756</Words>
  <Characters>9290</Characters>
  <Application>Microsoft Office Word</Application>
  <DocSecurity>0</DocSecurity>
  <Lines>221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Kristiana Vetra</dc:creator>
  <cp:lastModifiedBy>Anda Ķemme</cp:lastModifiedBy>
  <cp:revision>5</cp:revision>
  <cp:lastPrinted>2015-04-15T08:40:00Z</cp:lastPrinted>
  <dcterms:created xsi:type="dcterms:W3CDTF">2016-02-08T07:11:00Z</dcterms:created>
  <dcterms:modified xsi:type="dcterms:W3CDTF">2016-02-22T10:45:00Z</dcterms:modified>
</cp:coreProperties>
</file>