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19" w:rsidRPr="007C7E24" w:rsidRDefault="00803419" w:rsidP="004B5DD9">
      <w:pPr>
        <w:jc w:val="center"/>
        <w:rPr>
          <w:b/>
          <w:bCs/>
        </w:rPr>
      </w:pPr>
      <w:r w:rsidRPr="007C7E24">
        <w:rPr>
          <w:b/>
          <w:bCs/>
        </w:rPr>
        <w:t>Ministru kabineta noteikumu projekta “</w:t>
      </w:r>
      <w:r w:rsidR="004B5DD9" w:rsidRPr="004B5DD9">
        <w:rPr>
          <w:b/>
          <w:bCs/>
        </w:rPr>
        <w:t>Kārtība, kādā izpildāmas nacionālās sankcijas, kas noteiktas starptautiskā terorisma vai masveida ieroču izplatīšanas apkarošanai</w:t>
      </w:r>
      <w:r w:rsidRPr="007C7E24">
        <w:rPr>
          <w:b/>
          <w:bCs/>
        </w:rPr>
        <w:t>”</w:t>
      </w:r>
    </w:p>
    <w:p w:rsidR="00803419" w:rsidRDefault="00803419" w:rsidP="00803419">
      <w:pPr>
        <w:jc w:val="center"/>
        <w:rPr>
          <w:b/>
          <w:bCs/>
        </w:rPr>
      </w:pPr>
      <w:r w:rsidRPr="00506614">
        <w:rPr>
          <w:b/>
          <w:bCs/>
        </w:rPr>
        <w:t>sākotnējās ietekmes novērtējuma ziņojums (anotācija)</w:t>
      </w:r>
    </w:p>
    <w:p w:rsidR="004A3246" w:rsidRPr="00506614" w:rsidRDefault="004A3246" w:rsidP="00803419">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879"/>
        <w:gridCol w:w="5944"/>
      </w:tblGrid>
      <w:tr w:rsidR="00803419" w:rsidRPr="005600AC" w:rsidTr="00C455C2">
        <w:trPr>
          <w:trHeight w:val="405"/>
        </w:trPr>
        <w:tc>
          <w:tcPr>
            <w:tcW w:w="0" w:type="auto"/>
            <w:gridSpan w:val="3"/>
            <w:shd w:val="clear" w:color="auto" w:fill="auto"/>
            <w:hideMark/>
          </w:tcPr>
          <w:p w:rsidR="00803419" w:rsidRPr="005600AC" w:rsidRDefault="00803419" w:rsidP="00C455C2">
            <w:pPr>
              <w:spacing w:before="100" w:beforeAutospacing="1" w:after="100" w:afterAutospacing="1" w:line="360" w:lineRule="auto"/>
              <w:ind w:firstLine="300"/>
              <w:jc w:val="center"/>
              <w:rPr>
                <w:b/>
                <w:bCs/>
                <w:color w:val="000000"/>
              </w:rPr>
            </w:pPr>
            <w:r w:rsidRPr="005600AC">
              <w:rPr>
                <w:b/>
                <w:bCs/>
                <w:color w:val="000000"/>
              </w:rPr>
              <w:t>I. Tiesību akta projekta izstrādes nepieciešamība</w:t>
            </w:r>
          </w:p>
        </w:tc>
      </w:tr>
      <w:tr w:rsidR="00803419" w:rsidRPr="005600AC" w:rsidTr="00C455C2">
        <w:trPr>
          <w:trHeight w:val="405"/>
        </w:trPr>
        <w:tc>
          <w:tcPr>
            <w:tcW w:w="250" w:type="pct"/>
            <w:shd w:val="clear" w:color="auto" w:fill="auto"/>
          </w:tcPr>
          <w:p w:rsidR="00803419" w:rsidRPr="005600AC" w:rsidRDefault="00803419" w:rsidP="00C455C2">
            <w:pPr>
              <w:spacing w:before="100" w:beforeAutospacing="1" w:after="100" w:afterAutospacing="1" w:line="360" w:lineRule="auto"/>
              <w:jc w:val="both"/>
              <w:rPr>
                <w:color w:val="000000"/>
              </w:rPr>
            </w:pPr>
            <w:r w:rsidRPr="005600AC">
              <w:rPr>
                <w:color w:val="000000"/>
              </w:rPr>
              <w:t>1.</w:t>
            </w:r>
          </w:p>
        </w:tc>
        <w:tc>
          <w:tcPr>
            <w:tcW w:w="1550" w:type="pct"/>
            <w:shd w:val="clear" w:color="auto" w:fill="auto"/>
            <w:hideMark/>
          </w:tcPr>
          <w:p w:rsidR="00803419" w:rsidRPr="005600AC" w:rsidRDefault="00803419" w:rsidP="00C455C2">
            <w:pPr>
              <w:jc w:val="both"/>
              <w:rPr>
                <w:color w:val="000000"/>
              </w:rPr>
            </w:pPr>
            <w:r w:rsidRPr="005600AC">
              <w:rPr>
                <w:color w:val="000000"/>
              </w:rPr>
              <w:t>Pamatojums</w:t>
            </w:r>
          </w:p>
        </w:tc>
        <w:tc>
          <w:tcPr>
            <w:tcW w:w="3200" w:type="pct"/>
            <w:shd w:val="clear" w:color="auto" w:fill="auto"/>
            <w:hideMark/>
          </w:tcPr>
          <w:p w:rsidR="002812ED" w:rsidRPr="002812ED" w:rsidRDefault="00F84198" w:rsidP="00F212C6">
            <w:pPr>
              <w:jc w:val="both"/>
            </w:pPr>
            <w:r w:rsidRPr="00F84198">
              <w:rPr>
                <w:bCs/>
              </w:rPr>
              <w:t>Ministru kabineta noteikumu projekt</w:t>
            </w:r>
            <w:r>
              <w:rPr>
                <w:bCs/>
              </w:rPr>
              <w:t xml:space="preserve">s </w:t>
            </w:r>
            <w:r w:rsidRPr="00F84198">
              <w:rPr>
                <w:bCs/>
              </w:rPr>
              <w:t>“Kārtība, kādā izpildāmas nacionālās sankcijas, kas noteiktas starptautiskā terorisma vai masveida ieroču izplatīšanas apkarošanai”</w:t>
            </w:r>
            <w:r>
              <w:rPr>
                <w:bCs/>
              </w:rPr>
              <w:t xml:space="preserve"> (turpmāk – Noteikumu projekts) izstrādāts</w:t>
            </w:r>
            <w:r w:rsidR="00F212C6">
              <w:rPr>
                <w:bCs/>
              </w:rPr>
              <w:t>,</w:t>
            </w:r>
            <w:r>
              <w:rPr>
                <w:bCs/>
              </w:rPr>
              <w:t xml:space="preserve"> </w:t>
            </w:r>
            <w:r w:rsidR="00585409">
              <w:rPr>
                <w:bCs/>
              </w:rPr>
              <w:t>pamatojoties uz</w:t>
            </w:r>
            <w:r w:rsidR="00964541">
              <w:t xml:space="preserve"> </w:t>
            </w:r>
            <w:r w:rsidR="006C1938" w:rsidRPr="0031385C">
              <w:t>likuma</w:t>
            </w:r>
            <w:r w:rsidR="0031385C" w:rsidRPr="0031385C">
              <w:t xml:space="preserve"> “</w:t>
            </w:r>
            <w:r w:rsidR="004B5DD9" w:rsidRPr="004B5DD9">
              <w:t>Starptautisko un Latvija</w:t>
            </w:r>
            <w:r w:rsidR="004B5DD9">
              <w:t>s Republikas nacionālo sankciju</w:t>
            </w:r>
            <w:r w:rsidR="00585409">
              <w:t xml:space="preserve"> likums</w:t>
            </w:r>
            <w:r w:rsidR="00FC0C52">
              <w:t>”</w:t>
            </w:r>
            <w:r>
              <w:t xml:space="preserve"> </w:t>
            </w:r>
            <w:r w:rsidRPr="00803419">
              <w:t>(turpmāk – Sankciju likums)</w:t>
            </w:r>
            <w:r w:rsidR="00F212C6">
              <w:t xml:space="preserve"> 11.</w:t>
            </w:r>
            <w:r w:rsidR="00DE0244">
              <w:t xml:space="preserve"> </w:t>
            </w:r>
            <w:r w:rsidR="00F212C6">
              <w:t>panta piekto daļu</w:t>
            </w:r>
            <w:r w:rsidR="004A3246">
              <w:t xml:space="preserve">. Sankciju likums </w:t>
            </w:r>
            <w:r w:rsidR="00964541">
              <w:t>pieņemts Saeimā 2016.</w:t>
            </w:r>
            <w:r w:rsidR="006C1938">
              <w:t xml:space="preserve"> </w:t>
            </w:r>
            <w:r w:rsidR="00964541">
              <w:t>gada 4.</w:t>
            </w:r>
            <w:r w:rsidR="006C1938">
              <w:t xml:space="preserve"> </w:t>
            </w:r>
            <w:r w:rsidR="00585409">
              <w:t>f</w:t>
            </w:r>
            <w:r w:rsidR="00E6631B">
              <w:t>ebruārī</w:t>
            </w:r>
            <w:r w:rsidR="00585409">
              <w:t xml:space="preserve"> un stājās spēkā 2016.</w:t>
            </w:r>
            <w:r w:rsidR="003A5F4B">
              <w:t xml:space="preserve"> </w:t>
            </w:r>
            <w:r w:rsidR="00585409">
              <w:t>gada 1.</w:t>
            </w:r>
            <w:r w:rsidR="003A5F4B">
              <w:t xml:space="preserve"> </w:t>
            </w:r>
            <w:r w:rsidR="00585409">
              <w:t>martā</w:t>
            </w:r>
            <w:r w:rsidR="00782BED">
              <w:t>. Tā</w:t>
            </w:r>
            <w:r w:rsidR="00E6631B">
              <w:t xml:space="preserve"> </w:t>
            </w:r>
            <w:r w:rsidR="009F5ADC">
              <w:t>11. </w:t>
            </w:r>
            <w:r>
              <w:t xml:space="preserve">panta </w:t>
            </w:r>
            <w:r w:rsidR="00F212C6">
              <w:t>piektajā daļā</w:t>
            </w:r>
            <w:r>
              <w:t xml:space="preserve"> ietvert</w:t>
            </w:r>
            <w:r w:rsidR="00782BED">
              <w:t>ais</w:t>
            </w:r>
            <w:r>
              <w:t xml:space="preserve"> deleģējum</w:t>
            </w:r>
            <w:r w:rsidR="00782BED">
              <w:t>s</w:t>
            </w:r>
            <w:r w:rsidR="00F212C6">
              <w:t xml:space="preserve"> paredz</w:t>
            </w:r>
            <w:r>
              <w:t xml:space="preserve">, </w:t>
            </w:r>
            <w:r w:rsidR="00F212C6">
              <w:t>ka</w:t>
            </w:r>
            <w:r>
              <w:t xml:space="preserve"> </w:t>
            </w:r>
            <w:r w:rsidR="0031385C" w:rsidRPr="0031385C">
              <w:t>Ministru kabinets</w:t>
            </w:r>
            <w:r w:rsidR="00F35587">
              <w:t xml:space="preserve"> (MK)</w:t>
            </w:r>
            <w:r w:rsidR="0031385C" w:rsidRPr="0031385C">
              <w:t xml:space="preserve"> </w:t>
            </w:r>
            <w:r w:rsidR="00FC0C52">
              <w:t xml:space="preserve">nosaka atsevišķu kārtību, kādā izpildāmas nacionālās sankcijas, kas noteiktas saskaņā ar </w:t>
            </w:r>
            <w:r w:rsidR="00F212C6">
              <w:t xml:space="preserve">Sankciju </w:t>
            </w:r>
            <w:r w:rsidR="00FC0C52">
              <w:t>lik</w:t>
            </w:r>
            <w:r w:rsidR="00824586">
              <w:t xml:space="preserve">uma 3. panta 3. </w:t>
            </w:r>
            <w:r w:rsidR="00FC0C52">
              <w:t xml:space="preserve">punktu, proti, </w:t>
            </w:r>
            <w:r w:rsidR="00585409">
              <w:t xml:space="preserve">lai </w:t>
            </w:r>
            <w:r w:rsidR="00FC0C52">
              <w:t>cīnīt</w:t>
            </w:r>
            <w:r w:rsidR="00585409">
              <w:t>o</w:t>
            </w:r>
            <w:r w:rsidR="00FC0C52">
              <w:t>s pret starptautisko terorismu vai masveida iznīcināšanas ieroču izgatavošanu, glabāšanu, pārvietošanu, lietošanu vai izplatīšanu.</w:t>
            </w:r>
          </w:p>
        </w:tc>
      </w:tr>
      <w:tr w:rsidR="00803419" w:rsidRPr="005600AC" w:rsidTr="00C455C2">
        <w:trPr>
          <w:trHeight w:val="465"/>
        </w:trPr>
        <w:tc>
          <w:tcPr>
            <w:tcW w:w="250" w:type="pct"/>
            <w:shd w:val="clear" w:color="auto" w:fill="auto"/>
          </w:tcPr>
          <w:p w:rsidR="00803419" w:rsidRPr="005600AC" w:rsidRDefault="00803419" w:rsidP="00C455C2">
            <w:pPr>
              <w:spacing w:before="100" w:beforeAutospacing="1" w:after="100" w:afterAutospacing="1" w:line="360" w:lineRule="auto"/>
              <w:jc w:val="both"/>
              <w:rPr>
                <w:color w:val="000000"/>
              </w:rPr>
            </w:pPr>
            <w:r w:rsidRPr="005600AC">
              <w:rPr>
                <w:color w:val="000000"/>
              </w:rPr>
              <w:t>2.</w:t>
            </w:r>
          </w:p>
        </w:tc>
        <w:tc>
          <w:tcPr>
            <w:tcW w:w="1550" w:type="pct"/>
            <w:shd w:val="clear" w:color="auto" w:fill="auto"/>
            <w:hideMark/>
          </w:tcPr>
          <w:p w:rsidR="00803419" w:rsidRPr="005600AC" w:rsidRDefault="00803419" w:rsidP="00C455C2">
            <w:pPr>
              <w:jc w:val="both"/>
              <w:rPr>
                <w:color w:val="000000"/>
              </w:rPr>
            </w:pPr>
            <w:r w:rsidRPr="005600AC">
              <w:rPr>
                <w:color w:val="000000"/>
              </w:rPr>
              <w:t>Pašreizējā situācija un problēmas, kuru risināšanai tiesību akta projekts izstrādāts, tiesiskā regulējuma mērķis un būtība</w:t>
            </w:r>
          </w:p>
        </w:tc>
        <w:tc>
          <w:tcPr>
            <w:tcW w:w="3200" w:type="pct"/>
            <w:shd w:val="clear" w:color="auto" w:fill="auto"/>
          </w:tcPr>
          <w:p w:rsidR="00803419" w:rsidRDefault="00803419" w:rsidP="00803419">
            <w:pPr>
              <w:ind w:firstLine="332"/>
              <w:jc w:val="both"/>
              <w:rPr>
                <w:bCs/>
                <w:iCs/>
              </w:rPr>
            </w:pPr>
            <w:r w:rsidRPr="00803419">
              <w:rPr>
                <w:bCs/>
                <w:iCs/>
              </w:rPr>
              <w:t xml:space="preserve">Latvija kā Eiropas Padomes </w:t>
            </w:r>
            <w:r w:rsidR="00F212C6">
              <w:rPr>
                <w:bCs/>
                <w:iCs/>
              </w:rPr>
              <w:t xml:space="preserve">(turpmāk – EP) </w:t>
            </w:r>
            <w:r w:rsidRPr="00803419">
              <w:rPr>
                <w:bCs/>
                <w:iCs/>
              </w:rPr>
              <w:t xml:space="preserve">dalībvalsts ir Eiropas Padomes </w:t>
            </w:r>
            <w:r w:rsidR="00134002">
              <w:rPr>
                <w:bCs/>
                <w:iCs/>
              </w:rPr>
              <w:t>E</w:t>
            </w:r>
            <w:r w:rsidRPr="00803419">
              <w:rPr>
                <w:bCs/>
                <w:iCs/>
              </w:rPr>
              <w:t>kspertu komitej</w:t>
            </w:r>
            <w:r w:rsidR="003D081A">
              <w:rPr>
                <w:bCs/>
                <w:iCs/>
              </w:rPr>
              <w:t>as</w:t>
            </w:r>
            <w:r w:rsidRPr="00803419">
              <w:rPr>
                <w:bCs/>
                <w:iCs/>
              </w:rPr>
              <w:t xml:space="preserve"> naudas atmazgāšanas novēršanas pasākumu un terorisma finansēšanas novērtējumam (jeb </w:t>
            </w:r>
            <w:r w:rsidRPr="00803419">
              <w:rPr>
                <w:bCs/>
                <w:i/>
                <w:iCs/>
              </w:rPr>
              <w:t>Moneyval</w:t>
            </w:r>
            <w:r w:rsidRPr="00803419">
              <w:rPr>
                <w:bCs/>
                <w:iCs/>
              </w:rPr>
              <w:t>)</w:t>
            </w:r>
            <w:r w:rsidR="00F212C6">
              <w:rPr>
                <w:bCs/>
                <w:iCs/>
              </w:rPr>
              <w:t>,</w:t>
            </w:r>
            <w:r w:rsidRPr="00803419">
              <w:rPr>
                <w:bCs/>
                <w:iCs/>
              </w:rPr>
              <w:t xml:space="preserve"> kas izveidota 1997. </w:t>
            </w:r>
            <w:r w:rsidR="00F212C6">
              <w:rPr>
                <w:bCs/>
                <w:iCs/>
              </w:rPr>
              <w:t>g</w:t>
            </w:r>
            <w:r w:rsidRPr="00803419">
              <w:rPr>
                <w:bCs/>
                <w:iCs/>
              </w:rPr>
              <w:t>adā</w:t>
            </w:r>
            <w:r w:rsidR="00F212C6">
              <w:rPr>
                <w:bCs/>
                <w:iCs/>
              </w:rPr>
              <w:t>,</w:t>
            </w:r>
            <w:r w:rsidR="003D081A" w:rsidRPr="00803419">
              <w:rPr>
                <w:bCs/>
                <w:iCs/>
              </w:rPr>
              <w:t xml:space="preserve"> dalībnieks</w:t>
            </w:r>
            <w:r w:rsidRPr="00803419">
              <w:rPr>
                <w:bCs/>
                <w:iCs/>
              </w:rPr>
              <w:t xml:space="preserve">. </w:t>
            </w:r>
            <w:r w:rsidRPr="00803419">
              <w:rPr>
                <w:bCs/>
                <w:i/>
                <w:iCs/>
              </w:rPr>
              <w:t>Moneyval</w:t>
            </w:r>
            <w:r w:rsidRPr="00803419">
              <w:rPr>
                <w:bCs/>
                <w:iCs/>
              </w:rPr>
              <w:t xml:space="preserve"> ir pastāvīgs </w:t>
            </w:r>
            <w:r w:rsidR="00F212C6">
              <w:rPr>
                <w:bCs/>
                <w:iCs/>
              </w:rPr>
              <w:t>EP</w:t>
            </w:r>
            <w:r w:rsidRPr="00803419">
              <w:rPr>
                <w:bCs/>
                <w:iCs/>
              </w:rPr>
              <w:t xml:space="preserve"> uzraudzības orgāns, kura uzdevums ir izvērtēt atbilstību pamata starptautiskajiem standartiem, kas noteikti cīņai pret naudas atmazgāšanu un terorisma finansēšanu, kā arī to ieviešanas efektivitāti. Tāpat ekspertu komitejas uzdevums ir sniegt nacionālajām institūcijām rekomendācijas par nepieciešamajiem uzlabojumiem nacionālajās </w:t>
            </w:r>
            <w:r w:rsidR="00964541">
              <w:rPr>
                <w:bCs/>
                <w:iCs/>
              </w:rPr>
              <w:t xml:space="preserve">tiesību </w:t>
            </w:r>
            <w:r w:rsidRPr="00803419">
              <w:rPr>
                <w:bCs/>
                <w:iCs/>
              </w:rPr>
              <w:t xml:space="preserve">sistēmās. Ar dinamiska un atkārtota savstarpēja novērtējuma palīdzību </w:t>
            </w:r>
            <w:r w:rsidRPr="00803419">
              <w:rPr>
                <w:bCs/>
                <w:i/>
                <w:iCs/>
              </w:rPr>
              <w:t>Moneyval</w:t>
            </w:r>
            <w:r w:rsidRPr="00803419">
              <w:rPr>
                <w:bCs/>
                <w:iCs/>
              </w:rPr>
              <w:t xml:space="preserve"> strādā pie tā, lai uzlabotu nacionālo institūciju kapacitāti cīņai ar naudas atmazgāšanu un terorisma finansēšanu. </w:t>
            </w:r>
          </w:p>
          <w:p w:rsidR="002812ED" w:rsidRPr="00803419" w:rsidRDefault="002812ED" w:rsidP="00803419">
            <w:pPr>
              <w:ind w:firstLine="332"/>
              <w:jc w:val="both"/>
              <w:rPr>
                <w:bCs/>
                <w:iCs/>
              </w:rPr>
            </w:pPr>
          </w:p>
          <w:p w:rsidR="00803419" w:rsidRPr="00803419" w:rsidRDefault="00803419" w:rsidP="00803419">
            <w:pPr>
              <w:ind w:firstLine="332"/>
              <w:jc w:val="both"/>
            </w:pPr>
            <w:r w:rsidRPr="00803419">
              <w:t xml:space="preserve">2014. gada septembra plenārsēdē </w:t>
            </w:r>
            <w:r w:rsidRPr="00803419">
              <w:rPr>
                <w:i/>
              </w:rPr>
              <w:t>Moneyval</w:t>
            </w:r>
            <w:r w:rsidRPr="00803419">
              <w:t xml:space="preserve"> komiteja nolēma, ka Latvijai jāturpina veikt pasākumus, lai pilnā apmērā izpildītu tās rekomendācijas, kuras tika sniegtas 2012. gada ziņojumā par Latvijas noziedzīgi iegūtu līdzekļu legalizācijas un terorisma finansēšanas novēršanas sistēmas atbilstību starptautiskajiem standartiem. Kā priekšnoteikums, lai Latvija tiktu atbrīvota no turpmākiem Progresa ziņojumiem līdz nākošajai Moneyval izvērtēšanas kārtai, tika noteikts, ka Latvijai</w:t>
            </w:r>
            <w:r w:rsidR="00F84198">
              <w:t xml:space="preserve"> </w:t>
            </w:r>
            <w:r w:rsidR="003D081A">
              <w:t>jāpabeidz ieviest Finanšu darījumu darba grupas (</w:t>
            </w:r>
            <w:proofErr w:type="spellStart"/>
            <w:r w:rsidR="003D081A" w:rsidRPr="003A5F4B">
              <w:rPr>
                <w:i/>
              </w:rPr>
              <w:t>Financial</w:t>
            </w:r>
            <w:proofErr w:type="spellEnd"/>
            <w:r w:rsidR="003D081A" w:rsidRPr="003A5F4B">
              <w:rPr>
                <w:i/>
              </w:rPr>
              <w:t xml:space="preserve"> </w:t>
            </w:r>
            <w:proofErr w:type="spellStart"/>
            <w:r w:rsidR="003D081A" w:rsidRPr="003A5F4B">
              <w:rPr>
                <w:i/>
              </w:rPr>
              <w:t>Action</w:t>
            </w:r>
            <w:proofErr w:type="spellEnd"/>
            <w:r w:rsidR="003D081A" w:rsidRPr="003A5F4B">
              <w:rPr>
                <w:i/>
              </w:rPr>
              <w:t xml:space="preserve"> </w:t>
            </w:r>
            <w:proofErr w:type="spellStart"/>
            <w:r w:rsidR="003D081A" w:rsidRPr="003A5F4B">
              <w:rPr>
                <w:i/>
              </w:rPr>
              <w:t>Task</w:t>
            </w:r>
            <w:proofErr w:type="spellEnd"/>
            <w:r w:rsidR="003D081A" w:rsidRPr="003A5F4B">
              <w:rPr>
                <w:i/>
              </w:rPr>
              <w:t xml:space="preserve"> </w:t>
            </w:r>
            <w:proofErr w:type="spellStart"/>
            <w:r w:rsidR="003D081A" w:rsidRPr="003A5F4B">
              <w:rPr>
                <w:i/>
              </w:rPr>
              <w:t>Force</w:t>
            </w:r>
            <w:proofErr w:type="spellEnd"/>
            <w:r w:rsidR="003D081A">
              <w:t>)</w:t>
            </w:r>
            <w:r w:rsidR="003D081A" w:rsidRPr="00A13179">
              <w:t xml:space="preserve"> </w:t>
            </w:r>
            <w:r w:rsidR="003D081A">
              <w:t>(turpmāk – F</w:t>
            </w:r>
            <w:r w:rsidR="003D081A" w:rsidRPr="00803419">
              <w:t>ATF</w:t>
            </w:r>
            <w:r w:rsidR="003D081A">
              <w:t>)</w:t>
            </w:r>
            <w:r w:rsidR="003D081A" w:rsidRPr="00803419">
              <w:t xml:space="preserve"> rekomendācija</w:t>
            </w:r>
            <w:r w:rsidR="003D081A">
              <w:t xml:space="preserve">s un </w:t>
            </w:r>
            <w:r w:rsidR="00F84198">
              <w:t>ne vēlāk kā</w:t>
            </w:r>
            <w:r w:rsidRPr="00803419">
              <w:t xml:space="preserve"> līdz 201</w:t>
            </w:r>
            <w:r w:rsidR="002473B9">
              <w:t>6</w:t>
            </w:r>
            <w:r w:rsidRPr="00803419">
              <w:t xml:space="preserve">. gada 1. </w:t>
            </w:r>
            <w:r w:rsidR="00F84198">
              <w:t>septembrim</w:t>
            </w:r>
            <w:r w:rsidRPr="00803419">
              <w:t xml:space="preserve"> ir jāpieņem </w:t>
            </w:r>
            <w:r w:rsidR="00E6631B">
              <w:t>Sankciju likums</w:t>
            </w:r>
            <w:r w:rsidR="003D081A">
              <w:t>,</w:t>
            </w:r>
            <w:r w:rsidRPr="00803419">
              <w:t xml:space="preserve"> </w:t>
            </w:r>
            <w:r w:rsidR="003D081A">
              <w:t>citi</w:t>
            </w:r>
            <w:r w:rsidRPr="00803419">
              <w:t xml:space="preserve"> saistītie</w:t>
            </w:r>
            <w:r w:rsidR="003D081A">
              <w:t xml:space="preserve"> </w:t>
            </w:r>
            <w:r w:rsidRPr="00803419">
              <w:t xml:space="preserve">likumprojekti, kā arī </w:t>
            </w:r>
            <w:r w:rsidR="003D081A">
              <w:t>izrieto</w:t>
            </w:r>
            <w:r w:rsidR="004A3246">
              <w:t>šie Ministru kabineta noteikumi</w:t>
            </w:r>
            <w:r w:rsidR="00FC0C52">
              <w:t xml:space="preserve">. Lai </w:t>
            </w:r>
            <w:r w:rsidRPr="00803419">
              <w:t xml:space="preserve">ieviestu starptautiskos standartus, kā arī ņemot vērā šā brīža ārpolitisko vidi, Ārlietu ministrija </w:t>
            </w:r>
            <w:r w:rsidR="00E6631B">
              <w:lastRenderedPageBreak/>
              <w:t>izstrādāja</w:t>
            </w:r>
            <w:r w:rsidRPr="00803419">
              <w:t xml:space="preserve"> </w:t>
            </w:r>
            <w:r w:rsidR="00E6631B">
              <w:t>Sankciju</w:t>
            </w:r>
            <w:r w:rsidR="00824586">
              <w:t xml:space="preserve"> likumu</w:t>
            </w:r>
            <w:r w:rsidR="00E6631B">
              <w:t>,</w:t>
            </w:r>
            <w:r w:rsidR="000D4D9D">
              <w:t xml:space="preserve"> kas </w:t>
            </w:r>
            <w:r w:rsidR="00E6631B">
              <w:t>stājās spēkā</w:t>
            </w:r>
            <w:r w:rsidR="000D4D9D">
              <w:t xml:space="preserve"> 2016.</w:t>
            </w:r>
            <w:r w:rsidR="006C1938">
              <w:t xml:space="preserve"> </w:t>
            </w:r>
            <w:r w:rsidR="000D4D9D">
              <w:t xml:space="preserve">gada </w:t>
            </w:r>
            <w:r w:rsidR="00E6631B">
              <w:t>1. martā</w:t>
            </w:r>
            <w:r w:rsidRPr="00803419">
              <w:t xml:space="preserve">. </w:t>
            </w:r>
          </w:p>
          <w:p w:rsidR="00803419" w:rsidRPr="00A72F26" w:rsidRDefault="00627FFA" w:rsidP="00DE0244">
            <w:pPr>
              <w:jc w:val="both"/>
            </w:pPr>
            <w:r>
              <w:t>Sankciju likum</w:t>
            </w:r>
            <w:r w:rsidR="00F35587">
              <w:t>ā</w:t>
            </w:r>
            <w:r w:rsidR="004A3246">
              <w:t xml:space="preserve"> </w:t>
            </w:r>
            <w:r w:rsidR="00782BED">
              <w:t>11</w:t>
            </w:r>
            <w:r w:rsidR="004A3246">
              <w:t xml:space="preserve">. panta </w:t>
            </w:r>
            <w:r w:rsidR="00F212C6">
              <w:t>piektajā daļā</w:t>
            </w:r>
            <w:r w:rsidR="003A5F4B">
              <w:t xml:space="preserve"> ir </w:t>
            </w:r>
            <w:r w:rsidR="00F35587">
              <w:t>noteikts</w:t>
            </w:r>
            <w:r w:rsidR="00782BED">
              <w:t xml:space="preserve">, </w:t>
            </w:r>
            <w:r w:rsidR="00DE0244">
              <w:t>ka MK nosaka atsevišķu kārtību,</w:t>
            </w:r>
            <w:r w:rsidR="00782BED">
              <w:t xml:space="preserve"> kādā izpildāmas nacionālās sankcijas, kas noteiktas saskaņā ar Sankciju likuma </w:t>
            </w:r>
            <w:r w:rsidR="009F5ADC">
              <w:t>3. </w:t>
            </w:r>
            <w:r w:rsidR="008A629C">
              <w:t xml:space="preserve">panta 3. </w:t>
            </w:r>
            <w:bookmarkStart w:id="0" w:name="_GoBack"/>
            <w:bookmarkEnd w:id="0"/>
            <w:r w:rsidR="00F212C6" w:rsidRPr="00F212C6">
              <w:t>punktu, proti, lai cīnītos pret starptautisko terorismu vai masveida iznīcināšanas ieroču izgatavošanu, glabāšanu, pārvietošanu, lietošanu vai izplatīšanu</w:t>
            </w:r>
            <w:r w:rsidR="00F35587">
              <w:t>.</w:t>
            </w:r>
            <w:r w:rsidR="00E6631B">
              <w:t xml:space="preserve"> </w:t>
            </w:r>
            <w:r w:rsidR="00706246">
              <w:t>Attiecīgi n</w:t>
            </w:r>
            <w:r w:rsidR="00E6631B">
              <w:t>oteikumu projekts ir izstrādāts, lai noteiktu kārtību</w:t>
            </w:r>
            <w:r w:rsidR="00824586">
              <w:t>,</w:t>
            </w:r>
            <w:r w:rsidR="00BC460B">
              <w:t xml:space="preserve"> </w:t>
            </w:r>
            <w:r w:rsidR="00E6631B">
              <w:t>kādā ir izpildāmas MK noteiktās nacionālās sankcijas</w:t>
            </w:r>
            <w:r w:rsidR="0089687F">
              <w:t xml:space="preserve">, </w:t>
            </w:r>
            <w:r w:rsidR="0089687F" w:rsidRPr="0089687F">
              <w:t>kas noteiktas, lai cīnītos pret starptautisko terorismu vai masveida iznīcināšanas ieroču izgatavošanu, glabāšanu, pārvietošanu, lietošanu vai izplatīšanu</w:t>
            </w:r>
            <w:r w:rsidR="00F212C6">
              <w:t>.</w:t>
            </w:r>
          </w:p>
        </w:tc>
      </w:tr>
      <w:tr w:rsidR="00803419" w:rsidRPr="005600AC" w:rsidTr="00C455C2">
        <w:trPr>
          <w:trHeight w:val="465"/>
        </w:trPr>
        <w:tc>
          <w:tcPr>
            <w:tcW w:w="250" w:type="pct"/>
            <w:shd w:val="clear" w:color="auto" w:fill="auto"/>
          </w:tcPr>
          <w:p w:rsidR="00803419" w:rsidRPr="005600AC" w:rsidRDefault="00803419" w:rsidP="00C455C2">
            <w:pPr>
              <w:spacing w:before="100" w:beforeAutospacing="1" w:after="100" w:afterAutospacing="1" w:line="360" w:lineRule="auto"/>
              <w:jc w:val="both"/>
              <w:rPr>
                <w:color w:val="000000"/>
              </w:rPr>
            </w:pPr>
            <w:r w:rsidRPr="005600AC">
              <w:rPr>
                <w:color w:val="000000"/>
              </w:rPr>
              <w:lastRenderedPageBreak/>
              <w:t>3.</w:t>
            </w:r>
          </w:p>
        </w:tc>
        <w:tc>
          <w:tcPr>
            <w:tcW w:w="1550" w:type="pct"/>
            <w:shd w:val="clear" w:color="auto" w:fill="auto"/>
            <w:hideMark/>
          </w:tcPr>
          <w:p w:rsidR="00803419" w:rsidRPr="005600AC" w:rsidRDefault="00803419" w:rsidP="00C455C2">
            <w:pPr>
              <w:jc w:val="both"/>
              <w:rPr>
                <w:color w:val="000000"/>
              </w:rPr>
            </w:pPr>
            <w:r w:rsidRPr="005600AC">
              <w:rPr>
                <w:color w:val="000000"/>
              </w:rPr>
              <w:t>Projekta izstrādē iesaistītās institūcijas</w:t>
            </w:r>
          </w:p>
        </w:tc>
        <w:tc>
          <w:tcPr>
            <w:tcW w:w="3200" w:type="pct"/>
            <w:shd w:val="clear" w:color="auto" w:fill="auto"/>
            <w:hideMark/>
          </w:tcPr>
          <w:p w:rsidR="00803419" w:rsidRPr="00E13838" w:rsidRDefault="00803419" w:rsidP="00803419">
            <w:pPr>
              <w:jc w:val="both"/>
            </w:pPr>
            <w:r w:rsidRPr="00E13838">
              <w:t>Ārlietu ministrija</w:t>
            </w:r>
            <w:r w:rsidR="00104466">
              <w:t>, Noziedzīgi iegūtu līdzekļu legalizācijas novēršanas dienests</w:t>
            </w:r>
          </w:p>
        </w:tc>
      </w:tr>
      <w:tr w:rsidR="00803419" w:rsidRPr="005600AC" w:rsidTr="00C455C2">
        <w:tc>
          <w:tcPr>
            <w:tcW w:w="250" w:type="pct"/>
            <w:shd w:val="clear" w:color="auto" w:fill="auto"/>
          </w:tcPr>
          <w:p w:rsidR="00803419" w:rsidRPr="005600AC" w:rsidRDefault="00803419" w:rsidP="00C455C2">
            <w:pPr>
              <w:spacing w:before="100" w:beforeAutospacing="1" w:after="100" w:afterAutospacing="1" w:line="360" w:lineRule="auto"/>
              <w:jc w:val="both"/>
              <w:rPr>
                <w:color w:val="000000"/>
              </w:rPr>
            </w:pPr>
            <w:r w:rsidRPr="005600AC">
              <w:rPr>
                <w:color w:val="000000"/>
              </w:rPr>
              <w:t>4.</w:t>
            </w:r>
          </w:p>
        </w:tc>
        <w:tc>
          <w:tcPr>
            <w:tcW w:w="1550" w:type="pct"/>
            <w:shd w:val="clear" w:color="auto" w:fill="auto"/>
            <w:hideMark/>
          </w:tcPr>
          <w:p w:rsidR="00803419" w:rsidRPr="005600AC" w:rsidRDefault="00803419" w:rsidP="00C455C2">
            <w:pPr>
              <w:jc w:val="both"/>
              <w:rPr>
                <w:color w:val="000000"/>
              </w:rPr>
            </w:pPr>
            <w:r w:rsidRPr="005600AC">
              <w:rPr>
                <w:color w:val="000000"/>
              </w:rPr>
              <w:t>Cita informācija</w:t>
            </w:r>
          </w:p>
        </w:tc>
        <w:tc>
          <w:tcPr>
            <w:tcW w:w="3200" w:type="pct"/>
            <w:shd w:val="clear" w:color="auto" w:fill="auto"/>
            <w:hideMark/>
          </w:tcPr>
          <w:p w:rsidR="00803419" w:rsidRPr="005600AC" w:rsidRDefault="00803419" w:rsidP="00C455C2">
            <w:pPr>
              <w:spacing w:before="100" w:beforeAutospacing="1" w:after="100" w:afterAutospacing="1" w:line="360" w:lineRule="auto"/>
              <w:jc w:val="both"/>
              <w:rPr>
                <w:color w:val="000000"/>
              </w:rPr>
            </w:pPr>
            <w:r w:rsidRPr="005600AC">
              <w:rPr>
                <w:color w:val="000000"/>
              </w:rPr>
              <w:t>Nav</w:t>
            </w:r>
          </w:p>
        </w:tc>
      </w:tr>
    </w:tbl>
    <w:p w:rsidR="00803419" w:rsidRPr="005600AC" w:rsidRDefault="00803419" w:rsidP="00803419">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879"/>
        <w:gridCol w:w="5944"/>
      </w:tblGrid>
      <w:tr w:rsidR="00803419" w:rsidRPr="005600AC" w:rsidTr="00C455C2">
        <w:trPr>
          <w:trHeight w:val="555"/>
        </w:trPr>
        <w:tc>
          <w:tcPr>
            <w:tcW w:w="0" w:type="auto"/>
            <w:gridSpan w:val="3"/>
            <w:shd w:val="clear" w:color="auto" w:fill="auto"/>
            <w:hideMark/>
          </w:tcPr>
          <w:p w:rsidR="00803419" w:rsidRPr="005600AC" w:rsidRDefault="00803419" w:rsidP="00C455C2">
            <w:pPr>
              <w:spacing w:before="100" w:beforeAutospacing="1" w:after="100" w:afterAutospacing="1" w:line="360" w:lineRule="auto"/>
              <w:ind w:firstLine="300"/>
              <w:jc w:val="center"/>
              <w:rPr>
                <w:b/>
                <w:bCs/>
                <w:color w:val="000000"/>
              </w:rPr>
            </w:pPr>
            <w:r w:rsidRPr="005600AC">
              <w:rPr>
                <w:b/>
                <w:bCs/>
                <w:color w:val="000000"/>
              </w:rPr>
              <w:t>II. Tiesību akta projekta ietekme uz sabiedrību, tautsaimniecības attīstību un administratīvo slogu</w:t>
            </w:r>
          </w:p>
        </w:tc>
      </w:tr>
      <w:tr w:rsidR="00803419" w:rsidRPr="005600AC" w:rsidTr="00C455C2">
        <w:trPr>
          <w:trHeight w:val="465"/>
        </w:trPr>
        <w:tc>
          <w:tcPr>
            <w:tcW w:w="250" w:type="pct"/>
            <w:shd w:val="clear" w:color="auto" w:fill="auto"/>
            <w:hideMark/>
          </w:tcPr>
          <w:p w:rsidR="00803419" w:rsidRPr="005600AC" w:rsidRDefault="00803419" w:rsidP="00C455C2">
            <w:pPr>
              <w:jc w:val="both"/>
              <w:rPr>
                <w:color w:val="000000"/>
              </w:rPr>
            </w:pPr>
            <w:r w:rsidRPr="005600AC">
              <w:rPr>
                <w:color w:val="000000"/>
              </w:rPr>
              <w:t>1.</w:t>
            </w:r>
          </w:p>
        </w:tc>
        <w:tc>
          <w:tcPr>
            <w:tcW w:w="1550" w:type="pct"/>
            <w:shd w:val="clear" w:color="auto" w:fill="auto"/>
            <w:hideMark/>
          </w:tcPr>
          <w:p w:rsidR="00803419" w:rsidRPr="005600AC" w:rsidRDefault="00803419" w:rsidP="00C455C2">
            <w:pPr>
              <w:jc w:val="both"/>
              <w:rPr>
                <w:color w:val="000000"/>
              </w:rPr>
            </w:pPr>
            <w:r w:rsidRPr="005600AC">
              <w:rPr>
                <w:color w:val="000000"/>
              </w:rPr>
              <w:t>Sabiedrības mērķgrupas, kuras tiesiskais regulējums ietekmē vai varētu ietekmēt</w:t>
            </w:r>
          </w:p>
        </w:tc>
        <w:tc>
          <w:tcPr>
            <w:tcW w:w="3200" w:type="pct"/>
            <w:shd w:val="clear" w:color="auto" w:fill="auto"/>
            <w:hideMark/>
          </w:tcPr>
          <w:p w:rsidR="00803419" w:rsidRPr="005600AC" w:rsidRDefault="007D2BDE" w:rsidP="00E67E2D">
            <w:pPr>
              <w:jc w:val="both"/>
              <w:rPr>
                <w:color w:val="000000"/>
              </w:rPr>
            </w:pPr>
            <w:r>
              <w:rPr>
                <w:color w:val="000000"/>
              </w:rPr>
              <w:t>Noteikumu projekts</w:t>
            </w:r>
            <w:r w:rsidR="00803419">
              <w:rPr>
                <w:color w:val="000000"/>
              </w:rPr>
              <w:t xml:space="preserve"> ietekmēs fizisku un juridisku personu</w:t>
            </w:r>
            <w:r w:rsidR="00104466">
              <w:rPr>
                <w:color w:val="000000"/>
              </w:rPr>
              <w:t xml:space="preserve"> (arī juridisku veidojumu)</w:t>
            </w:r>
            <w:r w:rsidR="00803419">
              <w:rPr>
                <w:color w:val="000000"/>
              </w:rPr>
              <w:t xml:space="preserve"> tiesības un pienākumus</w:t>
            </w:r>
            <w:r w:rsidR="00E67E2D">
              <w:rPr>
                <w:color w:val="000000"/>
              </w:rPr>
              <w:t>, paredzot</w:t>
            </w:r>
            <w:r w:rsidR="00803419">
              <w:rPr>
                <w:color w:val="000000"/>
              </w:rPr>
              <w:t xml:space="preserve"> </w:t>
            </w:r>
            <w:r w:rsidR="00104466" w:rsidRPr="00104466">
              <w:rPr>
                <w:color w:val="000000"/>
              </w:rPr>
              <w:t xml:space="preserve">kārtību, kādā izpildāmas </w:t>
            </w:r>
            <w:r w:rsidR="00104466">
              <w:rPr>
                <w:color w:val="000000"/>
              </w:rPr>
              <w:t>MK</w:t>
            </w:r>
            <w:r w:rsidR="00104466" w:rsidRPr="00104466">
              <w:rPr>
                <w:color w:val="000000"/>
              </w:rPr>
              <w:t xml:space="preserve"> noteiktās nacionālās sankcijas, kas noteiktas, lai cīnītos pret starptautisko terorismu vai masveida iznīcināšanas ieroču izgatavošanu, glabāšanu, pārvietošanu, lietošanu vai izplatīšanu. </w:t>
            </w:r>
          </w:p>
        </w:tc>
      </w:tr>
      <w:tr w:rsidR="00803419" w:rsidRPr="005600AC" w:rsidTr="00C455C2">
        <w:trPr>
          <w:trHeight w:val="510"/>
        </w:trPr>
        <w:tc>
          <w:tcPr>
            <w:tcW w:w="250" w:type="pct"/>
            <w:shd w:val="clear" w:color="auto" w:fill="auto"/>
            <w:hideMark/>
          </w:tcPr>
          <w:p w:rsidR="00803419" w:rsidRPr="005600AC" w:rsidRDefault="00803419" w:rsidP="00C455C2">
            <w:pPr>
              <w:jc w:val="both"/>
              <w:rPr>
                <w:color w:val="000000"/>
              </w:rPr>
            </w:pPr>
            <w:r w:rsidRPr="005600AC">
              <w:rPr>
                <w:color w:val="000000"/>
              </w:rPr>
              <w:t>2.</w:t>
            </w:r>
          </w:p>
        </w:tc>
        <w:tc>
          <w:tcPr>
            <w:tcW w:w="1550" w:type="pct"/>
            <w:shd w:val="clear" w:color="auto" w:fill="auto"/>
            <w:hideMark/>
          </w:tcPr>
          <w:p w:rsidR="00803419" w:rsidRPr="005600AC" w:rsidRDefault="00803419" w:rsidP="00C455C2">
            <w:pPr>
              <w:jc w:val="both"/>
              <w:rPr>
                <w:color w:val="000000"/>
              </w:rPr>
            </w:pPr>
            <w:r w:rsidRPr="005600AC">
              <w:rPr>
                <w:color w:val="000000"/>
              </w:rPr>
              <w:t>Tiesiskā regulējuma ietekme uz tautsaimniecību un administratīvo slogu</w:t>
            </w:r>
          </w:p>
        </w:tc>
        <w:tc>
          <w:tcPr>
            <w:tcW w:w="3200" w:type="pct"/>
            <w:shd w:val="clear" w:color="auto" w:fill="auto"/>
            <w:hideMark/>
          </w:tcPr>
          <w:p w:rsidR="00E67E2D" w:rsidRPr="005600AC" w:rsidRDefault="00803419" w:rsidP="00E67E2D">
            <w:pPr>
              <w:jc w:val="both"/>
              <w:rPr>
                <w:color w:val="000000"/>
              </w:rPr>
            </w:pPr>
            <w:r>
              <w:rPr>
                <w:color w:val="000000"/>
              </w:rPr>
              <w:t>S</w:t>
            </w:r>
            <w:r w:rsidRPr="007F2111">
              <w:rPr>
                <w:color w:val="000000"/>
              </w:rPr>
              <w:t>abiedrības grupām un institūcijām projekta tiesiskais regulējums nemaina t</w:t>
            </w:r>
            <w:r>
              <w:rPr>
                <w:color w:val="000000"/>
              </w:rPr>
              <w:t>iesības un pienākumus, kā arī ve</w:t>
            </w:r>
            <w:r w:rsidRPr="007F2111">
              <w:rPr>
                <w:color w:val="000000"/>
              </w:rPr>
              <w:t>icamās darbības</w:t>
            </w:r>
            <w:r>
              <w:rPr>
                <w:color w:val="000000"/>
              </w:rPr>
              <w:t>.</w:t>
            </w:r>
            <w:r w:rsidR="00E67E2D">
              <w:rPr>
                <w:color w:val="000000"/>
              </w:rPr>
              <w:t xml:space="preserve"> </w:t>
            </w:r>
            <w:r w:rsidR="00E67E2D" w:rsidRPr="00E67E2D">
              <w:rPr>
                <w:color w:val="000000"/>
              </w:rPr>
              <w:t>Projekts būtiski neietekmēs kompetento institūciju administratīvo slogu, jo to kompetences jomā noteikto sankciju izpildei jau šobrīd ir izstrādāti konkrēti mehānismi.</w:t>
            </w:r>
          </w:p>
        </w:tc>
      </w:tr>
      <w:tr w:rsidR="00803419" w:rsidRPr="005600AC" w:rsidTr="00C455C2">
        <w:trPr>
          <w:trHeight w:val="510"/>
        </w:trPr>
        <w:tc>
          <w:tcPr>
            <w:tcW w:w="250" w:type="pct"/>
            <w:shd w:val="clear" w:color="auto" w:fill="auto"/>
            <w:hideMark/>
          </w:tcPr>
          <w:p w:rsidR="00803419" w:rsidRPr="005600AC" w:rsidRDefault="00803419" w:rsidP="00C455C2">
            <w:pPr>
              <w:jc w:val="both"/>
              <w:rPr>
                <w:color w:val="000000"/>
              </w:rPr>
            </w:pPr>
            <w:r w:rsidRPr="005600AC">
              <w:rPr>
                <w:color w:val="000000"/>
              </w:rPr>
              <w:t>3.</w:t>
            </w:r>
          </w:p>
        </w:tc>
        <w:tc>
          <w:tcPr>
            <w:tcW w:w="1550" w:type="pct"/>
            <w:shd w:val="clear" w:color="auto" w:fill="auto"/>
            <w:hideMark/>
          </w:tcPr>
          <w:p w:rsidR="00803419" w:rsidRPr="005600AC" w:rsidRDefault="00803419" w:rsidP="00C455C2">
            <w:pPr>
              <w:jc w:val="both"/>
              <w:rPr>
                <w:color w:val="000000"/>
              </w:rPr>
            </w:pPr>
            <w:r w:rsidRPr="005600AC">
              <w:rPr>
                <w:color w:val="000000"/>
              </w:rPr>
              <w:t>Administratīvo izmaksu monetārs novērtējums</w:t>
            </w:r>
          </w:p>
        </w:tc>
        <w:tc>
          <w:tcPr>
            <w:tcW w:w="3200" w:type="pct"/>
            <w:shd w:val="clear" w:color="auto" w:fill="auto"/>
            <w:hideMark/>
          </w:tcPr>
          <w:p w:rsidR="00E67E2D" w:rsidRPr="005600AC" w:rsidRDefault="007D2BDE" w:rsidP="00E67E2D">
            <w:pPr>
              <w:jc w:val="both"/>
              <w:rPr>
                <w:color w:val="000000"/>
              </w:rPr>
            </w:pPr>
            <w:r>
              <w:rPr>
                <w:color w:val="000000"/>
              </w:rPr>
              <w:t>Noteikumu projekts</w:t>
            </w:r>
            <w:r w:rsidR="00803419" w:rsidRPr="005600AC">
              <w:rPr>
                <w:color w:val="000000"/>
              </w:rPr>
              <w:t xml:space="preserve"> neparedz izmaiņas administratīvajās izmaksās</w:t>
            </w:r>
            <w:r w:rsidR="00E67E2D">
              <w:rPr>
                <w:color w:val="000000"/>
              </w:rPr>
              <w:t>.</w:t>
            </w:r>
          </w:p>
        </w:tc>
      </w:tr>
      <w:tr w:rsidR="00803419" w:rsidRPr="005600AC" w:rsidTr="00C455C2">
        <w:trPr>
          <w:trHeight w:val="345"/>
        </w:trPr>
        <w:tc>
          <w:tcPr>
            <w:tcW w:w="250" w:type="pct"/>
            <w:shd w:val="clear" w:color="auto" w:fill="auto"/>
            <w:hideMark/>
          </w:tcPr>
          <w:p w:rsidR="00803419" w:rsidRPr="005600AC" w:rsidRDefault="00803419" w:rsidP="00C455C2">
            <w:pPr>
              <w:jc w:val="both"/>
              <w:rPr>
                <w:color w:val="000000"/>
              </w:rPr>
            </w:pPr>
            <w:r w:rsidRPr="005600AC">
              <w:rPr>
                <w:color w:val="000000"/>
              </w:rPr>
              <w:t>4.</w:t>
            </w:r>
          </w:p>
        </w:tc>
        <w:tc>
          <w:tcPr>
            <w:tcW w:w="1550" w:type="pct"/>
            <w:shd w:val="clear" w:color="auto" w:fill="auto"/>
            <w:hideMark/>
          </w:tcPr>
          <w:p w:rsidR="00803419" w:rsidRPr="005600AC" w:rsidRDefault="00803419" w:rsidP="00C455C2">
            <w:pPr>
              <w:jc w:val="both"/>
              <w:rPr>
                <w:color w:val="000000"/>
              </w:rPr>
            </w:pPr>
            <w:r w:rsidRPr="005600AC">
              <w:rPr>
                <w:color w:val="000000"/>
              </w:rPr>
              <w:t>Cita informācija</w:t>
            </w:r>
          </w:p>
        </w:tc>
        <w:tc>
          <w:tcPr>
            <w:tcW w:w="3200" w:type="pct"/>
            <w:shd w:val="clear" w:color="auto" w:fill="auto"/>
            <w:hideMark/>
          </w:tcPr>
          <w:p w:rsidR="00803419" w:rsidRPr="005600AC" w:rsidRDefault="00803419" w:rsidP="00C455C2">
            <w:pPr>
              <w:spacing w:before="100" w:beforeAutospacing="1" w:after="100" w:afterAutospacing="1" w:line="360" w:lineRule="auto"/>
              <w:jc w:val="both"/>
              <w:rPr>
                <w:color w:val="000000"/>
              </w:rPr>
            </w:pPr>
            <w:r w:rsidRPr="005600AC">
              <w:rPr>
                <w:color w:val="000000"/>
              </w:rPr>
              <w:t>Nav</w:t>
            </w:r>
          </w:p>
        </w:tc>
      </w:tr>
    </w:tbl>
    <w:p w:rsidR="00803419" w:rsidRPr="005600AC" w:rsidRDefault="00803419" w:rsidP="00803419">
      <w:pPr>
        <w:jc w:val="both"/>
        <w:rPr>
          <w:color w:val="000000"/>
        </w:rPr>
      </w:pPr>
    </w:p>
    <w:p w:rsidR="00803419" w:rsidRPr="005600AC" w:rsidRDefault="00803419" w:rsidP="00803419">
      <w:pPr>
        <w:jc w:val="both"/>
        <w:rPr>
          <w:vanish/>
          <w:color w:val="000000"/>
        </w:rPr>
      </w:pPr>
    </w:p>
    <w:p w:rsidR="00803419" w:rsidRPr="005600AC" w:rsidRDefault="00803419" w:rsidP="00803419">
      <w:pPr>
        <w:jc w:val="both"/>
        <w:rPr>
          <w:vanish/>
          <w:color w:val="000000"/>
        </w:rPr>
      </w:pPr>
    </w:p>
    <w:p w:rsidR="00803419" w:rsidRPr="005600AC" w:rsidRDefault="00803419" w:rsidP="00803419">
      <w:pPr>
        <w:jc w:val="both"/>
        <w:rPr>
          <w:vanish/>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905"/>
        <w:gridCol w:w="5920"/>
      </w:tblGrid>
      <w:tr w:rsidR="00803419" w:rsidRPr="003953FD" w:rsidTr="00C455C2">
        <w:trPr>
          <w:trHeight w:val="450"/>
        </w:trPr>
        <w:tc>
          <w:tcPr>
            <w:tcW w:w="5000" w:type="pct"/>
            <w:gridSpan w:val="3"/>
            <w:shd w:val="clear" w:color="auto" w:fill="auto"/>
            <w:hideMark/>
          </w:tcPr>
          <w:p w:rsidR="00803419" w:rsidRPr="003953FD" w:rsidRDefault="00803419" w:rsidP="00C455C2">
            <w:pPr>
              <w:jc w:val="center"/>
              <w:rPr>
                <w:b/>
                <w:bCs/>
                <w:color w:val="000000"/>
              </w:rPr>
            </w:pPr>
            <w:r w:rsidRPr="003953FD">
              <w:rPr>
                <w:b/>
                <w:bCs/>
                <w:color w:val="000000"/>
              </w:rPr>
              <w:t>V. Tiesību akta projekta atbilstība Latvijas Republikas starptautiskajām saistībām</w:t>
            </w:r>
          </w:p>
        </w:tc>
      </w:tr>
      <w:tr w:rsidR="00803419" w:rsidRPr="003953FD" w:rsidTr="00824586">
        <w:tc>
          <w:tcPr>
            <w:tcW w:w="249" w:type="pct"/>
            <w:shd w:val="clear" w:color="auto" w:fill="auto"/>
            <w:hideMark/>
          </w:tcPr>
          <w:p w:rsidR="00803419" w:rsidRPr="003953FD" w:rsidRDefault="00803419" w:rsidP="00C455C2">
            <w:pPr>
              <w:jc w:val="both"/>
              <w:rPr>
                <w:color w:val="000000"/>
              </w:rPr>
            </w:pPr>
            <w:r w:rsidRPr="003953FD">
              <w:rPr>
                <w:color w:val="000000"/>
              </w:rPr>
              <w:t>1.</w:t>
            </w:r>
          </w:p>
        </w:tc>
        <w:tc>
          <w:tcPr>
            <w:tcW w:w="1564" w:type="pct"/>
            <w:shd w:val="clear" w:color="auto" w:fill="auto"/>
            <w:hideMark/>
          </w:tcPr>
          <w:p w:rsidR="00803419" w:rsidRPr="003953FD" w:rsidRDefault="00803419" w:rsidP="00824586">
            <w:pPr>
              <w:rPr>
                <w:color w:val="000000"/>
              </w:rPr>
            </w:pPr>
            <w:r w:rsidRPr="003953FD">
              <w:rPr>
                <w:color w:val="000000"/>
              </w:rPr>
              <w:t>Saistības pret Eiropas Savienību</w:t>
            </w:r>
          </w:p>
        </w:tc>
        <w:tc>
          <w:tcPr>
            <w:tcW w:w="3186" w:type="pct"/>
            <w:shd w:val="clear" w:color="auto" w:fill="auto"/>
          </w:tcPr>
          <w:p w:rsidR="002812ED" w:rsidRPr="003953FD" w:rsidRDefault="007D2BDE" w:rsidP="00C455C2">
            <w:pPr>
              <w:jc w:val="both"/>
              <w:rPr>
                <w:color w:val="000000"/>
              </w:rPr>
            </w:pPr>
            <w:r>
              <w:rPr>
                <w:color w:val="000000"/>
              </w:rPr>
              <w:t>Noteikumu projekts</w:t>
            </w:r>
            <w:r w:rsidR="00803419" w:rsidRPr="003953FD">
              <w:rPr>
                <w:color w:val="000000"/>
              </w:rPr>
              <w:t xml:space="preserve"> atbilst saistībām, ko Latvija ir uzņēmusies kā ES dalībvalsts, ieviešot pasākumus, ko ES Padome, pieņemot lēmumus, ir noteikusi par nepieciešamiem, pamatojoties uz Līguma par Eiropas Savienību 29. pantu un Līguma par Eiropas Savienības darbību 75. un 215. pantu jeb Lisabonas līguma 67. pantu.</w:t>
            </w:r>
          </w:p>
        </w:tc>
      </w:tr>
      <w:tr w:rsidR="00803419" w:rsidRPr="003953FD" w:rsidTr="00824586">
        <w:tc>
          <w:tcPr>
            <w:tcW w:w="249" w:type="pct"/>
            <w:shd w:val="clear" w:color="auto" w:fill="auto"/>
            <w:hideMark/>
          </w:tcPr>
          <w:p w:rsidR="00803419" w:rsidRPr="003953FD" w:rsidRDefault="00803419" w:rsidP="00C455C2">
            <w:pPr>
              <w:jc w:val="both"/>
              <w:rPr>
                <w:color w:val="000000"/>
              </w:rPr>
            </w:pPr>
            <w:r w:rsidRPr="003953FD">
              <w:rPr>
                <w:color w:val="000000"/>
              </w:rPr>
              <w:t>2.</w:t>
            </w:r>
          </w:p>
        </w:tc>
        <w:tc>
          <w:tcPr>
            <w:tcW w:w="1564" w:type="pct"/>
            <w:shd w:val="clear" w:color="auto" w:fill="auto"/>
            <w:hideMark/>
          </w:tcPr>
          <w:p w:rsidR="00803419" w:rsidRPr="003953FD" w:rsidRDefault="00803419" w:rsidP="00824586">
            <w:pPr>
              <w:rPr>
                <w:color w:val="000000"/>
              </w:rPr>
            </w:pPr>
            <w:r w:rsidRPr="003953FD">
              <w:rPr>
                <w:color w:val="000000"/>
              </w:rPr>
              <w:t>Citas starptautiskās saistības</w:t>
            </w:r>
          </w:p>
        </w:tc>
        <w:tc>
          <w:tcPr>
            <w:tcW w:w="3186" w:type="pct"/>
            <w:shd w:val="clear" w:color="auto" w:fill="auto"/>
            <w:hideMark/>
          </w:tcPr>
          <w:p w:rsidR="00803419" w:rsidRDefault="00780DFB" w:rsidP="00C455C2">
            <w:pPr>
              <w:jc w:val="both"/>
              <w:rPr>
                <w:color w:val="000000"/>
              </w:rPr>
            </w:pPr>
            <w:r>
              <w:rPr>
                <w:color w:val="000000"/>
              </w:rPr>
              <w:t>Noteikumu projekts</w:t>
            </w:r>
            <w:r w:rsidR="00803419" w:rsidRPr="003953FD">
              <w:rPr>
                <w:color w:val="000000"/>
              </w:rPr>
              <w:t xml:space="preserve"> atbilst saistībām, ko Latvija ir uzņēmusies kā ANO dalībvalsts, ieviešot pasākumus, ko ANO Drošības padome ir noteikusi par nepieciešamiem, pieņemot rezolūcij</w:t>
            </w:r>
            <w:r w:rsidR="00964541">
              <w:rPr>
                <w:color w:val="000000"/>
              </w:rPr>
              <w:t>as</w:t>
            </w:r>
            <w:r w:rsidR="00803419" w:rsidRPr="003953FD">
              <w:rPr>
                <w:color w:val="000000"/>
              </w:rPr>
              <w:t>, pamatojoties uz 1945. gada ANO Statūtu 7. nodaļu.</w:t>
            </w:r>
          </w:p>
          <w:p w:rsidR="00CD68AC" w:rsidRPr="003953FD" w:rsidRDefault="00CD68AC" w:rsidP="00C455C2">
            <w:pPr>
              <w:jc w:val="both"/>
              <w:rPr>
                <w:color w:val="000000"/>
              </w:rPr>
            </w:pPr>
          </w:p>
          <w:p w:rsidR="00803419" w:rsidRPr="003953FD" w:rsidRDefault="00E67E2D" w:rsidP="00F84198">
            <w:pPr>
              <w:jc w:val="both"/>
              <w:rPr>
                <w:color w:val="000000"/>
              </w:rPr>
            </w:pPr>
            <w:r>
              <w:rPr>
                <w:color w:val="000000"/>
              </w:rPr>
              <w:lastRenderedPageBreak/>
              <w:t>2015.</w:t>
            </w:r>
            <w:r w:rsidR="00803419" w:rsidRPr="003953FD">
              <w:rPr>
                <w:color w:val="000000"/>
              </w:rPr>
              <w:t xml:space="preserve"> gada septembra plenārsēdē </w:t>
            </w:r>
            <w:r w:rsidR="00803419" w:rsidRPr="00E67E2D">
              <w:rPr>
                <w:i/>
                <w:color w:val="000000"/>
              </w:rPr>
              <w:t>Moneyval</w:t>
            </w:r>
            <w:r w:rsidR="00803419" w:rsidRPr="003953FD">
              <w:rPr>
                <w:color w:val="000000"/>
              </w:rPr>
              <w:t xml:space="preserve"> komiteja nolēma, ka Latvijai jāturpina veikt pasākumus, lai pilnā apmērā izpildītu tās rekomendācijas, kuras tika sniegtas 2012. gada ziņojumā par Latvijas noziedzīgi iegūtu līdzekļu legalizācijas un terorisma finansēšanas novēršanas sistēmas atbilstību starptautiskajiem standartiem. Kā priekšnoteikums, lai Latvija tiktu atbrīvota no turpmākiem Progresa ziņojumiem līdz nākošajai Moneyval izvērtēšanas kārtai, tika noteikts, ka Latvijai </w:t>
            </w:r>
            <w:r w:rsidR="002816E1">
              <w:rPr>
                <w:color w:val="000000"/>
              </w:rPr>
              <w:t xml:space="preserve">ne vēlāk kā </w:t>
            </w:r>
            <w:r w:rsidR="00803419" w:rsidRPr="003953FD">
              <w:rPr>
                <w:color w:val="000000"/>
              </w:rPr>
              <w:t>līdz 201</w:t>
            </w:r>
            <w:r w:rsidR="002473B9">
              <w:rPr>
                <w:color w:val="000000"/>
              </w:rPr>
              <w:t>6</w:t>
            </w:r>
            <w:r w:rsidR="00803419" w:rsidRPr="003953FD">
              <w:rPr>
                <w:color w:val="000000"/>
              </w:rPr>
              <w:t>. gad</w:t>
            </w:r>
            <w:r w:rsidR="002473B9">
              <w:rPr>
                <w:color w:val="000000"/>
              </w:rPr>
              <w:t xml:space="preserve">a </w:t>
            </w:r>
            <w:r w:rsidR="002816E1">
              <w:rPr>
                <w:color w:val="000000"/>
              </w:rPr>
              <w:t xml:space="preserve">1. septembrim </w:t>
            </w:r>
            <w:r w:rsidR="00803419" w:rsidRPr="003953FD">
              <w:rPr>
                <w:color w:val="000000"/>
              </w:rPr>
              <w:t>ir jāpieņem</w:t>
            </w:r>
            <w:r w:rsidR="002816E1">
              <w:rPr>
                <w:color w:val="000000"/>
              </w:rPr>
              <w:t xml:space="preserve"> Sankciju likums, kā arī ar to saistītie normatīvie akti, kas paredz sankciju izpildes kārtību, lai varētu pilnībā ieviest </w:t>
            </w:r>
            <w:r w:rsidR="00803419" w:rsidRPr="003953FD">
              <w:rPr>
                <w:color w:val="000000"/>
              </w:rPr>
              <w:t xml:space="preserve">FATF </w:t>
            </w:r>
            <w:r w:rsidR="00964541">
              <w:rPr>
                <w:color w:val="000000"/>
              </w:rPr>
              <w:t>rekomendācijas</w:t>
            </w:r>
            <w:r w:rsidR="00803419" w:rsidRPr="003953FD">
              <w:rPr>
                <w:color w:val="000000"/>
              </w:rPr>
              <w:t xml:space="preserve">. </w:t>
            </w:r>
            <w:r w:rsidR="00780DFB">
              <w:rPr>
                <w:color w:val="000000"/>
              </w:rPr>
              <w:t>Noteikumu projekts</w:t>
            </w:r>
            <w:r w:rsidR="00803419" w:rsidRPr="003953FD">
              <w:rPr>
                <w:color w:val="000000"/>
              </w:rPr>
              <w:t xml:space="preserve"> sagatavots, lai izpildītu </w:t>
            </w:r>
            <w:r w:rsidR="002816E1">
              <w:rPr>
                <w:color w:val="000000"/>
              </w:rPr>
              <w:t>Sankciju likumā ietverto</w:t>
            </w:r>
            <w:r w:rsidR="00F84198">
              <w:rPr>
                <w:color w:val="000000"/>
              </w:rPr>
              <w:t>,</w:t>
            </w:r>
            <w:r w:rsidR="002816E1">
              <w:rPr>
                <w:color w:val="000000"/>
              </w:rPr>
              <w:t xml:space="preserve"> nosakot kārtību</w:t>
            </w:r>
            <w:r w:rsidR="00F84198">
              <w:rPr>
                <w:color w:val="000000"/>
              </w:rPr>
              <w:t>,</w:t>
            </w:r>
            <w:r w:rsidR="002816E1">
              <w:rPr>
                <w:color w:val="000000"/>
              </w:rPr>
              <w:t xml:space="preserve"> kādā ir izpildāmas nacionālās sankcijas</w:t>
            </w:r>
            <w:r w:rsidR="00780DFB">
              <w:rPr>
                <w:color w:val="000000"/>
              </w:rPr>
              <w:t xml:space="preserve"> un lai ievērotu </w:t>
            </w:r>
            <w:r w:rsidR="00824586">
              <w:rPr>
                <w:color w:val="000000"/>
              </w:rPr>
              <w:t>FATF 2012. </w:t>
            </w:r>
            <w:r w:rsidR="00803419" w:rsidRPr="003953FD">
              <w:rPr>
                <w:color w:val="000000"/>
              </w:rPr>
              <w:t xml:space="preserve">gada februārī apstiprinātās rekomendācijas. </w:t>
            </w:r>
          </w:p>
        </w:tc>
      </w:tr>
      <w:tr w:rsidR="00803419" w:rsidRPr="003953FD" w:rsidTr="00824586">
        <w:tc>
          <w:tcPr>
            <w:tcW w:w="249" w:type="pct"/>
            <w:shd w:val="clear" w:color="auto" w:fill="auto"/>
            <w:hideMark/>
          </w:tcPr>
          <w:p w:rsidR="00803419" w:rsidRPr="003953FD" w:rsidRDefault="00803419" w:rsidP="00C455C2">
            <w:pPr>
              <w:jc w:val="both"/>
              <w:rPr>
                <w:color w:val="000000"/>
              </w:rPr>
            </w:pPr>
            <w:r w:rsidRPr="003953FD">
              <w:rPr>
                <w:color w:val="000000"/>
              </w:rPr>
              <w:lastRenderedPageBreak/>
              <w:t>3.</w:t>
            </w:r>
          </w:p>
        </w:tc>
        <w:tc>
          <w:tcPr>
            <w:tcW w:w="1564" w:type="pct"/>
            <w:shd w:val="clear" w:color="auto" w:fill="auto"/>
            <w:hideMark/>
          </w:tcPr>
          <w:p w:rsidR="00803419" w:rsidRPr="003953FD" w:rsidRDefault="00803419" w:rsidP="00C455C2">
            <w:pPr>
              <w:jc w:val="both"/>
              <w:rPr>
                <w:color w:val="000000"/>
              </w:rPr>
            </w:pPr>
            <w:r w:rsidRPr="003953FD">
              <w:rPr>
                <w:color w:val="000000"/>
              </w:rPr>
              <w:t>Cita informācija</w:t>
            </w:r>
          </w:p>
        </w:tc>
        <w:tc>
          <w:tcPr>
            <w:tcW w:w="3186" w:type="pct"/>
            <w:shd w:val="clear" w:color="auto" w:fill="auto"/>
            <w:hideMark/>
          </w:tcPr>
          <w:p w:rsidR="00803419" w:rsidRPr="003953FD" w:rsidRDefault="00803419" w:rsidP="00C455C2">
            <w:pPr>
              <w:jc w:val="both"/>
              <w:rPr>
                <w:color w:val="000000"/>
              </w:rPr>
            </w:pPr>
            <w:r>
              <w:rPr>
                <w:color w:val="000000"/>
              </w:rPr>
              <w:t>Nav.</w:t>
            </w:r>
          </w:p>
        </w:tc>
      </w:tr>
    </w:tbl>
    <w:tbl>
      <w:tblPr>
        <w:tblpPr w:leftFromText="180" w:rightFromText="180" w:vertAnchor="text" w:tblpX="-114" w:tblpY="360"/>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1"/>
        <w:gridCol w:w="2870"/>
        <w:gridCol w:w="5953"/>
      </w:tblGrid>
      <w:tr w:rsidR="002816E1" w:rsidRPr="002816E1" w:rsidTr="002816E1">
        <w:trPr>
          <w:trHeight w:val="231"/>
        </w:trPr>
        <w:tc>
          <w:tcPr>
            <w:tcW w:w="5000" w:type="pct"/>
            <w:gridSpan w:val="3"/>
            <w:tcBorders>
              <w:top w:val="single" w:sz="4" w:space="0" w:color="auto"/>
              <w:left w:val="single" w:sz="4" w:space="0" w:color="auto"/>
              <w:bottom w:val="single" w:sz="4" w:space="0" w:color="auto"/>
              <w:right w:val="single" w:sz="4" w:space="0" w:color="auto"/>
            </w:tcBorders>
            <w:hideMark/>
          </w:tcPr>
          <w:p w:rsidR="007C250B" w:rsidRPr="002816E1" w:rsidRDefault="002816E1" w:rsidP="002816E1">
            <w:pPr>
              <w:jc w:val="center"/>
              <w:rPr>
                <w:b/>
                <w:bCs/>
                <w:color w:val="000000"/>
              </w:rPr>
            </w:pPr>
            <w:r w:rsidRPr="002816E1">
              <w:rPr>
                <w:b/>
                <w:bCs/>
                <w:color w:val="000000"/>
              </w:rPr>
              <w:t>VII. Tiesību akta projekta izpildes nodrošināšana un tās ietekme uz institūcijām</w:t>
            </w:r>
          </w:p>
        </w:tc>
      </w:tr>
      <w:tr w:rsidR="002816E1" w:rsidRPr="002816E1" w:rsidTr="00824586">
        <w:trPr>
          <w:trHeight w:val="42"/>
        </w:trPr>
        <w:tc>
          <w:tcPr>
            <w:tcW w:w="299" w:type="pct"/>
            <w:tcBorders>
              <w:top w:val="single" w:sz="4" w:space="0" w:color="auto"/>
              <w:left w:val="single" w:sz="4" w:space="0" w:color="auto"/>
              <w:bottom w:val="single" w:sz="4" w:space="0" w:color="auto"/>
              <w:right w:val="single" w:sz="4" w:space="0" w:color="auto"/>
            </w:tcBorders>
            <w:hideMark/>
          </w:tcPr>
          <w:p w:rsidR="007C250B" w:rsidRPr="002816E1" w:rsidRDefault="002816E1" w:rsidP="002816E1">
            <w:pPr>
              <w:jc w:val="center"/>
              <w:rPr>
                <w:bCs/>
                <w:color w:val="000000"/>
              </w:rPr>
            </w:pPr>
            <w:r w:rsidRPr="002816E1">
              <w:rPr>
                <w:bCs/>
                <w:color w:val="000000"/>
              </w:rPr>
              <w:t>1.</w:t>
            </w:r>
          </w:p>
        </w:tc>
        <w:tc>
          <w:tcPr>
            <w:tcW w:w="1529" w:type="pct"/>
            <w:tcBorders>
              <w:top w:val="single" w:sz="4" w:space="0" w:color="auto"/>
              <w:left w:val="single" w:sz="4" w:space="0" w:color="auto"/>
              <w:bottom w:val="single" w:sz="4" w:space="0" w:color="auto"/>
              <w:right w:val="single" w:sz="4" w:space="0" w:color="auto"/>
            </w:tcBorders>
            <w:hideMark/>
          </w:tcPr>
          <w:p w:rsidR="007C250B" w:rsidRPr="002816E1" w:rsidRDefault="002816E1" w:rsidP="002816E1">
            <w:pPr>
              <w:jc w:val="both"/>
              <w:rPr>
                <w:color w:val="000000"/>
              </w:rPr>
            </w:pPr>
            <w:r w:rsidRPr="002816E1">
              <w:rPr>
                <w:color w:val="000000"/>
              </w:rPr>
              <w:t xml:space="preserve">Projekta izpildē iesaistītās institūcijas </w:t>
            </w:r>
          </w:p>
        </w:tc>
        <w:tc>
          <w:tcPr>
            <w:tcW w:w="3172" w:type="pct"/>
            <w:tcBorders>
              <w:top w:val="single" w:sz="4" w:space="0" w:color="auto"/>
              <w:left w:val="single" w:sz="4" w:space="0" w:color="auto"/>
              <w:bottom w:val="single" w:sz="4" w:space="0" w:color="auto"/>
              <w:right w:val="single" w:sz="4" w:space="0" w:color="auto"/>
            </w:tcBorders>
            <w:hideMark/>
          </w:tcPr>
          <w:p w:rsidR="007C250B" w:rsidRPr="002816E1" w:rsidRDefault="00782BED" w:rsidP="002816E1">
            <w:pPr>
              <w:jc w:val="both"/>
              <w:rPr>
                <w:bCs/>
                <w:color w:val="000000"/>
              </w:rPr>
            </w:pPr>
            <w:r>
              <w:rPr>
                <w:bCs/>
                <w:iCs/>
                <w:color w:val="000000"/>
              </w:rPr>
              <w:t xml:space="preserve">Ārlietu ministrija, </w:t>
            </w:r>
            <w:r w:rsidR="002816E1" w:rsidRPr="002816E1">
              <w:rPr>
                <w:bCs/>
                <w:iCs/>
                <w:color w:val="000000"/>
              </w:rPr>
              <w:t xml:space="preserve">Noziedzīgi iegūtu līdzekļu legalizācijas novēršanas dienests </w:t>
            </w:r>
          </w:p>
        </w:tc>
      </w:tr>
      <w:tr w:rsidR="002816E1" w:rsidRPr="002816E1" w:rsidTr="00824586">
        <w:trPr>
          <w:trHeight w:val="373"/>
        </w:trPr>
        <w:tc>
          <w:tcPr>
            <w:tcW w:w="299" w:type="pct"/>
            <w:tcBorders>
              <w:top w:val="single" w:sz="4" w:space="0" w:color="auto"/>
              <w:left w:val="single" w:sz="4" w:space="0" w:color="auto"/>
              <w:bottom w:val="single" w:sz="4" w:space="0" w:color="auto"/>
              <w:right w:val="single" w:sz="4" w:space="0" w:color="auto"/>
            </w:tcBorders>
            <w:hideMark/>
          </w:tcPr>
          <w:p w:rsidR="007C250B" w:rsidRPr="002816E1" w:rsidRDefault="002816E1" w:rsidP="002816E1">
            <w:pPr>
              <w:jc w:val="center"/>
              <w:rPr>
                <w:bCs/>
                <w:color w:val="000000"/>
              </w:rPr>
            </w:pPr>
            <w:r w:rsidRPr="002816E1">
              <w:rPr>
                <w:bCs/>
                <w:color w:val="000000"/>
              </w:rPr>
              <w:t>2.</w:t>
            </w:r>
          </w:p>
        </w:tc>
        <w:tc>
          <w:tcPr>
            <w:tcW w:w="1529" w:type="pct"/>
            <w:tcBorders>
              <w:top w:val="single" w:sz="4" w:space="0" w:color="auto"/>
              <w:left w:val="single" w:sz="4" w:space="0" w:color="auto"/>
              <w:bottom w:val="single" w:sz="4" w:space="0" w:color="auto"/>
              <w:right w:val="single" w:sz="4" w:space="0" w:color="auto"/>
            </w:tcBorders>
          </w:tcPr>
          <w:p w:rsidR="002816E1" w:rsidRPr="002816E1" w:rsidRDefault="002816E1" w:rsidP="002816E1">
            <w:pPr>
              <w:jc w:val="both"/>
              <w:rPr>
                <w:color w:val="000000"/>
              </w:rPr>
            </w:pPr>
            <w:r w:rsidRPr="002816E1">
              <w:rPr>
                <w:color w:val="000000"/>
              </w:rPr>
              <w:t xml:space="preserve">Projekta izpildes ietekme uz pārvaldes funkcijām un institucionālo struktūru. </w:t>
            </w:r>
          </w:p>
          <w:p w:rsidR="002816E1" w:rsidRPr="002816E1" w:rsidRDefault="002816E1" w:rsidP="002816E1">
            <w:pPr>
              <w:jc w:val="both"/>
              <w:rPr>
                <w:color w:val="000000"/>
              </w:rPr>
            </w:pPr>
          </w:p>
          <w:p w:rsidR="007C250B" w:rsidRPr="002816E1" w:rsidRDefault="002816E1" w:rsidP="002816E1">
            <w:pPr>
              <w:jc w:val="both"/>
              <w:rPr>
                <w:color w:val="000000"/>
              </w:rPr>
            </w:pPr>
            <w:r w:rsidRPr="002816E1">
              <w:rPr>
                <w:color w:val="000000"/>
              </w:rPr>
              <w:t>Jaunu institūciju izveide, esošu institūciju likvidācija vai reorganizācija, to ietekme uz institūcijas cilvēkresursiem</w:t>
            </w:r>
          </w:p>
        </w:tc>
        <w:tc>
          <w:tcPr>
            <w:tcW w:w="3172" w:type="pct"/>
            <w:tcBorders>
              <w:top w:val="single" w:sz="4" w:space="0" w:color="auto"/>
              <w:left w:val="single" w:sz="4" w:space="0" w:color="auto"/>
              <w:bottom w:val="single" w:sz="4" w:space="0" w:color="auto"/>
              <w:right w:val="single" w:sz="4" w:space="0" w:color="auto"/>
            </w:tcBorders>
          </w:tcPr>
          <w:p w:rsidR="002816E1" w:rsidRPr="002816E1" w:rsidRDefault="002816E1" w:rsidP="002816E1">
            <w:pPr>
              <w:jc w:val="both"/>
              <w:rPr>
                <w:color w:val="000000"/>
              </w:rPr>
            </w:pPr>
            <w:r w:rsidRPr="002816E1">
              <w:rPr>
                <w:color w:val="000000"/>
              </w:rPr>
              <w:t>Projekta izpilde neietekmēs pārvaldes funkcijas vai institucionālo struktūru.</w:t>
            </w:r>
          </w:p>
          <w:p w:rsidR="002816E1" w:rsidRPr="002816E1" w:rsidRDefault="002816E1" w:rsidP="002816E1">
            <w:pPr>
              <w:jc w:val="both"/>
              <w:rPr>
                <w:color w:val="000000"/>
              </w:rPr>
            </w:pPr>
          </w:p>
          <w:p w:rsidR="002816E1" w:rsidRPr="002816E1" w:rsidRDefault="002816E1" w:rsidP="002816E1">
            <w:pPr>
              <w:jc w:val="both"/>
              <w:rPr>
                <w:color w:val="000000"/>
              </w:rPr>
            </w:pPr>
            <w:r w:rsidRPr="002816E1">
              <w:rPr>
                <w:color w:val="000000"/>
              </w:rPr>
              <w:t>Jaunu institūciju izveide nav nepieciešama. Tāpat nav nepieciešami papildu cilvēkresursi.</w:t>
            </w:r>
          </w:p>
        </w:tc>
      </w:tr>
      <w:tr w:rsidR="002816E1" w:rsidRPr="002816E1" w:rsidTr="00824586">
        <w:trPr>
          <w:trHeight w:val="201"/>
        </w:trPr>
        <w:tc>
          <w:tcPr>
            <w:tcW w:w="299" w:type="pct"/>
            <w:tcBorders>
              <w:top w:val="single" w:sz="4" w:space="0" w:color="auto"/>
              <w:left w:val="single" w:sz="4" w:space="0" w:color="auto"/>
              <w:bottom w:val="single" w:sz="4" w:space="0" w:color="auto"/>
              <w:right w:val="single" w:sz="4" w:space="0" w:color="auto"/>
            </w:tcBorders>
            <w:hideMark/>
          </w:tcPr>
          <w:p w:rsidR="007C250B" w:rsidRPr="002816E1" w:rsidRDefault="002816E1" w:rsidP="002816E1">
            <w:pPr>
              <w:jc w:val="center"/>
              <w:rPr>
                <w:color w:val="000000"/>
              </w:rPr>
            </w:pPr>
            <w:r w:rsidRPr="002816E1">
              <w:rPr>
                <w:color w:val="000000"/>
              </w:rPr>
              <w:t>3.</w:t>
            </w:r>
          </w:p>
        </w:tc>
        <w:tc>
          <w:tcPr>
            <w:tcW w:w="1529" w:type="pct"/>
            <w:tcBorders>
              <w:top w:val="single" w:sz="4" w:space="0" w:color="auto"/>
              <w:left w:val="single" w:sz="4" w:space="0" w:color="auto"/>
              <w:bottom w:val="single" w:sz="4" w:space="0" w:color="auto"/>
              <w:right w:val="single" w:sz="4" w:space="0" w:color="auto"/>
            </w:tcBorders>
            <w:hideMark/>
          </w:tcPr>
          <w:p w:rsidR="007C250B" w:rsidRPr="002816E1" w:rsidRDefault="002816E1" w:rsidP="002816E1">
            <w:pPr>
              <w:jc w:val="both"/>
              <w:rPr>
                <w:color w:val="000000"/>
              </w:rPr>
            </w:pPr>
            <w:r w:rsidRPr="002816E1">
              <w:rPr>
                <w:color w:val="000000"/>
              </w:rPr>
              <w:t>Cita informācija</w:t>
            </w:r>
          </w:p>
        </w:tc>
        <w:tc>
          <w:tcPr>
            <w:tcW w:w="3172" w:type="pct"/>
            <w:tcBorders>
              <w:top w:val="single" w:sz="4" w:space="0" w:color="auto"/>
              <w:left w:val="single" w:sz="4" w:space="0" w:color="auto"/>
              <w:bottom w:val="single" w:sz="4" w:space="0" w:color="auto"/>
              <w:right w:val="single" w:sz="4" w:space="0" w:color="auto"/>
            </w:tcBorders>
            <w:hideMark/>
          </w:tcPr>
          <w:p w:rsidR="002816E1" w:rsidRPr="002816E1" w:rsidRDefault="002816E1" w:rsidP="002816E1">
            <w:pPr>
              <w:jc w:val="both"/>
              <w:rPr>
                <w:color w:val="000000"/>
              </w:rPr>
            </w:pPr>
            <w:r w:rsidRPr="002816E1">
              <w:rPr>
                <w:color w:val="000000"/>
              </w:rPr>
              <w:t>Nav.</w:t>
            </w:r>
          </w:p>
        </w:tc>
      </w:tr>
    </w:tbl>
    <w:p w:rsidR="004A3246" w:rsidRDefault="004A3246" w:rsidP="00F84198">
      <w:pPr>
        <w:jc w:val="both"/>
        <w:rPr>
          <w:i/>
        </w:rPr>
      </w:pPr>
    </w:p>
    <w:p w:rsidR="00F84198" w:rsidRPr="00F84198" w:rsidRDefault="00F84198" w:rsidP="00F84198">
      <w:pPr>
        <w:jc w:val="both"/>
        <w:rPr>
          <w:i/>
        </w:rPr>
      </w:pPr>
      <w:r w:rsidRPr="00F84198">
        <w:rPr>
          <w:i/>
        </w:rPr>
        <w:t>Anotācijas III, IV, VI sadaļa – projekts šīs jomas neskar.</w:t>
      </w:r>
    </w:p>
    <w:p w:rsidR="00782BED" w:rsidRDefault="00782BED" w:rsidP="00803419">
      <w:pPr>
        <w:tabs>
          <w:tab w:val="left" w:pos="6521"/>
        </w:tabs>
      </w:pPr>
    </w:p>
    <w:p w:rsidR="00DE0244" w:rsidRDefault="00DE0244" w:rsidP="00803419">
      <w:pPr>
        <w:tabs>
          <w:tab w:val="left" w:pos="6521"/>
        </w:tabs>
      </w:pPr>
    </w:p>
    <w:p w:rsidR="00803419" w:rsidRPr="002640FD" w:rsidRDefault="00803419" w:rsidP="00803419">
      <w:pPr>
        <w:tabs>
          <w:tab w:val="left" w:pos="6521"/>
        </w:tabs>
      </w:pPr>
      <w:r w:rsidRPr="002640FD">
        <w:t xml:space="preserve">Ārlietu ministrs </w:t>
      </w:r>
      <w:r w:rsidRPr="002640FD">
        <w:tab/>
        <w:t xml:space="preserve">Edgars Rinkēvičs </w:t>
      </w:r>
    </w:p>
    <w:p w:rsidR="00DE0244" w:rsidRDefault="00DE0244" w:rsidP="00803419">
      <w:pPr>
        <w:tabs>
          <w:tab w:val="left" w:pos="6521"/>
        </w:tabs>
      </w:pPr>
    </w:p>
    <w:p w:rsidR="00DE0244" w:rsidRDefault="00DE0244" w:rsidP="00803419">
      <w:pPr>
        <w:tabs>
          <w:tab w:val="left" w:pos="6521"/>
        </w:tabs>
      </w:pPr>
    </w:p>
    <w:p w:rsidR="00803419" w:rsidRPr="002640FD" w:rsidRDefault="00803419" w:rsidP="00803419">
      <w:pPr>
        <w:tabs>
          <w:tab w:val="left" w:pos="6521"/>
        </w:tabs>
      </w:pPr>
      <w:r w:rsidRPr="002640FD">
        <w:t xml:space="preserve">Vīza: </w:t>
      </w:r>
      <w:r>
        <w:t>V</w:t>
      </w:r>
      <w:r w:rsidRPr="002640FD">
        <w:t xml:space="preserve">alsts sekretārs </w:t>
      </w:r>
      <w:r w:rsidRPr="002640FD">
        <w:tab/>
        <w:t>Andrejs Pildegovičs</w:t>
      </w:r>
    </w:p>
    <w:p w:rsidR="00253A48" w:rsidRDefault="00253A48" w:rsidP="00803419">
      <w:pPr>
        <w:pStyle w:val="BodyText"/>
        <w:tabs>
          <w:tab w:val="left" w:pos="7740"/>
        </w:tabs>
        <w:rPr>
          <w:sz w:val="18"/>
          <w:szCs w:val="18"/>
        </w:rPr>
      </w:pPr>
    </w:p>
    <w:p w:rsidR="00DE0244" w:rsidRDefault="00DE0244" w:rsidP="00803419">
      <w:pPr>
        <w:pStyle w:val="BodyText"/>
        <w:tabs>
          <w:tab w:val="left" w:pos="7740"/>
        </w:tabs>
        <w:rPr>
          <w:sz w:val="18"/>
          <w:szCs w:val="18"/>
        </w:rPr>
      </w:pPr>
    </w:p>
    <w:p w:rsidR="00DE0244" w:rsidRDefault="00DE0244" w:rsidP="00803419">
      <w:pPr>
        <w:pStyle w:val="BodyText"/>
        <w:tabs>
          <w:tab w:val="left" w:pos="7740"/>
        </w:tabs>
        <w:rPr>
          <w:sz w:val="18"/>
          <w:szCs w:val="18"/>
        </w:rPr>
      </w:pPr>
    </w:p>
    <w:p w:rsidR="00DE0244" w:rsidRDefault="00DE0244" w:rsidP="00803419">
      <w:pPr>
        <w:pStyle w:val="BodyText"/>
        <w:tabs>
          <w:tab w:val="left" w:pos="7740"/>
        </w:tabs>
        <w:rPr>
          <w:sz w:val="18"/>
          <w:szCs w:val="18"/>
        </w:rPr>
      </w:pPr>
    </w:p>
    <w:p w:rsidR="00DE0244" w:rsidRDefault="00DE0244" w:rsidP="00803419">
      <w:pPr>
        <w:pStyle w:val="BodyText"/>
        <w:tabs>
          <w:tab w:val="left" w:pos="7740"/>
        </w:tabs>
        <w:rPr>
          <w:sz w:val="18"/>
          <w:szCs w:val="18"/>
        </w:rPr>
      </w:pPr>
    </w:p>
    <w:p w:rsidR="00DE0244" w:rsidRDefault="00DE0244" w:rsidP="00803419">
      <w:pPr>
        <w:pStyle w:val="BodyText"/>
        <w:tabs>
          <w:tab w:val="left" w:pos="7740"/>
        </w:tabs>
        <w:rPr>
          <w:sz w:val="18"/>
          <w:szCs w:val="18"/>
        </w:rPr>
      </w:pPr>
    </w:p>
    <w:p w:rsidR="00DE0244" w:rsidRDefault="00DE0244" w:rsidP="00803419">
      <w:pPr>
        <w:pStyle w:val="BodyText"/>
        <w:tabs>
          <w:tab w:val="left" w:pos="7740"/>
        </w:tabs>
        <w:rPr>
          <w:sz w:val="18"/>
          <w:szCs w:val="18"/>
        </w:rPr>
      </w:pPr>
    </w:p>
    <w:p w:rsidR="00DE0244" w:rsidRDefault="00DE0244" w:rsidP="00803419">
      <w:pPr>
        <w:pStyle w:val="BodyText"/>
        <w:tabs>
          <w:tab w:val="left" w:pos="7740"/>
        </w:tabs>
        <w:rPr>
          <w:sz w:val="18"/>
          <w:szCs w:val="18"/>
        </w:rPr>
      </w:pPr>
    </w:p>
    <w:p w:rsidR="00DE0244" w:rsidRDefault="00DE0244" w:rsidP="00803419">
      <w:pPr>
        <w:pStyle w:val="BodyText"/>
        <w:tabs>
          <w:tab w:val="left" w:pos="7740"/>
        </w:tabs>
        <w:rPr>
          <w:sz w:val="18"/>
          <w:szCs w:val="18"/>
        </w:rPr>
      </w:pPr>
    </w:p>
    <w:p w:rsidR="00DE0244" w:rsidRDefault="00DE0244" w:rsidP="00803419">
      <w:pPr>
        <w:pStyle w:val="BodyText"/>
        <w:tabs>
          <w:tab w:val="left" w:pos="7740"/>
        </w:tabs>
        <w:rPr>
          <w:sz w:val="18"/>
          <w:szCs w:val="18"/>
        </w:rPr>
      </w:pPr>
    </w:p>
    <w:p w:rsidR="00803419" w:rsidRPr="003A5F4B" w:rsidRDefault="00DE0244" w:rsidP="00803419">
      <w:pPr>
        <w:pStyle w:val="BodyText"/>
        <w:tabs>
          <w:tab w:val="left" w:pos="7740"/>
        </w:tabs>
        <w:rPr>
          <w:sz w:val="18"/>
          <w:szCs w:val="18"/>
        </w:rPr>
      </w:pPr>
      <w:r>
        <w:rPr>
          <w:sz w:val="18"/>
          <w:szCs w:val="18"/>
        </w:rPr>
        <w:t>14</w:t>
      </w:r>
      <w:r w:rsidR="00FC0C52" w:rsidRPr="003A5F4B">
        <w:rPr>
          <w:sz w:val="18"/>
          <w:szCs w:val="18"/>
        </w:rPr>
        <w:t>.04</w:t>
      </w:r>
      <w:r w:rsidR="00803419" w:rsidRPr="003A5F4B">
        <w:rPr>
          <w:sz w:val="18"/>
          <w:szCs w:val="18"/>
        </w:rPr>
        <w:t>.2016. 17:00</w:t>
      </w:r>
    </w:p>
    <w:p w:rsidR="004A3246" w:rsidRDefault="00DE0244" w:rsidP="004A3246">
      <w:pPr>
        <w:pStyle w:val="BodyText"/>
        <w:tabs>
          <w:tab w:val="left" w:pos="7740"/>
        </w:tabs>
        <w:rPr>
          <w:sz w:val="18"/>
          <w:szCs w:val="18"/>
        </w:rPr>
      </w:pPr>
      <w:r>
        <w:rPr>
          <w:sz w:val="18"/>
          <w:szCs w:val="18"/>
        </w:rPr>
        <w:t>867</w:t>
      </w:r>
    </w:p>
    <w:p w:rsidR="00DE0244" w:rsidRDefault="00803419" w:rsidP="004A3246">
      <w:pPr>
        <w:pStyle w:val="BodyText"/>
        <w:tabs>
          <w:tab w:val="left" w:pos="7740"/>
        </w:tabs>
        <w:rPr>
          <w:sz w:val="18"/>
          <w:szCs w:val="18"/>
        </w:rPr>
      </w:pPr>
      <w:r w:rsidRPr="003A5F4B">
        <w:rPr>
          <w:sz w:val="18"/>
          <w:szCs w:val="18"/>
        </w:rPr>
        <w:t>Zane Pommere</w:t>
      </w:r>
      <w:r w:rsidR="004A3246">
        <w:rPr>
          <w:sz w:val="18"/>
          <w:szCs w:val="18"/>
        </w:rPr>
        <w:t xml:space="preserve">, </w:t>
      </w:r>
    </w:p>
    <w:p w:rsidR="006A4FAF" w:rsidRDefault="00803419" w:rsidP="004A3246">
      <w:pPr>
        <w:pStyle w:val="BodyText"/>
        <w:tabs>
          <w:tab w:val="left" w:pos="7740"/>
        </w:tabs>
      </w:pPr>
      <w:r w:rsidRPr="003A5F4B">
        <w:rPr>
          <w:sz w:val="18"/>
          <w:szCs w:val="18"/>
        </w:rPr>
        <w:t xml:space="preserve">67015951, </w:t>
      </w:r>
      <w:hyperlink r:id="rId8" w:history="1">
        <w:r w:rsidRPr="003A5F4B">
          <w:rPr>
            <w:rStyle w:val="Hyperlink"/>
            <w:sz w:val="18"/>
            <w:szCs w:val="18"/>
          </w:rPr>
          <w:t>zane.pommere@mfa.gov.lv</w:t>
        </w:r>
      </w:hyperlink>
      <w:r>
        <w:rPr>
          <w:sz w:val="20"/>
          <w:szCs w:val="20"/>
        </w:rPr>
        <w:t xml:space="preserve"> </w:t>
      </w:r>
    </w:p>
    <w:sectPr w:rsidR="006A4FAF" w:rsidSect="003953FD">
      <w:headerReference w:type="even" r:id="rId9"/>
      <w:headerReference w:type="default" r:id="rId10"/>
      <w:footerReference w:type="default" r:id="rId11"/>
      <w:footerReference w:type="first" r:id="rId12"/>
      <w:pgSz w:w="11906" w:h="16838"/>
      <w:pgMar w:top="851" w:right="1416" w:bottom="17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F4" w:rsidRDefault="00394FF4" w:rsidP="00803419">
      <w:r>
        <w:separator/>
      </w:r>
    </w:p>
  </w:endnote>
  <w:endnote w:type="continuationSeparator" w:id="0">
    <w:p w:rsidR="00394FF4" w:rsidRDefault="00394FF4" w:rsidP="008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DE" w:rsidRPr="00FC0C52" w:rsidRDefault="00FC0C52" w:rsidP="00FC0C52">
    <w:pPr>
      <w:pStyle w:val="Footer"/>
      <w:jc w:val="both"/>
      <w:rPr>
        <w:bCs/>
        <w:sz w:val="20"/>
        <w:szCs w:val="20"/>
      </w:rPr>
    </w:pPr>
    <w:r>
      <w:rPr>
        <w:sz w:val="20"/>
        <w:szCs w:val="20"/>
      </w:rPr>
      <w:t>AMAnot_</w:t>
    </w:r>
    <w:r w:rsidR="00DE0244">
      <w:rPr>
        <w:sz w:val="20"/>
        <w:szCs w:val="20"/>
      </w:rPr>
      <w:t>14</w:t>
    </w:r>
    <w:r>
      <w:rPr>
        <w:sz w:val="20"/>
        <w:szCs w:val="20"/>
      </w:rPr>
      <w:t>0416_MK</w:t>
    </w:r>
    <w:r w:rsidRPr="007370CB">
      <w:rPr>
        <w:sz w:val="20"/>
        <w:szCs w:val="20"/>
      </w:rPr>
      <w:t xml:space="preserve">; anotācija </w:t>
    </w:r>
    <w:r>
      <w:rPr>
        <w:sz w:val="20"/>
        <w:szCs w:val="20"/>
      </w:rPr>
      <w:t>Ministru kabineta noteikumu projektam</w:t>
    </w:r>
    <w:r w:rsidRPr="00BB25FF">
      <w:rPr>
        <w:sz w:val="20"/>
        <w:szCs w:val="20"/>
      </w:rPr>
      <w:t xml:space="preserve"> </w:t>
    </w:r>
    <w:r w:rsidRPr="00FC0C52">
      <w:rPr>
        <w:bCs/>
        <w:sz w:val="20"/>
        <w:szCs w:val="20"/>
      </w:rPr>
      <w:t>“Kārtība, kādā izpildāmas nacionālās sankcijas, kas noteiktas starptautiskā terorisma vai masveida ieroču izplatīšanas apkarošanai”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Pr="007D2BDE" w:rsidRDefault="00EA707B" w:rsidP="007D2BDE">
    <w:pPr>
      <w:pStyle w:val="Footer"/>
      <w:jc w:val="both"/>
      <w:rPr>
        <w:bCs/>
        <w:sz w:val="20"/>
        <w:szCs w:val="20"/>
      </w:rPr>
    </w:pPr>
    <w:r>
      <w:rPr>
        <w:sz w:val="20"/>
        <w:szCs w:val="20"/>
      </w:rPr>
      <w:t>AMAn</w:t>
    </w:r>
    <w:r w:rsidR="00803419">
      <w:rPr>
        <w:sz w:val="20"/>
        <w:szCs w:val="20"/>
      </w:rPr>
      <w:t>ot_</w:t>
    </w:r>
    <w:r w:rsidR="00DE0244">
      <w:rPr>
        <w:sz w:val="20"/>
        <w:szCs w:val="20"/>
      </w:rPr>
      <w:t>14</w:t>
    </w:r>
    <w:r w:rsidR="00803419">
      <w:rPr>
        <w:sz w:val="20"/>
        <w:szCs w:val="20"/>
      </w:rPr>
      <w:t>0</w:t>
    </w:r>
    <w:r w:rsidR="00FC0C52">
      <w:rPr>
        <w:sz w:val="20"/>
        <w:szCs w:val="20"/>
      </w:rPr>
      <w:t>4</w:t>
    </w:r>
    <w:r w:rsidR="00803419">
      <w:rPr>
        <w:sz w:val="20"/>
        <w:szCs w:val="20"/>
      </w:rPr>
      <w:t>16_MK</w:t>
    </w:r>
    <w:r w:rsidR="00803419" w:rsidRPr="007370CB">
      <w:rPr>
        <w:sz w:val="20"/>
        <w:szCs w:val="20"/>
      </w:rPr>
      <w:t xml:space="preserve">; anotācija </w:t>
    </w:r>
    <w:r w:rsidR="00803419">
      <w:rPr>
        <w:sz w:val="20"/>
        <w:szCs w:val="20"/>
      </w:rPr>
      <w:t>Ministru kabineta noteikumu projektam</w:t>
    </w:r>
    <w:r w:rsidR="00803419" w:rsidRPr="00BB25FF">
      <w:rPr>
        <w:sz w:val="20"/>
        <w:szCs w:val="20"/>
      </w:rPr>
      <w:t xml:space="preserve"> </w:t>
    </w:r>
    <w:r w:rsidR="00FC0C52" w:rsidRPr="00FC0C52">
      <w:rPr>
        <w:bCs/>
        <w:sz w:val="20"/>
        <w:szCs w:val="20"/>
      </w:rPr>
      <w:t>“Kārtība, kādā izpildāmas nacionālās sankcijas, kas noteiktas starptautiskā terorisma vai masveida ieroču izplatīšanas apkarošanai”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F4" w:rsidRDefault="00394FF4" w:rsidP="00803419">
      <w:r>
        <w:separator/>
      </w:r>
    </w:p>
  </w:footnote>
  <w:footnote w:type="continuationSeparator" w:id="0">
    <w:p w:rsidR="00394FF4" w:rsidRDefault="00394FF4" w:rsidP="0080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Default="008B00B8"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A00" w:rsidRDefault="008A6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Pr="00DB073B" w:rsidRDefault="008B00B8"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8A629C">
      <w:rPr>
        <w:rStyle w:val="PageNumber"/>
        <w:noProof/>
        <w:sz w:val="20"/>
        <w:szCs w:val="20"/>
      </w:rPr>
      <w:t>2</w:t>
    </w:r>
    <w:r w:rsidRPr="00DB073B">
      <w:rPr>
        <w:rStyle w:val="PageNumber"/>
        <w:sz w:val="20"/>
        <w:szCs w:val="20"/>
      </w:rPr>
      <w:fldChar w:fldCharType="end"/>
    </w:r>
  </w:p>
  <w:p w:rsidR="00405A00" w:rsidRDefault="008A6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F7C"/>
    <w:multiLevelType w:val="multilevel"/>
    <w:tmpl w:val="6EC28B64"/>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19"/>
    <w:rsid w:val="000265CA"/>
    <w:rsid w:val="00051953"/>
    <w:rsid w:val="00072EDE"/>
    <w:rsid w:val="00075C8F"/>
    <w:rsid w:val="00080254"/>
    <w:rsid w:val="000B369D"/>
    <w:rsid w:val="000D4D9D"/>
    <w:rsid w:val="000E01D2"/>
    <w:rsid w:val="000E3492"/>
    <w:rsid w:val="00104466"/>
    <w:rsid w:val="00113AEF"/>
    <w:rsid w:val="00123D66"/>
    <w:rsid w:val="00134002"/>
    <w:rsid w:val="00140D09"/>
    <w:rsid w:val="0015416C"/>
    <w:rsid w:val="0015676A"/>
    <w:rsid w:val="00164397"/>
    <w:rsid w:val="00174811"/>
    <w:rsid w:val="001748B2"/>
    <w:rsid w:val="00180B0A"/>
    <w:rsid w:val="00191FC3"/>
    <w:rsid w:val="00192AA8"/>
    <w:rsid w:val="001A1F00"/>
    <w:rsid w:val="001B2DFA"/>
    <w:rsid w:val="001B2E39"/>
    <w:rsid w:val="001B4255"/>
    <w:rsid w:val="001C0432"/>
    <w:rsid w:val="001F29B7"/>
    <w:rsid w:val="001F48AC"/>
    <w:rsid w:val="0021190E"/>
    <w:rsid w:val="00213C5C"/>
    <w:rsid w:val="002245EE"/>
    <w:rsid w:val="0024694F"/>
    <w:rsid w:val="002473B9"/>
    <w:rsid w:val="00253A48"/>
    <w:rsid w:val="002618EF"/>
    <w:rsid w:val="0026488F"/>
    <w:rsid w:val="0028013F"/>
    <w:rsid w:val="002812ED"/>
    <w:rsid w:val="002816E1"/>
    <w:rsid w:val="002833F6"/>
    <w:rsid w:val="00297C5A"/>
    <w:rsid w:val="002A3E1F"/>
    <w:rsid w:val="002A7C0F"/>
    <w:rsid w:val="002C631B"/>
    <w:rsid w:val="002E10D3"/>
    <w:rsid w:val="002E5C76"/>
    <w:rsid w:val="002F5FB6"/>
    <w:rsid w:val="002F7990"/>
    <w:rsid w:val="003130FA"/>
    <w:rsid w:val="0031385C"/>
    <w:rsid w:val="00357397"/>
    <w:rsid w:val="003647B7"/>
    <w:rsid w:val="0037240B"/>
    <w:rsid w:val="0038700F"/>
    <w:rsid w:val="00394FF4"/>
    <w:rsid w:val="00397759"/>
    <w:rsid w:val="003A5F4B"/>
    <w:rsid w:val="003B10DE"/>
    <w:rsid w:val="003C0D6F"/>
    <w:rsid w:val="003C34F7"/>
    <w:rsid w:val="003C58DE"/>
    <w:rsid w:val="003D081A"/>
    <w:rsid w:val="003E0602"/>
    <w:rsid w:val="00407171"/>
    <w:rsid w:val="004074BE"/>
    <w:rsid w:val="00410DC8"/>
    <w:rsid w:val="004310B7"/>
    <w:rsid w:val="00431274"/>
    <w:rsid w:val="00444032"/>
    <w:rsid w:val="0046574C"/>
    <w:rsid w:val="0047060A"/>
    <w:rsid w:val="00471248"/>
    <w:rsid w:val="004841C2"/>
    <w:rsid w:val="004862F9"/>
    <w:rsid w:val="0049525A"/>
    <w:rsid w:val="004A0B4F"/>
    <w:rsid w:val="004A0FAF"/>
    <w:rsid w:val="004A3246"/>
    <w:rsid w:val="004A425F"/>
    <w:rsid w:val="004B474E"/>
    <w:rsid w:val="004B5DD9"/>
    <w:rsid w:val="004D1479"/>
    <w:rsid w:val="004D2233"/>
    <w:rsid w:val="004D586E"/>
    <w:rsid w:val="004D6DDB"/>
    <w:rsid w:val="004E2C72"/>
    <w:rsid w:val="0050023B"/>
    <w:rsid w:val="0052006C"/>
    <w:rsid w:val="0052067C"/>
    <w:rsid w:val="00522C8C"/>
    <w:rsid w:val="00526052"/>
    <w:rsid w:val="0053115E"/>
    <w:rsid w:val="00532A99"/>
    <w:rsid w:val="00547E09"/>
    <w:rsid w:val="00562AF8"/>
    <w:rsid w:val="00564A6E"/>
    <w:rsid w:val="00585409"/>
    <w:rsid w:val="00585A58"/>
    <w:rsid w:val="005A4370"/>
    <w:rsid w:val="005E05D3"/>
    <w:rsid w:val="005E362E"/>
    <w:rsid w:val="00615C05"/>
    <w:rsid w:val="00617B74"/>
    <w:rsid w:val="00627FFA"/>
    <w:rsid w:val="0064398A"/>
    <w:rsid w:val="00646D42"/>
    <w:rsid w:val="006836EB"/>
    <w:rsid w:val="00685264"/>
    <w:rsid w:val="00697D77"/>
    <w:rsid w:val="006A4FAF"/>
    <w:rsid w:val="006A7E60"/>
    <w:rsid w:val="006C1938"/>
    <w:rsid w:val="006E35DF"/>
    <w:rsid w:val="006F51FB"/>
    <w:rsid w:val="00706246"/>
    <w:rsid w:val="007119D5"/>
    <w:rsid w:val="00726649"/>
    <w:rsid w:val="00732EDC"/>
    <w:rsid w:val="00742C05"/>
    <w:rsid w:val="00755258"/>
    <w:rsid w:val="0076533B"/>
    <w:rsid w:val="00780DFB"/>
    <w:rsid w:val="00782BED"/>
    <w:rsid w:val="00796C96"/>
    <w:rsid w:val="0079737A"/>
    <w:rsid w:val="007A1486"/>
    <w:rsid w:val="007A4F51"/>
    <w:rsid w:val="007B17B9"/>
    <w:rsid w:val="007C250B"/>
    <w:rsid w:val="007C4580"/>
    <w:rsid w:val="007D2BDE"/>
    <w:rsid w:val="007D571B"/>
    <w:rsid w:val="00803419"/>
    <w:rsid w:val="0081061A"/>
    <w:rsid w:val="00824586"/>
    <w:rsid w:val="00825328"/>
    <w:rsid w:val="00827252"/>
    <w:rsid w:val="00835B85"/>
    <w:rsid w:val="00843CD5"/>
    <w:rsid w:val="00867FC6"/>
    <w:rsid w:val="00870969"/>
    <w:rsid w:val="008736FB"/>
    <w:rsid w:val="00880FD6"/>
    <w:rsid w:val="00886EA0"/>
    <w:rsid w:val="0089687F"/>
    <w:rsid w:val="008A207F"/>
    <w:rsid w:val="008A629C"/>
    <w:rsid w:val="008B00B8"/>
    <w:rsid w:val="008C7CF2"/>
    <w:rsid w:val="008E2C6B"/>
    <w:rsid w:val="008E63E7"/>
    <w:rsid w:val="008F2CB2"/>
    <w:rsid w:val="009106FB"/>
    <w:rsid w:val="00912029"/>
    <w:rsid w:val="0092753A"/>
    <w:rsid w:val="00933BE6"/>
    <w:rsid w:val="00952D1A"/>
    <w:rsid w:val="00964541"/>
    <w:rsid w:val="00976287"/>
    <w:rsid w:val="00982E01"/>
    <w:rsid w:val="0099243D"/>
    <w:rsid w:val="00996D99"/>
    <w:rsid w:val="009A03F2"/>
    <w:rsid w:val="009B08F2"/>
    <w:rsid w:val="009B230D"/>
    <w:rsid w:val="009E4624"/>
    <w:rsid w:val="009E5938"/>
    <w:rsid w:val="009F2202"/>
    <w:rsid w:val="009F5ADC"/>
    <w:rsid w:val="00A02A18"/>
    <w:rsid w:val="00A13179"/>
    <w:rsid w:val="00A166EC"/>
    <w:rsid w:val="00A177A9"/>
    <w:rsid w:val="00A2105E"/>
    <w:rsid w:val="00A27370"/>
    <w:rsid w:val="00A323BE"/>
    <w:rsid w:val="00A33A7E"/>
    <w:rsid w:val="00A36B51"/>
    <w:rsid w:val="00A43D4E"/>
    <w:rsid w:val="00A54DBB"/>
    <w:rsid w:val="00A70A41"/>
    <w:rsid w:val="00A858AE"/>
    <w:rsid w:val="00A93F76"/>
    <w:rsid w:val="00AA1A14"/>
    <w:rsid w:val="00AA779D"/>
    <w:rsid w:val="00AC741C"/>
    <w:rsid w:val="00AC7457"/>
    <w:rsid w:val="00AD270A"/>
    <w:rsid w:val="00AD59D3"/>
    <w:rsid w:val="00AD7CDA"/>
    <w:rsid w:val="00AE31CD"/>
    <w:rsid w:val="00B3210A"/>
    <w:rsid w:val="00B33C04"/>
    <w:rsid w:val="00B37E0E"/>
    <w:rsid w:val="00B42A43"/>
    <w:rsid w:val="00B60D7D"/>
    <w:rsid w:val="00B8620F"/>
    <w:rsid w:val="00B94B04"/>
    <w:rsid w:val="00B95BE6"/>
    <w:rsid w:val="00BB22C1"/>
    <w:rsid w:val="00BC460B"/>
    <w:rsid w:val="00BD58B3"/>
    <w:rsid w:val="00BE04C1"/>
    <w:rsid w:val="00BE5289"/>
    <w:rsid w:val="00BE5FF1"/>
    <w:rsid w:val="00C07432"/>
    <w:rsid w:val="00C12C4A"/>
    <w:rsid w:val="00C425AA"/>
    <w:rsid w:val="00C430DA"/>
    <w:rsid w:val="00C819AA"/>
    <w:rsid w:val="00C81ED5"/>
    <w:rsid w:val="00CC16BC"/>
    <w:rsid w:val="00CD020E"/>
    <w:rsid w:val="00CD1331"/>
    <w:rsid w:val="00CD2954"/>
    <w:rsid w:val="00CD632E"/>
    <w:rsid w:val="00CD68AC"/>
    <w:rsid w:val="00D02E0B"/>
    <w:rsid w:val="00D07A3F"/>
    <w:rsid w:val="00D24414"/>
    <w:rsid w:val="00D264A1"/>
    <w:rsid w:val="00D326C1"/>
    <w:rsid w:val="00D4079A"/>
    <w:rsid w:val="00D4247B"/>
    <w:rsid w:val="00D50266"/>
    <w:rsid w:val="00D64DFB"/>
    <w:rsid w:val="00D73765"/>
    <w:rsid w:val="00D950B4"/>
    <w:rsid w:val="00D97A43"/>
    <w:rsid w:val="00DA32CC"/>
    <w:rsid w:val="00DB4C5D"/>
    <w:rsid w:val="00DC61EE"/>
    <w:rsid w:val="00DD2F9F"/>
    <w:rsid w:val="00DD439F"/>
    <w:rsid w:val="00DE0244"/>
    <w:rsid w:val="00DF09F3"/>
    <w:rsid w:val="00DF6EA5"/>
    <w:rsid w:val="00E2069B"/>
    <w:rsid w:val="00E416D2"/>
    <w:rsid w:val="00E43AA9"/>
    <w:rsid w:val="00E47FFB"/>
    <w:rsid w:val="00E54E41"/>
    <w:rsid w:val="00E6631B"/>
    <w:rsid w:val="00E67E2D"/>
    <w:rsid w:val="00E80D5A"/>
    <w:rsid w:val="00E84C39"/>
    <w:rsid w:val="00E91703"/>
    <w:rsid w:val="00EA09DF"/>
    <w:rsid w:val="00EA6711"/>
    <w:rsid w:val="00EA707B"/>
    <w:rsid w:val="00EB2517"/>
    <w:rsid w:val="00ED1C15"/>
    <w:rsid w:val="00ED212D"/>
    <w:rsid w:val="00ED7985"/>
    <w:rsid w:val="00EE4765"/>
    <w:rsid w:val="00EF1287"/>
    <w:rsid w:val="00EF5472"/>
    <w:rsid w:val="00F13D35"/>
    <w:rsid w:val="00F212C6"/>
    <w:rsid w:val="00F21456"/>
    <w:rsid w:val="00F23EB7"/>
    <w:rsid w:val="00F35587"/>
    <w:rsid w:val="00F443A8"/>
    <w:rsid w:val="00F84198"/>
    <w:rsid w:val="00F850AB"/>
    <w:rsid w:val="00F860B5"/>
    <w:rsid w:val="00FB285B"/>
    <w:rsid w:val="00FB2C25"/>
    <w:rsid w:val="00FC0C52"/>
    <w:rsid w:val="00FC7E5B"/>
    <w:rsid w:val="00FF3AB4"/>
    <w:rsid w:val="00FF51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1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419"/>
    <w:pPr>
      <w:tabs>
        <w:tab w:val="center" w:pos="4153"/>
        <w:tab w:val="right" w:pos="8306"/>
      </w:tabs>
    </w:pPr>
  </w:style>
  <w:style w:type="character" w:customStyle="1" w:styleId="HeaderChar">
    <w:name w:val="Header Char"/>
    <w:basedOn w:val="DefaultParagraphFont"/>
    <w:link w:val="Header"/>
    <w:rsid w:val="00803419"/>
    <w:rPr>
      <w:rFonts w:ascii="Times New Roman" w:eastAsia="Times New Roman" w:hAnsi="Times New Roman" w:cs="Times New Roman"/>
      <w:sz w:val="24"/>
      <w:szCs w:val="24"/>
      <w:lang w:eastAsia="lv-LV"/>
    </w:rPr>
  </w:style>
  <w:style w:type="character" w:styleId="PageNumber">
    <w:name w:val="page number"/>
    <w:basedOn w:val="DefaultParagraphFont"/>
    <w:rsid w:val="00803419"/>
  </w:style>
  <w:style w:type="paragraph" w:customStyle="1" w:styleId="naislab">
    <w:name w:val="naislab"/>
    <w:basedOn w:val="Normal"/>
    <w:rsid w:val="00803419"/>
    <w:pPr>
      <w:spacing w:before="75" w:after="75"/>
      <w:jc w:val="right"/>
    </w:pPr>
  </w:style>
  <w:style w:type="paragraph" w:styleId="Footer">
    <w:name w:val="footer"/>
    <w:basedOn w:val="Normal"/>
    <w:link w:val="FooterChar"/>
    <w:uiPriority w:val="99"/>
    <w:rsid w:val="00803419"/>
    <w:pPr>
      <w:tabs>
        <w:tab w:val="center" w:pos="4153"/>
        <w:tab w:val="right" w:pos="8306"/>
      </w:tabs>
    </w:pPr>
  </w:style>
  <w:style w:type="character" w:customStyle="1" w:styleId="FooterChar">
    <w:name w:val="Footer Char"/>
    <w:basedOn w:val="DefaultParagraphFont"/>
    <w:link w:val="Footer"/>
    <w:uiPriority w:val="99"/>
    <w:rsid w:val="00803419"/>
    <w:rPr>
      <w:rFonts w:ascii="Times New Roman" w:eastAsia="Times New Roman" w:hAnsi="Times New Roman" w:cs="Times New Roman"/>
      <w:sz w:val="24"/>
      <w:szCs w:val="24"/>
      <w:lang w:eastAsia="lv-LV"/>
    </w:rPr>
  </w:style>
  <w:style w:type="character" w:styleId="Hyperlink">
    <w:name w:val="Hyperlink"/>
    <w:rsid w:val="00803419"/>
    <w:rPr>
      <w:color w:val="0000FF"/>
      <w:u w:val="single"/>
    </w:rPr>
  </w:style>
  <w:style w:type="paragraph" w:styleId="NoSpacing">
    <w:name w:val="No Spacing"/>
    <w:uiPriority w:val="1"/>
    <w:qFormat/>
    <w:rsid w:val="00803419"/>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803419"/>
    <w:pPr>
      <w:tabs>
        <w:tab w:val="left" w:pos="1260"/>
      </w:tabs>
      <w:jc w:val="both"/>
    </w:pPr>
    <w:rPr>
      <w:sz w:val="28"/>
      <w:lang w:eastAsia="en-US"/>
    </w:rPr>
  </w:style>
  <w:style w:type="character" w:customStyle="1" w:styleId="BodyTextChar">
    <w:name w:val="Body Text Char"/>
    <w:basedOn w:val="DefaultParagraphFont"/>
    <w:link w:val="BodyText"/>
    <w:rsid w:val="00803419"/>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2473B9"/>
    <w:rPr>
      <w:sz w:val="16"/>
      <w:szCs w:val="16"/>
    </w:rPr>
  </w:style>
  <w:style w:type="paragraph" w:styleId="CommentText">
    <w:name w:val="annotation text"/>
    <w:basedOn w:val="Normal"/>
    <w:link w:val="CommentTextChar"/>
    <w:uiPriority w:val="99"/>
    <w:semiHidden/>
    <w:unhideWhenUsed/>
    <w:rsid w:val="002473B9"/>
    <w:rPr>
      <w:sz w:val="20"/>
      <w:szCs w:val="20"/>
    </w:rPr>
  </w:style>
  <w:style w:type="character" w:customStyle="1" w:styleId="CommentTextChar">
    <w:name w:val="Comment Text Char"/>
    <w:basedOn w:val="DefaultParagraphFont"/>
    <w:link w:val="CommentText"/>
    <w:uiPriority w:val="99"/>
    <w:semiHidden/>
    <w:rsid w:val="002473B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473B9"/>
    <w:rPr>
      <w:b/>
      <w:bCs/>
    </w:rPr>
  </w:style>
  <w:style w:type="character" w:customStyle="1" w:styleId="CommentSubjectChar">
    <w:name w:val="Comment Subject Char"/>
    <w:basedOn w:val="CommentTextChar"/>
    <w:link w:val="CommentSubject"/>
    <w:uiPriority w:val="99"/>
    <w:semiHidden/>
    <w:rsid w:val="002473B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473B9"/>
    <w:rPr>
      <w:rFonts w:ascii="Tahoma" w:hAnsi="Tahoma" w:cs="Tahoma"/>
      <w:sz w:val="16"/>
      <w:szCs w:val="16"/>
    </w:rPr>
  </w:style>
  <w:style w:type="character" w:customStyle="1" w:styleId="BalloonTextChar">
    <w:name w:val="Balloon Text Char"/>
    <w:basedOn w:val="DefaultParagraphFont"/>
    <w:link w:val="BalloonText"/>
    <w:uiPriority w:val="99"/>
    <w:semiHidden/>
    <w:rsid w:val="002473B9"/>
    <w:rPr>
      <w:rFonts w:ascii="Tahoma" w:eastAsia="Times New Roman" w:hAnsi="Tahoma" w:cs="Tahoma"/>
      <w:sz w:val="16"/>
      <w:szCs w:val="16"/>
      <w:lang w:eastAsia="lv-LV"/>
    </w:rPr>
  </w:style>
  <w:style w:type="paragraph" w:styleId="ListParagraph">
    <w:name w:val="List Paragraph"/>
    <w:basedOn w:val="Normal"/>
    <w:uiPriority w:val="34"/>
    <w:qFormat/>
    <w:rsid w:val="00104466"/>
    <w:pPr>
      <w:ind w:left="720"/>
      <w:contextualSpacing/>
      <w:jc w:val="both"/>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1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419"/>
    <w:pPr>
      <w:tabs>
        <w:tab w:val="center" w:pos="4153"/>
        <w:tab w:val="right" w:pos="8306"/>
      </w:tabs>
    </w:pPr>
  </w:style>
  <w:style w:type="character" w:customStyle="1" w:styleId="HeaderChar">
    <w:name w:val="Header Char"/>
    <w:basedOn w:val="DefaultParagraphFont"/>
    <w:link w:val="Header"/>
    <w:rsid w:val="00803419"/>
    <w:rPr>
      <w:rFonts w:ascii="Times New Roman" w:eastAsia="Times New Roman" w:hAnsi="Times New Roman" w:cs="Times New Roman"/>
      <w:sz w:val="24"/>
      <w:szCs w:val="24"/>
      <w:lang w:eastAsia="lv-LV"/>
    </w:rPr>
  </w:style>
  <w:style w:type="character" w:styleId="PageNumber">
    <w:name w:val="page number"/>
    <w:basedOn w:val="DefaultParagraphFont"/>
    <w:rsid w:val="00803419"/>
  </w:style>
  <w:style w:type="paragraph" w:customStyle="1" w:styleId="naislab">
    <w:name w:val="naislab"/>
    <w:basedOn w:val="Normal"/>
    <w:rsid w:val="00803419"/>
    <w:pPr>
      <w:spacing w:before="75" w:after="75"/>
      <w:jc w:val="right"/>
    </w:pPr>
  </w:style>
  <w:style w:type="paragraph" w:styleId="Footer">
    <w:name w:val="footer"/>
    <w:basedOn w:val="Normal"/>
    <w:link w:val="FooterChar"/>
    <w:uiPriority w:val="99"/>
    <w:rsid w:val="00803419"/>
    <w:pPr>
      <w:tabs>
        <w:tab w:val="center" w:pos="4153"/>
        <w:tab w:val="right" w:pos="8306"/>
      </w:tabs>
    </w:pPr>
  </w:style>
  <w:style w:type="character" w:customStyle="1" w:styleId="FooterChar">
    <w:name w:val="Footer Char"/>
    <w:basedOn w:val="DefaultParagraphFont"/>
    <w:link w:val="Footer"/>
    <w:uiPriority w:val="99"/>
    <w:rsid w:val="00803419"/>
    <w:rPr>
      <w:rFonts w:ascii="Times New Roman" w:eastAsia="Times New Roman" w:hAnsi="Times New Roman" w:cs="Times New Roman"/>
      <w:sz w:val="24"/>
      <w:szCs w:val="24"/>
      <w:lang w:eastAsia="lv-LV"/>
    </w:rPr>
  </w:style>
  <w:style w:type="character" w:styleId="Hyperlink">
    <w:name w:val="Hyperlink"/>
    <w:rsid w:val="00803419"/>
    <w:rPr>
      <w:color w:val="0000FF"/>
      <w:u w:val="single"/>
    </w:rPr>
  </w:style>
  <w:style w:type="paragraph" w:styleId="NoSpacing">
    <w:name w:val="No Spacing"/>
    <w:uiPriority w:val="1"/>
    <w:qFormat/>
    <w:rsid w:val="00803419"/>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803419"/>
    <w:pPr>
      <w:tabs>
        <w:tab w:val="left" w:pos="1260"/>
      </w:tabs>
      <w:jc w:val="both"/>
    </w:pPr>
    <w:rPr>
      <w:sz w:val="28"/>
      <w:lang w:eastAsia="en-US"/>
    </w:rPr>
  </w:style>
  <w:style w:type="character" w:customStyle="1" w:styleId="BodyTextChar">
    <w:name w:val="Body Text Char"/>
    <w:basedOn w:val="DefaultParagraphFont"/>
    <w:link w:val="BodyText"/>
    <w:rsid w:val="00803419"/>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2473B9"/>
    <w:rPr>
      <w:sz w:val="16"/>
      <w:szCs w:val="16"/>
    </w:rPr>
  </w:style>
  <w:style w:type="paragraph" w:styleId="CommentText">
    <w:name w:val="annotation text"/>
    <w:basedOn w:val="Normal"/>
    <w:link w:val="CommentTextChar"/>
    <w:uiPriority w:val="99"/>
    <w:semiHidden/>
    <w:unhideWhenUsed/>
    <w:rsid w:val="002473B9"/>
    <w:rPr>
      <w:sz w:val="20"/>
      <w:szCs w:val="20"/>
    </w:rPr>
  </w:style>
  <w:style w:type="character" w:customStyle="1" w:styleId="CommentTextChar">
    <w:name w:val="Comment Text Char"/>
    <w:basedOn w:val="DefaultParagraphFont"/>
    <w:link w:val="CommentText"/>
    <w:uiPriority w:val="99"/>
    <w:semiHidden/>
    <w:rsid w:val="002473B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473B9"/>
    <w:rPr>
      <w:b/>
      <w:bCs/>
    </w:rPr>
  </w:style>
  <w:style w:type="character" w:customStyle="1" w:styleId="CommentSubjectChar">
    <w:name w:val="Comment Subject Char"/>
    <w:basedOn w:val="CommentTextChar"/>
    <w:link w:val="CommentSubject"/>
    <w:uiPriority w:val="99"/>
    <w:semiHidden/>
    <w:rsid w:val="002473B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473B9"/>
    <w:rPr>
      <w:rFonts w:ascii="Tahoma" w:hAnsi="Tahoma" w:cs="Tahoma"/>
      <w:sz w:val="16"/>
      <w:szCs w:val="16"/>
    </w:rPr>
  </w:style>
  <w:style w:type="character" w:customStyle="1" w:styleId="BalloonTextChar">
    <w:name w:val="Balloon Text Char"/>
    <w:basedOn w:val="DefaultParagraphFont"/>
    <w:link w:val="BalloonText"/>
    <w:uiPriority w:val="99"/>
    <w:semiHidden/>
    <w:rsid w:val="002473B9"/>
    <w:rPr>
      <w:rFonts w:ascii="Tahoma" w:eastAsia="Times New Roman" w:hAnsi="Tahoma" w:cs="Tahoma"/>
      <w:sz w:val="16"/>
      <w:szCs w:val="16"/>
      <w:lang w:eastAsia="lv-LV"/>
    </w:rPr>
  </w:style>
  <w:style w:type="paragraph" w:styleId="ListParagraph">
    <w:name w:val="List Paragraph"/>
    <w:basedOn w:val="Normal"/>
    <w:uiPriority w:val="34"/>
    <w:qFormat/>
    <w:rsid w:val="00104466"/>
    <w:pPr>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39797">
      <w:bodyDiv w:val="1"/>
      <w:marLeft w:val="0"/>
      <w:marRight w:val="0"/>
      <w:marTop w:val="0"/>
      <w:marBottom w:val="0"/>
      <w:divBdr>
        <w:top w:val="none" w:sz="0" w:space="0" w:color="auto"/>
        <w:left w:val="none" w:sz="0" w:space="0" w:color="auto"/>
        <w:bottom w:val="none" w:sz="0" w:space="0" w:color="auto"/>
        <w:right w:val="none" w:sz="0" w:space="0" w:color="auto"/>
      </w:divBdr>
    </w:div>
    <w:div w:id="1430540781">
      <w:bodyDiv w:val="1"/>
      <w:marLeft w:val="0"/>
      <w:marRight w:val="0"/>
      <w:marTop w:val="0"/>
      <w:marBottom w:val="0"/>
      <w:divBdr>
        <w:top w:val="none" w:sz="0" w:space="0" w:color="auto"/>
        <w:left w:val="none" w:sz="0" w:space="0" w:color="auto"/>
        <w:bottom w:val="none" w:sz="0" w:space="0" w:color="auto"/>
        <w:right w:val="none" w:sz="0" w:space="0" w:color="auto"/>
      </w:divBdr>
    </w:div>
    <w:div w:id="1436176163">
      <w:bodyDiv w:val="1"/>
      <w:marLeft w:val="0"/>
      <w:marRight w:val="0"/>
      <w:marTop w:val="0"/>
      <w:marBottom w:val="0"/>
      <w:divBdr>
        <w:top w:val="none" w:sz="0" w:space="0" w:color="auto"/>
        <w:left w:val="none" w:sz="0" w:space="0" w:color="auto"/>
        <w:bottom w:val="none" w:sz="0" w:space="0" w:color="auto"/>
        <w:right w:val="none" w:sz="0" w:space="0" w:color="auto"/>
      </w:divBdr>
    </w:div>
    <w:div w:id="16055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pommere@mfa.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4578</Words>
  <Characters>2610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Pommere</dc:creator>
  <cp:lastModifiedBy>Zane Pommere</cp:lastModifiedBy>
  <cp:revision>4</cp:revision>
  <cp:lastPrinted>2016-04-15T13:51:00Z</cp:lastPrinted>
  <dcterms:created xsi:type="dcterms:W3CDTF">2016-04-15T13:44:00Z</dcterms:created>
  <dcterms:modified xsi:type="dcterms:W3CDTF">2016-04-15T13:51:00Z</dcterms:modified>
</cp:coreProperties>
</file>