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89" w:rsidRDefault="00F77489" w:rsidP="00F77489">
      <w:pPr>
        <w:jc w:val="center"/>
        <w:rPr>
          <w:b/>
          <w:sz w:val="28"/>
          <w:szCs w:val="28"/>
          <w:lang w:eastAsia="lv-LV"/>
        </w:rPr>
      </w:pPr>
      <w:r w:rsidRPr="00097D28">
        <w:rPr>
          <w:b/>
          <w:sz w:val="28"/>
          <w:szCs w:val="28"/>
        </w:rPr>
        <w:t>Informatīvais ziņojums „</w:t>
      </w:r>
      <w:r w:rsidRPr="003D3FF5">
        <w:rPr>
          <w:b/>
          <w:sz w:val="28"/>
          <w:szCs w:val="28"/>
        </w:rPr>
        <w:t>Par Ministru kabineta 2012.gada 6.marta sēdes protokollēmum</w:t>
      </w:r>
      <w:r>
        <w:rPr>
          <w:b/>
          <w:sz w:val="28"/>
          <w:szCs w:val="28"/>
        </w:rPr>
        <w:t>a</w:t>
      </w:r>
      <w:r w:rsidRPr="003D3FF5">
        <w:rPr>
          <w:b/>
          <w:sz w:val="28"/>
          <w:szCs w:val="28"/>
        </w:rPr>
        <w:t xml:space="preserve"> (prot. Nr.12 25.§) „Informatīvais ziņojums "Par vadlīnijām būvniecības izmaksu indeksācijai"” 7.punktā dotā uzdevuma aktualitāti</w:t>
      </w:r>
      <w:r w:rsidRPr="00097D28">
        <w:rPr>
          <w:b/>
          <w:sz w:val="28"/>
          <w:szCs w:val="28"/>
          <w:lang w:eastAsia="lv-LV"/>
        </w:rPr>
        <w:t>”</w:t>
      </w:r>
    </w:p>
    <w:p w:rsidR="00F77489" w:rsidRDefault="00F77489" w:rsidP="00F77489">
      <w:pPr>
        <w:jc w:val="center"/>
        <w:rPr>
          <w:b/>
          <w:sz w:val="28"/>
          <w:szCs w:val="28"/>
          <w:lang w:eastAsia="lv-LV"/>
        </w:rPr>
      </w:pPr>
    </w:p>
    <w:p w:rsidR="00F77489" w:rsidRPr="00E37A1D" w:rsidRDefault="009B1A38" w:rsidP="00F77489">
      <w:pPr>
        <w:ind w:firstLine="720"/>
        <w:jc w:val="both"/>
        <w:rPr>
          <w:sz w:val="28"/>
          <w:szCs w:val="28"/>
          <w:lang w:eastAsia="lv-LV"/>
        </w:rPr>
      </w:pPr>
      <w:r w:rsidRPr="00E37A1D">
        <w:rPr>
          <w:sz w:val="28"/>
          <w:szCs w:val="28"/>
          <w:lang w:eastAsia="lv-LV"/>
        </w:rPr>
        <w:t xml:space="preserve">Ministru kabineta 2012.gada 6.marta sēdes protokollēmuma (prot. Nr.12 25.§) „Informatīvais ziņojums "Par vadlīnijām būvniecības izmaksu indeksācijai"” 7.punktā dotais uzdevums ir: „Ekonomikas ministrijai sadarbībā ar Finanšu ministriju katru gadu līdz 30.novembrim noteikt indeksēšanas slieksni būvizmaksu indeksiem, kurus piemēro nākamā gadā </w:t>
      </w:r>
      <w:r w:rsidR="0051011B">
        <w:rPr>
          <w:sz w:val="28"/>
          <w:szCs w:val="28"/>
          <w:lang w:eastAsia="lv-LV"/>
        </w:rPr>
        <w:t xml:space="preserve">izsludinātiem konkursiem un </w:t>
      </w:r>
      <w:r w:rsidRPr="00E37A1D">
        <w:rPr>
          <w:sz w:val="28"/>
          <w:szCs w:val="28"/>
          <w:lang w:eastAsia="lv-LV"/>
        </w:rPr>
        <w:t>noslēgtiem līgumiem”.</w:t>
      </w:r>
    </w:p>
    <w:p w:rsidR="009B1A38" w:rsidRPr="00F77489" w:rsidRDefault="009B1A38" w:rsidP="00F77489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Uzdevuma izpildei katru gadu tiek sag</w:t>
      </w:r>
      <w:r w:rsidR="002A554E">
        <w:rPr>
          <w:sz w:val="28"/>
          <w:szCs w:val="28"/>
          <w:lang w:eastAsia="lv-LV"/>
        </w:rPr>
        <w:t>a</w:t>
      </w:r>
      <w:r>
        <w:rPr>
          <w:sz w:val="28"/>
          <w:szCs w:val="28"/>
          <w:lang w:eastAsia="lv-LV"/>
        </w:rPr>
        <w:t xml:space="preserve">tavots atbilstošs informatīvais ziņojums. Kā pēdējais Ministru kabinetā </w:t>
      </w:r>
      <w:r w:rsidRPr="00E37A1D">
        <w:rPr>
          <w:sz w:val="28"/>
          <w:szCs w:val="28"/>
          <w:lang w:eastAsia="lv-LV"/>
        </w:rPr>
        <w:t xml:space="preserve">2015.gada 22.decembrī tika apstiprināts Informatīvais ziņojums "Par būvniecības izmaksu indeksēšanas slieksni 2016.gadā noslēgtiem līgumiem". </w:t>
      </w:r>
    </w:p>
    <w:p w:rsidR="009B1A38" w:rsidRPr="00E37A1D" w:rsidRDefault="009B1A38" w:rsidP="00E37A1D">
      <w:pPr>
        <w:ind w:firstLine="720"/>
        <w:jc w:val="both"/>
        <w:rPr>
          <w:sz w:val="28"/>
          <w:szCs w:val="28"/>
          <w:lang w:eastAsia="lv-LV"/>
        </w:rPr>
      </w:pPr>
      <w:r w:rsidRPr="00E37A1D">
        <w:rPr>
          <w:sz w:val="28"/>
          <w:szCs w:val="28"/>
          <w:lang w:eastAsia="lv-LV"/>
        </w:rPr>
        <w:t>Šis ir jau ceturtais izstrādātais informatīvais ziņojums, ar kuru tiek noteikts būvniecības izmaksu izmaiņu slieksnis, kuru pārsniedzot var indeksēt līgumā noteiktās izmaksas.</w:t>
      </w:r>
      <w:r w:rsidR="002A554E" w:rsidRPr="00E37A1D">
        <w:rPr>
          <w:sz w:val="28"/>
          <w:szCs w:val="28"/>
          <w:lang w:eastAsia="lv-LV"/>
        </w:rPr>
        <w:t xml:space="preserve"> Kopš izstrādes sākuma būvniecības darbu līgumiem indeksēšanas slieksnis visiem būvizmaksu ceturkšņa indeksiem ir palicis nemainīgs, tas tika aprēķināts 2,41% līmenī (vidējās būvniecības izmaksu izmaiņas ceturksnī pret iepriekšējo ceturksni).</w:t>
      </w:r>
    </w:p>
    <w:p w:rsidR="00BA123A" w:rsidRPr="00E37A1D" w:rsidRDefault="002A554E" w:rsidP="00E37A1D">
      <w:pPr>
        <w:ind w:firstLine="720"/>
        <w:jc w:val="both"/>
        <w:rPr>
          <w:sz w:val="28"/>
          <w:szCs w:val="28"/>
          <w:lang w:eastAsia="lv-LV"/>
        </w:rPr>
      </w:pPr>
      <w:r w:rsidRPr="00E37A1D">
        <w:rPr>
          <w:sz w:val="28"/>
          <w:szCs w:val="28"/>
          <w:lang w:eastAsia="lv-LV"/>
        </w:rPr>
        <w:t xml:space="preserve">Šajā laikā </w:t>
      </w:r>
      <w:r w:rsidR="00BA123A" w:rsidRPr="00E37A1D">
        <w:rPr>
          <w:sz w:val="28"/>
          <w:szCs w:val="28"/>
          <w:lang w:eastAsia="lv-LV"/>
        </w:rPr>
        <w:t>būvniecības izmaksu f</w:t>
      </w:r>
      <w:r w:rsidRPr="00E37A1D">
        <w:rPr>
          <w:sz w:val="28"/>
          <w:szCs w:val="28"/>
          <w:lang w:eastAsia="lv-LV"/>
        </w:rPr>
        <w:t>aktiskais pieaugums būtiski atpaliek</w:t>
      </w:r>
      <w:r w:rsidR="00BA123A" w:rsidRPr="00E37A1D">
        <w:rPr>
          <w:sz w:val="28"/>
          <w:szCs w:val="28"/>
          <w:lang w:eastAsia="lv-LV"/>
        </w:rPr>
        <w:t xml:space="preserve"> no sliekšņa vērtības</w:t>
      </w:r>
      <w:r w:rsidRPr="00E37A1D">
        <w:rPr>
          <w:sz w:val="28"/>
          <w:szCs w:val="28"/>
          <w:lang w:eastAsia="lv-LV"/>
        </w:rPr>
        <w:t>, kā arī</w:t>
      </w:r>
      <w:r w:rsidR="00BA123A" w:rsidRPr="00E37A1D">
        <w:rPr>
          <w:sz w:val="28"/>
          <w:szCs w:val="28"/>
          <w:lang w:eastAsia="lv-LV"/>
        </w:rPr>
        <w:t xml:space="preserve"> prognozējamās cenu izmaiņas turpmākiem diviem gadiem ir zemā līmenī. </w:t>
      </w:r>
      <w:r w:rsidRPr="00E37A1D">
        <w:rPr>
          <w:sz w:val="28"/>
          <w:szCs w:val="28"/>
          <w:lang w:eastAsia="lv-LV"/>
        </w:rPr>
        <w:t xml:space="preserve">Līdz šim nav bijusi nepieciešamība </w:t>
      </w:r>
      <w:r w:rsidR="00BA123A" w:rsidRPr="00E37A1D">
        <w:rPr>
          <w:sz w:val="28"/>
          <w:szCs w:val="28"/>
          <w:lang w:eastAsia="lv-LV"/>
        </w:rPr>
        <w:t>noteikt citu sliek</w:t>
      </w:r>
      <w:r w:rsidRPr="00E37A1D">
        <w:rPr>
          <w:sz w:val="28"/>
          <w:szCs w:val="28"/>
          <w:lang w:eastAsia="lv-LV"/>
        </w:rPr>
        <w:t>šņa lielumu</w:t>
      </w:r>
      <w:r w:rsidR="00BA123A" w:rsidRPr="00E37A1D">
        <w:rPr>
          <w:sz w:val="28"/>
          <w:szCs w:val="28"/>
          <w:lang w:eastAsia="lv-LV"/>
        </w:rPr>
        <w:t>.</w:t>
      </w:r>
    </w:p>
    <w:p w:rsidR="00BA123A" w:rsidRPr="00E37A1D" w:rsidRDefault="002A554E" w:rsidP="00E37A1D">
      <w:pPr>
        <w:ind w:firstLine="720"/>
        <w:jc w:val="both"/>
        <w:rPr>
          <w:sz w:val="28"/>
          <w:szCs w:val="28"/>
          <w:lang w:eastAsia="lv-LV"/>
        </w:rPr>
      </w:pPr>
      <w:r w:rsidRPr="00E37A1D">
        <w:rPr>
          <w:sz w:val="28"/>
          <w:szCs w:val="28"/>
          <w:lang w:eastAsia="lv-LV"/>
        </w:rPr>
        <w:t>Ministru kabinets</w:t>
      </w:r>
      <w:r w:rsidR="00E37A1D">
        <w:rPr>
          <w:sz w:val="28"/>
          <w:szCs w:val="28"/>
          <w:lang w:eastAsia="lv-LV"/>
        </w:rPr>
        <w:t>,</w:t>
      </w:r>
      <w:r w:rsidRPr="00E37A1D">
        <w:rPr>
          <w:sz w:val="28"/>
          <w:szCs w:val="28"/>
          <w:lang w:eastAsia="lv-LV"/>
        </w:rPr>
        <w:t xml:space="preserve"> katru gadu apstiprinot informatīvo ziņojumu</w:t>
      </w:r>
      <w:r w:rsidR="00E37A1D">
        <w:rPr>
          <w:sz w:val="28"/>
          <w:szCs w:val="28"/>
          <w:lang w:eastAsia="lv-LV"/>
        </w:rPr>
        <w:t>,</w:t>
      </w:r>
      <w:r w:rsidRPr="00E37A1D">
        <w:rPr>
          <w:sz w:val="28"/>
          <w:szCs w:val="28"/>
          <w:lang w:eastAsia="lv-LV"/>
        </w:rPr>
        <w:t xml:space="preserve"> uzdot valsts pārvaldes iestādēm, slēdzot publiski finansētus būvniecības līgumus, nodrošināt norādītā indeksēšanas sliekšņa piemērošanu, ja tas attiecināms. Savukārt </w:t>
      </w:r>
      <w:r w:rsidR="00415DD4">
        <w:rPr>
          <w:sz w:val="28"/>
          <w:szCs w:val="28"/>
          <w:lang w:eastAsia="lv-LV"/>
        </w:rPr>
        <w:t xml:space="preserve">tālākminētie subjekti var pielietot to brīvprātīgi. Ministru kabinets </w:t>
      </w:r>
      <w:r w:rsidRPr="00E37A1D">
        <w:rPr>
          <w:sz w:val="28"/>
          <w:szCs w:val="28"/>
          <w:lang w:eastAsia="lv-LV"/>
        </w:rPr>
        <w:t>pašvaldības un citas atvasinātās publiskās personas</w:t>
      </w:r>
      <w:r w:rsidR="00E37A1D">
        <w:rPr>
          <w:sz w:val="28"/>
          <w:szCs w:val="28"/>
          <w:lang w:eastAsia="lv-LV"/>
        </w:rPr>
        <w:t xml:space="preserve"> </w:t>
      </w:r>
      <w:r w:rsidR="00415DD4">
        <w:rPr>
          <w:sz w:val="28"/>
          <w:szCs w:val="28"/>
          <w:lang w:eastAsia="lv-LV"/>
        </w:rPr>
        <w:t>aicin</w:t>
      </w:r>
      <w:r w:rsidRPr="00E37A1D">
        <w:rPr>
          <w:sz w:val="28"/>
          <w:szCs w:val="28"/>
          <w:lang w:eastAsia="lv-LV"/>
        </w:rPr>
        <w:t>a, slēdzot publiski finansētus būvniecības līgumus, nodrošināt informatīvajā ziņojumā norādītā indeksēšanas sliekšņa piemērošanu.</w:t>
      </w:r>
    </w:p>
    <w:p w:rsidR="001C3196" w:rsidRPr="00E37A1D" w:rsidRDefault="000C44DD" w:rsidP="00E37A1D">
      <w:pPr>
        <w:ind w:firstLine="720"/>
        <w:jc w:val="both"/>
        <w:rPr>
          <w:sz w:val="28"/>
          <w:szCs w:val="28"/>
          <w:lang w:eastAsia="lv-LV"/>
        </w:rPr>
      </w:pPr>
      <w:r w:rsidRPr="00E37A1D">
        <w:rPr>
          <w:sz w:val="28"/>
          <w:szCs w:val="28"/>
          <w:lang w:eastAsia="lv-LV"/>
        </w:rPr>
        <w:t>2015.gada oktobrī Ekonomikas ministrija apzināja situāciju par līdzšinējo būvniecības izmaksu indeksēšanas sliekšņa izmantošanu. Visām ministrijām</w:t>
      </w:r>
      <w:r w:rsidR="001C3196" w:rsidRPr="00E37A1D">
        <w:rPr>
          <w:sz w:val="28"/>
          <w:szCs w:val="28"/>
          <w:lang w:eastAsia="lv-LV"/>
        </w:rPr>
        <w:t xml:space="preserve"> (arī par to padotības iestādēm)</w:t>
      </w:r>
      <w:r w:rsidRPr="00E37A1D">
        <w:rPr>
          <w:sz w:val="28"/>
          <w:szCs w:val="28"/>
          <w:lang w:eastAsia="lv-LV"/>
        </w:rPr>
        <w:t xml:space="preserve"> un pārējām valsts pārvaldes iestādēm, kā arī pašvaldībām (ar Latvijas Pašvaldību savienības starpniecību) tika lūgts sniegt informāciju par būvniecības līgumiem, kuros ir iestrādāts būvniecības izmaksu indeksācijas mehānisms ar slieksni. </w:t>
      </w:r>
      <w:r w:rsidR="001C3196" w:rsidRPr="00E37A1D">
        <w:rPr>
          <w:sz w:val="28"/>
          <w:szCs w:val="28"/>
          <w:lang w:eastAsia="lv-LV"/>
        </w:rPr>
        <w:t xml:space="preserve">Tika lūgts informēt par kopējo būvniecības līgumu skaitu gadu griezumā, kuros ir iestrādāts būvniecības izmaksu indeksācijas mehānisms ar slieksni, kā arī </w:t>
      </w:r>
      <w:r w:rsidR="00F463DF">
        <w:rPr>
          <w:sz w:val="28"/>
          <w:szCs w:val="28"/>
          <w:lang w:eastAsia="lv-LV"/>
        </w:rPr>
        <w:t xml:space="preserve">sagatavot </w:t>
      </w:r>
      <w:r w:rsidR="001C3196" w:rsidRPr="00E37A1D">
        <w:rPr>
          <w:sz w:val="28"/>
          <w:szCs w:val="28"/>
          <w:lang w:eastAsia="lv-LV"/>
        </w:rPr>
        <w:t>detalizētāk</w:t>
      </w:r>
      <w:r w:rsidR="00F463DF">
        <w:rPr>
          <w:sz w:val="28"/>
          <w:szCs w:val="28"/>
          <w:lang w:eastAsia="lv-LV"/>
        </w:rPr>
        <w:t>u</w:t>
      </w:r>
      <w:r w:rsidR="001C3196" w:rsidRPr="00E37A1D">
        <w:rPr>
          <w:sz w:val="28"/>
          <w:szCs w:val="28"/>
          <w:lang w:eastAsia="lv-LV"/>
        </w:rPr>
        <w:t xml:space="preserve"> informācij</w:t>
      </w:r>
      <w:r w:rsidR="00F463DF">
        <w:rPr>
          <w:sz w:val="28"/>
          <w:szCs w:val="28"/>
          <w:lang w:eastAsia="lv-LV"/>
        </w:rPr>
        <w:t>u</w:t>
      </w:r>
      <w:r w:rsidR="001C3196" w:rsidRPr="00E37A1D">
        <w:rPr>
          <w:sz w:val="28"/>
          <w:szCs w:val="28"/>
          <w:lang w:eastAsia="lv-LV"/>
        </w:rPr>
        <w:t xml:space="preserve"> par šiem līgumiem un indeksēšanas pielietošanu praksē, ja tāda bijusi.</w:t>
      </w:r>
    </w:p>
    <w:p w:rsidR="00F463DF" w:rsidRDefault="00372838" w:rsidP="00E37A1D">
      <w:pPr>
        <w:ind w:firstLine="720"/>
        <w:jc w:val="both"/>
        <w:rPr>
          <w:sz w:val="28"/>
          <w:szCs w:val="28"/>
          <w:lang w:eastAsia="lv-LV"/>
        </w:rPr>
      </w:pPr>
      <w:r w:rsidRPr="00E37A1D">
        <w:rPr>
          <w:sz w:val="28"/>
          <w:szCs w:val="28"/>
          <w:lang w:eastAsia="lv-LV"/>
        </w:rPr>
        <w:t>Saņemtā</w:t>
      </w:r>
      <w:r w:rsidR="00ED41D7">
        <w:rPr>
          <w:sz w:val="28"/>
          <w:szCs w:val="28"/>
          <w:lang w:eastAsia="lv-LV"/>
        </w:rPr>
        <w:t xml:space="preserve"> un</w:t>
      </w:r>
      <w:r w:rsidR="00ED41D7" w:rsidRPr="00E37A1D">
        <w:rPr>
          <w:sz w:val="28"/>
          <w:szCs w:val="28"/>
          <w:lang w:eastAsia="lv-LV"/>
        </w:rPr>
        <w:t xml:space="preserve"> </w:t>
      </w:r>
      <w:r w:rsidRPr="00E37A1D">
        <w:rPr>
          <w:sz w:val="28"/>
          <w:szCs w:val="28"/>
          <w:lang w:eastAsia="lv-LV"/>
        </w:rPr>
        <w:t>apkopotā informācija liecina</w:t>
      </w:r>
      <w:r w:rsidR="00ED41D7">
        <w:rPr>
          <w:sz w:val="28"/>
          <w:szCs w:val="28"/>
          <w:lang w:eastAsia="lv-LV"/>
        </w:rPr>
        <w:t>, ka</w:t>
      </w:r>
      <w:r w:rsidRPr="00E37A1D">
        <w:rPr>
          <w:sz w:val="28"/>
          <w:szCs w:val="28"/>
          <w:lang w:eastAsia="lv-LV"/>
        </w:rPr>
        <w:t xml:space="preserve"> </w:t>
      </w:r>
      <w:r w:rsidR="00ED41D7">
        <w:rPr>
          <w:sz w:val="28"/>
          <w:szCs w:val="28"/>
          <w:lang w:eastAsia="lv-LV"/>
        </w:rPr>
        <w:t>m</w:t>
      </w:r>
      <w:r w:rsidR="00FB6D45" w:rsidRPr="00E37A1D">
        <w:rPr>
          <w:sz w:val="28"/>
          <w:szCs w:val="28"/>
          <w:lang w:eastAsia="lv-LV"/>
        </w:rPr>
        <w:t xml:space="preserve">inistrijas un citas valsts pārvaldes iestādes četru gadu laikā nav iestrādājušas savos būvniecības līgumos </w:t>
      </w:r>
      <w:r w:rsidR="00FB6D45" w:rsidRPr="00E37A1D">
        <w:rPr>
          <w:sz w:val="28"/>
          <w:szCs w:val="28"/>
          <w:lang w:eastAsia="lv-LV"/>
        </w:rPr>
        <w:lastRenderedPageBreak/>
        <w:t xml:space="preserve">izmaksu indeksācijas mehānismu ar Ekonomikas ministrijas aprēķināto slieksni. </w:t>
      </w:r>
      <w:r w:rsidR="00415DD4">
        <w:rPr>
          <w:sz w:val="28"/>
          <w:szCs w:val="28"/>
        </w:rPr>
        <w:t>Latvijas Pašvaldību savienība sniedza atbildi, ka tās rīcībā nav datu par</w:t>
      </w:r>
      <w:r w:rsidR="00415DD4" w:rsidRPr="001037F6">
        <w:rPr>
          <w:sz w:val="28"/>
          <w:szCs w:val="28"/>
        </w:rPr>
        <w:t xml:space="preserve"> indeks</w:t>
      </w:r>
      <w:r w:rsidR="00415DD4" w:rsidRPr="001037F6">
        <w:rPr>
          <w:rFonts w:hint="eastAsia"/>
          <w:sz w:val="28"/>
          <w:szCs w:val="28"/>
        </w:rPr>
        <w:t>ēš</w:t>
      </w:r>
      <w:r w:rsidR="00415DD4">
        <w:rPr>
          <w:sz w:val="28"/>
          <w:szCs w:val="28"/>
        </w:rPr>
        <w:t xml:space="preserve">anas sliekšņu </w:t>
      </w:r>
      <w:r w:rsidR="004011B4">
        <w:rPr>
          <w:sz w:val="28"/>
          <w:szCs w:val="28"/>
        </w:rPr>
        <w:t>izmantošanu.</w:t>
      </w:r>
      <w:r w:rsidR="00415DD4">
        <w:rPr>
          <w:sz w:val="28"/>
          <w:szCs w:val="28"/>
          <w:lang w:eastAsia="lv-LV"/>
        </w:rPr>
        <w:t xml:space="preserve"> </w:t>
      </w:r>
    </w:p>
    <w:p w:rsidR="00F463DF" w:rsidRPr="00F463DF" w:rsidRDefault="00372838" w:rsidP="00E37A1D">
      <w:pPr>
        <w:ind w:firstLine="720"/>
        <w:jc w:val="both"/>
        <w:rPr>
          <w:sz w:val="28"/>
          <w:szCs w:val="28"/>
          <w:lang w:eastAsia="lv-LV"/>
        </w:rPr>
      </w:pPr>
      <w:r w:rsidRPr="00F463DF">
        <w:rPr>
          <w:sz w:val="28"/>
          <w:szCs w:val="28"/>
          <w:lang w:eastAsia="lv-LV"/>
        </w:rPr>
        <w:t xml:space="preserve">Tātad </w:t>
      </w:r>
      <w:r w:rsidR="00F463DF" w:rsidRPr="00F463DF">
        <w:rPr>
          <w:sz w:val="28"/>
          <w:szCs w:val="28"/>
          <w:lang w:eastAsia="lv-LV"/>
        </w:rPr>
        <w:t xml:space="preserve">noteiktajā laika periodā institūcijām, kurām </w:t>
      </w:r>
      <w:r w:rsidRPr="00F463DF">
        <w:rPr>
          <w:sz w:val="28"/>
          <w:szCs w:val="28"/>
          <w:lang w:eastAsia="lv-LV"/>
        </w:rPr>
        <w:t>Ekonomikas ministrijas sagatavotā</w:t>
      </w:r>
      <w:r w:rsidR="00F463DF" w:rsidRPr="00F463DF">
        <w:rPr>
          <w:sz w:val="28"/>
          <w:szCs w:val="28"/>
          <w:lang w:eastAsia="lv-LV"/>
        </w:rPr>
        <w:t>s</w:t>
      </w:r>
      <w:r w:rsidRPr="00F463DF">
        <w:rPr>
          <w:sz w:val="28"/>
          <w:szCs w:val="28"/>
          <w:lang w:eastAsia="lv-LV"/>
        </w:rPr>
        <w:t xml:space="preserve"> informācija</w:t>
      </w:r>
      <w:r w:rsidR="00F463DF" w:rsidRPr="00F463DF">
        <w:rPr>
          <w:sz w:val="28"/>
          <w:szCs w:val="28"/>
          <w:lang w:eastAsia="lv-LV"/>
        </w:rPr>
        <w:t>s</w:t>
      </w:r>
      <w:r w:rsidRPr="00F463DF">
        <w:rPr>
          <w:sz w:val="28"/>
          <w:szCs w:val="28"/>
          <w:lang w:eastAsia="lv-LV"/>
        </w:rPr>
        <w:t xml:space="preserve"> </w:t>
      </w:r>
      <w:r w:rsidR="005C5025" w:rsidRPr="00F463DF">
        <w:rPr>
          <w:sz w:val="28"/>
          <w:szCs w:val="28"/>
          <w:lang w:eastAsia="lv-LV"/>
        </w:rPr>
        <w:t>pielie</w:t>
      </w:r>
      <w:r w:rsidR="00F463DF" w:rsidRPr="00F463DF">
        <w:rPr>
          <w:sz w:val="28"/>
          <w:szCs w:val="28"/>
          <w:lang w:eastAsia="lv-LV"/>
        </w:rPr>
        <w:t>tošana ir saistoša, nav bijusi nepieciešamība to izmantot</w:t>
      </w:r>
      <w:r w:rsidRPr="00F463DF">
        <w:rPr>
          <w:sz w:val="28"/>
          <w:szCs w:val="28"/>
          <w:lang w:eastAsia="lv-LV"/>
        </w:rPr>
        <w:t xml:space="preserve">. Ievērojot to, uzskatām, ka turpmāka būvniecības izmaksu indeksēšanas sliekšņa noteikšana nav lietderīga. </w:t>
      </w:r>
    </w:p>
    <w:p w:rsidR="002A554E" w:rsidRPr="00E37A1D" w:rsidRDefault="00372838" w:rsidP="00E37A1D">
      <w:pPr>
        <w:ind w:firstLine="720"/>
        <w:jc w:val="both"/>
        <w:rPr>
          <w:sz w:val="28"/>
          <w:szCs w:val="28"/>
          <w:lang w:eastAsia="lv-LV"/>
        </w:rPr>
      </w:pPr>
      <w:r w:rsidRPr="00E37A1D">
        <w:rPr>
          <w:sz w:val="28"/>
          <w:szCs w:val="28"/>
          <w:lang w:eastAsia="lv-LV"/>
        </w:rPr>
        <w:t>Atbilstoši Ministru kabineta 2012.gada 6.marta sēdes protokollēmuma (prot. Nr.12 25.§) „Informatīvais ziņojums "Par vadlīnijām būvniecības izmaksu indeksācijai"” 7.punktā dotais uzdevums atzīstams par aktualitāti zaudējušu.</w:t>
      </w:r>
    </w:p>
    <w:p w:rsidR="00E37A1D" w:rsidRDefault="00E37A1D" w:rsidP="00BA123A">
      <w:pPr>
        <w:ind w:firstLine="567"/>
        <w:jc w:val="both"/>
        <w:rPr>
          <w:b/>
          <w:sz w:val="28"/>
          <w:szCs w:val="28"/>
        </w:rPr>
      </w:pPr>
    </w:p>
    <w:p w:rsidR="00E37A1D" w:rsidRDefault="00E37A1D" w:rsidP="00BA123A">
      <w:pPr>
        <w:ind w:firstLine="567"/>
        <w:jc w:val="both"/>
        <w:rPr>
          <w:b/>
          <w:sz w:val="28"/>
          <w:szCs w:val="28"/>
        </w:rPr>
      </w:pPr>
    </w:p>
    <w:p w:rsidR="0051011B" w:rsidRDefault="0051011B" w:rsidP="0051011B">
      <w:pPr>
        <w:tabs>
          <w:tab w:val="right" w:pos="8222"/>
        </w:tabs>
        <w:rPr>
          <w:bCs/>
          <w:sz w:val="28"/>
          <w:szCs w:val="28"/>
        </w:rPr>
      </w:pPr>
      <w:r w:rsidRPr="001B6BA3">
        <w:rPr>
          <w:bCs/>
          <w:sz w:val="28"/>
          <w:szCs w:val="28"/>
        </w:rPr>
        <w:t>Ministru prezidenta biedrs,</w:t>
      </w:r>
    </w:p>
    <w:p w:rsidR="00E37A1D" w:rsidRPr="001A5E3B" w:rsidRDefault="0051011B" w:rsidP="00B05EE9">
      <w:pPr>
        <w:tabs>
          <w:tab w:val="right" w:pos="8931"/>
        </w:tabs>
        <w:rPr>
          <w:sz w:val="28"/>
        </w:rPr>
      </w:pPr>
      <w:r>
        <w:rPr>
          <w:sz w:val="28"/>
        </w:rPr>
        <w:t>e</w:t>
      </w:r>
      <w:r w:rsidRPr="001A5E3B">
        <w:rPr>
          <w:sz w:val="28"/>
        </w:rPr>
        <w:t>konomikas ministr</w:t>
      </w:r>
      <w:r>
        <w:rPr>
          <w:sz w:val="28"/>
        </w:rPr>
        <w:t>s</w:t>
      </w:r>
      <w:r w:rsidRPr="001A5E3B">
        <w:rPr>
          <w:sz w:val="28"/>
        </w:rPr>
        <w:t xml:space="preserve"> </w:t>
      </w:r>
      <w:r w:rsidR="00E37A1D" w:rsidRPr="001A5E3B">
        <w:rPr>
          <w:sz w:val="28"/>
        </w:rPr>
        <w:tab/>
      </w:r>
      <w:r w:rsidR="00E37A1D">
        <w:rPr>
          <w:sz w:val="28"/>
        </w:rPr>
        <w:t>A.Ašeradens</w:t>
      </w:r>
    </w:p>
    <w:p w:rsidR="00E37A1D" w:rsidRDefault="00E37A1D" w:rsidP="00E37A1D">
      <w:pPr>
        <w:tabs>
          <w:tab w:val="right" w:pos="8222"/>
        </w:tabs>
        <w:rPr>
          <w:sz w:val="28"/>
        </w:rPr>
      </w:pPr>
    </w:p>
    <w:p w:rsidR="00E37A1D" w:rsidRDefault="00E37A1D" w:rsidP="00E37A1D">
      <w:pPr>
        <w:tabs>
          <w:tab w:val="right" w:pos="8222"/>
        </w:tabs>
        <w:rPr>
          <w:sz w:val="28"/>
        </w:rPr>
      </w:pPr>
    </w:p>
    <w:p w:rsidR="00E37A1D" w:rsidRPr="001A5E3B" w:rsidRDefault="00E37A1D" w:rsidP="00920BD2">
      <w:pPr>
        <w:tabs>
          <w:tab w:val="right" w:pos="8931"/>
        </w:tabs>
        <w:rPr>
          <w:sz w:val="28"/>
        </w:rPr>
      </w:pPr>
      <w:r>
        <w:rPr>
          <w:sz w:val="28"/>
        </w:rPr>
        <w:t xml:space="preserve">Vīza: </w:t>
      </w:r>
      <w:r w:rsidRPr="001A5E3B">
        <w:rPr>
          <w:sz w:val="28"/>
        </w:rPr>
        <w:t>Valsts sekretār</w:t>
      </w:r>
      <w:r w:rsidR="0051011B">
        <w:rPr>
          <w:sz w:val="28"/>
        </w:rPr>
        <w:t>a pienākumu izpildītāja</w:t>
      </w:r>
      <w:r>
        <w:rPr>
          <w:sz w:val="28"/>
        </w:rPr>
        <w:t xml:space="preserve"> </w:t>
      </w:r>
      <w:r>
        <w:rPr>
          <w:sz w:val="28"/>
        </w:rPr>
        <w:br/>
        <w:t>valsts sekretāra vietnie</w:t>
      </w:r>
      <w:r w:rsidR="0051011B">
        <w:rPr>
          <w:sz w:val="28"/>
        </w:rPr>
        <w:t>ce</w:t>
      </w:r>
      <w:r w:rsidRPr="001A5E3B">
        <w:rPr>
          <w:sz w:val="28"/>
        </w:rPr>
        <w:tab/>
        <w:t>R.</w:t>
      </w:r>
      <w:r w:rsidR="0051011B">
        <w:rPr>
          <w:sz w:val="28"/>
        </w:rPr>
        <w:t>Šņuka</w:t>
      </w:r>
    </w:p>
    <w:p w:rsidR="00E37A1D" w:rsidRDefault="00E37A1D" w:rsidP="00E37A1D">
      <w:pPr>
        <w:jc w:val="both"/>
      </w:pPr>
    </w:p>
    <w:p w:rsidR="00E37A1D" w:rsidRDefault="00E37A1D" w:rsidP="00E37A1D">
      <w:pPr>
        <w:jc w:val="both"/>
      </w:pPr>
    </w:p>
    <w:p w:rsidR="00E37A1D" w:rsidRDefault="00E37A1D" w:rsidP="00E37A1D"/>
    <w:p w:rsidR="00E37A1D" w:rsidRPr="0077389F" w:rsidRDefault="0051011B" w:rsidP="00E37A1D">
      <w:pPr>
        <w:rPr>
          <w:sz w:val="20"/>
        </w:rPr>
      </w:pPr>
      <w:r>
        <w:rPr>
          <w:sz w:val="20"/>
        </w:rPr>
        <w:t>2</w:t>
      </w:r>
      <w:r w:rsidR="00E37A1D">
        <w:rPr>
          <w:sz w:val="20"/>
        </w:rPr>
        <w:t>2</w:t>
      </w:r>
      <w:r>
        <w:rPr>
          <w:sz w:val="20"/>
        </w:rPr>
        <w:t>.03</w:t>
      </w:r>
      <w:r w:rsidR="00E37A1D">
        <w:rPr>
          <w:sz w:val="20"/>
        </w:rPr>
        <w:t>.2016.</w:t>
      </w:r>
    </w:p>
    <w:bookmarkStart w:id="0" w:name="_GoBack"/>
    <w:bookmarkEnd w:id="0"/>
    <w:p w:rsidR="00E37A1D" w:rsidRPr="0077389F" w:rsidRDefault="00E37A1D" w:rsidP="00E37A1D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4B7129">
        <w:rPr>
          <w:noProof/>
          <w:sz w:val="20"/>
        </w:rPr>
        <w:t>426</w:t>
      </w:r>
      <w:r>
        <w:rPr>
          <w:sz w:val="20"/>
        </w:rPr>
        <w:fldChar w:fldCharType="end"/>
      </w:r>
    </w:p>
    <w:p w:rsidR="00E37A1D" w:rsidRPr="0077389F" w:rsidRDefault="00E37A1D" w:rsidP="00E37A1D">
      <w:pPr>
        <w:rPr>
          <w:sz w:val="20"/>
        </w:rPr>
      </w:pPr>
      <w:r>
        <w:rPr>
          <w:sz w:val="20"/>
        </w:rPr>
        <w:t>Ušpelis</w:t>
      </w:r>
    </w:p>
    <w:p w:rsidR="00E37A1D" w:rsidRDefault="00E37A1D" w:rsidP="00E37A1D">
      <w:pPr>
        <w:rPr>
          <w:sz w:val="20"/>
        </w:rPr>
      </w:pPr>
      <w:r>
        <w:rPr>
          <w:sz w:val="20"/>
        </w:rPr>
        <w:t xml:space="preserve">67013164, </w:t>
      </w:r>
      <w:hyperlink r:id="rId7" w:history="1">
        <w:r w:rsidRPr="0030208F">
          <w:rPr>
            <w:rStyle w:val="Hyperlink"/>
            <w:sz w:val="20"/>
          </w:rPr>
          <w:t>Janis.Uspelis@em.gov.lv</w:t>
        </w:r>
      </w:hyperlink>
    </w:p>
    <w:sectPr w:rsidR="00E37A1D" w:rsidSect="00E37A1D">
      <w:headerReference w:type="default" r:id="rId8"/>
      <w:footerReference w:type="default" r:id="rId9"/>
      <w:footerReference w:type="first" r:id="rId10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8F" w:rsidRDefault="00833A8F" w:rsidP="00006B97">
      <w:r>
        <w:separator/>
      </w:r>
    </w:p>
  </w:endnote>
  <w:endnote w:type="continuationSeparator" w:id="0">
    <w:p w:rsidR="00833A8F" w:rsidRDefault="00833A8F" w:rsidP="000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1D" w:rsidRPr="00E37A1D" w:rsidRDefault="00B05EE9" w:rsidP="00E37A1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EMZino_220316.docx</w:t>
    </w:r>
    <w:r>
      <w:rPr>
        <w:sz w:val="20"/>
        <w:szCs w:val="20"/>
      </w:rPr>
      <w:fldChar w:fldCharType="end"/>
    </w:r>
    <w:r w:rsidR="00E37A1D" w:rsidRPr="00E37A1D">
      <w:rPr>
        <w:sz w:val="20"/>
        <w:szCs w:val="20"/>
      </w:rPr>
      <w:t>; Informatīvais ziņojums „Par Ministru kabineta 2012.gada 6.marta sēdes protokollēmuma (prot. Nr.12 25.§) „Informatīvais ziņojums "Par vadlīnijām būvniecības izmaksu indeksācijai"” 7.punktā dotā uzdevuma aktualitāti”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E9" w:rsidRPr="00E37A1D" w:rsidRDefault="00B05EE9" w:rsidP="00B05EE9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EMZino_220316.docx</w:t>
    </w:r>
    <w:r>
      <w:rPr>
        <w:sz w:val="20"/>
        <w:szCs w:val="20"/>
      </w:rPr>
      <w:fldChar w:fldCharType="end"/>
    </w:r>
    <w:r w:rsidRPr="00E37A1D">
      <w:rPr>
        <w:sz w:val="20"/>
        <w:szCs w:val="20"/>
      </w:rPr>
      <w:t>; Informatīvais ziņojums „Par Ministru kabineta 2012.gada 6.marta sēdes protokollēmuma (prot. Nr.12 25.§) „Informatīvais ziņojums "Par vadlīnijām būvniecības izmaksu indeksācijai"” 7.punktā dotā uzdevuma aktualitāti”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8F" w:rsidRDefault="00833A8F" w:rsidP="00006B97">
      <w:r>
        <w:separator/>
      </w:r>
    </w:p>
  </w:footnote>
  <w:footnote w:type="continuationSeparator" w:id="0">
    <w:p w:rsidR="00833A8F" w:rsidRDefault="00833A8F" w:rsidP="0000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3594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7A1D" w:rsidRDefault="00E37A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B3FC2"/>
    <w:multiLevelType w:val="hybridMultilevel"/>
    <w:tmpl w:val="7D3E3506"/>
    <w:lvl w:ilvl="0" w:tplc="3D14954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F6F53"/>
    <w:multiLevelType w:val="hybridMultilevel"/>
    <w:tmpl w:val="406E2A3C"/>
    <w:lvl w:ilvl="0" w:tplc="30187AC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23"/>
    <w:rsid w:val="00006B97"/>
    <w:rsid w:val="00036059"/>
    <w:rsid w:val="000C44DD"/>
    <w:rsid w:val="001C3196"/>
    <w:rsid w:val="002A554E"/>
    <w:rsid w:val="00337F55"/>
    <w:rsid w:val="00372838"/>
    <w:rsid w:val="00375D23"/>
    <w:rsid w:val="004011B4"/>
    <w:rsid w:val="00415DD4"/>
    <w:rsid w:val="0042155F"/>
    <w:rsid w:val="004B7129"/>
    <w:rsid w:val="0051011B"/>
    <w:rsid w:val="005C5025"/>
    <w:rsid w:val="006A6310"/>
    <w:rsid w:val="007117CD"/>
    <w:rsid w:val="007A00EC"/>
    <w:rsid w:val="007A34CC"/>
    <w:rsid w:val="00833A8F"/>
    <w:rsid w:val="00920BD2"/>
    <w:rsid w:val="0094461D"/>
    <w:rsid w:val="00982B11"/>
    <w:rsid w:val="009B1A38"/>
    <w:rsid w:val="00B05EE9"/>
    <w:rsid w:val="00BA123A"/>
    <w:rsid w:val="00BC0C3B"/>
    <w:rsid w:val="00BC0ED1"/>
    <w:rsid w:val="00E37A1D"/>
    <w:rsid w:val="00ED41D7"/>
    <w:rsid w:val="00EF17A6"/>
    <w:rsid w:val="00F021D6"/>
    <w:rsid w:val="00F463DF"/>
    <w:rsid w:val="00F77489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9D2C-9236-420E-B90C-C374E75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D23"/>
    <w:pPr>
      <w:keepNext/>
      <w:spacing w:line="360" w:lineRule="auto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75D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5D23"/>
    <w:pPr>
      <w:ind w:left="720"/>
      <w:contextualSpacing/>
    </w:pPr>
    <w:rPr>
      <w:sz w:val="26"/>
    </w:rPr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"/>
    <w:basedOn w:val="Normal"/>
    <w:link w:val="FootnoteTextChar"/>
    <w:uiPriority w:val="99"/>
    <w:rsid w:val="00006B97"/>
    <w:rPr>
      <w:sz w:val="20"/>
      <w:szCs w:val="20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uiPriority w:val="99"/>
    <w:rsid w:val="00006B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Reference Superscript,Footnote symbol"/>
    <w:basedOn w:val="DefaultParagraphFont"/>
    <w:uiPriority w:val="99"/>
    <w:rsid w:val="00006B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7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0C44DD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0C44DD"/>
    <w:rPr>
      <w:rFonts w:ascii="Times New Roman" w:eastAsia="Times New Roman" w:hAnsi="Times New Roman" w:cs="Times New Roman"/>
      <w:b/>
      <w:sz w:val="26"/>
      <w:szCs w:val="20"/>
    </w:rPr>
  </w:style>
  <w:style w:type="paragraph" w:styleId="EnvelopeAddress">
    <w:name w:val="envelope address"/>
    <w:basedOn w:val="Normal"/>
    <w:next w:val="Subtitle"/>
    <w:rsid w:val="000C44DD"/>
    <w:pPr>
      <w:keepNext/>
      <w:keepLines/>
      <w:widowControl w:val="0"/>
      <w:spacing w:before="60" w:after="60"/>
      <w:ind w:left="5103"/>
    </w:pPr>
    <w:rPr>
      <w:sz w:val="26"/>
      <w:szCs w:val="20"/>
    </w:rPr>
  </w:style>
  <w:style w:type="character" w:styleId="Hyperlink">
    <w:name w:val="Hyperlink"/>
    <w:uiPriority w:val="99"/>
    <w:unhideWhenUsed/>
    <w:rsid w:val="00E37A1D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A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A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Uspeli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3360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Ušpelis</dc:creator>
  <cp:keywords/>
  <dc:description/>
  <cp:lastModifiedBy>Jānis Ušpelis</cp:lastModifiedBy>
  <cp:revision>5</cp:revision>
  <cp:lastPrinted>2016-03-22T11:45:00Z</cp:lastPrinted>
  <dcterms:created xsi:type="dcterms:W3CDTF">2016-03-22T11:43:00Z</dcterms:created>
  <dcterms:modified xsi:type="dcterms:W3CDTF">2016-03-22T11:48:00Z</dcterms:modified>
</cp:coreProperties>
</file>