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2C" w:rsidRPr="005528BE" w:rsidRDefault="0049772C" w:rsidP="0049772C">
      <w:pPr>
        <w:pStyle w:val="naisf"/>
        <w:spacing w:before="0" w:beforeAutospacing="0" w:after="0" w:afterAutospacing="0"/>
        <w:jc w:val="right"/>
        <w:rPr>
          <w:rFonts w:eastAsia="Calibri"/>
          <w:bCs/>
          <w:sz w:val="28"/>
          <w:szCs w:val="28"/>
          <w:lang w:eastAsia="x-none"/>
        </w:rPr>
      </w:pPr>
      <w:bookmarkStart w:id="0" w:name="_GoBack"/>
      <w:bookmarkEnd w:id="0"/>
      <w:r w:rsidRPr="005528BE">
        <w:rPr>
          <w:rFonts w:eastAsia="Calibri"/>
          <w:bCs/>
          <w:sz w:val="28"/>
          <w:szCs w:val="28"/>
          <w:lang w:eastAsia="x-none"/>
        </w:rPr>
        <w:t>Projekts</w:t>
      </w:r>
    </w:p>
    <w:p w:rsidR="0030306F" w:rsidRPr="005528BE" w:rsidRDefault="0030306F" w:rsidP="0030306F">
      <w:pPr>
        <w:pStyle w:val="nais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x-none"/>
        </w:rPr>
      </w:pPr>
      <w:r w:rsidRPr="005528BE">
        <w:rPr>
          <w:rFonts w:eastAsia="Calibri"/>
          <w:b/>
          <w:bCs/>
          <w:sz w:val="28"/>
          <w:szCs w:val="28"/>
          <w:lang w:eastAsia="x-none"/>
        </w:rPr>
        <w:t xml:space="preserve">Likumprojekta „Grozījumi likumā „Par </w:t>
      </w:r>
      <w:r w:rsidR="00246FB7" w:rsidRPr="005528BE">
        <w:rPr>
          <w:rFonts w:eastAsia="Calibri"/>
          <w:b/>
          <w:bCs/>
          <w:sz w:val="28"/>
          <w:szCs w:val="28"/>
          <w:lang w:eastAsia="x-none"/>
        </w:rPr>
        <w:t>grāmatvedību</w:t>
      </w:r>
      <w:r w:rsidRPr="005528BE">
        <w:rPr>
          <w:rFonts w:eastAsia="Calibri"/>
          <w:b/>
          <w:bCs/>
          <w:sz w:val="28"/>
          <w:szCs w:val="28"/>
          <w:lang w:eastAsia="x-none"/>
        </w:rPr>
        <w:t>”” sākotnējās ietekmes novērtējuma ziņojums (anotācija)</w:t>
      </w:r>
    </w:p>
    <w:p w:rsidR="0030306F" w:rsidRPr="00214707" w:rsidRDefault="0030306F" w:rsidP="0030306F">
      <w:pPr>
        <w:pStyle w:val="naisf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408"/>
        <w:gridCol w:w="6814"/>
      </w:tblGrid>
      <w:tr w:rsidR="0030306F" w:rsidRPr="005528BE" w:rsidTr="00A37618">
        <w:trPr>
          <w:trHeight w:val="419"/>
        </w:trPr>
        <w:tc>
          <w:tcPr>
            <w:tcW w:w="5000" w:type="pct"/>
            <w:gridSpan w:val="3"/>
            <w:vAlign w:val="center"/>
          </w:tcPr>
          <w:p w:rsidR="0030306F" w:rsidRPr="009F6788" w:rsidRDefault="0030306F" w:rsidP="00E55447">
            <w:pPr>
              <w:pStyle w:val="naisnod"/>
              <w:spacing w:before="0" w:beforeAutospacing="0" w:after="0" w:afterAutospacing="0"/>
              <w:ind w:right="57"/>
              <w:jc w:val="center"/>
              <w:rPr>
                <w:b/>
                <w:sz w:val="26"/>
                <w:szCs w:val="26"/>
              </w:rPr>
            </w:pPr>
            <w:r w:rsidRPr="009F6788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30306F" w:rsidRPr="005528BE" w:rsidTr="00A37618">
        <w:trPr>
          <w:trHeight w:val="415"/>
        </w:trPr>
        <w:tc>
          <w:tcPr>
            <w:tcW w:w="224" w:type="pct"/>
          </w:tcPr>
          <w:p w:rsidR="0030306F" w:rsidRPr="00756214" w:rsidRDefault="0030306F" w:rsidP="00E55447">
            <w:pPr>
              <w:pStyle w:val="naiskr"/>
              <w:spacing w:before="0" w:beforeAutospacing="0" w:after="0" w:afterAutospacing="0"/>
              <w:ind w:right="57"/>
              <w:jc w:val="center"/>
            </w:pPr>
            <w:r w:rsidRPr="00756214">
              <w:t>1.</w:t>
            </w:r>
          </w:p>
        </w:tc>
        <w:tc>
          <w:tcPr>
            <w:tcW w:w="1247" w:type="pct"/>
          </w:tcPr>
          <w:p w:rsidR="0030306F" w:rsidRDefault="0030306F" w:rsidP="00E55447">
            <w:pPr>
              <w:pStyle w:val="naiskr"/>
              <w:spacing w:before="0" w:beforeAutospacing="0" w:after="0" w:afterAutospacing="0"/>
              <w:ind w:right="57"/>
              <w:jc w:val="both"/>
            </w:pPr>
            <w:r w:rsidRPr="00756214">
              <w:t>Pamatojums</w:t>
            </w:r>
          </w:p>
          <w:p w:rsidR="0030306F" w:rsidRPr="005528BE" w:rsidRDefault="0030306F" w:rsidP="00E55447">
            <w:pPr>
              <w:jc w:val="center"/>
              <w:rPr>
                <w:lang w:eastAsia="lv-LV"/>
              </w:rPr>
            </w:pPr>
          </w:p>
        </w:tc>
        <w:tc>
          <w:tcPr>
            <w:tcW w:w="3530" w:type="pct"/>
          </w:tcPr>
          <w:p w:rsidR="0030306F" w:rsidRDefault="0030306F" w:rsidP="006F18B6">
            <w:pPr>
              <w:spacing w:after="0" w:line="240" w:lineRule="auto"/>
              <w:ind w:right="13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6882">
              <w:rPr>
                <w:rFonts w:ascii="Times New Roman" w:hAnsi="Times New Roman"/>
                <w:sz w:val="24"/>
                <w:szCs w:val="24"/>
              </w:rPr>
              <w:t xml:space="preserve">Likumprojekts </w:t>
            </w:r>
            <w:r w:rsidR="008650B0" w:rsidRPr="001F6882">
              <w:rPr>
                <w:rFonts w:ascii="Times New Roman" w:hAnsi="Times New Roman"/>
                <w:sz w:val="24"/>
                <w:szCs w:val="24"/>
              </w:rPr>
              <w:t xml:space="preserve">“Grozījumi likumā “Par grāmatvedību”” </w:t>
            </w:r>
            <w:r w:rsidRPr="001F6882">
              <w:rPr>
                <w:rFonts w:ascii="Times New Roman" w:hAnsi="Times New Roman"/>
                <w:sz w:val="24"/>
                <w:szCs w:val="24"/>
              </w:rPr>
              <w:t>ir izstrādāts</w:t>
            </w:r>
            <w:r w:rsidR="008650B0" w:rsidRPr="001F6882">
              <w:rPr>
                <w:rFonts w:ascii="Times New Roman" w:hAnsi="Times New Roman"/>
                <w:sz w:val="24"/>
                <w:szCs w:val="24"/>
              </w:rPr>
              <w:t>,</w:t>
            </w:r>
            <w:r w:rsidRPr="001F6882">
              <w:rPr>
                <w:rFonts w:ascii="Times New Roman" w:hAnsi="Times New Roman"/>
                <w:sz w:val="24"/>
                <w:szCs w:val="24"/>
              </w:rPr>
              <w:t xml:space="preserve"> ņemot vērā Ministru kabineta </w:t>
            </w:r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2015.gada 17.marta </w:t>
            </w:r>
            <w:proofErr w:type="spellStart"/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protokollēmuma</w:t>
            </w:r>
            <w:proofErr w:type="spellEnd"/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Nr.15, 8.</w:t>
            </w:r>
            <w:r w:rsidRPr="001F6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>§</w:t>
            </w:r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(TA-427) 4.</w:t>
            </w:r>
            <w:r w:rsidR="008650B0"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7.apakš</w:t>
            </w:r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punktā doto uzdevumu  - līdz 2015.gada 31.oktobrim noteiktā kārtībā iesniegt izskatīšanai Ministru kabinetā grozījumus likumā “Par </w:t>
            </w:r>
            <w:r w:rsidR="008650B0"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grāmatvedību</w:t>
            </w:r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 (turpmāk – likum</w:t>
            </w:r>
            <w:r w:rsidR="008650B0"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projekts</w:t>
            </w:r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lai saskaņotu spēkā esošos normatīvos aktus ar likuma Gada pārskatu un konsolidēto gada pārskatu likum</w:t>
            </w:r>
            <w:r w:rsidR="006F18B6"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normām.</w:t>
            </w:r>
            <w:r w:rsidR="00511BC9" w:rsidRPr="001F6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0325" w:rsidRPr="00050325" w:rsidRDefault="00050325" w:rsidP="006F18B6">
            <w:pPr>
              <w:spacing w:after="0" w:line="240" w:lineRule="auto"/>
              <w:ind w:right="130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50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Saskaņā ar Ministru kabineta 2015.gada 1.decembra sēdes protokola Nr.64, 24.§ - dotā uzdevuma izpildes termiņš pagarināts līdz 2016.gada 28.februārim.</w:t>
            </w:r>
          </w:p>
        </w:tc>
      </w:tr>
      <w:tr w:rsidR="0030306F" w:rsidRPr="005528BE" w:rsidTr="00F911F0">
        <w:trPr>
          <w:trHeight w:val="2542"/>
        </w:trPr>
        <w:tc>
          <w:tcPr>
            <w:tcW w:w="224" w:type="pct"/>
          </w:tcPr>
          <w:p w:rsidR="0030306F" w:rsidRPr="00756214" w:rsidRDefault="0030306F" w:rsidP="00E55447">
            <w:pPr>
              <w:pStyle w:val="naiskr"/>
              <w:spacing w:before="0" w:beforeAutospacing="0" w:after="0" w:afterAutospacing="0"/>
              <w:ind w:right="57"/>
              <w:jc w:val="center"/>
            </w:pPr>
            <w:r w:rsidRPr="00756214">
              <w:t>2.</w:t>
            </w:r>
          </w:p>
        </w:tc>
        <w:tc>
          <w:tcPr>
            <w:tcW w:w="1247" w:type="pct"/>
          </w:tcPr>
          <w:p w:rsidR="00F74954" w:rsidRDefault="0030306F" w:rsidP="00E5544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right="57"/>
            </w:pPr>
            <w:r w:rsidRPr="00756214">
              <w:t>Pašreizējā situācija un problēmas, kuru risināšanai tiesību akta projekts izstrādāts, tiesiskā regulējuma mērķis un būtība</w:t>
            </w:r>
          </w:p>
          <w:p w:rsidR="0030306F" w:rsidRPr="005528BE" w:rsidRDefault="0030306F" w:rsidP="00F74954">
            <w:pPr>
              <w:ind w:firstLine="720"/>
              <w:rPr>
                <w:lang w:eastAsia="lv-LV"/>
              </w:rPr>
            </w:pPr>
          </w:p>
        </w:tc>
        <w:tc>
          <w:tcPr>
            <w:tcW w:w="3530" w:type="pct"/>
          </w:tcPr>
          <w:p w:rsidR="00511BC9" w:rsidRPr="006C4831" w:rsidRDefault="009C6333" w:rsidP="00511BC9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</w:pPr>
            <w:r w:rsidRPr="006C4831">
              <w:rPr>
                <w:shd w:val="clear" w:color="auto" w:fill="FFFFFF"/>
              </w:rPr>
              <w:t>Likumprojekts izstrādāts, lai likumā “Par grāmatvedību” (turpmāk – likums) lietoto terminu “Gada pārskatu likums”  aizstātu uz “Gada pārskatu un konsolidēto gada pārskatu likums”</w:t>
            </w:r>
            <w:r w:rsidRPr="006C4831">
              <w:t xml:space="preserve">. </w:t>
            </w:r>
            <w:r w:rsidR="00511BC9" w:rsidRPr="006C4831">
              <w:t xml:space="preserve">Papildus Ministru kabineta </w:t>
            </w:r>
            <w:r w:rsidR="00511BC9" w:rsidRPr="006C4831">
              <w:rPr>
                <w:shd w:val="clear" w:color="auto" w:fill="FFFFFF"/>
              </w:rPr>
              <w:t xml:space="preserve">2015.gada 17.marta </w:t>
            </w:r>
            <w:proofErr w:type="spellStart"/>
            <w:r w:rsidR="00511BC9" w:rsidRPr="006C4831">
              <w:rPr>
                <w:shd w:val="clear" w:color="auto" w:fill="FFFFFF"/>
              </w:rPr>
              <w:t>protokollēmumā</w:t>
            </w:r>
            <w:proofErr w:type="spellEnd"/>
            <w:r w:rsidR="00511BC9" w:rsidRPr="006C4831">
              <w:rPr>
                <w:shd w:val="clear" w:color="auto" w:fill="FFFFFF"/>
              </w:rPr>
              <w:t xml:space="preserve"> Nr.15, 8.</w:t>
            </w:r>
            <w:r w:rsidR="00511BC9" w:rsidRPr="006C4831">
              <w:rPr>
                <w:bCs/>
                <w:shd w:val="clear" w:color="auto" w:fill="FFFFFF"/>
                <w:lang w:val="en-GB"/>
              </w:rPr>
              <w:t>§</w:t>
            </w:r>
            <w:r w:rsidR="00511BC9" w:rsidRPr="006C4831">
              <w:rPr>
                <w:shd w:val="clear" w:color="auto" w:fill="FFFFFF"/>
              </w:rPr>
              <w:t xml:space="preserve"> (TA-427) 4.7.apakšpunktā dotajam uzdevumam</w:t>
            </w:r>
            <w:r w:rsidR="00CC1A6D" w:rsidRPr="006C4831">
              <w:rPr>
                <w:shd w:val="clear" w:color="auto" w:fill="FFFFFF"/>
              </w:rPr>
              <w:t xml:space="preserve"> veikti arī šādi grozījumi</w:t>
            </w:r>
            <w:r w:rsidR="00511BC9" w:rsidRPr="006C4831">
              <w:rPr>
                <w:shd w:val="clear" w:color="auto" w:fill="FFFFFF"/>
              </w:rPr>
              <w:t>:</w:t>
            </w:r>
          </w:p>
          <w:p w:rsidR="008650B0" w:rsidRPr="006C4831" w:rsidRDefault="00511BC9" w:rsidP="00511BC9">
            <w:pPr>
              <w:pStyle w:val="NormalWeb"/>
              <w:spacing w:before="0" w:beforeAutospacing="0" w:after="0" w:afterAutospacing="0"/>
              <w:ind w:left="-4" w:firstLine="285"/>
              <w:contextualSpacing/>
              <w:jc w:val="both"/>
            </w:pPr>
            <w:r w:rsidRPr="006C4831">
              <w:t xml:space="preserve">1. </w:t>
            </w:r>
            <w:r w:rsidR="008650B0" w:rsidRPr="006C4831">
              <w:t xml:space="preserve">Likumprojektā paredzēts samazināt administratīvo slogu daļai uzņēmumu saistībā ar attaisnojuma dokumentu </w:t>
            </w:r>
            <w:r w:rsidR="00F26CFB" w:rsidRPr="006C4831">
              <w:t xml:space="preserve">iegrāmatošanas termiņa pagarināšanu  </w:t>
            </w:r>
            <w:r w:rsidR="008650B0" w:rsidRPr="006C4831">
              <w:t xml:space="preserve">grāmatvedības reģistros. </w:t>
            </w:r>
          </w:p>
          <w:p w:rsidR="003E5D9A" w:rsidRPr="006C4831" w:rsidRDefault="008650B0" w:rsidP="008650B0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  <w:rPr>
                <w:shd w:val="clear" w:color="auto" w:fill="FFFFFF"/>
              </w:rPr>
            </w:pPr>
            <w:r w:rsidRPr="006C4831">
              <w:t xml:space="preserve">   </w:t>
            </w:r>
            <w:r w:rsidR="00CC1A6D" w:rsidRPr="006C4831">
              <w:t xml:space="preserve">Grozījumi veikti ņemot vērā to, ka  </w:t>
            </w:r>
            <w:r w:rsidR="00B073E1" w:rsidRPr="006C4831">
              <w:t>Mikrouzņēmumi</w:t>
            </w:r>
            <w:r w:rsidRPr="006C4831">
              <w:t xml:space="preserve"> (</w:t>
            </w:r>
            <w:r w:rsidR="00B073E1" w:rsidRPr="006C4831">
              <w:t>Mikrouzņēmumu nodokļa likuma izpratnē</w:t>
            </w:r>
            <w:r w:rsidRPr="006C4831">
              <w:t>)</w:t>
            </w:r>
            <w:r w:rsidR="00B073E1" w:rsidRPr="006C4831">
              <w:t>,</w:t>
            </w:r>
            <w:r w:rsidR="00CC1A6D" w:rsidRPr="006C4831">
              <w:t xml:space="preserve"> vienreiz ceturksnī </w:t>
            </w:r>
            <w:r w:rsidR="00B073E1" w:rsidRPr="006C4831">
              <w:t xml:space="preserve">iesniedz mikrouzņēmumu nodokļa ceturkšņa deklarācijas un individuālie komersanti, individuālie uzņēmumi, zemnieku un zvejnieku saimniecības, kuru apgrozījums (ieņēmumi) no saimnieciskajiem darījumiem iepriekšējā pārskata gadā nepārsniedz 300 000 </w:t>
            </w:r>
            <w:proofErr w:type="spellStart"/>
            <w:r w:rsidR="00B073E1" w:rsidRPr="006C4831">
              <w:rPr>
                <w:i/>
              </w:rPr>
              <w:t>euro</w:t>
            </w:r>
            <w:proofErr w:type="spellEnd"/>
            <w:r w:rsidR="00B073E1" w:rsidRPr="006C4831">
              <w:t>, citas fiziskās personas, kas veic saimniecisko darbību iesniedz “Ziņojums par pašnodarbinātā vai iekšzemes darba ņēmēja pie darba devēja – ārvalstnieka, vai ārvalstu darba ņēmēja pie darba devēja – ārvalstnieka valsts sociālās apdrošināšanas obligātajām iemaksām pārskata ceturksnī”</w:t>
            </w:r>
            <w:r w:rsidR="00AD1A5F" w:rsidRPr="006C4831">
              <w:t xml:space="preserve"> </w:t>
            </w:r>
            <w:r w:rsidR="00B073E1" w:rsidRPr="006C4831">
              <w:t xml:space="preserve">vienreiz ceturksnī. </w:t>
            </w:r>
          </w:p>
          <w:p w:rsidR="003E5D9A" w:rsidRPr="006C4831" w:rsidRDefault="006F18B6" w:rsidP="006B1425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</w:pPr>
            <w:r w:rsidRPr="006C4831">
              <w:t>Lai samazinātu administratīvo slogu un šiem mazajiem uzņēmumiem atvieglotu prasības attiecībā uz attaisnojumu dokumentu iegrāmatošanu grāmatvedības reģistros, l</w:t>
            </w:r>
            <w:r w:rsidR="007F1784" w:rsidRPr="006C4831">
              <w:t>ikum</w:t>
            </w:r>
            <w:r w:rsidR="008650B0" w:rsidRPr="006C4831">
              <w:t>a</w:t>
            </w:r>
            <w:r w:rsidR="007F1784" w:rsidRPr="006C4831">
              <w:t xml:space="preserve"> </w:t>
            </w:r>
            <w:r w:rsidR="007F1784" w:rsidRPr="006C4831">
              <w:rPr>
                <w:i/>
                <w:u w:val="single"/>
              </w:rPr>
              <w:t>8.pants tiek papildināts ar jaunu sesto daļu</w:t>
            </w:r>
            <w:r w:rsidR="007F1784" w:rsidRPr="006C4831">
              <w:t xml:space="preserve"> - </w:t>
            </w:r>
            <w:r w:rsidR="00EB0D8D" w:rsidRPr="006C4831">
              <w:t xml:space="preserve">“Mikrouzņēmumi </w:t>
            </w:r>
            <w:r w:rsidR="008650B0" w:rsidRPr="006C4831">
              <w:t>(</w:t>
            </w:r>
            <w:r w:rsidR="00EB0D8D" w:rsidRPr="006C4831">
              <w:t>Mikrou</w:t>
            </w:r>
            <w:r w:rsidR="008650B0" w:rsidRPr="006C4831">
              <w:t>zņēmumu nodokļa likuma izpratnē)</w:t>
            </w:r>
            <w:r w:rsidR="00AB2F1B" w:rsidRPr="006C4831">
              <w:t>,</w:t>
            </w:r>
            <w:r w:rsidR="00EB0D8D" w:rsidRPr="006C4831">
              <w:t xml:space="preserve"> individuālie komersanti, individuālie uzņēmumi, zemnieku un zvejnieku saimniecības, kuru apgrozījums (ieņēmumi) no saimnieciskajiem darījumiem iepriekšējā pārskata gadā nepārsniedz 300 000 </w:t>
            </w:r>
            <w:proofErr w:type="spellStart"/>
            <w:r w:rsidR="00EB0D8D" w:rsidRPr="006C4831">
              <w:rPr>
                <w:i/>
              </w:rPr>
              <w:t>euro</w:t>
            </w:r>
            <w:proofErr w:type="spellEnd"/>
            <w:r w:rsidR="00EB0D8D" w:rsidRPr="006C4831">
              <w:t xml:space="preserve">, citas fiziskās personas, kas veic saimniecisko darbību, pārējos attaisnojuma dokumentus par uzņēmuma saimnieciskajiem darījumiem ir </w:t>
            </w:r>
            <w:r w:rsidR="006A743D" w:rsidRPr="006C4831">
              <w:t xml:space="preserve">tiesīgi </w:t>
            </w:r>
            <w:r w:rsidR="00EB0D8D" w:rsidRPr="006C4831">
              <w:t xml:space="preserve">iegrāmatot uzņēmuma grāmatvedības reģistros ne vēlāk kā 15 dienu  laikā pēc </w:t>
            </w:r>
            <w:r w:rsidR="00AB2F1B" w:rsidRPr="006C4831">
              <w:t xml:space="preserve">tā </w:t>
            </w:r>
            <w:r w:rsidR="00EB0D8D" w:rsidRPr="006C4831">
              <w:t>ceturkšņa beigām, kurā saimnieciskais darījums noticis, un obligāti – pārskata gada beigās.”</w:t>
            </w:r>
          </w:p>
          <w:p w:rsidR="00C671EF" w:rsidRPr="006C4831" w:rsidRDefault="00C671EF" w:rsidP="006B1425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</w:pPr>
          </w:p>
          <w:p w:rsidR="000B29F7" w:rsidRPr="006C4831" w:rsidRDefault="00511BC9" w:rsidP="00511BC9">
            <w:pPr>
              <w:pStyle w:val="NormalWeb"/>
              <w:spacing w:before="0" w:beforeAutospacing="0" w:after="0" w:afterAutospacing="0"/>
              <w:ind w:left="-4" w:firstLine="285"/>
              <w:contextualSpacing/>
              <w:jc w:val="both"/>
            </w:pPr>
            <w:r w:rsidRPr="006C4831">
              <w:t xml:space="preserve">2. </w:t>
            </w:r>
            <w:r w:rsidR="000B29F7" w:rsidRPr="006C4831">
              <w:t xml:space="preserve">Šobrīd Maksātnespējas likuma 65.panta otrajā daļā ir noteikts, ka administratora </w:t>
            </w:r>
            <w:r w:rsidR="006A743D" w:rsidRPr="006C4831">
              <w:t xml:space="preserve">pienākums </w:t>
            </w:r>
            <w:r w:rsidR="000B29F7" w:rsidRPr="006C4831">
              <w:t>pēc juridiskās personas maksātnespējas procesa pasludināšanas ir nekavējoties uzsāk</w:t>
            </w:r>
            <w:r w:rsidR="006A743D" w:rsidRPr="006C4831">
              <w:t>t</w:t>
            </w:r>
            <w:r w:rsidR="000B29F7" w:rsidRPr="006C4831">
              <w:t xml:space="preserve"> parādnieka dokumentu un mantas pilnu inventarizāciju un </w:t>
            </w:r>
            <w:r w:rsidR="00EA5A24" w:rsidRPr="006C4831">
              <w:t xml:space="preserve">sagatavot </w:t>
            </w:r>
            <w:r w:rsidR="000B29F7" w:rsidRPr="006C4831">
              <w:t>parādnieka bilanci. Tomēr nevienā normatīvajā aktā nav pateikts, k</w:t>
            </w:r>
            <w:r w:rsidR="006A743D" w:rsidRPr="006C4831">
              <w:t>ā</w:t>
            </w:r>
            <w:r w:rsidR="000B29F7" w:rsidRPr="006C4831">
              <w:t xml:space="preserve"> </w:t>
            </w:r>
            <w:r w:rsidR="000B29F7" w:rsidRPr="00013C48">
              <w:t>j</w:t>
            </w:r>
            <w:r w:rsidR="000B29F7" w:rsidRPr="006C4831">
              <w:t>āsa</w:t>
            </w:r>
            <w:r w:rsidR="00EA5A24" w:rsidRPr="006C4831">
              <w:t>gatavo</w:t>
            </w:r>
            <w:r w:rsidR="000B29F7" w:rsidRPr="006C4831">
              <w:t xml:space="preserve"> </w:t>
            </w:r>
            <w:r w:rsidR="006A743D" w:rsidRPr="006C4831">
              <w:t xml:space="preserve">parādnieka </w:t>
            </w:r>
            <w:r w:rsidR="000B29F7" w:rsidRPr="006C4831">
              <w:t>bilance.</w:t>
            </w:r>
          </w:p>
          <w:p w:rsidR="006A743D" w:rsidRPr="006C4831" w:rsidRDefault="000B29F7" w:rsidP="000B29F7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</w:pPr>
            <w:r w:rsidRPr="006C4831">
              <w:t xml:space="preserve">Līdz ar to ir nepieciešams veikt grozījumu likuma  13.panta </w:t>
            </w:r>
            <w:r w:rsidR="006A743D" w:rsidRPr="006C4831">
              <w:t xml:space="preserve">pirmajā daļā un noteikt, ka sagatavojot parādnieka bilanci ir jāievēro visi tie paši </w:t>
            </w:r>
            <w:r w:rsidR="00D002DD" w:rsidRPr="006C4831">
              <w:t>nosacījumi</w:t>
            </w:r>
            <w:r w:rsidR="006A743D" w:rsidRPr="006C4831">
              <w:t>, kuri attiecas uz gada p</w:t>
            </w:r>
            <w:r w:rsidR="000E5F7F" w:rsidRPr="006C4831">
              <w:t>ārskata bilances sagatavošanu</w:t>
            </w:r>
            <w:r w:rsidR="006A743D" w:rsidRPr="006C4831">
              <w:t>.</w:t>
            </w:r>
            <w:r w:rsidR="009357C4" w:rsidRPr="006C4831">
              <w:t xml:space="preserve"> </w:t>
            </w:r>
            <w:r w:rsidR="007A1847" w:rsidRPr="006C4831">
              <w:t>Minētajā pantā</w:t>
            </w:r>
            <w:r w:rsidR="005E5523" w:rsidRPr="006C4831">
              <w:t xml:space="preserve"> tiek</w:t>
            </w:r>
            <w:r w:rsidR="007A1847" w:rsidRPr="006C4831">
              <w:t xml:space="preserve"> arī</w:t>
            </w:r>
            <w:r w:rsidR="005E5523" w:rsidRPr="006C4831">
              <w:t xml:space="preserve"> </w:t>
            </w:r>
            <w:r w:rsidR="009357C4" w:rsidRPr="006C4831">
              <w:t xml:space="preserve">precizēts, ka </w:t>
            </w:r>
            <w:r w:rsidR="00357F9E" w:rsidRPr="006C4831">
              <w:t>uz</w:t>
            </w:r>
            <w:r w:rsidR="009357C4" w:rsidRPr="006C4831">
              <w:t xml:space="preserve"> </w:t>
            </w:r>
            <w:r w:rsidR="00357F9E" w:rsidRPr="006C4831">
              <w:t>u</w:t>
            </w:r>
            <w:r w:rsidR="009357C4" w:rsidRPr="006C4831">
              <w:t>zņēmumiem, kam pasludināts maksātnespējas process un administrators ir pieņēmis lēmumu par saimnieciskās darbības neturpināšanu uz parādniek</w:t>
            </w:r>
            <w:r w:rsidR="008D1B29" w:rsidRPr="006C4831">
              <w:t>a</w:t>
            </w:r>
            <w:r w:rsidR="009357C4" w:rsidRPr="006C4831">
              <w:t xml:space="preserve"> bilanc</w:t>
            </w:r>
            <w:r w:rsidR="00EA5A24" w:rsidRPr="006C4831">
              <w:t>es sagatavošanu</w:t>
            </w:r>
            <w:r w:rsidR="009357C4" w:rsidRPr="006C4831">
              <w:t xml:space="preserve"> attiecas </w:t>
            </w:r>
            <w:r w:rsidR="00357F9E" w:rsidRPr="006C4831">
              <w:t>Ministru kabineta 2003.gada 21.oktobra noteikumus Nr.583 “Uzņēmuma mantas, arī prasījumu un saistību novērtēšana grāmatvedībā un atspoguļošana finanšu pārskatos, ja uzņēmuma vai tā struktūrvienības darbība tiek izbeigta</w:t>
            </w:r>
            <w:r w:rsidR="000E23A6" w:rsidRPr="006C4831">
              <w:t>”</w:t>
            </w:r>
            <w:r w:rsidR="00357F9E" w:rsidRPr="006C4831">
              <w:t xml:space="preserve"> (turpmāk - noteikumi Nr.583</w:t>
            </w:r>
            <w:r w:rsidR="00F911F0" w:rsidRPr="006C4831">
              <w:t>)</w:t>
            </w:r>
            <w:r w:rsidR="00357F9E" w:rsidRPr="006C4831">
              <w:t xml:space="preserve">.  </w:t>
            </w:r>
          </w:p>
          <w:p w:rsidR="009C70D7" w:rsidRDefault="00357F9E" w:rsidP="009C70D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743D" w:rsidRPr="006C4831">
              <w:rPr>
                <w:rFonts w:ascii="Times New Roman" w:hAnsi="Times New Roman"/>
                <w:sz w:val="24"/>
                <w:szCs w:val="24"/>
              </w:rPr>
              <w:t xml:space="preserve">Savukārt likuma </w:t>
            </w:r>
            <w:r w:rsidR="000C0AD7" w:rsidRPr="006C4831">
              <w:rPr>
                <w:rFonts w:ascii="Times New Roman" w:hAnsi="Times New Roman"/>
                <w:sz w:val="24"/>
                <w:szCs w:val="24"/>
              </w:rPr>
              <w:t xml:space="preserve">13.panta </w:t>
            </w:r>
            <w:r w:rsidR="006A743D" w:rsidRPr="006C4831">
              <w:rPr>
                <w:rFonts w:ascii="Times New Roman" w:hAnsi="Times New Roman"/>
                <w:sz w:val="24"/>
                <w:szCs w:val="24"/>
              </w:rPr>
              <w:t xml:space="preserve">otrā daļa tiek papildināta ar </w:t>
            </w:r>
            <w:r w:rsidR="000E5F7F" w:rsidRPr="006C4831">
              <w:rPr>
                <w:rFonts w:ascii="Times New Roman" w:hAnsi="Times New Roman"/>
                <w:sz w:val="24"/>
                <w:szCs w:val="24"/>
              </w:rPr>
              <w:t>skaidrojumu</w:t>
            </w:r>
            <w:r w:rsidR="006A743D" w:rsidRPr="006C4831"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="00AE5BE6" w:rsidRPr="006C4831">
              <w:rPr>
                <w:rFonts w:ascii="Times New Roman" w:hAnsi="Times New Roman"/>
                <w:sz w:val="24"/>
                <w:szCs w:val="24"/>
              </w:rPr>
              <w:t>g</w:t>
            </w:r>
            <w:r w:rsidR="00AE5BE6" w:rsidRPr="006C483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adījumos, kad uzņēmumam ir pasludināts maksātnespējas process un administrators ir pieņēmis lēmumu par saimnieciskās darbības neturpināšanu,</w:t>
            </w:r>
            <w:r w:rsidR="00AE5BE6" w:rsidRPr="006C4831">
              <w:rPr>
                <w:rFonts w:ascii="Times New Roman" w:hAnsi="Times New Roman"/>
                <w:sz w:val="24"/>
                <w:szCs w:val="24"/>
              </w:rPr>
              <w:t xml:space="preserve"> sagatavo</w:t>
            </w:r>
            <w:r w:rsidR="008D1B29" w:rsidRPr="006C4831">
              <w:rPr>
                <w:rFonts w:ascii="Times New Roman" w:hAnsi="Times New Roman"/>
                <w:sz w:val="24"/>
                <w:szCs w:val="24"/>
              </w:rPr>
              <w:t xml:space="preserve">jot darbības </w:t>
            </w:r>
            <w:r w:rsidR="00AE5BE6" w:rsidRPr="006C4831">
              <w:rPr>
                <w:rFonts w:ascii="Times New Roman" w:hAnsi="Times New Roman"/>
                <w:sz w:val="24"/>
                <w:szCs w:val="24"/>
              </w:rPr>
              <w:t>slēguma finanšu pārskatu</w:t>
            </w:r>
            <w:r w:rsidR="008D1B29" w:rsidRPr="006C4831">
              <w:rPr>
                <w:rFonts w:ascii="Times New Roman" w:hAnsi="Times New Roman"/>
                <w:sz w:val="24"/>
                <w:szCs w:val="24"/>
              </w:rPr>
              <w:t xml:space="preserve"> sagatavo tikai finanšu pārskata sastāvdaļu bilanci</w:t>
            </w:r>
            <w:r w:rsidR="00AE5BE6" w:rsidRPr="006C4831">
              <w:rPr>
                <w:rFonts w:ascii="Times New Roman" w:hAnsi="Times New Roman"/>
                <w:sz w:val="24"/>
                <w:szCs w:val="24"/>
              </w:rPr>
              <w:t xml:space="preserve">. Sagatavojot bilanci </w:t>
            </w:r>
            <w:r w:rsidR="008D1B29" w:rsidRPr="006C4831">
              <w:rPr>
                <w:rFonts w:ascii="Times New Roman" w:hAnsi="Times New Roman"/>
                <w:sz w:val="24"/>
                <w:szCs w:val="24"/>
              </w:rPr>
              <w:t>jā</w:t>
            </w:r>
            <w:r w:rsidR="00AE5BE6" w:rsidRPr="006C483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ievēro </w:t>
            </w:r>
            <w:r w:rsidR="008D1B29" w:rsidRPr="006C4831">
              <w:rPr>
                <w:rFonts w:ascii="Times New Roman" w:hAnsi="Times New Roman"/>
                <w:sz w:val="24"/>
                <w:szCs w:val="24"/>
              </w:rPr>
              <w:t>noteikumi Nr.583</w:t>
            </w:r>
            <w:r w:rsidR="008D1B29" w:rsidRPr="006C4831">
              <w:rPr>
                <w:sz w:val="24"/>
                <w:szCs w:val="24"/>
              </w:rPr>
              <w:t>.</w:t>
            </w:r>
            <w:r w:rsidR="005E5523" w:rsidRPr="006C48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70D7">
              <w:rPr>
                <w:rFonts w:ascii="Times New Roman" w:hAnsi="Times New Roman"/>
                <w:sz w:val="24"/>
                <w:szCs w:val="24"/>
              </w:rPr>
              <w:t xml:space="preserve">Atzīmējam, ka </w:t>
            </w:r>
            <w:r w:rsidR="008D1B29" w:rsidRPr="006C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523" w:rsidRPr="006C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549" w:rsidRPr="006C4831">
              <w:rPr>
                <w:rFonts w:ascii="Times New Roman" w:hAnsi="Times New Roman"/>
                <w:sz w:val="24"/>
                <w:szCs w:val="24"/>
              </w:rPr>
              <w:t>Gada pārskatu un konsolidēto gada pārskatu likuma subjekti</w:t>
            </w:r>
            <w:r w:rsidR="001815AF" w:rsidRPr="006C4831">
              <w:rPr>
                <w:rFonts w:ascii="Times New Roman" w:hAnsi="Times New Roman"/>
                <w:sz w:val="24"/>
                <w:szCs w:val="24"/>
              </w:rPr>
              <w:t xml:space="preserve"> sagatavojot darbības slēguma finanšu pārskatu</w:t>
            </w:r>
            <w:r w:rsidR="00511549" w:rsidRPr="006C4831">
              <w:rPr>
                <w:rFonts w:ascii="Times New Roman" w:hAnsi="Times New Roman"/>
                <w:sz w:val="24"/>
                <w:szCs w:val="24"/>
              </w:rPr>
              <w:t xml:space="preserve"> piemēro</w:t>
            </w:r>
            <w:r w:rsidR="005E5523" w:rsidRPr="006C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>Ministru kabineta 2015.gada 22.decembra noteikumu</w:t>
            </w:r>
            <w:r w:rsidR="001815AF" w:rsidRPr="006C4831">
              <w:rPr>
                <w:rFonts w:ascii="Times New Roman" w:hAnsi="Times New Roman"/>
                <w:sz w:val="24"/>
                <w:szCs w:val="24"/>
              </w:rPr>
              <w:t>s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Nr.775 “Gada pārskatu un konsolidēto gada pārskatu likuma piemērošanas noteikumi” </w:t>
            </w:r>
            <w:r w:rsidR="00511549" w:rsidRPr="006C4831">
              <w:rPr>
                <w:rFonts w:ascii="Times New Roman" w:hAnsi="Times New Roman"/>
                <w:sz w:val="24"/>
                <w:szCs w:val="24"/>
              </w:rPr>
              <w:t xml:space="preserve">(turpmāk – noteikumi Nr.775). Noteikumu Nr.775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izstrādes laikā </w:t>
            </w:r>
            <w:r w:rsidRPr="006C4831">
              <w:rPr>
                <w:rFonts w:ascii="Times New Roman" w:hAnsi="Times New Roman"/>
                <w:bCs/>
                <w:sz w:val="24"/>
                <w:szCs w:val="24"/>
              </w:rPr>
              <w:t xml:space="preserve">Tieslietu ministrija un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>Latvijas Sertificēto maksātnespējas procesa administratoru asociācija lūdza minētajos noteikumos noteikto kārtību kādā</w:t>
            </w:r>
            <w:r w:rsidR="00F911F0" w:rsidRPr="006C4831">
              <w:rPr>
                <w:rFonts w:ascii="Times New Roman" w:hAnsi="Times New Roman"/>
                <w:sz w:val="24"/>
                <w:szCs w:val="24"/>
              </w:rPr>
              <w:t xml:space="preserve"> slēguma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finanšu pārskatu sagatavo sabiedrība, kura neatbilst darbības turpināšanas principam</w:t>
            </w:r>
            <w:r w:rsidR="00AF463F" w:rsidRPr="006C4831">
              <w:rPr>
                <w:rFonts w:ascii="Times New Roman" w:hAnsi="Times New Roman"/>
                <w:sz w:val="24"/>
                <w:szCs w:val="24"/>
              </w:rPr>
              <w:t>,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neattiecināt uz maksātnespējas procesa gadījumiem, kad darbība tiek izbeigta, un</w:t>
            </w:r>
            <w:r w:rsidRPr="006C4831">
              <w:rPr>
                <w:rFonts w:ascii="Times New Roman" w:hAnsi="Times New Roman"/>
                <w:bCs/>
                <w:sz w:val="24"/>
                <w:szCs w:val="24"/>
              </w:rPr>
              <w:t xml:space="preserve"> aicināja meklēt citus veidus, kā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>piemērot Maksātnespējas likuma 26.panta piektās daļas regulējumu</w:t>
            </w:r>
            <w:r w:rsidR="009C70D7" w:rsidRPr="00013C48">
              <w:rPr>
                <w:rFonts w:ascii="Times New Roman" w:hAnsi="Times New Roman"/>
                <w:sz w:val="24"/>
                <w:szCs w:val="24"/>
              </w:rPr>
              <w:t>.</w:t>
            </w:r>
            <w:r w:rsidR="009C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0D7" w:rsidRPr="006C4831" w:rsidRDefault="009C70D7" w:rsidP="009C70D7">
            <w:pPr>
              <w:spacing w:after="0" w:line="240" w:lineRule="auto"/>
              <w:ind w:firstLine="422"/>
              <w:jc w:val="both"/>
            </w:pPr>
            <w:r w:rsidRPr="009C70D7">
              <w:rPr>
                <w:rFonts w:ascii="Times New Roman" w:hAnsi="Times New Roman"/>
                <w:sz w:val="24"/>
                <w:szCs w:val="24"/>
              </w:rPr>
              <w:t>Tāpat likumprojekts tiek papildināts ar atsevišķu normu, nosakot, ka uzņēmumiem, kam pasludināts maksātnespējas process un administrators ir pieņēmis lēmumu par saimnieciskās darbības neturpināšanu</w:t>
            </w:r>
            <w:r w:rsidR="00327A00">
              <w:rPr>
                <w:rFonts w:ascii="Times New Roman" w:hAnsi="Times New Roman"/>
                <w:sz w:val="24"/>
                <w:szCs w:val="24"/>
              </w:rPr>
              <w:t xml:space="preserve"> tikmēr</w:t>
            </w:r>
            <w:r w:rsidRPr="009C70D7">
              <w:rPr>
                <w:rFonts w:ascii="Times New Roman" w:hAnsi="Times New Roman"/>
                <w:sz w:val="24"/>
                <w:szCs w:val="24"/>
              </w:rPr>
              <w:t xml:space="preserve"> kamēr turpinās uzņēmuma maksātnespējas process, par katru pārskata gadu sagatavo bilanci.</w:t>
            </w:r>
          </w:p>
          <w:p w:rsidR="001F6882" w:rsidRDefault="001F6882" w:rsidP="001F6882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31">
              <w:rPr>
                <w:rFonts w:ascii="Times New Roman" w:hAnsi="Times New Roman"/>
                <w:sz w:val="24"/>
                <w:szCs w:val="24"/>
              </w:rPr>
              <w:t>2016.gada 3.februāra starpministriju (starpinstitūciju) sanāksmē tika panākta vienošanās, ka  Tieslietu ministrija izskatīs iespēju Maksātnespējas likumā vai Ministru kabineta  2010.gada 26.oktobra noteikumos Nr.1003 “</w:t>
            </w:r>
            <w:r w:rsidRPr="006C4831">
              <w:rPr>
                <w:rFonts w:ascii="Times New Roman" w:hAnsi="Times New Roman"/>
                <w:bCs/>
                <w:sz w:val="24"/>
                <w:szCs w:val="24"/>
              </w:rPr>
              <w:t>Noteikumi par maksātnespējas procesa administratora darbības pārskatu un tā aizpildīšanas kārtību” iestrādāt normu, iesniedzot  darbības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pārskatu Maksātnespējas administrācijai, administrators kalendārā gada sākumā iesniedz arī bilanci par</w:t>
            </w:r>
            <w:r w:rsidR="004859B2" w:rsidRPr="006C4831">
              <w:rPr>
                <w:rFonts w:ascii="Times New Roman" w:hAnsi="Times New Roman"/>
                <w:sz w:val="24"/>
                <w:szCs w:val="24"/>
              </w:rPr>
              <w:t xml:space="preserve"> iepriekšējo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pārskata gadu. Bilance </w:t>
            </w:r>
            <w:r w:rsidR="009C70D7">
              <w:rPr>
                <w:rFonts w:ascii="Times New Roman" w:hAnsi="Times New Roman"/>
                <w:sz w:val="24"/>
                <w:szCs w:val="24"/>
              </w:rPr>
              <w:t>tiks</w:t>
            </w:r>
            <w:r w:rsidR="009C70D7" w:rsidRPr="006C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 xml:space="preserve">sagatavota un iesniegta katru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gadu, </w:t>
            </w:r>
            <w:r w:rsidR="009C70D7">
              <w:rPr>
                <w:rFonts w:ascii="Times New Roman" w:hAnsi="Times New Roman"/>
                <w:sz w:val="24"/>
                <w:szCs w:val="24"/>
              </w:rPr>
              <w:t xml:space="preserve">tikmēr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>kamēr turpinās uzņēmuma maksātnespējas process. Iesniedzot bilanci  maksātnespējas administratoram par katru pārskata gadu, tiks nodrošināta izsekojamība uzņēmumam, kam turpinās maksātnespējas process ilgāk par gadu, faktiskajam mantiskajam stāvoklim</w:t>
            </w:r>
            <w:r w:rsidR="009C70D7">
              <w:rPr>
                <w:rFonts w:ascii="Times New Roman" w:hAnsi="Times New Roman"/>
                <w:sz w:val="24"/>
                <w:szCs w:val="24"/>
              </w:rPr>
              <w:t>, kā arī</w:t>
            </w:r>
            <w:r w:rsidR="00602894">
              <w:rPr>
                <w:rFonts w:ascii="Times New Roman" w:hAnsi="Times New Roman"/>
                <w:sz w:val="24"/>
                <w:szCs w:val="24"/>
              </w:rPr>
              <w:t xml:space="preserve"> par</w:t>
            </w:r>
            <w:r w:rsidR="009C70D7">
              <w:rPr>
                <w:rFonts w:ascii="Times New Roman" w:hAnsi="Times New Roman"/>
                <w:sz w:val="24"/>
                <w:szCs w:val="24"/>
              </w:rPr>
              <w:t xml:space="preserve"> kreditoru un debitoru saistībām</w:t>
            </w:r>
            <w:r w:rsidR="00602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831">
              <w:rPr>
                <w:rFonts w:ascii="Times New Roman" w:hAnsi="Times New Roman"/>
                <w:sz w:val="24"/>
                <w:szCs w:val="24"/>
              </w:rPr>
              <w:t>uz pārskata gada beigām.</w:t>
            </w:r>
          </w:p>
          <w:p w:rsidR="00602894" w:rsidRPr="006C4831" w:rsidRDefault="00602894" w:rsidP="001F6882">
            <w:pPr>
              <w:spacing w:after="0" w:line="240" w:lineRule="auto"/>
              <w:ind w:firstLine="422"/>
              <w:jc w:val="both"/>
            </w:pPr>
          </w:p>
          <w:p w:rsidR="00E45327" w:rsidRPr="006C4831" w:rsidRDefault="00511BC9" w:rsidP="00511BC9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</w:pPr>
            <w:r w:rsidRPr="006C4831">
              <w:t>3.</w:t>
            </w:r>
            <w:r w:rsidR="001815AF" w:rsidRPr="006C4831">
              <w:t>Neskatoties uz to, ka jau šobrīd no likuma 2.panta izriet</w:t>
            </w:r>
            <w:r w:rsidR="00EB5728">
              <w:t xml:space="preserve"> grāmatvedības pamatprincips, </w:t>
            </w:r>
            <w:r w:rsidR="00654D5F" w:rsidRPr="006C4831">
              <w:t>ka</w:t>
            </w:r>
            <w:r w:rsidR="00872B79" w:rsidRPr="006C4831">
              <w:t xml:space="preserve"> uzņēmumam</w:t>
            </w:r>
            <w:r w:rsidR="00654D5F" w:rsidRPr="006C4831">
              <w:t xml:space="preserve"> ir</w:t>
            </w:r>
            <w:r w:rsidR="00872B79" w:rsidRPr="006C4831">
              <w:t xml:space="preserve"> pienākums </w:t>
            </w:r>
            <w:r w:rsidR="006B1013">
              <w:t>kārtot grāmatvedību tā, lai</w:t>
            </w:r>
            <w:r w:rsidR="001815AF" w:rsidRPr="006C4831">
              <w:t xml:space="preserve"> </w:t>
            </w:r>
            <w:r w:rsidR="006B1013">
              <w:t xml:space="preserve">grāmatvedības jautājumos </w:t>
            </w:r>
            <w:r w:rsidR="001815AF" w:rsidRPr="006C4831">
              <w:t xml:space="preserve">kvalificēta trešā persona varētu gūt patiesu un skaidru priekšstatu par uzņēmuma bilancē uzrādīto </w:t>
            </w:r>
            <w:r w:rsidR="006B1013">
              <w:t xml:space="preserve">aktīvu un pasīvu </w:t>
            </w:r>
            <w:r w:rsidR="001815AF" w:rsidRPr="009219EC">
              <w:t>vērtību</w:t>
            </w:r>
            <w:r w:rsidR="00872B79" w:rsidRPr="009219EC">
              <w:t>,</w:t>
            </w:r>
            <w:r w:rsidR="009219EC" w:rsidRPr="009219EC">
              <w:t xml:space="preserve"> </w:t>
            </w:r>
            <w:r w:rsidR="009219EC" w:rsidRPr="00F611EC">
              <w:t>t.i. nodrošināt izsekojamību</w:t>
            </w:r>
            <w:r w:rsidR="00F611EC" w:rsidRPr="00F611EC">
              <w:t xml:space="preserve"> katram saimnieciskajam darījumam</w:t>
            </w:r>
            <w:r w:rsidR="009219EC" w:rsidRPr="00F611EC">
              <w:t xml:space="preserve">, </w:t>
            </w:r>
            <w:r w:rsidR="00872B79" w:rsidRPr="00F611EC">
              <w:t>ti</w:t>
            </w:r>
            <w:r w:rsidR="00872B79" w:rsidRPr="006C4831">
              <w:t xml:space="preserve">ka ņemts </w:t>
            </w:r>
            <w:r w:rsidR="000B29F7" w:rsidRPr="006C4831">
              <w:t xml:space="preserve">vērā Valsts kontroles </w:t>
            </w:r>
            <w:r w:rsidR="00872B79" w:rsidRPr="006C4831">
              <w:t>ieteikums</w:t>
            </w:r>
            <w:r w:rsidR="00654D5F" w:rsidRPr="006C4831">
              <w:t xml:space="preserve"> - </w:t>
            </w:r>
            <w:r w:rsidR="00050C70">
              <w:t>vērtēt nepieciešamību un pamatotas vajadzības gadījumā izstrādāt papildu prasīb</w:t>
            </w:r>
            <w:r w:rsidR="00EB5728">
              <w:t>as</w:t>
            </w:r>
            <w:r w:rsidR="00050C70">
              <w:t xml:space="preserve"> attiecībā uz </w:t>
            </w:r>
            <w:r w:rsidR="00301E2F">
              <w:t xml:space="preserve">ilgtermiņu ieguldījuma </w:t>
            </w:r>
            <w:r w:rsidR="00050C70">
              <w:t>attaisnojuma dokumentu glabāšanas termi</w:t>
            </w:r>
            <w:r w:rsidR="00EB5728">
              <w:t>ņu</w:t>
            </w:r>
            <w:r w:rsidR="00050C70" w:rsidRPr="006C4831">
              <w:t xml:space="preserve"> </w:t>
            </w:r>
            <w:r w:rsidR="00BD652B" w:rsidRPr="006C4831">
              <w:t>uzņēmuma arhīvā</w:t>
            </w:r>
            <w:r w:rsidR="00872B79" w:rsidRPr="006C4831">
              <w:t>.</w:t>
            </w:r>
            <w:r w:rsidR="00BD652B" w:rsidRPr="006C4831">
              <w:t xml:space="preserve"> </w:t>
            </w:r>
            <w:r w:rsidR="006B7503" w:rsidRPr="006C4831">
              <w:t>Izvērtējot</w:t>
            </w:r>
            <w:r w:rsidR="00F36900">
              <w:t xml:space="preserve"> Valsts kontroles</w:t>
            </w:r>
            <w:r w:rsidR="006B7503" w:rsidRPr="006C4831">
              <w:t xml:space="preserve"> </w:t>
            </w:r>
            <w:r w:rsidR="00F36900">
              <w:t xml:space="preserve">ieteikumu </w:t>
            </w:r>
            <w:r w:rsidR="006B7503" w:rsidRPr="006C4831">
              <w:t xml:space="preserve">un uzklausot Latvijas pašvaldību savienības pārstāvjus par </w:t>
            </w:r>
            <w:r w:rsidR="006B1013">
              <w:t>ilgtermiņa ieguldījumu</w:t>
            </w:r>
            <w:r w:rsidR="006B1013" w:rsidRPr="006C4831">
              <w:t xml:space="preserve"> </w:t>
            </w:r>
            <w:r w:rsidR="006B7503" w:rsidRPr="006C4831">
              <w:t>pamatojošo attaisnojuma dokumentu izsekojamību</w:t>
            </w:r>
            <w:r w:rsidR="0082767D">
              <w:t>,</w:t>
            </w:r>
            <w:r w:rsidR="00B37653" w:rsidRPr="006C4831">
              <w:t xml:space="preserve"> </w:t>
            </w:r>
            <w:r w:rsidR="006B7503" w:rsidRPr="006C4831">
              <w:t xml:space="preserve">tiek </w:t>
            </w:r>
            <w:r w:rsidR="00F36900">
              <w:t>precizēta likuma</w:t>
            </w:r>
            <w:r w:rsidR="00BD652B" w:rsidRPr="006C4831">
              <w:t xml:space="preserve"> 10.panta otrā </w:t>
            </w:r>
            <w:r w:rsidR="0082767D" w:rsidRPr="006C4831">
              <w:t>daļa</w:t>
            </w:r>
            <w:r w:rsidR="0082767D">
              <w:t>, kurā šobrīd ir noteikts, ka pārējiem attaisnojuma dokumentiem glabāšanas termiņš uzņēmuma arhīv</w:t>
            </w:r>
            <w:r w:rsidR="006B1013">
              <w:t>ā</w:t>
            </w:r>
            <w:r w:rsidR="0082767D">
              <w:t xml:space="preserve"> ir pieci gadi. </w:t>
            </w:r>
            <w:r w:rsidR="00E933A6">
              <w:t xml:space="preserve">Likumā ir noteikts minimālais glabāšanas termiņš, taču attaisnojuma dokumentus var glabāt arī ilgāk. Tādējādi likumprojekts </w:t>
            </w:r>
            <w:r w:rsidR="0082767D">
              <w:t xml:space="preserve">paredz </w:t>
            </w:r>
            <w:r w:rsidR="00EB5728">
              <w:t xml:space="preserve">precizējošu normu, ka </w:t>
            </w:r>
            <w:r w:rsidR="00BD652B" w:rsidRPr="006C4831">
              <w:t>attaisnojuma dokumentus</w:t>
            </w:r>
            <w:r w:rsidR="00F36900">
              <w:t xml:space="preserve"> jāglabā </w:t>
            </w:r>
            <w:r w:rsidR="0082767D" w:rsidRPr="00B163BD">
              <w:rPr>
                <w:u w:val="single"/>
              </w:rPr>
              <w:t>vismaz</w:t>
            </w:r>
            <w:r w:rsidR="00F36900">
              <w:t xml:space="preserve"> piecus gadus. Līdz ar to uzņēmuma vadītājam</w:t>
            </w:r>
            <w:r w:rsidR="0082767D">
              <w:t xml:space="preserve"> pašam</w:t>
            </w:r>
            <w:r w:rsidR="00F36900">
              <w:t xml:space="preserve"> ir </w:t>
            </w:r>
            <w:r w:rsidR="00EB5728">
              <w:t xml:space="preserve">rūpīgi </w:t>
            </w:r>
            <w:r w:rsidR="00F36900">
              <w:t>jāizvērtē</w:t>
            </w:r>
            <w:r w:rsidR="00050C70">
              <w:t xml:space="preserve"> vai</w:t>
            </w:r>
            <w:r w:rsidR="00F36900">
              <w:t xml:space="preserve"> attaisnojuma dokument</w:t>
            </w:r>
            <w:r w:rsidR="00E80AF9">
              <w:t>u</w:t>
            </w:r>
            <w:r w:rsidR="00F36900">
              <w:t xml:space="preserve">s ir nepieciešams glabāt ilgāk par pieciem gadiem (piemēram, </w:t>
            </w:r>
            <w:r w:rsidR="00050C70">
              <w:t>nekustamo īpašumu vai nemateriālo ieguldījumu</w:t>
            </w:r>
            <w:r w:rsidR="00B163BD">
              <w:t xml:space="preserve"> </w:t>
            </w:r>
            <w:r w:rsidR="00F36900">
              <w:t xml:space="preserve">iegādes </w:t>
            </w:r>
            <w:r w:rsidR="00050C70">
              <w:t xml:space="preserve">un to vērtību izmaiņu pamatojošos attaisnojuma </w:t>
            </w:r>
            <w:r w:rsidR="00F36900">
              <w:t>dokumentus</w:t>
            </w:r>
            <w:r w:rsidR="00050C70">
              <w:t>)</w:t>
            </w:r>
            <w:r w:rsidR="00EB5728">
              <w:t>. Pēc būtības, ņemot vērā grāmatvedības principus, attaisnojuma dokumentus jāglabā t</w:t>
            </w:r>
            <w:r w:rsidR="006B1013">
              <w:t xml:space="preserve">ikmēr kamēr </w:t>
            </w:r>
            <w:r w:rsidR="00050C70">
              <w:t xml:space="preserve">objekts ir uzņēmuma bilancē </w:t>
            </w:r>
            <w:r w:rsidR="00EB5728">
              <w:t>un jāievēro nosacījums</w:t>
            </w:r>
            <w:r w:rsidR="00301E2F">
              <w:t>, ka attaisnojuma dokumentu glabāšanas laiks nedrīkst būt mazāk</w:t>
            </w:r>
            <w:r w:rsidR="00B163BD">
              <w:t>s</w:t>
            </w:r>
            <w:r w:rsidR="00301E2F">
              <w:t xml:space="preserve"> par </w:t>
            </w:r>
            <w:r w:rsidR="00EB5728">
              <w:t>5 gad</w:t>
            </w:r>
            <w:r w:rsidR="00301E2F">
              <w:t>iem</w:t>
            </w:r>
            <w:r w:rsidR="00F36900">
              <w:t>,</w:t>
            </w:r>
            <w:r w:rsidR="00301E2F">
              <w:t xml:space="preserve"> tādējādi nodrošinot</w:t>
            </w:r>
            <w:r w:rsidR="00F36900">
              <w:t xml:space="preserve">, ka kvalificēta trešā persona var gūt skaidru un patiesu priekšstatu par uzņēmuma finansiālo stāvokli bilances datumā un </w:t>
            </w:r>
            <w:r w:rsidR="00301E2F">
              <w:t xml:space="preserve">izsekot katram saimnieciskajam darījumam. </w:t>
            </w:r>
          </w:p>
          <w:p w:rsidR="003D42BF" w:rsidRPr="006C4831" w:rsidRDefault="003D42BF" w:rsidP="003D4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204E5" w:rsidRPr="001F6882" w:rsidRDefault="00511BC9" w:rsidP="00511BC9">
            <w:pPr>
              <w:pStyle w:val="NormalWeb"/>
              <w:spacing w:before="0" w:beforeAutospacing="0" w:after="0" w:afterAutospacing="0"/>
              <w:ind w:firstLine="281"/>
              <w:contextualSpacing/>
              <w:jc w:val="both"/>
            </w:pPr>
            <w:bookmarkStart w:id="1" w:name="p-571840"/>
            <w:bookmarkStart w:id="2" w:name="p1"/>
            <w:bookmarkEnd w:id="1"/>
            <w:bookmarkEnd w:id="2"/>
            <w:r w:rsidRPr="006C4831">
              <w:rPr>
                <w:shd w:val="clear" w:color="auto" w:fill="FFFFFF"/>
              </w:rPr>
              <w:t>4.</w:t>
            </w:r>
            <w:r w:rsidR="00F911F0" w:rsidRPr="006C4831">
              <w:rPr>
                <w:shd w:val="clear" w:color="auto" w:fill="FFFFFF"/>
              </w:rPr>
              <w:t xml:space="preserve">Ņemot vērā Tieslietu ministrijas priekšlikumu, </w:t>
            </w:r>
            <w:r w:rsidR="00C204E5" w:rsidRPr="006C4831">
              <w:t>redakcionāli tiek precizēt</w:t>
            </w:r>
            <w:r w:rsidR="00D002DD" w:rsidRPr="006C4831">
              <w:t>a</w:t>
            </w:r>
            <w:r w:rsidR="00C204E5" w:rsidRPr="006C4831">
              <w:t xml:space="preserve"> </w:t>
            </w:r>
            <w:r w:rsidR="00C204E5" w:rsidRPr="006C4831">
              <w:rPr>
                <w:i/>
                <w:u w:val="single"/>
              </w:rPr>
              <w:t>likuma 11.panta pirmā daļ</w:t>
            </w:r>
            <w:r w:rsidR="00D002DD" w:rsidRPr="006C4831">
              <w:rPr>
                <w:i/>
                <w:u w:val="single"/>
              </w:rPr>
              <w:t>a</w:t>
            </w:r>
            <w:r w:rsidR="00C204E5" w:rsidRPr="006C4831">
              <w:t xml:space="preserve">, aizstājot vārdus </w:t>
            </w:r>
            <w:r w:rsidR="00D002DD" w:rsidRPr="006C4831">
              <w:t>“ja ir ierosināta lieta par uzņēmuma pasludināšanu par maksātnespējīgu” ar vārdiem “ir pasludināts juridiskās personas maksātnespējas process”.</w:t>
            </w:r>
          </w:p>
        </w:tc>
      </w:tr>
      <w:tr w:rsidR="0030306F" w:rsidRPr="005528BE" w:rsidTr="00A37618">
        <w:trPr>
          <w:trHeight w:val="476"/>
        </w:trPr>
        <w:tc>
          <w:tcPr>
            <w:tcW w:w="224" w:type="pct"/>
          </w:tcPr>
          <w:p w:rsidR="0030306F" w:rsidRPr="00756214" w:rsidRDefault="0030306F" w:rsidP="00E55447">
            <w:pPr>
              <w:pStyle w:val="naiskr"/>
              <w:spacing w:before="0" w:beforeAutospacing="0" w:after="0" w:afterAutospacing="0"/>
              <w:ind w:right="57"/>
              <w:jc w:val="center"/>
            </w:pPr>
            <w:r w:rsidRPr="00756214">
              <w:lastRenderedPageBreak/>
              <w:t>3.</w:t>
            </w:r>
          </w:p>
        </w:tc>
        <w:tc>
          <w:tcPr>
            <w:tcW w:w="1247" w:type="pct"/>
          </w:tcPr>
          <w:p w:rsidR="0030306F" w:rsidRPr="00756214" w:rsidRDefault="0030306F" w:rsidP="00E55447">
            <w:pPr>
              <w:pStyle w:val="naiskr"/>
              <w:spacing w:before="0" w:beforeAutospacing="0" w:after="0" w:afterAutospacing="0"/>
              <w:ind w:right="57"/>
            </w:pPr>
            <w:r w:rsidRPr="00756214">
              <w:t>Projekta izstrādē iesaistītās institūcijas</w:t>
            </w:r>
          </w:p>
        </w:tc>
        <w:tc>
          <w:tcPr>
            <w:tcW w:w="3530" w:type="pct"/>
          </w:tcPr>
          <w:p w:rsidR="0030306F" w:rsidRPr="00AD1A5F" w:rsidRDefault="00AD1A5F" w:rsidP="00E5544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1A5F">
              <w:rPr>
                <w:rFonts w:ascii="Times New Roman" w:hAnsi="Times New Roman"/>
                <w:b/>
                <w:iCs/>
                <w:sz w:val="24"/>
                <w:szCs w:val="24"/>
              </w:rPr>
              <w:t>Valsts kontrole</w:t>
            </w:r>
          </w:p>
          <w:p w:rsidR="0030306F" w:rsidRPr="005528BE" w:rsidRDefault="0030306F" w:rsidP="00E5544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0306F" w:rsidRPr="005528BE" w:rsidTr="00A37618">
        <w:tc>
          <w:tcPr>
            <w:tcW w:w="224" w:type="pct"/>
          </w:tcPr>
          <w:p w:rsidR="0030306F" w:rsidRPr="00756214" w:rsidRDefault="0030306F" w:rsidP="00D15E0E">
            <w:pPr>
              <w:pStyle w:val="naiskr"/>
              <w:spacing w:before="0" w:beforeAutospacing="0" w:after="0" w:afterAutospacing="0"/>
              <w:ind w:right="57"/>
              <w:jc w:val="center"/>
            </w:pPr>
            <w:r w:rsidRPr="00756214">
              <w:t>4</w:t>
            </w:r>
            <w:r w:rsidR="00D15E0E">
              <w:t>.</w:t>
            </w:r>
          </w:p>
        </w:tc>
        <w:tc>
          <w:tcPr>
            <w:tcW w:w="1247" w:type="pct"/>
          </w:tcPr>
          <w:p w:rsidR="0030306F" w:rsidRPr="00756214" w:rsidRDefault="0030306F" w:rsidP="00E55447">
            <w:pPr>
              <w:pStyle w:val="naiskr"/>
              <w:spacing w:before="0" w:beforeAutospacing="0" w:after="0" w:afterAutospacing="0"/>
              <w:ind w:right="57"/>
            </w:pPr>
            <w:r w:rsidRPr="00756214">
              <w:t>Cita informācija</w:t>
            </w:r>
          </w:p>
        </w:tc>
        <w:tc>
          <w:tcPr>
            <w:tcW w:w="3530" w:type="pct"/>
          </w:tcPr>
          <w:p w:rsidR="0030306F" w:rsidRPr="005528BE" w:rsidRDefault="00C500AE" w:rsidP="000137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30306F" w:rsidRPr="00756214" w:rsidRDefault="0030306F" w:rsidP="00303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5"/>
      </w:tblGrid>
      <w:tr w:rsidR="0030306F" w:rsidRPr="005528BE" w:rsidTr="00E55447">
        <w:trPr>
          <w:trHeight w:val="419"/>
        </w:trPr>
        <w:tc>
          <w:tcPr>
            <w:tcW w:w="5000" w:type="pct"/>
            <w:gridSpan w:val="3"/>
            <w:vAlign w:val="center"/>
          </w:tcPr>
          <w:p w:rsidR="0030306F" w:rsidRPr="005528BE" w:rsidRDefault="0030306F" w:rsidP="00E5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28BE">
              <w:rPr>
                <w:rFonts w:ascii="Times New Roman" w:hAnsi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30306F" w:rsidRPr="005528BE" w:rsidTr="00E55447">
        <w:trPr>
          <w:trHeight w:val="415"/>
        </w:trPr>
        <w:tc>
          <w:tcPr>
            <w:tcW w:w="227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6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 xml:space="preserve">Sabiedrības mērķgrupas, kuras tiesiskais regulējums ietekmē </w:t>
            </w:r>
            <w:r w:rsidRPr="005528BE">
              <w:rPr>
                <w:rFonts w:ascii="Times New Roman" w:hAnsi="Times New Roman"/>
                <w:sz w:val="24"/>
                <w:szCs w:val="24"/>
              </w:rPr>
              <w:lastRenderedPageBreak/>
              <w:t>vai varētu ietekmēt</w:t>
            </w:r>
          </w:p>
        </w:tc>
        <w:tc>
          <w:tcPr>
            <w:tcW w:w="3207" w:type="pct"/>
          </w:tcPr>
          <w:p w:rsidR="0030306F" w:rsidRPr="00B8451C" w:rsidRDefault="0030306F" w:rsidP="0085151C">
            <w:pPr>
              <w:spacing w:after="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Likumprojekts </w:t>
            </w:r>
            <w:r w:rsidR="00941EF3" w:rsidRPr="00B8451C">
              <w:rPr>
                <w:rFonts w:ascii="Times New Roman" w:hAnsi="Times New Roman"/>
                <w:sz w:val="24"/>
                <w:szCs w:val="24"/>
              </w:rPr>
              <w:t xml:space="preserve">pozitīvi </w:t>
            </w:r>
            <w:r w:rsidRPr="00B8451C">
              <w:rPr>
                <w:rFonts w:ascii="Times New Roman" w:hAnsi="Times New Roman"/>
                <w:sz w:val="24"/>
                <w:szCs w:val="24"/>
              </w:rPr>
              <w:t xml:space="preserve">ietekmēs </w:t>
            </w:r>
            <w:r w:rsidR="00EB0D8D" w:rsidRPr="00B8451C">
              <w:rPr>
                <w:rFonts w:ascii="Times New Roman" w:hAnsi="Times New Roman"/>
                <w:sz w:val="24"/>
                <w:szCs w:val="24"/>
              </w:rPr>
              <w:t xml:space="preserve">mikrouzņēmumus </w:t>
            </w:r>
            <w:r w:rsidR="006F18B6" w:rsidRPr="00B8451C">
              <w:rPr>
                <w:rFonts w:ascii="Times New Roman" w:hAnsi="Times New Roman"/>
                <w:sz w:val="24"/>
                <w:szCs w:val="24"/>
              </w:rPr>
              <w:t>(</w:t>
            </w:r>
            <w:r w:rsidR="00EB0D8D" w:rsidRPr="00B8451C">
              <w:rPr>
                <w:rFonts w:ascii="Times New Roman" w:hAnsi="Times New Roman"/>
                <w:sz w:val="24"/>
                <w:szCs w:val="24"/>
              </w:rPr>
              <w:t>Mikrouzņēmumu nodokļa likuma izpratnē</w:t>
            </w:r>
            <w:r w:rsidR="006F18B6" w:rsidRPr="00B8451C">
              <w:rPr>
                <w:rFonts w:ascii="Times New Roman" w:hAnsi="Times New Roman"/>
                <w:sz w:val="24"/>
                <w:szCs w:val="24"/>
              </w:rPr>
              <w:t>)</w:t>
            </w:r>
            <w:r w:rsidR="002A2361" w:rsidRPr="00B8451C">
              <w:rPr>
                <w:rFonts w:ascii="Times New Roman" w:hAnsi="Times New Roman"/>
                <w:sz w:val="24"/>
                <w:szCs w:val="24"/>
              </w:rPr>
              <w:t>,</w:t>
            </w:r>
            <w:r w:rsidR="00EB0D8D" w:rsidRPr="00B8451C">
              <w:rPr>
                <w:rFonts w:ascii="Times New Roman" w:hAnsi="Times New Roman"/>
                <w:sz w:val="24"/>
                <w:szCs w:val="24"/>
              </w:rPr>
              <w:t xml:space="preserve"> individuālos </w:t>
            </w:r>
            <w:r w:rsidR="00EB0D8D" w:rsidRPr="00B84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komersantus, individuālos uzņēmumus, zemnieku un zvejnieku saimniecības, kuru apgrozījums (ieņēmumi) no saimnieciskajiem darījumiem iepriekšējā pārskata gadā nepārsniedz 300 000 </w:t>
            </w:r>
            <w:proofErr w:type="spellStart"/>
            <w:r w:rsidR="00EB0D8D" w:rsidRPr="00B8451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B0D8D" w:rsidRPr="00B8451C">
              <w:rPr>
                <w:rFonts w:ascii="Times New Roman" w:hAnsi="Times New Roman"/>
                <w:sz w:val="24"/>
                <w:szCs w:val="24"/>
              </w:rPr>
              <w:t>, citas fiziskās personas, kas veic saimniecisko darbību</w:t>
            </w:r>
            <w:r w:rsidR="00941EF3" w:rsidRPr="00B845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 xml:space="preserve">jo  tiem samazināsies </w:t>
            </w:r>
            <w:r w:rsidR="00941EF3" w:rsidRPr="003E2CDF">
              <w:rPr>
                <w:rFonts w:ascii="Times New Roman" w:hAnsi="Times New Roman"/>
                <w:sz w:val="24"/>
                <w:szCs w:val="24"/>
              </w:rPr>
              <w:t>administratīv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>ais</w:t>
            </w:r>
            <w:r w:rsidR="00941EF3" w:rsidRPr="003E2CDF">
              <w:rPr>
                <w:rFonts w:ascii="Times New Roman" w:hAnsi="Times New Roman"/>
                <w:sz w:val="24"/>
                <w:szCs w:val="24"/>
              </w:rPr>
              <w:t xml:space="preserve"> slog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>s</w:t>
            </w:r>
            <w:r w:rsidR="00941EF3" w:rsidRPr="003E2CDF">
              <w:rPr>
                <w:rFonts w:ascii="Times New Roman" w:hAnsi="Times New Roman"/>
                <w:sz w:val="24"/>
                <w:szCs w:val="24"/>
              </w:rPr>
              <w:t xml:space="preserve">  attiecībā uz attaisnojumu dokumentu iegrāmatošanu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>. Minēt</w:t>
            </w:r>
            <w:r w:rsidR="0085151C" w:rsidRPr="003E2CDF">
              <w:rPr>
                <w:rFonts w:ascii="Times New Roman" w:hAnsi="Times New Roman"/>
                <w:sz w:val="24"/>
                <w:szCs w:val="24"/>
              </w:rPr>
              <w:t>aj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>ie</w:t>
            </w:r>
            <w:r w:rsidR="0085151C" w:rsidRPr="003E2CDF">
              <w:rPr>
                <w:rFonts w:ascii="Times New Roman" w:hAnsi="Times New Roman"/>
                <w:sz w:val="24"/>
                <w:szCs w:val="24"/>
              </w:rPr>
              <w:t>m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 xml:space="preserve"> uzņēmumi</w:t>
            </w:r>
            <w:r w:rsidR="0085151C" w:rsidRPr="003E2CDF">
              <w:rPr>
                <w:rFonts w:ascii="Times New Roman" w:hAnsi="Times New Roman"/>
                <w:sz w:val="24"/>
                <w:szCs w:val="24"/>
              </w:rPr>
              <w:t>em pagarināsies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 xml:space="preserve"> attaisnojuma dokumentu</w:t>
            </w:r>
            <w:r w:rsidR="0085151C" w:rsidRPr="003E2CDF">
              <w:rPr>
                <w:rFonts w:ascii="Times New Roman" w:hAnsi="Times New Roman"/>
                <w:sz w:val="24"/>
                <w:szCs w:val="24"/>
              </w:rPr>
              <w:t xml:space="preserve"> iegrāmatošanas laiks un tie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EF3" w:rsidRPr="003E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1C" w:rsidRPr="003E2CDF">
              <w:rPr>
                <w:rFonts w:ascii="Times New Roman" w:hAnsi="Times New Roman"/>
                <w:sz w:val="24"/>
                <w:szCs w:val="24"/>
              </w:rPr>
              <w:t>būs tiesīgi iegrāmatot grāmatvedības reģistros ne vēlāk kā 15 dienu  laikā pēc tā ceturkšņa beigām, kurā saimnieciskais darījums noticis, un obligāti – pārskata gada beigās.</w:t>
            </w:r>
          </w:p>
        </w:tc>
      </w:tr>
      <w:tr w:rsidR="0030306F" w:rsidRPr="005528BE" w:rsidTr="00E55447">
        <w:trPr>
          <w:trHeight w:val="472"/>
        </w:trPr>
        <w:tc>
          <w:tcPr>
            <w:tcW w:w="227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6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7" w:type="pct"/>
          </w:tcPr>
          <w:p w:rsidR="006A3082" w:rsidRPr="005528BE" w:rsidRDefault="00BD652B" w:rsidP="00A55FC9">
            <w:pPr>
              <w:spacing w:after="0" w:line="240" w:lineRule="auto"/>
              <w:ind w:right="130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30306F" w:rsidRPr="005528BE" w:rsidTr="00E55447">
        <w:trPr>
          <w:trHeight w:val="476"/>
        </w:trPr>
        <w:tc>
          <w:tcPr>
            <w:tcW w:w="227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6" w:type="pct"/>
          </w:tcPr>
          <w:p w:rsidR="0030306F" w:rsidRPr="005528BE" w:rsidRDefault="0030306F" w:rsidP="00E55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7" w:type="pct"/>
          </w:tcPr>
          <w:p w:rsidR="00094A5C" w:rsidRPr="005528BE" w:rsidRDefault="00BD652B" w:rsidP="00F02F8D">
            <w:pPr>
              <w:spacing w:after="0" w:line="240" w:lineRule="auto"/>
              <w:ind w:right="140" w:firstLine="1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Nav</w:t>
            </w:r>
            <w:r w:rsidR="005630CB" w:rsidRPr="00552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6F" w:rsidRPr="005528BE" w:rsidTr="00E55447">
        <w:tc>
          <w:tcPr>
            <w:tcW w:w="227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6" w:type="pct"/>
          </w:tcPr>
          <w:p w:rsidR="0030306F" w:rsidRPr="005528BE" w:rsidRDefault="0030306F" w:rsidP="00E5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7" w:type="pct"/>
          </w:tcPr>
          <w:p w:rsidR="0030306F" w:rsidRPr="005528BE" w:rsidRDefault="00D602D3" w:rsidP="00D602D3">
            <w:p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5171" w:rsidRPr="005528BE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</w:p>
        </w:tc>
      </w:tr>
    </w:tbl>
    <w:p w:rsidR="0030306F" w:rsidRDefault="0030306F" w:rsidP="00303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F004D5" w:rsidRPr="005528BE" w:rsidTr="00D109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D5" w:rsidRPr="005528BE" w:rsidRDefault="00F004D5" w:rsidP="00D1092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F004D5" w:rsidRPr="005528BE" w:rsidTr="00D109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D5" w:rsidRPr="005528BE" w:rsidRDefault="00F004D5" w:rsidP="00D1092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28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Nav attiecināms.</w:t>
            </w:r>
          </w:p>
        </w:tc>
      </w:tr>
    </w:tbl>
    <w:p w:rsidR="005528BE" w:rsidRPr="005528BE" w:rsidRDefault="005528BE" w:rsidP="005528B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7F4755" w:rsidRPr="005528BE" w:rsidTr="00E55447">
        <w:trPr>
          <w:trHeight w:val="419"/>
        </w:trPr>
        <w:tc>
          <w:tcPr>
            <w:tcW w:w="5000" w:type="pct"/>
            <w:vAlign w:val="center"/>
          </w:tcPr>
          <w:p w:rsidR="007F4755" w:rsidRPr="009F6788" w:rsidRDefault="007F4755" w:rsidP="00E55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9F678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</w:tbl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8"/>
      </w:tblGrid>
      <w:tr w:rsidR="00941EF3" w:rsidRPr="005528BE" w:rsidTr="00772E90">
        <w:trPr>
          <w:trHeight w:val="427"/>
          <w:jc w:val="center"/>
        </w:trPr>
        <w:tc>
          <w:tcPr>
            <w:tcW w:w="9518" w:type="dxa"/>
            <w:tcBorders>
              <w:bottom w:val="single" w:sz="4" w:space="0" w:color="auto"/>
            </w:tcBorders>
          </w:tcPr>
          <w:p w:rsidR="00941EF3" w:rsidRPr="00756214" w:rsidRDefault="00941EF3" w:rsidP="00772E90">
            <w:pPr>
              <w:spacing w:after="0" w:line="240" w:lineRule="auto"/>
              <w:ind w:firstLine="45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30306F" w:rsidRDefault="0030306F" w:rsidP="00303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8"/>
      </w:tblGrid>
      <w:tr w:rsidR="008D3653" w:rsidRPr="005528BE" w:rsidTr="00E55447">
        <w:trPr>
          <w:trHeight w:val="381"/>
          <w:jc w:val="center"/>
        </w:trPr>
        <w:tc>
          <w:tcPr>
            <w:tcW w:w="9518" w:type="dxa"/>
            <w:vAlign w:val="center"/>
          </w:tcPr>
          <w:p w:rsidR="008D3653" w:rsidRPr="00756214" w:rsidRDefault="008D3653" w:rsidP="00E554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i/>
              </w:rPr>
            </w:pPr>
            <w:r w:rsidRPr="00756214">
              <w:rPr>
                <w:b/>
              </w:rPr>
              <w:t>V. Tiesību akta projekta atbilstība Latvijas Republikas starptautiskajām saistībām</w:t>
            </w:r>
          </w:p>
        </w:tc>
      </w:tr>
      <w:tr w:rsidR="008D3653" w:rsidRPr="005528BE" w:rsidTr="00F20146">
        <w:trPr>
          <w:trHeight w:val="427"/>
          <w:jc w:val="center"/>
        </w:trPr>
        <w:tc>
          <w:tcPr>
            <w:tcW w:w="9518" w:type="dxa"/>
            <w:tcBorders>
              <w:bottom w:val="single" w:sz="4" w:space="0" w:color="auto"/>
            </w:tcBorders>
          </w:tcPr>
          <w:p w:rsidR="008D3653" w:rsidRPr="00756214" w:rsidRDefault="008D3653" w:rsidP="008D3653">
            <w:pPr>
              <w:spacing w:after="0" w:line="240" w:lineRule="auto"/>
              <w:ind w:firstLine="45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7F4755" w:rsidRDefault="007F4755" w:rsidP="00303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24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9"/>
        <w:gridCol w:w="6248"/>
      </w:tblGrid>
      <w:tr w:rsidR="00F20146" w:rsidRPr="005528BE" w:rsidTr="00F20146">
        <w:trPr>
          <w:trHeight w:val="420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46" w:rsidRPr="000A2B0C" w:rsidRDefault="00F20146" w:rsidP="00660F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A2B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20146" w:rsidRPr="005528BE" w:rsidTr="00F20146">
        <w:trPr>
          <w:trHeight w:val="540"/>
          <w:jc w:val="center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0A2B0C" w:rsidRDefault="00F20146" w:rsidP="00660F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A2B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0A2B0C" w:rsidRDefault="00941EF3" w:rsidP="00ED0E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Uzziņa  par grozījumiem likumā “Par grāmatvedību”2015.gada 16.jūlijā tika publicēta Finanšu ministrijas mājas lapā sadaļā “Sabiedrības līdzdalība”.</w:t>
            </w:r>
          </w:p>
        </w:tc>
      </w:tr>
      <w:tr w:rsidR="00F20146" w:rsidRPr="005528BE" w:rsidTr="00F20146">
        <w:trPr>
          <w:trHeight w:val="330"/>
          <w:jc w:val="center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0A2B0C" w:rsidRDefault="00F20146" w:rsidP="00660F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A2B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82" w:rsidRPr="00C06725" w:rsidRDefault="001F6882" w:rsidP="001F68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06725">
              <w:rPr>
                <w:rFonts w:ascii="Times New Roman" w:hAnsi="Times New Roman"/>
                <w:sz w:val="24"/>
                <w:szCs w:val="24"/>
              </w:rPr>
              <w:t>Biedrība “Latvijas Sertificēto maksātnespējas procesa administratoru asociācija”.</w:t>
            </w:r>
          </w:p>
        </w:tc>
      </w:tr>
      <w:tr w:rsidR="00F20146" w:rsidRPr="005528BE" w:rsidTr="00F20146">
        <w:trPr>
          <w:trHeight w:val="465"/>
          <w:jc w:val="center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0A2B0C" w:rsidRDefault="00F20146" w:rsidP="00E5544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A2B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C06725" w:rsidRDefault="00B01F96" w:rsidP="00660F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06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F20146" w:rsidRPr="005528BE" w:rsidTr="00F20146">
        <w:trPr>
          <w:trHeight w:val="465"/>
          <w:jc w:val="center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0A2B0C" w:rsidRDefault="00F20146" w:rsidP="00013C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A2B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46" w:rsidRPr="00C06725" w:rsidRDefault="00AD1A5F" w:rsidP="00013C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0672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Tikšanās ar </w:t>
            </w:r>
            <w:r w:rsidRPr="00C06725">
              <w:rPr>
                <w:rFonts w:ascii="Times New Roman" w:hAnsi="Times New Roman"/>
                <w:sz w:val="24"/>
                <w:szCs w:val="24"/>
              </w:rPr>
              <w:t xml:space="preserve">Maksātnespējas </w:t>
            </w:r>
            <w:r w:rsidR="002C257E" w:rsidRPr="00C06725">
              <w:rPr>
                <w:rFonts w:ascii="Times New Roman" w:hAnsi="Times New Roman"/>
                <w:sz w:val="24"/>
                <w:szCs w:val="24"/>
              </w:rPr>
              <w:t>administrācij</w:t>
            </w:r>
            <w:r w:rsidR="00013C48">
              <w:rPr>
                <w:rFonts w:ascii="Times New Roman" w:hAnsi="Times New Roman"/>
                <w:sz w:val="24"/>
                <w:szCs w:val="24"/>
              </w:rPr>
              <w:t>as pārstāvi un Latvijas Pašvaldību savienības deleģētajiem pārstāvjiem no Ventspils pilsētas domes un Rīgas pilsētas domes</w:t>
            </w:r>
            <w:r w:rsidRPr="00C06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0146" w:rsidRDefault="00F20146" w:rsidP="00303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481"/>
        <w:gridCol w:w="6600"/>
      </w:tblGrid>
      <w:tr w:rsidR="0030306F" w:rsidRPr="005528BE" w:rsidTr="00E55447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30306F" w:rsidRPr="009F6788" w:rsidRDefault="0030306F" w:rsidP="00E55447">
            <w:pPr>
              <w:pStyle w:val="naisnod"/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9F6788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30306F" w:rsidRPr="005528BE" w:rsidTr="00E55447">
        <w:trPr>
          <w:trHeight w:val="427"/>
          <w:jc w:val="center"/>
        </w:trPr>
        <w:tc>
          <w:tcPr>
            <w:tcW w:w="437" w:type="dxa"/>
          </w:tcPr>
          <w:p w:rsidR="0030306F" w:rsidRPr="00756214" w:rsidRDefault="0030306F" w:rsidP="00E55447">
            <w:pPr>
              <w:pStyle w:val="naisnod"/>
              <w:spacing w:before="0" w:beforeAutospacing="0" w:after="0" w:afterAutospacing="0"/>
              <w:ind w:right="57"/>
              <w:jc w:val="both"/>
            </w:pPr>
            <w:r w:rsidRPr="00756214">
              <w:lastRenderedPageBreak/>
              <w:t>1.</w:t>
            </w:r>
          </w:p>
        </w:tc>
        <w:tc>
          <w:tcPr>
            <w:tcW w:w="2481" w:type="dxa"/>
          </w:tcPr>
          <w:p w:rsidR="0030306F" w:rsidRPr="00756214" w:rsidRDefault="0030306F" w:rsidP="00E55447">
            <w:pPr>
              <w:pStyle w:val="naisf"/>
              <w:spacing w:before="0" w:beforeAutospacing="0" w:after="0" w:afterAutospacing="0"/>
              <w:ind w:right="57"/>
              <w:jc w:val="both"/>
            </w:pPr>
            <w:r w:rsidRPr="00756214">
              <w:t>Projekta izpildē iesaistītās institūcijas</w:t>
            </w:r>
          </w:p>
        </w:tc>
        <w:tc>
          <w:tcPr>
            <w:tcW w:w="6600" w:type="dxa"/>
          </w:tcPr>
          <w:p w:rsidR="0030306F" w:rsidRPr="005528BE" w:rsidRDefault="00BD652B" w:rsidP="00E5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28BE">
              <w:rPr>
                <w:rFonts w:ascii="Times New Roman" w:hAnsi="Times New Roman"/>
                <w:sz w:val="24"/>
                <w:szCs w:val="24"/>
                <w:lang w:eastAsia="lv-LV"/>
              </w:rPr>
              <w:t>Finanšu ministrija</w:t>
            </w:r>
          </w:p>
        </w:tc>
      </w:tr>
      <w:tr w:rsidR="0030306F" w:rsidRPr="005528BE" w:rsidTr="00E55447">
        <w:trPr>
          <w:trHeight w:val="463"/>
          <w:jc w:val="center"/>
        </w:trPr>
        <w:tc>
          <w:tcPr>
            <w:tcW w:w="437" w:type="dxa"/>
          </w:tcPr>
          <w:p w:rsidR="0030306F" w:rsidRPr="00756214" w:rsidRDefault="0030306F" w:rsidP="00E55447">
            <w:pPr>
              <w:pStyle w:val="naisnod"/>
              <w:spacing w:before="0" w:beforeAutospacing="0" w:after="0" w:afterAutospacing="0"/>
              <w:ind w:right="57"/>
              <w:jc w:val="both"/>
            </w:pPr>
            <w:r w:rsidRPr="00756214">
              <w:t>2.</w:t>
            </w:r>
          </w:p>
        </w:tc>
        <w:tc>
          <w:tcPr>
            <w:tcW w:w="2481" w:type="dxa"/>
          </w:tcPr>
          <w:p w:rsidR="0030306F" w:rsidRPr="00756214" w:rsidRDefault="0030306F" w:rsidP="00E55447">
            <w:pPr>
              <w:pStyle w:val="naisf"/>
              <w:spacing w:before="0" w:beforeAutospacing="0" w:after="0" w:afterAutospacing="0"/>
              <w:ind w:right="57"/>
              <w:contextualSpacing/>
              <w:jc w:val="both"/>
            </w:pPr>
            <w:r w:rsidRPr="00756214">
              <w:t>Projekta izpildes ietekme uz pār</w:t>
            </w:r>
            <w:r w:rsidRPr="00756214">
              <w:softHyphen/>
              <w:t>valdes funkcijām un institucionālo struktūru.</w:t>
            </w:r>
          </w:p>
          <w:p w:rsidR="0030306F" w:rsidRPr="00756214" w:rsidRDefault="0030306F" w:rsidP="00E55447">
            <w:pPr>
              <w:pStyle w:val="naisf"/>
              <w:spacing w:before="0" w:beforeAutospacing="0" w:after="0" w:afterAutospacing="0"/>
              <w:ind w:right="57"/>
              <w:contextualSpacing/>
              <w:jc w:val="both"/>
            </w:pPr>
            <w:r w:rsidRPr="00756214">
              <w:t>Jaunu institūciju izveide, esošu institūciju likvidācija vai reorga</w:t>
            </w:r>
            <w:r w:rsidRPr="00756214">
              <w:softHyphen/>
              <w:t>nizācija, to ietekme uz institūcijas cilvēkresursiem</w:t>
            </w:r>
          </w:p>
        </w:tc>
        <w:tc>
          <w:tcPr>
            <w:tcW w:w="6600" w:type="dxa"/>
          </w:tcPr>
          <w:p w:rsidR="0030306F" w:rsidRPr="005528BE" w:rsidRDefault="0030306F" w:rsidP="00E5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lv-LV"/>
              </w:rPr>
            </w:pPr>
            <w:proofErr w:type="spellStart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>šo</w:t>
            </w:r>
            <w:proofErr w:type="spellEnd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5528BE">
              <w:rPr>
                <w:rFonts w:ascii="Times New Roman" w:hAnsi="Times New Roman"/>
                <w:sz w:val="24"/>
                <w:szCs w:val="24"/>
                <w:lang w:val="en-US" w:eastAsia="lv-LV"/>
              </w:rPr>
              <w:t>.</w:t>
            </w:r>
          </w:p>
          <w:p w:rsidR="0030306F" w:rsidRPr="005528BE" w:rsidRDefault="0030306F" w:rsidP="00E5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lv-LV"/>
              </w:rPr>
            </w:pPr>
          </w:p>
        </w:tc>
      </w:tr>
      <w:tr w:rsidR="0030306F" w:rsidRPr="005528BE" w:rsidTr="00E55447"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F" w:rsidRPr="00756214" w:rsidRDefault="0030306F" w:rsidP="00E55447">
            <w:pPr>
              <w:pStyle w:val="naisnod"/>
              <w:spacing w:before="0" w:beforeAutospacing="0" w:after="0" w:afterAutospacing="0"/>
              <w:ind w:right="57"/>
              <w:jc w:val="both"/>
            </w:pPr>
            <w:r w:rsidRPr="00756214"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F" w:rsidRPr="00756214" w:rsidRDefault="0030306F" w:rsidP="00E55447">
            <w:pPr>
              <w:pStyle w:val="naisf"/>
              <w:spacing w:before="0" w:beforeAutospacing="0" w:after="0" w:afterAutospacing="0"/>
              <w:ind w:right="57"/>
              <w:jc w:val="both"/>
            </w:pPr>
            <w:r w:rsidRPr="00756214">
              <w:t>Cita informācija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6F" w:rsidRPr="005528BE" w:rsidRDefault="0030306F" w:rsidP="00E5544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28BE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30306F" w:rsidRPr="00756214" w:rsidRDefault="0030306F" w:rsidP="003030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F08B4" w:rsidRDefault="006F08B4" w:rsidP="003030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0306F" w:rsidRPr="002E7798" w:rsidRDefault="0030306F" w:rsidP="003030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E7798">
        <w:rPr>
          <w:rFonts w:ascii="Times New Roman" w:eastAsia="Times New Roman" w:hAnsi="Times New Roman"/>
          <w:sz w:val="28"/>
          <w:szCs w:val="28"/>
          <w:lang w:eastAsia="lv-LV"/>
        </w:rPr>
        <w:t>Finanšu ministr</w:t>
      </w:r>
      <w:r w:rsidR="00634531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2E779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          </w:t>
      </w:r>
      <w:r w:rsidRPr="002E779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5605FA">
        <w:rPr>
          <w:rFonts w:ascii="Times New Roman" w:eastAsia="Times New Roman" w:hAnsi="Times New Roman"/>
          <w:sz w:val="28"/>
          <w:szCs w:val="28"/>
          <w:lang w:eastAsia="lv-LV"/>
        </w:rPr>
        <w:t>D.Reizniece-Ozola</w:t>
      </w:r>
    </w:p>
    <w:p w:rsidR="006F08B4" w:rsidRDefault="006F08B4" w:rsidP="00CD670E">
      <w:pPr>
        <w:pStyle w:val="Footer"/>
        <w:rPr>
          <w:rFonts w:ascii="Times New Roman" w:hAnsi="Times New Roman"/>
          <w:sz w:val="20"/>
          <w:szCs w:val="20"/>
        </w:rPr>
      </w:pPr>
    </w:p>
    <w:p w:rsidR="00652D68" w:rsidRDefault="00652D68" w:rsidP="00CD670E">
      <w:pPr>
        <w:pStyle w:val="Footer"/>
        <w:rPr>
          <w:rFonts w:ascii="Times New Roman" w:hAnsi="Times New Roman"/>
          <w:sz w:val="20"/>
          <w:szCs w:val="20"/>
        </w:rPr>
      </w:pPr>
    </w:p>
    <w:p w:rsidR="00652D68" w:rsidRPr="00652D68" w:rsidRDefault="00652D68" w:rsidP="00CD670E">
      <w:pPr>
        <w:pStyle w:val="Footer"/>
        <w:rPr>
          <w:rFonts w:ascii="Times New Roman" w:hAnsi="Times New Roman"/>
          <w:sz w:val="28"/>
          <w:szCs w:val="28"/>
        </w:rPr>
      </w:pPr>
      <w:r w:rsidRPr="00652D68">
        <w:rPr>
          <w:rFonts w:ascii="Times New Roman" w:hAnsi="Times New Roman"/>
          <w:sz w:val="28"/>
          <w:szCs w:val="28"/>
        </w:rPr>
        <w:t xml:space="preserve">          Vīza:</w:t>
      </w:r>
    </w:p>
    <w:p w:rsidR="00652D68" w:rsidRPr="00652D68" w:rsidRDefault="00652D68" w:rsidP="00CD670E">
      <w:pPr>
        <w:pStyle w:val="Footer"/>
        <w:rPr>
          <w:rFonts w:ascii="Times New Roman" w:hAnsi="Times New Roman"/>
          <w:sz w:val="28"/>
          <w:szCs w:val="28"/>
        </w:rPr>
      </w:pPr>
    </w:p>
    <w:p w:rsidR="00652D68" w:rsidRPr="00652D68" w:rsidRDefault="00652D68" w:rsidP="00CD670E">
      <w:pPr>
        <w:pStyle w:val="Footer"/>
        <w:rPr>
          <w:rFonts w:ascii="Times New Roman" w:hAnsi="Times New Roman"/>
          <w:sz w:val="28"/>
          <w:szCs w:val="28"/>
        </w:rPr>
      </w:pPr>
      <w:r w:rsidRPr="00652D68">
        <w:rPr>
          <w:rFonts w:ascii="Times New Roman" w:hAnsi="Times New Roman"/>
          <w:sz w:val="28"/>
          <w:szCs w:val="28"/>
        </w:rPr>
        <w:t xml:space="preserve">          Valsts sekretāre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605FA">
        <w:rPr>
          <w:rFonts w:ascii="Times New Roman" w:hAnsi="Times New Roman"/>
          <w:sz w:val="28"/>
          <w:szCs w:val="28"/>
        </w:rPr>
        <w:t xml:space="preserve">        </w:t>
      </w:r>
      <w:r w:rsidRPr="00652D6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52D68">
        <w:rPr>
          <w:rFonts w:ascii="Times New Roman" w:hAnsi="Times New Roman"/>
          <w:sz w:val="28"/>
          <w:szCs w:val="28"/>
        </w:rPr>
        <w:t>B.Bāne</w:t>
      </w:r>
      <w:proofErr w:type="spellEnd"/>
    </w:p>
    <w:p w:rsidR="00652D68" w:rsidRDefault="00652D68" w:rsidP="00CD670E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F08B4" w:rsidRDefault="006F08B4" w:rsidP="00CD670E">
      <w:pPr>
        <w:pStyle w:val="Footer"/>
        <w:rPr>
          <w:rFonts w:ascii="Times New Roman" w:hAnsi="Times New Roman"/>
          <w:sz w:val="20"/>
          <w:szCs w:val="20"/>
        </w:rPr>
      </w:pPr>
    </w:p>
    <w:p w:rsidR="00CD670E" w:rsidRPr="00CF725C" w:rsidRDefault="00F36900" w:rsidP="00CD670E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08.03</w:t>
      </w:r>
      <w:r w:rsidR="00F911F0">
        <w:rPr>
          <w:rFonts w:ascii="Times New Roman" w:hAnsi="Times New Roman"/>
          <w:sz w:val="20"/>
          <w:szCs w:val="20"/>
        </w:rPr>
        <w:t>.2015</w:t>
      </w:r>
      <w:r w:rsidR="00CD670E" w:rsidRPr="00CF725C">
        <w:rPr>
          <w:rFonts w:ascii="Times New Roman" w:hAnsi="Times New Roman"/>
          <w:sz w:val="20"/>
          <w:szCs w:val="20"/>
        </w:rPr>
        <w:t>.</w:t>
      </w:r>
    </w:p>
    <w:p w:rsidR="000E23A6" w:rsidRDefault="00F611EC" w:rsidP="00CD670E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1261</w:t>
      </w:r>
    </w:p>
    <w:p w:rsidR="00CD670E" w:rsidRPr="00CF725C" w:rsidRDefault="00CD670E" w:rsidP="00CD670E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Šaknere</w:t>
      </w:r>
      <w:r w:rsidRPr="00CF725C">
        <w:rPr>
          <w:rFonts w:ascii="Times New Roman" w:hAnsi="Times New Roman"/>
          <w:sz w:val="20"/>
          <w:szCs w:val="20"/>
        </w:rPr>
        <w:t>, 670956</w:t>
      </w:r>
      <w:r>
        <w:rPr>
          <w:rFonts w:ascii="Times New Roman" w:hAnsi="Times New Roman"/>
          <w:sz w:val="20"/>
          <w:szCs w:val="20"/>
        </w:rPr>
        <w:t>18</w:t>
      </w:r>
    </w:p>
    <w:p w:rsidR="00C500AE" w:rsidRPr="007B1363" w:rsidRDefault="008E00BC" w:rsidP="007B1363">
      <w:hyperlink r:id="rId12" w:history="1">
        <w:r w:rsidR="00CD670E" w:rsidRPr="00CD670E">
          <w:rPr>
            <w:rStyle w:val="Hyperlink"/>
            <w:rFonts w:ascii="Times New Roman" w:hAnsi="Times New Roman"/>
          </w:rPr>
          <w:t>Dina.Saknere@fm.gov.lv</w:t>
        </w:r>
      </w:hyperlink>
    </w:p>
    <w:sectPr w:rsidR="00C500AE" w:rsidRPr="007B1363" w:rsidSect="00E554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BC" w:rsidRDefault="008E00BC">
      <w:pPr>
        <w:spacing w:after="0" w:line="240" w:lineRule="auto"/>
      </w:pPr>
      <w:r>
        <w:separator/>
      </w:r>
    </w:p>
  </w:endnote>
  <w:endnote w:type="continuationSeparator" w:id="0">
    <w:p w:rsidR="008E00BC" w:rsidRDefault="008E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F1" w:rsidRPr="005528BE" w:rsidRDefault="003675C1" w:rsidP="00CE59F1">
    <w:pPr>
      <w:pStyle w:val="naisf"/>
      <w:spacing w:before="0" w:beforeAutospacing="0" w:after="0" w:afterAutospacing="0"/>
      <w:jc w:val="both"/>
      <w:rPr>
        <w:rFonts w:eastAsia="Calibri"/>
        <w:bCs/>
        <w:sz w:val="20"/>
        <w:szCs w:val="20"/>
        <w:lang w:eastAsia="x-none"/>
      </w:rPr>
    </w:pPr>
    <w:r>
      <w:rPr>
        <w:sz w:val="20"/>
        <w:szCs w:val="20"/>
      </w:rPr>
      <w:t>FMAnot_</w:t>
    </w:r>
    <w:r w:rsidR="00F36900">
      <w:rPr>
        <w:sz w:val="20"/>
        <w:szCs w:val="20"/>
      </w:rPr>
      <w:t>080316</w:t>
    </w:r>
    <w:r>
      <w:rPr>
        <w:sz w:val="20"/>
        <w:szCs w:val="20"/>
      </w:rPr>
      <w:t>_</w:t>
    </w:r>
    <w:r w:rsidR="002905A7">
      <w:rPr>
        <w:sz w:val="20"/>
        <w:szCs w:val="20"/>
      </w:rPr>
      <w:t>Grozījumi_lik_Par_gramatvedibu</w:t>
    </w:r>
    <w:r>
      <w:rPr>
        <w:sz w:val="20"/>
        <w:szCs w:val="20"/>
      </w:rPr>
      <w:t>;</w:t>
    </w:r>
    <w:r w:rsidR="00CE59F1" w:rsidRPr="00F74954">
      <w:rPr>
        <w:sz w:val="20"/>
        <w:szCs w:val="20"/>
      </w:rPr>
      <w:t xml:space="preserve"> </w:t>
    </w:r>
    <w:r w:rsidR="00CE59F1" w:rsidRPr="005528BE">
      <w:rPr>
        <w:rFonts w:eastAsia="Calibri"/>
        <w:bCs/>
        <w:sz w:val="20"/>
        <w:szCs w:val="20"/>
        <w:lang w:eastAsia="x-none"/>
      </w:rPr>
      <w:t>Likumprojekta „Grozījumi likumā „Par grāmatvedību”” sākotnējās ietekmes novērtējuma ziņojums (anotācija)</w:t>
    </w:r>
  </w:p>
  <w:p w:rsidR="00CE59F1" w:rsidRPr="001E019F" w:rsidRDefault="00CE59F1" w:rsidP="00CE59F1">
    <w:pPr>
      <w:pStyle w:val="Footer"/>
    </w:pPr>
  </w:p>
  <w:p w:rsidR="00E55447" w:rsidRPr="00CE59F1" w:rsidRDefault="00E55447" w:rsidP="00CE5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3" w:rsidRPr="005528BE" w:rsidRDefault="007B1363" w:rsidP="007B1363">
    <w:pPr>
      <w:pStyle w:val="naisf"/>
      <w:spacing w:before="0" w:beforeAutospacing="0" w:after="0" w:afterAutospacing="0"/>
      <w:jc w:val="both"/>
      <w:rPr>
        <w:rFonts w:eastAsia="Calibri"/>
        <w:bCs/>
        <w:sz w:val="20"/>
        <w:szCs w:val="20"/>
        <w:lang w:eastAsia="x-none"/>
      </w:rPr>
    </w:pPr>
    <w:r>
      <w:rPr>
        <w:sz w:val="20"/>
        <w:szCs w:val="20"/>
      </w:rPr>
      <w:t>FMAnot_</w:t>
    </w:r>
    <w:r w:rsidR="00F36900">
      <w:rPr>
        <w:sz w:val="20"/>
        <w:szCs w:val="20"/>
      </w:rPr>
      <w:t>080316</w:t>
    </w:r>
    <w:r>
      <w:rPr>
        <w:sz w:val="20"/>
        <w:szCs w:val="20"/>
      </w:rPr>
      <w:t>_Grozījumi_lik_Par_gramatvedibu;</w:t>
    </w:r>
    <w:r w:rsidRPr="00F74954">
      <w:rPr>
        <w:sz w:val="20"/>
        <w:szCs w:val="20"/>
      </w:rPr>
      <w:t xml:space="preserve"> </w:t>
    </w:r>
    <w:r w:rsidRPr="005528BE">
      <w:rPr>
        <w:rFonts w:eastAsia="Calibri"/>
        <w:bCs/>
        <w:sz w:val="20"/>
        <w:szCs w:val="20"/>
        <w:lang w:eastAsia="x-none"/>
      </w:rPr>
      <w:t>Likumprojekta „Grozījumi likumā „Par grāmatvedību”” sākotnējās ietekmes novērtējuma ziņojums (anotācija)</w:t>
    </w:r>
  </w:p>
  <w:p w:rsidR="00E55447" w:rsidRPr="001E019F" w:rsidRDefault="00E55447" w:rsidP="001E0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BC" w:rsidRDefault="008E00BC">
      <w:pPr>
        <w:spacing w:after="0" w:line="240" w:lineRule="auto"/>
      </w:pPr>
      <w:r>
        <w:separator/>
      </w:r>
    </w:p>
  </w:footnote>
  <w:footnote w:type="continuationSeparator" w:id="0">
    <w:p w:rsidR="008E00BC" w:rsidRDefault="008E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47" w:rsidRDefault="00A14AA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111">
      <w:rPr>
        <w:noProof/>
      </w:rPr>
      <w:t>5</w:t>
    </w:r>
    <w:r>
      <w:rPr>
        <w:noProof/>
      </w:rPr>
      <w:fldChar w:fldCharType="end"/>
    </w:r>
  </w:p>
  <w:p w:rsidR="00E55447" w:rsidRDefault="00E5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80" w:rsidRDefault="00EF3D80">
    <w:pPr>
      <w:pStyle w:val="Header"/>
      <w:jc w:val="center"/>
    </w:pPr>
  </w:p>
  <w:p w:rsidR="00EF3D80" w:rsidRDefault="00EF3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53E"/>
    <w:multiLevelType w:val="multilevel"/>
    <w:tmpl w:val="EE4A5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348" w:hanging="504"/>
      </w:pPr>
      <w:rPr>
        <w:rFonts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25" w:hanging="648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341510D"/>
    <w:multiLevelType w:val="hybridMultilevel"/>
    <w:tmpl w:val="9E525180"/>
    <w:lvl w:ilvl="0" w:tplc="BCBE38C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1" w:hanging="360"/>
      </w:pPr>
    </w:lvl>
    <w:lvl w:ilvl="2" w:tplc="0426001B" w:tentative="1">
      <w:start w:val="1"/>
      <w:numFmt w:val="lowerRoman"/>
      <w:lvlText w:val="%3."/>
      <w:lvlJc w:val="right"/>
      <w:pPr>
        <w:ind w:left="2081" w:hanging="180"/>
      </w:pPr>
    </w:lvl>
    <w:lvl w:ilvl="3" w:tplc="0426000F" w:tentative="1">
      <w:start w:val="1"/>
      <w:numFmt w:val="decimal"/>
      <w:lvlText w:val="%4."/>
      <w:lvlJc w:val="left"/>
      <w:pPr>
        <w:ind w:left="2801" w:hanging="360"/>
      </w:pPr>
    </w:lvl>
    <w:lvl w:ilvl="4" w:tplc="04260019" w:tentative="1">
      <w:start w:val="1"/>
      <w:numFmt w:val="lowerLetter"/>
      <w:lvlText w:val="%5."/>
      <w:lvlJc w:val="left"/>
      <w:pPr>
        <w:ind w:left="3521" w:hanging="360"/>
      </w:pPr>
    </w:lvl>
    <w:lvl w:ilvl="5" w:tplc="0426001B" w:tentative="1">
      <w:start w:val="1"/>
      <w:numFmt w:val="lowerRoman"/>
      <w:lvlText w:val="%6."/>
      <w:lvlJc w:val="right"/>
      <w:pPr>
        <w:ind w:left="4241" w:hanging="180"/>
      </w:pPr>
    </w:lvl>
    <w:lvl w:ilvl="6" w:tplc="0426000F" w:tentative="1">
      <w:start w:val="1"/>
      <w:numFmt w:val="decimal"/>
      <w:lvlText w:val="%7."/>
      <w:lvlJc w:val="left"/>
      <w:pPr>
        <w:ind w:left="4961" w:hanging="360"/>
      </w:pPr>
    </w:lvl>
    <w:lvl w:ilvl="7" w:tplc="04260019" w:tentative="1">
      <w:start w:val="1"/>
      <w:numFmt w:val="lowerLetter"/>
      <w:lvlText w:val="%8."/>
      <w:lvlJc w:val="left"/>
      <w:pPr>
        <w:ind w:left="5681" w:hanging="360"/>
      </w:pPr>
    </w:lvl>
    <w:lvl w:ilvl="8" w:tplc="0426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6F"/>
    <w:rsid w:val="00013784"/>
    <w:rsid w:val="00013C48"/>
    <w:rsid w:val="00045D77"/>
    <w:rsid w:val="00050325"/>
    <w:rsid w:val="00050C70"/>
    <w:rsid w:val="00077848"/>
    <w:rsid w:val="00085F31"/>
    <w:rsid w:val="000914EB"/>
    <w:rsid w:val="00094A5C"/>
    <w:rsid w:val="000A35C7"/>
    <w:rsid w:val="000B0111"/>
    <w:rsid w:val="000B29F7"/>
    <w:rsid w:val="000B5556"/>
    <w:rsid w:val="000C0AD7"/>
    <w:rsid w:val="000C28B4"/>
    <w:rsid w:val="000C56F3"/>
    <w:rsid w:val="000D565C"/>
    <w:rsid w:val="000E23A6"/>
    <w:rsid w:val="000E550D"/>
    <w:rsid w:val="000E5F7F"/>
    <w:rsid w:val="000F4A99"/>
    <w:rsid w:val="001039EE"/>
    <w:rsid w:val="00176C2C"/>
    <w:rsid w:val="001815AF"/>
    <w:rsid w:val="00181DFB"/>
    <w:rsid w:val="0018690E"/>
    <w:rsid w:val="0019415D"/>
    <w:rsid w:val="00194A07"/>
    <w:rsid w:val="001B3599"/>
    <w:rsid w:val="001C3B9B"/>
    <w:rsid w:val="001E019F"/>
    <w:rsid w:val="001F6882"/>
    <w:rsid w:val="002179AA"/>
    <w:rsid w:val="002211B4"/>
    <w:rsid w:val="0022400A"/>
    <w:rsid w:val="002263AD"/>
    <w:rsid w:val="00240AF9"/>
    <w:rsid w:val="00243720"/>
    <w:rsid w:val="00246FB7"/>
    <w:rsid w:val="00257C4A"/>
    <w:rsid w:val="00261F9C"/>
    <w:rsid w:val="00281BFC"/>
    <w:rsid w:val="002905A7"/>
    <w:rsid w:val="002963F2"/>
    <w:rsid w:val="002A2361"/>
    <w:rsid w:val="002B2A4E"/>
    <w:rsid w:val="002C257E"/>
    <w:rsid w:val="002D078F"/>
    <w:rsid w:val="002F7A3C"/>
    <w:rsid w:val="00301E2F"/>
    <w:rsid w:val="0030306F"/>
    <w:rsid w:val="00304702"/>
    <w:rsid w:val="00313CE7"/>
    <w:rsid w:val="00316178"/>
    <w:rsid w:val="003220EB"/>
    <w:rsid w:val="00327A00"/>
    <w:rsid w:val="0035331A"/>
    <w:rsid w:val="0035540F"/>
    <w:rsid w:val="00357F9E"/>
    <w:rsid w:val="003675C1"/>
    <w:rsid w:val="00396E5F"/>
    <w:rsid w:val="003D42BF"/>
    <w:rsid w:val="003E0F66"/>
    <w:rsid w:val="003E2CDF"/>
    <w:rsid w:val="003E5D9A"/>
    <w:rsid w:val="00416D05"/>
    <w:rsid w:val="004367BD"/>
    <w:rsid w:val="00436E4D"/>
    <w:rsid w:val="004416D2"/>
    <w:rsid w:val="004624CE"/>
    <w:rsid w:val="004714E7"/>
    <w:rsid w:val="004859B2"/>
    <w:rsid w:val="0049772C"/>
    <w:rsid w:val="00511549"/>
    <w:rsid w:val="00511BC9"/>
    <w:rsid w:val="005243CB"/>
    <w:rsid w:val="00532F74"/>
    <w:rsid w:val="005528BE"/>
    <w:rsid w:val="005605FA"/>
    <w:rsid w:val="0056188D"/>
    <w:rsid w:val="005630CB"/>
    <w:rsid w:val="00564E7B"/>
    <w:rsid w:val="00581901"/>
    <w:rsid w:val="005B3FDC"/>
    <w:rsid w:val="005D0DE2"/>
    <w:rsid w:val="005E5523"/>
    <w:rsid w:val="00602894"/>
    <w:rsid w:val="00616764"/>
    <w:rsid w:val="00634531"/>
    <w:rsid w:val="006349BE"/>
    <w:rsid w:val="006470A5"/>
    <w:rsid w:val="00652D68"/>
    <w:rsid w:val="0065482E"/>
    <w:rsid w:val="00654D5F"/>
    <w:rsid w:val="00660F28"/>
    <w:rsid w:val="0068386F"/>
    <w:rsid w:val="006A3082"/>
    <w:rsid w:val="006A743D"/>
    <w:rsid w:val="006B1013"/>
    <w:rsid w:val="006B1425"/>
    <w:rsid w:val="006B7503"/>
    <w:rsid w:val="006C0D86"/>
    <w:rsid w:val="006C4831"/>
    <w:rsid w:val="006C7786"/>
    <w:rsid w:val="006D2AA7"/>
    <w:rsid w:val="006D5831"/>
    <w:rsid w:val="006D691A"/>
    <w:rsid w:val="006F08B4"/>
    <w:rsid w:val="006F18B6"/>
    <w:rsid w:val="006F45CD"/>
    <w:rsid w:val="00712B7B"/>
    <w:rsid w:val="00715F1A"/>
    <w:rsid w:val="0073272E"/>
    <w:rsid w:val="00733D48"/>
    <w:rsid w:val="007A1847"/>
    <w:rsid w:val="007B1363"/>
    <w:rsid w:val="007C0201"/>
    <w:rsid w:val="007F1784"/>
    <w:rsid w:val="007F4755"/>
    <w:rsid w:val="00804F9A"/>
    <w:rsid w:val="0082247C"/>
    <w:rsid w:val="0082767D"/>
    <w:rsid w:val="00845D58"/>
    <w:rsid w:val="0085151C"/>
    <w:rsid w:val="00861F7B"/>
    <w:rsid w:val="008650B0"/>
    <w:rsid w:val="00871B6B"/>
    <w:rsid w:val="00872B79"/>
    <w:rsid w:val="008A5111"/>
    <w:rsid w:val="008D08CC"/>
    <w:rsid w:val="008D1B29"/>
    <w:rsid w:val="008D3653"/>
    <w:rsid w:val="008E00BC"/>
    <w:rsid w:val="008E14B4"/>
    <w:rsid w:val="008F05C9"/>
    <w:rsid w:val="008F16DF"/>
    <w:rsid w:val="00917C87"/>
    <w:rsid w:val="009219EC"/>
    <w:rsid w:val="009357C4"/>
    <w:rsid w:val="00941EF3"/>
    <w:rsid w:val="0097795C"/>
    <w:rsid w:val="009956DE"/>
    <w:rsid w:val="009A272F"/>
    <w:rsid w:val="009A2E09"/>
    <w:rsid w:val="009B143B"/>
    <w:rsid w:val="009C6333"/>
    <w:rsid w:val="009C70D7"/>
    <w:rsid w:val="009D22C4"/>
    <w:rsid w:val="009D635E"/>
    <w:rsid w:val="009E1BC7"/>
    <w:rsid w:val="00A107E5"/>
    <w:rsid w:val="00A14AA3"/>
    <w:rsid w:val="00A23569"/>
    <w:rsid w:val="00A27BA5"/>
    <w:rsid w:val="00A36973"/>
    <w:rsid w:val="00A37618"/>
    <w:rsid w:val="00A46D01"/>
    <w:rsid w:val="00A5492F"/>
    <w:rsid w:val="00A55FC9"/>
    <w:rsid w:val="00A56AF9"/>
    <w:rsid w:val="00A923C7"/>
    <w:rsid w:val="00AA3C82"/>
    <w:rsid w:val="00AA6A43"/>
    <w:rsid w:val="00AB2F1B"/>
    <w:rsid w:val="00AB3E0E"/>
    <w:rsid w:val="00AD1A5F"/>
    <w:rsid w:val="00AE5BE6"/>
    <w:rsid w:val="00AF463F"/>
    <w:rsid w:val="00AF7E89"/>
    <w:rsid w:val="00B01F96"/>
    <w:rsid w:val="00B073E1"/>
    <w:rsid w:val="00B16115"/>
    <w:rsid w:val="00B163BD"/>
    <w:rsid w:val="00B171E6"/>
    <w:rsid w:val="00B3185E"/>
    <w:rsid w:val="00B37653"/>
    <w:rsid w:val="00B52C09"/>
    <w:rsid w:val="00B61D02"/>
    <w:rsid w:val="00B66E59"/>
    <w:rsid w:val="00B80FB9"/>
    <w:rsid w:val="00B8451C"/>
    <w:rsid w:val="00B94077"/>
    <w:rsid w:val="00BB0223"/>
    <w:rsid w:val="00BC2678"/>
    <w:rsid w:val="00BC6062"/>
    <w:rsid w:val="00BD133D"/>
    <w:rsid w:val="00BD2F7F"/>
    <w:rsid w:val="00BD5171"/>
    <w:rsid w:val="00BD652B"/>
    <w:rsid w:val="00BF70CA"/>
    <w:rsid w:val="00BF711A"/>
    <w:rsid w:val="00C0036A"/>
    <w:rsid w:val="00C00D13"/>
    <w:rsid w:val="00C06725"/>
    <w:rsid w:val="00C204E5"/>
    <w:rsid w:val="00C308B3"/>
    <w:rsid w:val="00C500AE"/>
    <w:rsid w:val="00C64885"/>
    <w:rsid w:val="00C65B78"/>
    <w:rsid w:val="00C671EF"/>
    <w:rsid w:val="00C76590"/>
    <w:rsid w:val="00CC1A6D"/>
    <w:rsid w:val="00CC57DA"/>
    <w:rsid w:val="00CC781D"/>
    <w:rsid w:val="00CD670E"/>
    <w:rsid w:val="00CE4A13"/>
    <w:rsid w:val="00CE59F1"/>
    <w:rsid w:val="00D002DD"/>
    <w:rsid w:val="00D07B08"/>
    <w:rsid w:val="00D10922"/>
    <w:rsid w:val="00D15E0E"/>
    <w:rsid w:val="00D21CBE"/>
    <w:rsid w:val="00D3202A"/>
    <w:rsid w:val="00D446F7"/>
    <w:rsid w:val="00D602D3"/>
    <w:rsid w:val="00D7660B"/>
    <w:rsid w:val="00D80390"/>
    <w:rsid w:val="00D80ACD"/>
    <w:rsid w:val="00D923FC"/>
    <w:rsid w:val="00D97F0A"/>
    <w:rsid w:val="00DA4E75"/>
    <w:rsid w:val="00DD21AA"/>
    <w:rsid w:val="00DD2F5E"/>
    <w:rsid w:val="00DF5DE0"/>
    <w:rsid w:val="00E33660"/>
    <w:rsid w:val="00E35522"/>
    <w:rsid w:val="00E45327"/>
    <w:rsid w:val="00E55447"/>
    <w:rsid w:val="00E60341"/>
    <w:rsid w:val="00E61555"/>
    <w:rsid w:val="00E80AF9"/>
    <w:rsid w:val="00E87C80"/>
    <w:rsid w:val="00E92CF9"/>
    <w:rsid w:val="00E933A6"/>
    <w:rsid w:val="00EA010D"/>
    <w:rsid w:val="00EA5A24"/>
    <w:rsid w:val="00EA7982"/>
    <w:rsid w:val="00EB0D8D"/>
    <w:rsid w:val="00EB5728"/>
    <w:rsid w:val="00EB69A7"/>
    <w:rsid w:val="00ED0E88"/>
    <w:rsid w:val="00EF3D80"/>
    <w:rsid w:val="00F004D5"/>
    <w:rsid w:val="00F01DF0"/>
    <w:rsid w:val="00F02F8D"/>
    <w:rsid w:val="00F040FE"/>
    <w:rsid w:val="00F06BD0"/>
    <w:rsid w:val="00F20146"/>
    <w:rsid w:val="00F26CFB"/>
    <w:rsid w:val="00F274DB"/>
    <w:rsid w:val="00F36900"/>
    <w:rsid w:val="00F4113B"/>
    <w:rsid w:val="00F502D2"/>
    <w:rsid w:val="00F57B9B"/>
    <w:rsid w:val="00F611EC"/>
    <w:rsid w:val="00F65F56"/>
    <w:rsid w:val="00F74954"/>
    <w:rsid w:val="00F81408"/>
    <w:rsid w:val="00F911F0"/>
    <w:rsid w:val="00FA32F6"/>
    <w:rsid w:val="00FD2056"/>
    <w:rsid w:val="00FE321F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03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6F"/>
  </w:style>
  <w:style w:type="paragraph" w:styleId="Footer">
    <w:name w:val="footer"/>
    <w:basedOn w:val="Normal"/>
    <w:link w:val="FooterChar"/>
    <w:uiPriority w:val="99"/>
    <w:unhideWhenUsed/>
    <w:rsid w:val="00303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6F"/>
  </w:style>
  <w:style w:type="character" w:styleId="Hyperlink">
    <w:name w:val="Hyperlink"/>
    <w:uiPriority w:val="99"/>
    <w:rsid w:val="003030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0B0"/>
    <w:pPr>
      <w:ind w:left="720"/>
    </w:pPr>
  </w:style>
  <w:style w:type="paragraph" w:customStyle="1" w:styleId="tv2132">
    <w:name w:val="tv2132"/>
    <w:basedOn w:val="Normal"/>
    <w:rsid w:val="0073272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2B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2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42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03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6F"/>
  </w:style>
  <w:style w:type="paragraph" w:styleId="Footer">
    <w:name w:val="footer"/>
    <w:basedOn w:val="Normal"/>
    <w:link w:val="FooterChar"/>
    <w:uiPriority w:val="99"/>
    <w:unhideWhenUsed/>
    <w:rsid w:val="00303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6F"/>
  </w:style>
  <w:style w:type="character" w:styleId="Hyperlink">
    <w:name w:val="Hyperlink"/>
    <w:uiPriority w:val="99"/>
    <w:rsid w:val="003030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50B0"/>
    <w:pPr>
      <w:ind w:left="720"/>
    </w:pPr>
  </w:style>
  <w:style w:type="paragraph" w:customStyle="1" w:styleId="tv2132">
    <w:name w:val="tv2132"/>
    <w:basedOn w:val="Normal"/>
    <w:rsid w:val="0073272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2B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2B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4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9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019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ina.Saknere@f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J.Salmiņa</Vad_x012b_t_x0101_js>
    <Kategorija xmlns="2e5bb04e-596e-45bd-9003-43ca78b1ba16">Anotācija</Kategorija>
    <DKP xmlns="2e5bb04e-596e-45bd-9003-43ca78b1ba16">112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20AD-5154-4749-87D7-B8AF8CF6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2801AC-14BD-4279-9CF7-CD324345BD79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D2E70073-A3B8-4C5C-9AD2-505EA6397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AD271-FFC5-43AC-AF35-A426873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6956</Words>
  <Characters>3966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Grāmatvedību""</vt:lpstr>
    </vt:vector>
  </TitlesOfParts>
  <Manager>Jana Salmiņa</Manager>
  <Company>FM</Company>
  <LinksUpToDate>false</LinksUpToDate>
  <CharactersWithSpaces>10901</CharactersWithSpaces>
  <SharedDoc>false</SharedDoc>
  <HLinks>
    <vt:vector size="6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mailto:Dina.Saknere@fm.gov.lv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Grāmatvedību""</dc:title>
  <dc:subject>Anotācija</dc:subject>
  <dc:creator>Dina Šaknere</dc:creator>
  <dc:description>Dina.Saknere@fm.gov.lv, 67095618</dc:description>
  <cp:lastModifiedBy>Iveta Stafecka</cp:lastModifiedBy>
  <cp:revision>3</cp:revision>
  <cp:lastPrinted>2016-02-26T08:43:00Z</cp:lastPrinted>
  <dcterms:created xsi:type="dcterms:W3CDTF">2016-03-16T09:25:00Z</dcterms:created>
  <dcterms:modified xsi:type="dcterms:W3CDTF">2016-03-16T09:26:00Z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