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52EB" w14:textId="1CD9D101" w:rsidR="0046489D" w:rsidRPr="00811802" w:rsidRDefault="0046489D" w:rsidP="0046489D">
      <w:pPr>
        <w:jc w:val="center"/>
        <w:rPr>
          <w:b/>
        </w:rPr>
      </w:pPr>
      <w:bookmarkStart w:id="0" w:name="OLE_LINK1"/>
      <w:bookmarkStart w:id="1" w:name="OLE_LINK2"/>
      <w:r w:rsidRPr="00041A45">
        <w:rPr>
          <w:bCs/>
        </w:rPr>
        <w:t xml:space="preserve">Ministru kabineta noteikumu </w:t>
      </w:r>
      <w:r w:rsidR="00F1076D">
        <w:rPr>
          <w:bCs/>
        </w:rPr>
        <w:t xml:space="preserve">projekta </w:t>
      </w:r>
      <w:r w:rsidRPr="00811802">
        <w:rPr>
          <w:b/>
          <w:bCs/>
        </w:rPr>
        <w:t>“K</w:t>
      </w:r>
      <w:r w:rsidRPr="00811802">
        <w:rPr>
          <w:b/>
        </w:rPr>
        <w:t xml:space="preserve">ārtība, kādā tiek </w:t>
      </w:r>
      <w:r w:rsidR="00F1076D" w:rsidRPr="00811802">
        <w:rPr>
          <w:b/>
        </w:rPr>
        <w:t>publi</w:t>
      </w:r>
      <w:r w:rsidR="00F1076D">
        <w:rPr>
          <w:b/>
        </w:rPr>
        <w:t>skota</w:t>
      </w:r>
      <w:r w:rsidR="00F1076D" w:rsidRPr="00811802">
        <w:rPr>
          <w:b/>
        </w:rPr>
        <w:t xml:space="preserve"> </w:t>
      </w:r>
      <w:r w:rsidRPr="00811802">
        <w:rPr>
          <w:b/>
        </w:rPr>
        <w:t>informācija par amatpersonu (darbinieku) atlīdzības noteikšanas kritērijiem un darba samaksas apmēru sadalījumā pa amatu grupām”</w:t>
      </w:r>
      <w:r w:rsidRPr="0046489D">
        <w:rPr>
          <w:szCs w:val="28"/>
        </w:rPr>
        <w:t xml:space="preserve"> </w:t>
      </w:r>
      <w:r w:rsidR="00F1076D" w:rsidRPr="00BF4A60">
        <w:t>sākotnējās ietekmes novērtējuma ziņojums</w:t>
      </w:r>
      <w:r w:rsidR="00F1076D" w:rsidRPr="00517878">
        <w:rPr>
          <w:szCs w:val="28"/>
        </w:rPr>
        <w:t xml:space="preserve"> </w:t>
      </w:r>
      <w:r w:rsidR="00F1076D">
        <w:rPr>
          <w:szCs w:val="28"/>
        </w:rPr>
        <w:t>(</w:t>
      </w:r>
      <w:r w:rsidRPr="00517878">
        <w:rPr>
          <w:szCs w:val="28"/>
        </w:rPr>
        <w:t>anotācija</w:t>
      </w:r>
      <w:r w:rsidR="00F1076D">
        <w:rPr>
          <w:szCs w:val="28"/>
        </w:rPr>
        <w:t>)</w:t>
      </w:r>
    </w:p>
    <w:p w14:paraId="6C110791" w14:textId="77777777" w:rsidR="0046489D" w:rsidRDefault="0046489D" w:rsidP="00517878">
      <w:pPr>
        <w:rPr>
          <w:bCs/>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2457"/>
        <w:gridCol w:w="6073"/>
      </w:tblGrid>
      <w:tr w:rsidR="0070526D" w:rsidRPr="00AB42FA" w14:paraId="62087574" w14:textId="77777777" w:rsidTr="00721968">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14:paraId="3F09477E" w14:textId="77777777" w:rsidR="0070526D" w:rsidRPr="00AB42FA" w:rsidRDefault="0070526D" w:rsidP="0024678C">
            <w:pPr>
              <w:rPr>
                <w:rFonts w:eastAsia="Times New Roman" w:cs="Times New Roman"/>
                <w:sz w:val="24"/>
                <w:szCs w:val="24"/>
                <w:lang w:eastAsia="lv-LV"/>
              </w:rPr>
            </w:pPr>
            <w:r w:rsidRPr="00AB42FA">
              <w:rPr>
                <w:rFonts w:eastAsia="Times New Roman" w:cs="Times New Roman"/>
                <w:sz w:val="24"/>
                <w:szCs w:val="24"/>
                <w:lang w:eastAsia="lv-LV"/>
              </w:rPr>
              <w:t> </w:t>
            </w:r>
            <w:r w:rsidRPr="00AB42FA">
              <w:rPr>
                <w:rFonts w:eastAsia="Times New Roman" w:cs="Times New Roman"/>
                <w:b/>
                <w:bCs/>
                <w:sz w:val="24"/>
                <w:szCs w:val="24"/>
                <w:lang w:eastAsia="lv-LV"/>
              </w:rPr>
              <w:t> I. Tiesību akta projekta izstrādes nepieciešamība</w:t>
            </w:r>
          </w:p>
        </w:tc>
      </w:tr>
      <w:tr w:rsidR="0070526D" w:rsidRPr="00AB42FA" w14:paraId="03B2B874" w14:textId="77777777" w:rsidTr="00E5481B">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798EC452" w14:textId="77777777" w:rsidR="0070526D" w:rsidRPr="00AB42FA" w:rsidRDefault="0070526D" w:rsidP="0024678C">
            <w:pPr>
              <w:rPr>
                <w:rFonts w:eastAsia="Times New Roman" w:cs="Times New Roman"/>
                <w:sz w:val="24"/>
                <w:szCs w:val="24"/>
                <w:lang w:eastAsia="lv-LV"/>
              </w:rPr>
            </w:pPr>
            <w:r w:rsidRPr="00AB42FA">
              <w:rPr>
                <w:rFonts w:eastAsia="Times New Roman" w:cs="Times New Roman"/>
                <w:sz w:val="24"/>
                <w:szCs w:val="24"/>
                <w:lang w:eastAsia="lv-LV"/>
              </w:rPr>
              <w:t> 1.</w:t>
            </w:r>
          </w:p>
        </w:tc>
        <w:tc>
          <w:tcPr>
            <w:tcW w:w="2457" w:type="dxa"/>
            <w:tcBorders>
              <w:top w:val="outset" w:sz="6" w:space="0" w:color="auto"/>
              <w:left w:val="outset" w:sz="6" w:space="0" w:color="auto"/>
              <w:bottom w:val="outset" w:sz="6" w:space="0" w:color="auto"/>
              <w:right w:val="outset" w:sz="6" w:space="0" w:color="auto"/>
            </w:tcBorders>
            <w:hideMark/>
          </w:tcPr>
          <w:p w14:paraId="750E6E2E" w14:textId="77777777" w:rsidR="0070526D" w:rsidRPr="00AB42FA" w:rsidRDefault="0070526D" w:rsidP="0024678C">
            <w:pPr>
              <w:rPr>
                <w:rFonts w:eastAsia="Times New Roman" w:cs="Times New Roman"/>
                <w:sz w:val="24"/>
                <w:szCs w:val="24"/>
                <w:lang w:eastAsia="lv-LV"/>
              </w:rPr>
            </w:pPr>
            <w:r w:rsidRPr="00AB42FA">
              <w:rPr>
                <w:rFonts w:eastAsia="Times New Roman" w:cs="Times New Roman"/>
                <w:sz w:val="24"/>
                <w:szCs w:val="24"/>
                <w:lang w:eastAsia="lv-LV"/>
              </w:rPr>
              <w:t> Pamatojums</w:t>
            </w:r>
          </w:p>
        </w:tc>
        <w:tc>
          <w:tcPr>
            <w:tcW w:w="6073" w:type="dxa"/>
            <w:tcBorders>
              <w:top w:val="outset" w:sz="6" w:space="0" w:color="auto"/>
              <w:left w:val="outset" w:sz="6" w:space="0" w:color="auto"/>
              <w:bottom w:val="outset" w:sz="6" w:space="0" w:color="auto"/>
              <w:right w:val="outset" w:sz="6" w:space="0" w:color="auto"/>
            </w:tcBorders>
            <w:hideMark/>
          </w:tcPr>
          <w:p w14:paraId="45A5C63C" w14:textId="52274D51" w:rsidR="0070526D" w:rsidRPr="00AB42FA" w:rsidRDefault="00E00F86" w:rsidP="001044F3">
            <w:pPr>
              <w:pStyle w:val="naislab"/>
              <w:jc w:val="both"/>
            </w:pPr>
            <w:r w:rsidRPr="00AB42FA">
              <w:rPr>
                <w:bCs/>
              </w:rPr>
              <w:t>Ministru kabineta noteikumu projekt</w:t>
            </w:r>
            <w:r w:rsidR="000614E7" w:rsidRPr="00AB42FA">
              <w:rPr>
                <w:bCs/>
              </w:rPr>
              <w:t>s</w:t>
            </w:r>
            <w:r w:rsidRPr="00AB42FA">
              <w:rPr>
                <w:bCs/>
              </w:rPr>
              <w:t xml:space="preserve"> “K</w:t>
            </w:r>
            <w:r w:rsidRPr="00AB42FA">
              <w:t xml:space="preserve">ārtība, kādā tiek publiskota informācija par amatpersonu (darbinieku) atlīdzības noteikšanas kritērijiem un darba samaksas apmēru sadalījumā pa amatu grupām” </w:t>
            </w:r>
            <w:r w:rsidR="00192B03" w:rsidRPr="00AB42FA">
              <w:t>izstrādāts</w:t>
            </w:r>
            <w:r w:rsidR="00987F3E" w:rsidRPr="00AB42FA">
              <w:t>,</w:t>
            </w:r>
            <w:r w:rsidR="00192B03" w:rsidRPr="00AB42FA">
              <w:t xml:space="preserve"> </w:t>
            </w:r>
            <w:r w:rsidR="00F020D9" w:rsidRPr="00AB42FA">
              <w:t>izpildot</w:t>
            </w:r>
            <w:r w:rsidR="00192B03" w:rsidRPr="00AB42FA">
              <w:t xml:space="preserve"> </w:t>
            </w:r>
            <w:r w:rsidR="009F6011" w:rsidRPr="00AB42FA">
              <w:t xml:space="preserve">Valsts un pašvaldību institūciju amatpersonu un darbinieku atlīdzības </w:t>
            </w:r>
            <w:r w:rsidR="00AC0128" w:rsidRPr="00AB42FA">
              <w:t>likuma</w:t>
            </w:r>
            <w:r w:rsidR="00C71979" w:rsidRPr="00AB42FA">
              <w:t xml:space="preserve"> (turpmāk – Atlīdzības likums)</w:t>
            </w:r>
            <w:r w:rsidR="00AC0128" w:rsidRPr="00AB42FA">
              <w:t xml:space="preserve"> </w:t>
            </w:r>
            <w:r w:rsidR="00BC7C83" w:rsidRPr="00AB42FA">
              <w:t xml:space="preserve">3.panta vienpadsmitajā daļā </w:t>
            </w:r>
            <w:r w:rsidR="00F020D9" w:rsidRPr="00AB42FA">
              <w:t>Ministru kabinetam doto uzdevumu.</w:t>
            </w:r>
          </w:p>
        </w:tc>
      </w:tr>
      <w:tr w:rsidR="0070526D" w:rsidRPr="00AB42FA" w14:paraId="2AF1A5D5" w14:textId="77777777" w:rsidTr="00E5481B">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7A5AE6A5" w14:textId="77777777" w:rsidR="0070526D" w:rsidRPr="00AB42FA" w:rsidRDefault="0070526D" w:rsidP="0070526D">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 2.</w:t>
            </w:r>
          </w:p>
        </w:tc>
        <w:tc>
          <w:tcPr>
            <w:tcW w:w="2457" w:type="dxa"/>
            <w:tcBorders>
              <w:top w:val="outset" w:sz="6" w:space="0" w:color="auto"/>
              <w:left w:val="outset" w:sz="6" w:space="0" w:color="auto"/>
              <w:bottom w:val="outset" w:sz="6" w:space="0" w:color="auto"/>
              <w:right w:val="outset" w:sz="6" w:space="0" w:color="auto"/>
            </w:tcBorders>
            <w:hideMark/>
          </w:tcPr>
          <w:p w14:paraId="0C4F441A" w14:textId="358E7459" w:rsidR="00362E0F" w:rsidRPr="00AB42FA" w:rsidRDefault="007649F8" w:rsidP="0030223A">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Pašreizējā situācija un problēmas, kuru risināšanai tiesību akta projekts izstrādāts, tiesiskā regulējuma mērķis un būtība</w:t>
            </w:r>
          </w:p>
          <w:p w14:paraId="1714321A" w14:textId="77777777" w:rsidR="00362E0F" w:rsidRPr="00AB42FA" w:rsidRDefault="00362E0F" w:rsidP="00362E0F">
            <w:pPr>
              <w:rPr>
                <w:rFonts w:eastAsia="Times New Roman" w:cs="Times New Roman"/>
                <w:sz w:val="24"/>
                <w:szCs w:val="24"/>
                <w:lang w:eastAsia="lv-LV"/>
              </w:rPr>
            </w:pPr>
          </w:p>
          <w:p w14:paraId="3E5B7496" w14:textId="77777777" w:rsidR="00362E0F" w:rsidRPr="00AB42FA" w:rsidRDefault="00362E0F" w:rsidP="00362E0F">
            <w:pPr>
              <w:rPr>
                <w:rFonts w:eastAsia="Times New Roman" w:cs="Times New Roman"/>
                <w:sz w:val="24"/>
                <w:szCs w:val="24"/>
                <w:lang w:eastAsia="lv-LV"/>
              </w:rPr>
            </w:pPr>
          </w:p>
          <w:p w14:paraId="3A18BABA" w14:textId="77777777" w:rsidR="00362E0F" w:rsidRPr="00AB42FA" w:rsidRDefault="00362E0F" w:rsidP="00362E0F">
            <w:pPr>
              <w:rPr>
                <w:rFonts w:eastAsia="Times New Roman" w:cs="Times New Roman"/>
                <w:sz w:val="24"/>
                <w:szCs w:val="24"/>
                <w:lang w:eastAsia="lv-LV"/>
              </w:rPr>
            </w:pPr>
          </w:p>
          <w:p w14:paraId="27A41DA1" w14:textId="77777777" w:rsidR="00362E0F" w:rsidRPr="00AB42FA" w:rsidRDefault="00362E0F" w:rsidP="00362E0F">
            <w:pPr>
              <w:rPr>
                <w:rFonts w:eastAsia="Times New Roman" w:cs="Times New Roman"/>
                <w:sz w:val="24"/>
                <w:szCs w:val="24"/>
                <w:lang w:eastAsia="lv-LV"/>
              </w:rPr>
            </w:pPr>
          </w:p>
          <w:p w14:paraId="60A3024A" w14:textId="77777777" w:rsidR="00362E0F" w:rsidRPr="00AB42FA" w:rsidRDefault="00362E0F" w:rsidP="00362E0F">
            <w:pPr>
              <w:rPr>
                <w:rFonts w:eastAsia="Times New Roman" w:cs="Times New Roman"/>
                <w:sz w:val="24"/>
                <w:szCs w:val="24"/>
                <w:lang w:eastAsia="lv-LV"/>
              </w:rPr>
            </w:pPr>
          </w:p>
          <w:p w14:paraId="3A32E760" w14:textId="77777777" w:rsidR="00362E0F" w:rsidRPr="00AB42FA" w:rsidRDefault="00362E0F" w:rsidP="00362E0F">
            <w:pPr>
              <w:rPr>
                <w:rFonts w:eastAsia="Times New Roman" w:cs="Times New Roman"/>
                <w:sz w:val="24"/>
                <w:szCs w:val="24"/>
                <w:lang w:eastAsia="lv-LV"/>
              </w:rPr>
            </w:pPr>
          </w:p>
          <w:p w14:paraId="1D85F405" w14:textId="77777777" w:rsidR="00362E0F" w:rsidRPr="00AB42FA" w:rsidRDefault="00362E0F" w:rsidP="00362E0F">
            <w:pPr>
              <w:rPr>
                <w:rFonts w:eastAsia="Times New Roman" w:cs="Times New Roman"/>
                <w:sz w:val="24"/>
                <w:szCs w:val="24"/>
                <w:lang w:eastAsia="lv-LV"/>
              </w:rPr>
            </w:pPr>
          </w:p>
          <w:p w14:paraId="0D6EA925" w14:textId="77777777" w:rsidR="00362E0F" w:rsidRPr="00AB42FA" w:rsidRDefault="00362E0F" w:rsidP="00362E0F">
            <w:pPr>
              <w:rPr>
                <w:rFonts w:eastAsia="Times New Roman" w:cs="Times New Roman"/>
                <w:sz w:val="24"/>
                <w:szCs w:val="24"/>
                <w:lang w:eastAsia="lv-LV"/>
              </w:rPr>
            </w:pPr>
          </w:p>
          <w:p w14:paraId="7DA62947" w14:textId="77777777" w:rsidR="00362E0F" w:rsidRPr="00AB42FA" w:rsidRDefault="00362E0F" w:rsidP="00362E0F">
            <w:pPr>
              <w:rPr>
                <w:rFonts w:eastAsia="Times New Roman" w:cs="Times New Roman"/>
                <w:sz w:val="24"/>
                <w:szCs w:val="24"/>
                <w:lang w:eastAsia="lv-LV"/>
              </w:rPr>
            </w:pPr>
          </w:p>
          <w:p w14:paraId="602F2AF3" w14:textId="77777777" w:rsidR="00362E0F" w:rsidRPr="00AB42FA" w:rsidRDefault="00362E0F" w:rsidP="00362E0F">
            <w:pPr>
              <w:rPr>
                <w:rFonts w:eastAsia="Times New Roman" w:cs="Times New Roman"/>
                <w:sz w:val="24"/>
                <w:szCs w:val="24"/>
                <w:lang w:eastAsia="lv-LV"/>
              </w:rPr>
            </w:pPr>
          </w:p>
          <w:p w14:paraId="351241E4" w14:textId="6A8A8C24" w:rsidR="0070526D" w:rsidRPr="00AB42FA" w:rsidRDefault="0070526D" w:rsidP="00362E0F">
            <w:pPr>
              <w:rPr>
                <w:rFonts w:eastAsia="Times New Roman" w:cs="Times New Roman"/>
                <w:sz w:val="24"/>
                <w:szCs w:val="24"/>
                <w:lang w:eastAsia="lv-LV"/>
              </w:rPr>
            </w:pPr>
          </w:p>
        </w:tc>
        <w:tc>
          <w:tcPr>
            <w:tcW w:w="6073" w:type="dxa"/>
            <w:tcBorders>
              <w:top w:val="outset" w:sz="6" w:space="0" w:color="auto"/>
              <w:left w:val="outset" w:sz="6" w:space="0" w:color="auto"/>
              <w:bottom w:val="outset" w:sz="6" w:space="0" w:color="auto"/>
              <w:right w:val="outset" w:sz="6" w:space="0" w:color="auto"/>
            </w:tcBorders>
            <w:hideMark/>
          </w:tcPr>
          <w:p w14:paraId="57F44C2C" w14:textId="3495D1C6" w:rsidR="00F4701F" w:rsidRPr="00AB42FA" w:rsidRDefault="00F4701F" w:rsidP="00F4701F">
            <w:pPr>
              <w:jc w:val="both"/>
              <w:rPr>
                <w:sz w:val="24"/>
                <w:szCs w:val="24"/>
              </w:rPr>
            </w:pPr>
            <w:r w:rsidRPr="00AB42FA">
              <w:rPr>
                <w:sz w:val="24"/>
                <w:szCs w:val="24"/>
              </w:rPr>
              <w:t xml:space="preserve">Šobrīd ir spēkā Ministru kabineta 2010.gada 24.augusta ieteikumi Nr.1 “Ieteikumi par amatpersonu un darbinieku atlīdzības noteikšanas kritēriju un darba samaksas apmēra sadalījumā pa amatu grupām publiskošanu”, kuru izdošanas pamats </w:t>
            </w:r>
            <w:r w:rsidR="00C71979" w:rsidRPr="00AB42FA">
              <w:rPr>
                <w:sz w:val="24"/>
                <w:szCs w:val="24"/>
              </w:rPr>
              <w:t>–</w:t>
            </w:r>
            <w:r w:rsidR="00F1401C" w:rsidRPr="00AB42FA">
              <w:rPr>
                <w:sz w:val="24"/>
                <w:szCs w:val="24"/>
              </w:rPr>
              <w:t xml:space="preserve"> </w:t>
            </w:r>
            <w:r w:rsidR="00C71979" w:rsidRPr="00AB42FA">
              <w:rPr>
                <w:sz w:val="24"/>
                <w:szCs w:val="24"/>
              </w:rPr>
              <w:t>Atlīdzības likuma</w:t>
            </w:r>
            <w:r w:rsidRPr="00AB42FA">
              <w:rPr>
                <w:sz w:val="24"/>
                <w:szCs w:val="24"/>
              </w:rPr>
              <w:t xml:space="preserve"> pārejas noteikumu 2.</w:t>
            </w:r>
            <w:r w:rsidRPr="00AB42FA">
              <w:rPr>
                <w:sz w:val="24"/>
                <w:szCs w:val="24"/>
                <w:vertAlign w:val="superscript"/>
              </w:rPr>
              <w:t>1</w:t>
            </w:r>
            <w:r w:rsidRPr="00AB42FA">
              <w:rPr>
                <w:sz w:val="24"/>
                <w:szCs w:val="24"/>
              </w:rPr>
              <w:t xml:space="preserve"> punkts. </w:t>
            </w:r>
          </w:p>
          <w:p w14:paraId="521B0CB3" w14:textId="729D5E63" w:rsidR="00F4701F" w:rsidRPr="00AB42FA" w:rsidRDefault="00F4701F" w:rsidP="00F4701F">
            <w:pPr>
              <w:jc w:val="both"/>
              <w:rPr>
                <w:sz w:val="24"/>
                <w:szCs w:val="24"/>
              </w:rPr>
            </w:pPr>
            <w:r w:rsidRPr="00AB42FA">
              <w:rPr>
                <w:sz w:val="24"/>
                <w:szCs w:val="24"/>
              </w:rPr>
              <w:t xml:space="preserve">Atbilstoši </w:t>
            </w:r>
            <w:r w:rsidR="00C71979" w:rsidRPr="00AB42FA">
              <w:rPr>
                <w:sz w:val="24"/>
                <w:szCs w:val="24"/>
              </w:rPr>
              <w:t>Atlīdzības likuma</w:t>
            </w:r>
            <w:r w:rsidRPr="00AB42FA">
              <w:rPr>
                <w:sz w:val="24"/>
                <w:szCs w:val="24"/>
              </w:rPr>
              <w:t xml:space="preserve"> 3.panta vienpadsmitajai daļai, kas stājās spēkā ar 2016.gada 1.janvāri,  Ministru kabinetam ir dots uzdevums noteikt kārtību, kādā tiek publicēta informācija par amatpersonu (darbinieku) atlīdzības noteikšanas kritērijiem un darba samaksas apmēru sadalījumā pa amatu grupām.</w:t>
            </w:r>
          </w:p>
          <w:p w14:paraId="72C30B43" w14:textId="74263409" w:rsidR="00F4701F" w:rsidRPr="00AB42FA" w:rsidRDefault="00F4701F" w:rsidP="00F4701F">
            <w:pPr>
              <w:jc w:val="both"/>
              <w:rPr>
                <w:sz w:val="24"/>
                <w:szCs w:val="24"/>
              </w:rPr>
            </w:pPr>
            <w:r w:rsidRPr="00AB42FA">
              <w:rPr>
                <w:sz w:val="24"/>
                <w:szCs w:val="24"/>
              </w:rPr>
              <w:t>Tādējādi</w:t>
            </w:r>
            <w:r w:rsidR="00FF675B" w:rsidRPr="00AB42FA">
              <w:rPr>
                <w:sz w:val="24"/>
                <w:szCs w:val="24"/>
              </w:rPr>
              <w:t>,</w:t>
            </w:r>
            <w:r w:rsidRPr="00AB42FA">
              <w:rPr>
                <w:sz w:val="24"/>
                <w:szCs w:val="24"/>
              </w:rPr>
              <w:t xml:space="preserve"> sakarā ar </w:t>
            </w:r>
            <w:r w:rsidR="00117F3B" w:rsidRPr="00AB42FA">
              <w:rPr>
                <w:sz w:val="24"/>
                <w:szCs w:val="24"/>
              </w:rPr>
              <w:t>deleģējuma maiņu</w:t>
            </w:r>
            <w:r w:rsidR="00FF675B" w:rsidRPr="00AB42FA">
              <w:rPr>
                <w:sz w:val="24"/>
                <w:szCs w:val="24"/>
              </w:rPr>
              <w:t>,</w:t>
            </w:r>
            <w:r w:rsidR="00117F3B" w:rsidRPr="00AB42FA">
              <w:rPr>
                <w:sz w:val="24"/>
                <w:szCs w:val="24"/>
              </w:rPr>
              <w:t xml:space="preserve"> </w:t>
            </w:r>
            <w:r w:rsidR="00F1401C" w:rsidRPr="00AB42FA">
              <w:rPr>
                <w:sz w:val="24"/>
                <w:szCs w:val="24"/>
              </w:rPr>
              <w:t xml:space="preserve">nepieciešams </w:t>
            </w:r>
            <w:proofErr w:type="spellStart"/>
            <w:r w:rsidR="00117F3B" w:rsidRPr="00AB42FA">
              <w:rPr>
                <w:sz w:val="24"/>
                <w:szCs w:val="24"/>
              </w:rPr>
              <w:t>pārizdo</w:t>
            </w:r>
            <w:r w:rsidR="00F1401C" w:rsidRPr="00AB42FA">
              <w:rPr>
                <w:sz w:val="24"/>
                <w:szCs w:val="24"/>
              </w:rPr>
              <w:t>t</w:t>
            </w:r>
            <w:proofErr w:type="spellEnd"/>
            <w:r w:rsidR="00117F3B" w:rsidRPr="00AB42FA">
              <w:rPr>
                <w:sz w:val="24"/>
                <w:szCs w:val="24"/>
              </w:rPr>
              <w:t xml:space="preserve"> Ministru kabineta 2010.gada 24.augusta ieteikum</w:t>
            </w:r>
            <w:r w:rsidR="00F1401C" w:rsidRPr="00AB42FA">
              <w:rPr>
                <w:sz w:val="24"/>
                <w:szCs w:val="24"/>
              </w:rPr>
              <w:t>us</w:t>
            </w:r>
            <w:r w:rsidR="00117F3B" w:rsidRPr="00AB42FA">
              <w:rPr>
                <w:sz w:val="24"/>
                <w:szCs w:val="24"/>
              </w:rPr>
              <w:t xml:space="preserve"> Nr.1 “Ieteikumi par amatpersonu un darbinieku atlīdzības noteikšanas kritēriju un darba samaksas apmēra sadalījumā pa amatu grupām publiskošanu”</w:t>
            </w:r>
            <w:r w:rsidR="00185660" w:rsidRPr="00AB42FA">
              <w:rPr>
                <w:sz w:val="24"/>
                <w:szCs w:val="24"/>
              </w:rPr>
              <w:t xml:space="preserve"> </w:t>
            </w:r>
            <w:r w:rsidR="00F1401C" w:rsidRPr="00AB42FA">
              <w:rPr>
                <w:sz w:val="24"/>
                <w:szCs w:val="24"/>
              </w:rPr>
              <w:t xml:space="preserve"> kā Ministru kabineta noteikumu projektu</w:t>
            </w:r>
            <w:r w:rsidR="00117F3B" w:rsidRPr="00AB42FA">
              <w:rPr>
                <w:sz w:val="24"/>
                <w:szCs w:val="24"/>
              </w:rPr>
              <w:t>.</w:t>
            </w:r>
          </w:p>
          <w:p w14:paraId="75BE813D" w14:textId="77777777" w:rsidR="007649F8" w:rsidRPr="00AB42FA" w:rsidRDefault="007649F8" w:rsidP="007649F8">
            <w:pPr>
              <w:pStyle w:val="ListParagraph"/>
              <w:ind w:left="0"/>
              <w:rPr>
                <w:szCs w:val="24"/>
              </w:rPr>
            </w:pPr>
            <w:r w:rsidRPr="00AB42FA">
              <w:rPr>
                <w:szCs w:val="24"/>
              </w:rPr>
              <w:t xml:space="preserve">Noteikumu projekts paredz  noteikt kārtību, kādā valsts vai pašvaldības institūcija, valsts vai pašvaldības kapitālsabiedrība, publiski privātā kapitālsabiedrība un kapitālsabiedrība, kurā valsts, pašvaldības vai publiski privātajai kapitālsabiedrībai pieder visas kapitāla daļas, izņemot kredītiestādes, un uz kuru attiecas vismaz viens no  Atlīdzības likuma  2.panta 4.¹ daļā minētajiem nosacījumiem, biedrība un nodibinājums, kurš nodrošina valsts pasūtījuma (sabiedriskā vai nacionālā pasūtījuma) īstenošanu un no kuru finansējuma resursiem vairāk nekā 50 procentus veido valsts budžeta finansējums, kas nav Eiropas Savienības politiku instrumentu un pārējo ārvalstu finanšu palīdzības līdzekļi, ostas pārvalde, kā arī Latvijas Banka, Finanšu un kapitāla tirgus komisija, Sabiedrisko pakalpojumu regulēšanas komisija un Nacionālā elektronisko plašsaziņas līdzekļu padome publisko  informāciju par amatpersonu (darbinieku) atlīdzības noteikšanas kritērijiem un darba samaksas apmēriem attiecīgās institūcijas mājas lapā internetā. </w:t>
            </w:r>
          </w:p>
          <w:p w14:paraId="2870EA70" w14:textId="77777777" w:rsidR="007649F8" w:rsidRPr="00AB42FA" w:rsidRDefault="007649F8" w:rsidP="007649F8">
            <w:pPr>
              <w:jc w:val="both"/>
              <w:rPr>
                <w:sz w:val="24"/>
                <w:szCs w:val="24"/>
              </w:rPr>
            </w:pPr>
            <w:r w:rsidRPr="00AB42FA">
              <w:rPr>
                <w:sz w:val="24"/>
                <w:szCs w:val="24"/>
              </w:rPr>
              <w:t xml:space="preserve">Noteikumu projekts nosaka kārtību, kādā institūcijām attiecīgās institūcijas mājas lapā internetā būs jāpublisko informācija par </w:t>
            </w:r>
            <w:r w:rsidRPr="00AB42FA">
              <w:rPr>
                <w:sz w:val="24"/>
                <w:szCs w:val="24"/>
              </w:rPr>
              <w:lastRenderedPageBreak/>
              <w:t>amatpersonu (darbinieku) atlīdzības, tai skaitā mēnešalgas, piemaksu, prēmiju un sociālo garantiju noteikšanas kritērijiem, kā arī informācija par attiecīgās institūcijas amatpersonu (darbinieku) mēnešalgas apmēru sadalījumā pa amatu grupām (amati, kuros veicamie pienākumi ir līdzīgas atbildības un sarežģītības un kuriem atbilstoši pamatfunkcijai ir līdzīgi darba uzdevumi un pamatpienākumi).</w:t>
            </w:r>
          </w:p>
          <w:p w14:paraId="454DB7EA" w14:textId="76C87F62" w:rsidR="007649F8" w:rsidRPr="00AD67D0" w:rsidRDefault="007649F8" w:rsidP="007649F8">
            <w:pPr>
              <w:jc w:val="both"/>
              <w:rPr>
                <w:sz w:val="24"/>
                <w:szCs w:val="24"/>
              </w:rPr>
            </w:pPr>
            <w:r w:rsidRPr="00AD67D0">
              <w:rPr>
                <w:sz w:val="24"/>
                <w:szCs w:val="24"/>
              </w:rPr>
              <w:t xml:space="preserve">Atbilstoši Atlīdzības likuma 1.pantam tā mērķis ir panākt, ka valsts un pašvaldību institūcijās amatpersonu (darbinieku) atlīdzības noteikšanā tiek ievēroti līdzvērtīgi nosacījumi. Līdz ar to šo Ministru kabineta noteikumu projekta izpildes rezultātā jebkuram </w:t>
            </w:r>
            <w:r w:rsidR="00146563" w:rsidRPr="00AD67D0">
              <w:rPr>
                <w:sz w:val="24"/>
                <w:szCs w:val="24"/>
              </w:rPr>
              <w:t>sabiedrības loceklim</w:t>
            </w:r>
            <w:r w:rsidRPr="00AD67D0">
              <w:rPr>
                <w:sz w:val="24"/>
                <w:szCs w:val="24"/>
              </w:rPr>
              <w:t xml:space="preserve"> būs iespēja uzzināt par attiecīgās institūcijas atlīdzības politiku, tai skaitā, vai institūcija piemēro visus Atlīdzības likumā minētos atlīdzības elementus vai tikai daļu, kā arī to piešķiršanas </w:t>
            </w:r>
            <w:r w:rsidR="00BA50CA" w:rsidRPr="00AD67D0">
              <w:rPr>
                <w:sz w:val="24"/>
                <w:szCs w:val="24"/>
              </w:rPr>
              <w:t xml:space="preserve">apjomu un </w:t>
            </w:r>
            <w:r w:rsidR="004F6134" w:rsidRPr="00AD67D0">
              <w:rPr>
                <w:sz w:val="24"/>
                <w:szCs w:val="24"/>
              </w:rPr>
              <w:t xml:space="preserve">kritērijus (Jāatzīmē, ka Atlīdzības likumā ne visi atlīdzības elementu apmēri ir noteikti konkrētā apmērā, atsevišķiem atlīdzības elementiem, piemēram, piemaksām ir noteikti maksimālie apmēri, kurus nedrīkst pārsniegt). </w:t>
            </w:r>
            <w:r w:rsidR="0088098E" w:rsidRPr="00AD67D0">
              <w:rPr>
                <w:sz w:val="24"/>
                <w:szCs w:val="24"/>
              </w:rPr>
              <w:t>Ja kāda persona</w:t>
            </w:r>
            <w:r w:rsidR="002F3D27" w:rsidRPr="00AD67D0">
              <w:rPr>
                <w:sz w:val="24"/>
                <w:szCs w:val="24"/>
              </w:rPr>
              <w:t xml:space="preserve"> </w:t>
            </w:r>
            <w:r w:rsidRPr="00AD67D0">
              <w:rPr>
                <w:sz w:val="24"/>
                <w:szCs w:val="24"/>
              </w:rPr>
              <w:t xml:space="preserve">vēlēsies pieteikties darbā kādā no institūcijām, </w:t>
            </w:r>
            <w:r w:rsidR="0088098E" w:rsidRPr="00AD67D0">
              <w:rPr>
                <w:sz w:val="24"/>
                <w:szCs w:val="24"/>
              </w:rPr>
              <w:t xml:space="preserve">tai, paskatoties mājaslapā, </w:t>
            </w:r>
            <w:r w:rsidRPr="00AD67D0">
              <w:rPr>
                <w:sz w:val="24"/>
                <w:szCs w:val="24"/>
              </w:rPr>
              <w:t xml:space="preserve">būs priekšstats gan par atlīdzības līmeni </w:t>
            </w:r>
            <w:r w:rsidR="00146563" w:rsidRPr="00AD67D0">
              <w:rPr>
                <w:sz w:val="24"/>
                <w:szCs w:val="24"/>
              </w:rPr>
              <w:t>konkrētā</w:t>
            </w:r>
            <w:r w:rsidRPr="00AD67D0">
              <w:rPr>
                <w:sz w:val="24"/>
                <w:szCs w:val="24"/>
              </w:rPr>
              <w:t xml:space="preserve"> institūcijā, gan arī to, kādi konkrēti atlīdzības elementi šajā institūcijā tiek piemēroti un kāds ir to vidējais apmērs.</w:t>
            </w:r>
            <w:r w:rsidR="00264055" w:rsidRPr="00AD67D0">
              <w:rPr>
                <w:sz w:val="24"/>
                <w:szCs w:val="24"/>
              </w:rPr>
              <w:t xml:space="preserve"> </w:t>
            </w:r>
            <w:r w:rsidRPr="00AD67D0">
              <w:rPr>
                <w:sz w:val="24"/>
                <w:szCs w:val="24"/>
              </w:rPr>
              <w:t xml:space="preserve">Ņemot vērā iepriekšminēto, varēs </w:t>
            </w:r>
            <w:r w:rsidR="00146563" w:rsidRPr="00AD67D0">
              <w:rPr>
                <w:sz w:val="24"/>
                <w:szCs w:val="24"/>
              </w:rPr>
              <w:t xml:space="preserve">arī </w:t>
            </w:r>
            <w:r w:rsidRPr="00AD67D0">
              <w:rPr>
                <w:sz w:val="24"/>
                <w:szCs w:val="24"/>
              </w:rPr>
              <w:t xml:space="preserve">secināt, vai </w:t>
            </w:r>
            <w:r w:rsidR="00146563" w:rsidRPr="00AD67D0">
              <w:rPr>
                <w:sz w:val="24"/>
                <w:szCs w:val="24"/>
              </w:rPr>
              <w:t xml:space="preserve">institūcijās </w:t>
            </w:r>
            <w:r w:rsidRPr="00AD67D0">
              <w:rPr>
                <w:sz w:val="24"/>
                <w:szCs w:val="24"/>
              </w:rPr>
              <w:t>atlīdzības līmenis līdzīgu funkciju veicējiem ir līdzvērtīgs.</w:t>
            </w:r>
          </w:p>
          <w:p w14:paraId="206FE7D0" w14:textId="7DFBB1AA" w:rsidR="006B609F" w:rsidRPr="00AD67D0" w:rsidRDefault="006B609F" w:rsidP="006B609F">
            <w:pPr>
              <w:jc w:val="both"/>
              <w:rPr>
                <w:sz w:val="24"/>
                <w:szCs w:val="24"/>
              </w:rPr>
            </w:pPr>
            <w:r w:rsidRPr="00AD67D0">
              <w:rPr>
                <w:sz w:val="24"/>
                <w:szCs w:val="24"/>
              </w:rPr>
              <w:t>Ministru kabineta noteikumu projekta 2., 3. un 4.punktā noteiktā atšķirīgā kārtība atlīdzības noteikšanas kritēriju un atlīdzības publicēšanai ir saistīta ar šajos punktos minēto amatpersonu (darbinieku) atlīdzības</w:t>
            </w:r>
            <w:r w:rsidR="00BF7333" w:rsidRPr="00AD67D0">
              <w:rPr>
                <w:sz w:val="24"/>
                <w:szCs w:val="24"/>
              </w:rPr>
              <w:t xml:space="preserve">, tai skaitā mēnešalgas, </w:t>
            </w:r>
            <w:r w:rsidRPr="00AD67D0">
              <w:rPr>
                <w:sz w:val="24"/>
                <w:szCs w:val="24"/>
              </w:rPr>
              <w:t>noteikšanas specifiku. Tiesnešiem un prokuroriem (2.pielikums) ir noteikta sava darba samaksas sistēma – viņu mēnešalgu nenosaka, pamatojoties uz amata saimi un līmeni vai amata kategoriju un līmeni (kā 1.pielikumā). Atbilstoši Atlīdzības likuma 4.panta devītajai daļai tiesneša mēnešalgu noteikšanas princips ir, to piesaistot valsts tiešās pārvaldes iestādes augsti kvalificēta jurista mēnešalgai ar attiecīgu koeficientu, savukārt prokurora mēnešalgu nosaka, to piesaistot rajona (pilsētas) tiesas tiesneša mēnešalgai ar attiecīgu koeficientu. Atlīdzības likuma 6.</w:t>
            </w:r>
            <w:r w:rsidRPr="00AD67D0">
              <w:rPr>
                <w:sz w:val="24"/>
                <w:szCs w:val="24"/>
                <w:vertAlign w:val="superscript"/>
              </w:rPr>
              <w:t>1 </w:t>
            </w:r>
            <w:r w:rsidR="00146563" w:rsidRPr="00AD67D0">
              <w:rPr>
                <w:sz w:val="24"/>
                <w:szCs w:val="24"/>
              </w:rPr>
              <w:t>pantā</w:t>
            </w:r>
            <w:r w:rsidRPr="00AD67D0">
              <w:rPr>
                <w:sz w:val="24"/>
                <w:szCs w:val="24"/>
              </w:rPr>
              <w:t xml:space="preserve"> “Tiesneša mēnešalga” un 6.</w:t>
            </w:r>
            <w:r w:rsidRPr="00AD67D0">
              <w:rPr>
                <w:sz w:val="24"/>
                <w:szCs w:val="24"/>
                <w:vertAlign w:val="superscript"/>
              </w:rPr>
              <w:t>2 </w:t>
            </w:r>
            <w:r w:rsidR="00146563" w:rsidRPr="00AD67D0">
              <w:rPr>
                <w:sz w:val="24"/>
                <w:szCs w:val="24"/>
              </w:rPr>
              <w:t>pantā “</w:t>
            </w:r>
            <w:r w:rsidRPr="00AD67D0">
              <w:rPr>
                <w:sz w:val="24"/>
                <w:szCs w:val="24"/>
              </w:rPr>
              <w:t>Prokuror</w:t>
            </w:r>
            <w:r w:rsidR="00146563" w:rsidRPr="00AD67D0">
              <w:rPr>
                <w:sz w:val="24"/>
                <w:szCs w:val="24"/>
              </w:rPr>
              <w:t>a mēnešalga” jau konkrēti noteikts</w:t>
            </w:r>
            <w:r w:rsidRPr="00AD67D0">
              <w:rPr>
                <w:sz w:val="24"/>
                <w:szCs w:val="24"/>
              </w:rPr>
              <w:t xml:space="preserve"> katram attiecīgajam amatam </w:t>
            </w:r>
            <w:r w:rsidR="00146563" w:rsidRPr="00AD67D0">
              <w:rPr>
                <w:sz w:val="24"/>
                <w:szCs w:val="24"/>
              </w:rPr>
              <w:t>atbilstošais</w:t>
            </w:r>
            <w:r w:rsidRPr="00AD67D0">
              <w:rPr>
                <w:sz w:val="24"/>
                <w:szCs w:val="24"/>
              </w:rPr>
              <w:t xml:space="preserve"> koeficients. Bez tam atbilstoši Atlīdzības likuma 15.pantam “Speciālās piemaksas”  tiesnešiem un prokuroriem ir attiecīgi noteikta izdienas piemaksa (tiesnešiem) un piemaksa par amata pakāpi (prokuroriem). </w:t>
            </w:r>
          </w:p>
          <w:p w14:paraId="6CAD85B9" w14:textId="623A3F16" w:rsidR="006B609F" w:rsidRPr="00AD67D0" w:rsidRDefault="006B609F" w:rsidP="00264055">
            <w:pPr>
              <w:jc w:val="both"/>
              <w:rPr>
                <w:sz w:val="24"/>
                <w:szCs w:val="24"/>
              </w:rPr>
            </w:pPr>
            <w:r w:rsidRPr="00AD67D0">
              <w:rPr>
                <w:sz w:val="24"/>
                <w:szCs w:val="24"/>
              </w:rPr>
              <w:t>Arī Ministru kabineta noteikumu projekta 4.punktā minēt</w:t>
            </w:r>
            <w:r w:rsidR="0088098E" w:rsidRPr="00AD67D0">
              <w:rPr>
                <w:sz w:val="24"/>
                <w:szCs w:val="24"/>
              </w:rPr>
              <w:t>aj</w:t>
            </w:r>
            <w:r w:rsidRPr="00AD67D0">
              <w:rPr>
                <w:sz w:val="24"/>
                <w:szCs w:val="24"/>
              </w:rPr>
              <w:t xml:space="preserve">ām institūcijām ir </w:t>
            </w:r>
            <w:r w:rsidR="00BA50CA" w:rsidRPr="00AD67D0">
              <w:rPr>
                <w:sz w:val="24"/>
                <w:szCs w:val="24"/>
              </w:rPr>
              <w:t xml:space="preserve">tiesības veidot </w:t>
            </w:r>
            <w:r w:rsidRPr="00AD67D0">
              <w:rPr>
                <w:sz w:val="24"/>
                <w:szCs w:val="24"/>
              </w:rPr>
              <w:t xml:space="preserve">savas darba samaksas sistēmas, līdz ar to </w:t>
            </w:r>
            <w:r w:rsidR="0088098E" w:rsidRPr="00AD67D0">
              <w:rPr>
                <w:sz w:val="24"/>
                <w:szCs w:val="24"/>
              </w:rPr>
              <w:t>tām nevar piemērot</w:t>
            </w:r>
            <w:r w:rsidR="002F3D27" w:rsidRPr="00AD67D0">
              <w:rPr>
                <w:sz w:val="24"/>
                <w:szCs w:val="24"/>
              </w:rPr>
              <w:t>, piemēram,</w:t>
            </w:r>
            <w:r w:rsidR="00525B06" w:rsidRPr="00AD67D0">
              <w:rPr>
                <w:sz w:val="24"/>
                <w:szCs w:val="24"/>
              </w:rPr>
              <w:t xml:space="preserve"> 1.pielikumu. T</w:t>
            </w:r>
            <w:r w:rsidR="0088098E" w:rsidRPr="00AD67D0">
              <w:rPr>
                <w:sz w:val="24"/>
                <w:szCs w:val="24"/>
              </w:rPr>
              <w:t>ām attiecīgā informācija ir jāievieto 4.pielikumā.</w:t>
            </w:r>
          </w:p>
          <w:p w14:paraId="519DC448" w14:textId="375FEAFE" w:rsidR="009E41BF" w:rsidRPr="00AD67D0" w:rsidRDefault="009E41BF" w:rsidP="00264055">
            <w:pPr>
              <w:jc w:val="both"/>
              <w:rPr>
                <w:sz w:val="24"/>
                <w:szCs w:val="24"/>
              </w:rPr>
            </w:pPr>
            <w:r w:rsidRPr="00AD67D0">
              <w:rPr>
                <w:sz w:val="24"/>
                <w:szCs w:val="24"/>
              </w:rPr>
              <w:lastRenderedPageBreak/>
              <w:t>Tādējādi iepriekšminētajos pielikumos ir iestrādāti mēnešalgu noteikšanas kritēriji atbilstoši normatīvajiem aktiem.</w:t>
            </w:r>
          </w:p>
          <w:p w14:paraId="613C9128" w14:textId="64F1EF18" w:rsidR="0088098E" w:rsidRPr="00AD67D0" w:rsidRDefault="0062503B" w:rsidP="0088098E">
            <w:pPr>
              <w:jc w:val="both"/>
              <w:rPr>
                <w:sz w:val="24"/>
                <w:szCs w:val="24"/>
              </w:rPr>
            </w:pPr>
            <w:r w:rsidRPr="00AD67D0">
              <w:rPr>
                <w:sz w:val="24"/>
                <w:szCs w:val="24"/>
              </w:rPr>
              <w:t xml:space="preserve"> </w:t>
            </w:r>
            <w:r w:rsidR="0088098E" w:rsidRPr="00AD67D0">
              <w:rPr>
                <w:sz w:val="24"/>
                <w:szCs w:val="24"/>
              </w:rPr>
              <w:t xml:space="preserve">Ministru kabineta noteikumu projekta 1. un 4.pielikums nosaka, ka amatiem tiek norādīts gan mēnešalgas diapazons, gan vidējā mēnešalga. Tādējādi sabiedrībai būs iespēja vērtēt ne tikai atlīdzības politiku institūcijā, bet arī radīs izpratni par iespējamo mēnešalgas apmēru konkrētām amata grupām. </w:t>
            </w:r>
          </w:p>
          <w:p w14:paraId="62D4678E" w14:textId="0CF71093" w:rsidR="00AB42FA" w:rsidRPr="00AD67D0" w:rsidRDefault="007649F8" w:rsidP="00AB42FA">
            <w:pPr>
              <w:jc w:val="both"/>
              <w:rPr>
                <w:sz w:val="24"/>
                <w:szCs w:val="24"/>
              </w:rPr>
            </w:pPr>
            <w:r w:rsidRPr="00AD67D0">
              <w:rPr>
                <w:sz w:val="24"/>
                <w:szCs w:val="24"/>
              </w:rPr>
              <w:t>Ministru kabineta noteikumu projekta 3.pielikuma</w:t>
            </w:r>
            <w:r w:rsidR="0088098E" w:rsidRPr="00AD67D0">
              <w:rPr>
                <w:sz w:val="24"/>
                <w:szCs w:val="24"/>
              </w:rPr>
              <w:t xml:space="preserve"> 1.tabulā ir jāsniedz informācija par piemaksām, prēmijām</w:t>
            </w:r>
            <w:r w:rsidR="005B7BC8" w:rsidRPr="00AD67D0">
              <w:rPr>
                <w:sz w:val="24"/>
                <w:szCs w:val="24"/>
              </w:rPr>
              <w:t xml:space="preserve"> un</w:t>
            </w:r>
            <w:r w:rsidR="0088098E" w:rsidRPr="00AD67D0">
              <w:rPr>
                <w:sz w:val="24"/>
                <w:szCs w:val="24"/>
              </w:rPr>
              <w:t xml:space="preserve"> naudas balv</w:t>
            </w:r>
            <w:r w:rsidR="005B7BC8" w:rsidRPr="00AD67D0">
              <w:rPr>
                <w:sz w:val="24"/>
                <w:szCs w:val="24"/>
              </w:rPr>
              <w:t>ām</w:t>
            </w:r>
            <w:r w:rsidR="0088098E" w:rsidRPr="00AD67D0">
              <w:rPr>
                <w:sz w:val="24"/>
                <w:szCs w:val="24"/>
              </w:rPr>
              <w:t xml:space="preserve">  atbilstoši Ministru kabineta noteikumu projekta 3.punktam</w:t>
            </w:r>
            <w:r w:rsidR="00AB42FA" w:rsidRPr="00AD67D0">
              <w:rPr>
                <w:sz w:val="24"/>
                <w:szCs w:val="24"/>
              </w:rPr>
              <w:t xml:space="preserve">. Jāatzīmē, ka institūcijās piemaksu, prēmiju un naudas balvu apmēri tiek nosaka, piemērojot vienotu pieeju, t.i. atbilstoši normatīvajiem aktiem, kas nav saistīta ar amatu grupām. </w:t>
            </w:r>
          </w:p>
          <w:p w14:paraId="2C181D07" w14:textId="31BB0BDA" w:rsidR="001D6F00" w:rsidRPr="00AD67D0" w:rsidRDefault="005B7BC8" w:rsidP="007649F8">
            <w:pPr>
              <w:jc w:val="both"/>
              <w:rPr>
                <w:sz w:val="24"/>
                <w:szCs w:val="24"/>
              </w:rPr>
            </w:pPr>
            <w:r w:rsidRPr="00AD67D0">
              <w:rPr>
                <w:sz w:val="24"/>
                <w:szCs w:val="24"/>
              </w:rPr>
              <w:t xml:space="preserve">3.pielikuma </w:t>
            </w:r>
            <w:r w:rsidR="007649F8" w:rsidRPr="00AD67D0">
              <w:rPr>
                <w:sz w:val="24"/>
                <w:szCs w:val="24"/>
              </w:rPr>
              <w:t xml:space="preserve">2.tabulā  ir jānorāda </w:t>
            </w:r>
            <w:r w:rsidR="00717124" w:rsidRPr="00AD67D0">
              <w:rPr>
                <w:sz w:val="24"/>
                <w:szCs w:val="24"/>
              </w:rPr>
              <w:t xml:space="preserve">tikai </w:t>
            </w:r>
            <w:r w:rsidR="007649F8" w:rsidRPr="00AD67D0">
              <w:rPr>
                <w:sz w:val="24"/>
                <w:szCs w:val="24"/>
              </w:rPr>
              <w:t xml:space="preserve">tie sociālās garantijas veidi, kuri atbilstoši Atlīdzības likumā minētajam konkrētajā institūcijā tiek piemēroti, kā arī šo sociālo garantiju piešķiršanas pamatojums vai kritēriji. </w:t>
            </w:r>
          </w:p>
          <w:p w14:paraId="3368055E" w14:textId="77777777" w:rsidR="007649F8" w:rsidRPr="00AD67D0" w:rsidRDefault="001D6F00" w:rsidP="007C6848">
            <w:pPr>
              <w:jc w:val="both"/>
              <w:rPr>
                <w:sz w:val="24"/>
                <w:szCs w:val="24"/>
              </w:rPr>
            </w:pPr>
            <w:r w:rsidRPr="00AD67D0">
              <w:rPr>
                <w:sz w:val="24"/>
                <w:szCs w:val="24"/>
              </w:rPr>
              <w:t xml:space="preserve">Atlīdzības likums paredz </w:t>
            </w:r>
            <w:r w:rsidR="0004592E" w:rsidRPr="00AD67D0">
              <w:rPr>
                <w:sz w:val="24"/>
                <w:szCs w:val="24"/>
              </w:rPr>
              <w:t>pienākumu publiskot</w:t>
            </w:r>
            <w:r w:rsidRPr="00AD67D0">
              <w:rPr>
                <w:sz w:val="24"/>
                <w:szCs w:val="24"/>
              </w:rPr>
              <w:t xml:space="preserve"> sva</w:t>
            </w:r>
            <w:r w:rsidR="0004592E" w:rsidRPr="00AD67D0">
              <w:rPr>
                <w:sz w:val="24"/>
                <w:szCs w:val="24"/>
              </w:rPr>
              <w:t>rīgāko informāciju vispārīgi pa institūciju, parādot</w:t>
            </w:r>
            <w:r w:rsidRPr="00AD67D0">
              <w:rPr>
                <w:sz w:val="24"/>
                <w:szCs w:val="24"/>
              </w:rPr>
              <w:t xml:space="preserve"> institūcijas atlīdzības politiku konkrētā brīdī. </w:t>
            </w:r>
            <w:r w:rsidR="009D271D" w:rsidRPr="00AD67D0">
              <w:rPr>
                <w:sz w:val="24"/>
                <w:szCs w:val="24"/>
              </w:rPr>
              <w:t>Ministru kabineta noteikumu projekta 5.punkts paredz, ka informācija par atlīdzību tiek aktualizēta mēneša laikā pēc attiecīgās informācijas izmaiņām institūcijā. Tādējādi institūciju mājas lapās būs pieejama tikai aktuālā informācija, kas ir Ministru kabineta noteikumu projekta mērķis</w:t>
            </w:r>
            <w:r w:rsidR="00BA50CA" w:rsidRPr="00AD67D0">
              <w:rPr>
                <w:sz w:val="24"/>
                <w:szCs w:val="24"/>
              </w:rPr>
              <w:t xml:space="preserve"> un nerada papildus administratīvo slogu institūcijām</w:t>
            </w:r>
            <w:r w:rsidR="009D271D" w:rsidRPr="00AD67D0">
              <w:rPr>
                <w:sz w:val="24"/>
                <w:szCs w:val="24"/>
              </w:rPr>
              <w:t>.</w:t>
            </w:r>
          </w:p>
          <w:p w14:paraId="71033DFF" w14:textId="77777777" w:rsidR="007C6848" w:rsidRPr="00AD67D0" w:rsidRDefault="007C6848" w:rsidP="007C6848">
            <w:pPr>
              <w:pStyle w:val="naisc"/>
              <w:spacing w:before="0" w:beforeAutospacing="0" w:after="0" w:afterAutospacing="0"/>
              <w:jc w:val="both"/>
            </w:pPr>
            <w:r w:rsidRPr="00AD67D0">
              <w:t xml:space="preserve">Tādējādi Ministru kabineta noteikumu projekts tiek virzīts kā tehniskais projekts, jo saistībā ar deleģējuma maiņu Ministru kabineta 2010.gada 24.augusta ieteikumi Nr.1 “Ieteikumi par amatpersonu un darbinieku atlīdzības noteikšanas kritēriju un darba samaksas apmēra sadalījumā pa amatu grupām publiskošanu”  pēc būtības tiek </w:t>
            </w:r>
            <w:proofErr w:type="spellStart"/>
            <w:r w:rsidRPr="00AD67D0">
              <w:t>pārizdoti</w:t>
            </w:r>
            <w:proofErr w:type="spellEnd"/>
            <w:r w:rsidRPr="00AD67D0">
              <w:t xml:space="preserve"> kā Ministru kabineta noteikumi), līdz ar to nepalielinot administratīvo slogu.</w:t>
            </w:r>
          </w:p>
          <w:p w14:paraId="3F93FA2F" w14:textId="3A2C69A9" w:rsidR="00762423" w:rsidRPr="00AB42FA" w:rsidRDefault="00762423" w:rsidP="00762423">
            <w:pPr>
              <w:pStyle w:val="naisc"/>
              <w:spacing w:before="0" w:beforeAutospacing="0" w:after="0" w:afterAutospacing="0"/>
              <w:jc w:val="both"/>
              <w:rPr>
                <w:u w:val="single"/>
              </w:rPr>
            </w:pPr>
            <w:r w:rsidRPr="00AD67D0">
              <w:t xml:space="preserve">Jāatzīmē, ka pastāvošās administratīvās izmaksas un administratīvais slogs tika izvērtētas, jau veicot grozījumus Atlīdzības likumā, lai iepriekšminētie ieteikumi tiktu </w:t>
            </w:r>
            <w:proofErr w:type="spellStart"/>
            <w:r w:rsidRPr="00AD67D0">
              <w:t>pārizdoti</w:t>
            </w:r>
            <w:proofErr w:type="spellEnd"/>
            <w:r w:rsidRPr="00AD67D0">
              <w:t xml:space="preserve"> kā Ministru kabineta noteikumi. Tādējādi samērīgums tika vērtēts, dodot deleģējumu likuma ietvarā.</w:t>
            </w:r>
          </w:p>
        </w:tc>
      </w:tr>
      <w:tr w:rsidR="0070526D" w:rsidRPr="00AB42FA" w14:paraId="78F358BC" w14:textId="77777777" w:rsidTr="00E5481B">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B739A9A" w14:textId="1ED8B6E5" w:rsidR="0070526D" w:rsidRPr="00AB42FA" w:rsidRDefault="007649F8" w:rsidP="007649F8">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lastRenderedPageBreak/>
              <w:t>3.</w:t>
            </w:r>
          </w:p>
        </w:tc>
        <w:tc>
          <w:tcPr>
            <w:tcW w:w="2457" w:type="dxa"/>
            <w:tcBorders>
              <w:top w:val="outset" w:sz="6" w:space="0" w:color="auto"/>
              <w:left w:val="outset" w:sz="6" w:space="0" w:color="auto"/>
              <w:bottom w:val="outset" w:sz="6" w:space="0" w:color="auto"/>
              <w:right w:val="outset" w:sz="6" w:space="0" w:color="auto"/>
            </w:tcBorders>
            <w:hideMark/>
          </w:tcPr>
          <w:p w14:paraId="5CFEDD03" w14:textId="77777777" w:rsidR="0070526D" w:rsidRPr="00AB42FA" w:rsidRDefault="0070526D" w:rsidP="0070526D">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 Projekta izstrādē iesaistītās institūcijas</w:t>
            </w:r>
          </w:p>
        </w:tc>
        <w:tc>
          <w:tcPr>
            <w:tcW w:w="6073" w:type="dxa"/>
            <w:tcBorders>
              <w:top w:val="outset" w:sz="6" w:space="0" w:color="auto"/>
              <w:left w:val="outset" w:sz="6" w:space="0" w:color="auto"/>
              <w:bottom w:val="outset" w:sz="6" w:space="0" w:color="auto"/>
              <w:right w:val="outset" w:sz="6" w:space="0" w:color="auto"/>
            </w:tcBorders>
            <w:hideMark/>
          </w:tcPr>
          <w:p w14:paraId="3871987A" w14:textId="77777777" w:rsidR="0070526D" w:rsidRPr="00AB42FA" w:rsidRDefault="005571B3" w:rsidP="00A33782">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Nav attiecināms.</w:t>
            </w:r>
          </w:p>
        </w:tc>
      </w:tr>
      <w:tr w:rsidR="0070526D" w:rsidRPr="00AB42FA" w14:paraId="4E99C234" w14:textId="77777777" w:rsidTr="00E5481B">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616FE1F1" w14:textId="3031A10F" w:rsidR="0070526D" w:rsidRPr="00AB42FA" w:rsidRDefault="0070526D" w:rsidP="007649F8">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 </w:t>
            </w:r>
            <w:r w:rsidR="007649F8" w:rsidRPr="00AB42FA">
              <w:rPr>
                <w:rFonts w:eastAsia="Times New Roman" w:cs="Times New Roman"/>
                <w:sz w:val="24"/>
                <w:szCs w:val="24"/>
                <w:lang w:eastAsia="lv-LV"/>
              </w:rPr>
              <w:t>4</w:t>
            </w:r>
            <w:r w:rsidRPr="00AB42FA">
              <w:rPr>
                <w:rFonts w:eastAsia="Times New Roman" w:cs="Times New Roman"/>
                <w:sz w:val="24"/>
                <w:szCs w:val="24"/>
                <w:lang w:eastAsia="lv-LV"/>
              </w:rPr>
              <w:t>.</w:t>
            </w:r>
          </w:p>
        </w:tc>
        <w:tc>
          <w:tcPr>
            <w:tcW w:w="2457" w:type="dxa"/>
            <w:tcBorders>
              <w:top w:val="outset" w:sz="6" w:space="0" w:color="auto"/>
              <w:left w:val="outset" w:sz="6" w:space="0" w:color="auto"/>
              <w:bottom w:val="outset" w:sz="6" w:space="0" w:color="auto"/>
              <w:right w:val="outset" w:sz="6" w:space="0" w:color="auto"/>
            </w:tcBorders>
            <w:hideMark/>
          </w:tcPr>
          <w:p w14:paraId="1C3BBAB0" w14:textId="77777777" w:rsidR="0070526D" w:rsidRPr="00AB42FA" w:rsidRDefault="0070526D" w:rsidP="0070526D">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 Cita informācija</w:t>
            </w:r>
          </w:p>
        </w:tc>
        <w:tc>
          <w:tcPr>
            <w:tcW w:w="6073" w:type="dxa"/>
            <w:tcBorders>
              <w:top w:val="outset" w:sz="6" w:space="0" w:color="auto"/>
              <w:left w:val="outset" w:sz="6" w:space="0" w:color="auto"/>
              <w:bottom w:val="outset" w:sz="6" w:space="0" w:color="auto"/>
              <w:right w:val="outset" w:sz="6" w:space="0" w:color="auto"/>
            </w:tcBorders>
            <w:hideMark/>
          </w:tcPr>
          <w:p w14:paraId="3A75A723" w14:textId="4825A9D0" w:rsidR="00B906B5" w:rsidRPr="00AB42FA" w:rsidRDefault="0070526D" w:rsidP="00F1076D">
            <w:pPr>
              <w:pStyle w:val="naisf"/>
              <w:spacing w:before="0" w:beforeAutospacing="0" w:after="0" w:afterAutospacing="0"/>
              <w:jc w:val="both"/>
            </w:pPr>
            <w:r w:rsidRPr="00AB42FA">
              <w:t> </w:t>
            </w:r>
            <w:r w:rsidR="00132409" w:rsidRPr="00AB42FA">
              <w:t>Nav</w:t>
            </w:r>
          </w:p>
        </w:tc>
      </w:tr>
    </w:tbl>
    <w:p w14:paraId="60D6DD52" w14:textId="77777777" w:rsidR="00160678" w:rsidRDefault="00160678"/>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2746"/>
        <w:gridCol w:w="5791"/>
      </w:tblGrid>
      <w:tr w:rsidR="0070526D" w:rsidRPr="00AB42FA" w14:paraId="7DED7B55" w14:textId="77777777" w:rsidTr="00721968">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7BBC3295" w14:textId="17D12A1D" w:rsidR="0070526D" w:rsidRPr="00AB42FA" w:rsidRDefault="0070526D" w:rsidP="0070526D">
            <w:pPr>
              <w:spacing w:before="100" w:beforeAutospacing="1" w:after="100" w:afterAutospacing="1"/>
              <w:rPr>
                <w:rFonts w:eastAsia="Times New Roman" w:cs="Times New Roman"/>
                <w:b/>
                <w:sz w:val="24"/>
                <w:szCs w:val="24"/>
                <w:lang w:eastAsia="lv-LV"/>
              </w:rPr>
            </w:pPr>
            <w:r w:rsidRPr="00AB42FA">
              <w:rPr>
                <w:rFonts w:eastAsia="Times New Roman" w:cs="Times New Roman"/>
                <w:sz w:val="24"/>
                <w:szCs w:val="24"/>
                <w:lang w:eastAsia="lv-LV"/>
              </w:rPr>
              <w:t> </w:t>
            </w:r>
            <w:r w:rsidRPr="00AB42FA">
              <w:rPr>
                <w:rFonts w:eastAsia="Times New Roman" w:cs="Times New Roman"/>
                <w:b/>
                <w:sz w:val="24"/>
                <w:szCs w:val="24"/>
                <w:lang w:eastAsia="lv-LV"/>
              </w:rPr>
              <w:t xml:space="preserve"> II. </w:t>
            </w:r>
            <w:r w:rsidR="00D51E45" w:rsidRPr="00AB42FA">
              <w:rPr>
                <w:rFonts w:eastAsia="Times New Roman" w:cs="Times New Roman"/>
                <w:b/>
                <w:bCs/>
                <w:sz w:val="24"/>
                <w:szCs w:val="24"/>
                <w:lang w:eastAsia="lv-LV"/>
              </w:rPr>
              <w:t>Tiesību akta projekta ietekme uz sabiedrību, tautsaimniecības attīstību un administratīvo slogu</w:t>
            </w:r>
          </w:p>
        </w:tc>
      </w:tr>
      <w:tr w:rsidR="0070526D" w:rsidRPr="00AB42FA" w14:paraId="07B90904" w14:textId="77777777" w:rsidTr="0096635D">
        <w:trPr>
          <w:trHeight w:val="830"/>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1AA159CD" w14:textId="77777777" w:rsidR="0070526D" w:rsidRPr="00AB42FA" w:rsidRDefault="0070526D" w:rsidP="0070526D">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 1.</w:t>
            </w:r>
          </w:p>
        </w:tc>
        <w:tc>
          <w:tcPr>
            <w:tcW w:w="2746" w:type="dxa"/>
            <w:tcBorders>
              <w:top w:val="outset" w:sz="6" w:space="0" w:color="auto"/>
              <w:left w:val="outset" w:sz="6" w:space="0" w:color="auto"/>
              <w:bottom w:val="outset" w:sz="6" w:space="0" w:color="auto"/>
              <w:right w:val="outset" w:sz="6" w:space="0" w:color="auto"/>
            </w:tcBorders>
            <w:hideMark/>
          </w:tcPr>
          <w:p w14:paraId="3AFED2EF" w14:textId="268CB069" w:rsidR="0070526D" w:rsidRPr="00AB42FA" w:rsidRDefault="00D51E45" w:rsidP="0070526D">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 xml:space="preserve">Sabiedrības </w:t>
            </w:r>
            <w:proofErr w:type="spellStart"/>
            <w:r w:rsidRPr="00AB42FA">
              <w:rPr>
                <w:rFonts w:eastAsia="Times New Roman" w:cs="Times New Roman"/>
                <w:sz w:val="24"/>
                <w:szCs w:val="24"/>
                <w:lang w:eastAsia="lv-LV"/>
              </w:rPr>
              <w:t>mērķgrupas</w:t>
            </w:r>
            <w:proofErr w:type="spellEnd"/>
            <w:r w:rsidRPr="00AB42FA">
              <w:rPr>
                <w:rFonts w:eastAsia="Times New Roman" w:cs="Times New Roman"/>
                <w:sz w:val="24"/>
                <w:szCs w:val="24"/>
                <w:lang w:eastAsia="lv-LV"/>
              </w:rPr>
              <w:t>, kuras tiesiskais regulējums ietekmē vai varētu ietekmēt</w:t>
            </w:r>
          </w:p>
        </w:tc>
        <w:tc>
          <w:tcPr>
            <w:tcW w:w="5791" w:type="dxa"/>
            <w:tcBorders>
              <w:top w:val="outset" w:sz="6" w:space="0" w:color="auto"/>
              <w:left w:val="outset" w:sz="6" w:space="0" w:color="auto"/>
              <w:bottom w:val="outset" w:sz="6" w:space="0" w:color="auto"/>
              <w:right w:val="outset" w:sz="6" w:space="0" w:color="auto"/>
            </w:tcBorders>
            <w:hideMark/>
          </w:tcPr>
          <w:p w14:paraId="529DB86D" w14:textId="1254B12D" w:rsidR="00D75DE0" w:rsidRPr="00AB42FA" w:rsidRDefault="004860BE" w:rsidP="00465F4A">
            <w:pPr>
              <w:jc w:val="both"/>
              <w:rPr>
                <w:rFonts w:eastAsia="Times New Roman" w:cs="Times New Roman"/>
                <w:sz w:val="24"/>
                <w:szCs w:val="24"/>
                <w:lang w:eastAsia="lv-LV"/>
              </w:rPr>
            </w:pPr>
            <w:r w:rsidRPr="00AB42FA">
              <w:rPr>
                <w:sz w:val="24"/>
                <w:szCs w:val="24"/>
              </w:rPr>
              <w:t xml:space="preserve">Valsts vai pašvaldības institūcija, valsts vai pašvaldības kapitālsabiedrība, publiski privātā kapitālsabiedrība un kapitālsabiedrība, kurā valsts, pašvaldības vai publiski privātajai kapitālsabiedrībai pieder visas kapitāla daļas, izņemot kredītiestādes, un uz kuru attiecas vismaz viens  Valsts un pašvaldību institūciju amatpersonu un darbinieku atlīdzības likuma 2.panta 4.¹ daļā minētajiem nosacījumiem, biedrība un nodibinājums, kurš nodrošina valsts pasūtījuma (sabiedriskā vai nacionālā pasūtījuma) īstenošanu un no kuru finansējuma resursiem vairāk nekā 50 procentus veido valsts budžeta finansējums, kas nav Eiropas Savienības politiku instrumentu un pārējo ārvalstu finanšu palīdzības līdzekļi,  </w:t>
            </w:r>
            <w:r w:rsidR="003F7FB2" w:rsidRPr="00AB42FA">
              <w:rPr>
                <w:sz w:val="24"/>
                <w:szCs w:val="24"/>
              </w:rPr>
              <w:t xml:space="preserve">kā arī </w:t>
            </w:r>
            <w:r w:rsidRPr="00AB42FA">
              <w:rPr>
                <w:sz w:val="24"/>
                <w:szCs w:val="24"/>
              </w:rPr>
              <w:t>osta</w:t>
            </w:r>
            <w:r w:rsidR="00006270" w:rsidRPr="00AB42FA">
              <w:rPr>
                <w:sz w:val="24"/>
                <w:szCs w:val="24"/>
              </w:rPr>
              <w:t>s pārvalde</w:t>
            </w:r>
            <w:r w:rsidRPr="00AB42FA">
              <w:rPr>
                <w:sz w:val="24"/>
                <w:szCs w:val="24"/>
              </w:rPr>
              <w:t>, Latvijas Banka</w:t>
            </w:r>
            <w:r w:rsidR="008B5867" w:rsidRPr="00AB42FA">
              <w:rPr>
                <w:sz w:val="24"/>
                <w:szCs w:val="24"/>
              </w:rPr>
              <w:t xml:space="preserve">, </w:t>
            </w:r>
            <w:r w:rsidRPr="00AB42FA">
              <w:rPr>
                <w:sz w:val="24"/>
                <w:szCs w:val="24"/>
              </w:rPr>
              <w:t>Finanšu un kapitāla tirgus komisija</w:t>
            </w:r>
            <w:r w:rsidR="0088096B" w:rsidRPr="00AB42FA">
              <w:rPr>
                <w:sz w:val="24"/>
                <w:szCs w:val="24"/>
              </w:rPr>
              <w:t xml:space="preserve">, </w:t>
            </w:r>
            <w:r w:rsidR="008B5867" w:rsidRPr="00AB42FA">
              <w:rPr>
                <w:sz w:val="24"/>
                <w:szCs w:val="24"/>
              </w:rPr>
              <w:t>Sabiedrisko p</w:t>
            </w:r>
            <w:r w:rsidR="0088096B" w:rsidRPr="00AB42FA">
              <w:rPr>
                <w:sz w:val="24"/>
                <w:szCs w:val="24"/>
              </w:rPr>
              <w:t>akalpojumu regulēšanas komisija</w:t>
            </w:r>
            <w:r w:rsidR="004F149A" w:rsidRPr="00AB42FA">
              <w:rPr>
                <w:sz w:val="24"/>
                <w:szCs w:val="24"/>
              </w:rPr>
              <w:t xml:space="preserve">, </w:t>
            </w:r>
            <w:r w:rsidR="0088096B" w:rsidRPr="00AB42FA">
              <w:rPr>
                <w:sz w:val="24"/>
                <w:szCs w:val="24"/>
              </w:rPr>
              <w:t>Nacionālā elektronisko plašsaziņas līdzekļu padome</w:t>
            </w:r>
            <w:r w:rsidR="004F149A" w:rsidRPr="00AB42FA">
              <w:rPr>
                <w:sz w:val="24"/>
                <w:szCs w:val="24"/>
              </w:rPr>
              <w:t>, Valsts kontrole, Valst</w:t>
            </w:r>
            <w:r w:rsidR="0096635D" w:rsidRPr="00AB42FA">
              <w:rPr>
                <w:sz w:val="24"/>
                <w:szCs w:val="24"/>
              </w:rPr>
              <w:t>s prezidenta Kanceleja, Saeima.</w:t>
            </w:r>
          </w:p>
        </w:tc>
      </w:tr>
      <w:tr w:rsidR="0070526D" w:rsidRPr="00AB42FA" w14:paraId="0D3DCBB2" w14:textId="77777777" w:rsidTr="00721968">
        <w:trPr>
          <w:trHeight w:val="517"/>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53A194BA" w14:textId="3B541B59" w:rsidR="0070526D" w:rsidRPr="00AB42FA" w:rsidRDefault="0070526D" w:rsidP="00864B98">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 </w:t>
            </w:r>
            <w:r w:rsidR="00864B98" w:rsidRPr="00AB42FA">
              <w:rPr>
                <w:rFonts w:eastAsia="Times New Roman" w:cs="Times New Roman"/>
                <w:sz w:val="24"/>
                <w:szCs w:val="24"/>
                <w:lang w:eastAsia="lv-LV"/>
              </w:rPr>
              <w:t>2</w:t>
            </w:r>
            <w:r w:rsidRPr="00AB42FA">
              <w:rPr>
                <w:rFonts w:eastAsia="Times New Roman" w:cs="Times New Roman"/>
                <w:sz w:val="24"/>
                <w:szCs w:val="24"/>
                <w:lang w:eastAsia="lv-LV"/>
              </w:rPr>
              <w:t>.</w:t>
            </w:r>
          </w:p>
        </w:tc>
        <w:tc>
          <w:tcPr>
            <w:tcW w:w="2746" w:type="dxa"/>
            <w:tcBorders>
              <w:top w:val="outset" w:sz="6" w:space="0" w:color="auto"/>
              <w:left w:val="outset" w:sz="6" w:space="0" w:color="auto"/>
              <w:bottom w:val="outset" w:sz="6" w:space="0" w:color="auto"/>
              <w:right w:val="outset" w:sz="6" w:space="0" w:color="auto"/>
            </w:tcBorders>
            <w:hideMark/>
          </w:tcPr>
          <w:p w14:paraId="78D3856C" w14:textId="085CE047" w:rsidR="0070526D" w:rsidRPr="00AB42FA" w:rsidRDefault="00864B98" w:rsidP="0070526D">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Tiesiskā regulējuma ietekme uz tautsaimniecību un administratīvo slogu</w:t>
            </w:r>
          </w:p>
        </w:tc>
        <w:tc>
          <w:tcPr>
            <w:tcW w:w="5791" w:type="dxa"/>
            <w:tcBorders>
              <w:top w:val="outset" w:sz="6" w:space="0" w:color="auto"/>
              <w:left w:val="outset" w:sz="6" w:space="0" w:color="auto"/>
              <w:bottom w:val="outset" w:sz="6" w:space="0" w:color="auto"/>
              <w:right w:val="outset" w:sz="6" w:space="0" w:color="auto"/>
            </w:tcBorders>
            <w:hideMark/>
          </w:tcPr>
          <w:p w14:paraId="65B288FA" w14:textId="0523697F" w:rsidR="0070526D" w:rsidRPr="00AD67D0" w:rsidRDefault="000D26E0" w:rsidP="00177434">
            <w:pPr>
              <w:spacing w:before="100" w:beforeAutospacing="1" w:after="100" w:afterAutospacing="1"/>
              <w:jc w:val="both"/>
              <w:rPr>
                <w:rFonts w:eastAsia="Times New Roman" w:cs="Times New Roman"/>
                <w:sz w:val="24"/>
                <w:szCs w:val="24"/>
                <w:lang w:eastAsia="lv-LV"/>
              </w:rPr>
            </w:pPr>
            <w:r w:rsidRPr="00AD67D0">
              <w:rPr>
                <w:rFonts w:eastAsia="Times New Roman" w:cs="Times New Roman"/>
                <w:sz w:val="24"/>
                <w:szCs w:val="24"/>
                <w:lang w:eastAsia="lv-LV"/>
              </w:rPr>
              <w:t>Sabiedrības grupām un institūcijām projekta tiesiskais regulējums nemaina tiesības un pienākumus, kā arī veicamās darbības.</w:t>
            </w:r>
          </w:p>
        </w:tc>
      </w:tr>
      <w:tr w:rsidR="0070526D" w:rsidRPr="00AB42FA" w14:paraId="1A39BF66" w14:textId="77777777" w:rsidTr="00721968">
        <w:trPr>
          <w:trHeight w:val="517"/>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16BC1C38" w14:textId="09F53C16" w:rsidR="0070526D" w:rsidRPr="00AB42FA" w:rsidRDefault="0070526D" w:rsidP="00864B98">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 </w:t>
            </w:r>
            <w:r w:rsidR="00864B98" w:rsidRPr="00AB42FA">
              <w:rPr>
                <w:rFonts w:eastAsia="Times New Roman" w:cs="Times New Roman"/>
                <w:sz w:val="24"/>
                <w:szCs w:val="24"/>
                <w:lang w:eastAsia="lv-LV"/>
              </w:rPr>
              <w:t>3</w:t>
            </w:r>
            <w:r w:rsidRPr="00AB42FA">
              <w:rPr>
                <w:rFonts w:eastAsia="Times New Roman" w:cs="Times New Roman"/>
                <w:sz w:val="24"/>
                <w:szCs w:val="24"/>
                <w:lang w:eastAsia="lv-LV"/>
              </w:rPr>
              <w:t>.</w:t>
            </w:r>
          </w:p>
        </w:tc>
        <w:tc>
          <w:tcPr>
            <w:tcW w:w="2746" w:type="dxa"/>
            <w:tcBorders>
              <w:top w:val="outset" w:sz="6" w:space="0" w:color="auto"/>
              <w:left w:val="outset" w:sz="6" w:space="0" w:color="auto"/>
              <w:bottom w:val="outset" w:sz="6" w:space="0" w:color="auto"/>
              <w:right w:val="outset" w:sz="6" w:space="0" w:color="auto"/>
            </w:tcBorders>
            <w:hideMark/>
          </w:tcPr>
          <w:p w14:paraId="49935ECB" w14:textId="1D1ACDE4" w:rsidR="0070526D" w:rsidRPr="00AB42FA" w:rsidRDefault="0070526D" w:rsidP="0070526D">
            <w:pPr>
              <w:spacing w:before="100" w:beforeAutospacing="1" w:after="100" w:afterAutospacing="1"/>
              <w:rPr>
                <w:rFonts w:eastAsia="Times New Roman" w:cs="Times New Roman"/>
                <w:sz w:val="24"/>
                <w:szCs w:val="24"/>
                <w:lang w:eastAsia="lv-LV"/>
              </w:rPr>
            </w:pPr>
            <w:r w:rsidRPr="00AB42FA">
              <w:rPr>
                <w:rFonts w:eastAsia="Times New Roman" w:cs="Times New Roman"/>
                <w:sz w:val="24"/>
                <w:szCs w:val="24"/>
                <w:lang w:eastAsia="lv-LV"/>
              </w:rPr>
              <w:t> </w:t>
            </w:r>
            <w:r w:rsidR="00864B98" w:rsidRPr="00AB42FA">
              <w:rPr>
                <w:rFonts w:eastAsia="Times New Roman" w:cs="Times New Roman"/>
                <w:sz w:val="24"/>
                <w:szCs w:val="24"/>
                <w:lang w:eastAsia="lv-LV"/>
              </w:rPr>
              <w:t>Administratīvo izmaksu monetārs novērtējums</w:t>
            </w:r>
          </w:p>
        </w:tc>
        <w:tc>
          <w:tcPr>
            <w:tcW w:w="5791" w:type="dxa"/>
            <w:tcBorders>
              <w:top w:val="outset" w:sz="6" w:space="0" w:color="auto"/>
              <w:left w:val="outset" w:sz="6" w:space="0" w:color="auto"/>
              <w:bottom w:val="outset" w:sz="6" w:space="0" w:color="auto"/>
              <w:right w:val="outset" w:sz="6" w:space="0" w:color="auto"/>
            </w:tcBorders>
            <w:hideMark/>
          </w:tcPr>
          <w:p w14:paraId="35A87268" w14:textId="5E9DB26C" w:rsidR="00764B68" w:rsidRPr="00AD67D0" w:rsidRDefault="000D26E0" w:rsidP="00467097">
            <w:pPr>
              <w:jc w:val="both"/>
              <w:rPr>
                <w:rFonts w:eastAsia="Times New Roman" w:cs="Times New Roman"/>
                <w:sz w:val="24"/>
                <w:szCs w:val="24"/>
                <w:lang w:eastAsia="lv-LV"/>
              </w:rPr>
            </w:pPr>
            <w:r w:rsidRPr="00AD67D0">
              <w:rPr>
                <w:rFonts w:eastAsia="Times New Roman" w:cs="Times New Roman"/>
                <w:sz w:val="24"/>
                <w:szCs w:val="24"/>
                <w:lang w:eastAsia="lv-LV"/>
              </w:rPr>
              <w:t>Projekts šo jomu neskar</w:t>
            </w:r>
            <w:r w:rsidR="00AD67D0">
              <w:rPr>
                <w:rFonts w:eastAsia="Times New Roman" w:cs="Times New Roman"/>
                <w:sz w:val="24"/>
                <w:szCs w:val="24"/>
                <w:lang w:eastAsia="lv-LV"/>
              </w:rPr>
              <w:t>.</w:t>
            </w:r>
          </w:p>
        </w:tc>
      </w:tr>
      <w:tr w:rsidR="0070526D" w:rsidRPr="00AB42FA" w14:paraId="129558EF" w14:textId="77777777" w:rsidTr="00721968">
        <w:trPr>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356DDAD0" w14:textId="58CF77A4" w:rsidR="0070526D" w:rsidRPr="00AB42FA" w:rsidRDefault="0070526D" w:rsidP="00864B98">
            <w:pPr>
              <w:rPr>
                <w:rFonts w:eastAsia="Times New Roman" w:cs="Times New Roman"/>
                <w:sz w:val="24"/>
                <w:szCs w:val="24"/>
                <w:lang w:eastAsia="lv-LV"/>
              </w:rPr>
            </w:pPr>
            <w:r w:rsidRPr="00AB42FA">
              <w:rPr>
                <w:rFonts w:eastAsia="Times New Roman" w:cs="Times New Roman"/>
                <w:sz w:val="24"/>
                <w:szCs w:val="24"/>
                <w:lang w:eastAsia="lv-LV"/>
              </w:rPr>
              <w:t> </w:t>
            </w:r>
            <w:r w:rsidR="00864B98" w:rsidRPr="00AB42FA">
              <w:rPr>
                <w:rFonts w:eastAsia="Times New Roman" w:cs="Times New Roman"/>
                <w:sz w:val="24"/>
                <w:szCs w:val="24"/>
                <w:lang w:eastAsia="lv-LV"/>
              </w:rPr>
              <w:t>4</w:t>
            </w:r>
            <w:r w:rsidRPr="00AB42FA">
              <w:rPr>
                <w:rFonts w:eastAsia="Times New Roman" w:cs="Times New Roman"/>
                <w:sz w:val="24"/>
                <w:szCs w:val="24"/>
                <w:lang w:eastAsia="lv-LV"/>
              </w:rPr>
              <w:t>.</w:t>
            </w:r>
          </w:p>
        </w:tc>
        <w:tc>
          <w:tcPr>
            <w:tcW w:w="2746" w:type="dxa"/>
            <w:tcBorders>
              <w:top w:val="outset" w:sz="6" w:space="0" w:color="auto"/>
              <w:left w:val="outset" w:sz="6" w:space="0" w:color="auto"/>
              <w:bottom w:val="outset" w:sz="6" w:space="0" w:color="auto"/>
              <w:right w:val="outset" w:sz="6" w:space="0" w:color="auto"/>
            </w:tcBorders>
            <w:hideMark/>
          </w:tcPr>
          <w:p w14:paraId="5270311B" w14:textId="77777777" w:rsidR="0070526D" w:rsidRPr="00AB42FA" w:rsidRDefault="0070526D" w:rsidP="00115E82">
            <w:pPr>
              <w:rPr>
                <w:rFonts w:eastAsia="Times New Roman" w:cs="Times New Roman"/>
                <w:sz w:val="24"/>
                <w:szCs w:val="24"/>
                <w:lang w:eastAsia="lv-LV"/>
              </w:rPr>
            </w:pPr>
            <w:r w:rsidRPr="00AB42FA">
              <w:rPr>
                <w:rFonts w:eastAsia="Times New Roman" w:cs="Times New Roman"/>
                <w:sz w:val="24"/>
                <w:szCs w:val="24"/>
                <w:lang w:eastAsia="lv-LV"/>
              </w:rPr>
              <w:t> Cita informācija</w:t>
            </w:r>
          </w:p>
        </w:tc>
        <w:tc>
          <w:tcPr>
            <w:tcW w:w="5791" w:type="dxa"/>
            <w:tcBorders>
              <w:top w:val="outset" w:sz="6" w:space="0" w:color="auto"/>
              <w:left w:val="outset" w:sz="6" w:space="0" w:color="auto"/>
              <w:bottom w:val="outset" w:sz="6" w:space="0" w:color="auto"/>
              <w:right w:val="outset" w:sz="6" w:space="0" w:color="auto"/>
            </w:tcBorders>
            <w:hideMark/>
          </w:tcPr>
          <w:p w14:paraId="3518C6F4" w14:textId="5BDE5478" w:rsidR="0070526D" w:rsidRPr="00AD67D0" w:rsidRDefault="00467097" w:rsidP="00467097">
            <w:pPr>
              <w:jc w:val="both"/>
              <w:rPr>
                <w:rFonts w:eastAsia="Times New Roman" w:cs="Times New Roman"/>
                <w:sz w:val="24"/>
                <w:szCs w:val="24"/>
                <w:lang w:eastAsia="lv-LV"/>
              </w:rPr>
            </w:pPr>
            <w:r w:rsidRPr="00AD67D0">
              <w:rPr>
                <w:rFonts w:eastAsia="Times New Roman" w:cs="Times New Roman"/>
                <w:sz w:val="24"/>
                <w:szCs w:val="24"/>
                <w:lang w:eastAsia="lv-LV"/>
              </w:rPr>
              <w:t xml:space="preserve">Administratīvais slogs nepalielinās, jo saistībā ar deleģējuma maiņu Ministru kabineta 2010.gada 24.augusta ieteikumi Nr.1 “Ieteikumi par amatpersonu un darbinieku atlīdzības noteikšanas kritēriju un darba samaksas apmēra sadalījumā pa amatu grupām publiskošanu”  pēc būtības tiek </w:t>
            </w:r>
            <w:proofErr w:type="spellStart"/>
            <w:r w:rsidRPr="00AD67D0">
              <w:rPr>
                <w:rFonts w:eastAsia="Times New Roman" w:cs="Times New Roman"/>
                <w:sz w:val="24"/>
                <w:szCs w:val="24"/>
                <w:lang w:eastAsia="lv-LV"/>
              </w:rPr>
              <w:t>pārizdoti</w:t>
            </w:r>
            <w:proofErr w:type="spellEnd"/>
            <w:r w:rsidRPr="00AD67D0">
              <w:rPr>
                <w:rFonts w:eastAsia="Times New Roman" w:cs="Times New Roman"/>
                <w:sz w:val="24"/>
                <w:szCs w:val="24"/>
                <w:lang w:eastAsia="lv-LV"/>
              </w:rPr>
              <w:t xml:space="preserve"> kā Ministru kabineta noteikumi.</w:t>
            </w:r>
          </w:p>
        </w:tc>
      </w:tr>
    </w:tbl>
    <w:p w14:paraId="330388AE" w14:textId="75F10523" w:rsidR="00092FAC" w:rsidRDefault="0070526D" w:rsidP="00935378">
      <w:pPr>
        <w:rPr>
          <w:rFonts w:eastAsia="Times New Roman" w:cs="Times New Roman"/>
          <w:b/>
          <w:bCs/>
          <w:sz w:val="26"/>
          <w:szCs w:val="26"/>
          <w:lang w:eastAsia="lv-LV"/>
        </w:rPr>
      </w:pPr>
      <w:r w:rsidRPr="00EF35E2">
        <w:rPr>
          <w:rFonts w:eastAsia="Times New Roman" w:cs="Times New Roman"/>
          <w:sz w:val="26"/>
          <w:szCs w:val="26"/>
          <w:lang w:eastAsia="lv-LV"/>
        </w:rPr>
        <w:t>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8"/>
        <w:gridCol w:w="3260"/>
        <w:gridCol w:w="5456"/>
      </w:tblGrid>
      <w:tr w:rsidR="00092FAC" w:rsidRPr="00AB42FA" w14:paraId="02ECEE0B" w14:textId="77777777" w:rsidTr="00953B82">
        <w:trPr>
          <w:trHeight w:val="421"/>
          <w:jc w:val="center"/>
        </w:trPr>
        <w:tc>
          <w:tcPr>
            <w:tcW w:w="9214" w:type="dxa"/>
            <w:gridSpan w:val="3"/>
            <w:tcBorders>
              <w:top w:val="single" w:sz="4" w:space="0" w:color="auto"/>
            </w:tcBorders>
            <w:vAlign w:val="center"/>
          </w:tcPr>
          <w:p w14:paraId="36B2C2EE" w14:textId="77777777" w:rsidR="00092FAC" w:rsidRPr="00AB42FA" w:rsidRDefault="00092FAC" w:rsidP="00953B82">
            <w:pPr>
              <w:ind w:left="57" w:right="57"/>
              <w:jc w:val="center"/>
              <w:rPr>
                <w:rFonts w:eastAsia="Times New Roman" w:cs="Times New Roman"/>
                <w:b/>
                <w:bCs/>
                <w:sz w:val="24"/>
                <w:szCs w:val="24"/>
              </w:rPr>
            </w:pPr>
            <w:r w:rsidRPr="00AB42FA">
              <w:rPr>
                <w:rFonts w:eastAsia="Times New Roman" w:cs="Times New Roman"/>
                <w:b/>
                <w:bCs/>
                <w:sz w:val="24"/>
                <w:szCs w:val="24"/>
              </w:rPr>
              <w:t>VII. Tiesību akta projekta izpildes nodrošināšana un tās ietekme uz institūcijām</w:t>
            </w:r>
          </w:p>
        </w:tc>
      </w:tr>
      <w:tr w:rsidR="00092FAC" w:rsidRPr="00AB42FA" w14:paraId="6B5CCFC9" w14:textId="77777777" w:rsidTr="00953B82">
        <w:trPr>
          <w:trHeight w:val="427"/>
          <w:jc w:val="center"/>
        </w:trPr>
        <w:tc>
          <w:tcPr>
            <w:tcW w:w="498" w:type="dxa"/>
          </w:tcPr>
          <w:p w14:paraId="5674DDB5" w14:textId="77777777" w:rsidR="00092FAC" w:rsidRPr="00AB42FA" w:rsidRDefault="00092FAC" w:rsidP="00953B82">
            <w:pPr>
              <w:ind w:left="57" w:right="57"/>
              <w:jc w:val="both"/>
              <w:rPr>
                <w:rFonts w:eastAsia="Times New Roman" w:cs="Times New Roman"/>
                <w:bCs/>
                <w:sz w:val="24"/>
                <w:szCs w:val="24"/>
              </w:rPr>
            </w:pPr>
            <w:r w:rsidRPr="00AB42FA">
              <w:rPr>
                <w:rFonts w:eastAsia="Times New Roman" w:cs="Times New Roman"/>
                <w:bCs/>
                <w:sz w:val="24"/>
                <w:szCs w:val="24"/>
              </w:rPr>
              <w:t>1.</w:t>
            </w:r>
          </w:p>
        </w:tc>
        <w:tc>
          <w:tcPr>
            <w:tcW w:w="3260" w:type="dxa"/>
          </w:tcPr>
          <w:p w14:paraId="5C6A4E0F" w14:textId="77777777" w:rsidR="00092FAC" w:rsidRPr="00AB42FA" w:rsidRDefault="00092FAC" w:rsidP="00953B82">
            <w:pPr>
              <w:ind w:left="57" w:right="57"/>
              <w:jc w:val="both"/>
              <w:rPr>
                <w:rFonts w:eastAsia="Times New Roman" w:cs="Times New Roman"/>
                <w:sz w:val="24"/>
                <w:szCs w:val="24"/>
              </w:rPr>
            </w:pPr>
            <w:r w:rsidRPr="00AB42FA">
              <w:rPr>
                <w:rFonts w:eastAsia="Times New Roman" w:cs="Times New Roman"/>
                <w:sz w:val="24"/>
                <w:szCs w:val="24"/>
              </w:rPr>
              <w:t xml:space="preserve">Projekta izpildē iesaistītās institūcijas </w:t>
            </w:r>
          </w:p>
        </w:tc>
        <w:tc>
          <w:tcPr>
            <w:tcW w:w="5456" w:type="dxa"/>
          </w:tcPr>
          <w:p w14:paraId="7541761B" w14:textId="0CBB1AF0" w:rsidR="00092FAC" w:rsidRPr="00AB42FA" w:rsidRDefault="00092FAC" w:rsidP="00721968">
            <w:pPr>
              <w:rPr>
                <w:rFonts w:eastAsia="Times New Roman" w:cs="Times New Roman"/>
                <w:sz w:val="24"/>
                <w:szCs w:val="24"/>
              </w:rPr>
            </w:pPr>
            <w:r w:rsidRPr="00AB42FA">
              <w:rPr>
                <w:rFonts w:eastAsia="Calibri" w:cs="Times New Roman"/>
                <w:sz w:val="24"/>
                <w:szCs w:val="24"/>
              </w:rPr>
              <w:t xml:space="preserve">Noteikumu projekta izpildi nodrošinās noteikumu projekta 1.punktā minētās institūcijas. </w:t>
            </w:r>
          </w:p>
        </w:tc>
      </w:tr>
      <w:tr w:rsidR="00092FAC" w:rsidRPr="00AB42FA" w14:paraId="264296A0" w14:textId="77777777" w:rsidTr="00953B82">
        <w:trPr>
          <w:trHeight w:val="463"/>
          <w:jc w:val="center"/>
        </w:trPr>
        <w:tc>
          <w:tcPr>
            <w:tcW w:w="498" w:type="dxa"/>
          </w:tcPr>
          <w:p w14:paraId="629C3419" w14:textId="77777777" w:rsidR="00092FAC" w:rsidRPr="00AB42FA" w:rsidRDefault="00092FAC" w:rsidP="00953B82">
            <w:pPr>
              <w:ind w:left="57" w:right="57"/>
              <w:jc w:val="both"/>
              <w:rPr>
                <w:rFonts w:eastAsia="Times New Roman" w:cs="Times New Roman"/>
                <w:bCs/>
                <w:sz w:val="24"/>
                <w:szCs w:val="24"/>
              </w:rPr>
            </w:pPr>
            <w:r w:rsidRPr="00AB42FA">
              <w:rPr>
                <w:rFonts w:eastAsia="Times New Roman" w:cs="Times New Roman"/>
                <w:bCs/>
                <w:sz w:val="24"/>
                <w:szCs w:val="24"/>
              </w:rPr>
              <w:t>2.</w:t>
            </w:r>
          </w:p>
        </w:tc>
        <w:tc>
          <w:tcPr>
            <w:tcW w:w="3260" w:type="dxa"/>
          </w:tcPr>
          <w:p w14:paraId="1D879A72" w14:textId="77777777" w:rsidR="00092FAC" w:rsidRPr="00AB42FA" w:rsidRDefault="00092FAC" w:rsidP="00953B82">
            <w:pPr>
              <w:ind w:left="57" w:right="57"/>
              <w:jc w:val="both"/>
              <w:rPr>
                <w:rFonts w:eastAsia="Times New Roman" w:cs="Times New Roman"/>
                <w:sz w:val="24"/>
                <w:szCs w:val="24"/>
              </w:rPr>
            </w:pPr>
            <w:r w:rsidRPr="00AB42FA">
              <w:rPr>
                <w:rFonts w:eastAsia="Times New Roman" w:cs="Times New Roman"/>
                <w:sz w:val="24"/>
                <w:szCs w:val="24"/>
              </w:rPr>
              <w:t>Projekta izpildes ietekme uz pārvaldes funkcijām un institucionālo struktūru.</w:t>
            </w:r>
          </w:p>
          <w:p w14:paraId="763CC873" w14:textId="77777777" w:rsidR="00092FAC" w:rsidRPr="00AB42FA" w:rsidRDefault="00092FAC" w:rsidP="00953B82">
            <w:pPr>
              <w:ind w:left="57" w:right="57"/>
              <w:jc w:val="both"/>
              <w:rPr>
                <w:rFonts w:eastAsia="Times New Roman" w:cs="Times New Roman"/>
                <w:sz w:val="24"/>
                <w:szCs w:val="24"/>
              </w:rPr>
            </w:pPr>
          </w:p>
          <w:p w14:paraId="14E2D718" w14:textId="32459721" w:rsidR="00092FAC" w:rsidRPr="00AB42FA" w:rsidRDefault="00092FAC" w:rsidP="00953B82">
            <w:pPr>
              <w:ind w:left="57" w:right="57"/>
              <w:jc w:val="both"/>
              <w:rPr>
                <w:rFonts w:eastAsia="Times New Roman" w:cs="Times New Roman"/>
                <w:sz w:val="24"/>
                <w:szCs w:val="24"/>
              </w:rPr>
            </w:pPr>
            <w:r w:rsidRPr="00AB42FA">
              <w:rPr>
                <w:rFonts w:eastAsia="Times New Roman" w:cs="Times New Roman"/>
                <w:sz w:val="24"/>
                <w:szCs w:val="24"/>
              </w:rPr>
              <w:t>Jaunu institūciju izveide, esošu institūciju likvidācija vai reorganizācija, to ietekme uz institūcijas cilvēkresursiem</w:t>
            </w:r>
            <w:r w:rsidR="00305CC6" w:rsidRPr="00AB42FA">
              <w:rPr>
                <w:rFonts w:eastAsia="Times New Roman" w:cs="Times New Roman"/>
                <w:sz w:val="24"/>
                <w:szCs w:val="24"/>
              </w:rPr>
              <w:t>.</w:t>
            </w:r>
            <w:r w:rsidRPr="00AB42FA">
              <w:rPr>
                <w:rFonts w:eastAsia="Times New Roman" w:cs="Times New Roman"/>
                <w:sz w:val="24"/>
                <w:szCs w:val="24"/>
              </w:rPr>
              <w:t xml:space="preserve"> </w:t>
            </w:r>
          </w:p>
        </w:tc>
        <w:tc>
          <w:tcPr>
            <w:tcW w:w="5456" w:type="dxa"/>
          </w:tcPr>
          <w:p w14:paraId="5D627C2C" w14:textId="77777777" w:rsidR="00092FAC" w:rsidRPr="00AB42FA" w:rsidRDefault="00092FAC" w:rsidP="00721968">
            <w:pPr>
              <w:tabs>
                <w:tab w:val="left" w:pos="4758"/>
              </w:tabs>
              <w:ind w:right="171"/>
              <w:jc w:val="both"/>
              <w:rPr>
                <w:rFonts w:eastAsia="Times New Roman" w:cs="Times New Roman"/>
                <w:bCs/>
                <w:sz w:val="24"/>
                <w:szCs w:val="24"/>
              </w:rPr>
            </w:pPr>
            <w:r w:rsidRPr="00AB42FA">
              <w:rPr>
                <w:rFonts w:eastAsia="Times New Roman" w:cs="Times New Roman"/>
                <w:bCs/>
                <w:sz w:val="24"/>
                <w:szCs w:val="24"/>
              </w:rPr>
              <w:t>Noteikumu projekts šo jomu neskar.</w:t>
            </w:r>
          </w:p>
        </w:tc>
      </w:tr>
      <w:tr w:rsidR="00092FAC" w:rsidRPr="00AB42FA" w14:paraId="1B13641A" w14:textId="77777777" w:rsidTr="00953B82">
        <w:trPr>
          <w:trHeight w:val="247"/>
          <w:jc w:val="center"/>
        </w:trPr>
        <w:tc>
          <w:tcPr>
            <w:tcW w:w="498" w:type="dxa"/>
          </w:tcPr>
          <w:p w14:paraId="63994E84" w14:textId="77777777" w:rsidR="00092FAC" w:rsidRPr="00AB42FA" w:rsidRDefault="00092FAC" w:rsidP="00953B82">
            <w:pPr>
              <w:ind w:left="57" w:right="57"/>
              <w:jc w:val="both"/>
              <w:rPr>
                <w:rFonts w:eastAsia="Times New Roman" w:cs="Times New Roman"/>
                <w:sz w:val="24"/>
                <w:szCs w:val="24"/>
              </w:rPr>
            </w:pPr>
            <w:r w:rsidRPr="00AB42FA">
              <w:rPr>
                <w:rFonts w:eastAsia="Times New Roman" w:cs="Times New Roman"/>
                <w:sz w:val="24"/>
                <w:szCs w:val="24"/>
              </w:rPr>
              <w:t>3.</w:t>
            </w:r>
          </w:p>
        </w:tc>
        <w:tc>
          <w:tcPr>
            <w:tcW w:w="3260" w:type="dxa"/>
          </w:tcPr>
          <w:p w14:paraId="0B66085B" w14:textId="77777777" w:rsidR="00092FAC" w:rsidRPr="00AB42FA" w:rsidRDefault="00092FAC" w:rsidP="00953B82">
            <w:pPr>
              <w:ind w:left="57" w:right="57"/>
              <w:jc w:val="both"/>
              <w:rPr>
                <w:rFonts w:eastAsia="Times New Roman" w:cs="Times New Roman"/>
                <w:sz w:val="24"/>
                <w:szCs w:val="24"/>
              </w:rPr>
            </w:pPr>
            <w:r w:rsidRPr="00AB42FA">
              <w:rPr>
                <w:rFonts w:eastAsia="Times New Roman" w:cs="Times New Roman"/>
                <w:sz w:val="24"/>
                <w:szCs w:val="24"/>
              </w:rPr>
              <w:t>Cita informācija</w:t>
            </w:r>
          </w:p>
        </w:tc>
        <w:tc>
          <w:tcPr>
            <w:tcW w:w="5456" w:type="dxa"/>
          </w:tcPr>
          <w:p w14:paraId="645B3BD6" w14:textId="5F2B4741" w:rsidR="00092FAC" w:rsidRPr="00AB42FA" w:rsidRDefault="00092FAC" w:rsidP="00953B82">
            <w:pPr>
              <w:ind w:left="57" w:right="57" w:firstLine="340"/>
              <w:rPr>
                <w:rFonts w:eastAsia="Times New Roman" w:cs="Times New Roman"/>
                <w:sz w:val="24"/>
                <w:szCs w:val="24"/>
              </w:rPr>
            </w:pPr>
            <w:r w:rsidRPr="00AB42FA">
              <w:rPr>
                <w:rFonts w:eastAsia="Times New Roman" w:cs="Times New Roman"/>
                <w:sz w:val="24"/>
                <w:szCs w:val="24"/>
              </w:rPr>
              <w:t>Nav</w:t>
            </w:r>
          </w:p>
        </w:tc>
      </w:tr>
    </w:tbl>
    <w:p w14:paraId="299F4132" w14:textId="77777777" w:rsidR="00092FAC" w:rsidRDefault="00092FAC" w:rsidP="00935378">
      <w:pPr>
        <w:rPr>
          <w:rFonts w:eastAsia="Times New Roman" w:cs="Times New Roman"/>
          <w:b/>
          <w:bCs/>
          <w:sz w:val="26"/>
          <w:szCs w:val="26"/>
          <w:lang w:eastAsia="lv-LV"/>
        </w:rPr>
      </w:pPr>
    </w:p>
    <w:p w14:paraId="5EE88EC7" w14:textId="30837168" w:rsidR="00D75DE0" w:rsidRPr="00AB42FA" w:rsidRDefault="0059092A" w:rsidP="00935378">
      <w:pPr>
        <w:rPr>
          <w:rFonts w:eastAsia="Times New Roman" w:cs="Times New Roman"/>
          <w:b/>
          <w:bCs/>
          <w:sz w:val="25"/>
          <w:szCs w:val="25"/>
          <w:lang w:eastAsia="lv-LV"/>
        </w:rPr>
      </w:pPr>
      <w:r w:rsidRPr="00AB42FA">
        <w:rPr>
          <w:rFonts w:eastAsia="Times New Roman" w:cs="Times New Roman"/>
          <w:i/>
          <w:iCs/>
          <w:sz w:val="25"/>
          <w:szCs w:val="25"/>
          <w:lang w:eastAsia="lv-LV"/>
        </w:rPr>
        <w:t xml:space="preserve">Anotācijas III, IV, V un VI sadaļa </w:t>
      </w:r>
      <w:r w:rsidR="002C4A4F" w:rsidRPr="00AB42FA">
        <w:rPr>
          <w:rFonts w:eastAsia="Times New Roman" w:cs="Times New Roman"/>
          <w:i/>
          <w:iCs/>
          <w:sz w:val="25"/>
          <w:szCs w:val="25"/>
          <w:lang w:eastAsia="lv-LV"/>
        </w:rPr>
        <w:t>– projekts š</w:t>
      </w:r>
      <w:r w:rsidR="00465F4A" w:rsidRPr="00AB42FA">
        <w:rPr>
          <w:rFonts w:eastAsia="Times New Roman" w:cs="Times New Roman"/>
          <w:i/>
          <w:iCs/>
          <w:sz w:val="25"/>
          <w:szCs w:val="25"/>
          <w:lang w:eastAsia="lv-LV"/>
        </w:rPr>
        <w:t>īs</w:t>
      </w:r>
      <w:r w:rsidR="002C4A4F" w:rsidRPr="00AB42FA">
        <w:rPr>
          <w:rFonts w:eastAsia="Times New Roman" w:cs="Times New Roman"/>
          <w:i/>
          <w:iCs/>
          <w:sz w:val="25"/>
          <w:szCs w:val="25"/>
          <w:lang w:eastAsia="lv-LV"/>
        </w:rPr>
        <w:t xml:space="preserve"> jom</w:t>
      </w:r>
      <w:r w:rsidR="00465F4A" w:rsidRPr="00AB42FA">
        <w:rPr>
          <w:rFonts w:eastAsia="Times New Roman" w:cs="Times New Roman"/>
          <w:i/>
          <w:iCs/>
          <w:sz w:val="25"/>
          <w:szCs w:val="25"/>
          <w:lang w:eastAsia="lv-LV"/>
        </w:rPr>
        <w:t>as</w:t>
      </w:r>
      <w:r w:rsidR="002C4A4F" w:rsidRPr="00AB42FA">
        <w:rPr>
          <w:rFonts w:eastAsia="Times New Roman" w:cs="Times New Roman"/>
          <w:i/>
          <w:iCs/>
          <w:sz w:val="25"/>
          <w:szCs w:val="25"/>
          <w:lang w:eastAsia="lv-LV"/>
        </w:rPr>
        <w:t xml:space="preserve"> neskar</w:t>
      </w:r>
      <w:r w:rsidRPr="00AB42FA">
        <w:rPr>
          <w:rFonts w:eastAsia="Times New Roman" w:cs="Times New Roman"/>
          <w:i/>
          <w:iCs/>
          <w:sz w:val="25"/>
          <w:szCs w:val="25"/>
          <w:lang w:eastAsia="lv-LV"/>
        </w:rPr>
        <w:t>.</w:t>
      </w:r>
    </w:p>
    <w:p w14:paraId="1ABA5EE8" w14:textId="77777777" w:rsidR="00D75DE0" w:rsidRPr="00AB42FA" w:rsidRDefault="00D75DE0" w:rsidP="00935378">
      <w:pPr>
        <w:rPr>
          <w:rFonts w:eastAsia="Times New Roman" w:cs="Times New Roman"/>
          <w:b/>
          <w:bCs/>
          <w:sz w:val="25"/>
          <w:szCs w:val="25"/>
          <w:lang w:eastAsia="lv-LV"/>
        </w:rPr>
      </w:pPr>
    </w:p>
    <w:p w14:paraId="7AD7B25C" w14:textId="77777777" w:rsidR="00D75DE0" w:rsidRPr="00AB42FA" w:rsidRDefault="00D75DE0" w:rsidP="00935378">
      <w:pPr>
        <w:rPr>
          <w:rFonts w:eastAsia="Times New Roman" w:cs="Times New Roman"/>
          <w:b/>
          <w:bCs/>
          <w:sz w:val="25"/>
          <w:szCs w:val="25"/>
          <w:lang w:eastAsia="lv-LV"/>
        </w:rPr>
      </w:pPr>
    </w:p>
    <w:p w14:paraId="5985E805" w14:textId="611E1FB3" w:rsidR="00935378" w:rsidRPr="00AB42FA" w:rsidRDefault="0048509F" w:rsidP="00935378">
      <w:pPr>
        <w:rPr>
          <w:sz w:val="25"/>
          <w:szCs w:val="25"/>
        </w:rPr>
      </w:pPr>
      <w:r w:rsidRPr="00AB42FA">
        <w:rPr>
          <w:sz w:val="25"/>
          <w:szCs w:val="25"/>
        </w:rPr>
        <w:t>Finanšu ministre</w:t>
      </w:r>
      <w:r w:rsidRPr="00AB42FA">
        <w:rPr>
          <w:sz w:val="25"/>
          <w:szCs w:val="25"/>
        </w:rPr>
        <w:tab/>
      </w:r>
      <w:r w:rsidRPr="00AB42FA">
        <w:rPr>
          <w:sz w:val="25"/>
          <w:szCs w:val="25"/>
        </w:rPr>
        <w:tab/>
      </w:r>
      <w:r w:rsidRPr="00AB42FA">
        <w:rPr>
          <w:sz w:val="25"/>
          <w:szCs w:val="25"/>
        </w:rPr>
        <w:tab/>
      </w:r>
      <w:r w:rsidRPr="00AB42FA">
        <w:rPr>
          <w:sz w:val="25"/>
          <w:szCs w:val="25"/>
        </w:rPr>
        <w:tab/>
      </w:r>
      <w:r w:rsidRPr="00AB42FA">
        <w:rPr>
          <w:sz w:val="25"/>
          <w:szCs w:val="25"/>
        </w:rPr>
        <w:tab/>
      </w:r>
      <w:r w:rsidRPr="00AB42FA">
        <w:rPr>
          <w:sz w:val="25"/>
          <w:szCs w:val="25"/>
        </w:rPr>
        <w:tab/>
      </w:r>
      <w:r w:rsidR="00935378" w:rsidRPr="00AB42FA">
        <w:rPr>
          <w:sz w:val="25"/>
          <w:szCs w:val="25"/>
        </w:rPr>
        <w:tab/>
      </w:r>
      <w:proofErr w:type="spellStart"/>
      <w:r w:rsidRPr="00AB42FA">
        <w:rPr>
          <w:sz w:val="25"/>
          <w:szCs w:val="25"/>
        </w:rPr>
        <w:t>D.Reizniece</w:t>
      </w:r>
      <w:proofErr w:type="spellEnd"/>
      <w:r w:rsidRPr="00AB42FA">
        <w:rPr>
          <w:sz w:val="25"/>
          <w:szCs w:val="25"/>
        </w:rPr>
        <w:t xml:space="preserve"> - Ozola</w:t>
      </w:r>
    </w:p>
    <w:p w14:paraId="0122EC73" w14:textId="77777777" w:rsidR="00006270" w:rsidRDefault="00006270" w:rsidP="00AA7DFA">
      <w:pPr>
        <w:tabs>
          <w:tab w:val="left" w:pos="6840"/>
        </w:tabs>
        <w:jc w:val="both"/>
        <w:rPr>
          <w:sz w:val="22"/>
        </w:rPr>
      </w:pPr>
    </w:p>
    <w:p w14:paraId="3404AB7C" w14:textId="77777777" w:rsidR="006F46E1" w:rsidRDefault="006F46E1" w:rsidP="00AA7DFA">
      <w:pPr>
        <w:tabs>
          <w:tab w:val="left" w:pos="6840"/>
        </w:tabs>
        <w:jc w:val="both"/>
        <w:rPr>
          <w:sz w:val="22"/>
        </w:rPr>
      </w:pPr>
    </w:p>
    <w:p w14:paraId="548C0C95" w14:textId="1BC1E2E2" w:rsidR="00BC7C83" w:rsidRPr="00D83B9F" w:rsidRDefault="00AD67D0" w:rsidP="00BC7C83">
      <w:pPr>
        <w:pStyle w:val="naiskr"/>
        <w:spacing w:before="0" w:beforeAutospacing="0" w:after="0" w:afterAutospacing="0"/>
        <w:contextualSpacing/>
        <w:rPr>
          <w:sz w:val="22"/>
          <w:szCs w:val="22"/>
        </w:rPr>
      </w:pPr>
      <w:r>
        <w:rPr>
          <w:sz w:val="22"/>
          <w:szCs w:val="22"/>
        </w:rPr>
        <w:t>2</w:t>
      </w:r>
      <w:r w:rsidR="00225913">
        <w:rPr>
          <w:sz w:val="22"/>
          <w:szCs w:val="22"/>
        </w:rPr>
        <w:t>5</w:t>
      </w:r>
      <w:r w:rsidR="0066420F">
        <w:rPr>
          <w:sz w:val="22"/>
          <w:szCs w:val="22"/>
        </w:rPr>
        <w:t>.02.</w:t>
      </w:r>
      <w:r w:rsidR="00BC7C83" w:rsidRPr="00D83B9F">
        <w:rPr>
          <w:sz w:val="22"/>
          <w:szCs w:val="22"/>
        </w:rPr>
        <w:t>201</w:t>
      </w:r>
      <w:r w:rsidR="00BC7C83">
        <w:rPr>
          <w:sz w:val="22"/>
          <w:szCs w:val="22"/>
        </w:rPr>
        <w:t>6</w:t>
      </w:r>
      <w:r w:rsidR="00BC7C83" w:rsidRPr="00D83B9F">
        <w:rPr>
          <w:sz w:val="22"/>
          <w:szCs w:val="22"/>
        </w:rPr>
        <w:t xml:space="preserve"> </w:t>
      </w:r>
      <w:r w:rsidR="00360893" w:rsidRPr="00D83B9F">
        <w:rPr>
          <w:sz w:val="22"/>
          <w:szCs w:val="22"/>
        </w:rPr>
        <w:t>1</w:t>
      </w:r>
      <w:r w:rsidR="00225913">
        <w:rPr>
          <w:sz w:val="22"/>
          <w:szCs w:val="22"/>
        </w:rPr>
        <w:t>6</w:t>
      </w:r>
      <w:r w:rsidR="00BC7C83" w:rsidRPr="00D83B9F">
        <w:rPr>
          <w:sz w:val="22"/>
          <w:szCs w:val="22"/>
        </w:rPr>
        <w:t>:3</w:t>
      </w:r>
      <w:r w:rsidR="0088096B">
        <w:rPr>
          <w:sz w:val="22"/>
          <w:szCs w:val="22"/>
        </w:rPr>
        <w:t>6</w:t>
      </w:r>
      <w:bookmarkStart w:id="2" w:name="_GoBack"/>
      <w:bookmarkEnd w:id="2"/>
    </w:p>
    <w:p w14:paraId="1BCB8224" w14:textId="4A272D25" w:rsidR="00BC7C83" w:rsidRPr="00D83B9F" w:rsidRDefault="00BC7C83" w:rsidP="00BC7C83">
      <w:pPr>
        <w:pStyle w:val="naiskr"/>
        <w:spacing w:before="0" w:beforeAutospacing="0" w:after="0" w:afterAutospacing="0"/>
        <w:contextualSpacing/>
        <w:rPr>
          <w:sz w:val="22"/>
          <w:szCs w:val="22"/>
        </w:rPr>
      </w:pPr>
      <w:r w:rsidRPr="00D83B9F">
        <w:rPr>
          <w:sz w:val="22"/>
          <w:szCs w:val="22"/>
        </w:rPr>
        <w:fldChar w:fldCharType="begin"/>
      </w:r>
      <w:r w:rsidRPr="00D83B9F">
        <w:rPr>
          <w:sz w:val="22"/>
          <w:szCs w:val="22"/>
        </w:rPr>
        <w:instrText xml:space="preserve"> NUMWORDS   \* MERGEFORMAT </w:instrText>
      </w:r>
      <w:r w:rsidRPr="00D83B9F">
        <w:rPr>
          <w:sz w:val="22"/>
          <w:szCs w:val="22"/>
        </w:rPr>
        <w:fldChar w:fldCharType="separate"/>
      </w:r>
      <w:r w:rsidR="00225913">
        <w:rPr>
          <w:noProof/>
          <w:sz w:val="22"/>
          <w:szCs w:val="22"/>
        </w:rPr>
        <w:t>1250</w:t>
      </w:r>
      <w:r w:rsidRPr="00D83B9F">
        <w:rPr>
          <w:sz w:val="22"/>
          <w:szCs w:val="22"/>
        </w:rPr>
        <w:fldChar w:fldCharType="end"/>
      </w:r>
    </w:p>
    <w:p w14:paraId="694C5E51" w14:textId="77777777" w:rsidR="00BC7C83" w:rsidRPr="00D83B9F" w:rsidRDefault="00BC7C83" w:rsidP="00BC7C83">
      <w:pPr>
        <w:tabs>
          <w:tab w:val="left" w:pos="3840"/>
        </w:tabs>
        <w:contextualSpacing/>
        <w:rPr>
          <w:sz w:val="22"/>
        </w:rPr>
      </w:pPr>
      <w:proofErr w:type="spellStart"/>
      <w:r w:rsidRPr="00D83B9F">
        <w:rPr>
          <w:sz w:val="22"/>
        </w:rPr>
        <w:t>I.</w:t>
      </w:r>
      <w:r>
        <w:rPr>
          <w:sz w:val="22"/>
        </w:rPr>
        <w:t>Zariņa</w:t>
      </w:r>
      <w:proofErr w:type="spellEnd"/>
      <w:r>
        <w:rPr>
          <w:sz w:val="22"/>
        </w:rPr>
        <w:t xml:space="preserve"> </w:t>
      </w:r>
      <w:r w:rsidRPr="00D83B9F">
        <w:rPr>
          <w:sz w:val="22"/>
        </w:rPr>
        <w:t>67095</w:t>
      </w:r>
      <w:r>
        <w:rPr>
          <w:sz w:val="22"/>
        </w:rPr>
        <w:t>676</w:t>
      </w:r>
      <w:r w:rsidRPr="00D83B9F">
        <w:rPr>
          <w:sz w:val="22"/>
        </w:rPr>
        <w:t xml:space="preserve"> </w:t>
      </w:r>
    </w:p>
    <w:p w14:paraId="31CB2EF4" w14:textId="77777777" w:rsidR="0029559E" w:rsidRDefault="00225913" w:rsidP="00BC7C83">
      <w:pPr>
        <w:tabs>
          <w:tab w:val="left" w:pos="6840"/>
        </w:tabs>
        <w:contextualSpacing/>
        <w:jc w:val="both"/>
        <w:rPr>
          <w:sz w:val="22"/>
        </w:rPr>
      </w:pPr>
      <w:hyperlink r:id="rId8" w:history="1">
        <w:r w:rsidR="00BC7C83" w:rsidRPr="001E68FF">
          <w:rPr>
            <w:rStyle w:val="Hyperlink"/>
            <w:sz w:val="22"/>
          </w:rPr>
          <w:t>Indra.Zariņa@fm.gov.lv</w:t>
        </w:r>
      </w:hyperlink>
    </w:p>
    <w:sectPr w:rsidR="0029559E" w:rsidSect="00E84A1A">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1E86" w14:textId="77777777" w:rsidR="00BD3A7D" w:rsidRDefault="00BD3A7D" w:rsidP="007740F2">
      <w:r>
        <w:separator/>
      </w:r>
    </w:p>
  </w:endnote>
  <w:endnote w:type="continuationSeparator" w:id="0">
    <w:p w14:paraId="3FCD5933" w14:textId="77777777" w:rsidR="00BD3A7D" w:rsidRDefault="00BD3A7D"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68F5" w14:textId="02547302" w:rsidR="00FB03A8" w:rsidRPr="00AD3A41" w:rsidRDefault="00E5481B" w:rsidP="0096635D">
    <w:pPr>
      <w:jc w:val="both"/>
      <w:rPr>
        <w:sz w:val="16"/>
        <w:szCs w:val="16"/>
      </w:rPr>
    </w:pPr>
    <w:r>
      <w:rPr>
        <w:rFonts w:eastAsia="Times New Roman" w:cs="Times New Roman"/>
        <w:sz w:val="20"/>
        <w:szCs w:val="20"/>
        <w:lang w:eastAsia="lv-LV"/>
      </w:rPr>
      <w:t>FM</w:t>
    </w:r>
    <w:r w:rsidR="004B598F">
      <w:rPr>
        <w:rFonts w:eastAsia="Times New Roman" w:cs="Times New Roman"/>
        <w:sz w:val="20"/>
        <w:szCs w:val="20"/>
        <w:lang w:eastAsia="lv-LV"/>
      </w:rPr>
      <w:t>anot</w:t>
    </w:r>
    <w:r w:rsidR="004B598F" w:rsidRPr="004B598F">
      <w:rPr>
        <w:rFonts w:eastAsia="Times New Roman" w:cs="Times New Roman"/>
        <w:sz w:val="20"/>
        <w:szCs w:val="20"/>
        <w:lang w:eastAsia="lv-LV"/>
      </w:rPr>
      <w:t>_</w:t>
    </w:r>
    <w:r w:rsidR="00AD67D0">
      <w:rPr>
        <w:rFonts w:eastAsia="Times New Roman" w:cs="Times New Roman"/>
        <w:sz w:val="20"/>
        <w:szCs w:val="20"/>
        <w:lang w:eastAsia="lv-LV"/>
      </w:rPr>
      <w:t>2</w:t>
    </w:r>
    <w:r w:rsidR="00225913">
      <w:rPr>
        <w:rFonts w:eastAsia="Times New Roman" w:cs="Times New Roman"/>
        <w:sz w:val="20"/>
        <w:szCs w:val="20"/>
        <w:lang w:eastAsia="lv-LV"/>
      </w:rPr>
      <w:t>5</w:t>
    </w:r>
    <w:r w:rsidR="00A74EE1">
      <w:rPr>
        <w:rFonts w:eastAsia="Times New Roman" w:cs="Times New Roman"/>
        <w:sz w:val="20"/>
        <w:szCs w:val="20"/>
        <w:lang w:eastAsia="lv-LV"/>
      </w:rPr>
      <w:t>02</w:t>
    </w:r>
    <w:r w:rsidR="004B598F" w:rsidRPr="004B598F">
      <w:rPr>
        <w:rFonts w:eastAsia="Times New Roman" w:cs="Times New Roman"/>
        <w:sz w:val="20"/>
        <w:szCs w:val="20"/>
        <w:lang w:eastAsia="lv-LV"/>
      </w:rPr>
      <w:t>2016; Ministru kabineta noteikumu „</w:t>
    </w:r>
    <w:proofErr w:type="spellStart"/>
    <w:r w:rsidR="004B598F" w:rsidRPr="004B598F">
      <w:rPr>
        <w:rFonts w:eastAsia="Times New Roman" w:cs="Times New Roman"/>
        <w:bCs/>
        <w:sz w:val="20"/>
        <w:szCs w:val="20"/>
        <w:lang w:val="en-AU" w:eastAsia="lv-LV"/>
      </w:rPr>
      <w:t>Kārtība</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kādā</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tiek</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publiskota</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informācija</w:t>
    </w:r>
    <w:proofErr w:type="spellEnd"/>
    <w:r w:rsidR="004B598F" w:rsidRPr="004B598F">
      <w:rPr>
        <w:rFonts w:eastAsia="Times New Roman" w:cs="Times New Roman"/>
        <w:bCs/>
        <w:sz w:val="20"/>
        <w:szCs w:val="20"/>
        <w:lang w:val="en-AU" w:eastAsia="lv-LV"/>
      </w:rPr>
      <w:t xml:space="preserve"> par </w:t>
    </w:r>
    <w:proofErr w:type="spellStart"/>
    <w:r w:rsidR="004B598F" w:rsidRPr="004B598F">
      <w:rPr>
        <w:rFonts w:eastAsia="Times New Roman" w:cs="Times New Roman"/>
        <w:bCs/>
        <w:sz w:val="20"/>
        <w:szCs w:val="20"/>
        <w:lang w:val="en-AU" w:eastAsia="lv-LV"/>
      </w:rPr>
      <w:t>amatpersonu</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darbinieku</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atlīdzības</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noteikšanas</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kritērijiem</w:t>
    </w:r>
    <w:proofErr w:type="spellEnd"/>
    <w:r w:rsidR="004B598F" w:rsidRPr="004B598F">
      <w:rPr>
        <w:rFonts w:eastAsia="Times New Roman" w:cs="Times New Roman"/>
        <w:bCs/>
        <w:sz w:val="20"/>
        <w:szCs w:val="20"/>
        <w:lang w:val="en-AU" w:eastAsia="lv-LV"/>
      </w:rPr>
      <w:t xml:space="preserve"> un </w:t>
    </w:r>
    <w:proofErr w:type="spellStart"/>
    <w:r w:rsidR="004B598F" w:rsidRPr="004B598F">
      <w:rPr>
        <w:rFonts w:eastAsia="Times New Roman" w:cs="Times New Roman"/>
        <w:bCs/>
        <w:sz w:val="20"/>
        <w:szCs w:val="20"/>
        <w:lang w:val="en-AU" w:eastAsia="lv-LV"/>
      </w:rPr>
      <w:t>darba</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samaksas</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apmēru</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sadalījumā</w:t>
    </w:r>
    <w:proofErr w:type="spellEnd"/>
    <w:r w:rsidR="004B598F" w:rsidRPr="004B598F">
      <w:rPr>
        <w:rFonts w:eastAsia="Times New Roman" w:cs="Times New Roman"/>
        <w:bCs/>
        <w:sz w:val="20"/>
        <w:szCs w:val="20"/>
        <w:lang w:val="en-AU" w:eastAsia="lv-LV"/>
      </w:rPr>
      <w:t xml:space="preserve"> pa </w:t>
    </w:r>
    <w:proofErr w:type="spellStart"/>
    <w:r w:rsidR="004B598F" w:rsidRPr="004B598F">
      <w:rPr>
        <w:rFonts w:eastAsia="Times New Roman" w:cs="Times New Roman"/>
        <w:bCs/>
        <w:sz w:val="20"/>
        <w:szCs w:val="20"/>
        <w:lang w:val="en-AU" w:eastAsia="lv-LV"/>
      </w:rPr>
      <w:t>amatu</w:t>
    </w:r>
    <w:proofErr w:type="spellEnd"/>
    <w:r w:rsidR="004B598F" w:rsidRPr="004B598F">
      <w:rPr>
        <w:rFonts w:eastAsia="Times New Roman" w:cs="Times New Roman"/>
        <w:bCs/>
        <w:sz w:val="20"/>
        <w:szCs w:val="20"/>
        <w:lang w:val="en-AU" w:eastAsia="lv-LV"/>
      </w:rPr>
      <w:t xml:space="preserve"> </w:t>
    </w:r>
    <w:proofErr w:type="spellStart"/>
    <w:r w:rsidR="004B598F" w:rsidRPr="004B598F">
      <w:rPr>
        <w:rFonts w:eastAsia="Times New Roman" w:cs="Times New Roman"/>
        <w:bCs/>
        <w:sz w:val="20"/>
        <w:szCs w:val="20"/>
        <w:lang w:val="en-AU" w:eastAsia="lv-LV"/>
      </w:rPr>
      <w:t>grupām</w:t>
    </w:r>
    <w:proofErr w:type="spellEnd"/>
    <w:r w:rsidR="004B598F" w:rsidRPr="004B598F">
      <w:rPr>
        <w:rFonts w:eastAsia="Times New Roman" w:cs="Times New Roman"/>
        <w:bCs/>
        <w:sz w:val="20"/>
        <w:szCs w:val="20"/>
        <w:lang w:eastAsia="lv-LV"/>
      </w:rPr>
      <w:t>”</w:t>
    </w:r>
    <w:r w:rsidR="004B598F" w:rsidRPr="004B598F">
      <w:rPr>
        <w:rFonts w:eastAsia="Times New Roman" w:cs="Times New Roman"/>
        <w:sz w:val="20"/>
        <w:szCs w:val="20"/>
        <w:lang w:eastAsia="lv-LV"/>
      </w:rPr>
      <w:t xml:space="preserve"> projekta </w:t>
    </w:r>
    <w:r w:rsidR="004B598F">
      <w:rPr>
        <w:rFonts w:eastAsia="Times New Roman" w:cs="Times New Roman"/>
        <w:sz w:val="20"/>
        <w:szCs w:val="20"/>
        <w:lang w:eastAsia="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3692" w14:textId="66F3569C" w:rsidR="00A63549" w:rsidRPr="00E5481B" w:rsidRDefault="00455681" w:rsidP="00E5481B">
    <w:pPr>
      <w:jc w:val="both"/>
      <w:rPr>
        <w:sz w:val="20"/>
        <w:szCs w:val="20"/>
      </w:rPr>
    </w:pPr>
    <w:r w:rsidRPr="00E5481B">
      <w:rPr>
        <w:sz w:val="20"/>
        <w:szCs w:val="20"/>
      </w:rPr>
      <w:t>FM</w:t>
    </w:r>
    <w:r w:rsidR="00E5481B" w:rsidRPr="00E5481B">
      <w:rPr>
        <w:sz w:val="20"/>
        <w:szCs w:val="20"/>
      </w:rPr>
      <w:t>a</w:t>
    </w:r>
    <w:r w:rsidRPr="00E5481B">
      <w:rPr>
        <w:sz w:val="20"/>
        <w:szCs w:val="20"/>
      </w:rPr>
      <w:t>not_</w:t>
    </w:r>
    <w:r w:rsidR="00AD67D0">
      <w:rPr>
        <w:sz w:val="20"/>
        <w:szCs w:val="20"/>
      </w:rPr>
      <w:t>2</w:t>
    </w:r>
    <w:r w:rsidR="00225913">
      <w:rPr>
        <w:sz w:val="20"/>
        <w:szCs w:val="20"/>
      </w:rPr>
      <w:t>5</w:t>
    </w:r>
    <w:r w:rsidR="00A74EE1">
      <w:rPr>
        <w:sz w:val="20"/>
        <w:szCs w:val="20"/>
      </w:rPr>
      <w:t>02</w:t>
    </w:r>
    <w:r w:rsidR="001969DD" w:rsidRPr="00E5481B">
      <w:rPr>
        <w:sz w:val="20"/>
        <w:szCs w:val="20"/>
      </w:rPr>
      <w:t>2016</w:t>
    </w:r>
    <w:r w:rsidRPr="00E5481B">
      <w:rPr>
        <w:sz w:val="20"/>
        <w:szCs w:val="20"/>
      </w:rPr>
      <w:t xml:space="preserve">; Anotācija </w:t>
    </w:r>
    <w:bookmarkStart w:id="3" w:name="OLE_LINK13"/>
    <w:bookmarkStart w:id="4" w:name="OLE_LINK14"/>
    <w:r w:rsidR="00AA7DFA" w:rsidRPr="00E5481B">
      <w:rPr>
        <w:sz w:val="20"/>
        <w:szCs w:val="20"/>
      </w:rPr>
      <w:t xml:space="preserve">Ministru kabineta </w:t>
    </w:r>
    <w:r w:rsidR="00C26E52" w:rsidRPr="00E5481B">
      <w:rPr>
        <w:sz w:val="20"/>
        <w:szCs w:val="20"/>
      </w:rPr>
      <w:t>noteikumu</w:t>
    </w:r>
    <w:r w:rsidR="001969DD" w:rsidRPr="00E5481B">
      <w:rPr>
        <w:bCs/>
        <w:sz w:val="20"/>
        <w:szCs w:val="20"/>
      </w:rPr>
      <w:t xml:space="preserve"> “Kārtība, kādā tiek publi</w:t>
    </w:r>
    <w:r w:rsidR="00E5481B" w:rsidRPr="00E5481B">
      <w:rPr>
        <w:bCs/>
        <w:sz w:val="20"/>
        <w:szCs w:val="20"/>
      </w:rPr>
      <w:t>sko</w:t>
    </w:r>
    <w:r w:rsidR="001969DD" w:rsidRPr="00E5481B">
      <w:rPr>
        <w:bCs/>
        <w:sz w:val="20"/>
        <w:szCs w:val="20"/>
      </w:rPr>
      <w:t xml:space="preserve">ta informācija par amatpersonu (darbinieku) atlīdzības noteikšanas kritērijiem un darba samaksas apmēru sadalījumā pa amatu grupām” </w:t>
    </w:r>
    <w:r w:rsidRPr="00E5481B">
      <w:rPr>
        <w:sz w:val="20"/>
        <w:szCs w:val="20"/>
      </w:rPr>
      <w:t>projektam</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4A18E" w14:textId="77777777" w:rsidR="00BD3A7D" w:rsidRDefault="00BD3A7D" w:rsidP="007740F2">
      <w:r>
        <w:separator/>
      </w:r>
    </w:p>
  </w:footnote>
  <w:footnote w:type="continuationSeparator" w:id="0">
    <w:p w14:paraId="3D74E64E" w14:textId="77777777" w:rsidR="00BD3A7D" w:rsidRDefault="00BD3A7D"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829"/>
      <w:docPartObj>
        <w:docPartGallery w:val="Page Numbers (Top of Page)"/>
        <w:docPartUnique/>
      </w:docPartObj>
    </w:sdtPr>
    <w:sdtEndPr/>
    <w:sdtContent>
      <w:p w14:paraId="356306A5" w14:textId="77777777" w:rsidR="00570A92" w:rsidRDefault="00B80898">
        <w:pPr>
          <w:pStyle w:val="Header"/>
          <w:jc w:val="center"/>
        </w:pPr>
        <w:r>
          <w:fldChar w:fldCharType="begin"/>
        </w:r>
        <w:r>
          <w:instrText xml:space="preserve"> PAGE   \* MERGEFORMAT </w:instrText>
        </w:r>
        <w:r>
          <w:fldChar w:fldCharType="separate"/>
        </w:r>
        <w:r w:rsidR="00225913">
          <w:rPr>
            <w:noProof/>
          </w:rPr>
          <w:t>3</w:t>
        </w:r>
        <w:r>
          <w:rPr>
            <w:noProof/>
          </w:rPr>
          <w:fldChar w:fldCharType="end"/>
        </w:r>
      </w:p>
    </w:sdtContent>
  </w:sdt>
  <w:p w14:paraId="3302A7B5" w14:textId="77777777" w:rsidR="00570A92" w:rsidRDefault="00570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4D14217"/>
    <w:multiLevelType w:val="hybridMultilevel"/>
    <w:tmpl w:val="7FE4AEA4"/>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79C55C16"/>
    <w:multiLevelType w:val="hybridMultilevel"/>
    <w:tmpl w:val="FF96CF90"/>
    <w:lvl w:ilvl="0" w:tplc="D4ECF49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6D"/>
    <w:rsid w:val="00006270"/>
    <w:rsid w:val="00015CB7"/>
    <w:rsid w:val="00032122"/>
    <w:rsid w:val="00037FD2"/>
    <w:rsid w:val="00041BC5"/>
    <w:rsid w:val="00044005"/>
    <w:rsid w:val="0004592E"/>
    <w:rsid w:val="000527BD"/>
    <w:rsid w:val="00054454"/>
    <w:rsid w:val="00055A6F"/>
    <w:rsid w:val="00060261"/>
    <w:rsid w:val="000608D1"/>
    <w:rsid w:val="000614E7"/>
    <w:rsid w:val="00067A47"/>
    <w:rsid w:val="000768D8"/>
    <w:rsid w:val="00091B57"/>
    <w:rsid w:val="00092FAC"/>
    <w:rsid w:val="000A0204"/>
    <w:rsid w:val="000A202B"/>
    <w:rsid w:val="000A3048"/>
    <w:rsid w:val="000A7482"/>
    <w:rsid w:val="000B7A52"/>
    <w:rsid w:val="000D26E0"/>
    <w:rsid w:val="000E3546"/>
    <w:rsid w:val="000E5684"/>
    <w:rsid w:val="001044F3"/>
    <w:rsid w:val="00105163"/>
    <w:rsid w:val="00115E82"/>
    <w:rsid w:val="00117F3B"/>
    <w:rsid w:val="001222D1"/>
    <w:rsid w:val="001237E0"/>
    <w:rsid w:val="00131C69"/>
    <w:rsid w:val="00132409"/>
    <w:rsid w:val="0014022B"/>
    <w:rsid w:val="0014118A"/>
    <w:rsid w:val="0014131D"/>
    <w:rsid w:val="00142743"/>
    <w:rsid w:val="0014438B"/>
    <w:rsid w:val="00146563"/>
    <w:rsid w:val="0015174C"/>
    <w:rsid w:val="001519EB"/>
    <w:rsid w:val="001544B1"/>
    <w:rsid w:val="0015655F"/>
    <w:rsid w:val="001568F0"/>
    <w:rsid w:val="00160678"/>
    <w:rsid w:val="001628E3"/>
    <w:rsid w:val="00162DB9"/>
    <w:rsid w:val="00177434"/>
    <w:rsid w:val="00185660"/>
    <w:rsid w:val="00192B03"/>
    <w:rsid w:val="00194290"/>
    <w:rsid w:val="00196450"/>
    <w:rsid w:val="001969DD"/>
    <w:rsid w:val="00196BBB"/>
    <w:rsid w:val="001A1950"/>
    <w:rsid w:val="001A2F99"/>
    <w:rsid w:val="001A59A2"/>
    <w:rsid w:val="001B1B64"/>
    <w:rsid w:val="001B3339"/>
    <w:rsid w:val="001B4578"/>
    <w:rsid w:val="001C7999"/>
    <w:rsid w:val="001D0F36"/>
    <w:rsid w:val="001D2CE8"/>
    <w:rsid w:val="001D3A8C"/>
    <w:rsid w:val="001D6F00"/>
    <w:rsid w:val="001D74D6"/>
    <w:rsid w:val="001E329C"/>
    <w:rsid w:val="001E4491"/>
    <w:rsid w:val="001E59F0"/>
    <w:rsid w:val="001F69A7"/>
    <w:rsid w:val="00200731"/>
    <w:rsid w:val="00210849"/>
    <w:rsid w:val="00213CD5"/>
    <w:rsid w:val="002176AD"/>
    <w:rsid w:val="00225913"/>
    <w:rsid w:val="00227194"/>
    <w:rsid w:val="00230D49"/>
    <w:rsid w:val="0023427C"/>
    <w:rsid w:val="0024678C"/>
    <w:rsid w:val="00254D59"/>
    <w:rsid w:val="00264055"/>
    <w:rsid w:val="002673BA"/>
    <w:rsid w:val="00271DB5"/>
    <w:rsid w:val="0029559E"/>
    <w:rsid w:val="002968E6"/>
    <w:rsid w:val="002A3DAE"/>
    <w:rsid w:val="002A429F"/>
    <w:rsid w:val="002A4DB1"/>
    <w:rsid w:val="002B5BA9"/>
    <w:rsid w:val="002C3EF8"/>
    <w:rsid w:val="002C4422"/>
    <w:rsid w:val="002C4A4F"/>
    <w:rsid w:val="002C5882"/>
    <w:rsid w:val="002C6CFD"/>
    <w:rsid w:val="002D1F2F"/>
    <w:rsid w:val="002D3FB0"/>
    <w:rsid w:val="002D48CC"/>
    <w:rsid w:val="002E572C"/>
    <w:rsid w:val="002E5E1F"/>
    <w:rsid w:val="002E7FB0"/>
    <w:rsid w:val="002F3510"/>
    <w:rsid w:val="002F3D27"/>
    <w:rsid w:val="0030223A"/>
    <w:rsid w:val="00302C67"/>
    <w:rsid w:val="00305CC6"/>
    <w:rsid w:val="0031021D"/>
    <w:rsid w:val="00314B05"/>
    <w:rsid w:val="00324680"/>
    <w:rsid w:val="00325216"/>
    <w:rsid w:val="003309D0"/>
    <w:rsid w:val="0033490C"/>
    <w:rsid w:val="00346051"/>
    <w:rsid w:val="003539EF"/>
    <w:rsid w:val="00360020"/>
    <w:rsid w:val="00360893"/>
    <w:rsid w:val="003608AD"/>
    <w:rsid w:val="0036096D"/>
    <w:rsid w:val="00362E0F"/>
    <w:rsid w:val="003809EB"/>
    <w:rsid w:val="00380DCC"/>
    <w:rsid w:val="00392707"/>
    <w:rsid w:val="003B7BB3"/>
    <w:rsid w:val="003B7D1C"/>
    <w:rsid w:val="003C57B9"/>
    <w:rsid w:val="003D47B9"/>
    <w:rsid w:val="003D7FF7"/>
    <w:rsid w:val="003E075D"/>
    <w:rsid w:val="003E085B"/>
    <w:rsid w:val="003E3508"/>
    <w:rsid w:val="003F7FB2"/>
    <w:rsid w:val="004124FD"/>
    <w:rsid w:val="0041682B"/>
    <w:rsid w:val="004207D8"/>
    <w:rsid w:val="00422AF4"/>
    <w:rsid w:val="00430E80"/>
    <w:rsid w:val="00442AEC"/>
    <w:rsid w:val="00444C23"/>
    <w:rsid w:val="004478BF"/>
    <w:rsid w:val="00455681"/>
    <w:rsid w:val="0046324C"/>
    <w:rsid w:val="0046489D"/>
    <w:rsid w:val="0046559E"/>
    <w:rsid w:val="00465CC5"/>
    <w:rsid w:val="00465F4A"/>
    <w:rsid w:val="00467097"/>
    <w:rsid w:val="004704D8"/>
    <w:rsid w:val="00473BE0"/>
    <w:rsid w:val="0048509F"/>
    <w:rsid w:val="004860BE"/>
    <w:rsid w:val="00486B53"/>
    <w:rsid w:val="00493232"/>
    <w:rsid w:val="004938CC"/>
    <w:rsid w:val="004A3CEB"/>
    <w:rsid w:val="004B598F"/>
    <w:rsid w:val="004C36C9"/>
    <w:rsid w:val="004C402C"/>
    <w:rsid w:val="004C7636"/>
    <w:rsid w:val="004D66C3"/>
    <w:rsid w:val="004E288A"/>
    <w:rsid w:val="004E7789"/>
    <w:rsid w:val="004F149A"/>
    <w:rsid w:val="004F4590"/>
    <w:rsid w:val="004F578B"/>
    <w:rsid w:val="004F6134"/>
    <w:rsid w:val="00510BD5"/>
    <w:rsid w:val="0051346C"/>
    <w:rsid w:val="00517878"/>
    <w:rsid w:val="00524A3E"/>
    <w:rsid w:val="00525B06"/>
    <w:rsid w:val="005341B0"/>
    <w:rsid w:val="005566F5"/>
    <w:rsid w:val="005571B3"/>
    <w:rsid w:val="0056045B"/>
    <w:rsid w:val="00564B38"/>
    <w:rsid w:val="00565776"/>
    <w:rsid w:val="005657D6"/>
    <w:rsid w:val="00570A92"/>
    <w:rsid w:val="00574B95"/>
    <w:rsid w:val="0059092A"/>
    <w:rsid w:val="005B16A8"/>
    <w:rsid w:val="005B3AAD"/>
    <w:rsid w:val="005B78A1"/>
    <w:rsid w:val="005B7B1F"/>
    <w:rsid w:val="005B7BC8"/>
    <w:rsid w:val="005C37C2"/>
    <w:rsid w:val="005C3E55"/>
    <w:rsid w:val="005C60B3"/>
    <w:rsid w:val="005C7933"/>
    <w:rsid w:val="005D466E"/>
    <w:rsid w:val="005D7E79"/>
    <w:rsid w:val="005E0403"/>
    <w:rsid w:val="005E1D1C"/>
    <w:rsid w:val="005F4056"/>
    <w:rsid w:val="005F5149"/>
    <w:rsid w:val="005F5E38"/>
    <w:rsid w:val="005F7407"/>
    <w:rsid w:val="0060265B"/>
    <w:rsid w:val="00603F95"/>
    <w:rsid w:val="0062503B"/>
    <w:rsid w:val="00630899"/>
    <w:rsid w:val="006365AB"/>
    <w:rsid w:val="00650254"/>
    <w:rsid w:val="0066420F"/>
    <w:rsid w:val="0066507B"/>
    <w:rsid w:val="006702E4"/>
    <w:rsid w:val="006705BE"/>
    <w:rsid w:val="006706F0"/>
    <w:rsid w:val="00672F87"/>
    <w:rsid w:val="00684105"/>
    <w:rsid w:val="00690F3E"/>
    <w:rsid w:val="006910B7"/>
    <w:rsid w:val="00691DAB"/>
    <w:rsid w:val="00694923"/>
    <w:rsid w:val="00694F42"/>
    <w:rsid w:val="006960B3"/>
    <w:rsid w:val="006B609F"/>
    <w:rsid w:val="006B7A79"/>
    <w:rsid w:val="006C1B3A"/>
    <w:rsid w:val="006C348D"/>
    <w:rsid w:val="006C5890"/>
    <w:rsid w:val="006C5A8A"/>
    <w:rsid w:val="006D3764"/>
    <w:rsid w:val="006D4978"/>
    <w:rsid w:val="006E0C4B"/>
    <w:rsid w:val="006E4059"/>
    <w:rsid w:val="006F46E1"/>
    <w:rsid w:val="007009F3"/>
    <w:rsid w:val="007022B9"/>
    <w:rsid w:val="007040E1"/>
    <w:rsid w:val="0070526D"/>
    <w:rsid w:val="00706C45"/>
    <w:rsid w:val="007126AA"/>
    <w:rsid w:val="00713382"/>
    <w:rsid w:val="00717124"/>
    <w:rsid w:val="00721968"/>
    <w:rsid w:val="007265EA"/>
    <w:rsid w:val="0073757A"/>
    <w:rsid w:val="00744F03"/>
    <w:rsid w:val="00755DEF"/>
    <w:rsid w:val="00760C6B"/>
    <w:rsid w:val="00762423"/>
    <w:rsid w:val="00763918"/>
    <w:rsid w:val="007649F8"/>
    <w:rsid w:val="00764B68"/>
    <w:rsid w:val="007740F2"/>
    <w:rsid w:val="00776CCD"/>
    <w:rsid w:val="00776D2E"/>
    <w:rsid w:val="0078057E"/>
    <w:rsid w:val="0078133C"/>
    <w:rsid w:val="0079738E"/>
    <w:rsid w:val="007B0982"/>
    <w:rsid w:val="007B5773"/>
    <w:rsid w:val="007C6848"/>
    <w:rsid w:val="007D791F"/>
    <w:rsid w:val="007E37A8"/>
    <w:rsid w:val="007E386C"/>
    <w:rsid w:val="007E6B54"/>
    <w:rsid w:val="007F1998"/>
    <w:rsid w:val="00803914"/>
    <w:rsid w:val="0080484D"/>
    <w:rsid w:val="008057E8"/>
    <w:rsid w:val="00807E51"/>
    <w:rsid w:val="00815A99"/>
    <w:rsid w:val="00821F6D"/>
    <w:rsid w:val="0082281A"/>
    <w:rsid w:val="00823B6D"/>
    <w:rsid w:val="00825B24"/>
    <w:rsid w:val="00835068"/>
    <w:rsid w:val="00845D50"/>
    <w:rsid w:val="00851991"/>
    <w:rsid w:val="008566A8"/>
    <w:rsid w:val="00856812"/>
    <w:rsid w:val="008601FA"/>
    <w:rsid w:val="00862EB1"/>
    <w:rsid w:val="00862F35"/>
    <w:rsid w:val="00864B98"/>
    <w:rsid w:val="00876ECE"/>
    <w:rsid w:val="0088096B"/>
    <w:rsid w:val="0088098E"/>
    <w:rsid w:val="00896087"/>
    <w:rsid w:val="008979C0"/>
    <w:rsid w:val="008A1796"/>
    <w:rsid w:val="008B19FA"/>
    <w:rsid w:val="008B410F"/>
    <w:rsid w:val="008B5867"/>
    <w:rsid w:val="008C14A5"/>
    <w:rsid w:val="008C4091"/>
    <w:rsid w:val="008C6C7D"/>
    <w:rsid w:val="008D33D9"/>
    <w:rsid w:val="008E3058"/>
    <w:rsid w:val="008E6AFB"/>
    <w:rsid w:val="008F17E5"/>
    <w:rsid w:val="008F6688"/>
    <w:rsid w:val="008F7100"/>
    <w:rsid w:val="009005CE"/>
    <w:rsid w:val="00904774"/>
    <w:rsid w:val="00907A00"/>
    <w:rsid w:val="0091179F"/>
    <w:rsid w:val="009331F1"/>
    <w:rsid w:val="0093409E"/>
    <w:rsid w:val="00935378"/>
    <w:rsid w:val="0094581B"/>
    <w:rsid w:val="00955D86"/>
    <w:rsid w:val="00960608"/>
    <w:rsid w:val="0096635D"/>
    <w:rsid w:val="009763BC"/>
    <w:rsid w:val="00980F9F"/>
    <w:rsid w:val="009839B6"/>
    <w:rsid w:val="00987F3E"/>
    <w:rsid w:val="00991720"/>
    <w:rsid w:val="0099342B"/>
    <w:rsid w:val="009A68FF"/>
    <w:rsid w:val="009B4C0B"/>
    <w:rsid w:val="009B4DAD"/>
    <w:rsid w:val="009B4E5B"/>
    <w:rsid w:val="009D18F2"/>
    <w:rsid w:val="009D271D"/>
    <w:rsid w:val="009D3319"/>
    <w:rsid w:val="009D5B61"/>
    <w:rsid w:val="009E10B4"/>
    <w:rsid w:val="009E1340"/>
    <w:rsid w:val="009E41BF"/>
    <w:rsid w:val="009F1CCC"/>
    <w:rsid w:val="009F49A6"/>
    <w:rsid w:val="009F6011"/>
    <w:rsid w:val="009F62DD"/>
    <w:rsid w:val="009F71E7"/>
    <w:rsid w:val="00A11644"/>
    <w:rsid w:val="00A16405"/>
    <w:rsid w:val="00A17E59"/>
    <w:rsid w:val="00A33782"/>
    <w:rsid w:val="00A33CD6"/>
    <w:rsid w:val="00A548AF"/>
    <w:rsid w:val="00A57A47"/>
    <w:rsid w:val="00A631A3"/>
    <w:rsid w:val="00A63549"/>
    <w:rsid w:val="00A74EE1"/>
    <w:rsid w:val="00A835CD"/>
    <w:rsid w:val="00A923DC"/>
    <w:rsid w:val="00A92C01"/>
    <w:rsid w:val="00AA33B2"/>
    <w:rsid w:val="00AA5F52"/>
    <w:rsid w:val="00AA7DFA"/>
    <w:rsid w:val="00AB0F75"/>
    <w:rsid w:val="00AB1FFA"/>
    <w:rsid w:val="00AB42FA"/>
    <w:rsid w:val="00AC0128"/>
    <w:rsid w:val="00AD3A41"/>
    <w:rsid w:val="00AD3F91"/>
    <w:rsid w:val="00AD67D0"/>
    <w:rsid w:val="00AE3CD8"/>
    <w:rsid w:val="00AE4154"/>
    <w:rsid w:val="00AE4779"/>
    <w:rsid w:val="00AE5A6F"/>
    <w:rsid w:val="00AF01BC"/>
    <w:rsid w:val="00AF50B6"/>
    <w:rsid w:val="00AF5FF6"/>
    <w:rsid w:val="00B10412"/>
    <w:rsid w:val="00B11BFD"/>
    <w:rsid w:val="00B253BC"/>
    <w:rsid w:val="00B46DE6"/>
    <w:rsid w:val="00B60D7B"/>
    <w:rsid w:val="00B61FFD"/>
    <w:rsid w:val="00B71916"/>
    <w:rsid w:val="00B7531E"/>
    <w:rsid w:val="00B80898"/>
    <w:rsid w:val="00B80BB2"/>
    <w:rsid w:val="00B821A8"/>
    <w:rsid w:val="00B906B5"/>
    <w:rsid w:val="00B93AD7"/>
    <w:rsid w:val="00B95084"/>
    <w:rsid w:val="00B95DF9"/>
    <w:rsid w:val="00BA0537"/>
    <w:rsid w:val="00BA1E74"/>
    <w:rsid w:val="00BA1FE3"/>
    <w:rsid w:val="00BA399E"/>
    <w:rsid w:val="00BA39A8"/>
    <w:rsid w:val="00BA50CA"/>
    <w:rsid w:val="00BB2077"/>
    <w:rsid w:val="00BB2B24"/>
    <w:rsid w:val="00BB325E"/>
    <w:rsid w:val="00BC36B5"/>
    <w:rsid w:val="00BC58E1"/>
    <w:rsid w:val="00BC7C83"/>
    <w:rsid w:val="00BD3A7D"/>
    <w:rsid w:val="00BD4B47"/>
    <w:rsid w:val="00BF2BA0"/>
    <w:rsid w:val="00BF7333"/>
    <w:rsid w:val="00C0485E"/>
    <w:rsid w:val="00C06290"/>
    <w:rsid w:val="00C12F66"/>
    <w:rsid w:val="00C14938"/>
    <w:rsid w:val="00C26E52"/>
    <w:rsid w:val="00C27314"/>
    <w:rsid w:val="00C41080"/>
    <w:rsid w:val="00C44F12"/>
    <w:rsid w:val="00C51B47"/>
    <w:rsid w:val="00C52062"/>
    <w:rsid w:val="00C61C10"/>
    <w:rsid w:val="00C663EB"/>
    <w:rsid w:val="00C71979"/>
    <w:rsid w:val="00C84F1F"/>
    <w:rsid w:val="00C85533"/>
    <w:rsid w:val="00CA74C5"/>
    <w:rsid w:val="00CB35D8"/>
    <w:rsid w:val="00CB589D"/>
    <w:rsid w:val="00CB67AC"/>
    <w:rsid w:val="00CB6E6B"/>
    <w:rsid w:val="00CC172B"/>
    <w:rsid w:val="00CC35D2"/>
    <w:rsid w:val="00CD0D85"/>
    <w:rsid w:val="00CD0DDE"/>
    <w:rsid w:val="00CE4643"/>
    <w:rsid w:val="00CE7A8D"/>
    <w:rsid w:val="00CF0651"/>
    <w:rsid w:val="00CF1666"/>
    <w:rsid w:val="00CF225C"/>
    <w:rsid w:val="00CF627E"/>
    <w:rsid w:val="00D04521"/>
    <w:rsid w:val="00D07C37"/>
    <w:rsid w:val="00D10C44"/>
    <w:rsid w:val="00D234F4"/>
    <w:rsid w:val="00D237F7"/>
    <w:rsid w:val="00D274A3"/>
    <w:rsid w:val="00D34E12"/>
    <w:rsid w:val="00D364DF"/>
    <w:rsid w:val="00D411DD"/>
    <w:rsid w:val="00D5048F"/>
    <w:rsid w:val="00D510AD"/>
    <w:rsid w:val="00D51E45"/>
    <w:rsid w:val="00D57E12"/>
    <w:rsid w:val="00D71925"/>
    <w:rsid w:val="00D75DE0"/>
    <w:rsid w:val="00D85823"/>
    <w:rsid w:val="00D8617B"/>
    <w:rsid w:val="00D90AC4"/>
    <w:rsid w:val="00DA2445"/>
    <w:rsid w:val="00DA6E47"/>
    <w:rsid w:val="00DB09D0"/>
    <w:rsid w:val="00DC4023"/>
    <w:rsid w:val="00DC75CC"/>
    <w:rsid w:val="00DD404A"/>
    <w:rsid w:val="00DD68FF"/>
    <w:rsid w:val="00DD6DA0"/>
    <w:rsid w:val="00DE7088"/>
    <w:rsid w:val="00DE7EE8"/>
    <w:rsid w:val="00DF1645"/>
    <w:rsid w:val="00DF219A"/>
    <w:rsid w:val="00E00F86"/>
    <w:rsid w:val="00E02A47"/>
    <w:rsid w:val="00E07492"/>
    <w:rsid w:val="00E12128"/>
    <w:rsid w:val="00E13155"/>
    <w:rsid w:val="00E137C4"/>
    <w:rsid w:val="00E20D5A"/>
    <w:rsid w:val="00E222EA"/>
    <w:rsid w:val="00E2375D"/>
    <w:rsid w:val="00E34609"/>
    <w:rsid w:val="00E5481B"/>
    <w:rsid w:val="00E72B4F"/>
    <w:rsid w:val="00E84A1A"/>
    <w:rsid w:val="00E90344"/>
    <w:rsid w:val="00E9150D"/>
    <w:rsid w:val="00E92F12"/>
    <w:rsid w:val="00E93168"/>
    <w:rsid w:val="00EA2E20"/>
    <w:rsid w:val="00EA3435"/>
    <w:rsid w:val="00EA7AB6"/>
    <w:rsid w:val="00EB39A0"/>
    <w:rsid w:val="00EC73D5"/>
    <w:rsid w:val="00ED2753"/>
    <w:rsid w:val="00ED5ED4"/>
    <w:rsid w:val="00EF3296"/>
    <w:rsid w:val="00EF35E2"/>
    <w:rsid w:val="00EF3AAE"/>
    <w:rsid w:val="00F020D9"/>
    <w:rsid w:val="00F025CE"/>
    <w:rsid w:val="00F1076D"/>
    <w:rsid w:val="00F1401C"/>
    <w:rsid w:val="00F14E89"/>
    <w:rsid w:val="00F314DD"/>
    <w:rsid w:val="00F357AE"/>
    <w:rsid w:val="00F35DEC"/>
    <w:rsid w:val="00F46FE8"/>
    <w:rsid w:val="00F4701F"/>
    <w:rsid w:val="00F6632C"/>
    <w:rsid w:val="00F708BC"/>
    <w:rsid w:val="00F76A0C"/>
    <w:rsid w:val="00F8684A"/>
    <w:rsid w:val="00F9087D"/>
    <w:rsid w:val="00F92B2E"/>
    <w:rsid w:val="00F94342"/>
    <w:rsid w:val="00F95D86"/>
    <w:rsid w:val="00F96BD4"/>
    <w:rsid w:val="00FA1589"/>
    <w:rsid w:val="00FA2FDC"/>
    <w:rsid w:val="00FB03A8"/>
    <w:rsid w:val="00FB1F36"/>
    <w:rsid w:val="00FB333B"/>
    <w:rsid w:val="00FC4800"/>
    <w:rsid w:val="00FE3B2B"/>
    <w:rsid w:val="00FE5D02"/>
    <w:rsid w:val="00FF675B"/>
    <w:rsid w:val="00FF6DB2"/>
    <w:rsid w:val="00FF78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C2B91B"/>
  <w15:docId w15:val="{2782ED4C-9887-4C6E-A34A-575EC9CF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380DCC"/>
    <w:pPr>
      <w:ind w:left="720"/>
      <w:contextualSpacing/>
      <w:jc w:val="both"/>
    </w:pPr>
    <w:rPr>
      <w:rFonts w:eastAsia="Times New Roman" w:cs="Times New Roman"/>
      <w:sz w:val="24"/>
      <w:szCs w:val="20"/>
    </w:rPr>
  </w:style>
  <w:style w:type="paragraph" w:styleId="NormalWeb">
    <w:name w:val="Normal (Web)"/>
    <w:basedOn w:val="Normal"/>
    <w:uiPriority w:val="99"/>
    <w:semiHidden/>
    <w:unhideWhenUsed/>
    <w:rsid w:val="007E37A8"/>
    <w:pPr>
      <w:spacing w:before="100" w:beforeAutospacing="1" w:after="100" w:afterAutospacing="1"/>
    </w:pPr>
    <w:rPr>
      <w:rFonts w:eastAsia="Times New Roman" w:cs="Times New Roman"/>
      <w:sz w:val="24"/>
      <w:szCs w:val="24"/>
      <w:lang w:eastAsia="lv-LV"/>
    </w:rPr>
  </w:style>
  <w:style w:type="paragraph" w:customStyle="1" w:styleId="naisvisr">
    <w:name w:val="naisvisr"/>
    <w:basedOn w:val="Normal"/>
    <w:rsid w:val="00DE7088"/>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F1076D"/>
    <w:rPr>
      <w:sz w:val="16"/>
      <w:szCs w:val="16"/>
    </w:rPr>
  </w:style>
  <w:style w:type="paragraph" w:styleId="CommentText">
    <w:name w:val="annotation text"/>
    <w:basedOn w:val="Normal"/>
    <w:link w:val="CommentTextChar"/>
    <w:uiPriority w:val="99"/>
    <w:semiHidden/>
    <w:unhideWhenUsed/>
    <w:rsid w:val="00F1076D"/>
    <w:rPr>
      <w:sz w:val="20"/>
      <w:szCs w:val="20"/>
    </w:rPr>
  </w:style>
  <w:style w:type="character" w:customStyle="1" w:styleId="CommentTextChar">
    <w:name w:val="Comment Text Char"/>
    <w:basedOn w:val="DefaultParagraphFont"/>
    <w:link w:val="CommentText"/>
    <w:uiPriority w:val="99"/>
    <w:semiHidden/>
    <w:rsid w:val="00F1076D"/>
    <w:rPr>
      <w:sz w:val="20"/>
      <w:szCs w:val="20"/>
    </w:rPr>
  </w:style>
  <w:style w:type="paragraph" w:styleId="CommentSubject">
    <w:name w:val="annotation subject"/>
    <w:basedOn w:val="CommentText"/>
    <w:next w:val="CommentText"/>
    <w:link w:val="CommentSubjectChar"/>
    <w:uiPriority w:val="99"/>
    <w:semiHidden/>
    <w:unhideWhenUsed/>
    <w:rsid w:val="00F1076D"/>
    <w:rPr>
      <w:b/>
      <w:bCs/>
    </w:rPr>
  </w:style>
  <w:style w:type="character" w:customStyle="1" w:styleId="CommentSubjectChar">
    <w:name w:val="Comment Subject Char"/>
    <w:basedOn w:val="CommentTextChar"/>
    <w:link w:val="CommentSubject"/>
    <w:uiPriority w:val="99"/>
    <w:semiHidden/>
    <w:rsid w:val="00F1076D"/>
    <w:rPr>
      <w:b/>
      <w:bCs/>
      <w:sz w:val="20"/>
      <w:szCs w:val="20"/>
    </w:rPr>
  </w:style>
  <w:style w:type="paragraph" w:styleId="Revision">
    <w:name w:val="Revision"/>
    <w:hidden/>
    <w:uiPriority w:val="99"/>
    <w:semiHidden/>
    <w:rsid w:val="0076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4756">
      <w:bodyDiv w:val="1"/>
      <w:marLeft w:val="0"/>
      <w:marRight w:val="0"/>
      <w:marTop w:val="0"/>
      <w:marBottom w:val="0"/>
      <w:divBdr>
        <w:top w:val="none" w:sz="0" w:space="0" w:color="auto"/>
        <w:left w:val="none" w:sz="0" w:space="0" w:color="auto"/>
        <w:bottom w:val="none" w:sz="0" w:space="0" w:color="auto"/>
        <w:right w:val="none" w:sz="0" w:space="0" w:color="auto"/>
      </w:divBdr>
    </w:div>
    <w:div w:id="389808670">
      <w:bodyDiv w:val="1"/>
      <w:marLeft w:val="0"/>
      <w:marRight w:val="0"/>
      <w:marTop w:val="0"/>
      <w:marBottom w:val="0"/>
      <w:divBdr>
        <w:top w:val="none" w:sz="0" w:space="0" w:color="auto"/>
        <w:left w:val="none" w:sz="0" w:space="0" w:color="auto"/>
        <w:bottom w:val="none" w:sz="0" w:space="0" w:color="auto"/>
        <w:right w:val="none" w:sz="0" w:space="0" w:color="auto"/>
      </w:divBdr>
    </w:div>
    <w:div w:id="479158940">
      <w:bodyDiv w:val="1"/>
      <w:marLeft w:val="0"/>
      <w:marRight w:val="0"/>
      <w:marTop w:val="0"/>
      <w:marBottom w:val="0"/>
      <w:divBdr>
        <w:top w:val="none" w:sz="0" w:space="0" w:color="auto"/>
        <w:left w:val="none" w:sz="0" w:space="0" w:color="auto"/>
        <w:bottom w:val="none" w:sz="0" w:space="0" w:color="auto"/>
        <w:right w:val="none" w:sz="0" w:space="0" w:color="auto"/>
      </w:divBdr>
    </w:div>
    <w:div w:id="973103492">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1801337833">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Zari&#326;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FF83-99E5-4AE1-97DA-0B99B4AA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Pages>
  <Words>1270</Words>
  <Characters>9249</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Anotācija Ministru kabineta noteikumu “Kārtība, kādā tiek publicēta informācija par amatpersonu (darbinieku) atlīdzības noteikšanas kritērijiem un darba samaksas apmēru sadalījumā pa amatu grupām” projektam</vt:lpstr>
    </vt:vector>
  </TitlesOfParts>
  <Company>fm</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“Kārtība, kādā tiek publicēta informācija par amatpersonu (darbinieku) atlīdzības noteikšanas kritērijiem un darba samaksas apmēru sadalījumā pa amatu grupām” projektam</dc:title>
  <dc:subject>Anotācija</dc:subject>
  <dc:creator>I.Zariņa</dc:creator>
  <cp:keywords/>
  <dc:description>t. 67095676;
Indra.Zarīna@fm.gov.lv</dc:description>
  <cp:lastModifiedBy>Indra</cp:lastModifiedBy>
  <cp:revision>81</cp:revision>
  <cp:lastPrinted>2016-01-12T13:43:00Z</cp:lastPrinted>
  <dcterms:created xsi:type="dcterms:W3CDTF">2016-01-12T06:57:00Z</dcterms:created>
  <dcterms:modified xsi:type="dcterms:W3CDTF">2016-02-24T12:19:00Z</dcterms:modified>
</cp:coreProperties>
</file>