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471B" w14:textId="77777777" w:rsidR="00D32E3B" w:rsidRPr="00823CB3" w:rsidRDefault="00D32E3B" w:rsidP="00B65C59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bookmarkStart w:id="0" w:name="OLE_LINK1"/>
      <w:bookmarkStart w:id="1" w:name="OLE_LINK2"/>
      <w:bookmarkStart w:id="2" w:name="OLE_LINK4"/>
      <w:bookmarkStart w:id="3" w:name="OLE_LINK5"/>
    </w:p>
    <w:p w14:paraId="44A3619F" w14:textId="77777777" w:rsidR="004A505F" w:rsidRPr="00823CB3" w:rsidRDefault="004A505F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759CAE06" w14:textId="72456BDF" w:rsidR="007C5781" w:rsidRPr="00CA19B6" w:rsidRDefault="00C05444" w:rsidP="00A503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A19B6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Ministru kabineta noteikumu projekta </w:t>
      </w:r>
      <w:r w:rsidR="00F30FEF" w:rsidRPr="00CA19B6">
        <w:rPr>
          <w:rFonts w:ascii="Times New Roman" w:hAnsi="Times New Roman"/>
          <w:b/>
          <w:sz w:val="26"/>
          <w:szCs w:val="26"/>
        </w:rPr>
        <w:t>“</w:t>
      </w:r>
      <w:bookmarkEnd w:id="0"/>
      <w:bookmarkEnd w:id="1"/>
      <w:r w:rsidR="00CA19B6" w:rsidRPr="00CA19B6">
        <w:rPr>
          <w:rFonts w:ascii="Times New Roman" w:hAnsi="Times New Roman"/>
          <w:b/>
          <w:bCs/>
          <w:sz w:val="26"/>
          <w:szCs w:val="26"/>
        </w:rPr>
        <w:t xml:space="preserve">Grozījumi </w:t>
      </w:r>
      <w:r w:rsidR="00CA19B6" w:rsidRPr="00CA19B6">
        <w:rPr>
          <w:rFonts w:ascii="Times New Roman" w:hAnsi="Times New Roman"/>
          <w:b/>
          <w:sz w:val="26"/>
          <w:szCs w:val="26"/>
        </w:rPr>
        <w:t>Ministru kabineta 2005.gada 29.marta noteikumos Nr.207 “</w:t>
      </w:r>
      <w:r w:rsidR="00CA19B6" w:rsidRPr="00CA19B6">
        <w:rPr>
          <w:rFonts w:ascii="Times New Roman" w:hAnsi="Times New Roman"/>
          <w:b/>
          <w:bCs/>
          <w:sz w:val="26"/>
          <w:szCs w:val="26"/>
        </w:rPr>
        <w:t>Noteikumi par ārsta izglītību un profesionālo kvalifikāciju apliecinošiem dokumentiem, kurus atzīst, piemērojot speciālo profesionālās kvalifikācijas atzīšanas sistēmu</w:t>
      </w:r>
      <w:r w:rsidR="00CA19B6" w:rsidRPr="00CA19B6">
        <w:rPr>
          <w:rFonts w:ascii="Times New Roman" w:hAnsi="Times New Roman"/>
          <w:b/>
          <w:sz w:val="26"/>
          <w:szCs w:val="26"/>
        </w:rPr>
        <w:t>”</w:t>
      </w:r>
      <w:r w:rsidR="00F30FEF" w:rsidRPr="00CA19B6">
        <w:rPr>
          <w:rFonts w:ascii="Times New Roman" w:hAnsi="Times New Roman"/>
          <w:b/>
          <w:sz w:val="26"/>
          <w:szCs w:val="26"/>
        </w:rPr>
        <w:t>”</w:t>
      </w:r>
      <w:r w:rsidRPr="00CA19B6">
        <w:rPr>
          <w:rFonts w:ascii="Times New Roman" w:hAnsi="Times New Roman"/>
          <w:b/>
          <w:sz w:val="26"/>
          <w:szCs w:val="26"/>
        </w:rPr>
        <w:t xml:space="preserve"> sākotnējās ietekmes novērtējuma ziņojums (anotācija)</w:t>
      </w:r>
      <w:bookmarkEnd w:id="2"/>
      <w:bookmarkEnd w:id="3"/>
    </w:p>
    <w:p w14:paraId="527F531C" w14:textId="77777777" w:rsidR="005C42B1" w:rsidRPr="00823CB3" w:rsidRDefault="005C42B1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9"/>
        <w:gridCol w:w="1554"/>
        <w:gridCol w:w="6818"/>
      </w:tblGrid>
      <w:tr w:rsidR="008F28FB" w:rsidRPr="008F28FB" w14:paraId="2E5C4833" w14:textId="77777777" w:rsidTr="00746D7A">
        <w:trPr>
          <w:tblCellSpacing w:w="15" w:type="dxa"/>
        </w:trPr>
        <w:tc>
          <w:tcPr>
            <w:tcW w:w="4966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14:paraId="79A4479D" w14:textId="77777777" w:rsidR="00392D00" w:rsidRPr="007F6179" w:rsidRDefault="00392D00" w:rsidP="005C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7F617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8F28FB" w:rsidRPr="008F28FB" w14:paraId="48059241" w14:textId="77777777" w:rsidTr="00FB7C51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A913D" w14:textId="77777777" w:rsidR="00392D00" w:rsidRPr="007F6179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7F617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29A4A" w14:textId="77777777" w:rsidR="00392D00" w:rsidRPr="007F6179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7F617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5ED83" w14:textId="3F965C04" w:rsidR="004D2E81" w:rsidRPr="007F6179" w:rsidRDefault="00EC772C" w:rsidP="007F61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F617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9403B2" w:rsidRPr="007F6179">
              <w:rPr>
                <w:rFonts w:ascii="Times New Roman" w:hAnsi="Times New Roman"/>
                <w:sz w:val="26"/>
                <w:szCs w:val="26"/>
              </w:rPr>
              <w:t>Ministru kabineta noteikumu projekts “</w:t>
            </w:r>
            <w:r w:rsidR="007F6179" w:rsidRPr="007F6179">
              <w:rPr>
                <w:rFonts w:ascii="Times New Roman" w:hAnsi="Times New Roman"/>
                <w:bCs/>
                <w:sz w:val="26"/>
                <w:szCs w:val="26"/>
              </w:rPr>
              <w:t xml:space="preserve">Grozījumi </w:t>
            </w:r>
            <w:r w:rsidR="007F6179" w:rsidRPr="007F6179">
              <w:rPr>
                <w:rFonts w:ascii="Times New Roman" w:hAnsi="Times New Roman"/>
                <w:sz w:val="26"/>
                <w:szCs w:val="26"/>
              </w:rPr>
              <w:t>Ministru kabineta 2005.gada 29.marta noteikumos Nr.207 “</w:t>
            </w:r>
            <w:r w:rsidR="007F6179" w:rsidRPr="007F6179">
              <w:rPr>
                <w:rFonts w:ascii="Times New Roman" w:hAnsi="Times New Roman"/>
                <w:bCs/>
                <w:sz w:val="26"/>
                <w:szCs w:val="26"/>
              </w:rPr>
              <w:t>Noteikumi par ārsta izglītību un profesionālo kvalifikāciju apliecinošiem dokumentiem, kurus atzīst, piemērojot speciālo profesionālās kvalifikācijas atzīšanas sistēmu</w:t>
            </w:r>
            <w:r w:rsidR="009403B2" w:rsidRPr="007F6179">
              <w:rPr>
                <w:rFonts w:ascii="Times New Roman" w:hAnsi="Times New Roman"/>
                <w:sz w:val="26"/>
                <w:szCs w:val="26"/>
              </w:rPr>
              <w:t xml:space="preserve">”” </w:t>
            </w:r>
            <w:r w:rsidRPr="007F61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403B2" w:rsidRPr="007F6179">
              <w:rPr>
                <w:rFonts w:ascii="Times New Roman" w:hAnsi="Times New Roman"/>
                <w:sz w:val="26"/>
                <w:szCs w:val="26"/>
              </w:rPr>
              <w:t>(turpmāk – projekts)</w:t>
            </w:r>
            <w:r w:rsidR="009403B2" w:rsidRPr="007F6179">
              <w:rPr>
                <w:rFonts w:ascii="Times New Roman" w:hAnsi="Times New Roman"/>
              </w:rPr>
              <w:t xml:space="preserve"> </w:t>
            </w:r>
            <w:r w:rsidR="007F6179" w:rsidRPr="007F6179">
              <w:rPr>
                <w:rFonts w:ascii="Times New Roman" w:hAnsi="Times New Roman"/>
                <w:sz w:val="26"/>
                <w:szCs w:val="26"/>
              </w:rPr>
              <w:t xml:space="preserve">izstrādāts, pamatojoties uz </w:t>
            </w:r>
            <w:r w:rsidR="00A43C78" w:rsidRPr="007F6179">
              <w:rPr>
                <w:rFonts w:ascii="Times New Roman" w:hAnsi="Times New Roman"/>
                <w:sz w:val="26"/>
                <w:szCs w:val="26"/>
              </w:rPr>
              <w:t xml:space="preserve">Eiropas Parlamenta un Padomes </w:t>
            </w:r>
            <w:r w:rsidR="00A43C78" w:rsidRPr="007F6179">
              <w:rPr>
                <w:rFonts w:ascii="Times New Roman" w:hAnsi="Times New Roman"/>
                <w:bCs/>
                <w:sz w:val="26"/>
                <w:szCs w:val="26"/>
              </w:rPr>
              <w:t>2013.gada 20.novembra</w:t>
            </w:r>
            <w:r w:rsidR="00667151" w:rsidRPr="007F61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F6179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667151" w:rsidRPr="007F6179">
              <w:rPr>
                <w:rFonts w:ascii="Times New Roman" w:hAnsi="Times New Roman"/>
                <w:sz w:val="26"/>
                <w:szCs w:val="26"/>
              </w:rPr>
              <w:t>Direktīv</w:t>
            </w:r>
            <w:r w:rsidR="00455455" w:rsidRPr="007F6179">
              <w:rPr>
                <w:rFonts w:ascii="Times New Roman" w:hAnsi="Times New Roman"/>
                <w:sz w:val="26"/>
                <w:szCs w:val="26"/>
              </w:rPr>
              <w:t>u</w:t>
            </w:r>
            <w:r w:rsidR="00A43C78" w:rsidRPr="007F6179">
              <w:rPr>
                <w:rFonts w:ascii="Times New Roman" w:hAnsi="Times New Roman"/>
                <w:sz w:val="26"/>
                <w:szCs w:val="26"/>
              </w:rPr>
              <w:t xml:space="preserve"> Nr.</w:t>
            </w:r>
            <w:r w:rsidR="00A43C78" w:rsidRPr="007F6179">
              <w:rPr>
                <w:rFonts w:ascii="Times New Roman" w:hAnsi="Times New Roman"/>
                <w:bCs/>
                <w:sz w:val="26"/>
                <w:szCs w:val="26"/>
              </w:rPr>
              <w:t xml:space="preserve">2013/55/ES, ar ko groza Direktīvu 2005/36/EK par profesionālo kvalifikāciju atzīšanu un Regulu (ES) Nr.1024/2012 par administratīvo sadarbību, izmantojot Iekšējā tirgus informācijas sistēmu (IMI regulu) (dokuments attiecas uz EEZ) (turpmāk – </w:t>
            </w:r>
            <w:r w:rsidR="00991E49" w:rsidRPr="007F6179">
              <w:rPr>
                <w:rFonts w:ascii="Times New Roman" w:hAnsi="Times New Roman"/>
                <w:bCs/>
                <w:sz w:val="26"/>
                <w:szCs w:val="26"/>
              </w:rPr>
              <w:t xml:space="preserve">grozījumu </w:t>
            </w:r>
            <w:r w:rsidR="00A43C78" w:rsidRPr="007F6179">
              <w:rPr>
                <w:rFonts w:ascii="Times New Roman" w:hAnsi="Times New Roman"/>
                <w:bCs/>
                <w:sz w:val="26"/>
                <w:szCs w:val="26"/>
              </w:rPr>
              <w:t>direktīva)</w:t>
            </w:r>
            <w:r w:rsidR="007F6179" w:rsidRPr="007F6179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="00A43C78" w:rsidRPr="007F6179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8F28FB" w:rsidRPr="008F28FB" w14:paraId="47891B61" w14:textId="77777777" w:rsidTr="00FB7C51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8B563" w14:textId="04325B40" w:rsidR="00392D00" w:rsidRPr="005371A0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5371A0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34E69" w14:textId="77777777" w:rsidR="00B72734" w:rsidRPr="005371A0" w:rsidRDefault="00812271" w:rsidP="00322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5371A0">
              <w:rPr>
                <w:rFonts w:ascii="Times New Roman" w:hAnsi="Times New Roman"/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  <w:p w14:paraId="3943FBDE" w14:textId="77777777" w:rsidR="00B72734" w:rsidRPr="005371A0" w:rsidRDefault="00B72734" w:rsidP="00B72734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002258CE" w14:textId="77777777" w:rsidR="00B72734" w:rsidRPr="005371A0" w:rsidRDefault="00B72734" w:rsidP="00B72734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40B5928E" w14:textId="77777777" w:rsidR="00B72734" w:rsidRPr="005371A0" w:rsidRDefault="00B72734" w:rsidP="00B72734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10C42283" w14:textId="77777777" w:rsidR="00B72734" w:rsidRPr="005371A0" w:rsidRDefault="00B72734" w:rsidP="00B72734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4F6CC40B" w14:textId="77777777" w:rsidR="00B72734" w:rsidRPr="005371A0" w:rsidRDefault="00B72734" w:rsidP="00B72734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1AA9CCA4" w14:textId="77777777" w:rsidR="00B72734" w:rsidRPr="005371A0" w:rsidRDefault="00B72734" w:rsidP="00B72734">
            <w:pP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  <w:p w14:paraId="7F1C5F9B" w14:textId="77777777" w:rsidR="00392D00" w:rsidRPr="005371A0" w:rsidRDefault="00392D00" w:rsidP="00B7273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  <w:tc>
          <w:tcPr>
            <w:tcW w:w="3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0499F" w14:textId="7764E353" w:rsidR="00E00081" w:rsidRPr="00A36815" w:rsidRDefault="00E00081" w:rsidP="00C06F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008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Spēkā ir </w:t>
            </w:r>
            <w:r w:rsidRPr="00F45CF1">
              <w:rPr>
                <w:rFonts w:ascii="Times New Roman" w:hAnsi="Times New Roman"/>
                <w:sz w:val="26"/>
                <w:szCs w:val="26"/>
              </w:rPr>
              <w:t>Ministru kabineta 2005.gada 29.marta noteikum</w:t>
            </w:r>
            <w:r w:rsidR="00612AD9" w:rsidRPr="00F45CF1">
              <w:rPr>
                <w:rFonts w:ascii="Times New Roman" w:hAnsi="Times New Roman"/>
                <w:sz w:val="26"/>
                <w:szCs w:val="26"/>
              </w:rPr>
              <w:t>i</w:t>
            </w:r>
            <w:r w:rsidRPr="002626E3">
              <w:rPr>
                <w:rFonts w:ascii="Times New Roman" w:hAnsi="Times New Roman"/>
                <w:sz w:val="26"/>
                <w:szCs w:val="26"/>
              </w:rPr>
              <w:t xml:space="preserve"> Nr.207 “</w:t>
            </w:r>
            <w:r w:rsidRPr="00F45CF1">
              <w:rPr>
                <w:rFonts w:ascii="Times New Roman" w:hAnsi="Times New Roman"/>
                <w:bCs/>
                <w:sz w:val="26"/>
                <w:szCs w:val="26"/>
              </w:rPr>
              <w:t>Noteikumi par ārsta izglītību un profesionālo kvalifikāciju apliecinošiem dokumentiem, kurus atzīst, piemērojot speciālo profesionālās kvalifikācijas atzīšanas sistēmu</w:t>
            </w:r>
            <w:r w:rsidRPr="00F45CF1">
              <w:rPr>
                <w:rFonts w:ascii="Times New Roman" w:hAnsi="Times New Roman"/>
                <w:sz w:val="26"/>
                <w:szCs w:val="26"/>
              </w:rPr>
              <w:t>” (turpmāk – noteikumi Nr.207)</w:t>
            </w:r>
            <w:r w:rsidR="001E5A87" w:rsidRPr="00F45CF1">
              <w:rPr>
                <w:rFonts w:ascii="Times New Roman" w:hAnsi="Times New Roman"/>
                <w:sz w:val="26"/>
                <w:szCs w:val="26"/>
              </w:rPr>
              <w:t xml:space="preserve">. Noteikumos Nr.207 </w:t>
            </w:r>
            <w:r w:rsidR="00DB5AC1" w:rsidRPr="00F45CF1">
              <w:rPr>
                <w:rFonts w:ascii="Times New Roman" w:hAnsi="Times New Roman"/>
                <w:sz w:val="26"/>
                <w:szCs w:val="26"/>
              </w:rPr>
              <w:t>ir iekļautas tiesību normas, kuras izriet no</w:t>
            </w:r>
            <w:r w:rsidRPr="00F45C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5CF1" w:rsidRPr="00A33558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Eiropas Parlamenta un Padomes 2005.gada 7.septembra Direktīvas </w:t>
            </w:r>
            <w:hyperlink r:id="rId8" w:tgtFrame="_blank" w:history="1">
              <w:r w:rsidR="00F45CF1" w:rsidRPr="00A33558">
                <w:rPr>
                  <w:rFonts w:ascii="Times New Roman" w:eastAsia="Times New Roman" w:hAnsi="Times New Roman"/>
                  <w:sz w:val="26"/>
                  <w:szCs w:val="26"/>
                  <w:lang w:eastAsia="lv-LV"/>
                </w:rPr>
                <w:t>2005/36/EK</w:t>
              </w:r>
            </w:hyperlink>
            <w:r w:rsidR="00F45CF1" w:rsidRPr="00A33558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par profesionālo kvalifikāciju atzīšanu (dokuments attiecas uz EEZ)</w:t>
            </w:r>
            <w:r w:rsidR="00A36815">
              <w:rPr>
                <w:rFonts w:ascii="Times New Roman" w:hAnsi="Times New Roman"/>
                <w:sz w:val="26"/>
                <w:szCs w:val="26"/>
              </w:rPr>
              <w:t xml:space="preserve"> (turpmāk – direktīva</w:t>
            </w:r>
            <w:r w:rsidRPr="00E00081">
              <w:rPr>
                <w:rFonts w:ascii="Times New Roman" w:hAnsi="Times New Roman"/>
                <w:sz w:val="26"/>
                <w:szCs w:val="26"/>
              </w:rPr>
              <w:t>)</w:t>
            </w:r>
            <w:r w:rsidR="00DB5AC1">
              <w:rPr>
                <w:rFonts w:ascii="Times New Roman" w:hAnsi="Times New Roman"/>
                <w:sz w:val="26"/>
                <w:szCs w:val="26"/>
              </w:rPr>
              <w:t>, t.i. i</w:t>
            </w:r>
            <w:r w:rsidR="000B091A">
              <w:rPr>
                <w:rFonts w:ascii="Times New Roman" w:hAnsi="Times New Roman"/>
                <w:sz w:val="26"/>
                <w:szCs w:val="26"/>
              </w:rPr>
              <w:t>r  noteikti</w:t>
            </w:r>
            <w:r w:rsidR="00DB5AC1">
              <w:rPr>
                <w:rFonts w:ascii="Times New Roman" w:hAnsi="Times New Roman"/>
                <w:sz w:val="26"/>
                <w:szCs w:val="26"/>
              </w:rPr>
              <w:t xml:space="preserve"> tie ārvalst</w:t>
            </w:r>
            <w:r w:rsidR="00141F66">
              <w:rPr>
                <w:rFonts w:ascii="Times New Roman" w:hAnsi="Times New Roman"/>
                <w:sz w:val="26"/>
                <w:szCs w:val="26"/>
              </w:rPr>
              <w:t>īs izdotie</w:t>
            </w:r>
            <w:r w:rsidR="00DB5AC1">
              <w:rPr>
                <w:rFonts w:ascii="Times New Roman" w:hAnsi="Times New Roman"/>
                <w:sz w:val="26"/>
                <w:szCs w:val="26"/>
              </w:rPr>
              <w:t xml:space="preserve"> ārstu izglītību un profesionālo kvalifikāciju apliecino</w:t>
            </w:r>
            <w:r w:rsidR="0017290A">
              <w:rPr>
                <w:rFonts w:ascii="Times New Roman" w:hAnsi="Times New Roman"/>
                <w:sz w:val="26"/>
                <w:szCs w:val="26"/>
              </w:rPr>
              <w:t>šie dokumenti, kuri</w:t>
            </w:r>
            <w:r w:rsidR="00DB5AC1">
              <w:rPr>
                <w:rFonts w:ascii="Times New Roman" w:hAnsi="Times New Roman"/>
                <w:sz w:val="26"/>
                <w:szCs w:val="26"/>
              </w:rPr>
              <w:t xml:space="preserve"> saskaņā ar direktīvu apliecina, ka šos dokumentus saņēmušās personas ir izpildījušas direktīvā noteiktās minimālās prasības ārsta kvalifikācijas iegūšanai. </w:t>
            </w:r>
            <w:r w:rsidR="00141F66">
              <w:rPr>
                <w:rFonts w:ascii="Times New Roman" w:hAnsi="Times New Roman"/>
                <w:sz w:val="26"/>
                <w:szCs w:val="26"/>
              </w:rPr>
              <w:t xml:space="preserve">Līdz ar to personām, kuras var uzrādīt šos dokumentus un pretendē uz profesionālās kvalifikācijas atzīšanu Latvijā, piemēro speciālo profesionālās kvalifikācijas atzīšanas sistēmu. </w:t>
            </w:r>
            <w:r w:rsidR="00895CAD">
              <w:rPr>
                <w:rFonts w:ascii="Times New Roman" w:hAnsi="Times New Roman"/>
                <w:sz w:val="26"/>
                <w:szCs w:val="26"/>
              </w:rPr>
              <w:t>Praksē t</w:t>
            </w:r>
            <w:r w:rsidR="00141F66">
              <w:rPr>
                <w:rFonts w:ascii="Times New Roman" w:hAnsi="Times New Roman"/>
                <w:sz w:val="26"/>
                <w:szCs w:val="26"/>
              </w:rPr>
              <w:t>as nozīm</w:t>
            </w:r>
            <w:r w:rsidR="00895CAD">
              <w:rPr>
                <w:rFonts w:ascii="Times New Roman" w:hAnsi="Times New Roman"/>
                <w:sz w:val="26"/>
                <w:szCs w:val="26"/>
              </w:rPr>
              <w:t xml:space="preserve">ē, ka, uzrādot attiecīgos dokumentus, </w:t>
            </w:r>
            <w:r w:rsidR="00825913">
              <w:rPr>
                <w:rFonts w:ascii="Times New Roman" w:hAnsi="Times New Roman"/>
                <w:sz w:val="26"/>
                <w:szCs w:val="26"/>
              </w:rPr>
              <w:t xml:space="preserve">personas </w:t>
            </w:r>
            <w:r w:rsidR="00895CAD">
              <w:rPr>
                <w:rFonts w:ascii="Times New Roman" w:hAnsi="Times New Roman"/>
                <w:sz w:val="26"/>
                <w:szCs w:val="26"/>
              </w:rPr>
              <w:t>profesionālās kvalifikācijas atzīšana notiek paātrinātā</w:t>
            </w:r>
            <w:r w:rsidR="003921C3">
              <w:rPr>
                <w:rFonts w:ascii="Times New Roman" w:hAnsi="Times New Roman"/>
                <w:sz w:val="26"/>
                <w:szCs w:val="26"/>
              </w:rPr>
              <w:t xml:space="preserve"> un vienkāršotā</w:t>
            </w:r>
            <w:r w:rsidR="00895CAD">
              <w:rPr>
                <w:rFonts w:ascii="Times New Roman" w:hAnsi="Times New Roman"/>
                <w:sz w:val="26"/>
                <w:szCs w:val="26"/>
              </w:rPr>
              <w:t xml:space="preserve"> kārtībā</w:t>
            </w:r>
            <w:r w:rsidR="00C12756">
              <w:rPr>
                <w:rFonts w:ascii="Times New Roman" w:hAnsi="Times New Roman"/>
                <w:sz w:val="26"/>
                <w:szCs w:val="26"/>
              </w:rPr>
              <w:t>, jo nav nepieciešama detalizēta apgūtās studiju programmas</w:t>
            </w:r>
            <w:r w:rsidR="001D1D04">
              <w:rPr>
                <w:rFonts w:ascii="Times New Roman" w:hAnsi="Times New Roman"/>
                <w:sz w:val="26"/>
                <w:szCs w:val="26"/>
              </w:rPr>
              <w:t xml:space="preserve"> ilguma,</w:t>
            </w:r>
            <w:r w:rsidR="00C12756">
              <w:rPr>
                <w:rFonts w:ascii="Times New Roman" w:hAnsi="Times New Roman"/>
                <w:sz w:val="26"/>
                <w:szCs w:val="26"/>
              </w:rPr>
              <w:t xml:space="preserve"> satura un profesionālās pieredzes analīze</w:t>
            </w:r>
            <w:r w:rsidR="00895CAD">
              <w:rPr>
                <w:rFonts w:ascii="Times New Roman" w:hAnsi="Times New Roman"/>
                <w:sz w:val="26"/>
                <w:szCs w:val="26"/>
              </w:rPr>
              <w:t>.</w:t>
            </w:r>
            <w:r w:rsidR="006A5AAA">
              <w:rPr>
                <w:rFonts w:ascii="Times New Roman" w:hAnsi="Times New Roman"/>
                <w:sz w:val="26"/>
                <w:szCs w:val="26"/>
              </w:rPr>
              <w:t xml:space="preserve"> Grozījumu direktīv</w:t>
            </w:r>
            <w:r w:rsidR="006F3FC7">
              <w:rPr>
                <w:rFonts w:ascii="Times New Roman" w:hAnsi="Times New Roman"/>
                <w:sz w:val="26"/>
                <w:szCs w:val="26"/>
              </w:rPr>
              <w:t>ā ir papildinātas direktīvā noteiktās t.s. „</w:t>
            </w:r>
            <w:r w:rsidR="000713C1">
              <w:rPr>
                <w:rFonts w:ascii="Times New Roman" w:hAnsi="Times New Roman"/>
                <w:sz w:val="26"/>
                <w:szCs w:val="26"/>
              </w:rPr>
              <w:t xml:space="preserve">ārstu specifiskās </w:t>
            </w:r>
            <w:r w:rsidR="006F3FC7">
              <w:rPr>
                <w:rFonts w:ascii="Times New Roman" w:hAnsi="Times New Roman"/>
                <w:sz w:val="26"/>
                <w:szCs w:val="26"/>
              </w:rPr>
              <w:t>iegūtās tiesības”, kas</w:t>
            </w:r>
            <w:r w:rsidR="0017290A">
              <w:rPr>
                <w:rFonts w:ascii="Times New Roman" w:hAnsi="Times New Roman"/>
                <w:sz w:val="26"/>
                <w:szCs w:val="26"/>
              </w:rPr>
              <w:t xml:space="preserve"> paredz</w:t>
            </w:r>
            <w:r w:rsidR="00FC207C">
              <w:rPr>
                <w:rFonts w:ascii="Times New Roman" w:hAnsi="Times New Roman"/>
                <w:sz w:val="26"/>
                <w:szCs w:val="26"/>
              </w:rPr>
              <w:t xml:space="preserve">, ka speciālo profesionālās kvalifikācijas atzīšanas sistēmu ir jāpiemēro arī īpašos izņēmuma gadījumos, </w:t>
            </w:r>
            <w:r w:rsidR="00FC207C">
              <w:rPr>
                <w:rFonts w:ascii="Times New Roman" w:hAnsi="Times New Roman"/>
                <w:sz w:val="26"/>
                <w:szCs w:val="26"/>
              </w:rPr>
              <w:lastRenderedPageBreak/>
              <w:t>proti,</w:t>
            </w:r>
            <w:r w:rsidR="00FD5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6D1E">
              <w:rPr>
                <w:rFonts w:ascii="Times New Roman" w:hAnsi="Times New Roman"/>
                <w:sz w:val="26"/>
                <w:szCs w:val="26"/>
              </w:rPr>
              <w:t xml:space="preserve">šajā gadījumā, </w:t>
            </w:r>
            <w:r w:rsidR="00FD557D">
              <w:rPr>
                <w:rFonts w:ascii="Times New Roman" w:hAnsi="Times New Roman"/>
                <w:sz w:val="26"/>
                <w:szCs w:val="26"/>
              </w:rPr>
              <w:t>ja</w:t>
            </w:r>
            <w:r w:rsidR="00FC207C">
              <w:rPr>
                <w:rFonts w:ascii="Times New Roman" w:hAnsi="Times New Roman"/>
                <w:sz w:val="26"/>
                <w:szCs w:val="26"/>
              </w:rPr>
              <w:t xml:space="preserve"> noteiktajā laika periodā Itālijas Republikā ieg</w:t>
            </w:r>
            <w:r w:rsidR="00A07D61">
              <w:rPr>
                <w:rFonts w:ascii="Times New Roman" w:hAnsi="Times New Roman"/>
                <w:sz w:val="26"/>
                <w:szCs w:val="26"/>
              </w:rPr>
              <w:t>ūtie</w:t>
            </w:r>
            <w:r w:rsidR="00FC207C">
              <w:rPr>
                <w:rFonts w:ascii="Times New Roman" w:hAnsi="Times New Roman"/>
                <w:sz w:val="26"/>
                <w:szCs w:val="26"/>
              </w:rPr>
              <w:t xml:space="preserve"> specializētā ārsta kvalifikāciju apliecinošie do</w:t>
            </w:r>
            <w:r w:rsidR="00FD557D">
              <w:rPr>
                <w:rFonts w:ascii="Times New Roman" w:hAnsi="Times New Roman"/>
                <w:sz w:val="26"/>
                <w:szCs w:val="26"/>
              </w:rPr>
              <w:t xml:space="preserve">kumenti </w:t>
            </w:r>
            <w:r w:rsidR="00FC207C">
              <w:rPr>
                <w:rFonts w:ascii="Times New Roman" w:hAnsi="Times New Roman"/>
                <w:sz w:val="26"/>
                <w:szCs w:val="26"/>
              </w:rPr>
              <w:t xml:space="preserve">neatbilst </w:t>
            </w:r>
            <w:r w:rsidR="00895C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207C">
              <w:rPr>
                <w:rFonts w:ascii="Times New Roman" w:hAnsi="Times New Roman"/>
                <w:sz w:val="26"/>
                <w:szCs w:val="26"/>
              </w:rPr>
              <w:t xml:space="preserve">direktīvā noteiktajām prasībām, piemēram, </w:t>
            </w:r>
            <w:r w:rsidR="00A07D61">
              <w:rPr>
                <w:rFonts w:ascii="Times New Roman" w:hAnsi="Times New Roman"/>
                <w:sz w:val="26"/>
                <w:szCs w:val="26"/>
              </w:rPr>
              <w:t>tas var</w:t>
            </w:r>
            <w:r w:rsidR="00341A0F">
              <w:rPr>
                <w:rFonts w:ascii="Times New Roman" w:hAnsi="Times New Roman"/>
                <w:sz w:val="26"/>
                <w:szCs w:val="26"/>
              </w:rPr>
              <w:t>ēt</w:t>
            </w:r>
            <w:r w:rsidR="00A07D61">
              <w:rPr>
                <w:rFonts w:ascii="Times New Roman" w:hAnsi="Times New Roman"/>
                <w:sz w:val="26"/>
                <w:szCs w:val="26"/>
              </w:rPr>
              <w:t>u</w:t>
            </w:r>
            <w:r w:rsidR="00341A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7D61">
              <w:rPr>
                <w:rFonts w:ascii="Times New Roman" w:hAnsi="Times New Roman"/>
                <w:sz w:val="26"/>
                <w:szCs w:val="26"/>
              </w:rPr>
              <w:t xml:space="preserve">attiekties uz </w:t>
            </w:r>
            <w:r w:rsidR="00FC207C">
              <w:rPr>
                <w:rFonts w:ascii="Times New Roman" w:hAnsi="Times New Roman"/>
                <w:sz w:val="26"/>
                <w:szCs w:val="26"/>
              </w:rPr>
              <w:t>noteikto minimālo studiju ilgumu noteiktā ārsta profesijas specialitāt</w:t>
            </w:r>
            <w:r w:rsidR="006B7F6C">
              <w:rPr>
                <w:rFonts w:ascii="Times New Roman" w:hAnsi="Times New Roman"/>
                <w:sz w:val="26"/>
                <w:szCs w:val="26"/>
              </w:rPr>
              <w:t>ē</w:t>
            </w:r>
            <w:r w:rsidR="00FD557D">
              <w:rPr>
                <w:rFonts w:ascii="Times New Roman" w:hAnsi="Times New Roman"/>
                <w:sz w:val="26"/>
                <w:szCs w:val="26"/>
              </w:rPr>
              <w:t>, ja ir izpildīti direktīvā noteiktie nosacījumi</w:t>
            </w:r>
            <w:r w:rsidR="00FC207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895CA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5A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00081">
              <w:rPr>
                <w:rFonts w:ascii="Times New Roman" w:hAnsi="Times New Roman"/>
                <w:sz w:val="26"/>
                <w:szCs w:val="26"/>
              </w:rPr>
              <w:t xml:space="preserve"> Projekts izstrādāts, lai pilnībā un precīzi pārņemtu grozījumu direktīvā </w:t>
            </w:r>
            <w:r w:rsidRPr="00A36815">
              <w:rPr>
                <w:rFonts w:ascii="Times New Roman" w:hAnsi="Times New Roman"/>
                <w:sz w:val="26"/>
                <w:szCs w:val="26"/>
              </w:rPr>
              <w:t>noteikto</w:t>
            </w:r>
            <w:r w:rsidR="00B6566C" w:rsidRPr="00A36815">
              <w:rPr>
                <w:rFonts w:ascii="Times New Roman" w:hAnsi="Times New Roman"/>
                <w:sz w:val="26"/>
                <w:szCs w:val="26"/>
              </w:rPr>
              <w:t xml:space="preserve"> prasību</w:t>
            </w:r>
            <w:r w:rsidR="00A36815" w:rsidRPr="00A36815">
              <w:rPr>
                <w:rFonts w:ascii="Times New Roman" w:hAnsi="Times New Roman"/>
                <w:sz w:val="26"/>
                <w:szCs w:val="26"/>
              </w:rPr>
              <w:t xml:space="preserve"> attiecībā uz </w:t>
            </w:r>
            <w:r w:rsidR="005371A0">
              <w:rPr>
                <w:rFonts w:ascii="Times New Roman" w:hAnsi="Times New Roman"/>
                <w:sz w:val="26"/>
                <w:szCs w:val="26"/>
              </w:rPr>
              <w:t xml:space="preserve">izņēmumu </w:t>
            </w:r>
            <w:r w:rsidR="00A36815" w:rsidRPr="00A36815">
              <w:rPr>
                <w:rFonts w:ascii="Times New Roman" w:hAnsi="Times New Roman"/>
                <w:sz w:val="26"/>
                <w:szCs w:val="26"/>
              </w:rPr>
              <w:t>speciālās profesionālās kvalifikācija</w:t>
            </w:r>
            <w:r w:rsidR="005371A0">
              <w:rPr>
                <w:rFonts w:ascii="Times New Roman" w:hAnsi="Times New Roman"/>
                <w:sz w:val="26"/>
                <w:szCs w:val="26"/>
              </w:rPr>
              <w:t>s atzīšanas sistēmas piemērošanā</w:t>
            </w:r>
            <w:r w:rsidRPr="00A36815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2C908895" w14:textId="7471D418" w:rsidR="00E00081" w:rsidRPr="00A36815" w:rsidRDefault="00E00081" w:rsidP="00C06F6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6815">
              <w:rPr>
                <w:rFonts w:ascii="Times New Roman" w:hAnsi="Times New Roman"/>
                <w:sz w:val="26"/>
                <w:szCs w:val="26"/>
              </w:rPr>
              <w:t xml:space="preserve">Noteikumu Nr.207 </w:t>
            </w:r>
            <w:r w:rsidR="00A36815" w:rsidRPr="00A36815">
              <w:rPr>
                <w:rFonts w:ascii="Times New Roman" w:hAnsi="Times New Roman"/>
                <w:sz w:val="26"/>
                <w:szCs w:val="26"/>
              </w:rPr>
              <w:t>informatīv</w:t>
            </w:r>
            <w:r w:rsidR="006C57D1">
              <w:rPr>
                <w:rFonts w:ascii="Times New Roman" w:hAnsi="Times New Roman"/>
                <w:sz w:val="26"/>
                <w:szCs w:val="26"/>
              </w:rPr>
              <w:t>ā</w:t>
            </w:r>
            <w:r w:rsidRPr="00A36815">
              <w:rPr>
                <w:rFonts w:ascii="Times New Roman" w:hAnsi="Times New Roman"/>
                <w:sz w:val="26"/>
                <w:szCs w:val="26"/>
              </w:rPr>
              <w:t xml:space="preserve"> atsauce uz Eiropas Savienības direktīvām tiek papildināta ar atsauci uz grozījumu direktīvu.</w:t>
            </w:r>
          </w:p>
          <w:p w14:paraId="25E80D40" w14:textId="0D74CC3D" w:rsidR="009403B2" w:rsidRPr="00A36815" w:rsidRDefault="0002384C" w:rsidP="00C06F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</w:pPr>
            <w:r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Normatīvajiem aktiem </w:t>
            </w:r>
            <w:r w:rsidRPr="00A36815">
              <w:rPr>
                <w:rFonts w:ascii="Times New Roman" w:hAnsi="Times New Roman"/>
                <w:sz w:val="26"/>
                <w:szCs w:val="26"/>
              </w:rPr>
              <w:t>Eiropas Savienības un Eiropas Eko</w:t>
            </w:r>
            <w:r w:rsidR="00287315">
              <w:rPr>
                <w:rFonts w:ascii="Times New Roman" w:hAnsi="Times New Roman"/>
                <w:sz w:val="26"/>
                <w:szCs w:val="26"/>
              </w:rPr>
              <w:t>nomikas zonas valstu</w:t>
            </w:r>
            <w:r w:rsidR="00970A82" w:rsidRPr="00A368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D3093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g</w:t>
            </w:r>
            <w:r w:rsidR="009403B2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rozījumu direktīv</w:t>
            </w:r>
            <w:r w:rsidR="00CD3093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ā</w:t>
            </w:r>
            <w:r w:rsidR="009403B2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un regul</w:t>
            </w:r>
            <w:r w:rsidR="00CD3093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ā noteikto prasību izpildīšanai</w:t>
            </w:r>
            <w:r w:rsidR="009403B2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</w:t>
            </w:r>
            <w:r w:rsidR="009161DE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bija</w:t>
            </w:r>
            <w:r w:rsidR="009161DE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</w:t>
            </w:r>
            <w:r w:rsidR="00CD3093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jā</w:t>
            </w:r>
            <w:r w:rsidR="009403B2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stā</w:t>
            </w:r>
            <w:r w:rsidR="00CD3093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ja</w:t>
            </w:r>
            <w:r w:rsidR="009403B2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s spēkā</w:t>
            </w:r>
            <w:r w:rsidR="0086125F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līdz</w:t>
            </w:r>
            <w:r w:rsidR="009403B2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2016.gada 18.janvār</w:t>
            </w:r>
            <w:r w:rsidR="0086125F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im</w:t>
            </w:r>
            <w:r w:rsidR="009403B2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. </w:t>
            </w:r>
            <w:r w:rsidR="00323951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Tādēļ</w:t>
            </w:r>
            <w:r w:rsidR="009403B2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ir nepieciešams steidzami veikt grozījumus noteikumos </w:t>
            </w:r>
            <w:r w:rsidR="0000062E" w:rsidRPr="00A36815">
              <w:rPr>
                <w:rFonts w:ascii="Times New Roman" w:hAnsi="Times New Roman"/>
                <w:sz w:val="26"/>
                <w:szCs w:val="26"/>
              </w:rPr>
              <w:t>Nr.207</w:t>
            </w:r>
            <w:r w:rsidR="00A36815" w:rsidRPr="00A36815">
              <w:rPr>
                <w:rFonts w:ascii="Times New Roman" w:hAnsi="Times New Roman"/>
                <w:sz w:val="26"/>
                <w:szCs w:val="26"/>
              </w:rPr>
              <w:t>,</w:t>
            </w:r>
            <w:r w:rsidR="009403B2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lai nodrošinātu</w:t>
            </w:r>
            <w:r w:rsidR="00384951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</w:t>
            </w:r>
            <w:r w:rsidR="009403B2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to normu atbilstību </w:t>
            </w:r>
            <w:r w:rsidR="0000062E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grozījumu direktīvas </w:t>
            </w:r>
            <w:r w:rsidR="00323951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prasībām</w:t>
            </w:r>
            <w:r w:rsidR="009403B2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.</w:t>
            </w:r>
            <w:r w:rsidR="00C77DDB" w:rsidRPr="00A368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 xml:space="preserve">    </w:t>
            </w:r>
          </w:p>
          <w:p w14:paraId="137D433C" w14:textId="4EAF332E" w:rsidR="00605858" w:rsidRPr="008F28FB" w:rsidRDefault="003F1E4B" w:rsidP="00A3681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1849B" w:themeColor="accent5" w:themeShade="BF"/>
                <w:sz w:val="26"/>
                <w:szCs w:val="26"/>
              </w:rPr>
            </w:pPr>
            <w:r w:rsidRPr="008F28FB">
              <w:rPr>
                <w:rFonts w:ascii="Times New Roman" w:hAnsi="Times New Roman"/>
                <w:color w:val="31849B" w:themeColor="accent5" w:themeShade="BF"/>
                <w:sz w:val="26"/>
                <w:szCs w:val="26"/>
              </w:rPr>
              <w:t xml:space="preserve">     </w:t>
            </w:r>
          </w:p>
        </w:tc>
      </w:tr>
      <w:tr w:rsidR="005371A0" w:rsidRPr="005371A0" w14:paraId="7F7EC0F0" w14:textId="77777777" w:rsidTr="00FB7C51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C361F" w14:textId="2232F220" w:rsidR="00392D00" w:rsidRPr="00287315" w:rsidRDefault="00812271" w:rsidP="005C42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87315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533F5" w14:textId="77777777" w:rsidR="00392D00" w:rsidRPr="00287315" w:rsidRDefault="00812271" w:rsidP="005C42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87315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6F8AD" w14:textId="5476749D" w:rsidR="00392D00" w:rsidRPr="005371A0" w:rsidRDefault="00C94384" w:rsidP="00C9438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2873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Izglītības un zinātnes ministrija</w:t>
            </w:r>
            <w:r w:rsidR="005371A0" w:rsidRPr="00287315">
              <w:rPr>
                <w:rFonts w:ascii="Times New Roman" w:eastAsia="Times New Roman" w:hAnsi="Times New Roman"/>
                <w:bCs/>
                <w:sz w:val="26"/>
                <w:szCs w:val="26"/>
                <w:lang w:eastAsia="lv-LV"/>
              </w:rPr>
              <w:t>.</w:t>
            </w:r>
          </w:p>
        </w:tc>
      </w:tr>
      <w:tr w:rsidR="005371A0" w:rsidRPr="005371A0" w14:paraId="175958CA" w14:textId="77777777" w:rsidTr="00FB7C51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CAAF4" w14:textId="77777777" w:rsidR="00392D00" w:rsidRPr="005371A0" w:rsidRDefault="00812271" w:rsidP="005C42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5371A0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71E8B" w14:textId="77777777" w:rsidR="00392D00" w:rsidRPr="005371A0" w:rsidRDefault="00812271" w:rsidP="005C42B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5371A0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B946A" w14:textId="65AA767B" w:rsidR="00577216" w:rsidRPr="005371A0" w:rsidRDefault="00D95671" w:rsidP="00985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5371A0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Nav </w:t>
            </w:r>
          </w:p>
        </w:tc>
      </w:tr>
    </w:tbl>
    <w:p w14:paraId="3EF7D496" w14:textId="77777777" w:rsidR="004A505F" w:rsidRPr="008F28FB" w:rsidRDefault="004A505F" w:rsidP="004A505F">
      <w:pPr>
        <w:spacing w:after="0" w:line="360" w:lineRule="auto"/>
        <w:rPr>
          <w:rFonts w:ascii="Times New Roman" w:hAnsi="Times New Roman"/>
          <w:i/>
          <w:color w:val="31849B" w:themeColor="accent5" w:themeShade="BF"/>
          <w:sz w:val="26"/>
          <w:szCs w:val="26"/>
        </w:rPr>
      </w:pPr>
    </w:p>
    <w:tbl>
      <w:tblPr>
        <w:tblW w:w="469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"/>
        <w:gridCol w:w="460"/>
        <w:gridCol w:w="1770"/>
        <w:gridCol w:w="6502"/>
      </w:tblGrid>
      <w:tr w:rsidR="00E526AD" w:rsidRPr="00E526AD" w14:paraId="653FAB39" w14:textId="77777777" w:rsidTr="00A33558">
        <w:trPr>
          <w:trHeight w:val="555"/>
          <w:tblCellSpacing w:w="15" w:type="dxa"/>
        </w:trPr>
        <w:tc>
          <w:tcPr>
            <w:tcW w:w="49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DDBE" w14:textId="77777777" w:rsidR="003460E1" w:rsidRPr="00E526AD" w:rsidRDefault="003460E1" w:rsidP="0005162F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E526AD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26AD" w:rsidRPr="00E526AD" w14:paraId="3BC746F8" w14:textId="77777777" w:rsidTr="00A33558">
        <w:trPr>
          <w:trHeight w:val="465"/>
          <w:tblCellSpacing w:w="15" w:type="dxa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8472" w14:textId="77777777" w:rsidR="003460E1" w:rsidRPr="00E526AD" w:rsidRDefault="003460E1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526AD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E1FB" w14:textId="77777777" w:rsidR="003460E1" w:rsidRPr="00E526AD" w:rsidRDefault="003460E1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526AD">
              <w:rPr>
                <w:rFonts w:ascii="Times New Roman" w:hAnsi="Times New Roman"/>
                <w:sz w:val="26"/>
                <w:szCs w:val="26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A2C6" w14:textId="20A70D4D" w:rsidR="003460E1" w:rsidRPr="00D81F7A" w:rsidRDefault="0042667D" w:rsidP="007979EC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1F7A">
              <w:rPr>
                <w:rFonts w:ascii="Times New Roman" w:hAnsi="Times New Roman"/>
                <w:sz w:val="26"/>
                <w:szCs w:val="26"/>
              </w:rPr>
              <w:t xml:space="preserve">Projektā noteiktais attieksies uz ārstiem, kas studijas ārsta profesijai nepieciešamās profesionālās kvalifikācijas iegūšanai Itālijas Republikā ir uzsākuši laika posmā no 1983.gada </w:t>
            </w:r>
            <w:r w:rsidR="00CC78FE" w:rsidRPr="009161DE">
              <w:rPr>
                <w:rFonts w:ascii="Times New Roman" w:hAnsi="Times New Roman"/>
                <w:sz w:val="26"/>
                <w:szCs w:val="26"/>
              </w:rPr>
              <w:t>31.decembra līdz 1991.ga</w:t>
            </w:r>
            <w:r w:rsidR="00CC78FE" w:rsidRPr="00150046">
              <w:rPr>
                <w:rFonts w:ascii="Times New Roman" w:hAnsi="Times New Roman"/>
                <w:sz w:val="26"/>
                <w:szCs w:val="26"/>
              </w:rPr>
              <w:t>da 1.janvārim un pretendē uz profesionālās kvalifikācijas atzīšanu Latvijā</w:t>
            </w:r>
            <w:r w:rsidR="00D81F7A" w:rsidRPr="0015004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81F7A" w:rsidRPr="00A33558">
              <w:rPr>
                <w:rFonts w:ascii="Times New Roman" w:hAnsi="Times New Roman"/>
                <w:sz w:val="26"/>
                <w:szCs w:val="26"/>
              </w:rPr>
              <w:t xml:space="preserve">ja </w:t>
            </w:r>
            <w:r w:rsidR="007979EC">
              <w:rPr>
                <w:rFonts w:ascii="Times New Roman" w:hAnsi="Times New Roman"/>
                <w:sz w:val="26"/>
                <w:szCs w:val="26"/>
              </w:rPr>
              <w:t>viņu</w:t>
            </w:r>
            <w:r w:rsidR="007979EC" w:rsidRPr="00A335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1F7A" w:rsidRPr="00A33558">
              <w:rPr>
                <w:rFonts w:ascii="Times New Roman" w:hAnsi="Times New Roman"/>
                <w:sz w:val="26"/>
                <w:szCs w:val="26"/>
              </w:rPr>
              <w:t>izglītīb</w:t>
            </w:r>
            <w:r w:rsidR="007979EC">
              <w:rPr>
                <w:rFonts w:ascii="Times New Roman" w:hAnsi="Times New Roman"/>
                <w:sz w:val="26"/>
                <w:szCs w:val="26"/>
              </w:rPr>
              <w:t>u apliecinošie dokumenti</w:t>
            </w:r>
            <w:r w:rsidR="00D81F7A" w:rsidRPr="00A33558">
              <w:rPr>
                <w:rFonts w:ascii="Times New Roman" w:hAnsi="Times New Roman"/>
                <w:sz w:val="26"/>
                <w:szCs w:val="26"/>
              </w:rPr>
              <w:t xml:space="preserve"> neatbilst Latvijas Republikas normatīvajos aktos noteiktajām izglītības programmu minimālajām prasībām ārsta kvalifikācijas iegūšanai</w:t>
            </w:r>
            <w:r w:rsidR="00CC78FE" w:rsidRPr="00D81F7A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E526AD" w:rsidRPr="00E526AD" w14:paraId="199FFF5C" w14:textId="77777777" w:rsidTr="00A33558">
        <w:trPr>
          <w:trHeight w:val="510"/>
          <w:tblCellSpacing w:w="15" w:type="dxa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650B" w14:textId="60F7D1ED" w:rsidR="003460E1" w:rsidRPr="00E526AD" w:rsidRDefault="003460E1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526AD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45BE" w14:textId="77777777" w:rsidR="003460E1" w:rsidRPr="00E526AD" w:rsidRDefault="003460E1" w:rsidP="00937C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526AD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Tiesiskā regulējuma ietekme uz tautsaimniecību un </w:t>
            </w:r>
            <w:r w:rsidRPr="00E526AD">
              <w:rPr>
                <w:rFonts w:ascii="Times New Roman" w:hAnsi="Times New Roman"/>
                <w:sz w:val="26"/>
                <w:szCs w:val="26"/>
                <w:lang w:eastAsia="lv-LV"/>
              </w:rPr>
              <w:lastRenderedPageBreak/>
              <w:t>administratīvo slogu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85B" w14:textId="6983AB8E" w:rsidR="008467A7" w:rsidRPr="00E526AD" w:rsidRDefault="005371A0" w:rsidP="00275EC3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6AD">
              <w:rPr>
                <w:rFonts w:ascii="Times New Roman" w:hAnsi="Times New Roman"/>
                <w:sz w:val="26"/>
                <w:szCs w:val="26"/>
              </w:rPr>
              <w:lastRenderedPageBreak/>
              <w:t>Projekts šo jomu neskar.</w:t>
            </w:r>
          </w:p>
        </w:tc>
      </w:tr>
      <w:tr w:rsidR="00E526AD" w:rsidRPr="00E526AD" w14:paraId="3F89A8EA" w14:textId="77777777" w:rsidTr="00A33558">
        <w:trPr>
          <w:gridBefore w:val="1"/>
          <w:wBefore w:w="3" w:type="pct"/>
          <w:trHeight w:val="510"/>
          <w:tblCellSpacing w:w="15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3E05" w14:textId="77777777" w:rsidR="003460E1" w:rsidRPr="00E526AD" w:rsidRDefault="003460E1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526AD">
              <w:rPr>
                <w:rFonts w:ascii="Times New Roman" w:hAnsi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183C" w14:textId="77777777" w:rsidR="003460E1" w:rsidRPr="00E526AD" w:rsidRDefault="003460E1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526AD">
              <w:rPr>
                <w:rFonts w:ascii="Times New Roman" w:hAnsi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55B5" w14:textId="4F5419D0" w:rsidR="003460E1" w:rsidRPr="00E526AD" w:rsidRDefault="00DB59E6" w:rsidP="00F80C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526AD">
              <w:rPr>
                <w:rFonts w:ascii="Times New Roman" w:hAnsi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E526AD" w:rsidRPr="00E526AD" w14:paraId="3E65A493" w14:textId="77777777" w:rsidTr="00A33558">
        <w:trPr>
          <w:gridBefore w:val="1"/>
          <w:wBefore w:w="3" w:type="pct"/>
          <w:trHeight w:val="345"/>
          <w:tblCellSpacing w:w="15" w:type="dxa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00A3" w14:textId="77777777" w:rsidR="003460E1" w:rsidRPr="00E526AD" w:rsidRDefault="003460E1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526AD">
              <w:rPr>
                <w:rFonts w:ascii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28B4" w14:textId="77777777" w:rsidR="003460E1" w:rsidRPr="00E526AD" w:rsidRDefault="003460E1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E526AD">
              <w:rPr>
                <w:rFonts w:ascii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8CA0" w14:textId="6F045B46" w:rsidR="003460E1" w:rsidRPr="00E526AD" w:rsidRDefault="00E526AD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26AD">
              <w:rPr>
                <w:rFonts w:ascii="Times New Roman" w:hAnsi="Times New Roman"/>
                <w:sz w:val="26"/>
                <w:szCs w:val="26"/>
              </w:rPr>
              <w:t xml:space="preserve">Nav. </w:t>
            </w:r>
          </w:p>
        </w:tc>
      </w:tr>
    </w:tbl>
    <w:p w14:paraId="1DB38C80" w14:textId="0A13DCDC" w:rsidR="00AE5E19" w:rsidRPr="000847A9" w:rsidRDefault="00AE5E19"/>
    <w:p w14:paraId="54A7D678" w14:textId="77777777" w:rsidR="007B4613" w:rsidRPr="000847A9" w:rsidRDefault="007B4613" w:rsidP="007B4613">
      <w:pP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0847A9">
        <w:rPr>
          <w:rFonts w:ascii="Times New Roman" w:hAnsi="Times New Roman"/>
          <w:b/>
          <w:bCs/>
          <w:sz w:val="24"/>
          <w:szCs w:val="24"/>
          <w:lang w:eastAsia="lv-LV"/>
        </w:rPr>
        <w:t>V. Tiesību akta projekta atbilstība Latvijas Republikas starptautiskajām saistībām</w:t>
      </w:r>
    </w:p>
    <w:tbl>
      <w:tblPr>
        <w:tblW w:w="469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"/>
        <w:gridCol w:w="2707"/>
        <w:gridCol w:w="5570"/>
      </w:tblGrid>
      <w:tr w:rsidR="000847A9" w:rsidRPr="000847A9" w14:paraId="163C8EE5" w14:textId="77777777" w:rsidTr="00A33558">
        <w:trPr>
          <w:tblCellSpacing w:w="15" w:type="dxa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A08C" w14:textId="77777777" w:rsidR="007B4613" w:rsidRPr="000847A9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E45E" w14:textId="77777777" w:rsidR="007B4613" w:rsidRPr="000847A9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Saistības pret Eiropas Savienību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72E7" w14:textId="77777777" w:rsidR="00823A3F" w:rsidRPr="00907440" w:rsidRDefault="00823A3F" w:rsidP="00823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440">
              <w:rPr>
                <w:rFonts w:ascii="Times New Roman" w:hAnsi="Times New Roman"/>
                <w:sz w:val="26"/>
                <w:szCs w:val="26"/>
              </w:rPr>
              <w:t>Ar</w:t>
            </w:r>
            <w:r w:rsidRPr="00907440">
              <w:rPr>
                <w:sz w:val="26"/>
                <w:szCs w:val="26"/>
              </w:rPr>
              <w:t xml:space="preserve"> </w:t>
            </w:r>
            <w:r w:rsidRPr="00907440">
              <w:rPr>
                <w:rFonts w:ascii="Times New Roman" w:hAnsi="Times New Roman"/>
                <w:sz w:val="26"/>
                <w:szCs w:val="26"/>
              </w:rPr>
              <w:t>projektu tiek pārņemta grozījumu direktīva.</w:t>
            </w:r>
          </w:p>
          <w:p w14:paraId="384DA841" w14:textId="4FBB8C90" w:rsidR="00B72D4B" w:rsidRPr="000847A9" w:rsidRDefault="00823A3F" w:rsidP="00823A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440">
              <w:rPr>
                <w:rFonts w:ascii="Times New Roman" w:hAnsi="Times New Roman"/>
                <w:sz w:val="26"/>
                <w:szCs w:val="26"/>
              </w:rPr>
              <w:t>Saskaņā ar grozījumu direktīvas 3.panta 1.punktu  dalībvalstu normatīvajiem un administratīvajiem akti</w:t>
            </w:r>
            <w:r>
              <w:rPr>
                <w:rFonts w:ascii="Times New Roman" w:hAnsi="Times New Roman"/>
                <w:sz w:val="26"/>
                <w:szCs w:val="26"/>
              </w:rPr>
              <w:t>em</w:t>
            </w:r>
            <w:r w:rsidRPr="00907440">
              <w:rPr>
                <w:rFonts w:ascii="Times New Roman" w:hAnsi="Times New Roman"/>
                <w:sz w:val="26"/>
                <w:szCs w:val="26"/>
              </w:rPr>
              <w:t>, kas vajadzīgi, lai izpildītu šīs direktīvas prasības, jāstājas spēkā līdz 2016.gada 18.janvārim.</w:t>
            </w:r>
          </w:p>
        </w:tc>
      </w:tr>
      <w:tr w:rsidR="000847A9" w:rsidRPr="000847A9" w14:paraId="7BA03BD9" w14:textId="77777777" w:rsidTr="00A33558">
        <w:trPr>
          <w:tblCellSpacing w:w="15" w:type="dxa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B365" w14:textId="77777777" w:rsidR="007B4613" w:rsidRPr="000847A9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F91E" w14:textId="77777777" w:rsidR="007B4613" w:rsidRPr="000847A9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Citas starptautiskās saistības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BC0E" w14:textId="77777777" w:rsidR="007B4613" w:rsidRPr="000847A9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Nav</w:t>
            </w:r>
          </w:p>
        </w:tc>
      </w:tr>
      <w:tr w:rsidR="000847A9" w:rsidRPr="000847A9" w14:paraId="721CF4F2" w14:textId="77777777" w:rsidTr="00A33558">
        <w:trPr>
          <w:tblCellSpacing w:w="15" w:type="dxa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0112" w14:textId="77777777" w:rsidR="007B4613" w:rsidRPr="000847A9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F884" w14:textId="77777777" w:rsidR="007B4613" w:rsidRPr="000847A9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A5C9" w14:textId="77777777" w:rsidR="007B4613" w:rsidRPr="000847A9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Nav</w:t>
            </w:r>
          </w:p>
        </w:tc>
      </w:tr>
    </w:tbl>
    <w:p w14:paraId="5BEDDB74" w14:textId="77777777" w:rsidR="007B4613" w:rsidRPr="000847A9" w:rsidRDefault="007B4613" w:rsidP="007B4613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0847A9">
        <w:rPr>
          <w:rFonts w:ascii="Times New Roman" w:hAnsi="Times New Roman"/>
          <w:sz w:val="24"/>
          <w:szCs w:val="24"/>
          <w:lang w:eastAsia="lv-LV"/>
        </w:rPr>
        <w:t> </w:t>
      </w:r>
    </w:p>
    <w:tbl>
      <w:tblPr>
        <w:tblW w:w="4699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46"/>
        <w:gridCol w:w="1411"/>
        <w:gridCol w:w="968"/>
        <w:gridCol w:w="1227"/>
        <w:gridCol w:w="1117"/>
        <w:gridCol w:w="1914"/>
      </w:tblGrid>
      <w:tr w:rsidR="000847A9" w:rsidRPr="000847A9" w14:paraId="1FE9CAA6" w14:textId="77777777" w:rsidTr="00A33558">
        <w:trPr>
          <w:tblCellSpacing w:w="15" w:type="dxa"/>
          <w:jc w:val="center"/>
        </w:trPr>
        <w:tc>
          <w:tcPr>
            <w:tcW w:w="49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CE93" w14:textId="77777777" w:rsidR="007B4613" w:rsidRPr="000847A9" w:rsidRDefault="007B4613" w:rsidP="0005162F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1.tabula</w:t>
            </w:r>
            <w:r w:rsidRPr="000847A9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br/>
              <w:t>Tiesību akta projekta atbilstība ES tiesību aktiem</w:t>
            </w:r>
          </w:p>
        </w:tc>
      </w:tr>
      <w:tr w:rsidR="000847A9" w:rsidRPr="000847A9" w14:paraId="53356454" w14:textId="77777777" w:rsidTr="00A33558">
        <w:trPr>
          <w:tblCellSpacing w:w="15" w:type="dxa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15B3" w14:textId="77777777" w:rsidR="007B4613" w:rsidRPr="000847A9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Attiecīgā ES tiesību akta datums, numurs un nosaukums</w:t>
            </w:r>
          </w:p>
        </w:tc>
        <w:tc>
          <w:tcPr>
            <w:tcW w:w="3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54DA" w14:textId="5E7C5F3F" w:rsidR="00B72D4B" w:rsidRPr="000847A9" w:rsidRDefault="00DA348A" w:rsidP="00B72D4B">
            <w:pPr>
              <w:tabs>
                <w:tab w:val="left" w:pos="262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7A9">
              <w:rPr>
                <w:rFonts w:ascii="Times New Roman" w:hAnsi="Times New Roman"/>
                <w:sz w:val="26"/>
                <w:szCs w:val="26"/>
              </w:rPr>
              <w:t>P</w:t>
            </w:r>
            <w:r w:rsidR="00E526AD" w:rsidRPr="000847A9">
              <w:rPr>
                <w:rFonts w:ascii="Times New Roman" w:hAnsi="Times New Roman"/>
                <w:sz w:val="26"/>
                <w:szCs w:val="26"/>
              </w:rPr>
              <w:t>rojekts ietver šāda</w:t>
            </w:r>
            <w:r w:rsidR="00B72D4B" w:rsidRPr="000847A9">
              <w:rPr>
                <w:rFonts w:ascii="Times New Roman" w:hAnsi="Times New Roman"/>
                <w:sz w:val="26"/>
                <w:szCs w:val="26"/>
              </w:rPr>
              <w:t xml:space="preserve"> E</w:t>
            </w:r>
            <w:r w:rsidR="00E526AD" w:rsidRPr="000847A9">
              <w:rPr>
                <w:rFonts w:ascii="Times New Roman" w:hAnsi="Times New Roman"/>
                <w:sz w:val="26"/>
                <w:szCs w:val="26"/>
              </w:rPr>
              <w:t>S</w:t>
            </w:r>
            <w:r w:rsidR="00B72D4B" w:rsidRPr="000847A9">
              <w:rPr>
                <w:rFonts w:ascii="Times New Roman" w:hAnsi="Times New Roman"/>
                <w:sz w:val="26"/>
                <w:szCs w:val="26"/>
              </w:rPr>
              <w:t xml:space="preserve"> tiesību aktu nosacījumus:</w:t>
            </w:r>
          </w:p>
          <w:p w14:paraId="10489B36" w14:textId="28095C13" w:rsidR="006A68C1" w:rsidRPr="000847A9" w:rsidRDefault="007B4613" w:rsidP="001C46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</w:rPr>
              <w:t xml:space="preserve">Eiropas Parlamenta un Padomes </w:t>
            </w:r>
            <w:r w:rsidRPr="000847A9">
              <w:rPr>
                <w:rFonts w:ascii="Times New Roman" w:hAnsi="Times New Roman"/>
                <w:bCs/>
                <w:sz w:val="26"/>
                <w:szCs w:val="26"/>
              </w:rPr>
              <w:t>2013.gada 20.novembra</w:t>
            </w:r>
            <w:r w:rsidR="006A68C1" w:rsidRPr="000847A9">
              <w:rPr>
                <w:rFonts w:ascii="Times New Roman" w:hAnsi="Times New Roman"/>
                <w:sz w:val="26"/>
                <w:szCs w:val="26"/>
              </w:rPr>
              <w:t xml:space="preserve"> Direktīva</w:t>
            </w:r>
            <w:r w:rsidRPr="000847A9">
              <w:rPr>
                <w:rFonts w:ascii="Times New Roman" w:hAnsi="Times New Roman"/>
                <w:sz w:val="26"/>
                <w:szCs w:val="26"/>
              </w:rPr>
              <w:t xml:space="preserve"> Nr.</w:t>
            </w:r>
            <w:r w:rsidRPr="000847A9">
              <w:rPr>
                <w:rFonts w:ascii="Times New Roman" w:hAnsi="Times New Roman"/>
                <w:bCs/>
                <w:sz w:val="26"/>
                <w:szCs w:val="26"/>
              </w:rPr>
              <w:t>2013/55/ES ar ko groza Direktīvu 2005/36/EK par profesionālo kvalifikāciju atzīšanu un Regulu (ES) Nr.1024/2012 par administratīvo sadarbību, izmantojot Iekšējā tirgus informācijas sistēmu (IMI regulu) (dokuments attiecas uz EEZ)</w:t>
            </w:r>
            <w:r w:rsidR="00E526AD" w:rsidRPr="000847A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F1D543C" w14:textId="658A8D74" w:rsidR="001C46EF" w:rsidRPr="000847A9" w:rsidRDefault="001C46EF" w:rsidP="00E526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</w:p>
        </w:tc>
      </w:tr>
      <w:tr w:rsidR="000847A9" w:rsidRPr="000847A9" w14:paraId="15CEA76D" w14:textId="77777777" w:rsidTr="00A33558">
        <w:trPr>
          <w:tblCellSpacing w:w="15" w:type="dxa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BEF6" w14:textId="5EEA902E" w:rsidR="007B4613" w:rsidRPr="000847A9" w:rsidRDefault="007B4613" w:rsidP="0005162F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A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B20B" w14:textId="77777777" w:rsidR="007B4613" w:rsidRPr="000847A9" w:rsidRDefault="007B4613" w:rsidP="0005162F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B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1F32" w14:textId="77777777" w:rsidR="007B4613" w:rsidRPr="000847A9" w:rsidRDefault="007B4613" w:rsidP="0005162F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C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9AC8" w14:textId="77777777" w:rsidR="007B4613" w:rsidRPr="000847A9" w:rsidRDefault="007B4613" w:rsidP="0005162F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D</w:t>
            </w:r>
          </w:p>
        </w:tc>
      </w:tr>
      <w:tr w:rsidR="000847A9" w:rsidRPr="000847A9" w14:paraId="4599301E" w14:textId="77777777" w:rsidTr="00A33558">
        <w:trPr>
          <w:tblCellSpacing w:w="15" w:type="dxa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BFFD" w14:textId="77777777" w:rsidR="007B4613" w:rsidRPr="000847A9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1A04" w14:textId="77777777" w:rsidR="007B4613" w:rsidRPr="000847A9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BB68" w14:textId="77777777" w:rsidR="007B4613" w:rsidRPr="000847A9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Informācija par to, vai šīs tabulas A ailē minētās ES tiesību akta vienības tiek pārņemtas vai ieviestas pilnībā vai daļēji. </w:t>
            </w:r>
          </w:p>
          <w:p w14:paraId="4ACB6836" w14:textId="77777777" w:rsidR="007B4613" w:rsidRPr="000847A9" w:rsidRDefault="007B4613" w:rsidP="0005162F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Ja attiecīgā ES tiesību akta vienība </w:t>
            </w: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lastRenderedPageBreak/>
              <w:t>tiek pārņemta vai ieviesta daļēji, sniedz attiecīgu skaidrojumu, kā arī precīzi norāda, kad un kādā veidā ES tiesību akta vienība tiks pārņemta vai ieviesta pilnībā.</w:t>
            </w:r>
          </w:p>
          <w:p w14:paraId="7869BAE0" w14:textId="77777777" w:rsidR="007B4613" w:rsidRPr="000847A9" w:rsidRDefault="007B4613" w:rsidP="0005162F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2CB9" w14:textId="77777777" w:rsidR="007B4613" w:rsidRPr="000847A9" w:rsidRDefault="007B4613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lastRenderedPageBreak/>
              <w:t xml:space="preserve">Informācija par to, vai šīs tabulas B ailē minētās projekta vienības paredz stingrākas prasības nekā šīs tabulas A ailē minētās </w:t>
            </w: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lastRenderedPageBreak/>
              <w:t xml:space="preserve">ES tiesību akta vienības. </w:t>
            </w:r>
          </w:p>
          <w:p w14:paraId="454766BC" w14:textId="77777777" w:rsidR="007B4613" w:rsidRPr="000847A9" w:rsidRDefault="007B4613" w:rsidP="0005162F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Ja projekts satur stingrākas prasības nekā attiecīgais ES tiesību akts, norāda pamatojumu un samērīgumu.</w:t>
            </w:r>
          </w:p>
          <w:p w14:paraId="5F3D169B" w14:textId="77777777" w:rsidR="007B4613" w:rsidRPr="000847A9" w:rsidRDefault="007B4613" w:rsidP="0005162F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0847A9" w:rsidRPr="000847A9" w14:paraId="33B1B444" w14:textId="77777777" w:rsidTr="00A33558">
        <w:trPr>
          <w:tblCellSpacing w:w="15" w:type="dxa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6C7E" w14:textId="3E7A689F" w:rsidR="00B07428" w:rsidRPr="000847A9" w:rsidRDefault="00F811C4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7A9">
              <w:rPr>
                <w:rFonts w:ascii="Times New Roman" w:hAnsi="Times New Roman"/>
                <w:sz w:val="26"/>
                <w:szCs w:val="26"/>
              </w:rPr>
              <w:lastRenderedPageBreak/>
              <w:t>Grozījumu d</w:t>
            </w:r>
            <w:r w:rsidR="00EE029A" w:rsidRPr="000847A9">
              <w:rPr>
                <w:rFonts w:ascii="Times New Roman" w:hAnsi="Times New Roman"/>
                <w:sz w:val="26"/>
                <w:szCs w:val="26"/>
              </w:rPr>
              <w:t xml:space="preserve">irektīvas 1.panta </w:t>
            </w:r>
            <w:r w:rsidR="00E526AD" w:rsidRPr="000847A9">
              <w:rPr>
                <w:rFonts w:ascii="Times New Roman" w:hAnsi="Times New Roman"/>
                <w:sz w:val="26"/>
                <w:szCs w:val="26"/>
              </w:rPr>
              <w:t>21</w:t>
            </w:r>
            <w:r w:rsidR="00EE029A" w:rsidRPr="000847A9">
              <w:rPr>
                <w:rFonts w:ascii="Times New Roman" w:hAnsi="Times New Roman"/>
                <w:sz w:val="26"/>
                <w:szCs w:val="26"/>
              </w:rPr>
              <w:t>) daļa</w:t>
            </w:r>
            <w:r w:rsidR="00B07428" w:rsidRPr="000847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847CB3B" w14:textId="77777777" w:rsidR="00B07428" w:rsidRPr="000847A9" w:rsidRDefault="00B07428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CAFD1DA" w14:textId="7A24184F" w:rsidR="00EE029A" w:rsidRPr="000847A9" w:rsidRDefault="00B07428" w:rsidP="00E526A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7A9">
              <w:rPr>
                <w:rFonts w:ascii="Times New Roman" w:hAnsi="Times New Roman"/>
                <w:sz w:val="26"/>
                <w:szCs w:val="26"/>
              </w:rPr>
              <w:t xml:space="preserve">(par direktīvas </w:t>
            </w:r>
            <w:r w:rsidR="00E526AD" w:rsidRPr="000847A9">
              <w:rPr>
                <w:rFonts w:ascii="Times New Roman" w:hAnsi="Times New Roman"/>
                <w:sz w:val="26"/>
                <w:szCs w:val="26"/>
              </w:rPr>
              <w:t>27. panta 2</w:t>
            </w:r>
            <w:r w:rsidRPr="000847A9">
              <w:rPr>
                <w:rFonts w:ascii="Times New Roman" w:hAnsi="Times New Roman"/>
                <w:sz w:val="26"/>
                <w:szCs w:val="26"/>
              </w:rPr>
              <w:t>.</w:t>
            </w:r>
            <w:r w:rsidR="00E526AD" w:rsidRPr="000847A9">
              <w:rPr>
                <w:rFonts w:ascii="Times New Roman" w:hAnsi="Times New Roman"/>
                <w:sz w:val="26"/>
                <w:szCs w:val="26"/>
              </w:rPr>
              <w:t xml:space="preserve">a </w:t>
            </w:r>
            <w:r w:rsidRPr="000847A9">
              <w:rPr>
                <w:rFonts w:ascii="Times New Roman" w:hAnsi="Times New Roman"/>
                <w:sz w:val="26"/>
                <w:szCs w:val="26"/>
              </w:rPr>
              <w:t>punktu)</w:t>
            </w:r>
            <w:r w:rsidR="00991E49" w:rsidRPr="000847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029A" w:rsidRPr="000847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E424" w14:textId="273E248E" w:rsidR="00EE029A" w:rsidRPr="000847A9" w:rsidRDefault="00B83FB1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7A9">
              <w:rPr>
                <w:rFonts w:ascii="Times New Roman" w:hAnsi="Times New Roman"/>
                <w:sz w:val="26"/>
                <w:szCs w:val="26"/>
              </w:rPr>
              <w:t>Projekta</w:t>
            </w:r>
            <w:r w:rsidR="00E56D3D" w:rsidRPr="000847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47A9" w:rsidRPr="000847A9">
              <w:rPr>
                <w:rFonts w:ascii="Times New Roman" w:hAnsi="Times New Roman"/>
                <w:sz w:val="26"/>
                <w:szCs w:val="26"/>
              </w:rPr>
              <w:t>1</w:t>
            </w:r>
            <w:r w:rsidR="00E56D3D" w:rsidRPr="000847A9">
              <w:rPr>
                <w:rFonts w:ascii="Times New Roman" w:hAnsi="Times New Roman"/>
                <w:sz w:val="26"/>
                <w:szCs w:val="26"/>
              </w:rPr>
              <w:t>.</w:t>
            </w:r>
            <w:r w:rsidR="00823A3F">
              <w:rPr>
                <w:rFonts w:ascii="Times New Roman" w:hAnsi="Times New Roman"/>
                <w:sz w:val="26"/>
                <w:szCs w:val="26"/>
              </w:rPr>
              <w:t>, 2.</w:t>
            </w:r>
            <w:r w:rsidR="00E56D3D" w:rsidRPr="000847A9">
              <w:rPr>
                <w:rFonts w:ascii="Times New Roman" w:hAnsi="Times New Roman"/>
                <w:sz w:val="26"/>
                <w:szCs w:val="26"/>
              </w:rPr>
              <w:t>punkts</w:t>
            </w:r>
            <w:r w:rsidR="00D709B4" w:rsidRPr="000847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8613A03" w14:textId="77777777" w:rsidR="00D709B4" w:rsidRPr="000847A9" w:rsidRDefault="00D709B4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0125CD4" w14:textId="1DB04E4E" w:rsidR="00D709B4" w:rsidRPr="000847A9" w:rsidRDefault="00D709B4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98B" w14:textId="663B6128" w:rsidR="00EE029A" w:rsidRPr="000847A9" w:rsidRDefault="00CE2E47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Tiks ieviesta pilnībā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ABF5" w14:textId="50FBEB2F" w:rsidR="00EE029A" w:rsidRPr="000847A9" w:rsidRDefault="0034459F" w:rsidP="000516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Neparedzēs stingrākas prasības.</w:t>
            </w:r>
          </w:p>
        </w:tc>
      </w:tr>
      <w:tr w:rsidR="000847A9" w:rsidRPr="000847A9" w14:paraId="2BF1E2F2" w14:textId="77777777" w:rsidTr="00A33558">
        <w:trPr>
          <w:tblCellSpacing w:w="15" w:type="dxa"/>
          <w:jc w:val="center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5671" w14:textId="77777777" w:rsidR="00956F00" w:rsidRPr="000847A9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br/>
              <w:t>Kādēļ?</w:t>
            </w: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F8BB" w14:textId="09C4955C" w:rsidR="00956F00" w:rsidRPr="000847A9" w:rsidRDefault="000847A9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854152" w:rsidRPr="000847A9" w14:paraId="26CCAA2D" w14:textId="77777777" w:rsidTr="00A33558">
        <w:trPr>
          <w:tblCellSpacing w:w="15" w:type="dxa"/>
          <w:jc w:val="center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1C8D" w14:textId="77777777" w:rsidR="00854152" w:rsidRPr="000847A9" w:rsidRDefault="00854152" w:rsidP="008541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47BA" w14:textId="191239FF" w:rsidR="00854152" w:rsidRPr="000847A9" w:rsidRDefault="006A6C01" w:rsidP="008541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0847A9" w:rsidRPr="000847A9" w14:paraId="5AAD29BC" w14:textId="77777777" w:rsidTr="00A33558">
        <w:trPr>
          <w:tblCellSpacing w:w="15" w:type="dxa"/>
          <w:jc w:val="center"/>
        </w:trPr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40B7" w14:textId="77777777" w:rsidR="00956F00" w:rsidRPr="000847A9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lastRenderedPageBreak/>
              <w:t>Cita informācija</w:t>
            </w: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6115" w14:textId="6112703E" w:rsidR="00956F00" w:rsidRPr="000847A9" w:rsidRDefault="00A33558" w:rsidP="00A335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/>
                <w:sz w:val="26"/>
                <w:szCs w:val="26"/>
                <w:lang w:eastAsia="lv-LV"/>
              </w:rPr>
              <w:t>Citas t</w:t>
            </w:r>
            <w:r w:rsidR="00150046">
              <w:rPr>
                <w:rFonts w:ascii="Times New Roman" w:hAnsi="Times New Roman"/>
                <w:sz w:val="26"/>
                <w:szCs w:val="26"/>
                <w:lang w:eastAsia="lv-LV"/>
              </w:rPr>
              <w:t>iesību normas, kas izriet no direktīvas un grozījumu direktīvas, ir iekļautas likumā „Par reglamentētajām profesijām un profesionālās kvalifikācijas atzīšanu” un uz šī likuma pamata izdotajos tiesību aktos.</w:t>
            </w:r>
          </w:p>
        </w:tc>
      </w:tr>
      <w:tr w:rsidR="000847A9" w:rsidRPr="000847A9" w14:paraId="3242366E" w14:textId="77777777" w:rsidTr="00A33558">
        <w:trPr>
          <w:tblCellSpacing w:w="15" w:type="dxa"/>
          <w:jc w:val="center"/>
        </w:trPr>
        <w:tc>
          <w:tcPr>
            <w:tcW w:w="49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F999" w14:textId="77777777" w:rsidR="00956F00" w:rsidRPr="000847A9" w:rsidRDefault="00956F00" w:rsidP="00956F0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2.tabula</w:t>
            </w:r>
            <w:r w:rsidRPr="000847A9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0847A9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br/>
              <w:t>Pasākumi šo saistību izpildei</w:t>
            </w:r>
          </w:p>
        </w:tc>
      </w:tr>
      <w:tr w:rsidR="000847A9" w:rsidRPr="000847A9" w14:paraId="65D7B97C" w14:textId="77777777" w:rsidTr="00A33558">
        <w:trPr>
          <w:tblCellSpacing w:w="15" w:type="dxa"/>
          <w:jc w:val="center"/>
        </w:trPr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D741" w14:textId="77777777" w:rsidR="00956F00" w:rsidRPr="000847A9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2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A26A" w14:textId="77777777" w:rsidR="00956F00" w:rsidRPr="000847A9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0847A9" w:rsidRPr="000847A9" w14:paraId="771E6C6A" w14:textId="77777777" w:rsidTr="00A33558">
        <w:trPr>
          <w:tblCellSpacing w:w="15" w:type="dxa"/>
          <w:jc w:val="center"/>
        </w:trPr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C95A" w14:textId="77777777" w:rsidR="00956F00" w:rsidRPr="000847A9" w:rsidRDefault="00956F00" w:rsidP="00956F0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A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4C79" w14:textId="77777777" w:rsidR="00956F00" w:rsidRPr="000847A9" w:rsidRDefault="00956F00" w:rsidP="00956F0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B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A26F" w14:textId="77777777" w:rsidR="00956F00" w:rsidRPr="000847A9" w:rsidRDefault="00956F00" w:rsidP="00956F0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C</w:t>
            </w:r>
          </w:p>
        </w:tc>
      </w:tr>
      <w:tr w:rsidR="000847A9" w:rsidRPr="000847A9" w14:paraId="289A15EC" w14:textId="77777777" w:rsidTr="00A33558">
        <w:trPr>
          <w:tblCellSpacing w:w="15" w:type="dxa"/>
          <w:jc w:val="center"/>
        </w:trPr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1485" w14:textId="77777777" w:rsidR="00956F00" w:rsidRPr="000847A9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Starptautiskās saistības (pēc būtības), kas izriet no norādītā starptautiskā dokumenta. </w:t>
            </w:r>
          </w:p>
          <w:p w14:paraId="4D4A0F74" w14:textId="77777777" w:rsidR="00956F00" w:rsidRPr="000847A9" w:rsidRDefault="00956F00" w:rsidP="00956F0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Konkrēti veicamie pasākumi vai uzdevumi, kas nepieciešami šo starptautisko saistību izpildei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A684" w14:textId="77777777" w:rsidR="00956F00" w:rsidRPr="000847A9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D377" w14:textId="77777777" w:rsidR="00956F00" w:rsidRPr="000847A9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Informācija par to, vai starptautiskās saistības, kas minētas šīs tabulas A ailē, tiek izpildītas pilnībā vai daļēji. </w:t>
            </w:r>
          </w:p>
          <w:p w14:paraId="2834814E" w14:textId="77777777" w:rsidR="00956F00" w:rsidRPr="000847A9" w:rsidRDefault="00956F00" w:rsidP="00956F0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Ja attiecīgās starptautiskās saistības tiek izpildītas daļēji, sniedz skaidrojumu, kā arī precīzi norāda, kad un kādā veidā starptautiskās saistības tiks izpildītas pilnībā.</w:t>
            </w:r>
          </w:p>
          <w:p w14:paraId="01515798" w14:textId="77777777" w:rsidR="00956F00" w:rsidRPr="000847A9" w:rsidRDefault="00956F00" w:rsidP="00956F0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Norāda institūciju, kas ir atbildīga par šo saistību izpildi pilnībā</w:t>
            </w:r>
          </w:p>
        </w:tc>
      </w:tr>
      <w:tr w:rsidR="000847A9" w:rsidRPr="000847A9" w14:paraId="4776E4CC" w14:textId="77777777" w:rsidTr="00A33558">
        <w:trPr>
          <w:tblCellSpacing w:w="15" w:type="dxa"/>
          <w:jc w:val="center"/>
        </w:trPr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BEF3" w14:textId="77777777" w:rsidR="00956F00" w:rsidRPr="000847A9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2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48CD" w14:textId="77777777" w:rsidR="00956F00" w:rsidRPr="000847A9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0847A9" w:rsidRPr="000847A9" w14:paraId="778FD5E9" w14:textId="77777777" w:rsidTr="00A33558">
        <w:trPr>
          <w:tblCellSpacing w:w="15" w:type="dxa"/>
          <w:jc w:val="center"/>
        </w:trPr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378F" w14:textId="77777777" w:rsidR="00956F00" w:rsidRPr="000847A9" w:rsidRDefault="00956F00" w:rsidP="00956F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2D6E" w14:textId="77777777" w:rsidR="00956F00" w:rsidRPr="000847A9" w:rsidRDefault="00956F00" w:rsidP="00956F0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eastAsia="lv-LV"/>
              </w:rPr>
              <w:t>Nav</w:t>
            </w:r>
          </w:p>
        </w:tc>
      </w:tr>
    </w:tbl>
    <w:p w14:paraId="640E3CA2" w14:textId="77777777" w:rsidR="007B4613" w:rsidRPr="000847A9" w:rsidRDefault="007B4613" w:rsidP="007B4613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eastAsia="lv-LV"/>
        </w:rPr>
      </w:pPr>
      <w:r w:rsidRPr="000847A9">
        <w:rPr>
          <w:rFonts w:ascii="Times New Roman" w:hAnsi="Times New Roman"/>
          <w:sz w:val="24"/>
          <w:szCs w:val="24"/>
          <w:lang w:eastAsia="lv-LV"/>
        </w:rPr>
        <w:t> </w:t>
      </w:r>
    </w:p>
    <w:p w14:paraId="43C8E263" w14:textId="77777777" w:rsidR="003460E1" w:rsidRPr="000847A9" w:rsidRDefault="003460E1" w:rsidP="004A505F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"/>
        <w:gridCol w:w="2796"/>
        <w:gridCol w:w="6038"/>
      </w:tblGrid>
      <w:tr w:rsidR="000847A9" w:rsidRPr="000847A9" w14:paraId="16EDB388" w14:textId="77777777" w:rsidTr="0005162F">
        <w:trPr>
          <w:trHeight w:val="42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DA47" w14:textId="77777777" w:rsidR="00812271" w:rsidRPr="000847A9" w:rsidRDefault="00812271" w:rsidP="0005162F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0847A9" w:rsidRPr="000847A9" w14:paraId="47F69F25" w14:textId="77777777" w:rsidTr="00812271">
        <w:trPr>
          <w:trHeight w:val="54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D24CD" w14:textId="77777777" w:rsidR="00812271" w:rsidRPr="000847A9" w:rsidRDefault="00812271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98F62" w14:textId="77777777" w:rsidR="00812271" w:rsidRPr="000847A9" w:rsidRDefault="00812271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E8450" w14:textId="205C8532" w:rsidR="00812271" w:rsidRPr="000847A9" w:rsidRDefault="006A671F" w:rsidP="00AD45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</w:t>
            </w:r>
            <w:r w:rsidR="001004CD"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ojekts </w:t>
            </w:r>
            <w:r w:rsidR="00684CA5"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publicēts</w:t>
            </w:r>
            <w:r w:rsidR="00577EBE"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ministrijas tīmekļa vietnē</w:t>
            </w:r>
            <w:r w:rsidR="00CF2671"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 pēc tā izsludināšanas Valsts sekretāru sanāksmē</w:t>
            </w:r>
            <w:r w:rsidR="00E73ABF"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. </w:t>
            </w:r>
          </w:p>
        </w:tc>
      </w:tr>
      <w:tr w:rsidR="000847A9" w:rsidRPr="000847A9" w14:paraId="6BF6DEE4" w14:textId="77777777" w:rsidTr="00812271">
        <w:trPr>
          <w:trHeight w:val="33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41D1E" w14:textId="77777777" w:rsidR="00812271" w:rsidRPr="000847A9" w:rsidRDefault="00812271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DE4BC" w14:textId="77777777" w:rsidR="00812271" w:rsidRPr="000847A9" w:rsidRDefault="00812271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CDC29" w14:textId="6020DDCC" w:rsidR="00812271" w:rsidRPr="000847A9" w:rsidRDefault="000847A9" w:rsidP="005104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</w:rPr>
              <w:t>Projekts šo jomu neskar.</w:t>
            </w:r>
          </w:p>
        </w:tc>
      </w:tr>
      <w:tr w:rsidR="000847A9" w:rsidRPr="000847A9" w14:paraId="5B9989C0" w14:textId="77777777" w:rsidTr="00812271">
        <w:trPr>
          <w:trHeight w:val="465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1D466" w14:textId="77777777" w:rsidR="00812271" w:rsidRPr="000847A9" w:rsidRDefault="00812271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E4BC3" w14:textId="77777777" w:rsidR="00812271" w:rsidRPr="000847A9" w:rsidRDefault="00812271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D3150" w14:textId="1288B2A8" w:rsidR="00812271" w:rsidRPr="000847A9" w:rsidRDefault="000847A9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hAnsi="Times New Roman"/>
                <w:sz w:val="26"/>
                <w:szCs w:val="26"/>
              </w:rPr>
              <w:t xml:space="preserve">Projekts </w:t>
            </w:r>
            <w:r>
              <w:rPr>
                <w:rFonts w:ascii="Times New Roman" w:hAnsi="Times New Roman"/>
                <w:sz w:val="26"/>
                <w:szCs w:val="26"/>
              </w:rPr>
              <w:t>šo jomu neskar</w:t>
            </w:r>
            <w:r w:rsidRPr="000847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47A9" w:rsidRPr="000847A9" w14:paraId="48CF7382" w14:textId="77777777" w:rsidTr="00812271">
        <w:trPr>
          <w:trHeight w:val="465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673BA" w14:textId="77777777" w:rsidR="00812271" w:rsidRPr="000847A9" w:rsidRDefault="00812271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26C68" w14:textId="77777777" w:rsidR="00812271" w:rsidRPr="000847A9" w:rsidRDefault="00812271" w:rsidP="0005162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59059" w14:textId="77777777" w:rsidR="00812271" w:rsidRPr="000847A9" w:rsidRDefault="00812271" w:rsidP="0005162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14:paraId="0A64254E" w14:textId="77777777" w:rsidR="004A505F" w:rsidRPr="008F28FB" w:rsidRDefault="004A505F" w:rsidP="004A505F">
      <w:pPr>
        <w:spacing w:after="0" w:line="360" w:lineRule="auto"/>
        <w:jc w:val="both"/>
        <w:rPr>
          <w:rFonts w:ascii="Times New Roman" w:eastAsia="Times New Roman" w:hAnsi="Times New Roman"/>
          <w:color w:val="31849B" w:themeColor="accent5" w:themeShade="BF"/>
          <w:sz w:val="26"/>
          <w:szCs w:val="26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"/>
        <w:gridCol w:w="3314"/>
        <w:gridCol w:w="5520"/>
      </w:tblGrid>
      <w:tr w:rsidR="000847A9" w:rsidRPr="000847A9" w14:paraId="65402A31" w14:textId="77777777" w:rsidTr="00C96AD3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8C3E6" w14:textId="77777777" w:rsidR="00C96AD3" w:rsidRPr="000847A9" w:rsidRDefault="00C96AD3" w:rsidP="00C96AD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0847A9" w:rsidRPr="000847A9" w14:paraId="702A1D02" w14:textId="77777777" w:rsidTr="002F7C93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F7942" w14:textId="77777777" w:rsidR="00C96AD3" w:rsidRPr="000847A9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BC28D" w14:textId="77777777" w:rsidR="00C96AD3" w:rsidRPr="000847A9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56C4A" w14:textId="4C102C35" w:rsidR="005371A0" w:rsidRPr="000847A9" w:rsidRDefault="005371A0" w:rsidP="005371A0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lv-LV" w:eastAsia="en-US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val="lv-LV" w:eastAsia="en-US"/>
              </w:rPr>
              <w:t xml:space="preserve">     Projektā noteiktais attieksies uz institūcijām, kas </w:t>
            </w:r>
            <w:r w:rsidRPr="002626E3">
              <w:rPr>
                <w:rFonts w:ascii="Times New Roman" w:hAnsi="Times New Roman"/>
                <w:sz w:val="26"/>
                <w:szCs w:val="26"/>
                <w:lang w:val="lv-LV" w:eastAsia="en-US"/>
              </w:rPr>
              <w:t>saskaņā ar Ministru kabineta 2005.gada 19.jūlija noteikumiem Nr.525</w:t>
            </w:r>
            <w:r w:rsidR="002626E3" w:rsidRPr="00326DEB">
              <w:rPr>
                <w:rFonts w:ascii="Times New Roman" w:hAnsi="Times New Roman"/>
                <w:sz w:val="26"/>
                <w:szCs w:val="26"/>
                <w:lang w:val="lv-LV" w:eastAsia="en-US"/>
              </w:rPr>
              <w:t xml:space="preserve"> „</w:t>
            </w:r>
            <w:r w:rsidR="002626E3" w:rsidRPr="00A33558">
              <w:rPr>
                <w:rFonts w:ascii="Times New Roman" w:hAnsi="Times New Roman"/>
                <w:bCs/>
                <w:sz w:val="26"/>
                <w:szCs w:val="26"/>
              </w:rPr>
              <w:t>Kārtība profesionālās kvalifikācijas atzīšanai pastāvīgai profesionālajai darbībai Latvijas Republikā</w:t>
            </w:r>
            <w:r w:rsidR="002626E3" w:rsidRPr="00A33558">
              <w:rPr>
                <w:rFonts w:ascii="Times New Roman" w:hAnsi="Times New Roman"/>
                <w:bCs/>
                <w:sz w:val="26"/>
                <w:szCs w:val="26"/>
                <w:lang w:val="lv-LV"/>
              </w:rPr>
              <w:t>”</w:t>
            </w:r>
            <w:r w:rsidRPr="002626E3">
              <w:rPr>
                <w:rFonts w:ascii="Times New Roman" w:hAnsi="Times New Roman"/>
                <w:sz w:val="26"/>
                <w:szCs w:val="26"/>
                <w:lang w:val="lv-LV" w:eastAsia="en-US"/>
              </w:rPr>
              <w:t xml:space="preserve"> ir</w:t>
            </w:r>
            <w:r w:rsidRPr="000847A9">
              <w:rPr>
                <w:rFonts w:ascii="Times New Roman" w:hAnsi="Times New Roman"/>
                <w:sz w:val="26"/>
                <w:szCs w:val="26"/>
                <w:lang w:val="lv-LV" w:eastAsia="en-US"/>
              </w:rPr>
              <w:t xml:space="preserve"> iesaistītas profesionālās kvalifikācijas atzīšanā ārsta profesijā: </w:t>
            </w:r>
          </w:p>
          <w:p w14:paraId="2ADEE129" w14:textId="77777777" w:rsidR="001C7F26" w:rsidRDefault="005371A0" w:rsidP="005371A0">
            <w:pPr>
              <w:pStyle w:val="ListParagraph"/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 w:eastAsia="en-US"/>
              </w:rPr>
            </w:pPr>
            <w:r w:rsidRPr="000847A9">
              <w:rPr>
                <w:rFonts w:ascii="Times New Roman" w:hAnsi="Times New Roman"/>
                <w:sz w:val="26"/>
                <w:szCs w:val="26"/>
                <w:lang w:val="lv-LV" w:eastAsia="en-US"/>
              </w:rPr>
              <w:t>Akadēmiskās informācijas centru, kas īsteno informācijas institūcijas uzdevumus,</w:t>
            </w:r>
          </w:p>
          <w:p w14:paraId="46637270" w14:textId="4370AC60" w:rsidR="00B62DFF" w:rsidRPr="001C7F26" w:rsidRDefault="005371A0" w:rsidP="005371A0">
            <w:pPr>
              <w:pStyle w:val="ListParagraph"/>
              <w:numPr>
                <w:ilvl w:val="0"/>
                <w:numId w:val="17"/>
              </w:num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lv-LV" w:eastAsia="en-US"/>
              </w:rPr>
            </w:pPr>
            <w:r w:rsidRPr="001C7F26">
              <w:rPr>
                <w:rFonts w:ascii="Times New Roman" w:hAnsi="Times New Roman"/>
                <w:sz w:val="26"/>
                <w:szCs w:val="26"/>
                <w:lang w:val="lv-LV" w:eastAsia="en-US"/>
              </w:rPr>
              <w:t xml:space="preserve">Latvijas Ārstu biedrību, kas ir institūcija, kas izsniedz profesionālās kvalifikācijas atzīšanas apliecības reglamentētajā profesijā. </w:t>
            </w:r>
          </w:p>
        </w:tc>
      </w:tr>
      <w:tr w:rsidR="000847A9" w:rsidRPr="000847A9" w14:paraId="28D8C2E0" w14:textId="77777777" w:rsidTr="002F7C93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7CC44" w14:textId="0A82A365" w:rsidR="00C96AD3" w:rsidRPr="000847A9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40DF8" w14:textId="77777777" w:rsidR="00C96AD3" w:rsidRPr="000847A9" w:rsidRDefault="00C96AD3" w:rsidP="00C96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F064A4" w14:textId="77777777" w:rsidR="00C96AD3" w:rsidRPr="000847A9" w:rsidRDefault="008D3E73" w:rsidP="00C96AD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P</w:t>
            </w:r>
            <w:r w:rsidR="00C96AD3" w:rsidRPr="000847A9">
              <w:rPr>
                <w:rFonts w:ascii="Times New Roman" w:hAnsi="Times New Roman"/>
                <w:sz w:val="26"/>
                <w:szCs w:val="26"/>
              </w:rPr>
              <w:t>rojekts šo jomu neskar.</w:t>
            </w:r>
          </w:p>
          <w:p w14:paraId="5DA89E96" w14:textId="422E14BC" w:rsidR="00080CF0" w:rsidRPr="000847A9" w:rsidRDefault="00080CF0" w:rsidP="00C96A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</w:p>
        </w:tc>
      </w:tr>
      <w:tr w:rsidR="000847A9" w:rsidRPr="000847A9" w14:paraId="0CFC8929" w14:textId="77777777" w:rsidTr="002F7C93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8D1CF" w14:textId="77777777" w:rsidR="00C96AD3" w:rsidRPr="000847A9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5C226" w14:textId="77777777" w:rsidR="00C96AD3" w:rsidRPr="000847A9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5FE5F" w14:textId="77777777" w:rsidR="00C96AD3" w:rsidRPr="000847A9" w:rsidRDefault="00C96AD3" w:rsidP="00C96A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 w:rsidRPr="000847A9"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>Nav.</w:t>
            </w:r>
          </w:p>
        </w:tc>
      </w:tr>
    </w:tbl>
    <w:p w14:paraId="4F26AD1B" w14:textId="77777777" w:rsidR="00392D00" w:rsidRDefault="00392D00" w:rsidP="005C42B1">
      <w:pPr>
        <w:spacing w:after="0" w:line="240" w:lineRule="auto"/>
        <w:rPr>
          <w:rFonts w:ascii="Times New Roman" w:eastAsia="Times New Roman" w:hAnsi="Times New Roman"/>
          <w:color w:val="31849B" w:themeColor="accent5" w:themeShade="BF"/>
          <w:sz w:val="26"/>
          <w:szCs w:val="26"/>
          <w:lang w:eastAsia="lv-LV"/>
        </w:rPr>
      </w:pPr>
    </w:p>
    <w:p w14:paraId="18F3D84F" w14:textId="04D5683D" w:rsidR="0042667D" w:rsidRPr="000847A9" w:rsidRDefault="0042667D" w:rsidP="0042667D">
      <w:pPr>
        <w:jc w:val="both"/>
        <w:rPr>
          <w:rFonts w:ascii="Times New Roman" w:hAnsi="Times New Roman"/>
          <w:i/>
          <w:sz w:val="26"/>
          <w:szCs w:val="26"/>
        </w:rPr>
      </w:pPr>
      <w:r w:rsidRPr="000847A9">
        <w:rPr>
          <w:rFonts w:ascii="Times New Roman" w:hAnsi="Times New Roman"/>
          <w:i/>
          <w:sz w:val="26"/>
          <w:szCs w:val="26"/>
        </w:rPr>
        <w:t>Anotācijas III un IV sadaļa – projekts š</w:t>
      </w:r>
      <w:r w:rsidR="00326DEB">
        <w:rPr>
          <w:rFonts w:ascii="Times New Roman" w:hAnsi="Times New Roman"/>
          <w:i/>
          <w:sz w:val="26"/>
          <w:szCs w:val="26"/>
        </w:rPr>
        <w:t>īs</w:t>
      </w:r>
      <w:r w:rsidRPr="000847A9">
        <w:rPr>
          <w:rFonts w:ascii="Times New Roman" w:hAnsi="Times New Roman"/>
          <w:i/>
          <w:sz w:val="26"/>
          <w:szCs w:val="26"/>
        </w:rPr>
        <w:t xml:space="preserve"> jom</w:t>
      </w:r>
      <w:r w:rsidR="00326DEB">
        <w:rPr>
          <w:rFonts w:ascii="Times New Roman" w:hAnsi="Times New Roman"/>
          <w:i/>
          <w:sz w:val="26"/>
          <w:szCs w:val="26"/>
        </w:rPr>
        <w:t>as</w:t>
      </w:r>
      <w:r w:rsidRPr="000847A9">
        <w:rPr>
          <w:rFonts w:ascii="Times New Roman" w:hAnsi="Times New Roman"/>
          <w:i/>
          <w:sz w:val="26"/>
          <w:szCs w:val="26"/>
        </w:rPr>
        <w:t xml:space="preserve"> neskar.</w:t>
      </w:r>
    </w:p>
    <w:p w14:paraId="28928B39" w14:textId="77777777" w:rsidR="0042667D" w:rsidRPr="008F28FB" w:rsidRDefault="0042667D" w:rsidP="005C42B1">
      <w:pPr>
        <w:spacing w:after="0" w:line="240" w:lineRule="auto"/>
        <w:rPr>
          <w:rFonts w:ascii="Times New Roman" w:eastAsia="Times New Roman" w:hAnsi="Times New Roman"/>
          <w:color w:val="31849B" w:themeColor="accent5" w:themeShade="BF"/>
          <w:sz w:val="26"/>
          <w:szCs w:val="26"/>
          <w:lang w:eastAsia="lv-LV"/>
        </w:rPr>
      </w:pPr>
    </w:p>
    <w:p w14:paraId="21D7ACC2" w14:textId="77777777" w:rsidR="004A505F" w:rsidRPr="008F28FB" w:rsidRDefault="004A505F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1849B" w:themeColor="accent5" w:themeShade="BF"/>
          <w:sz w:val="26"/>
          <w:szCs w:val="26"/>
        </w:rPr>
      </w:pPr>
    </w:p>
    <w:p w14:paraId="79224C61" w14:textId="36A16258" w:rsidR="00F31126" w:rsidRPr="008F28FB" w:rsidRDefault="00A76C0A" w:rsidP="00F311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8F28FB">
        <w:rPr>
          <w:rFonts w:ascii="Times New Roman" w:eastAsia="Times New Roman" w:hAnsi="Times New Roman"/>
          <w:sz w:val="26"/>
          <w:szCs w:val="26"/>
          <w:lang w:eastAsia="lv-LV"/>
        </w:rPr>
        <w:t>I</w:t>
      </w:r>
      <w:r w:rsidR="00F31126" w:rsidRPr="008F28FB">
        <w:rPr>
          <w:rFonts w:ascii="Times New Roman" w:eastAsia="Times New Roman" w:hAnsi="Times New Roman"/>
          <w:sz w:val="26"/>
          <w:szCs w:val="26"/>
          <w:lang w:eastAsia="lv-LV"/>
        </w:rPr>
        <w:t>zglītības un zinātne</w:t>
      </w:r>
      <w:r w:rsidRPr="008F28FB">
        <w:rPr>
          <w:rFonts w:ascii="Times New Roman" w:eastAsia="Times New Roman" w:hAnsi="Times New Roman"/>
          <w:sz w:val="26"/>
          <w:szCs w:val="26"/>
          <w:lang w:eastAsia="lv-LV"/>
        </w:rPr>
        <w:t>s ministr</w:t>
      </w:r>
      <w:r w:rsidR="00DB4E35">
        <w:rPr>
          <w:rFonts w:ascii="Times New Roman" w:eastAsia="Times New Roman" w:hAnsi="Times New Roman"/>
          <w:sz w:val="26"/>
          <w:szCs w:val="26"/>
          <w:lang w:eastAsia="lv-LV"/>
        </w:rPr>
        <w:t>s</w:t>
      </w:r>
      <w:r w:rsidRPr="008F28FB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Pr="008F28FB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F31126" w:rsidRPr="008F28FB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F31126" w:rsidRPr="008F28FB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F31126" w:rsidRPr="008F28FB">
        <w:rPr>
          <w:rFonts w:ascii="Times New Roman" w:eastAsia="Times New Roman" w:hAnsi="Times New Roman"/>
          <w:sz w:val="26"/>
          <w:szCs w:val="26"/>
          <w:lang w:eastAsia="lv-LV"/>
        </w:rPr>
        <w:tab/>
        <w:t xml:space="preserve">    </w:t>
      </w:r>
      <w:r w:rsidR="00F31126" w:rsidRPr="008F28FB">
        <w:rPr>
          <w:rFonts w:ascii="Times New Roman" w:eastAsia="Times New Roman" w:hAnsi="Times New Roman"/>
          <w:sz w:val="26"/>
          <w:szCs w:val="26"/>
          <w:lang w:eastAsia="lv-LV"/>
        </w:rPr>
        <w:tab/>
      </w:r>
      <w:r w:rsidR="00DB4E35">
        <w:rPr>
          <w:rFonts w:ascii="Times New Roman" w:eastAsia="Times New Roman" w:hAnsi="Times New Roman"/>
          <w:sz w:val="26"/>
          <w:szCs w:val="26"/>
          <w:lang w:eastAsia="lv-LV"/>
        </w:rPr>
        <w:t>Kārlis Šadurskis</w:t>
      </w:r>
    </w:p>
    <w:p w14:paraId="33D916E8" w14:textId="77777777" w:rsidR="00F31126" w:rsidRPr="008F28FB" w:rsidRDefault="00F31126" w:rsidP="00F31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4EB571A5" w14:textId="77777777" w:rsidR="00322FF1" w:rsidRPr="008F28FB" w:rsidRDefault="00322FF1" w:rsidP="00012B5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6A0B4BB1" w14:textId="77777777" w:rsidR="004A505F" w:rsidRPr="008F28FB" w:rsidRDefault="004A505F" w:rsidP="00012B5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21D59E03" w14:textId="77777777" w:rsidR="00A76C0A" w:rsidRPr="00C06D16" w:rsidRDefault="00A76C0A" w:rsidP="00012B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06D16">
        <w:rPr>
          <w:rFonts w:ascii="Times New Roman" w:eastAsia="Times New Roman" w:hAnsi="Times New Roman"/>
          <w:sz w:val="28"/>
          <w:szCs w:val="28"/>
          <w:lang w:eastAsia="lv-LV"/>
        </w:rPr>
        <w:t>Vizē:</w:t>
      </w:r>
    </w:p>
    <w:p w14:paraId="24F185B3" w14:textId="77777777" w:rsidR="00C06D16" w:rsidRPr="00C06D16" w:rsidRDefault="00C06D16" w:rsidP="00C06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D16">
        <w:rPr>
          <w:rFonts w:ascii="Times New Roman" w:hAnsi="Times New Roman"/>
          <w:sz w:val="28"/>
          <w:szCs w:val="28"/>
        </w:rPr>
        <w:t>Valsts sekretāra vietnieks -</w:t>
      </w:r>
    </w:p>
    <w:p w14:paraId="60A2E510" w14:textId="77777777" w:rsidR="00C06D16" w:rsidRPr="00C06D16" w:rsidRDefault="00C06D16" w:rsidP="00C06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6D16">
        <w:rPr>
          <w:rFonts w:ascii="Times New Roman" w:hAnsi="Times New Roman"/>
          <w:sz w:val="28"/>
          <w:szCs w:val="28"/>
        </w:rPr>
        <w:t>Nodrošinājuma un finanšu departamenta direktors,</w:t>
      </w:r>
    </w:p>
    <w:p w14:paraId="7B2DE953" w14:textId="3283BFCE" w:rsidR="00012B57" w:rsidRPr="00C06D16" w:rsidRDefault="00C06D16" w:rsidP="00C06D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06D16">
        <w:rPr>
          <w:rFonts w:ascii="Times New Roman" w:hAnsi="Times New Roman"/>
          <w:sz w:val="28"/>
          <w:szCs w:val="28"/>
        </w:rPr>
        <w:t xml:space="preserve">valsts sekretāra pienākumu izpildītājs </w:t>
      </w:r>
      <w:r w:rsidRPr="00C06D16">
        <w:rPr>
          <w:rFonts w:ascii="Times New Roman" w:hAnsi="Times New Roman"/>
          <w:sz w:val="28"/>
          <w:szCs w:val="28"/>
        </w:rPr>
        <w:tab/>
      </w:r>
      <w:r w:rsidRPr="00C06D16">
        <w:rPr>
          <w:rFonts w:ascii="Times New Roman" w:hAnsi="Times New Roman"/>
          <w:sz w:val="28"/>
          <w:szCs w:val="28"/>
        </w:rPr>
        <w:tab/>
        <w:t xml:space="preserve"> </w:t>
      </w:r>
      <w:r w:rsidRPr="00C06D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06D16">
        <w:rPr>
          <w:rFonts w:ascii="Times New Roman" w:hAnsi="Times New Roman"/>
          <w:sz w:val="28"/>
          <w:szCs w:val="28"/>
        </w:rPr>
        <w:t>E.Martinsons</w:t>
      </w:r>
    </w:p>
    <w:p w14:paraId="1FD2F788" w14:textId="77777777" w:rsidR="00FC7EFA" w:rsidRPr="008F28FB" w:rsidRDefault="00FC7EFA" w:rsidP="00F3112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F28FB">
        <w:rPr>
          <w:rFonts w:ascii="Times New Roman" w:hAnsi="Times New Roman"/>
          <w:sz w:val="20"/>
          <w:szCs w:val="20"/>
        </w:rPr>
        <w:tab/>
      </w:r>
      <w:r w:rsidRPr="008F28FB">
        <w:rPr>
          <w:rFonts w:ascii="Times New Roman" w:hAnsi="Times New Roman"/>
          <w:sz w:val="20"/>
          <w:szCs w:val="20"/>
        </w:rPr>
        <w:tab/>
      </w:r>
      <w:r w:rsidRPr="008F28FB">
        <w:rPr>
          <w:rFonts w:ascii="Times New Roman" w:hAnsi="Times New Roman"/>
          <w:sz w:val="20"/>
          <w:szCs w:val="20"/>
        </w:rPr>
        <w:tab/>
      </w:r>
      <w:r w:rsidRPr="008F28FB">
        <w:rPr>
          <w:rFonts w:ascii="Times New Roman" w:hAnsi="Times New Roman"/>
          <w:sz w:val="20"/>
          <w:szCs w:val="20"/>
        </w:rPr>
        <w:tab/>
      </w:r>
      <w:r w:rsidRPr="008F28FB">
        <w:rPr>
          <w:rFonts w:ascii="Times New Roman" w:hAnsi="Times New Roman"/>
          <w:sz w:val="20"/>
          <w:szCs w:val="20"/>
        </w:rPr>
        <w:tab/>
      </w:r>
    </w:p>
    <w:p w14:paraId="7B6ED593" w14:textId="077F9AE8" w:rsidR="00012B57" w:rsidRPr="008F28FB" w:rsidRDefault="008B3547" w:rsidP="00012B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29</w:t>
      </w:r>
      <w:r w:rsidR="00DB4E35" w:rsidRPr="00AD45F9">
        <w:rPr>
          <w:rFonts w:ascii="Times New Roman" w:eastAsia="Times New Roman" w:hAnsi="Times New Roman"/>
          <w:sz w:val="20"/>
          <w:szCs w:val="20"/>
          <w:lang w:eastAsia="lv-LV"/>
        </w:rPr>
        <w:t>.03</w:t>
      </w:r>
      <w:r w:rsidR="00B22172" w:rsidRPr="00AD45F9">
        <w:rPr>
          <w:rFonts w:ascii="Times New Roman" w:eastAsia="Times New Roman" w:hAnsi="Times New Roman"/>
          <w:sz w:val="20"/>
          <w:szCs w:val="20"/>
          <w:lang w:eastAsia="lv-LV"/>
        </w:rPr>
        <w:t>.</w:t>
      </w:r>
      <w:r w:rsidR="00CE3CB5" w:rsidRPr="00AD45F9">
        <w:rPr>
          <w:rFonts w:ascii="Times New Roman" w:eastAsia="Times New Roman" w:hAnsi="Times New Roman"/>
          <w:sz w:val="20"/>
          <w:szCs w:val="20"/>
          <w:lang w:eastAsia="lv-LV"/>
        </w:rPr>
        <w:t>2016.</w:t>
      </w:r>
      <w:r w:rsidR="00760885" w:rsidRPr="00AD45F9">
        <w:rPr>
          <w:rFonts w:ascii="Times New Roman" w:eastAsia="Times New Roman" w:hAnsi="Times New Roman"/>
          <w:sz w:val="20"/>
          <w:szCs w:val="20"/>
          <w:lang w:eastAsia="lv-LV"/>
        </w:rPr>
        <w:t>1</w:t>
      </w:r>
      <w:r w:rsidR="00AD45F9" w:rsidRPr="00AD45F9">
        <w:rPr>
          <w:rFonts w:ascii="Times New Roman" w:eastAsia="Times New Roman" w:hAnsi="Times New Roman"/>
          <w:sz w:val="20"/>
          <w:szCs w:val="20"/>
          <w:lang w:eastAsia="lv-LV"/>
        </w:rPr>
        <w:t>1</w:t>
      </w:r>
      <w:r w:rsidR="00760885" w:rsidRPr="00AD45F9">
        <w:rPr>
          <w:rFonts w:ascii="Times New Roman" w:eastAsia="Times New Roman" w:hAnsi="Times New Roman"/>
          <w:sz w:val="20"/>
          <w:szCs w:val="20"/>
          <w:lang w:eastAsia="lv-LV"/>
        </w:rPr>
        <w:t>:</w:t>
      </w:r>
      <w:r w:rsidR="00AD45F9" w:rsidRPr="00AD45F9">
        <w:rPr>
          <w:rFonts w:ascii="Times New Roman" w:eastAsia="Times New Roman" w:hAnsi="Times New Roman"/>
          <w:sz w:val="20"/>
          <w:szCs w:val="20"/>
          <w:lang w:eastAsia="lv-LV"/>
        </w:rPr>
        <w:t>10</w:t>
      </w:r>
    </w:p>
    <w:p w14:paraId="279E881E" w14:textId="481C2ACB" w:rsidR="004A308B" w:rsidRPr="008F28FB" w:rsidRDefault="00760885" w:rsidP="00012B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12</w:t>
      </w:r>
      <w:r w:rsidR="007A10AF">
        <w:rPr>
          <w:rFonts w:ascii="Times New Roman" w:eastAsia="Times New Roman" w:hAnsi="Times New Roman"/>
          <w:sz w:val="20"/>
          <w:szCs w:val="20"/>
          <w:lang w:eastAsia="lv-LV"/>
        </w:rPr>
        <w:t>5</w:t>
      </w:r>
      <w:bookmarkStart w:id="4" w:name="_GoBack"/>
      <w:bookmarkEnd w:id="4"/>
      <w:r w:rsidR="00AD45F9">
        <w:rPr>
          <w:rFonts w:ascii="Times New Roman" w:eastAsia="Times New Roman" w:hAnsi="Times New Roman"/>
          <w:sz w:val="20"/>
          <w:szCs w:val="20"/>
          <w:lang w:eastAsia="lv-LV"/>
        </w:rPr>
        <w:t>5</w:t>
      </w:r>
    </w:p>
    <w:p w14:paraId="4FD50F29" w14:textId="657D3CDF" w:rsidR="00FC7EFA" w:rsidRPr="008F28FB" w:rsidRDefault="00DB397F" w:rsidP="00A76C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8F28FB">
        <w:rPr>
          <w:rFonts w:ascii="Times New Roman" w:eastAsia="Times New Roman" w:hAnsi="Times New Roman"/>
          <w:sz w:val="20"/>
          <w:szCs w:val="20"/>
          <w:lang w:eastAsia="lv-LV"/>
        </w:rPr>
        <w:t>I.Stūre, 67047899</w:t>
      </w:r>
    </w:p>
    <w:p w14:paraId="3BB36A2B" w14:textId="1E019F2D" w:rsidR="001F23CB" w:rsidRPr="008F28FB" w:rsidRDefault="00DB397F" w:rsidP="00A76C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8F28FB">
        <w:rPr>
          <w:rFonts w:ascii="Times New Roman" w:eastAsia="Times New Roman" w:hAnsi="Times New Roman"/>
          <w:sz w:val="20"/>
          <w:szCs w:val="20"/>
          <w:lang w:eastAsia="lv-LV"/>
        </w:rPr>
        <w:t>Inese.Sture</w:t>
      </w:r>
      <w:r w:rsidR="00A76C0A" w:rsidRPr="008F28FB">
        <w:rPr>
          <w:rFonts w:ascii="Times New Roman" w:eastAsia="Times New Roman" w:hAnsi="Times New Roman"/>
          <w:sz w:val="20"/>
          <w:szCs w:val="20"/>
          <w:lang w:eastAsia="lv-LV"/>
        </w:rPr>
        <w:t>@izm.gov.lv</w:t>
      </w:r>
    </w:p>
    <w:p w14:paraId="22A350A6" w14:textId="6E59AB1F" w:rsidR="00A76C0A" w:rsidRPr="008F28FB" w:rsidRDefault="001F23CB" w:rsidP="001F23CB">
      <w:pPr>
        <w:tabs>
          <w:tab w:val="left" w:pos="1005"/>
        </w:tabs>
        <w:rPr>
          <w:rFonts w:ascii="Times New Roman" w:eastAsia="Times New Roman" w:hAnsi="Times New Roman"/>
          <w:color w:val="31849B" w:themeColor="accent5" w:themeShade="BF"/>
          <w:sz w:val="20"/>
          <w:szCs w:val="20"/>
          <w:lang w:eastAsia="lv-LV"/>
        </w:rPr>
      </w:pPr>
      <w:r w:rsidRPr="008F28FB">
        <w:rPr>
          <w:rFonts w:ascii="Times New Roman" w:eastAsia="Times New Roman" w:hAnsi="Times New Roman"/>
          <w:color w:val="31849B" w:themeColor="accent5" w:themeShade="BF"/>
          <w:sz w:val="20"/>
          <w:szCs w:val="20"/>
          <w:lang w:eastAsia="lv-LV"/>
        </w:rPr>
        <w:tab/>
      </w:r>
    </w:p>
    <w:sectPr w:rsidR="00A76C0A" w:rsidRPr="008F28FB" w:rsidSect="00DF12C5">
      <w:headerReference w:type="default" r:id="rId9"/>
      <w:footerReference w:type="default" r:id="rId10"/>
      <w:footerReference w:type="first" r:id="rId11"/>
      <w:pgSz w:w="11906" w:h="16838"/>
      <w:pgMar w:top="567" w:right="1274" w:bottom="1560" w:left="1276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7B7AB" w14:textId="77777777" w:rsidR="0009185A" w:rsidRDefault="0009185A" w:rsidP="004A53C8">
      <w:pPr>
        <w:spacing w:after="0" w:line="240" w:lineRule="auto"/>
      </w:pPr>
      <w:r>
        <w:separator/>
      </w:r>
    </w:p>
  </w:endnote>
  <w:endnote w:type="continuationSeparator" w:id="0">
    <w:p w14:paraId="75A90459" w14:textId="77777777" w:rsidR="0009185A" w:rsidRDefault="0009185A" w:rsidP="004A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7FA0A" w14:textId="4E49D289" w:rsidR="00EC0DAC" w:rsidRPr="008F28FB" w:rsidRDefault="00B860F3" w:rsidP="00EC0DAC">
    <w:pPr>
      <w:autoSpaceDE w:val="0"/>
      <w:autoSpaceDN w:val="0"/>
      <w:adjustRightInd w:val="0"/>
      <w:jc w:val="both"/>
      <w:rPr>
        <w:rFonts w:ascii="Times New Roman" w:hAnsi="Times New Roman"/>
        <w:bCs/>
        <w:sz w:val="20"/>
        <w:szCs w:val="20"/>
      </w:rPr>
    </w:pPr>
    <w:r w:rsidRPr="00B860F3">
      <w:rPr>
        <w:rFonts w:ascii="Times New Roman" w:hAnsi="Times New Roman"/>
        <w:sz w:val="20"/>
        <w:szCs w:val="20"/>
      </w:rPr>
      <w:t>IZManot_290316_not207</w:t>
    </w:r>
    <w:r w:rsidR="00EC0DAC" w:rsidRPr="008F28FB">
      <w:rPr>
        <w:rFonts w:ascii="Times New Roman" w:hAnsi="Times New Roman"/>
        <w:sz w:val="20"/>
        <w:szCs w:val="20"/>
      </w:rPr>
      <w:t xml:space="preserve">; </w:t>
    </w:r>
    <w:r w:rsidR="00EC0DAC" w:rsidRPr="008F28FB">
      <w:rPr>
        <w:rFonts w:ascii="Times New Roman" w:eastAsia="Times New Roman" w:hAnsi="Times New Roman"/>
        <w:bCs/>
        <w:sz w:val="20"/>
        <w:szCs w:val="20"/>
        <w:lang w:eastAsia="lv-LV"/>
      </w:rPr>
      <w:t xml:space="preserve">Ministru kabineta noteikumu projekta </w:t>
    </w:r>
    <w:r w:rsidR="00EC0DAC" w:rsidRPr="008F28FB">
      <w:rPr>
        <w:rFonts w:ascii="Times New Roman" w:hAnsi="Times New Roman"/>
        <w:sz w:val="20"/>
        <w:szCs w:val="20"/>
      </w:rPr>
      <w:t>““</w:t>
    </w:r>
    <w:r w:rsidR="00EC0DAC" w:rsidRPr="008F28FB">
      <w:rPr>
        <w:rFonts w:ascii="Times New Roman" w:hAnsi="Times New Roman"/>
        <w:bCs/>
        <w:sz w:val="20"/>
        <w:szCs w:val="20"/>
      </w:rPr>
      <w:t xml:space="preserve">Grozījumi </w:t>
    </w:r>
    <w:r w:rsidR="00EC0DAC" w:rsidRPr="008F28FB">
      <w:rPr>
        <w:rFonts w:ascii="Times New Roman" w:hAnsi="Times New Roman"/>
        <w:sz w:val="20"/>
        <w:szCs w:val="20"/>
      </w:rPr>
      <w:t>Ministru kabineta 2005.gada 29.marta noteikumos Nr.207 “</w:t>
    </w:r>
    <w:r w:rsidR="00EC0DAC" w:rsidRPr="008F28FB">
      <w:rPr>
        <w:rFonts w:ascii="Times New Roman" w:hAnsi="Times New Roman"/>
        <w:bCs/>
        <w:sz w:val="20"/>
        <w:szCs w:val="20"/>
      </w:rPr>
      <w:t>Noteikumi par ārsta izglītību un profesionālo kvalifikāciju apliecinošiem dokumentiem, kurus atzīst, piemērojot speciālo profesionālās kvalifikācijas atzīšanas sistēmu</w:t>
    </w:r>
    <w:r w:rsidR="00EC0DAC" w:rsidRPr="008F28FB">
      <w:rPr>
        <w:rFonts w:ascii="Times New Roman" w:hAnsi="Times New Roman"/>
        <w:sz w:val="20"/>
        <w:szCs w:val="20"/>
      </w:rPr>
      <w:t>”” sākotnējās ietekmes novērtējuma ziņojums (anotācija)</w:t>
    </w:r>
  </w:p>
  <w:p w14:paraId="4AB0836B" w14:textId="77777777" w:rsidR="00AC1969" w:rsidRPr="002865DB" w:rsidRDefault="00AC1969" w:rsidP="002865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98904" w14:textId="543C262A" w:rsidR="00AC1969" w:rsidRPr="008F28FB" w:rsidRDefault="00B860F3" w:rsidP="00A503F4">
    <w:pPr>
      <w:autoSpaceDE w:val="0"/>
      <w:autoSpaceDN w:val="0"/>
      <w:adjustRightInd w:val="0"/>
      <w:jc w:val="both"/>
      <w:rPr>
        <w:rFonts w:ascii="Times New Roman" w:hAnsi="Times New Roman"/>
        <w:bCs/>
        <w:sz w:val="20"/>
        <w:szCs w:val="20"/>
      </w:rPr>
    </w:pPr>
    <w:r w:rsidRPr="00B860F3">
      <w:rPr>
        <w:rFonts w:ascii="Times New Roman" w:hAnsi="Times New Roman"/>
        <w:sz w:val="20"/>
        <w:szCs w:val="20"/>
      </w:rPr>
      <w:t>IZManot_290316_not207</w:t>
    </w:r>
    <w:r w:rsidR="00AC1969" w:rsidRPr="008F28FB">
      <w:rPr>
        <w:rFonts w:ascii="Times New Roman" w:hAnsi="Times New Roman"/>
        <w:sz w:val="20"/>
        <w:szCs w:val="20"/>
      </w:rPr>
      <w:t xml:space="preserve">; </w:t>
    </w:r>
    <w:r w:rsidR="00AC1969" w:rsidRPr="008F28FB">
      <w:rPr>
        <w:rFonts w:ascii="Times New Roman" w:eastAsia="Times New Roman" w:hAnsi="Times New Roman"/>
        <w:bCs/>
        <w:sz w:val="20"/>
        <w:szCs w:val="20"/>
        <w:lang w:eastAsia="lv-LV"/>
      </w:rPr>
      <w:t xml:space="preserve">Ministru kabineta noteikumu projekta </w:t>
    </w:r>
    <w:r w:rsidR="00AC1969" w:rsidRPr="008F28FB">
      <w:rPr>
        <w:rFonts w:ascii="Times New Roman" w:hAnsi="Times New Roman"/>
        <w:sz w:val="20"/>
        <w:szCs w:val="20"/>
      </w:rPr>
      <w:t>“</w:t>
    </w:r>
    <w:r w:rsidR="008F28FB" w:rsidRPr="008F28FB">
      <w:rPr>
        <w:rFonts w:ascii="Times New Roman" w:hAnsi="Times New Roman"/>
        <w:sz w:val="20"/>
        <w:szCs w:val="20"/>
      </w:rPr>
      <w:t>“</w:t>
    </w:r>
    <w:r w:rsidR="008F28FB" w:rsidRPr="008F28FB">
      <w:rPr>
        <w:rFonts w:ascii="Times New Roman" w:hAnsi="Times New Roman"/>
        <w:bCs/>
        <w:sz w:val="20"/>
        <w:szCs w:val="20"/>
      </w:rPr>
      <w:t xml:space="preserve">Grozījumi </w:t>
    </w:r>
    <w:r w:rsidR="008F28FB" w:rsidRPr="008F28FB">
      <w:rPr>
        <w:rFonts w:ascii="Times New Roman" w:hAnsi="Times New Roman"/>
        <w:sz w:val="20"/>
        <w:szCs w:val="20"/>
      </w:rPr>
      <w:t>Ministru kabineta 2005.gada 29.marta noteikumos Nr.207 “</w:t>
    </w:r>
    <w:r w:rsidR="008F28FB" w:rsidRPr="008F28FB">
      <w:rPr>
        <w:rFonts w:ascii="Times New Roman" w:hAnsi="Times New Roman"/>
        <w:bCs/>
        <w:sz w:val="20"/>
        <w:szCs w:val="20"/>
      </w:rPr>
      <w:t>Noteikumi par ārsta izglītību un profesionālo kvalifikāciju apliecinošiem dokumentiem, kurus atzīst, piemērojot speciālo profesionālās kvalifikācijas atzīšanas sistēmu</w:t>
    </w:r>
    <w:r w:rsidR="008F28FB" w:rsidRPr="008F28FB">
      <w:rPr>
        <w:rFonts w:ascii="Times New Roman" w:hAnsi="Times New Roman"/>
        <w:sz w:val="20"/>
        <w:szCs w:val="20"/>
      </w:rPr>
      <w:t>”</w:t>
    </w:r>
    <w:r w:rsidR="00AC1969" w:rsidRPr="008F28FB">
      <w:rPr>
        <w:rFonts w:ascii="Times New Roman" w:hAnsi="Times New Roman"/>
        <w:sz w:val="20"/>
        <w:szCs w:val="20"/>
      </w:rPr>
      <w:t>” sākotnējās ietekmes novērtējuma ziņojums (anotācija)</w:t>
    </w:r>
  </w:p>
  <w:p w14:paraId="7BBC103C" w14:textId="2DB1A0FB" w:rsidR="00AC1969" w:rsidRPr="00D954F7" w:rsidRDefault="00AC1969" w:rsidP="00D954F7">
    <w:pPr>
      <w:jc w:val="both"/>
      <w:rPr>
        <w:rFonts w:ascii="Times New Roman" w:hAnsi="Times New Roman"/>
        <w:sz w:val="20"/>
        <w:szCs w:val="20"/>
      </w:rPr>
    </w:pPr>
  </w:p>
  <w:p w14:paraId="6FA2B6BF" w14:textId="5866D311" w:rsidR="00AC1969" w:rsidRPr="002865DB" w:rsidRDefault="00AC1969" w:rsidP="00F4546D">
    <w:pPr>
      <w:pStyle w:val="Footer"/>
      <w:spacing w:after="0" w:line="240" w:lineRule="auto"/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AA459" w14:textId="77777777" w:rsidR="0009185A" w:rsidRDefault="0009185A" w:rsidP="004A53C8">
      <w:pPr>
        <w:spacing w:after="0" w:line="240" w:lineRule="auto"/>
      </w:pPr>
      <w:r>
        <w:separator/>
      </w:r>
    </w:p>
  </w:footnote>
  <w:footnote w:type="continuationSeparator" w:id="0">
    <w:p w14:paraId="2D398045" w14:textId="77777777" w:rsidR="0009185A" w:rsidRDefault="0009185A" w:rsidP="004A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92D7" w14:textId="77777777" w:rsidR="00AC1969" w:rsidRDefault="00AC1969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F4546D">
      <w:rPr>
        <w:rFonts w:ascii="Times New Roman" w:hAnsi="Times New Roman"/>
        <w:sz w:val="24"/>
        <w:szCs w:val="24"/>
      </w:rPr>
      <w:fldChar w:fldCharType="begin"/>
    </w:r>
    <w:r w:rsidRPr="00F4546D">
      <w:rPr>
        <w:rFonts w:ascii="Times New Roman" w:hAnsi="Times New Roman"/>
        <w:sz w:val="24"/>
        <w:szCs w:val="24"/>
      </w:rPr>
      <w:instrText xml:space="preserve"> PAGE   \* MERGEFORMAT </w:instrText>
    </w:r>
    <w:r w:rsidRPr="00F4546D">
      <w:rPr>
        <w:rFonts w:ascii="Times New Roman" w:hAnsi="Times New Roman"/>
        <w:sz w:val="24"/>
        <w:szCs w:val="24"/>
      </w:rPr>
      <w:fldChar w:fldCharType="separate"/>
    </w:r>
    <w:r w:rsidR="007A10AF">
      <w:rPr>
        <w:rFonts w:ascii="Times New Roman" w:hAnsi="Times New Roman"/>
        <w:noProof/>
        <w:sz w:val="24"/>
        <w:szCs w:val="24"/>
      </w:rPr>
      <w:t>6</w:t>
    </w:r>
    <w:r w:rsidRPr="00F4546D">
      <w:rPr>
        <w:rFonts w:ascii="Times New Roman" w:hAnsi="Times New Roman"/>
        <w:sz w:val="24"/>
        <w:szCs w:val="24"/>
      </w:rPr>
      <w:fldChar w:fldCharType="end"/>
    </w:r>
  </w:p>
  <w:p w14:paraId="030B23BE" w14:textId="77777777" w:rsidR="00AC1969" w:rsidRPr="00F4546D" w:rsidRDefault="00AC1969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E97"/>
    <w:multiLevelType w:val="hybridMultilevel"/>
    <w:tmpl w:val="F9A6E5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2AD2"/>
    <w:multiLevelType w:val="hybridMultilevel"/>
    <w:tmpl w:val="0A8AA42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F14CCA"/>
    <w:multiLevelType w:val="hybridMultilevel"/>
    <w:tmpl w:val="618CC3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23535"/>
    <w:multiLevelType w:val="hybridMultilevel"/>
    <w:tmpl w:val="16E48736"/>
    <w:lvl w:ilvl="0" w:tplc="883CF6F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72FB0"/>
    <w:multiLevelType w:val="hybridMultilevel"/>
    <w:tmpl w:val="63A8C056"/>
    <w:lvl w:ilvl="0" w:tplc="AAB6AC04">
      <w:start w:val="200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E91295"/>
    <w:multiLevelType w:val="hybridMultilevel"/>
    <w:tmpl w:val="C58AEA34"/>
    <w:lvl w:ilvl="0" w:tplc="AAB6AC04">
      <w:start w:val="200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397354"/>
    <w:multiLevelType w:val="hybridMultilevel"/>
    <w:tmpl w:val="F9A6E5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94337"/>
    <w:multiLevelType w:val="hybridMultilevel"/>
    <w:tmpl w:val="371CABCC"/>
    <w:lvl w:ilvl="0" w:tplc="36BC5278">
      <w:start w:val="22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02C1C63"/>
    <w:multiLevelType w:val="hybridMultilevel"/>
    <w:tmpl w:val="406016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F360E"/>
    <w:multiLevelType w:val="hybridMultilevel"/>
    <w:tmpl w:val="B9E867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F5978"/>
    <w:multiLevelType w:val="hybridMultilevel"/>
    <w:tmpl w:val="ED9AE698"/>
    <w:lvl w:ilvl="0" w:tplc="192A9EDC">
      <w:start w:val="1"/>
      <w:numFmt w:val="decimal"/>
      <w:lvlText w:val="%1."/>
      <w:lvlJc w:val="left"/>
      <w:pPr>
        <w:ind w:left="720" w:hanging="360"/>
      </w:pPr>
      <w:rPr>
        <w:rFonts w:hint="default"/>
        <w:color w:val="40407C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1016B"/>
    <w:multiLevelType w:val="hybridMultilevel"/>
    <w:tmpl w:val="B0D44FBC"/>
    <w:lvl w:ilvl="0" w:tplc="54B8976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E0D78"/>
    <w:multiLevelType w:val="hybridMultilevel"/>
    <w:tmpl w:val="83D049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0913"/>
    <w:multiLevelType w:val="hybridMultilevel"/>
    <w:tmpl w:val="762CF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7551F"/>
    <w:multiLevelType w:val="hybridMultilevel"/>
    <w:tmpl w:val="6694D03E"/>
    <w:lvl w:ilvl="0" w:tplc="DC36BBC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F6713C4"/>
    <w:multiLevelType w:val="hybridMultilevel"/>
    <w:tmpl w:val="59F0D4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347B2C"/>
    <w:multiLevelType w:val="hybridMultilevel"/>
    <w:tmpl w:val="536A85D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1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16"/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00"/>
    <w:rsid w:val="0000062E"/>
    <w:rsid w:val="00001DDF"/>
    <w:rsid w:val="00004B8E"/>
    <w:rsid w:val="00005D6D"/>
    <w:rsid w:val="00012B57"/>
    <w:rsid w:val="0001406B"/>
    <w:rsid w:val="000140A6"/>
    <w:rsid w:val="000163D3"/>
    <w:rsid w:val="00016895"/>
    <w:rsid w:val="00022DF2"/>
    <w:rsid w:val="0002384C"/>
    <w:rsid w:val="00040807"/>
    <w:rsid w:val="000433FA"/>
    <w:rsid w:val="000437C4"/>
    <w:rsid w:val="00046740"/>
    <w:rsid w:val="00047EE3"/>
    <w:rsid w:val="0005162F"/>
    <w:rsid w:val="00057E77"/>
    <w:rsid w:val="00060524"/>
    <w:rsid w:val="00064A14"/>
    <w:rsid w:val="00066969"/>
    <w:rsid w:val="0006697F"/>
    <w:rsid w:val="00066F6E"/>
    <w:rsid w:val="00067084"/>
    <w:rsid w:val="000713C1"/>
    <w:rsid w:val="00074501"/>
    <w:rsid w:val="0007455F"/>
    <w:rsid w:val="000746F0"/>
    <w:rsid w:val="00080CF0"/>
    <w:rsid w:val="0008115D"/>
    <w:rsid w:val="000814D2"/>
    <w:rsid w:val="00083279"/>
    <w:rsid w:val="000847A9"/>
    <w:rsid w:val="00085722"/>
    <w:rsid w:val="0008700C"/>
    <w:rsid w:val="0009185A"/>
    <w:rsid w:val="00091E19"/>
    <w:rsid w:val="00094D6E"/>
    <w:rsid w:val="0009669B"/>
    <w:rsid w:val="000B091A"/>
    <w:rsid w:val="000B6550"/>
    <w:rsid w:val="000C0CAE"/>
    <w:rsid w:val="000C1C71"/>
    <w:rsid w:val="000C296A"/>
    <w:rsid w:val="000C5B35"/>
    <w:rsid w:val="000D1A6E"/>
    <w:rsid w:val="000D2157"/>
    <w:rsid w:val="000E399A"/>
    <w:rsid w:val="000E40CB"/>
    <w:rsid w:val="000E6D09"/>
    <w:rsid w:val="000F47DB"/>
    <w:rsid w:val="000F597B"/>
    <w:rsid w:val="001004CD"/>
    <w:rsid w:val="00101B63"/>
    <w:rsid w:val="001049A9"/>
    <w:rsid w:val="0011120D"/>
    <w:rsid w:val="00112596"/>
    <w:rsid w:val="001156D9"/>
    <w:rsid w:val="00121135"/>
    <w:rsid w:val="00133A9A"/>
    <w:rsid w:val="0013546A"/>
    <w:rsid w:val="00137F9E"/>
    <w:rsid w:val="00140D9F"/>
    <w:rsid w:val="00141F66"/>
    <w:rsid w:val="00144071"/>
    <w:rsid w:val="00150046"/>
    <w:rsid w:val="00150CDD"/>
    <w:rsid w:val="001539B3"/>
    <w:rsid w:val="001568D1"/>
    <w:rsid w:val="00162AD0"/>
    <w:rsid w:val="0017290A"/>
    <w:rsid w:val="00175A1D"/>
    <w:rsid w:val="00187108"/>
    <w:rsid w:val="00190A3A"/>
    <w:rsid w:val="001916C0"/>
    <w:rsid w:val="001919B5"/>
    <w:rsid w:val="00196D09"/>
    <w:rsid w:val="00197F5C"/>
    <w:rsid w:val="001A08CA"/>
    <w:rsid w:val="001A226A"/>
    <w:rsid w:val="001A7E99"/>
    <w:rsid w:val="001B0E1F"/>
    <w:rsid w:val="001B2B20"/>
    <w:rsid w:val="001B7FD0"/>
    <w:rsid w:val="001C46EF"/>
    <w:rsid w:val="001C7F26"/>
    <w:rsid w:val="001D08BF"/>
    <w:rsid w:val="001D1D04"/>
    <w:rsid w:val="001D5D6F"/>
    <w:rsid w:val="001E3A52"/>
    <w:rsid w:val="001E5A87"/>
    <w:rsid w:val="001E7945"/>
    <w:rsid w:val="001E7C50"/>
    <w:rsid w:val="001F23CB"/>
    <w:rsid w:val="001F4BC4"/>
    <w:rsid w:val="00201805"/>
    <w:rsid w:val="00204189"/>
    <w:rsid w:val="00204B97"/>
    <w:rsid w:val="00205354"/>
    <w:rsid w:val="00207574"/>
    <w:rsid w:val="00213B53"/>
    <w:rsid w:val="002172EA"/>
    <w:rsid w:val="0022760A"/>
    <w:rsid w:val="00233FBE"/>
    <w:rsid w:val="00250073"/>
    <w:rsid w:val="0025296C"/>
    <w:rsid w:val="002555EF"/>
    <w:rsid w:val="002560B1"/>
    <w:rsid w:val="00260CAD"/>
    <w:rsid w:val="00261A0D"/>
    <w:rsid w:val="002626E3"/>
    <w:rsid w:val="00266720"/>
    <w:rsid w:val="002708DB"/>
    <w:rsid w:val="00271631"/>
    <w:rsid w:val="00272629"/>
    <w:rsid w:val="00272847"/>
    <w:rsid w:val="002742D9"/>
    <w:rsid w:val="00274E47"/>
    <w:rsid w:val="00275B3C"/>
    <w:rsid w:val="00275EC3"/>
    <w:rsid w:val="002817E2"/>
    <w:rsid w:val="00283888"/>
    <w:rsid w:val="002865DB"/>
    <w:rsid w:val="00287315"/>
    <w:rsid w:val="002901D5"/>
    <w:rsid w:val="002A4D5C"/>
    <w:rsid w:val="002B1A24"/>
    <w:rsid w:val="002C425B"/>
    <w:rsid w:val="002C76AC"/>
    <w:rsid w:val="002D0EB1"/>
    <w:rsid w:val="002D406A"/>
    <w:rsid w:val="002D4DF0"/>
    <w:rsid w:val="002E781A"/>
    <w:rsid w:val="002F12C1"/>
    <w:rsid w:val="002F6EBF"/>
    <w:rsid w:val="002F7C93"/>
    <w:rsid w:val="00304E39"/>
    <w:rsid w:val="0030592D"/>
    <w:rsid w:val="003076ED"/>
    <w:rsid w:val="00307EF6"/>
    <w:rsid w:val="0031069A"/>
    <w:rsid w:val="00311BEB"/>
    <w:rsid w:val="003138F6"/>
    <w:rsid w:val="00313C26"/>
    <w:rsid w:val="0032115E"/>
    <w:rsid w:val="00322FF1"/>
    <w:rsid w:val="00323951"/>
    <w:rsid w:val="00323B8C"/>
    <w:rsid w:val="00323E04"/>
    <w:rsid w:val="00326DEB"/>
    <w:rsid w:val="003274A1"/>
    <w:rsid w:val="0033149E"/>
    <w:rsid w:val="003343AD"/>
    <w:rsid w:val="003409A7"/>
    <w:rsid w:val="00341A0F"/>
    <w:rsid w:val="0034459F"/>
    <w:rsid w:val="003460E1"/>
    <w:rsid w:val="00350E80"/>
    <w:rsid w:val="00354158"/>
    <w:rsid w:val="00355F35"/>
    <w:rsid w:val="003567B2"/>
    <w:rsid w:val="0035747C"/>
    <w:rsid w:val="003636B5"/>
    <w:rsid w:val="00366D1E"/>
    <w:rsid w:val="0037352F"/>
    <w:rsid w:val="00384951"/>
    <w:rsid w:val="0038607C"/>
    <w:rsid w:val="00390C9B"/>
    <w:rsid w:val="003921C3"/>
    <w:rsid w:val="00392D00"/>
    <w:rsid w:val="00394620"/>
    <w:rsid w:val="00396EBE"/>
    <w:rsid w:val="003A1CA9"/>
    <w:rsid w:val="003A6684"/>
    <w:rsid w:val="003A6BFF"/>
    <w:rsid w:val="003B0459"/>
    <w:rsid w:val="003B0A3C"/>
    <w:rsid w:val="003B1A99"/>
    <w:rsid w:val="003C3F84"/>
    <w:rsid w:val="003C590F"/>
    <w:rsid w:val="003D05A2"/>
    <w:rsid w:val="003D0992"/>
    <w:rsid w:val="003D31F7"/>
    <w:rsid w:val="003D5881"/>
    <w:rsid w:val="003D61BA"/>
    <w:rsid w:val="003E12C5"/>
    <w:rsid w:val="003F1E4B"/>
    <w:rsid w:val="003F21AA"/>
    <w:rsid w:val="003F2409"/>
    <w:rsid w:val="00400B50"/>
    <w:rsid w:val="004031B1"/>
    <w:rsid w:val="0041289A"/>
    <w:rsid w:val="004150E1"/>
    <w:rsid w:val="004226E8"/>
    <w:rsid w:val="00424155"/>
    <w:rsid w:val="00425A6D"/>
    <w:rsid w:val="0042667D"/>
    <w:rsid w:val="00432DF4"/>
    <w:rsid w:val="0043316D"/>
    <w:rsid w:val="004358D3"/>
    <w:rsid w:val="00450A5C"/>
    <w:rsid w:val="00451CB3"/>
    <w:rsid w:val="00454A2A"/>
    <w:rsid w:val="00454A36"/>
    <w:rsid w:val="00455455"/>
    <w:rsid w:val="00456082"/>
    <w:rsid w:val="00456085"/>
    <w:rsid w:val="004611D7"/>
    <w:rsid w:val="0046343F"/>
    <w:rsid w:val="00465603"/>
    <w:rsid w:val="00470A88"/>
    <w:rsid w:val="004713DD"/>
    <w:rsid w:val="0047221D"/>
    <w:rsid w:val="0047435F"/>
    <w:rsid w:val="004769A7"/>
    <w:rsid w:val="00481E13"/>
    <w:rsid w:val="00482C68"/>
    <w:rsid w:val="00487765"/>
    <w:rsid w:val="00487DF4"/>
    <w:rsid w:val="0049075B"/>
    <w:rsid w:val="004935B9"/>
    <w:rsid w:val="00495305"/>
    <w:rsid w:val="004A16FD"/>
    <w:rsid w:val="004A308B"/>
    <w:rsid w:val="004A405A"/>
    <w:rsid w:val="004A505F"/>
    <w:rsid w:val="004A53C8"/>
    <w:rsid w:val="004A549F"/>
    <w:rsid w:val="004A6E95"/>
    <w:rsid w:val="004A719C"/>
    <w:rsid w:val="004B01ED"/>
    <w:rsid w:val="004B0F25"/>
    <w:rsid w:val="004B3319"/>
    <w:rsid w:val="004B5483"/>
    <w:rsid w:val="004B623D"/>
    <w:rsid w:val="004B72DA"/>
    <w:rsid w:val="004B72F1"/>
    <w:rsid w:val="004C31BB"/>
    <w:rsid w:val="004C4E93"/>
    <w:rsid w:val="004D0C0D"/>
    <w:rsid w:val="004D2E81"/>
    <w:rsid w:val="004D3CA0"/>
    <w:rsid w:val="004D6490"/>
    <w:rsid w:val="004E520A"/>
    <w:rsid w:val="004E6D78"/>
    <w:rsid w:val="004F054B"/>
    <w:rsid w:val="004F40F7"/>
    <w:rsid w:val="005012A5"/>
    <w:rsid w:val="00506F10"/>
    <w:rsid w:val="0051041A"/>
    <w:rsid w:val="00512A85"/>
    <w:rsid w:val="00512F1C"/>
    <w:rsid w:val="00513AA9"/>
    <w:rsid w:val="00517034"/>
    <w:rsid w:val="005201DE"/>
    <w:rsid w:val="00522CAD"/>
    <w:rsid w:val="00523105"/>
    <w:rsid w:val="00525780"/>
    <w:rsid w:val="00531930"/>
    <w:rsid w:val="00532A75"/>
    <w:rsid w:val="00534BA0"/>
    <w:rsid w:val="00534DC0"/>
    <w:rsid w:val="00536492"/>
    <w:rsid w:val="005371A0"/>
    <w:rsid w:val="0054015A"/>
    <w:rsid w:val="00540DC8"/>
    <w:rsid w:val="005413EC"/>
    <w:rsid w:val="00551B92"/>
    <w:rsid w:val="005525B8"/>
    <w:rsid w:val="005536F7"/>
    <w:rsid w:val="00554FA3"/>
    <w:rsid w:val="005551D1"/>
    <w:rsid w:val="00556473"/>
    <w:rsid w:val="00560F53"/>
    <w:rsid w:val="00561B38"/>
    <w:rsid w:val="005749B4"/>
    <w:rsid w:val="00577216"/>
    <w:rsid w:val="00577EBE"/>
    <w:rsid w:val="00584120"/>
    <w:rsid w:val="005925F2"/>
    <w:rsid w:val="0059400B"/>
    <w:rsid w:val="005949A8"/>
    <w:rsid w:val="005A1C65"/>
    <w:rsid w:val="005A601E"/>
    <w:rsid w:val="005A763F"/>
    <w:rsid w:val="005B237A"/>
    <w:rsid w:val="005B3E75"/>
    <w:rsid w:val="005B3F33"/>
    <w:rsid w:val="005C2289"/>
    <w:rsid w:val="005C3F18"/>
    <w:rsid w:val="005C3F96"/>
    <w:rsid w:val="005C42B1"/>
    <w:rsid w:val="005C4E27"/>
    <w:rsid w:val="005D56D4"/>
    <w:rsid w:val="005E0733"/>
    <w:rsid w:val="005F0690"/>
    <w:rsid w:val="005F5ADA"/>
    <w:rsid w:val="0060361E"/>
    <w:rsid w:val="00605151"/>
    <w:rsid w:val="00605858"/>
    <w:rsid w:val="00612AD9"/>
    <w:rsid w:val="00613DAC"/>
    <w:rsid w:val="0061423E"/>
    <w:rsid w:val="00617C45"/>
    <w:rsid w:val="006225CA"/>
    <w:rsid w:val="0062433B"/>
    <w:rsid w:val="00626958"/>
    <w:rsid w:val="00631529"/>
    <w:rsid w:val="00631FBB"/>
    <w:rsid w:val="00632A2E"/>
    <w:rsid w:val="00634BA3"/>
    <w:rsid w:val="00635523"/>
    <w:rsid w:val="006365D2"/>
    <w:rsid w:val="00640186"/>
    <w:rsid w:val="00647270"/>
    <w:rsid w:val="0065161F"/>
    <w:rsid w:val="006531A5"/>
    <w:rsid w:val="006578D4"/>
    <w:rsid w:val="00660C44"/>
    <w:rsid w:val="00661172"/>
    <w:rsid w:val="00661B34"/>
    <w:rsid w:val="00663B48"/>
    <w:rsid w:val="00664906"/>
    <w:rsid w:val="00665D01"/>
    <w:rsid w:val="00667151"/>
    <w:rsid w:val="00681FA4"/>
    <w:rsid w:val="006825C0"/>
    <w:rsid w:val="00684CA5"/>
    <w:rsid w:val="0069093D"/>
    <w:rsid w:val="006910BD"/>
    <w:rsid w:val="00694633"/>
    <w:rsid w:val="006A26A2"/>
    <w:rsid w:val="006A3B0A"/>
    <w:rsid w:val="006A4282"/>
    <w:rsid w:val="006A4790"/>
    <w:rsid w:val="006A541D"/>
    <w:rsid w:val="006A5651"/>
    <w:rsid w:val="006A5AAA"/>
    <w:rsid w:val="006A671F"/>
    <w:rsid w:val="006A68C1"/>
    <w:rsid w:val="006A6C01"/>
    <w:rsid w:val="006A7B3E"/>
    <w:rsid w:val="006B2188"/>
    <w:rsid w:val="006B7F6C"/>
    <w:rsid w:val="006C0EEB"/>
    <w:rsid w:val="006C57D1"/>
    <w:rsid w:val="006C5F23"/>
    <w:rsid w:val="006D4569"/>
    <w:rsid w:val="006E231E"/>
    <w:rsid w:val="006F11ED"/>
    <w:rsid w:val="006F3CAE"/>
    <w:rsid w:val="006F3FC7"/>
    <w:rsid w:val="006F4394"/>
    <w:rsid w:val="006F4A97"/>
    <w:rsid w:val="00702234"/>
    <w:rsid w:val="00704D3E"/>
    <w:rsid w:val="007058CE"/>
    <w:rsid w:val="0071082B"/>
    <w:rsid w:val="00711F3E"/>
    <w:rsid w:val="00713986"/>
    <w:rsid w:val="007147BE"/>
    <w:rsid w:val="007161C1"/>
    <w:rsid w:val="007210B1"/>
    <w:rsid w:val="007248FB"/>
    <w:rsid w:val="00731E6C"/>
    <w:rsid w:val="00733C8C"/>
    <w:rsid w:val="007418A6"/>
    <w:rsid w:val="0074653E"/>
    <w:rsid w:val="00746B70"/>
    <w:rsid w:val="00746D7A"/>
    <w:rsid w:val="00753132"/>
    <w:rsid w:val="00760885"/>
    <w:rsid w:val="00763606"/>
    <w:rsid w:val="00767AC1"/>
    <w:rsid w:val="00771AE0"/>
    <w:rsid w:val="00773158"/>
    <w:rsid w:val="00773C6A"/>
    <w:rsid w:val="00775455"/>
    <w:rsid w:val="00781A81"/>
    <w:rsid w:val="007849BB"/>
    <w:rsid w:val="00784CDA"/>
    <w:rsid w:val="00785823"/>
    <w:rsid w:val="00785D22"/>
    <w:rsid w:val="00787C61"/>
    <w:rsid w:val="00794184"/>
    <w:rsid w:val="00794B8A"/>
    <w:rsid w:val="0079543A"/>
    <w:rsid w:val="007973E0"/>
    <w:rsid w:val="007979EC"/>
    <w:rsid w:val="007A0535"/>
    <w:rsid w:val="007A10AF"/>
    <w:rsid w:val="007A59AB"/>
    <w:rsid w:val="007A5D0E"/>
    <w:rsid w:val="007A6052"/>
    <w:rsid w:val="007A79CD"/>
    <w:rsid w:val="007B02E9"/>
    <w:rsid w:val="007B07F6"/>
    <w:rsid w:val="007B1499"/>
    <w:rsid w:val="007B25E2"/>
    <w:rsid w:val="007B2775"/>
    <w:rsid w:val="007B4613"/>
    <w:rsid w:val="007C4012"/>
    <w:rsid w:val="007C447D"/>
    <w:rsid w:val="007C50F1"/>
    <w:rsid w:val="007C5781"/>
    <w:rsid w:val="007E7C9E"/>
    <w:rsid w:val="007F13E5"/>
    <w:rsid w:val="007F4BCA"/>
    <w:rsid w:val="007F53BF"/>
    <w:rsid w:val="007F6179"/>
    <w:rsid w:val="00800369"/>
    <w:rsid w:val="00805536"/>
    <w:rsid w:val="00805E52"/>
    <w:rsid w:val="00812271"/>
    <w:rsid w:val="008126B4"/>
    <w:rsid w:val="00813760"/>
    <w:rsid w:val="00814828"/>
    <w:rsid w:val="00816BD1"/>
    <w:rsid w:val="00817032"/>
    <w:rsid w:val="0082002F"/>
    <w:rsid w:val="00823A3F"/>
    <w:rsid w:val="00823CB3"/>
    <w:rsid w:val="00825913"/>
    <w:rsid w:val="00833E9A"/>
    <w:rsid w:val="00835064"/>
    <w:rsid w:val="00835AEA"/>
    <w:rsid w:val="00836996"/>
    <w:rsid w:val="00840CFA"/>
    <w:rsid w:val="00840E0E"/>
    <w:rsid w:val="0084141A"/>
    <w:rsid w:val="008467A7"/>
    <w:rsid w:val="00853DF2"/>
    <w:rsid w:val="00854152"/>
    <w:rsid w:val="00855913"/>
    <w:rsid w:val="008574FE"/>
    <w:rsid w:val="00857EFA"/>
    <w:rsid w:val="0086125F"/>
    <w:rsid w:val="00861277"/>
    <w:rsid w:val="00863303"/>
    <w:rsid w:val="008725B1"/>
    <w:rsid w:val="00872CFE"/>
    <w:rsid w:val="008750A2"/>
    <w:rsid w:val="0087656E"/>
    <w:rsid w:val="00882DF4"/>
    <w:rsid w:val="00887CBA"/>
    <w:rsid w:val="00895CAD"/>
    <w:rsid w:val="008A3B73"/>
    <w:rsid w:val="008B2805"/>
    <w:rsid w:val="008B3547"/>
    <w:rsid w:val="008B4FFB"/>
    <w:rsid w:val="008C0B91"/>
    <w:rsid w:val="008C2BFF"/>
    <w:rsid w:val="008C2D3D"/>
    <w:rsid w:val="008C2F6A"/>
    <w:rsid w:val="008C399D"/>
    <w:rsid w:val="008C7D0A"/>
    <w:rsid w:val="008D37A4"/>
    <w:rsid w:val="008D3D53"/>
    <w:rsid w:val="008D3E73"/>
    <w:rsid w:val="008E2DC4"/>
    <w:rsid w:val="008E3195"/>
    <w:rsid w:val="008F0B46"/>
    <w:rsid w:val="008F28FB"/>
    <w:rsid w:val="008F36AC"/>
    <w:rsid w:val="008F3BB9"/>
    <w:rsid w:val="009006A8"/>
    <w:rsid w:val="0090137E"/>
    <w:rsid w:val="0090667B"/>
    <w:rsid w:val="009161DE"/>
    <w:rsid w:val="00916CD2"/>
    <w:rsid w:val="00930785"/>
    <w:rsid w:val="00930796"/>
    <w:rsid w:val="00930A74"/>
    <w:rsid w:val="00932CA8"/>
    <w:rsid w:val="00933A0D"/>
    <w:rsid w:val="0093566F"/>
    <w:rsid w:val="00937CF5"/>
    <w:rsid w:val="009403B2"/>
    <w:rsid w:val="00944BE5"/>
    <w:rsid w:val="00944E05"/>
    <w:rsid w:val="00946764"/>
    <w:rsid w:val="00951E78"/>
    <w:rsid w:val="009522D5"/>
    <w:rsid w:val="00953CEA"/>
    <w:rsid w:val="00956F00"/>
    <w:rsid w:val="009625C1"/>
    <w:rsid w:val="0096356B"/>
    <w:rsid w:val="009636D0"/>
    <w:rsid w:val="00965BCD"/>
    <w:rsid w:val="00966306"/>
    <w:rsid w:val="009675F2"/>
    <w:rsid w:val="009705CA"/>
    <w:rsid w:val="00970A82"/>
    <w:rsid w:val="00971FE2"/>
    <w:rsid w:val="00973AB7"/>
    <w:rsid w:val="00975CB2"/>
    <w:rsid w:val="0097779E"/>
    <w:rsid w:val="0098126F"/>
    <w:rsid w:val="00985459"/>
    <w:rsid w:val="0098624E"/>
    <w:rsid w:val="00990EC6"/>
    <w:rsid w:val="00991E49"/>
    <w:rsid w:val="00994C31"/>
    <w:rsid w:val="009A3F82"/>
    <w:rsid w:val="009B0744"/>
    <w:rsid w:val="009B07E5"/>
    <w:rsid w:val="009B2768"/>
    <w:rsid w:val="009B3D7E"/>
    <w:rsid w:val="009B4E48"/>
    <w:rsid w:val="009B608B"/>
    <w:rsid w:val="009C137A"/>
    <w:rsid w:val="009D2908"/>
    <w:rsid w:val="009E0212"/>
    <w:rsid w:val="009E0243"/>
    <w:rsid w:val="009E1336"/>
    <w:rsid w:val="009E2695"/>
    <w:rsid w:val="009E3113"/>
    <w:rsid w:val="009E4133"/>
    <w:rsid w:val="009E4803"/>
    <w:rsid w:val="009E7BBD"/>
    <w:rsid w:val="009F1AA2"/>
    <w:rsid w:val="009F1DA8"/>
    <w:rsid w:val="009F57BA"/>
    <w:rsid w:val="009F6089"/>
    <w:rsid w:val="00A071CB"/>
    <w:rsid w:val="00A07D61"/>
    <w:rsid w:val="00A11171"/>
    <w:rsid w:val="00A13AAD"/>
    <w:rsid w:val="00A20182"/>
    <w:rsid w:val="00A26B41"/>
    <w:rsid w:val="00A26DC3"/>
    <w:rsid w:val="00A272D5"/>
    <w:rsid w:val="00A2766E"/>
    <w:rsid w:val="00A325FA"/>
    <w:rsid w:val="00A33558"/>
    <w:rsid w:val="00A33851"/>
    <w:rsid w:val="00A35113"/>
    <w:rsid w:val="00A36815"/>
    <w:rsid w:val="00A408EB"/>
    <w:rsid w:val="00A415D2"/>
    <w:rsid w:val="00A43C78"/>
    <w:rsid w:val="00A4504C"/>
    <w:rsid w:val="00A47B66"/>
    <w:rsid w:val="00A503F4"/>
    <w:rsid w:val="00A54BE6"/>
    <w:rsid w:val="00A55F45"/>
    <w:rsid w:val="00A6532E"/>
    <w:rsid w:val="00A67229"/>
    <w:rsid w:val="00A7350D"/>
    <w:rsid w:val="00A76C0A"/>
    <w:rsid w:val="00A8486E"/>
    <w:rsid w:val="00A87395"/>
    <w:rsid w:val="00A917AF"/>
    <w:rsid w:val="00AA3E1C"/>
    <w:rsid w:val="00AB171C"/>
    <w:rsid w:val="00AC1969"/>
    <w:rsid w:val="00AC20F9"/>
    <w:rsid w:val="00AC418E"/>
    <w:rsid w:val="00AC62B2"/>
    <w:rsid w:val="00AD2FED"/>
    <w:rsid w:val="00AD32A3"/>
    <w:rsid w:val="00AD45F9"/>
    <w:rsid w:val="00AD4FD5"/>
    <w:rsid w:val="00AE0A1E"/>
    <w:rsid w:val="00AE1B55"/>
    <w:rsid w:val="00AE3E27"/>
    <w:rsid w:val="00AE506E"/>
    <w:rsid w:val="00AE560C"/>
    <w:rsid w:val="00AE5E19"/>
    <w:rsid w:val="00AF0775"/>
    <w:rsid w:val="00AF28A8"/>
    <w:rsid w:val="00AF36E5"/>
    <w:rsid w:val="00AF7504"/>
    <w:rsid w:val="00B011C3"/>
    <w:rsid w:val="00B01379"/>
    <w:rsid w:val="00B07428"/>
    <w:rsid w:val="00B07CE4"/>
    <w:rsid w:val="00B10218"/>
    <w:rsid w:val="00B13EA6"/>
    <w:rsid w:val="00B14A4E"/>
    <w:rsid w:val="00B21F14"/>
    <w:rsid w:val="00B22172"/>
    <w:rsid w:val="00B2312C"/>
    <w:rsid w:val="00B232E9"/>
    <w:rsid w:val="00B2641B"/>
    <w:rsid w:val="00B31D70"/>
    <w:rsid w:val="00B34E7D"/>
    <w:rsid w:val="00B44EA5"/>
    <w:rsid w:val="00B4613D"/>
    <w:rsid w:val="00B47243"/>
    <w:rsid w:val="00B50A34"/>
    <w:rsid w:val="00B54568"/>
    <w:rsid w:val="00B54C9C"/>
    <w:rsid w:val="00B54E5E"/>
    <w:rsid w:val="00B550BB"/>
    <w:rsid w:val="00B613D2"/>
    <w:rsid w:val="00B62DFF"/>
    <w:rsid w:val="00B6542C"/>
    <w:rsid w:val="00B6566C"/>
    <w:rsid w:val="00B65C59"/>
    <w:rsid w:val="00B6774E"/>
    <w:rsid w:val="00B72734"/>
    <w:rsid w:val="00B72D4B"/>
    <w:rsid w:val="00B73480"/>
    <w:rsid w:val="00B755DC"/>
    <w:rsid w:val="00B80C92"/>
    <w:rsid w:val="00B83FB1"/>
    <w:rsid w:val="00B860F3"/>
    <w:rsid w:val="00B91D8E"/>
    <w:rsid w:val="00B91E30"/>
    <w:rsid w:val="00B93D33"/>
    <w:rsid w:val="00B97DF5"/>
    <w:rsid w:val="00BB10ED"/>
    <w:rsid w:val="00BB24B4"/>
    <w:rsid w:val="00BC273D"/>
    <w:rsid w:val="00BC30F1"/>
    <w:rsid w:val="00BC6C8B"/>
    <w:rsid w:val="00BD1293"/>
    <w:rsid w:val="00BD1C23"/>
    <w:rsid w:val="00BD286A"/>
    <w:rsid w:val="00BD512D"/>
    <w:rsid w:val="00BD60A7"/>
    <w:rsid w:val="00BD7B0F"/>
    <w:rsid w:val="00BF610D"/>
    <w:rsid w:val="00C02C2B"/>
    <w:rsid w:val="00C05444"/>
    <w:rsid w:val="00C06D16"/>
    <w:rsid w:val="00C06E4F"/>
    <w:rsid w:val="00C06F65"/>
    <w:rsid w:val="00C07AFE"/>
    <w:rsid w:val="00C1270E"/>
    <w:rsid w:val="00C12756"/>
    <w:rsid w:val="00C21978"/>
    <w:rsid w:val="00C25ED6"/>
    <w:rsid w:val="00C30748"/>
    <w:rsid w:val="00C30AA0"/>
    <w:rsid w:val="00C3373E"/>
    <w:rsid w:val="00C3612B"/>
    <w:rsid w:val="00C40E50"/>
    <w:rsid w:val="00C41CAB"/>
    <w:rsid w:val="00C441F3"/>
    <w:rsid w:val="00C51360"/>
    <w:rsid w:val="00C56A53"/>
    <w:rsid w:val="00C64748"/>
    <w:rsid w:val="00C676BF"/>
    <w:rsid w:val="00C676F5"/>
    <w:rsid w:val="00C719A4"/>
    <w:rsid w:val="00C736E2"/>
    <w:rsid w:val="00C73B10"/>
    <w:rsid w:val="00C73E71"/>
    <w:rsid w:val="00C74642"/>
    <w:rsid w:val="00C76A5D"/>
    <w:rsid w:val="00C77A99"/>
    <w:rsid w:val="00C77DDB"/>
    <w:rsid w:val="00C81BBF"/>
    <w:rsid w:val="00C832AE"/>
    <w:rsid w:val="00C94384"/>
    <w:rsid w:val="00C95874"/>
    <w:rsid w:val="00C96AD3"/>
    <w:rsid w:val="00C97BE1"/>
    <w:rsid w:val="00CA112B"/>
    <w:rsid w:val="00CA1493"/>
    <w:rsid w:val="00CA19B6"/>
    <w:rsid w:val="00CA546B"/>
    <w:rsid w:val="00CB4722"/>
    <w:rsid w:val="00CB68F1"/>
    <w:rsid w:val="00CC063E"/>
    <w:rsid w:val="00CC750E"/>
    <w:rsid w:val="00CC78FE"/>
    <w:rsid w:val="00CD3093"/>
    <w:rsid w:val="00CD47E0"/>
    <w:rsid w:val="00CD70CC"/>
    <w:rsid w:val="00CE2B7F"/>
    <w:rsid w:val="00CE2E47"/>
    <w:rsid w:val="00CE3CB5"/>
    <w:rsid w:val="00CE517F"/>
    <w:rsid w:val="00CF1208"/>
    <w:rsid w:val="00CF2671"/>
    <w:rsid w:val="00D01F29"/>
    <w:rsid w:val="00D04E6C"/>
    <w:rsid w:val="00D0561E"/>
    <w:rsid w:val="00D06632"/>
    <w:rsid w:val="00D149EF"/>
    <w:rsid w:val="00D169F6"/>
    <w:rsid w:val="00D21BAD"/>
    <w:rsid w:val="00D23B0E"/>
    <w:rsid w:val="00D3219B"/>
    <w:rsid w:val="00D32E3B"/>
    <w:rsid w:val="00D4496B"/>
    <w:rsid w:val="00D45491"/>
    <w:rsid w:val="00D55BB7"/>
    <w:rsid w:val="00D6049C"/>
    <w:rsid w:val="00D709B4"/>
    <w:rsid w:val="00D7234C"/>
    <w:rsid w:val="00D72808"/>
    <w:rsid w:val="00D76F45"/>
    <w:rsid w:val="00D80173"/>
    <w:rsid w:val="00D81F7A"/>
    <w:rsid w:val="00D86E70"/>
    <w:rsid w:val="00D93E81"/>
    <w:rsid w:val="00D947A5"/>
    <w:rsid w:val="00D954F7"/>
    <w:rsid w:val="00D95671"/>
    <w:rsid w:val="00D95F93"/>
    <w:rsid w:val="00D96AA6"/>
    <w:rsid w:val="00DA348A"/>
    <w:rsid w:val="00DB1419"/>
    <w:rsid w:val="00DB1591"/>
    <w:rsid w:val="00DB30BA"/>
    <w:rsid w:val="00DB3160"/>
    <w:rsid w:val="00DB397F"/>
    <w:rsid w:val="00DB475F"/>
    <w:rsid w:val="00DB4CFF"/>
    <w:rsid w:val="00DB4E35"/>
    <w:rsid w:val="00DB59E6"/>
    <w:rsid w:val="00DB5AC1"/>
    <w:rsid w:val="00DB7655"/>
    <w:rsid w:val="00DC4388"/>
    <w:rsid w:val="00DC5F8B"/>
    <w:rsid w:val="00DC6380"/>
    <w:rsid w:val="00DC6BAF"/>
    <w:rsid w:val="00DD596F"/>
    <w:rsid w:val="00DE582E"/>
    <w:rsid w:val="00DE5CA7"/>
    <w:rsid w:val="00DE640C"/>
    <w:rsid w:val="00DF0C25"/>
    <w:rsid w:val="00DF12C5"/>
    <w:rsid w:val="00DF3B26"/>
    <w:rsid w:val="00DF53C3"/>
    <w:rsid w:val="00E00081"/>
    <w:rsid w:val="00E01393"/>
    <w:rsid w:val="00E05857"/>
    <w:rsid w:val="00E147E2"/>
    <w:rsid w:val="00E14DB0"/>
    <w:rsid w:val="00E16634"/>
    <w:rsid w:val="00E21369"/>
    <w:rsid w:val="00E223F6"/>
    <w:rsid w:val="00E22885"/>
    <w:rsid w:val="00E22F0E"/>
    <w:rsid w:val="00E30404"/>
    <w:rsid w:val="00E32858"/>
    <w:rsid w:val="00E44DD5"/>
    <w:rsid w:val="00E47554"/>
    <w:rsid w:val="00E50E8A"/>
    <w:rsid w:val="00E521AB"/>
    <w:rsid w:val="00E526AD"/>
    <w:rsid w:val="00E56D3D"/>
    <w:rsid w:val="00E662CA"/>
    <w:rsid w:val="00E66CB6"/>
    <w:rsid w:val="00E67DE9"/>
    <w:rsid w:val="00E72680"/>
    <w:rsid w:val="00E73ABF"/>
    <w:rsid w:val="00E76F3A"/>
    <w:rsid w:val="00E81267"/>
    <w:rsid w:val="00E82750"/>
    <w:rsid w:val="00E8589E"/>
    <w:rsid w:val="00E90688"/>
    <w:rsid w:val="00E91407"/>
    <w:rsid w:val="00E93F79"/>
    <w:rsid w:val="00EA2144"/>
    <w:rsid w:val="00EA4CB5"/>
    <w:rsid w:val="00EA6CD0"/>
    <w:rsid w:val="00EB23DE"/>
    <w:rsid w:val="00EB38B0"/>
    <w:rsid w:val="00EB4EB5"/>
    <w:rsid w:val="00EB510C"/>
    <w:rsid w:val="00EB55B9"/>
    <w:rsid w:val="00EC08CE"/>
    <w:rsid w:val="00EC0DAC"/>
    <w:rsid w:val="00EC1F0E"/>
    <w:rsid w:val="00EC2AEA"/>
    <w:rsid w:val="00EC418C"/>
    <w:rsid w:val="00EC772C"/>
    <w:rsid w:val="00ED2AE9"/>
    <w:rsid w:val="00ED47DB"/>
    <w:rsid w:val="00ED666D"/>
    <w:rsid w:val="00EE029A"/>
    <w:rsid w:val="00EE465D"/>
    <w:rsid w:val="00EF16F5"/>
    <w:rsid w:val="00EF5512"/>
    <w:rsid w:val="00EF6B62"/>
    <w:rsid w:val="00EF6DB9"/>
    <w:rsid w:val="00F02074"/>
    <w:rsid w:val="00F0232C"/>
    <w:rsid w:val="00F07BFC"/>
    <w:rsid w:val="00F12AFC"/>
    <w:rsid w:val="00F17C81"/>
    <w:rsid w:val="00F2133A"/>
    <w:rsid w:val="00F21574"/>
    <w:rsid w:val="00F259FB"/>
    <w:rsid w:val="00F30FEF"/>
    <w:rsid w:val="00F31126"/>
    <w:rsid w:val="00F31567"/>
    <w:rsid w:val="00F32794"/>
    <w:rsid w:val="00F35989"/>
    <w:rsid w:val="00F4260E"/>
    <w:rsid w:val="00F427DB"/>
    <w:rsid w:val="00F4546D"/>
    <w:rsid w:val="00F45CF1"/>
    <w:rsid w:val="00F461BC"/>
    <w:rsid w:val="00F470C3"/>
    <w:rsid w:val="00F476E5"/>
    <w:rsid w:val="00F53D7F"/>
    <w:rsid w:val="00F55426"/>
    <w:rsid w:val="00F5643D"/>
    <w:rsid w:val="00F61F26"/>
    <w:rsid w:val="00F64887"/>
    <w:rsid w:val="00F66720"/>
    <w:rsid w:val="00F70020"/>
    <w:rsid w:val="00F73934"/>
    <w:rsid w:val="00F73D87"/>
    <w:rsid w:val="00F74D53"/>
    <w:rsid w:val="00F80C33"/>
    <w:rsid w:val="00F811C4"/>
    <w:rsid w:val="00F834B3"/>
    <w:rsid w:val="00F83657"/>
    <w:rsid w:val="00F849B1"/>
    <w:rsid w:val="00F92AF7"/>
    <w:rsid w:val="00F93702"/>
    <w:rsid w:val="00F9465B"/>
    <w:rsid w:val="00F96780"/>
    <w:rsid w:val="00FB436D"/>
    <w:rsid w:val="00FB7C51"/>
    <w:rsid w:val="00FC207C"/>
    <w:rsid w:val="00FC4FD8"/>
    <w:rsid w:val="00FC6626"/>
    <w:rsid w:val="00FC68B2"/>
    <w:rsid w:val="00FC7EFA"/>
    <w:rsid w:val="00FD4859"/>
    <w:rsid w:val="00FD557D"/>
    <w:rsid w:val="00FE06A8"/>
    <w:rsid w:val="00FE08D2"/>
    <w:rsid w:val="00FE08E8"/>
    <w:rsid w:val="00FE30DC"/>
    <w:rsid w:val="00FE34DF"/>
    <w:rsid w:val="00FE6554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8E4CB"/>
  <w15:docId w15:val="{80F50CF0-A7FE-456F-AB66-E3E9FE2B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0E"/>
    <w:pPr>
      <w:spacing w:after="200" w:line="276" w:lineRule="auto"/>
    </w:pPr>
    <w:rPr>
      <w:sz w:val="22"/>
      <w:szCs w:val="22"/>
      <w:lang w:val="lv-LV"/>
    </w:rPr>
  </w:style>
  <w:style w:type="paragraph" w:styleId="Heading4">
    <w:name w:val="heading 4"/>
    <w:basedOn w:val="Normal"/>
    <w:link w:val="Heading4Char"/>
    <w:uiPriority w:val="9"/>
    <w:qFormat/>
    <w:rsid w:val="00392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2D0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92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C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6532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7C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7C9E"/>
    <w:rPr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E7C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81"/>
    <w:rPr>
      <w:rFonts w:ascii="Segoe UI" w:hAnsi="Segoe UI" w:cs="Segoe UI"/>
      <w:sz w:val="18"/>
      <w:szCs w:val="18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765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4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E05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E05"/>
    <w:rPr>
      <w:b/>
      <w:bCs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3460E1"/>
    <w:rPr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460E1"/>
    <w:pPr>
      <w:ind w:left="720"/>
      <w:contextualSpacing/>
    </w:pPr>
    <w:rPr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60E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0E1"/>
    <w:rPr>
      <w:rFonts w:eastAsia="Times New Roman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460E1"/>
    <w:rPr>
      <w:vertAlign w:val="superscript"/>
    </w:rPr>
  </w:style>
  <w:style w:type="character" w:styleId="Strong">
    <w:name w:val="Strong"/>
    <w:basedOn w:val="DefaultParagraphFont"/>
    <w:uiPriority w:val="22"/>
    <w:qFormat/>
    <w:rsid w:val="004B623D"/>
    <w:rPr>
      <w:b/>
      <w:bCs/>
    </w:rPr>
  </w:style>
  <w:style w:type="table" w:styleId="TableGrid">
    <w:name w:val="Table Grid"/>
    <w:basedOn w:val="TableNormal"/>
    <w:uiPriority w:val="39"/>
    <w:rsid w:val="0032115E"/>
    <w:rPr>
      <w:rFonts w:asciiTheme="minorHAnsi" w:eastAsiaTheme="minorHAnsi" w:hAnsiTheme="minorHAnsi" w:cstheme="minorBidi"/>
      <w:sz w:val="22"/>
      <w:szCs w:val="22"/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c">
    <w:name w:val="naisc"/>
    <w:basedOn w:val="Normal"/>
    <w:rsid w:val="007B4613"/>
    <w:pPr>
      <w:spacing w:before="75" w:after="75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Default">
    <w:name w:val="Default"/>
    <w:rsid w:val="00835AE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11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59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05/36?locale=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6B442-C571-4C32-9A91-E94751C2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6689</Words>
  <Characters>3813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2003.gada 10.jūnija noteikumos Nr.298 „Kārtība, kādā pretendents sedz izdevumus, kas saistīti ar personas profesionālās kvalifikācijas atzīšanu”” sākotnējās ietekmes novērtējuma ziņojums (a</vt:lpstr>
    </vt:vector>
  </TitlesOfParts>
  <Company>IZM</Company>
  <LinksUpToDate>false</LinksUpToDate>
  <CharactersWithSpaces>10482</CharactersWithSpaces>
  <SharedDoc>false</SharedDoc>
  <HLinks>
    <vt:vector size="6" baseType="variant"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http://85.254.195.224/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2003.gada 10.jūnija noteikumos Nr.298 „Kārtība, kādā pretendents sedz izdevumus, kas saistīti ar personas profesionālās kvalifikācijas atzīšanu”” sākotnējās ietekmes novērtējuma ziņojums (anotācija)</dc:title>
  <dc:subject>Noteikumu projekta anotācija</dc:subject>
  <dc:creator>Inese Stūre</dc:creator>
  <cp:keywords/>
  <dc:description>tel.:67047899; e-pasts: Inese.Sture@izm.gov.lv</dc:description>
  <cp:lastModifiedBy>Inese Stūre</cp:lastModifiedBy>
  <cp:revision>12</cp:revision>
  <cp:lastPrinted>2016-01-22T08:39:00Z</cp:lastPrinted>
  <dcterms:created xsi:type="dcterms:W3CDTF">2016-02-03T10:46:00Z</dcterms:created>
  <dcterms:modified xsi:type="dcterms:W3CDTF">2016-03-29T07:11:00Z</dcterms:modified>
</cp:coreProperties>
</file>