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0DB8E" w14:textId="77777777" w:rsidR="00DA454A" w:rsidRPr="00E46FCC" w:rsidRDefault="00C05444" w:rsidP="00EB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OLE_LINK1"/>
      <w:bookmarkStart w:id="1" w:name="OLE_LINK2"/>
      <w:bookmarkStart w:id="2" w:name="OLE_LINK4"/>
      <w:bookmarkStart w:id="3" w:name="OLE_LINK5"/>
      <w:r w:rsidRPr="00E46FCC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Ministru kabineta noteikumu projekta </w:t>
      </w:r>
      <w:r w:rsidR="00F30FEF" w:rsidRPr="00E46FCC">
        <w:rPr>
          <w:rFonts w:ascii="Times New Roman" w:hAnsi="Times New Roman"/>
          <w:b/>
          <w:sz w:val="26"/>
          <w:szCs w:val="26"/>
        </w:rPr>
        <w:t>“</w:t>
      </w:r>
      <w:bookmarkEnd w:id="0"/>
      <w:bookmarkEnd w:id="1"/>
      <w:r w:rsidR="00E34A61" w:rsidRPr="00E46FCC">
        <w:rPr>
          <w:rFonts w:ascii="Times New Roman" w:hAnsi="Times New Roman"/>
          <w:b/>
          <w:bCs/>
          <w:sz w:val="26"/>
          <w:szCs w:val="26"/>
        </w:rPr>
        <w:t xml:space="preserve">Grozījumi </w:t>
      </w:r>
      <w:r w:rsidR="00E34A61" w:rsidRPr="00E46FCC">
        <w:rPr>
          <w:rFonts w:ascii="Times New Roman" w:hAnsi="Times New Roman"/>
          <w:b/>
          <w:sz w:val="26"/>
          <w:szCs w:val="26"/>
        </w:rPr>
        <w:t>Ministru kabineta 2005.gada 15.februāra noteikumos Nr.125 “</w:t>
      </w:r>
      <w:r w:rsidR="00E34A61" w:rsidRPr="00E46FCC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Noteikumi par zobārsta izglītību un profesionālo kvalifikāciju apliecinošiem dokumentiem, kurus atzīst, piemērojot speciālo profesionālās kvalifikācijas atzīšanas sistēmu</w:t>
      </w:r>
      <w:r w:rsidR="00E34A61" w:rsidRPr="00E46FCC">
        <w:rPr>
          <w:rFonts w:ascii="Times New Roman" w:hAnsi="Times New Roman"/>
          <w:b/>
          <w:sz w:val="26"/>
          <w:szCs w:val="26"/>
        </w:rPr>
        <w:t>”</w:t>
      </w:r>
      <w:r w:rsidR="00F30FEF" w:rsidRPr="00E46FCC">
        <w:rPr>
          <w:rFonts w:ascii="Times New Roman" w:hAnsi="Times New Roman"/>
          <w:b/>
          <w:sz w:val="26"/>
          <w:szCs w:val="26"/>
        </w:rPr>
        <w:t>”</w:t>
      </w:r>
    </w:p>
    <w:p w14:paraId="759CAE06" w14:textId="4AF3ADF4" w:rsidR="007C5781" w:rsidRPr="00E46FCC" w:rsidRDefault="00C05444" w:rsidP="00EB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FCC">
        <w:rPr>
          <w:rFonts w:ascii="Times New Roman" w:hAnsi="Times New Roman"/>
          <w:b/>
          <w:sz w:val="26"/>
          <w:szCs w:val="26"/>
        </w:rPr>
        <w:t>sākotnējās ietekmes novērtējuma ziņojums (anotācija)</w:t>
      </w:r>
      <w:bookmarkEnd w:id="2"/>
      <w:bookmarkEnd w:id="3"/>
    </w:p>
    <w:p w14:paraId="527F531C" w14:textId="77777777" w:rsidR="005C42B1" w:rsidRPr="00E46FCC" w:rsidRDefault="005C42B1" w:rsidP="00EB0DD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"/>
        <w:gridCol w:w="1507"/>
        <w:gridCol w:w="6609"/>
      </w:tblGrid>
      <w:tr w:rsidR="00DA454A" w:rsidRPr="00E46FCC" w14:paraId="2E5C4833" w14:textId="77777777" w:rsidTr="00746D7A">
        <w:trPr>
          <w:tblCellSpacing w:w="15" w:type="dxa"/>
        </w:trPr>
        <w:tc>
          <w:tcPr>
            <w:tcW w:w="4966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79A4479D" w14:textId="77777777" w:rsidR="00392D00" w:rsidRPr="00EA6DAF" w:rsidRDefault="00392D00" w:rsidP="005C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DA454A" w:rsidRPr="00E46FCC" w14:paraId="48059241" w14:textId="77777777" w:rsidTr="00FB7C51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A913D" w14:textId="77777777" w:rsidR="00392D00" w:rsidRPr="00EA6DAF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29A4A" w14:textId="77777777" w:rsidR="00392D00" w:rsidRPr="00E46FCC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5ED83" w14:textId="176A837E" w:rsidR="004D2E81" w:rsidRPr="00E46FCC" w:rsidRDefault="009403B2" w:rsidP="007F61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>Ministru kabineta noteikumu projekts “</w:t>
            </w:r>
            <w:r w:rsidR="00CA2A6D" w:rsidRPr="00E46FCC">
              <w:rPr>
                <w:rFonts w:ascii="Times New Roman" w:hAnsi="Times New Roman"/>
                <w:bCs/>
                <w:sz w:val="26"/>
                <w:szCs w:val="26"/>
              </w:rPr>
              <w:t xml:space="preserve">Grozījumi </w:t>
            </w:r>
            <w:r w:rsidR="00CA2A6D" w:rsidRPr="00E46FCC">
              <w:rPr>
                <w:rFonts w:ascii="Times New Roman" w:hAnsi="Times New Roman"/>
                <w:sz w:val="26"/>
                <w:szCs w:val="26"/>
              </w:rPr>
              <w:t>Ministru kabineta 2005.gada 15.februāra noteikumos Nr.125 “</w:t>
            </w:r>
            <w:r w:rsidR="00CA2A6D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Noteikumi par zobārsta izglītību un profesionālo kvalifikāciju apliecinošiem dokumentiem, kurus atzīst, piemērojot speciālo profesionālās kvalifikācijas atzīšanas sistēmu</w:t>
            </w:r>
            <w:r w:rsidR="00CA2A6D" w:rsidRPr="00E46FCC">
              <w:rPr>
                <w:rFonts w:ascii="Times New Roman" w:hAnsi="Times New Roman"/>
                <w:sz w:val="26"/>
                <w:szCs w:val="26"/>
              </w:rPr>
              <w:t>”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r w:rsidR="00EC772C" w:rsidRPr="00E46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 xml:space="preserve">(turpmāk – projekts) </w:t>
            </w:r>
            <w:r w:rsidR="007F6179" w:rsidRPr="00E46FCC">
              <w:rPr>
                <w:rFonts w:ascii="Times New Roman" w:hAnsi="Times New Roman"/>
                <w:sz w:val="26"/>
                <w:szCs w:val="26"/>
              </w:rPr>
              <w:t xml:space="preserve">izstrādāts, pamatojoties uz </w:t>
            </w:r>
            <w:r w:rsidR="00A43C78" w:rsidRPr="00E46FCC">
              <w:rPr>
                <w:rFonts w:ascii="Times New Roman" w:hAnsi="Times New Roman"/>
                <w:sz w:val="26"/>
                <w:szCs w:val="26"/>
              </w:rPr>
              <w:t xml:space="preserve">Eiropas Parlamenta un Padomes </w:t>
            </w:r>
            <w:r w:rsidR="00A43C78" w:rsidRPr="00E46FCC">
              <w:rPr>
                <w:rFonts w:ascii="Times New Roman" w:hAnsi="Times New Roman"/>
                <w:bCs/>
                <w:sz w:val="26"/>
                <w:szCs w:val="26"/>
              </w:rPr>
              <w:t>2013.gada 20.novembra</w:t>
            </w:r>
            <w:r w:rsidR="00667151" w:rsidRPr="00E46FCC">
              <w:rPr>
                <w:rFonts w:ascii="Times New Roman" w:hAnsi="Times New Roman"/>
                <w:sz w:val="26"/>
                <w:szCs w:val="26"/>
              </w:rPr>
              <w:t xml:space="preserve"> Direktīv</w:t>
            </w:r>
            <w:r w:rsidR="00455455" w:rsidRPr="00E46FCC">
              <w:rPr>
                <w:rFonts w:ascii="Times New Roman" w:hAnsi="Times New Roman"/>
                <w:sz w:val="26"/>
                <w:szCs w:val="26"/>
              </w:rPr>
              <w:t>u</w:t>
            </w:r>
            <w:r w:rsidR="00A43C78" w:rsidRPr="00E46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3C78" w:rsidRPr="00E46FCC">
              <w:rPr>
                <w:rFonts w:ascii="Times New Roman" w:hAnsi="Times New Roman"/>
                <w:bCs/>
                <w:sz w:val="26"/>
                <w:szCs w:val="26"/>
              </w:rPr>
              <w:t xml:space="preserve">2013/55/ES, ar ko groza Direktīvu 2005/36/EK par profesionālo kvalifikāciju atzīšanu un Regulu (ES) Nr.1024/2012 par administratīvo sadarbību, izmantojot Iekšējā tirgus informācijas sistēmu (IMI regulu) (dokuments attiecas uz EEZ) (turpmāk </w:t>
            </w:r>
            <w:r w:rsidR="00F13DB1" w:rsidRPr="00E46FCC">
              <w:rPr>
                <w:rFonts w:ascii="Times New Roman" w:hAnsi="Times New Roman"/>
                <w:bCs/>
                <w:sz w:val="26"/>
                <w:szCs w:val="26"/>
              </w:rPr>
              <w:t xml:space="preserve">arī </w:t>
            </w:r>
            <w:r w:rsidR="00A43C78" w:rsidRPr="00E46FCC"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="00991E49" w:rsidRPr="00E46FCC">
              <w:rPr>
                <w:rFonts w:ascii="Times New Roman" w:hAnsi="Times New Roman"/>
                <w:bCs/>
                <w:sz w:val="26"/>
                <w:szCs w:val="26"/>
              </w:rPr>
              <w:t xml:space="preserve">grozījumu </w:t>
            </w:r>
            <w:r w:rsidR="00A43C78" w:rsidRPr="00E46FCC">
              <w:rPr>
                <w:rFonts w:ascii="Times New Roman" w:hAnsi="Times New Roman"/>
                <w:bCs/>
                <w:sz w:val="26"/>
                <w:szCs w:val="26"/>
              </w:rPr>
              <w:t>direktīva)</w:t>
            </w:r>
            <w:r w:rsidR="007F6179" w:rsidRPr="00E46FCC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A43C78" w:rsidRPr="00E46FC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DA454A" w:rsidRPr="00E46FCC" w14:paraId="47891B61" w14:textId="77777777" w:rsidTr="00A07D22">
        <w:trPr>
          <w:trHeight w:val="7040"/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8B563" w14:textId="04325B40" w:rsidR="00392D00" w:rsidRPr="00EA6DAF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34E69" w14:textId="77777777" w:rsidR="00B72734" w:rsidRPr="00E46FCC" w:rsidRDefault="00812271" w:rsidP="0032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14:paraId="3943FBDE" w14:textId="77777777" w:rsidR="00B72734" w:rsidRPr="00E46FCC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002258CE" w14:textId="77777777" w:rsidR="00B72734" w:rsidRPr="00E46FCC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40B5928E" w14:textId="77777777" w:rsidR="00B72734" w:rsidRPr="00E46FCC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10C42283" w14:textId="77777777" w:rsidR="00B72734" w:rsidRPr="00E46FCC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4F6CC40B" w14:textId="77777777" w:rsidR="00B72734" w:rsidRPr="00E46FCC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1AA9CCA4" w14:textId="77777777" w:rsidR="00B72734" w:rsidRPr="00E46FCC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7F1C5F9B" w14:textId="77777777" w:rsidR="00392D00" w:rsidRPr="00E46FCC" w:rsidRDefault="00392D00" w:rsidP="00B727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3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499F" w14:textId="3B93837F" w:rsidR="00E00081" w:rsidRPr="00E46FCC" w:rsidRDefault="00E00081" w:rsidP="00C06F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 xml:space="preserve">Spēkā ir </w:t>
            </w:r>
            <w:r w:rsidR="00CA2A6D" w:rsidRPr="00E46FCC">
              <w:rPr>
                <w:rFonts w:ascii="Times New Roman" w:hAnsi="Times New Roman"/>
                <w:sz w:val="26"/>
                <w:szCs w:val="26"/>
              </w:rPr>
              <w:t>Ministru kabineta 2005.gada 15.februāra noteikumi Nr.125 “</w:t>
            </w:r>
            <w:r w:rsidR="00CA2A6D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Noteikumi par zobārsta izglītību un profesionālo kvalifikāciju apliecinošiem dokumentiem, kurus atzīst, piemērojot speciālo profesionālās kvalifikācijas atzīšanas sistēmu</w:t>
            </w:r>
            <w:r w:rsidR="00CA2A6D" w:rsidRPr="00E46FCC">
              <w:rPr>
                <w:rFonts w:ascii="Times New Roman" w:hAnsi="Times New Roman"/>
                <w:sz w:val="26"/>
                <w:szCs w:val="26"/>
              </w:rPr>
              <w:t>”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 xml:space="preserve"> (turpmāk – noteikumi Nr.</w:t>
            </w:r>
            <w:r w:rsidR="00CA2A6D" w:rsidRPr="00E46FCC">
              <w:rPr>
                <w:rFonts w:ascii="Times New Roman" w:hAnsi="Times New Roman"/>
                <w:sz w:val="26"/>
                <w:szCs w:val="26"/>
              </w:rPr>
              <w:t>125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>). Eiropas Parlamenta un Padomes 2005.gada 7.septembra Direktīva 2005/36/EK par profesionālo kvalifikāciju atzīšanu</w:t>
            </w:r>
            <w:r w:rsidR="007144A1" w:rsidRPr="00E46FCC">
              <w:rPr>
                <w:rFonts w:ascii="Times New Roman" w:hAnsi="Times New Roman"/>
                <w:sz w:val="26"/>
                <w:szCs w:val="26"/>
              </w:rPr>
              <w:t xml:space="preserve"> (dokuments attiecas uz EEZ)</w:t>
            </w:r>
            <w:r w:rsidR="00A36815" w:rsidRPr="00E46FCC">
              <w:rPr>
                <w:rFonts w:ascii="Times New Roman" w:hAnsi="Times New Roman"/>
                <w:sz w:val="26"/>
                <w:szCs w:val="26"/>
              </w:rPr>
              <w:t xml:space="preserve"> (turpmāk </w:t>
            </w:r>
            <w:r w:rsidR="00144FFA">
              <w:rPr>
                <w:rFonts w:ascii="Times New Roman" w:hAnsi="Times New Roman"/>
                <w:sz w:val="26"/>
                <w:szCs w:val="26"/>
              </w:rPr>
              <w:t xml:space="preserve">arī </w:t>
            </w:r>
            <w:r w:rsidR="00A36815" w:rsidRPr="00E46FCC">
              <w:rPr>
                <w:rFonts w:ascii="Times New Roman" w:hAnsi="Times New Roman"/>
                <w:sz w:val="26"/>
                <w:szCs w:val="26"/>
              </w:rPr>
              <w:t>– direktīva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>) tika publicēta Eiropas Savienības Oficiālajā Vēstnesī 2005.gada 30.septembrī</w:t>
            </w:r>
            <w:r w:rsidR="00EA6DAF">
              <w:rPr>
                <w:rFonts w:ascii="Times New Roman" w:hAnsi="Times New Roman"/>
                <w:sz w:val="26"/>
                <w:szCs w:val="26"/>
              </w:rPr>
              <w:t>.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 xml:space="preserve"> 2013.gada 28.decembrī </w:t>
            </w:r>
            <w:r w:rsidRPr="00EA6DAF">
              <w:rPr>
                <w:rFonts w:ascii="Times New Roman" w:hAnsi="Times New Roman"/>
                <w:sz w:val="26"/>
                <w:szCs w:val="26"/>
              </w:rPr>
              <w:t>Eiropas Savienības Oficiālajā Vēstnesī tika publicēta grozījumu direktīva. Projekts izstrādāts, lai pilnībā un precīzi pārņemtu grozījumu direktīvā noteikto</w:t>
            </w:r>
            <w:r w:rsidR="00B6566C" w:rsidRPr="00E46FCC">
              <w:rPr>
                <w:rFonts w:ascii="Times New Roman" w:hAnsi="Times New Roman"/>
                <w:sz w:val="26"/>
                <w:szCs w:val="26"/>
              </w:rPr>
              <w:t xml:space="preserve"> prasību</w:t>
            </w:r>
            <w:r w:rsidR="00A36815" w:rsidRPr="00E46FCC">
              <w:rPr>
                <w:rFonts w:ascii="Times New Roman" w:hAnsi="Times New Roman"/>
                <w:sz w:val="26"/>
                <w:szCs w:val="26"/>
              </w:rPr>
              <w:t xml:space="preserve"> attiecībā uz </w:t>
            </w:r>
            <w:r w:rsidR="005371A0" w:rsidRPr="00E46FCC">
              <w:rPr>
                <w:rFonts w:ascii="Times New Roman" w:hAnsi="Times New Roman"/>
                <w:sz w:val="26"/>
                <w:szCs w:val="26"/>
              </w:rPr>
              <w:t xml:space="preserve">izņēmumu </w:t>
            </w:r>
            <w:r w:rsidR="00A36815" w:rsidRPr="00E46FCC">
              <w:rPr>
                <w:rFonts w:ascii="Times New Roman" w:hAnsi="Times New Roman"/>
                <w:sz w:val="26"/>
                <w:szCs w:val="26"/>
              </w:rPr>
              <w:t>speciālās profesionālās kvalifikācija</w:t>
            </w:r>
            <w:r w:rsidR="005371A0" w:rsidRPr="00E46FCC">
              <w:rPr>
                <w:rFonts w:ascii="Times New Roman" w:hAnsi="Times New Roman"/>
                <w:sz w:val="26"/>
                <w:szCs w:val="26"/>
              </w:rPr>
              <w:t>s atzīšanas sistēmas piemērošanā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2C908895" w14:textId="2FBAB02B" w:rsidR="00E00081" w:rsidRPr="00E46FCC" w:rsidRDefault="00E00081" w:rsidP="00C06F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>Noteikumu Nr.</w:t>
            </w:r>
            <w:r w:rsidR="00CD3710" w:rsidRPr="00E46FCC">
              <w:rPr>
                <w:rFonts w:ascii="Times New Roman" w:hAnsi="Times New Roman"/>
                <w:sz w:val="26"/>
                <w:szCs w:val="26"/>
              </w:rPr>
              <w:t>125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6815" w:rsidRPr="00E46FCC">
              <w:rPr>
                <w:rFonts w:ascii="Times New Roman" w:hAnsi="Times New Roman"/>
                <w:sz w:val="26"/>
                <w:szCs w:val="26"/>
              </w:rPr>
              <w:t>informatīv</w:t>
            </w:r>
            <w:r w:rsidR="00E01A18">
              <w:rPr>
                <w:rFonts w:ascii="Times New Roman" w:hAnsi="Times New Roman"/>
                <w:sz w:val="26"/>
                <w:szCs w:val="26"/>
              </w:rPr>
              <w:t>ā</w:t>
            </w:r>
            <w:r w:rsidRPr="00EA6DAF">
              <w:rPr>
                <w:rFonts w:ascii="Times New Roman" w:hAnsi="Times New Roman"/>
                <w:sz w:val="26"/>
                <w:szCs w:val="26"/>
              </w:rPr>
              <w:t xml:space="preserve"> atsauce uz Eiropas Savienības direktīvām tiek papildināta ar atsauci uz </w:t>
            </w:r>
            <w:r w:rsidR="00D4547F" w:rsidRPr="00E46FCC">
              <w:rPr>
                <w:rFonts w:ascii="Times New Roman" w:hAnsi="Times New Roman"/>
                <w:sz w:val="26"/>
                <w:szCs w:val="26"/>
              </w:rPr>
              <w:t xml:space="preserve">direktīvu un 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>grozījumu direktīvu.</w:t>
            </w:r>
          </w:p>
          <w:p w14:paraId="137D433C" w14:textId="4E195DD8" w:rsidR="00605858" w:rsidRPr="00E46FCC" w:rsidRDefault="0002384C" w:rsidP="00A36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Normatīvajiem aktiem 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>Eiropas Savienības un Eiropas Eko</w:t>
            </w:r>
            <w:r w:rsidR="00287315" w:rsidRPr="00E46FCC">
              <w:rPr>
                <w:rFonts w:ascii="Times New Roman" w:hAnsi="Times New Roman"/>
                <w:sz w:val="26"/>
                <w:szCs w:val="26"/>
              </w:rPr>
              <w:t>nomikas zonas valst</w:t>
            </w:r>
            <w:r w:rsidR="007D276C">
              <w:rPr>
                <w:rFonts w:ascii="Times New Roman" w:hAnsi="Times New Roman"/>
                <w:sz w:val="26"/>
                <w:szCs w:val="26"/>
              </w:rPr>
              <w:t>īs</w:t>
            </w:r>
            <w:r w:rsidR="00970A82" w:rsidRPr="00E46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3093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g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rozījumu direktīv</w:t>
            </w:r>
            <w:r w:rsidR="00CD3093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ā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CD3093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noteikto prasību izpildīšanai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7144A1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bija</w:t>
            </w:r>
            <w:r w:rsidR="00CD3093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jā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stā</w:t>
            </w:r>
            <w:r w:rsidR="00CD3093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ja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s spēkā</w:t>
            </w:r>
            <w:r w:rsidR="0086125F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līdz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2016.gada 18.janvār</w:t>
            </w:r>
            <w:r w:rsidR="0086125F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im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. </w:t>
            </w:r>
            <w:r w:rsidR="00323951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Tādēļ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ir nepieciešams steidzami veikt grozījumus</w:t>
            </w:r>
            <w:r w:rsidR="0000062E" w:rsidRPr="00E46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noteikumos </w:t>
            </w:r>
            <w:r w:rsidR="0000062E" w:rsidRPr="00E46FCC">
              <w:rPr>
                <w:rFonts w:ascii="Times New Roman" w:hAnsi="Times New Roman"/>
                <w:sz w:val="26"/>
                <w:szCs w:val="26"/>
              </w:rPr>
              <w:t>Nr.</w:t>
            </w:r>
            <w:r w:rsidR="00CD3710" w:rsidRPr="00E46FCC">
              <w:rPr>
                <w:rFonts w:ascii="Times New Roman" w:hAnsi="Times New Roman"/>
                <w:sz w:val="26"/>
                <w:szCs w:val="26"/>
              </w:rPr>
              <w:t>125</w:t>
            </w:r>
            <w:r w:rsidR="00A36815" w:rsidRPr="00E46FCC">
              <w:rPr>
                <w:rFonts w:ascii="Times New Roman" w:hAnsi="Times New Roman"/>
                <w:sz w:val="26"/>
                <w:szCs w:val="26"/>
              </w:rPr>
              <w:t>,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lai nodrošinātu</w:t>
            </w:r>
            <w:r w:rsidR="00384951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to normu atbilstību </w:t>
            </w:r>
            <w:r w:rsidR="0000062E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grozījumu direktīvas </w:t>
            </w:r>
            <w:r w:rsidR="00323951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prasībām</w:t>
            </w:r>
            <w:r w:rsidR="009403B2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.</w:t>
            </w:r>
          </w:p>
        </w:tc>
      </w:tr>
      <w:tr w:rsidR="00DA454A" w:rsidRPr="00E46FCC" w14:paraId="7F7EC0F0" w14:textId="77777777" w:rsidTr="00FB7C51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C361F" w14:textId="2232F220" w:rsidR="00392D00" w:rsidRPr="00EA6DAF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533F5" w14:textId="77777777" w:rsidR="00392D00" w:rsidRPr="00E46FCC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Projekta izstrādē </w:t>
            </w: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iesaistītās institūcijas</w:t>
            </w:r>
          </w:p>
        </w:tc>
        <w:tc>
          <w:tcPr>
            <w:tcW w:w="3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6F8AD" w14:textId="0159F68E" w:rsidR="00392D00" w:rsidRPr="00E46FCC" w:rsidRDefault="00C94384" w:rsidP="00C943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lastRenderedPageBreak/>
              <w:t>Izglītības un zinātnes ministrija (turpmāk – m</w:t>
            </w:r>
            <w:r w:rsidR="00711F3E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inistrija</w:t>
            </w:r>
            <w:r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)</w:t>
            </w:r>
            <w:r w:rsidR="005371A0" w:rsidRPr="00E46FCC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.</w:t>
            </w:r>
          </w:p>
        </w:tc>
      </w:tr>
      <w:tr w:rsidR="00DA454A" w:rsidRPr="00E46FCC" w14:paraId="175958CA" w14:textId="77777777" w:rsidTr="00FB7C51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CAAF4" w14:textId="77777777" w:rsidR="00392D00" w:rsidRPr="00E46FCC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4.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71E8B" w14:textId="77777777" w:rsidR="00392D00" w:rsidRPr="00E46FCC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B946A" w14:textId="65AA767B" w:rsidR="00577216" w:rsidRPr="00E46FCC" w:rsidRDefault="00D95671" w:rsidP="00985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Nav </w:t>
            </w:r>
          </w:p>
        </w:tc>
      </w:tr>
    </w:tbl>
    <w:p w14:paraId="3EF7D496" w14:textId="77777777" w:rsidR="004A505F" w:rsidRPr="00E46FCC" w:rsidRDefault="004A505F" w:rsidP="0003484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469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"/>
        <w:gridCol w:w="471"/>
        <w:gridCol w:w="2450"/>
        <w:gridCol w:w="5527"/>
      </w:tblGrid>
      <w:tr w:rsidR="00DA454A" w:rsidRPr="00E46FCC" w14:paraId="653FAB39" w14:textId="77777777" w:rsidTr="003A3B95">
        <w:trPr>
          <w:trHeight w:val="555"/>
          <w:tblCellSpacing w:w="15" w:type="dxa"/>
        </w:trPr>
        <w:tc>
          <w:tcPr>
            <w:tcW w:w="4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DDBE" w14:textId="77777777" w:rsidR="003460E1" w:rsidRPr="00E46FCC" w:rsidRDefault="003460E1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A454A" w:rsidRPr="00E46FCC" w14:paraId="3BC746F8" w14:textId="77777777" w:rsidTr="003A3B95">
        <w:trPr>
          <w:trHeight w:val="465"/>
          <w:tblCellSpacing w:w="15" w:type="dxa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8472" w14:textId="77777777" w:rsidR="003460E1" w:rsidRPr="00E46FCC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E1FB" w14:textId="77777777" w:rsidR="003460E1" w:rsidRPr="00E46FCC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A2C6" w14:textId="17819ACC" w:rsidR="003460E1" w:rsidRPr="00E46FCC" w:rsidRDefault="0042667D" w:rsidP="00F10DB8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 xml:space="preserve">Projektā noteiktais attieksies uz </w:t>
            </w:r>
            <w:r w:rsidR="00F10DB8" w:rsidRPr="00E46FCC">
              <w:rPr>
                <w:rFonts w:ascii="Times New Roman" w:hAnsi="Times New Roman"/>
                <w:sz w:val="26"/>
                <w:szCs w:val="26"/>
              </w:rPr>
              <w:t>personām, kuru Spānijas Karalistē iegūtā zobārsta profesionālā kvalifikācija atbilst grozījumu direktīvas nosacījumiem</w:t>
            </w:r>
            <w:r w:rsidR="00CC78FE" w:rsidRPr="00E46FCC">
              <w:rPr>
                <w:rFonts w:ascii="Times New Roman" w:hAnsi="Times New Roman"/>
                <w:sz w:val="26"/>
                <w:szCs w:val="26"/>
              </w:rPr>
              <w:t xml:space="preserve"> un </w:t>
            </w:r>
            <w:r w:rsidR="00F10DB8" w:rsidRPr="00E46FCC">
              <w:rPr>
                <w:rFonts w:ascii="Times New Roman" w:hAnsi="Times New Roman"/>
                <w:sz w:val="26"/>
                <w:szCs w:val="26"/>
              </w:rPr>
              <w:t xml:space="preserve">kas </w:t>
            </w:r>
            <w:r w:rsidR="00CC78FE" w:rsidRPr="00E46FCC">
              <w:rPr>
                <w:rFonts w:ascii="Times New Roman" w:hAnsi="Times New Roman"/>
                <w:sz w:val="26"/>
                <w:szCs w:val="26"/>
              </w:rPr>
              <w:t xml:space="preserve">pretendē uz profesionālās kvalifikācijas atzīšanu Latvijā. </w:t>
            </w:r>
          </w:p>
        </w:tc>
      </w:tr>
      <w:tr w:rsidR="00DA454A" w:rsidRPr="00E46FCC" w14:paraId="199FFF5C" w14:textId="77777777" w:rsidTr="003A3B95">
        <w:trPr>
          <w:trHeight w:val="510"/>
          <w:tblCellSpacing w:w="15" w:type="dxa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650B" w14:textId="60F7D1ED" w:rsidR="003460E1" w:rsidRPr="00E46FCC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45BE" w14:textId="77777777" w:rsidR="003460E1" w:rsidRPr="00E46FCC" w:rsidRDefault="003460E1" w:rsidP="00937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85B" w14:textId="6983AB8E" w:rsidR="008467A7" w:rsidRPr="00E46FCC" w:rsidRDefault="005371A0" w:rsidP="00275EC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>Projekts šo jomu neskar.</w:t>
            </w:r>
          </w:p>
        </w:tc>
      </w:tr>
      <w:tr w:rsidR="00DA454A" w:rsidRPr="00E46FCC" w14:paraId="3F89A8EA" w14:textId="77777777" w:rsidTr="003A3B95">
        <w:trPr>
          <w:gridBefore w:val="1"/>
          <w:wBefore w:w="4" w:type="pct"/>
          <w:trHeight w:val="510"/>
          <w:tblCellSpacing w:w="15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3E05" w14:textId="77777777" w:rsidR="003460E1" w:rsidRPr="00E46FCC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183C" w14:textId="77777777" w:rsidR="003460E1" w:rsidRPr="00E46FCC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55B5" w14:textId="4F5419D0" w:rsidR="003460E1" w:rsidRPr="00E46FCC" w:rsidRDefault="00DB59E6" w:rsidP="00F80C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DA454A" w:rsidRPr="00E46FCC" w14:paraId="3E65A493" w14:textId="77777777" w:rsidTr="003A3B95">
        <w:trPr>
          <w:gridBefore w:val="1"/>
          <w:wBefore w:w="4" w:type="pct"/>
          <w:trHeight w:val="345"/>
          <w:tblCellSpacing w:w="15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00A3" w14:textId="77777777" w:rsidR="003460E1" w:rsidRPr="00E46FCC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28B4" w14:textId="77777777" w:rsidR="003460E1" w:rsidRPr="00E46FCC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CA0" w14:textId="558B1416" w:rsidR="003460E1" w:rsidRPr="00E46FCC" w:rsidRDefault="006E72EF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>Nav</w:t>
            </w:r>
          </w:p>
        </w:tc>
      </w:tr>
    </w:tbl>
    <w:p w14:paraId="1DB38C80" w14:textId="0A13DCDC" w:rsidR="00AE5E19" w:rsidRPr="00DC73BA" w:rsidRDefault="00AE5E19" w:rsidP="0003484F">
      <w:pPr>
        <w:spacing w:after="0" w:line="240" w:lineRule="auto"/>
        <w:rPr>
          <w:sz w:val="26"/>
          <w:szCs w:val="26"/>
        </w:rPr>
      </w:pPr>
    </w:p>
    <w:p w14:paraId="54A7D678" w14:textId="77777777" w:rsidR="007B4613" w:rsidRPr="00DC73BA" w:rsidRDefault="007B4613" w:rsidP="000348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lv-LV"/>
        </w:rPr>
      </w:pPr>
      <w:r w:rsidRPr="00DC73BA">
        <w:rPr>
          <w:rFonts w:ascii="Times New Roman" w:hAnsi="Times New Roman"/>
          <w:b/>
          <w:bCs/>
          <w:sz w:val="26"/>
          <w:szCs w:val="26"/>
          <w:lang w:eastAsia="lv-LV"/>
        </w:rPr>
        <w:t>V. Tiesību akta projekta atbilstība Latvijas Republikas starptautiskajām saistībām</w:t>
      </w:r>
    </w:p>
    <w:p w14:paraId="2278E47B" w14:textId="77777777" w:rsidR="0003484F" w:rsidRPr="00E46FCC" w:rsidRDefault="0003484F" w:rsidP="0003484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469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626"/>
        <w:gridCol w:w="5382"/>
      </w:tblGrid>
      <w:tr w:rsidR="00DA454A" w:rsidRPr="00E46FCC" w14:paraId="163C8EE5" w14:textId="77777777" w:rsidTr="005D35CC">
        <w:trPr>
          <w:tblCellSpacing w:w="15" w:type="dxa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A08C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E45E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Saistības pret Eiropas Savienību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B882" w14:textId="77777777" w:rsidR="00983A7A" w:rsidRPr="00907440" w:rsidRDefault="00983A7A" w:rsidP="00983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440">
              <w:rPr>
                <w:rFonts w:ascii="Times New Roman" w:hAnsi="Times New Roman"/>
                <w:sz w:val="26"/>
                <w:szCs w:val="26"/>
              </w:rPr>
              <w:t>Ar</w:t>
            </w:r>
            <w:r w:rsidRPr="00907440">
              <w:rPr>
                <w:sz w:val="26"/>
                <w:szCs w:val="26"/>
              </w:rPr>
              <w:t xml:space="preserve"> </w:t>
            </w:r>
            <w:r w:rsidRPr="00907440">
              <w:rPr>
                <w:rFonts w:ascii="Times New Roman" w:hAnsi="Times New Roman"/>
                <w:sz w:val="26"/>
                <w:szCs w:val="26"/>
              </w:rPr>
              <w:t>projektu tiek pārņemta grozījumu direktīva.</w:t>
            </w:r>
          </w:p>
          <w:p w14:paraId="384DA841" w14:textId="6D3DA70C" w:rsidR="00B72D4B" w:rsidRPr="00E46FCC" w:rsidRDefault="00983A7A" w:rsidP="00983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440">
              <w:rPr>
                <w:rFonts w:ascii="Times New Roman" w:hAnsi="Times New Roman"/>
                <w:sz w:val="26"/>
                <w:szCs w:val="26"/>
              </w:rPr>
              <w:t>Saskaņā ar grozījumu direktīvas 3.panta 1.punktu  dalībvalstu normatīvajiem un administratīvajiem akti</w:t>
            </w:r>
            <w:r>
              <w:rPr>
                <w:rFonts w:ascii="Times New Roman" w:hAnsi="Times New Roman"/>
                <w:sz w:val="26"/>
                <w:szCs w:val="26"/>
              </w:rPr>
              <w:t>em</w:t>
            </w:r>
            <w:r w:rsidRPr="00907440">
              <w:rPr>
                <w:rFonts w:ascii="Times New Roman" w:hAnsi="Times New Roman"/>
                <w:sz w:val="26"/>
                <w:szCs w:val="26"/>
              </w:rPr>
              <w:t>, kas vajadzīgi, lai izpildītu šīs direktīvas prasības, jāstājas spēkā līdz 2016.gada 18.janvārim.</w:t>
            </w:r>
          </w:p>
        </w:tc>
      </w:tr>
      <w:tr w:rsidR="00DA454A" w:rsidRPr="00E46FCC" w14:paraId="7BA03BD9" w14:textId="77777777" w:rsidTr="005D35CC">
        <w:trPr>
          <w:tblCellSpacing w:w="15" w:type="dxa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B365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F91E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Citas starptautiskās saistības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BC0E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  <w:tr w:rsidR="00DA454A" w:rsidRPr="00E46FCC" w14:paraId="721CF4F2" w14:textId="77777777" w:rsidTr="005D35CC">
        <w:trPr>
          <w:tblCellSpacing w:w="15" w:type="dxa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112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884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A5C9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</w:tbl>
    <w:p w14:paraId="5BEDDB74" w14:textId="77777777" w:rsidR="007B4613" w:rsidRPr="00DC73BA" w:rsidRDefault="007B4613" w:rsidP="007B4613">
      <w:pPr>
        <w:spacing w:after="0" w:line="240" w:lineRule="auto"/>
        <w:ind w:firstLine="300"/>
        <w:jc w:val="both"/>
        <w:rPr>
          <w:rFonts w:ascii="Times New Roman" w:hAnsi="Times New Roman"/>
          <w:sz w:val="26"/>
          <w:szCs w:val="26"/>
          <w:lang w:eastAsia="lv-LV"/>
        </w:rPr>
      </w:pPr>
      <w:r w:rsidRPr="00DC73BA">
        <w:rPr>
          <w:rFonts w:ascii="Times New Roman" w:hAnsi="Times New Roman"/>
          <w:sz w:val="26"/>
          <w:szCs w:val="26"/>
          <w:lang w:eastAsia="lv-LV"/>
        </w:rPr>
        <w:t> </w:t>
      </w:r>
    </w:p>
    <w:tbl>
      <w:tblPr>
        <w:tblW w:w="469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2"/>
        <w:gridCol w:w="1355"/>
        <w:gridCol w:w="969"/>
        <w:gridCol w:w="1167"/>
        <w:gridCol w:w="928"/>
        <w:gridCol w:w="2165"/>
      </w:tblGrid>
      <w:tr w:rsidR="00DA454A" w:rsidRPr="00E46FCC" w14:paraId="1FE9CAA6" w14:textId="77777777" w:rsidTr="00003FDC">
        <w:trPr>
          <w:tblCellSpacing w:w="15" w:type="dxa"/>
          <w:jc w:val="center"/>
        </w:trPr>
        <w:tc>
          <w:tcPr>
            <w:tcW w:w="4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CE93" w14:textId="77777777" w:rsidR="007B4613" w:rsidRPr="00E46FCC" w:rsidRDefault="007B4613" w:rsidP="0005162F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1.tabula</w:t>
            </w:r>
            <w:r w:rsidRPr="00E46FC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br/>
              <w:t>Tiesību akta projekta atbilstība ES tiesību aktiem</w:t>
            </w:r>
          </w:p>
        </w:tc>
      </w:tr>
      <w:tr w:rsidR="00DA454A" w:rsidRPr="00E46FCC" w14:paraId="53356454" w14:textId="77777777" w:rsidTr="00003FDC">
        <w:trPr>
          <w:tblCellSpacing w:w="15" w:type="dxa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15B3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Attiecīgā ES tiesību akta datums, numurs un nosaukums</w:t>
            </w:r>
          </w:p>
        </w:tc>
        <w:tc>
          <w:tcPr>
            <w:tcW w:w="3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0175" w14:textId="77777777" w:rsidR="00983A7A" w:rsidRPr="000847A9" w:rsidRDefault="00983A7A" w:rsidP="00983A7A">
            <w:pPr>
              <w:tabs>
                <w:tab w:val="left" w:pos="262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7A9">
              <w:rPr>
                <w:rFonts w:ascii="Times New Roman" w:hAnsi="Times New Roman"/>
                <w:sz w:val="26"/>
                <w:szCs w:val="26"/>
              </w:rPr>
              <w:t>Projekts ietver šāda ES tiesību aktu nosacījumus:</w:t>
            </w:r>
          </w:p>
          <w:p w14:paraId="16C0C3EB" w14:textId="77777777" w:rsidR="00983A7A" w:rsidRPr="000847A9" w:rsidRDefault="00983A7A" w:rsidP="00003F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</w:rPr>
              <w:t xml:space="preserve">Eiropas Parlamenta un Padomes </w:t>
            </w:r>
            <w:r w:rsidRPr="000847A9">
              <w:rPr>
                <w:rFonts w:ascii="Times New Roman" w:hAnsi="Times New Roman"/>
                <w:bCs/>
                <w:sz w:val="26"/>
                <w:szCs w:val="26"/>
              </w:rPr>
              <w:t>2013.gada 20.novembra</w:t>
            </w:r>
            <w:r w:rsidRPr="000847A9">
              <w:rPr>
                <w:rFonts w:ascii="Times New Roman" w:hAnsi="Times New Roman"/>
                <w:sz w:val="26"/>
                <w:szCs w:val="26"/>
              </w:rPr>
              <w:t xml:space="preserve"> Direktīva Nr.</w:t>
            </w:r>
            <w:r w:rsidRPr="000847A9">
              <w:rPr>
                <w:rFonts w:ascii="Times New Roman" w:hAnsi="Times New Roman"/>
                <w:bCs/>
                <w:sz w:val="26"/>
                <w:szCs w:val="26"/>
              </w:rPr>
              <w:t xml:space="preserve">2013/55/ES ar ko groza Direktīvu 2005/36/EK par profesionālo kvalifikāciju atzīšanu un Regulu (ES) Nr.1024/2012 par </w:t>
            </w:r>
            <w:r w:rsidRPr="000847A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administratīvo sadarbību, izmantojot Iekšējā tirgus informācijas sistēmu (IMI regulu) (dokuments attiecas uz EEZ)</w:t>
            </w:r>
            <w:r w:rsidRPr="000847A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F1D543C" w14:textId="1EBBBDFA" w:rsidR="001C46EF" w:rsidRPr="00DC73BA" w:rsidRDefault="001C46EF" w:rsidP="00983A7A">
            <w:pPr>
              <w:pStyle w:val="ListParagraph"/>
              <w:numPr>
                <w:ilvl w:val="0"/>
                <w:numId w:val="18"/>
              </w:num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54A" w:rsidRPr="00E46FCC" w14:paraId="15CEA76D" w14:textId="77777777" w:rsidTr="00003FDC">
        <w:trPr>
          <w:tblCellSpacing w:w="15" w:type="dxa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BEF6" w14:textId="5A6CE3F4" w:rsidR="007B4613" w:rsidRPr="00EA6DAF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A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B20B" w14:textId="77777777" w:rsidR="007B4613" w:rsidRPr="00E46FCC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B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1F32" w14:textId="77777777" w:rsidR="007B4613" w:rsidRPr="00E46FCC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C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9AC8" w14:textId="77777777" w:rsidR="007B4613" w:rsidRPr="00E46FCC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D</w:t>
            </w:r>
          </w:p>
        </w:tc>
      </w:tr>
      <w:tr w:rsidR="00DA454A" w:rsidRPr="00E46FCC" w14:paraId="4599301E" w14:textId="77777777" w:rsidTr="00003FDC">
        <w:trPr>
          <w:tblCellSpacing w:w="15" w:type="dxa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BFFD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1A04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BB68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Informācija par to, vai šīs tabulas A ailē minētās ES tiesību akta vienības tiek pārņemtas vai ieviestas pilnībā vai daļēji. </w:t>
            </w:r>
          </w:p>
          <w:p w14:paraId="4ACB6836" w14:textId="77777777" w:rsidR="007B4613" w:rsidRPr="00E46FCC" w:rsidRDefault="007B4613" w:rsidP="00AF1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7869BAE0" w14:textId="77777777" w:rsidR="007B4613" w:rsidRPr="00E46FCC" w:rsidRDefault="007B4613" w:rsidP="00AF1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2CB9" w14:textId="77777777" w:rsidR="007B4613" w:rsidRPr="00E46FCC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Informācija par to, vai šīs tabulas B ailē minētās projekta vienības paredz stingrākas prasības nekā šīs tabulas A ailē minētās ES tiesību akta vienības. </w:t>
            </w:r>
          </w:p>
          <w:p w14:paraId="454766BC" w14:textId="77777777" w:rsidR="007B4613" w:rsidRPr="00E46FCC" w:rsidRDefault="007B4613" w:rsidP="00AF1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Ja projekts satur stingrākas prasības nekā attiecīgais ES tiesību akts, norāda pamatojumu un samērīgumu.</w:t>
            </w:r>
          </w:p>
          <w:p w14:paraId="5F3D169B" w14:textId="77777777" w:rsidR="007B4613" w:rsidRPr="00E46FCC" w:rsidRDefault="007B4613" w:rsidP="00AF1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DA454A" w:rsidRPr="00E46FCC" w14:paraId="33B1B444" w14:textId="77777777" w:rsidTr="00003FDC">
        <w:trPr>
          <w:tblCellSpacing w:w="15" w:type="dxa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695" w14:textId="77777777" w:rsidR="006568C9" w:rsidRDefault="00F811C4" w:rsidP="00A43D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>Grozījumu d</w:t>
            </w:r>
            <w:r w:rsidR="00EE029A" w:rsidRPr="00EA6DAF">
              <w:rPr>
                <w:rFonts w:ascii="Times New Roman" w:hAnsi="Times New Roman"/>
                <w:sz w:val="26"/>
                <w:szCs w:val="26"/>
              </w:rPr>
              <w:t xml:space="preserve">irektīvas 1.panta </w:t>
            </w:r>
            <w:r w:rsidR="00E526AD" w:rsidRPr="00E46FCC">
              <w:rPr>
                <w:rFonts w:ascii="Times New Roman" w:hAnsi="Times New Roman"/>
                <w:sz w:val="26"/>
                <w:szCs w:val="26"/>
              </w:rPr>
              <w:t>2</w:t>
            </w:r>
            <w:r w:rsidR="00A43D5B" w:rsidRPr="00E46FCC">
              <w:rPr>
                <w:rFonts w:ascii="Times New Roman" w:hAnsi="Times New Roman"/>
                <w:sz w:val="26"/>
                <w:szCs w:val="26"/>
              </w:rPr>
              <w:t>8</w:t>
            </w:r>
            <w:r w:rsidR="00EE029A" w:rsidRPr="00E46FCC">
              <w:rPr>
                <w:rFonts w:ascii="Times New Roman" w:hAnsi="Times New Roman"/>
                <w:sz w:val="26"/>
                <w:szCs w:val="26"/>
              </w:rPr>
              <w:t>) daļa</w:t>
            </w:r>
            <w:r w:rsidR="006568C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CAFD1DA" w14:textId="297CE3C6" w:rsidR="00EE029A" w:rsidRPr="00E46FCC" w:rsidRDefault="00B07428" w:rsidP="006568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68C9">
              <w:rPr>
                <w:rFonts w:ascii="Times New Roman" w:hAnsi="Times New Roman"/>
                <w:sz w:val="26"/>
                <w:szCs w:val="26"/>
              </w:rPr>
              <w:t>D</w:t>
            </w:r>
            <w:r w:rsidRPr="00E46FCC">
              <w:rPr>
                <w:rFonts w:ascii="Times New Roman" w:hAnsi="Times New Roman"/>
                <w:sz w:val="26"/>
                <w:szCs w:val="26"/>
              </w:rPr>
              <w:t xml:space="preserve">irektīvas </w:t>
            </w:r>
            <w:r w:rsidR="00A43D5B" w:rsidRPr="00E46FCC">
              <w:rPr>
                <w:rFonts w:ascii="Times New Roman" w:hAnsi="Times New Roman"/>
                <w:sz w:val="26"/>
                <w:szCs w:val="26"/>
              </w:rPr>
              <w:t>3</w:t>
            </w:r>
            <w:r w:rsidR="00E526AD" w:rsidRPr="00E46FCC">
              <w:rPr>
                <w:rFonts w:ascii="Times New Roman" w:hAnsi="Times New Roman"/>
                <w:sz w:val="26"/>
                <w:szCs w:val="26"/>
              </w:rPr>
              <w:t xml:space="preserve">7. panta </w:t>
            </w:r>
            <w:r w:rsidR="00A43D5B" w:rsidRPr="00E46FCC">
              <w:rPr>
                <w:rFonts w:ascii="Times New Roman" w:hAnsi="Times New Roman"/>
                <w:sz w:val="26"/>
                <w:szCs w:val="26"/>
              </w:rPr>
              <w:t>3. un 4.punkt</w:t>
            </w:r>
            <w:r w:rsidR="006568C9">
              <w:rPr>
                <w:rFonts w:ascii="Times New Roman" w:hAnsi="Times New Roman"/>
                <w:sz w:val="26"/>
                <w:szCs w:val="26"/>
              </w:rPr>
              <w:t>s.</w:t>
            </w:r>
            <w:r w:rsidR="00991E49" w:rsidRPr="00E46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29A" w:rsidRPr="00E46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E424" w14:textId="0031D432" w:rsidR="00EE029A" w:rsidRPr="00E46FCC" w:rsidRDefault="00B83FB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>Projekta</w:t>
            </w:r>
            <w:r w:rsidR="00E56D3D" w:rsidRPr="00E46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47A9" w:rsidRPr="00E46FCC">
              <w:rPr>
                <w:rFonts w:ascii="Times New Roman" w:hAnsi="Times New Roman"/>
                <w:sz w:val="26"/>
                <w:szCs w:val="26"/>
              </w:rPr>
              <w:t>1</w:t>
            </w:r>
            <w:r w:rsidR="00E56D3D" w:rsidRPr="00E46FCC">
              <w:rPr>
                <w:rFonts w:ascii="Times New Roman" w:hAnsi="Times New Roman"/>
                <w:sz w:val="26"/>
                <w:szCs w:val="26"/>
              </w:rPr>
              <w:t>.punkts</w:t>
            </w:r>
            <w:r w:rsidR="00D709B4" w:rsidRPr="00E46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8613A03" w14:textId="77777777" w:rsidR="00D709B4" w:rsidRPr="00E46FCC" w:rsidRDefault="00D709B4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125CD4" w14:textId="1DB04E4E" w:rsidR="00D709B4" w:rsidRPr="00E46FCC" w:rsidRDefault="00D709B4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98B" w14:textId="663B6128" w:rsidR="00EE029A" w:rsidRPr="00E46FCC" w:rsidRDefault="00CE2E47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Tiks ieviesta pilnībā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BF5" w14:textId="50FBEB2F" w:rsidR="00EE029A" w:rsidRPr="00E46FCC" w:rsidRDefault="0034459F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Neparedzēs stingrākas prasības.</w:t>
            </w:r>
          </w:p>
        </w:tc>
      </w:tr>
      <w:tr w:rsidR="00DA454A" w:rsidRPr="00E46FCC" w14:paraId="2BF1E2F2" w14:textId="77777777" w:rsidTr="00003FDC">
        <w:trPr>
          <w:tblCellSpacing w:w="15" w:type="dxa"/>
          <w:jc w:val="center"/>
        </w:trPr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5671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br/>
              <w:t>Kādēļ?</w:t>
            </w: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F8BB" w14:textId="09C4955C" w:rsidR="00956F00" w:rsidRPr="00E46FCC" w:rsidRDefault="000847A9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DA454A" w:rsidRPr="00E46FCC" w14:paraId="26CCAA2D" w14:textId="77777777" w:rsidTr="00003FDC">
        <w:trPr>
          <w:tblCellSpacing w:w="15" w:type="dxa"/>
          <w:jc w:val="center"/>
        </w:trPr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1C8D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47BA" w14:textId="05DCBE4A" w:rsidR="00956F00" w:rsidRPr="00E46FCC" w:rsidRDefault="00A53555" w:rsidP="005129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DA454A" w:rsidRPr="00E46FCC" w14:paraId="5AAD29BC" w14:textId="77777777" w:rsidTr="00003FDC">
        <w:trPr>
          <w:tblCellSpacing w:w="15" w:type="dxa"/>
          <w:jc w:val="center"/>
        </w:trPr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40B7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6115" w14:textId="769950DC" w:rsidR="00956F00" w:rsidRPr="00E46FCC" w:rsidRDefault="003A3B95" w:rsidP="003A3B95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/>
                <w:sz w:val="26"/>
                <w:szCs w:val="26"/>
                <w:lang w:eastAsia="lv-LV"/>
              </w:rPr>
              <w:t>Citas t</w:t>
            </w:r>
            <w:r w:rsidR="001307DA">
              <w:rPr>
                <w:rFonts w:ascii="Times New Roman" w:hAnsi="Times New Roman"/>
                <w:sz w:val="26"/>
                <w:szCs w:val="26"/>
                <w:lang w:eastAsia="lv-LV"/>
              </w:rPr>
              <w:t>iesību normas, kas izriet no direktīvas un grozījumu direktīvas, ir iekļautas likumā „Par reglamentētajām profesijām un profesionālās kvalifikācijas atzīšanu”</w:t>
            </w:r>
            <w:r w:rsidR="00231619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un uz šī likuma pamata izdotajos tiesību aktos.</w:t>
            </w:r>
          </w:p>
        </w:tc>
      </w:tr>
      <w:tr w:rsidR="00DA454A" w:rsidRPr="00E46FCC" w14:paraId="3242366E" w14:textId="77777777" w:rsidTr="00003FDC">
        <w:trPr>
          <w:tblCellSpacing w:w="15" w:type="dxa"/>
          <w:jc w:val="center"/>
        </w:trPr>
        <w:tc>
          <w:tcPr>
            <w:tcW w:w="4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F999" w14:textId="253CBCDA" w:rsidR="00956F00" w:rsidRPr="00E46FCC" w:rsidRDefault="00956F00" w:rsidP="006E72EF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2.tabula</w:t>
            </w:r>
            <w:r w:rsidRPr="00E46FC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br/>
              <w:t>Ar tiesību akta projektu izpildītās vai uzņemtās saistības, kas izriet no starptautiskajiem tiesību aktiem vai starptautiskas institūcijas</w:t>
            </w:r>
            <w:r w:rsidR="006E72EF" w:rsidRPr="00E46FC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 xml:space="preserve"> vai organizācijas dokumentiem. </w:t>
            </w:r>
            <w:r w:rsidRPr="00E46FC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Pasākumi šo saistību izpildei</w:t>
            </w:r>
          </w:p>
        </w:tc>
      </w:tr>
      <w:tr w:rsidR="00DA454A" w:rsidRPr="00E46FCC" w14:paraId="65D7B97C" w14:textId="77777777" w:rsidTr="00003FDC">
        <w:trPr>
          <w:tblCellSpacing w:w="15" w:type="dxa"/>
          <w:jc w:val="center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D741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A26A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DA454A" w:rsidRPr="00E46FCC" w14:paraId="771E6C6A" w14:textId="77777777" w:rsidTr="00003FDC">
        <w:trPr>
          <w:tblCellSpacing w:w="15" w:type="dxa"/>
          <w:jc w:val="center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C95A" w14:textId="77777777" w:rsidR="00956F00" w:rsidRPr="00E46FCC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A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4C79" w14:textId="77777777" w:rsidR="00956F00" w:rsidRPr="00E46FCC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B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A26F" w14:textId="77777777" w:rsidR="00956F00" w:rsidRPr="00E46FCC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C</w:t>
            </w:r>
          </w:p>
        </w:tc>
      </w:tr>
      <w:tr w:rsidR="00DA454A" w:rsidRPr="00E46FCC" w14:paraId="289A15EC" w14:textId="77777777" w:rsidTr="00003FDC">
        <w:trPr>
          <w:tblCellSpacing w:w="15" w:type="dxa"/>
          <w:jc w:val="center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1485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Starptautiskās saistības (pēc būtības), kas izriet no norādītā starptautiskā dokumenta. </w:t>
            </w:r>
          </w:p>
          <w:p w14:paraId="4D4A0F74" w14:textId="77777777" w:rsidR="00956F00" w:rsidRPr="00E46FCC" w:rsidRDefault="00956F00" w:rsidP="00AF1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Konkrēti veicamie pasākumi vai uzdevumi, kas nepieciešami šo starptautisko saistību izpildei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A684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D377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Informācija par to, vai starptautiskās saistības, kas minētas šīs tabulas A ailē, tiek izpildītas pilnībā vai daļēji. </w:t>
            </w:r>
          </w:p>
          <w:p w14:paraId="2834814E" w14:textId="77777777" w:rsidR="00956F00" w:rsidRPr="00E46FCC" w:rsidRDefault="00956F00" w:rsidP="00AF1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01515798" w14:textId="77777777" w:rsidR="00956F00" w:rsidRPr="00E46FCC" w:rsidRDefault="00956F00" w:rsidP="00AF18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Norāda institūciju, kas ir atbildīga par šo saistību izpildi pilnībā</w:t>
            </w:r>
          </w:p>
        </w:tc>
      </w:tr>
      <w:tr w:rsidR="00DA454A" w:rsidRPr="00E46FCC" w14:paraId="4776E4CC" w14:textId="77777777" w:rsidTr="00003FDC">
        <w:trPr>
          <w:tblCellSpacing w:w="15" w:type="dxa"/>
          <w:jc w:val="center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BEF3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Vai starptautiskajā dokumentā paredzētās saistības nav pretrunā ar jau esošajām </w:t>
            </w: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Latvijas Republikas starptautiskajām saistībām</w:t>
            </w:r>
          </w:p>
        </w:tc>
        <w:tc>
          <w:tcPr>
            <w:tcW w:w="3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48CD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Projekts šo jomu neskar.</w:t>
            </w:r>
          </w:p>
        </w:tc>
      </w:tr>
      <w:tr w:rsidR="00DA454A" w:rsidRPr="00E46FCC" w14:paraId="778FD5E9" w14:textId="77777777" w:rsidTr="00003FDC">
        <w:trPr>
          <w:tblCellSpacing w:w="15" w:type="dxa"/>
          <w:jc w:val="center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78F" w14:textId="77777777" w:rsidR="00956F00" w:rsidRPr="00E46FCC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Cita informācija</w:t>
            </w:r>
          </w:p>
        </w:tc>
        <w:tc>
          <w:tcPr>
            <w:tcW w:w="3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D6E" w14:textId="77777777" w:rsidR="00956F00" w:rsidRPr="00E46FCC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</w:tbl>
    <w:p w14:paraId="43C8E263" w14:textId="2F1D873F" w:rsidR="003460E1" w:rsidRPr="00E46FCC" w:rsidRDefault="007B4613" w:rsidP="0003484F">
      <w:pPr>
        <w:spacing w:after="0" w:line="240" w:lineRule="auto"/>
        <w:ind w:firstLine="300"/>
        <w:jc w:val="both"/>
        <w:rPr>
          <w:rFonts w:ascii="Times New Roman" w:hAnsi="Times New Roman"/>
          <w:i/>
          <w:sz w:val="26"/>
          <w:szCs w:val="26"/>
        </w:rPr>
      </w:pPr>
      <w:r w:rsidRPr="00DC73BA">
        <w:rPr>
          <w:rFonts w:ascii="Times New Roman" w:hAnsi="Times New Roman"/>
          <w:sz w:val="26"/>
          <w:szCs w:val="26"/>
          <w:lang w:eastAsia="lv-LV"/>
        </w:rPr>
        <w:t> </w:t>
      </w:r>
    </w:p>
    <w:tbl>
      <w:tblPr>
        <w:tblW w:w="455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2957"/>
        <w:gridCol w:w="4877"/>
      </w:tblGrid>
      <w:tr w:rsidR="00DA454A" w:rsidRPr="00E46FCC" w14:paraId="16EDB388" w14:textId="77777777" w:rsidTr="005D35CC">
        <w:trPr>
          <w:trHeight w:val="420"/>
          <w:tblCellSpacing w:w="15" w:type="dxa"/>
          <w:jc w:val="center"/>
        </w:trPr>
        <w:tc>
          <w:tcPr>
            <w:tcW w:w="4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DA47" w14:textId="77777777" w:rsidR="00812271" w:rsidRPr="00E46FCC" w:rsidRDefault="00812271" w:rsidP="0005162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DA454A" w:rsidRPr="00E46FCC" w14:paraId="47F69F25" w14:textId="77777777" w:rsidTr="005D35CC">
        <w:trPr>
          <w:trHeight w:val="540"/>
          <w:tblCellSpacing w:w="15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24CD" w14:textId="77777777" w:rsidR="00812271" w:rsidRPr="00EA6DAF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98F62" w14:textId="77777777" w:rsidR="00812271" w:rsidRPr="00E46FCC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8450" w14:textId="3ED5A94B" w:rsidR="00812271" w:rsidRPr="00E46FCC" w:rsidRDefault="006A671F" w:rsidP="0000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</w:t>
            </w:r>
            <w:r w:rsidR="001004CD"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ojekts </w:t>
            </w:r>
            <w:r w:rsidR="00684CA5"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publicēts</w:t>
            </w:r>
            <w:r w:rsidR="00577EBE"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ministrijas tīmekļa vietnē</w:t>
            </w:r>
            <w:r w:rsidR="00CF2671"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pēc tā izsludināšanas Valsts sekretāru sanāksmē</w:t>
            </w:r>
            <w:r w:rsidR="00E73ABF"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. </w:t>
            </w:r>
          </w:p>
        </w:tc>
      </w:tr>
      <w:tr w:rsidR="00DA454A" w:rsidRPr="00E46FCC" w14:paraId="6BF6DEE4" w14:textId="77777777" w:rsidTr="005D35CC">
        <w:trPr>
          <w:trHeight w:val="330"/>
          <w:tblCellSpacing w:w="15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41D1E" w14:textId="77777777" w:rsidR="00812271" w:rsidRPr="00EA6DAF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DE4BC" w14:textId="77777777" w:rsidR="00812271" w:rsidRPr="00E46FCC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2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CDC29" w14:textId="6020DDCC" w:rsidR="00812271" w:rsidRPr="00E46FCC" w:rsidRDefault="000847A9" w:rsidP="005104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>Projekts šo jomu neskar.</w:t>
            </w:r>
          </w:p>
        </w:tc>
      </w:tr>
      <w:tr w:rsidR="00DA454A" w:rsidRPr="00E46FCC" w14:paraId="5B9989C0" w14:textId="77777777" w:rsidTr="005D35CC">
        <w:trPr>
          <w:trHeight w:val="465"/>
          <w:tblCellSpacing w:w="15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D466" w14:textId="77777777" w:rsidR="00812271" w:rsidRPr="00EA6DAF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E4BC3" w14:textId="77777777" w:rsidR="00812271" w:rsidRPr="00E46FCC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2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D3150" w14:textId="1288B2A8" w:rsidR="00812271" w:rsidRPr="00E46FCC" w:rsidRDefault="000847A9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hAnsi="Times New Roman"/>
                <w:sz w:val="26"/>
                <w:szCs w:val="26"/>
              </w:rPr>
              <w:t>Projekts šo jomu neskar.</w:t>
            </w:r>
          </w:p>
        </w:tc>
      </w:tr>
      <w:tr w:rsidR="00DA454A" w:rsidRPr="00E46FCC" w14:paraId="48CF7382" w14:textId="77777777" w:rsidTr="005D35CC">
        <w:trPr>
          <w:trHeight w:val="465"/>
          <w:tblCellSpacing w:w="15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673BA" w14:textId="77777777" w:rsidR="00812271" w:rsidRPr="00EA6DAF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26C68" w14:textId="77777777" w:rsidR="00812271" w:rsidRPr="00E46FCC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59059" w14:textId="77777777" w:rsidR="00812271" w:rsidRPr="00E46FCC" w:rsidRDefault="00812271" w:rsidP="000516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14:paraId="0A64254E" w14:textId="77777777" w:rsidR="004A505F" w:rsidRPr="00E46FCC" w:rsidRDefault="004A505F" w:rsidP="000348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461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362"/>
        <w:gridCol w:w="5440"/>
      </w:tblGrid>
      <w:tr w:rsidR="00DA454A" w:rsidRPr="00E46FCC" w14:paraId="65402A31" w14:textId="77777777" w:rsidTr="005D35CC">
        <w:trPr>
          <w:trHeight w:val="375"/>
          <w:tblCellSpacing w:w="15" w:type="dxa"/>
          <w:jc w:val="center"/>
        </w:trPr>
        <w:tc>
          <w:tcPr>
            <w:tcW w:w="4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C3E6" w14:textId="77777777" w:rsidR="00C96AD3" w:rsidRPr="00E46FCC" w:rsidRDefault="00C96AD3" w:rsidP="00C96AD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DA454A" w:rsidRPr="00E46FCC" w14:paraId="702A1D02" w14:textId="77777777" w:rsidTr="005D35CC">
        <w:trPr>
          <w:trHeight w:val="420"/>
          <w:tblCellSpacing w:w="15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F7942" w14:textId="77777777" w:rsidR="00C96AD3" w:rsidRPr="00EA6DAF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BC28D" w14:textId="77777777" w:rsidR="00C96AD3" w:rsidRPr="00E46FCC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56C4A" w14:textId="0476A5E7" w:rsidR="005371A0" w:rsidRPr="00EA6DAF" w:rsidRDefault="005371A0" w:rsidP="005371A0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lv-LV" w:eastAsia="en-US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Projektā noteiktais attieksies uz institūcijām, kas saskaņā ar </w:t>
            </w:r>
            <w:r w:rsidRPr="00EA6DAF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Ministru </w:t>
            </w:r>
            <w:r w:rsidRPr="00663FE6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kabineta 2005.gada 19.jūlija noteikumiem Nr.525 </w:t>
            </w:r>
            <w:r w:rsidR="00EA6DAF" w:rsidRPr="00663FE6">
              <w:rPr>
                <w:rFonts w:ascii="Times New Roman" w:hAnsi="Times New Roman"/>
                <w:sz w:val="26"/>
                <w:szCs w:val="26"/>
                <w:lang w:val="lv-LV" w:eastAsia="en-US"/>
              </w:rPr>
              <w:t>„</w:t>
            </w:r>
            <w:r w:rsidR="00EA6DAF" w:rsidRPr="00663FE6">
              <w:rPr>
                <w:rFonts w:ascii="Times New Roman" w:hAnsi="Times New Roman"/>
                <w:bCs/>
                <w:sz w:val="26"/>
                <w:szCs w:val="26"/>
              </w:rPr>
              <w:t>Kārtība profesionālās kvalifikācijas atzīšanai pastāvīgai profesionālajai darbībai Latvijas Republikā</w:t>
            </w:r>
            <w:r w:rsidR="00EA6DAF" w:rsidRPr="00663FE6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 xml:space="preserve">” </w:t>
            </w:r>
            <w:r w:rsidRPr="00EA6DAF">
              <w:rPr>
                <w:rFonts w:ascii="Times New Roman" w:hAnsi="Times New Roman"/>
                <w:sz w:val="26"/>
                <w:szCs w:val="26"/>
                <w:lang w:val="lv-LV" w:eastAsia="en-US"/>
              </w:rPr>
              <w:t>ir</w:t>
            </w:r>
            <w:r w:rsidRPr="00E46FCC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 iesaistītas profesionālās kvalifikācijas atzīšanā </w:t>
            </w:r>
            <w:r w:rsidR="00E87377" w:rsidRPr="00EA6DAF">
              <w:rPr>
                <w:rFonts w:ascii="Times New Roman" w:hAnsi="Times New Roman"/>
                <w:sz w:val="26"/>
                <w:szCs w:val="26"/>
                <w:lang w:val="lv-LV" w:eastAsia="en-US"/>
              </w:rPr>
              <w:t>zob</w:t>
            </w:r>
            <w:r w:rsidRPr="00EA6DAF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ārsta profesijā: </w:t>
            </w:r>
          </w:p>
          <w:p w14:paraId="2ADEE129" w14:textId="4E5627AB" w:rsidR="001C7F26" w:rsidRPr="00E46FCC" w:rsidRDefault="005371A0" w:rsidP="005371A0">
            <w:pPr>
              <w:pStyle w:val="ListParagraph"/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 w:eastAsia="en-US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val="lv-LV" w:eastAsia="en-US"/>
              </w:rPr>
              <w:t>Akadēmiskās informācijas centr</w:t>
            </w:r>
            <w:r w:rsidR="00090E8C" w:rsidRPr="00E46FCC">
              <w:rPr>
                <w:rFonts w:ascii="Times New Roman" w:hAnsi="Times New Roman"/>
                <w:sz w:val="26"/>
                <w:szCs w:val="26"/>
                <w:lang w:val="lv-LV" w:eastAsia="en-US"/>
              </w:rPr>
              <w:t>s</w:t>
            </w:r>
            <w:r w:rsidRPr="00E46FCC">
              <w:rPr>
                <w:rFonts w:ascii="Times New Roman" w:hAnsi="Times New Roman"/>
                <w:sz w:val="26"/>
                <w:szCs w:val="26"/>
                <w:lang w:val="lv-LV" w:eastAsia="en-US"/>
              </w:rPr>
              <w:t>, kas īsteno informācijas institūcijas uzdevumus,</w:t>
            </w:r>
          </w:p>
          <w:p w14:paraId="46637270" w14:textId="5A3CACFA" w:rsidR="00B62DFF" w:rsidRPr="00E46FCC" w:rsidRDefault="005371A0" w:rsidP="005371A0">
            <w:pPr>
              <w:pStyle w:val="ListParagraph"/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 w:eastAsia="en-US"/>
              </w:rPr>
            </w:pPr>
            <w:r w:rsidRPr="00E46FCC">
              <w:rPr>
                <w:rFonts w:ascii="Times New Roman" w:hAnsi="Times New Roman"/>
                <w:sz w:val="26"/>
                <w:szCs w:val="26"/>
                <w:lang w:val="lv-LV" w:eastAsia="en-US"/>
              </w:rPr>
              <w:t>Latvijas Ārstu biedrīb</w:t>
            </w:r>
            <w:r w:rsidR="00090E8C" w:rsidRPr="00E46FCC">
              <w:rPr>
                <w:rFonts w:ascii="Times New Roman" w:hAnsi="Times New Roman"/>
                <w:sz w:val="26"/>
                <w:szCs w:val="26"/>
                <w:lang w:val="lv-LV" w:eastAsia="en-US"/>
              </w:rPr>
              <w:t>a</w:t>
            </w:r>
            <w:r w:rsidRPr="00E46FCC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, kas ir institūcija, kas izsniedz profesionālās kvalifikācijas atzīšanas apliecības reglamentētajā profesijā. </w:t>
            </w:r>
          </w:p>
        </w:tc>
      </w:tr>
      <w:tr w:rsidR="00DA454A" w:rsidRPr="00E46FCC" w14:paraId="28D8C2E0" w14:textId="77777777" w:rsidTr="005D35CC">
        <w:trPr>
          <w:trHeight w:val="450"/>
          <w:tblCellSpacing w:w="15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7CC44" w14:textId="0A82A365" w:rsidR="00C96AD3" w:rsidRPr="00EA6DAF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40DF8" w14:textId="77777777" w:rsidR="00C96AD3" w:rsidRPr="00E46FCC" w:rsidRDefault="00C96AD3" w:rsidP="00C96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Jaunu institūciju izveide, esošu institūciju likvidācija vai reorganizācija, to ietekme uz </w:t>
            </w: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institūcijas cilvēkresursiem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F064A4" w14:textId="77777777" w:rsidR="00C96AD3" w:rsidRPr="00E46FCC" w:rsidRDefault="008D3E73" w:rsidP="00C96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P</w:t>
            </w:r>
            <w:r w:rsidR="00C96AD3" w:rsidRPr="00E46FCC">
              <w:rPr>
                <w:rFonts w:ascii="Times New Roman" w:hAnsi="Times New Roman"/>
                <w:sz w:val="26"/>
                <w:szCs w:val="26"/>
              </w:rPr>
              <w:t>rojekts šo jomu neskar.</w:t>
            </w:r>
          </w:p>
          <w:p w14:paraId="5DA89E96" w14:textId="422E14BC" w:rsidR="00080CF0" w:rsidRPr="00E46FCC" w:rsidRDefault="00080CF0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DA454A" w:rsidRPr="00E46FCC" w14:paraId="0CFC8929" w14:textId="77777777" w:rsidTr="005D35CC">
        <w:trPr>
          <w:trHeight w:val="390"/>
          <w:tblCellSpacing w:w="15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8D1CF" w14:textId="77777777" w:rsidR="00C96AD3" w:rsidRPr="00EA6DAF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5C226" w14:textId="77777777" w:rsidR="00C96AD3" w:rsidRPr="00E46FCC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5FE5F" w14:textId="77777777" w:rsidR="00C96AD3" w:rsidRPr="00E46FCC" w:rsidRDefault="00C96AD3" w:rsidP="00C96A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E46FC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14:paraId="4F26AD1B" w14:textId="77777777" w:rsidR="00392D00" w:rsidRPr="00E46FCC" w:rsidRDefault="00392D00" w:rsidP="005C42B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8F3D84F" w14:textId="77777777" w:rsidR="0042667D" w:rsidRPr="00E46FCC" w:rsidRDefault="0042667D" w:rsidP="0042667D">
      <w:pPr>
        <w:jc w:val="both"/>
        <w:rPr>
          <w:rFonts w:ascii="Times New Roman" w:hAnsi="Times New Roman"/>
          <w:sz w:val="26"/>
          <w:szCs w:val="26"/>
        </w:rPr>
      </w:pPr>
      <w:r w:rsidRPr="00E46FCC">
        <w:rPr>
          <w:rFonts w:ascii="Times New Roman" w:hAnsi="Times New Roman"/>
          <w:sz w:val="26"/>
          <w:szCs w:val="26"/>
        </w:rPr>
        <w:t>Anotācijas III un IV sadaļa – projekts šo jomu neskar.</w:t>
      </w:r>
    </w:p>
    <w:p w14:paraId="28928B39" w14:textId="77777777" w:rsidR="0042667D" w:rsidRPr="00E46FCC" w:rsidRDefault="0042667D" w:rsidP="005C42B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21D7ACC2" w14:textId="77777777" w:rsidR="004A505F" w:rsidRPr="00E46FCC" w:rsidRDefault="004A505F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224C61" w14:textId="5225F1BF" w:rsidR="00F31126" w:rsidRPr="00E46FCC" w:rsidRDefault="00A76C0A" w:rsidP="004069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46FCC">
        <w:rPr>
          <w:rFonts w:ascii="Times New Roman" w:eastAsia="Times New Roman" w:hAnsi="Times New Roman"/>
          <w:sz w:val="26"/>
          <w:szCs w:val="26"/>
          <w:lang w:eastAsia="lv-LV"/>
        </w:rPr>
        <w:t>I</w:t>
      </w:r>
      <w:r w:rsidR="00F31126" w:rsidRPr="00E46FCC">
        <w:rPr>
          <w:rFonts w:ascii="Times New Roman" w:eastAsia="Times New Roman" w:hAnsi="Times New Roman"/>
          <w:sz w:val="26"/>
          <w:szCs w:val="26"/>
          <w:lang w:eastAsia="lv-LV"/>
        </w:rPr>
        <w:t>zglītības un zinātne</w:t>
      </w:r>
      <w:r w:rsidR="00003FDC">
        <w:rPr>
          <w:rFonts w:ascii="Times New Roman" w:eastAsia="Times New Roman" w:hAnsi="Times New Roman"/>
          <w:sz w:val="26"/>
          <w:szCs w:val="26"/>
          <w:lang w:eastAsia="lv-LV"/>
        </w:rPr>
        <w:t>s ministrs</w:t>
      </w:r>
      <w:r w:rsidRPr="00E46FCC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E46FCC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31126" w:rsidRPr="00E46FCC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F31126" w:rsidRPr="00E46FCC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31126" w:rsidRPr="00E46FCC">
        <w:rPr>
          <w:rFonts w:ascii="Times New Roman" w:eastAsia="Times New Roman" w:hAnsi="Times New Roman"/>
          <w:sz w:val="26"/>
          <w:szCs w:val="26"/>
          <w:lang w:eastAsia="lv-LV"/>
        </w:rPr>
        <w:tab/>
        <w:t xml:space="preserve">    </w:t>
      </w:r>
      <w:r w:rsidR="00F31126" w:rsidRPr="00E46FCC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003FDC">
        <w:rPr>
          <w:rFonts w:ascii="Times New Roman" w:eastAsia="Times New Roman" w:hAnsi="Times New Roman"/>
          <w:sz w:val="26"/>
          <w:szCs w:val="26"/>
          <w:lang w:eastAsia="lv-LV"/>
        </w:rPr>
        <w:t xml:space="preserve">Kārlis Šadurskis </w:t>
      </w:r>
    </w:p>
    <w:p w14:paraId="33D916E8" w14:textId="77777777" w:rsidR="00F31126" w:rsidRPr="00E46FCC" w:rsidRDefault="00F31126" w:rsidP="00F31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4EB571A5" w14:textId="77777777" w:rsidR="00322FF1" w:rsidRPr="00E46FCC" w:rsidRDefault="00322FF1" w:rsidP="00012B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6A0B4BB1" w14:textId="77777777" w:rsidR="004A505F" w:rsidRPr="00E46FCC" w:rsidRDefault="004A505F" w:rsidP="00012B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21D59E03" w14:textId="77777777" w:rsidR="00A76C0A" w:rsidRPr="00003FDC" w:rsidRDefault="00A76C0A" w:rsidP="004069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003FDC">
        <w:rPr>
          <w:rFonts w:ascii="Times New Roman" w:eastAsia="Times New Roman" w:hAnsi="Times New Roman"/>
          <w:sz w:val="26"/>
          <w:szCs w:val="26"/>
          <w:lang w:eastAsia="lv-LV"/>
        </w:rPr>
        <w:t>Vizē:</w:t>
      </w:r>
    </w:p>
    <w:p w14:paraId="0D97C44E" w14:textId="77777777" w:rsidR="00003FDC" w:rsidRPr="00003FDC" w:rsidRDefault="00003FDC" w:rsidP="00003FD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003FDC">
        <w:rPr>
          <w:rFonts w:ascii="Times New Roman" w:hAnsi="Times New Roman"/>
          <w:sz w:val="26"/>
          <w:szCs w:val="26"/>
        </w:rPr>
        <w:t>Valsts sekretāra vietnieks -</w:t>
      </w:r>
    </w:p>
    <w:p w14:paraId="12529485" w14:textId="77777777" w:rsidR="00003FDC" w:rsidRPr="00003FDC" w:rsidRDefault="00003FDC" w:rsidP="00003FD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003FDC">
        <w:rPr>
          <w:rFonts w:ascii="Times New Roman" w:hAnsi="Times New Roman"/>
          <w:sz w:val="26"/>
          <w:szCs w:val="26"/>
        </w:rPr>
        <w:t>Nodrošinājuma un finanšu departamenta direktors,</w:t>
      </w:r>
    </w:p>
    <w:p w14:paraId="05185DEE" w14:textId="77777777" w:rsidR="00003FDC" w:rsidRPr="00003FDC" w:rsidRDefault="00003FDC" w:rsidP="00003F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003FDC">
        <w:rPr>
          <w:rFonts w:ascii="Times New Roman" w:hAnsi="Times New Roman"/>
          <w:sz w:val="26"/>
          <w:szCs w:val="26"/>
        </w:rPr>
        <w:t xml:space="preserve">valsts sekretāra pienākumu izpildītājs </w:t>
      </w:r>
      <w:r w:rsidRPr="00003FDC">
        <w:rPr>
          <w:rFonts w:ascii="Times New Roman" w:hAnsi="Times New Roman"/>
          <w:sz w:val="26"/>
          <w:szCs w:val="26"/>
        </w:rPr>
        <w:tab/>
      </w:r>
      <w:r w:rsidRPr="00003FDC">
        <w:rPr>
          <w:rFonts w:ascii="Times New Roman" w:hAnsi="Times New Roman"/>
          <w:sz w:val="26"/>
          <w:szCs w:val="26"/>
        </w:rPr>
        <w:tab/>
        <w:t xml:space="preserve"> </w:t>
      </w:r>
      <w:r w:rsidRPr="00003FDC">
        <w:rPr>
          <w:rFonts w:ascii="Times New Roman" w:hAnsi="Times New Roman"/>
          <w:sz w:val="26"/>
          <w:szCs w:val="26"/>
        </w:rPr>
        <w:tab/>
      </w:r>
      <w:r w:rsidRPr="00003FDC">
        <w:rPr>
          <w:rFonts w:ascii="Times New Roman" w:hAnsi="Times New Roman"/>
          <w:sz w:val="26"/>
          <w:szCs w:val="26"/>
        </w:rPr>
        <w:tab/>
      </w:r>
      <w:proofErr w:type="spellStart"/>
      <w:r w:rsidRPr="00003FDC">
        <w:rPr>
          <w:rFonts w:ascii="Times New Roman" w:hAnsi="Times New Roman"/>
          <w:sz w:val="26"/>
          <w:szCs w:val="26"/>
        </w:rPr>
        <w:t>E.Martinsons</w:t>
      </w:r>
      <w:proofErr w:type="spellEnd"/>
    </w:p>
    <w:p w14:paraId="7B2DE953" w14:textId="77777777" w:rsidR="00012B57" w:rsidRPr="00003FDC" w:rsidRDefault="00012B57" w:rsidP="00012B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FD2F788" w14:textId="77777777" w:rsidR="00FC7EFA" w:rsidRPr="00DC73BA" w:rsidRDefault="00FC7EFA" w:rsidP="00F3112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C73BA">
        <w:rPr>
          <w:rFonts w:ascii="Times New Roman" w:hAnsi="Times New Roman"/>
          <w:sz w:val="26"/>
          <w:szCs w:val="26"/>
        </w:rPr>
        <w:tab/>
      </w:r>
      <w:r w:rsidRPr="00DC73BA">
        <w:rPr>
          <w:rFonts w:ascii="Times New Roman" w:hAnsi="Times New Roman"/>
          <w:sz w:val="26"/>
          <w:szCs w:val="26"/>
        </w:rPr>
        <w:tab/>
      </w:r>
      <w:r w:rsidRPr="00DC73BA">
        <w:rPr>
          <w:rFonts w:ascii="Times New Roman" w:hAnsi="Times New Roman"/>
          <w:sz w:val="26"/>
          <w:szCs w:val="26"/>
        </w:rPr>
        <w:tab/>
      </w:r>
      <w:r w:rsidRPr="00DC73BA">
        <w:rPr>
          <w:rFonts w:ascii="Times New Roman" w:hAnsi="Times New Roman"/>
          <w:sz w:val="26"/>
          <w:szCs w:val="26"/>
        </w:rPr>
        <w:tab/>
      </w:r>
      <w:r w:rsidRPr="00DC73BA">
        <w:rPr>
          <w:rFonts w:ascii="Times New Roman" w:hAnsi="Times New Roman"/>
          <w:sz w:val="26"/>
          <w:szCs w:val="26"/>
        </w:rPr>
        <w:tab/>
      </w:r>
    </w:p>
    <w:p w14:paraId="0D8DEFE1" w14:textId="77777777" w:rsidR="0003484F" w:rsidRPr="00DC73BA" w:rsidRDefault="0003484F" w:rsidP="00012B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93847A8" w14:textId="77777777" w:rsidR="0003484F" w:rsidRPr="00DC73BA" w:rsidRDefault="0003484F" w:rsidP="00012B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B6ED593" w14:textId="091BC0B0" w:rsidR="00012B57" w:rsidRPr="00EA6DAF" w:rsidRDefault="00003FDC" w:rsidP="00012B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30</w:t>
      </w:r>
      <w:r w:rsidR="00664BCE">
        <w:rPr>
          <w:rFonts w:ascii="Times New Roman" w:eastAsia="Times New Roman" w:hAnsi="Times New Roman"/>
          <w:sz w:val="20"/>
          <w:szCs w:val="20"/>
          <w:lang w:eastAsia="lv-LV"/>
        </w:rPr>
        <w:t>.0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3</w:t>
      </w:r>
      <w:r w:rsidR="00CE3CB5" w:rsidRPr="0018290D">
        <w:rPr>
          <w:rFonts w:ascii="Times New Roman" w:eastAsia="Times New Roman" w:hAnsi="Times New Roman"/>
          <w:sz w:val="20"/>
          <w:szCs w:val="20"/>
          <w:lang w:eastAsia="lv-LV"/>
        </w:rPr>
        <w:t>.2016.</w:t>
      </w:r>
      <w:r w:rsidR="00925B46">
        <w:rPr>
          <w:rFonts w:ascii="Times New Roman" w:eastAsia="Times New Roman" w:hAnsi="Times New Roman"/>
          <w:sz w:val="20"/>
          <w:szCs w:val="20"/>
          <w:lang w:eastAsia="lv-LV"/>
        </w:rPr>
        <w:t xml:space="preserve"> 15:</w:t>
      </w:r>
      <w:r w:rsidR="00916548">
        <w:rPr>
          <w:rFonts w:ascii="Times New Roman" w:eastAsia="Times New Roman" w:hAnsi="Times New Roman"/>
          <w:sz w:val="20"/>
          <w:szCs w:val="20"/>
          <w:lang w:eastAsia="lv-LV"/>
        </w:rPr>
        <w:t>3</w:t>
      </w:r>
      <w:r w:rsidR="00925B46">
        <w:rPr>
          <w:rFonts w:ascii="Times New Roman" w:eastAsia="Times New Roman" w:hAnsi="Times New Roman"/>
          <w:sz w:val="20"/>
          <w:szCs w:val="20"/>
          <w:lang w:eastAsia="lv-LV"/>
        </w:rPr>
        <w:t>9</w:t>
      </w:r>
    </w:p>
    <w:p w14:paraId="279E881E" w14:textId="28DE18DB" w:rsidR="004A308B" w:rsidRPr="0018290D" w:rsidRDefault="0018290D" w:rsidP="00012B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18290D"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 w:rsidR="00003FDC">
        <w:rPr>
          <w:rFonts w:ascii="Times New Roman" w:eastAsia="Times New Roman" w:hAnsi="Times New Roman"/>
          <w:sz w:val="20"/>
          <w:szCs w:val="20"/>
          <w:lang w:eastAsia="lv-LV"/>
        </w:rPr>
        <w:t>097</w:t>
      </w:r>
    </w:p>
    <w:p w14:paraId="4FD50F29" w14:textId="657D3CDF" w:rsidR="00FC7EFA" w:rsidRPr="00EA6DAF" w:rsidRDefault="00DB397F" w:rsidP="00A76C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 w:rsidRPr="00EA6DAF">
        <w:rPr>
          <w:rFonts w:ascii="Times New Roman" w:eastAsia="Times New Roman" w:hAnsi="Times New Roman"/>
          <w:sz w:val="20"/>
          <w:szCs w:val="20"/>
          <w:lang w:eastAsia="lv-LV"/>
        </w:rPr>
        <w:t>I.Stūre</w:t>
      </w:r>
      <w:proofErr w:type="spellEnd"/>
      <w:r w:rsidRPr="00EA6DAF">
        <w:rPr>
          <w:rFonts w:ascii="Times New Roman" w:eastAsia="Times New Roman" w:hAnsi="Times New Roman"/>
          <w:sz w:val="20"/>
          <w:szCs w:val="20"/>
          <w:lang w:eastAsia="lv-LV"/>
        </w:rPr>
        <w:t>, 67047899</w:t>
      </w:r>
    </w:p>
    <w:p w14:paraId="3BB36A2B" w14:textId="1E019F2D" w:rsidR="001F23CB" w:rsidRPr="00EA6DAF" w:rsidRDefault="00DB397F" w:rsidP="00A76C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EA6DAF">
        <w:rPr>
          <w:rFonts w:ascii="Times New Roman" w:eastAsia="Times New Roman" w:hAnsi="Times New Roman"/>
          <w:sz w:val="20"/>
          <w:szCs w:val="20"/>
          <w:lang w:eastAsia="lv-LV"/>
        </w:rPr>
        <w:t>Inese.Sture</w:t>
      </w:r>
      <w:r w:rsidR="00A76C0A" w:rsidRPr="00EA6DAF">
        <w:rPr>
          <w:rFonts w:ascii="Times New Roman" w:eastAsia="Times New Roman" w:hAnsi="Times New Roman"/>
          <w:sz w:val="20"/>
          <w:szCs w:val="20"/>
          <w:lang w:eastAsia="lv-LV"/>
        </w:rPr>
        <w:t>@izm.gov.lv</w:t>
      </w:r>
    </w:p>
    <w:p w14:paraId="22A350A6" w14:textId="6E59AB1F" w:rsidR="00A76C0A" w:rsidRPr="00DC73BA" w:rsidRDefault="001F23CB" w:rsidP="001F23CB">
      <w:pPr>
        <w:tabs>
          <w:tab w:val="left" w:pos="1005"/>
        </w:tabs>
        <w:rPr>
          <w:rFonts w:ascii="Times New Roman" w:eastAsia="Times New Roman" w:hAnsi="Times New Roman"/>
          <w:sz w:val="26"/>
          <w:szCs w:val="26"/>
          <w:lang w:eastAsia="lv-LV"/>
        </w:rPr>
      </w:pPr>
      <w:r w:rsidRPr="00DC73BA">
        <w:rPr>
          <w:rFonts w:ascii="Times New Roman" w:eastAsia="Times New Roman" w:hAnsi="Times New Roman"/>
          <w:sz w:val="26"/>
          <w:szCs w:val="26"/>
          <w:lang w:eastAsia="lv-LV"/>
        </w:rPr>
        <w:tab/>
      </w:r>
    </w:p>
    <w:sectPr w:rsidR="00A76C0A" w:rsidRPr="00DC73BA" w:rsidSect="00EB0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DE08" w14:textId="77777777" w:rsidR="003E5721" w:rsidRDefault="003E5721" w:rsidP="004A53C8">
      <w:pPr>
        <w:spacing w:after="0" w:line="240" w:lineRule="auto"/>
      </w:pPr>
      <w:r>
        <w:separator/>
      </w:r>
    </w:p>
  </w:endnote>
  <w:endnote w:type="continuationSeparator" w:id="0">
    <w:p w14:paraId="428F2882" w14:textId="77777777" w:rsidR="003E5721" w:rsidRDefault="003E5721" w:rsidP="004A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392E" w14:textId="77777777" w:rsidR="00BD7A42" w:rsidRDefault="00BD7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E1CB" w14:textId="03FD386B" w:rsidR="003A45B4" w:rsidRPr="003A45B4" w:rsidRDefault="00BD7A42" w:rsidP="00EB0DDD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 w:rsidRPr="00BD7A42">
      <w:rPr>
        <w:rFonts w:ascii="Times New Roman" w:hAnsi="Times New Roman"/>
        <w:sz w:val="20"/>
        <w:szCs w:val="20"/>
      </w:rPr>
      <w:t>IZManot_300316_not125</w:t>
    </w:r>
    <w:r w:rsidR="003A45B4" w:rsidRPr="003A45B4">
      <w:rPr>
        <w:rFonts w:ascii="Times New Roman" w:hAnsi="Times New Roman"/>
        <w:sz w:val="20"/>
        <w:szCs w:val="20"/>
      </w:rPr>
      <w:t xml:space="preserve">; </w:t>
    </w:r>
    <w:r w:rsidR="003A45B4" w:rsidRPr="003A45B4">
      <w:rPr>
        <w:rFonts w:ascii="Times New Roman" w:eastAsia="Times New Roman" w:hAnsi="Times New Roman"/>
        <w:bCs/>
        <w:sz w:val="20"/>
        <w:szCs w:val="20"/>
        <w:lang w:eastAsia="lv-LV"/>
      </w:rPr>
      <w:t xml:space="preserve">Ministru kabineta noteikumu projekta </w:t>
    </w:r>
    <w:r w:rsidR="003A45B4">
      <w:rPr>
        <w:rFonts w:ascii="Times New Roman" w:eastAsia="Times New Roman" w:hAnsi="Times New Roman"/>
        <w:bCs/>
        <w:sz w:val="20"/>
        <w:szCs w:val="20"/>
        <w:lang w:eastAsia="lv-LV"/>
      </w:rPr>
      <w:t>“</w:t>
    </w:r>
    <w:r w:rsidR="003A45B4" w:rsidRPr="003A45B4">
      <w:rPr>
        <w:rFonts w:ascii="Times New Roman" w:hAnsi="Times New Roman"/>
        <w:bCs/>
        <w:sz w:val="20"/>
        <w:szCs w:val="20"/>
      </w:rPr>
      <w:t xml:space="preserve">Grozījumi </w:t>
    </w:r>
    <w:r w:rsidR="003A45B4" w:rsidRPr="003A45B4">
      <w:rPr>
        <w:rFonts w:ascii="Times New Roman" w:hAnsi="Times New Roman"/>
        <w:sz w:val="20"/>
        <w:szCs w:val="20"/>
      </w:rPr>
      <w:t>Ministru kabineta 2005.gada 15.februāra noteikumos Nr.125 “</w:t>
    </w:r>
    <w:r w:rsidR="003A45B4" w:rsidRPr="003A45B4">
      <w:rPr>
        <w:rFonts w:ascii="Times New Roman" w:eastAsia="Times New Roman" w:hAnsi="Times New Roman"/>
        <w:bCs/>
        <w:sz w:val="20"/>
        <w:szCs w:val="20"/>
        <w:lang w:eastAsia="lv-LV"/>
      </w:rPr>
      <w:t>Noteikumi par zobārsta izglītību un profesionālo kvalifikāciju apliecinošiem dokumentiem, kurus atzīst, piemērojot speciālo profesionālās kvalifikācijas atzīšanas sistēmu</w:t>
    </w:r>
    <w:r w:rsidR="003A45B4" w:rsidRPr="003A45B4">
      <w:rPr>
        <w:rFonts w:ascii="Times New Roman" w:hAnsi="Times New Roman"/>
        <w:sz w:val="20"/>
        <w:szCs w:val="20"/>
      </w:rPr>
      <w:t>””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B6BF" w14:textId="79BE9B64" w:rsidR="00AC1969" w:rsidRPr="00EB0DDD" w:rsidRDefault="00BD7A42" w:rsidP="00EB0DDD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 w:rsidRPr="00BD7A42">
      <w:rPr>
        <w:rFonts w:ascii="Times New Roman" w:hAnsi="Times New Roman"/>
        <w:sz w:val="20"/>
        <w:szCs w:val="20"/>
      </w:rPr>
      <w:t>IZManot_300316_not125</w:t>
    </w:r>
    <w:bookmarkStart w:id="4" w:name="_GoBack"/>
    <w:bookmarkEnd w:id="4"/>
    <w:r w:rsidR="00AC1969" w:rsidRPr="003A45B4">
      <w:rPr>
        <w:rFonts w:ascii="Times New Roman" w:hAnsi="Times New Roman"/>
        <w:sz w:val="20"/>
        <w:szCs w:val="20"/>
      </w:rPr>
      <w:t xml:space="preserve">; </w:t>
    </w:r>
    <w:r w:rsidR="003A45B4" w:rsidRPr="003A45B4">
      <w:rPr>
        <w:rFonts w:ascii="Times New Roman" w:eastAsia="Times New Roman" w:hAnsi="Times New Roman"/>
        <w:bCs/>
        <w:sz w:val="20"/>
        <w:szCs w:val="20"/>
        <w:lang w:eastAsia="lv-LV"/>
      </w:rPr>
      <w:t xml:space="preserve">Ministru kabineta noteikumu projekta </w:t>
    </w:r>
    <w:r w:rsidR="003A45B4">
      <w:rPr>
        <w:rFonts w:ascii="Times New Roman" w:eastAsia="Times New Roman" w:hAnsi="Times New Roman"/>
        <w:bCs/>
        <w:sz w:val="20"/>
        <w:szCs w:val="20"/>
        <w:lang w:eastAsia="lv-LV"/>
      </w:rPr>
      <w:t>“</w:t>
    </w:r>
    <w:r w:rsidR="003A45B4" w:rsidRPr="003A45B4">
      <w:rPr>
        <w:rFonts w:ascii="Times New Roman" w:hAnsi="Times New Roman"/>
        <w:bCs/>
        <w:sz w:val="20"/>
        <w:szCs w:val="20"/>
      </w:rPr>
      <w:t xml:space="preserve">Grozījumi </w:t>
    </w:r>
    <w:r w:rsidR="003A45B4" w:rsidRPr="003A45B4">
      <w:rPr>
        <w:rFonts w:ascii="Times New Roman" w:hAnsi="Times New Roman"/>
        <w:sz w:val="20"/>
        <w:szCs w:val="20"/>
      </w:rPr>
      <w:t>Ministru kabineta 2005.gada 15.februāra noteikumos Nr.125 “</w:t>
    </w:r>
    <w:r w:rsidR="003A45B4" w:rsidRPr="003A45B4">
      <w:rPr>
        <w:rFonts w:ascii="Times New Roman" w:eastAsia="Times New Roman" w:hAnsi="Times New Roman"/>
        <w:bCs/>
        <w:sz w:val="20"/>
        <w:szCs w:val="20"/>
        <w:lang w:eastAsia="lv-LV"/>
      </w:rPr>
      <w:t>Noteikumi par zobārsta izglītību un profesionālo kvalifikāciju apliecinošiem dokumentiem, kurus atzīst, piemērojot speciālo profesionālās kvalifikācijas atzīšanas sistēmu</w:t>
    </w:r>
    <w:r w:rsidR="003A45B4" w:rsidRPr="003A45B4">
      <w:rPr>
        <w:rFonts w:ascii="Times New Roman" w:hAnsi="Times New Roman"/>
        <w:sz w:val="20"/>
        <w:szCs w:val="20"/>
      </w:rPr>
      <w:t>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4B812" w14:textId="77777777" w:rsidR="003E5721" w:rsidRDefault="003E5721" w:rsidP="004A53C8">
      <w:pPr>
        <w:spacing w:after="0" w:line="240" w:lineRule="auto"/>
      </w:pPr>
      <w:r>
        <w:separator/>
      </w:r>
    </w:p>
  </w:footnote>
  <w:footnote w:type="continuationSeparator" w:id="0">
    <w:p w14:paraId="7714EC10" w14:textId="77777777" w:rsidR="003E5721" w:rsidRDefault="003E5721" w:rsidP="004A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29D68" w14:textId="77777777" w:rsidR="00BD7A42" w:rsidRDefault="00BD7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92D7" w14:textId="77777777" w:rsidR="00AC1969" w:rsidRDefault="00AC1969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BD7A42">
      <w:rPr>
        <w:rFonts w:ascii="Times New Roman" w:hAnsi="Times New Roman"/>
        <w:noProof/>
        <w:sz w:val="24"/>
        <w:szCs w:val="24"/>
      </w:rPr>
      <w:t>6</w:t>
    </w:r>
    <w:r w:rsidRPr="00F4546D">
      <w:rPr>
        <w:rFonts w:ascii="Times New Roman" w:hAnsi="Times New Roman"/>
        <w:sz w:val="24"/>
        <w:szCs w:val="24"/>
      </w:rPr>
      <w:fldChar w:fldCharType="end"/>
    </w:r>
  </w:p>
  <w:p w14:paraId="030B23BE" w14:textId="77777777" w:rsidR="00AC1969" w:rsidRPr="00F4546D" w:rsidRDefault="00AC1969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1107" w14:textId="77777777" w:rsidR="00BD7A42" w:rsidRDefault="00BD7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E97"/>
    <w:multiLevelType w:val="hybridMultilevel"/>
    <w:tmpl w:val="F9A6E5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2AD2"/>
    <w:multiLevelType w:val="hybridMultilevel"/>
    <w:tmpl w:val="0A8AA42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14CCA"/>
    <w:multiLevelType w:val="hybridMultilevel"/>
    <w:tmpl w:val="618CC3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23535"/>
    <w:multiLevelType w:val="hybridMultilevel"/>
    <w:tmpl w:val="16E48736"/>
    <w:lvl w:ilvl="0" w:tplc="883CF6F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72FB0"/>
    <w:multiLevelType w:val="hybridMultilevel"/>
    <w:tmpl w:val="63A8C056"/>
    <w:lvl w:ilvl="0" w:tplc="AAB6AC04">
      <w:start w:val="200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E91295"/>
    <w:multiLevelType w:val="hybridMultilevel"/>
    <w:tmpl w:val="C58AEA34"/>
    <w:lvl w:ilvl="0" w:tplc="AAB6AC04">
      <w:start w:val="200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397354"/>
    <w:multiLevelType w:val="hybridMultilevel"/>
    <w:tmpl w:val="F9A6E5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4337"/>
    <w:multiLevelType w:val="hybridMultilevel"/>
    <w:tmpl w:val="371CABCC"/>
    <w:lvl w:ilvl="0" w:tplc="36BC5278">
      <w:start w:val="22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2C1C63"/>
    <w:multiLevelType w:val="hybridMultilevel"/>
    <w:tmpl w:val="406016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F360E"/>
    <w:multiLevelType w:val="hybridMultilevel"/>
    <w:tmpl w:val="B9E867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BFA"/>
    <w:multiLevelType w:val="hybridMultilevel"/>
    <w:tmpl w:val="F35A5C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F5978"/>
    <w:multiLevelType w:val="hybridMultilevel"/>
    <w:tmpl w:val="ED9AE698"/>
    <w:lvl w:ilvl="0" w:tplc="192A9ED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7C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1016B"/>
    <w:multiLevelType w:val="hybridMultilevel"/>
    <w:tmpl w:val="B0D44FBC"/>
    <w:lvl w:ilvl="0" w:tplc="54B8976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0D78"/>
    <w:multiLevelType w:val="hybridMultilevel"/>
    <w:tmpl w:val="83D049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20913"/>
    <w:multiLevelType w:val="hybridMultilevel"/>
    <w:tmpl w:val="762CF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7551F"/>
    <w:multiLevelType w:val="hybridMultilevel"/>
    <w:tmpl w:val="6694D03E"/>
    <w:lvl w:ilvl="0" w:tplc="DC36BBC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F6713C4"/>
    <w:multiLevelType w:val="hybridMultilevel"/>
    <w:tmpl w:val="59F0D4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347B2C"/>
    <w:multiLevelType w:val="hybridMultilevel"/>
    <w:tmpl w:val="536A85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7"/>
  </w:num>
  <w:num w:numId="15">
    <w:abstractNumId w:val="14"/>
  </w:num>
  <w:num w:numId="16">
    <w:abstractNumId w:val="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0"/>
    <w:rsid w:val="0000062E"/>
    <w:rsid w:val="00001DDF"/>
    <w:rsid w:val="00003FDC"/>
    <w:rsid w:val="00004B8E"/>
    <w:rsid w:val="00005D6D"/>
    <w:rsid w:val="00012B57"/>
    <w:rsid w:val="0001406B"/>
    <w:rsid w:val="000140A6"/>
    <w:rsid w:val="000163D3"/>
    <w:rsid w:val="00016895"/>
    <w:rsid w:val="00022DF2"/>
    <w:rsid w:val="0002384C"/>
    <w:rsid w:val="0003484F"/>
    <w:rsid w:val="00040807"/>
    <w:rsid w:val="000433FA"/>
    <w:rsid w:val="000437C4"/>
    <w:rsid w:val="000466E5"/>
    <w:rsid w:val="00046740"/>
    <w:rsid w:val="00047EE3"/>
    <w:rsid w:val="0005162F"/>
    <w:rsid w:val="00057E77"/>
    <w:rsid w:val="00063334"/>
    <w:rsid w:val="00064A14"/>
    <w:rsid w:val="00066969"/>
    <w:rsid w:val="0006697F"/>
    <w:rsid w:val="00066F6E"/>
    <w:rsid w:val="00067084"/>
    <w:rsid w:val="00074501"/>
    <w:rsid w:val="0007455F"/>
    <w:rsid w:val="000746F0"/>
    <w:rsid w:val="00075C47"/>
    <w:rsid w:val="00080CF0"/>
    <w:rsid w:val="0008115D"/>
    <w:rsid w:val="000814D2"/>
    <w:rsid w:val="00083279"/>
    <w:rsid w:val="000847A9"/>
    <w:rsid w:val="00085722"/>
    <w:rsid w:val="0008700C"/>
    <w:rsid w:val="00090E8C"/>
    <w:rsid w:val="00091E19"/>
    <w:rsid w:val="00094D6E"/>
    <w:rsid w:val="0009669B"/>
    <w:rsid w:val="000B6364"/>
    <w:rsid w:val="000B6550"/>
    <w:rsid w:val="000C0CAE"/>
    <w:rsid w:val="000C1C71"/>
    <w:rsid w:val="000C296A"/>
    <w:rsid w:val="000C5B35"/>
    <w:rsid w:val="000D1A6E"/>
    <w:rsid w:val="000D2157"/>
    <w:rsid w:val="000E399A"/>
    <w:rsid w:val="000E40CB"/>
    <w:rsid w:val="000E6D09"/>
    <w:rsid w:val="000F47DB"/>
    <w:rsid w:val="000F597B"/>
    <w:rsid w:val="001004CD"/>
    <w:rsid w:val="00101B63"/>
    <w:rsid w:val="001049A9"/>
    <w:rsid w:val="0011120D"/>
    <w:rsid w:val="00112596"/>
    <w:rsid w:val="001156D9"/>
    <w:rsid w:val="00121135"/>
    <w:rsid w:val="001307DA"/>
    <w:rsid w:val="00133A9A"/>
    <w:rsid w:val="0013546A"/>
    <w:rsid w:val="00137F9E"/>
    <w:rsid w:val="00140D9F"/>
    <w:rsid w:val="00144071"/>
    <w:rsid w:val="00144FFA"/>
    <w:rsid w:val="0014776D"/>
    <w:rsid w:val="00150CDD"/>
    <w:rsid w:val="001539B3"/>
    <w:rsid w:val="001568D1"/>
    <w:rsid w:val="00157E5F"/>
    <w:rsid w:val="00162AD0"/>
    <w:rsid w:val="00175A1D"/>
    <w:rsid w:val="0018290D"/>
    <w:rsid w:val="00187108"/>
    <w:rsid w:val="00190A3A"/>
    <w:rsid w:val="001916C0"/>
    <w:rsid w:val="001919B5"/>
    <w:rsid w:val="00196D09"/>
    <w:rsid w:val="00197F5C"/>
    <w:rsid w:val="001A08CA"/>
    <w:rsid w:val="001A226A"/>
    <w:rsid w:val="001A7E99"/>
    <w:rsid w:val="001B0E1F"/>
    <w:rsid w:val="001B2B20"/>
    <w:rsid w:val="001B7FD0"/>
    <w:rsid w:val="001C46EF"/>
    <w:rsid w:val="001C7F26"/>
    <w:rsid w:val="001D5D6F"/>
    <w:rsid w:val="001E3A52"/>
    <w:rsid w:val="001E7945"/>
    <w:rsid w:val="001E7C50"/>
    <w:rsid w:val="001F23CB"/>
    <w:rsid w:val="001F4BC4"/>
    <w:rsid w:val="00200C24"/>
    <w:rsid w:val="00201805"/>
    <w:rsid w:val="00204189"/>
    <w:rsid w:val="00204B97"/>
    <w:rsid w:val="00205354"/>
    <w:rsid w:val="00207574"/>
    <w:rsid w:val="00213B53"/>
    <w:rsid w:val="002172EA"/>
    <w:rsid w:val="0022760A"/>
    <w:rsid w:val="00231619"/>
    <w:rsid w:val="00233FBE"/>
    <w:rsid w:val="00250073"/>
    <w:rsid w:val="0025296C"/>
    <w:rsid w:val="002555EF"/>
    <w:rsid w:val="002560B1"/>
    <w:rsid w:val="00260CAD"/>
    <w:rsid w:val="00261A0D"/>
    <w:rsid w:val="00266720"/>
    <w:rsid w:val="00271631"/>
    <w:rsid w:val="00272629"/>
    <w:rsid w:val="00272847"/>
    <w:rsid w:val="002742D9"/>
    <w:rsid w:val="00274E47"/>
    <w:rsid w:val="00275B3C"/>
    <w:rsid w:val="00275EC3"/>
    <w:rsid w:val="002817E2"/>
    <w:rsid w:val="00283888"/>
    <w:rsid w:val="002865DB"/>
    <w:rsid w:val="00287315"/>
    <w:rsid w:val="002901D5"/>
    <w:rsid w:val="002A4D5C"/>
    <w:rsid w:val="002B1A24"/>
    <w:rsid w:val="002C425B"/>
    <w:rsid w:val="002C76AC"/>
    <w:rsid w:val="002D0EB1"/>
    <w:rsid w:val="002D406A"/>
    <w:rsid w:val="002D4DF0"/>
    <w:rsid w:val="002E781A"/>
    <w:rsid w:val="002F12C1"/>
    <w:rsid w:val="002F6EBF"/>
    <w:rsid w:val="00304E39"/>
    <w:rsid w:val="0030592D"/>
    <w:rsid w:val="003076ED"/>
    <w:rsid w:val="00307EF6"/>
    <w:rsid w:val="0031069A"/>
    <w:rsid w:val="00311BEB"/>
    <w:rsid w:val="003138F6"/>
    <w:rsid w:val="00313C26"/>
    <w:rsid w:val="0032115E"/>
    <w:rsid w:val="00322FF1"/>
    <w:rsid w:val="00323951"/>
    <w:rsid w:val="00323B8C"/>
    <w:rsid w:val="00323E04"/>
    <w:rsid w:val="003274A1"/>
    <w:rsid w:val="0033149E"/>
    <w:rsid w:val="003343AD"/>
    <w:rsid w:val="003409A7"/>
    <w:rsid w:val="0034459F"/>
    <w:rsid w:val="003460E1"/>
    <w:rsid w:val="00350E80"/>
    <w:rsid w:val="00354158"/>
    <w:rsid w:val="00355F35"/>
    <w:rsid w:val="003567B2"/>
    <w:rsid w:val="0035747C"/>
    <w:rsid w:val="003636B5"/>
    <w:rsid w:val="0037352F"/>
    <w:rsid w:val="00384951"/>
    <w:rsid w:val="0038607C"/>
    <w:rsid w:val="00390C9B"/>
    <w:rsid w:val="00391CA8"/>
    <w:rsid w:val="00392D00"/>
    <w:rsid w:val="00394620"/>
    <w:rsid w:val="00396EBE"/>
    <w:rsid w:val="003A1CA9"/>
    <w:rsid w:val="003A3B95"/>
    <w:rsid w:val="003A45B4"/>
    <w:rsid w:val="003A6684"/>
    <w:rsid w:val="003A6BFF"/>
    <w:rsid w:val="003B0459"/>
    <w:rsid w:val="003B0A3C"/>
    <w:rsid w:val="003B1330"/>
    <w:rsid w:val="003B1A99"/>
    <w:rsid w:val="003C3F84"/>
    <w:rsid w:val="003C590F"/>
    <w:rsid w:val="003D05A2"/>
    <w:rsid w:val="003D0992"/>
    <w:rsid w:val="003D31F7"/>
    <w:rsid w:val="003D5881"/>
    <w:rsid w:val="003D61BA"/>
    <w:rsid w:val="003E12C5"/>
    <w:rsid w:val="003E5721"/>
    <w:rsid w:val="003F1E4B"/>
    <w:rsid w:val="003F21AA"/>
    <w:rsid w:val="003F2409"/>
    <w:rsid w:val="00400B50"/>
    <w:rsid w:val="004031B1"/>
    <w:rsid w:val="0040697E"/>
    <w:rsid w:val="0041289A"/>
    <w:rsid w:val="004150E1"/>
    <w:rsid w:val="00417320"/>
    <w:rsid w:val="004226E8"/>
    <w:rsid w:val="0042350E"/>
    <w:rsid w:val="00423AC2"/>
    <w:rsid w:val="00424155"/>
    <w:rsid w:val="00425A6D"/>
    <w:rsid w:val="0042667D"/>
    <w:rsid w:val="00432DF4"/>
    <w:rsid w:val="0043316D"/>
    <w:rsid w:val="004358D3"/>
    <w:rsid w:val="00450A5C"/>
    <w:rsid w:val="00451CB3"/>
    <w:rsid w:val="00454A2A"/>
    <w:rsid w:val="00454A36"/>
    <w:rsid w:val="00455455"/>
    <w:rsid w:val="00456082"/>
    <w:rsid w:val="00456085"/>
    <w:rsid w:val="0046343F"/>
    <w:rsid w:val="00465603"/>
    <w:rsid w:val="00470A88"/>
    <w:rsid w:val="004713DD"/>
    <w:rsid w:val="0047221D"/>
    <w:rsid w:val="0047435F"/>
    <w:rsid w:val="00474B2C"/>
    <w:rsid w:val="004769A7"/>
    <w:rsid w:val="00481E13"/>
    <w:rsid w:val="00482C68"/>
    <w:rsid w:val="00487765"/>
    <w:rsid w:val="00487DF4"/>
    <w:rsid w:val="0049075B"/>
    <w:rsid w:val="004935B9"/>
    <w:rsid w:val="00495305"/>
    <w:rsid w:val="004A16FD"/>
    <w:rsid w:val="004A308B"/>
    <w:rsid w:val="004A405A"/>
    <w:rsid w:val="004A505F"/>
    <w:rsid w:val="004A53C8"/>
    <w:rsid w:val="004A549F"/>
    <w:rsid w:val="004A6E95"/>
    <w:rsid w:val="004A719C"/>
    <w:rsid w:val="004B01ED"/>
    <w:rsid w:val="004B0F25"/>
    <w:rsid w:val="004B3319"/>
    <w:rsid w:val="004B5483"/>
    <w:rsid w:val="004B623D"/>
    <w:rsid w:val="004B72DA"/>
    <w:rsid w:val="004B72F1"/>
    <w:rsid w:val="004C31BB"/>
    <w:rsid w:val="004C4E93"/>
    <w:rsid w:val="004D0C0D"/>
    <w:rsid w:val="004D0F25"/>
    <w:rsid w:val="004D2E81"/>
    <w:rsid w:val="004D3CA0"/>
    <w:rsid w:val="004D6490"/>
    <w:rsid w:val="004E520A"/>
    <w:rsid w:val="004E6D78"/>
    <w:rsid w:val="004F054B"/>
    <w:rsid w:val="004F3A16"/>
    <w:rsid w:val="004F40F7"/>
    <w:rsid w:val="005012A5"/>
    <w:rsid w:val="00506F10"/>
    <w:rsid w:val="0051041A"/>
    <w:rsid w:val="00512938"/>
    <w:rsid w:val="00512F1C"/>
    <w:rsid w:val="00513AA9"/>
    <w:rsid w:val="00517034"/>
    <w:rsid w:val="00522CAD"/>
    <w:rsid w:val="00523105"/>
    <w:rsid w:val="00525780"/>
    <w:rsid w:val="00531930"/>
    <w:rsid w:val="00532A75"/>
    <w:rsid w:val="00534BA0"/>
    <w:rsid w:val="00534DC0"/>
    <w:rsid w:val="00536492"/>
    <w:rsid w:val="005371A0"/>
    <w:rsid w:val="0054015A"/>
    <w:rsid w:val="00540DC8"/>
    <w:rsid w:val="005413EC"/>
    <w:rsid w:val="00551B92"/>
    <w:rsid w:val="005525B8"/>
    <w:rsid w:val="005536F7"/>
    <w:rsid w:val="00554FA3"/>
    <w:rsid w:val="005551D1"/>
    <w:rsid w:val="00556473"/>
    <w:rsid w:val="00560F53"/>
    <w:rsid w:val="00561B38"/>
    <w:rsid w:val="005749B4"/>
    <w:rsid w:val="00577216"/>
    <w:rsid w:val="00577EBE"/>
    <w:rsid w:val="00584120"/>
    <w:rsid w:val="005925F2"/>
    <w:rsid w:val="0059400B"/>
    <w:rsid w:val="005949A8"/>
    <w:rsid w:val="005A1C65"/>
    <w:rsid w:val="005A601E"/>
    <w:rsid w:val="005A763F"/>
    <w:rsid w:val="005B237A"/>
    <w:rsid w:val="005B3E75"/>
    <w:rsid w:val="005B3F33"/>
    <w:rsid w:val="005C2289"/>
    <w:rsid w:val="005C3F18"/>
    <w:rsid w:val="005C3F96"/>
    <w:rsid w:val="005C42B1"/>
    <w:rsid w:val="005C4E27"/>
    <w:rsid w:val="005D35CC"/>
    <w:rsid w:val="005D56D4"/>
    <w:rsid w:val="005E0733"/>
    <w:rsid w:val="005F0690"/>
    <w:rsid w:val="005F5ADA"/>
    <w:rsid w:val="0060361E"/>
    <w:rsid w:val="00605151"/>
    <w:rsid w:val="00605858"/>
    <w:rsid w:val="00613DAC"/>
    <w:rsid w:val="0061423E"/>
    <w:rsid w:val="00617C45"/>
    <w:rsid w:val="006225CA"/>
    <w:rsid w:val="0062433B"/>
    <w:rsid w:val="0062611B"/>
    <w:rsid w:val="00626958"/>
    <w:rsid w:val="00631529"/>
    <w:rsid w:val="00631FBB"/>
    <w:rsid w:val="00632A2E"/>
    <w:rsid w:val="00634BA3"/>
    <w:rsid w:val="00635523"/>
    <w:rsid w:val="006365D2"/>
    <w:rsid w:val="00640186"/>
    <w:rsid w:val="00647270"/>
    <w:rsid w:val="0065161F"/>
    <w:rsid w:val="00651B7D"/>
    <w:rsid w:val="006531A5"/>
    <w:rsid w:val="006568C9"/>
    <w:rsid w:val="006578D4"/>
    <w:rsid w:val="00660C44"/>
    <w:rsid w:val="00661B34"/>
    <w:rsid w:val="00663B48"/>
    <w:rsid w:val="00663FE6"/>
    <w:rsid w:val="00664906"/>
    <w:rsid w:val="00664BCE"/>
    <w:rsid w:val="00665D01"/>
    <w:rsid w:val="00667151"/>
    <w:rsid w:val="00681FA4"/>
    <w:rsid w:val="006825C0"/>
    <w:rsid w:val="00684CA5"/>
    <w:rsid w:val="0069093D"/>
    <w:rsid w:val="00690997"/>
    <w:rsid w:val="006910BD"/>
    <w:rsid w:val="00694633"/>
    <w:rsid w:val="006A26A2"/>
    <w:rsid w:val="006A3B0A"/>
    <w:rsid w:val="006A4282"/>
    <w:rsid w:val="006A4790"/>
    <w:rsid w:val="006A541D"/>
    <w:rsid w:val="006A5651"/>
    <w:rsid w:val="006A671F"/>
    <w:rsid w:val="006A68C1"/>
    <w:rsid w:val="006A7B3E"/>
    <w:rsid w:val="006B2188"/>
    <w:rsid w:val="006B3C9C"/>
    <w:rsid w:val="006C0EEB"/>
    <w:rsid w:val="006C5F23"/>
    <w:rsid w:val="006D4569"/>
    <w:rsid w:val="006E231E"/>
    <w:rsid w:val="006E72EF"/>
    <w:rsid w:val="006F11ED"/>
    <w:rsid w:val="006F3CAE"/>
    <w:rsid w:val="006F4394"/>
    <w:rsid w:val="006F4A97"/>
    <w:rsid w:val="00702234"/>
    <w:rsid w:val="007058CE"/>
    <w:rsid w:val="0071082B"/>
    <w:rsid w:val="00711F3E"/>
    <w:rsid w:val="00713986"/>
    <w:rsid w:val="007144A1"/>
    <w:rsid w:val="007147BE"/>
    <w:rsid w:val="007161C1"/>
    <w:rsid w:val="007210B1"/>
    <w:rsid w:val="007248FB"/>
    <w:rsid w:val="00731E6C"/>
    <w:rsid w:val="00733C8C"/>
    <w:rsid w:val="007418A6"/>
    <w:rsid w:val="0074653E"/>
    <w:rsid w:val="00746B70"/>
    <w:rsid w:val="00746D7A"/>
    <w:rsid w:val="00753132"/>
    <w:rsid w:val="00755860"/>
    <w:rsid w:val="00763606"/>
    <w:rsid w:val="00767AC1"/>
    <w:rsid w:val="00771AE0"/>
    <w:rsid w:val="00773158"/>
    <w:rsid w:val="00773C6A"/>
    <w:rsid w:val="00775455"/>
    <w:rsid w:val="00781A81"/>
    <w:rsid w:val="007849BB"/>
    <w:rsid w:val="00784CDA"/>
    <w:rsid w:val="00785823"/>
    <w:rsid w:val="00785D22"/>
    <w:rsid w:val="00787C61"/>
    <w:rsid w:val="00794184"/>
    <w:rsid w:val="00794B8A"/>
    <w:rsid w:val="0079543A"/>
    <w:rsid w:val="007973E0"/>
    <w:rsid w:val="007A0535"/>
    <w:rsid w:val="007A59AB"/>
    <w:rsid w:val="007A5D0E"/>
    <w:rsid w:val="007A6052"/>
    <w:rsid w:val="007A79CD"/>
    <w:rsid w:val="007B02E9"/>
    <w:rsid w:val="007B07F6"/>
    <w:rsid w:val="007B1499"/>
    <w:rsid w:val="007B25E2"/>
    <w:rsid w:val="007B2775"/>
    <w:rsid w:val="007B4613"/>
    <w:rsid w:val="007C4012"/>
    <w:rsid w:val="007C447D"/>
    <w:rsid w:val="007C50F1"/>
    <w:rsid w:val="007C5781"/>
    <w:rsid w:val="007D276C"/>
    <w:rsid w:val="007E7C9E"/>
    <w:rsid w:val="007F13E5"/>
    <w:rsid w:val="007F4BCA"/>
    <w:rsid w:val="007F53BF"/>
    <w:rsid w:val="007F6179"/>
    <w:rsid w:val="00800369"/>
    <w:rsid w:val="00805536"/>
    <w:rsid w:val="00805E52"/>
    <w:rsid w:val="00812271"/>
    <w:rsid w:val="008126B4"/>
    <w:rsid w:val="00814828"/>
    <w:rsid w:val="00816BD1"/>
    <w:rsid w:val="00817032"/>
    <w:rsid w:val="0082002F"/>
    <w:rsid w:val="00823CB3"/>
    <w:rsid w:val="00833E9A"/>
    <w:rsid w:val="00835064"/>
    <w:rsid w:val="00835AEA"/>
    <w:rsid w:val="00836996"/>
    <w:rsid w:val="00840CFA"/>
    <w:rsid w:val="00840E0E"/>
    <w:rsid w:val="0084141A"/>
    <w:rsid w:val="008467A7"/>
    <w:rsid w:val="00853DF2"/>
    <w:rsid w:val="00855A91"/>
    <w:rsid w:val="008574FE"/>
    <w:rsid w:val="00857EFA"/>
    <w:rsid w:val="0086125F"/>
    <w:rsid w:val="00861277"/>
    <w:rsid w:val="00863303"/>
    <w:rsid w:val="008725B1"/>
    <w:rsid w:val="00872CFE"/>
    <w:rsid w:val="008750A2"/>
    <w:rsid w:val="0087656E"/>
    <w:rsid w:val="00876B5F"/>
    <w:rsid w:val="00882DF4"/>
    <w:rsid w:val="00887CBA"/>
    <w:rsid w:val="008A3B73"/>
    <w:rsid w:val="008B2805"/>
    <w:rsid w:val="008B4FFB"/>
    <w:rsid w:val="008C0B91"/>
    <w:rsid w:val="008C2BFF"/>
    <w:rsid w:val="008C2D3D"/>
    <w:rsid w:val="008C2F6A"/>
    <w:rsid w:val="008C399D"/>
    <w:rsid w:val="008C7D0A"/>
    <w:rsid w:val="008D37A4"/>
    <w:rsid w:val="008D3D53"/>
    <w:rsid w:val="008D3E73"/>
    <w:rsid w:val="008E2DC4"/>
    <w:rsid w:val="008E3195"/>
    <w:rsid w:val="008F0B46"/>
    <w:rsid w:val="008F28FB"/>
    <w:rsid w:val="008F36AC"/>
    <w:rsid w:val="008F3BB9"/>
    <w:rsid w:val="009006A8"/>
    <w:rsid w:val="0090137E"/>
    <w:rsid w:val="0090667B"/>
    <w:rsid w:val="00916548"/>
    <w:rsid w:val="00916CD2"/>
    <w:rsid w:val="00925B46"/>
    <w:rsid w:val="00930785"/>
    <w:rsid w:val="00930796"/>
    <w:rsid w:val="00930A74"/>
    <w:rsid w:val="00932CA8"/>
    <w:rsid w:val="00933A0D"/>
    <w:rsid w:val="0093566F"/>
    <w:rsid w:val="00937CF5"/>
    <w:rsid w:val="009403B2"/>
    <w:rsid w:val="00944BE5"/>
    <w:rsid w:val="00944E05"/>
    <w:rsid w:val="00946764"/>
    <w:rsid w:val="00951E78"/>
    <w:rsid w:val="009522D5"/>
    <w:rsid w:val="00953CEA"/>
    <w:rsid w:val="00956F00"/>
    <w:rsid w:val="009625C1"/>
    <w:rsid w:val="0096356B"/>
    <w:rsid w:val="009636D0"/>
    <w:rsid w:val="009651EA"/>
    <w:rsid w:val="00965BCD"/>
    <w:rsid w:val="00966306"/>
    <w:rsid w:val="009675F2"/>
    <w:rsid w:val="009705CA"/>
    <w:rsid w:val="00970A82"/>
    <w:rsid w:val="00971FE2"/>
    <w:rsid w:val="0097311A"/>
    <w:rsid w:val="00973AB7"/>
    <w:rsid w:val="00975CB2"/>
    <w:rsid w:val="0097779E"/>
    <w:rsid w:val="0098126F"/>
    <w:rsid w:val="00983A7A"/>
    <w:rsid w:val="00985459"/>
    <w:rsid w:val="0098624E"/>
    <w:rsid w:val="00990EC6"/>
    <w:rsid w:val="00991E49"/>
    <w:rsid w:val="00994B70"/>
    <w:rsid w:val="00994C31"/>
    <w:rsid w:val="009A3F82"/>
    <w:rsid w:val="009B0744"/>
    <w:rsid w:val="009B07E5"/>
    <w:rsid w:val="009B3D7E"/>
    <w:rsid w:val="009B608B"/>
    <w:rsid w:val="009C137A"/>
    <w:rsid w:val="009D2908"/>
    <w:rsid w:val="009E0212"/>
    <w:rsid w:val="009E0243"/>
    <w:rsid w:val="009E1336"/>
    <w:rsid w:val="009E2695"/>
    <w:rsid w:val="009E3113"/>
    <w:rsid w:val="009E4133"/>
    <w:rsid w:val="009E4803"/>
    <w:rsid w:val="009E7BBD"/>
    <w:rsid w:val="009F1AA2"/>
    <w:rsid w:val="009F1DA8"/>
    <w:rsid w:val="009F57BA"/>
    <w:rsid w:val="009F6089"/>
    <w:rsid w:val="00A071CB"/>
    <w:rsid w:val="00A07D22"/>
    <w:rsid w:val="00A11171"/>
    <w:rsid w:val="00A13AAD"/>
    <w:rsid w:val="00A20182"/>
    <w:rsid w:val="00A2431B"/>
    <w:rsid w:val="00A26B41"/>
    <w:rsid w:val="00A26DC3"/>
    <w:rsid w:val="00A272D5"/>
    <w:rsid w:val="00A2766E"/>
    <w:rsid w:val="00A325FA"/>
    <w:rsid w:val="00A33851"/>
    <w:rsid w:val="00A35113"/>
    <w:rsid w:val="00A36576"/>
    <w:rsid w:val="00A36815"/>
    <w:rsid w:val="00A408EB"/>
    <w:rsid w:val="00A415D2"/>
    <w:rsid w:val="00A43C78"/>
    <w:rsid w:val="00A43D5B"/>
    <w:rsid w:val="00A4504C"/>
    <w:rsid w:val="00A47B66"/>
    <w:rsid w:val="00A503F4"/>
    <w:rsid w:val="00A53555"/>
    <w:rsid w:val="00A54BE6"/>
    <w:rsid w:val="00A55F45"/>
    <w:rsid w:val="00A565EB"/>
    <w:rsid w:val="00A6532E"/>
    <w:rsid w:val="00A67229"/>
    <w:rsid w:val="00A7350D"/>
    <w:rsid w:val="00A76C0A"/>
    <w:rsid w:val="00A8486E"/>
    <w:rsid w:val="00A87395"/>
    <w:rsid w:val="00A917AF"/>
    <w:rsid w:val="00AA3E1C"/>
    <w:rsid w:val="00AB171C"/>
    <w:rsid w:val="00AC1969"/>
    <w:rsid w:val="00AC20F9"/>
    <w:rsid w:val="00AC418E"/>
    <w:rsid w:val="00AC62B2"/>
    <w:rsid w:val="00AD2FED"/>
    <w:rsid w:val="00AD32A3"/>
    <w:rsid w:val="00AD4FD5"/>
    <w:rsid w:val="00AE0A1E"/>
    <w:rsid w:val="00AE1B55"/>
    <w:rsid w:val="00AE3E27"/>
    <w:rsid w:val="00AE506E"/>
    <w:rsid w:val="00AE560C"/>
    <w:rsid w:val="00AE5E19"/>
    <w:rsid w:val="00AF0775"/>
    <w:rsid w:val="00AF18A7"/>
    <w:rsid w:val="00AF28A8"/>
    <w:rsid w:val="00AF36E5"/>
    <w:rsid w:val="00AF7504"/>
    <w:rsid w:val="00B00363"/>
    <w:rsid w:val="00B011C3"/>
    <w:rsid w:val="00B01379"/>
    <w:rsid w:val="00B07428"/>
    <w:rsid w:val="00B07CE4"/>
    <w:rsid w:val="00B10218"/>
    <w:rsid w:val="00B13EA6"/>
    <w:rsid w:val="00B14A4E"/>
    <w:rsid w:val="00B21F14"/>
    <w:rsid w:val="00B2312C"/>
    <w:rsid w:val="00B232E9"/>
    <w:rsid w:val="00B2641B"/>
    <w:rsid w:val="00B31D70"/>
    <w:rsid w:val="00B44EA5"/>
    <w:rsid w:val="00B4613D"/>
    <w:rsid w:val="00B47243"/>
    <w:rsid w:val="00B50A34"/>
    <w:rsid w:val="00B54568"/>
    <w:rsid w:val="00B54C9C"/>
    <w:rsid w:val="00B54E5E"/>
    <w:rsid w:val="00B550BB"/>
    <w:rsid w:val="00B613D2"/>
    <w:rsid w:val="00B62DFF"/>
    <w:rsid w:val="00B6542C"/>
    <w:rsid w:val="00B6566C"/>
    <w:rsid w:val="00B65C59"/>
    <w:rsid w:val="00B6774E"/>
    <w:rsid w:val="00B72734"/>
    <w:rsid w:val="00B72D4B"/>
    <w:rsid w:val="00B73480"/>
    <w:rsid w:val="00B755DC"/>
    <w:rsid w:val="00B80C92"/>
    <w:rsid w:val="00B83FB1"/>
    <w:rsid w:val="00B91D8E"/>
    <w:rsid w:val="00B91E30"/>
    <w:rsid w:val="00B93D33"/>
    <w:rsid w:val="00B97DF5"/>
    <w:rsid w:val="00BB10ED"/>
    <w:rsid w:val="00BB24B4"/>
    <w:rsid w:val="00BC273D"/>
    <w:rsid w:val="00BC30F1"/>
    <w:rsid w:val="00BC6C8B"/>
    <w:rsid w:val="00BD1293"/>
    <w:rsid w:val="00BD1C23"/>
    <w:rsid w:val="00BD286A"/>
    <w:rsid w:val="00BD512D"/>
    <w:rsid w:val="00BD60A7"/>
    <w:rsid w:val="00BD7A42"/>
    <w:rsid w:val="00BD7B0F"/>
    <w:rsid w:val="00BF0936"/>
    <w:rsid w:val="00BF610D"/>
    <w:rsid w:val="00C02C2B"/>
    <w:rsid w:val="00C05444"/>
    <w:rsid w:val="00C06E4F"/>
    <w:rsid w:val="00C06F65"/>
    <w:rsid w:val="00C07AFE"/>
    <w:rsid w:val="00C1270E"/>
    <w:rsid w:val="00C21978"/>
    <w:rsid w:val="00C25ED6"/>
    <w:rsid w:val="00C30748"/>
    <w:rsid w:val="00C30AA0"/>
    <w:rsid w:val="00C3373E"/>
    <w:rsid w:val="00C3612B"/>
    <w:rsid w:val="00C40E50"/>
    <w:rsid w:val="00C41CAB"/>
    <w:rsid w:val="00C441F3"/>
    <w:rsid w:val="00C51360"/>
    <w:rsid w:val="00C56A53"/>
    <w:rsid w:val="00C64748"/>
    <w:rsid w:val="00C676BF"/>
    <w:rsid w:val="00C676F5"/>
    <w:rsid w:val="00C719A4"/>
    <w:rsid w:val="00C736E2"/>
    <w:rsid w:val="00C73B10"/>
    <w:rsid w:val="00C73E71"/>
    <w:rsid w:val="00C74642"/>
    <w:rsid w:val="00C76A5D"/>
    <w:rsid w:val="00C76F08"/>
    <w:rsid w:val="00C77A99"/>
    <w:rsid w:val="00C77DDB"/>
    <w:rsid w:val="00C81BBF"/>
    <w:rsid w:val="00C832AE"/>
    <w:rsid w:val="00C94384"/>
    <w:rsid w:val="00C95874"/>
    <w:rsid w:val="00C96AD3"/>
    <w:rsid w:val="00C97BE1"/>
    <w:rsid w:val="00CA112B"/>
    <w:rsid w:val="00CA1493"/>
    <w:rsid w:val="00CA19B6"/>
    <w:rsid w:val="00CA2A6D"/>
    <w:rsid w:val="00CA546B"/>
    <w:rsid w:val="00CB4722"/>
    <w:rsid w:val="00CB68F1"/>
    <w:rsid w:val="00CC063E"/>
    <w:rsid w:val="00CC750E"/>
    <w:rsid w:val="00CC78FE"/>
    <w:rsid w:val="00CD3093"/>
    <w:rsid w:val="00CD3710"/>
    <w:rsid w:val="00CD47E0"/>
    <w:rsid w:val="00CD70CC"/>
    <w:rsid w:val="00CE2B7F"/>
    <w:rsid w:val="00CE2E47"/>
    <w:rsid w:val="00CE3CB5"/>
    <w:rsid w:val="00CE517F"/>
    <w:rsid w:val="00CF1208"/>
    <w:rsid w:val="00CF2671"/>
    <w:rsid w:val="00D01F29"/>
    <w:rsid w:val="00D048F8"/>
    <w:rsid w:val="00D04E6C"/>
    <w:rsid w:val="00D0561E"/>
    <w:rsid w:val="00D06632"/>
    <w:rsid w:val="00D149EF"/>
    <w:rsid w:val="00D169F6"/>
    <w:rsid w:val="00D21BAD"/>
    <w:rsid w:val="00D23B0E"/>
    <w:rsid w:val="00D3219B"/>
    <w:rsid w:val="00D32E3B"/>
    <w:rsid w:val="00D4496B"/>
    <w:rsid w:val="00D4547F"/>
    <w:rsid w:val="00D45491"/>
    <w:rsid w:val="00D55BB7"/>
    <w:rsid w:val="00D6049C"/>
    <w:rsid w:val="00D709B4"/>
    <w:rsid w:val="00D7234C"/>
    <w:rsid w:val="00D72808"/>
    <w:rsid w:val="00D76F45"/>
    <w:rsid w:val="00D80173"/>
    <w:rsid w:val="00D86E70"/>
    <w:rsid w:val="00D93E81"/>
    <w:rsid w:val="00D947A5"/>
    <w:rsid w:val="00D954F7"/>
    <w:rsid w:val="00D95671"/>
    <w:rsid w:val="00D95F93"/>
    <w:rsid w:val="00D96AA6"/>
    <w:rsid w:val="00DA348A"/>
    <w:rsid w:val="00DA454A"/>
    <w:rsid w:val="00DA4FF4"/>
    <w:rsid w:val="00DB1419"/>
    <w:rsid w:val="00DB1591"/>
    <w:rsid w:val="00DB30BA"/>
    <w:rsid w:val="00DB3160"/>
    <w:rsid w:val="00DB397F"/>
    <w:rsid w:val="00DB475F"/>
    <w:rsid w:val="00DB4CFF"/>
    <w:rsid w:val="00DB59E6"/>
    <w:rsid w:val="00DB7655"/>
    <w:rsid w:val="00DC4388"/>
    <w:rsid w:val="00DC5F8B"/>
    <w:rsid w:val="00DC6380"/>
    <w:rsid w:val="00DC6BAF"/>
    <w:rsid w:val="00DC73BA"/>
    <w:rsid w:val="00DD596F"/>
    <w:rsid w:val="00DE582E"/>
    <w:rsid w:val="00DE640C"/>
    <w:rsid w:val="00DF0777"/>
    <w:rsid w:val="00DF0C25"/>
    <w:rsid w:val="00DF12C5"/>
    <w:rsid w:val="00DF3B26"/>
    <w:rsid w:val="00DF53C3"/>
    <w:rsid w:val="00E00081"/>
    <w:rsid w:val="00E01393"/>
    <w:rsid w:val="00E01A18"/>
    <w:rsid w:val="00E05857"/>
    <w:rsid w:val="00E147E2"/>
    <w:rsid w:val="00E14DB0"/>
    <w:rsid w:val="00E16634"/>
    <w:rsid w:val="00E223F6"/>
    <w:rsid w:val="00E22885"/>
    <w:rsid w:val="00E22F0E"/>
    <w:rsid w:val="00E30404"/>
    <w:rsid w:val="00E32858"/>
    <w:rsid w:val="00E34A61"/>
    <w:rsid w:val="00E44DD5"/>
    <w:rsid w:val="00E46FCC"/>
    <w:rsid w:val="00E47554"/>
    <w:rsid w:val="00E50E8A"/>
    <w:rsid w:val="00E521AB"/>
    <w:rsid w:val="00E526AD"/>
    <w:rsid w:val="00E56D3D"/>
    <w:rsid w:val="00E662CA"/>
    <w:rsid w:val="00E66CB6"/>
    <w:rsid w:val="00E67DE9"/>
    <w:rsid w:val="00E72680"/>
    <w:rsid w:val="00E73ABF"/>
    <w:rsid w:val="00E76F3A"/>
    <w:rsid w:val="00E81267"/>
    <w:rsid w:val="00E82750"/>
    <w:rsid w:val="00E8589E"/>
    <w:rsid w:val="00E87377"/>
    <w:rsid w:val="00E90688"/>
    <w:rsid w:val="00E91407"/>
    <w:rsid w:val="00E93F79"/>
    <w:rsid w:val="00EA2144"/>
    <w:rsid w:val="00EA4CB5"/>
    <w:rsid w:val="00EA6CD0"/>
    <w:rsid w:val="00EA6DAF"/>
    <w:rsid w:val="00EB0DDD"/>
    <w:rsid w:val="00EB23DE"/>
    <w:rsid w:val="00EB38B0"/>
    <w:rsid w:val="00EB4EB5"/>
    <w:rsid w:val="00EB510C"/>
    <w:rsid w:val="00EB55B9"/>
    <w:rsid w:val="00EC08CE"/>
    <w:rsid w:val="00EC1F0E"/>
    <w:rsid w:val="00EC2AEA"/>
    <w:rsid w:val="00EC418C"/>
    <w:rsid w:val="00EC772C"/>
    <w:rsid w:val="00ED2AE9"/>
    <w:rsid w:val="00ED47DB"/>
    <w:rsid w:val="00ED666D"/>
    <w:rsid w:val="00EE029A"/>
    <w:rsid w:val="00EE465D"/>
    <w:rsid w:val="00EF16F5"/>
    <w:rsid w:val="00EF5512"/>
    <w:rsid w:val="00EF6B62"/>
    <w:rsid w:val="00EF6DB9"/>
    <w:rsid w:val="00F02074"/>
    <w:rsid w:val="00F0232C"/>
    <w:rsid w:val="00F07BFC"/>
    <w:rsid w:val="00F10DB8"/>
    <w:rsid w:val="00F12AFC"/>
    <w:rsid w:val="00F13DB1"/>
    <w:rsid w:val="00F17C81"/>
    <w:rsid w:val="00F2133A"/>
    <w:rsid w:val="00F21574"/>
    <w:rsid w:val="00F259FB"/>
    <w:rsid w:val="00F30FEF"/>
    <w:rsid w:val="00F31126"/>
    <w:rsid w:val="00F31567"/>
    <w:rsid w:val="00F32794"/>
    <w:rsid w:val="00F35989"/>
    <w:rsid w:val="00F4260E"/>
    <w:rsid w:val="00F427DB"/>
    <w:rsid w:val="00F4546D"/>
    <w:rsid w:val="00F461BC"/>
    <w:rsid w:val="00F470C3"/>
    <w:rsid w:val="00F476E5"/>
    <w:rsid w:val="00F53D7F"/>
    <w:rsid w:val="00F55426"/>
    <w:rsid w:val="00F5643D"/>
    <w:rsid w:val="00F61F26"/>
    <w:rsid w:val="00F64887"/>
    <w:rsid w:val="00F66720"/>
    <w:rsid w:val="00F70020"/>
    <w:rsid w:val="00F73934"/>
    <w:rsid w:val="00F73D87"/>
    <w:rsid w:val="00F74D53"/>
    <w:rsid w:val="00F80C33"/>
    <w:rsid w:val="00F811C4"/>
    <w:rsid w:val="00F834B3"/>
    <w:rsid w:val="00F83657"/>
    <w:rsid w:val="00F849B1"/>
    <w:rsid w:val="00F92AF7"/>
    <w:rsid w:val="00F93702"/>
    <w:rsid w:val="00F9465B"/>
    <w:rsid w:val="00F96780"/>
    <w:rsid w:val="00FB436D"/>
    <w:rsid w:val="00FB7C51"/>
    <w:rsid w:val="00FC4FD8"/>
    <w:rsid w:val="00FC6626"/>
    <w:rsid w:val="00FC68B2"/>
    <w:rsid w:val="00FC7EFA"/>
    <w:rsid w:val="00FD4859"/>
    <w:rsid w:val="00FE06A8"/>
    <w:rsid w:val="00FE08D2"/>
    <w:rsid w:val="00FE08E8"/>
    <w:rsid w:val="00FE23A6"/>
    <w:rsid w:val="00FE30DC"/>
    <w:rsid w:val="00FE34DF"/>
    <w:rsid w:val="00FE6554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8E4CB"/>
  <w15:docId w15:val="{80F50CF0-A7FE-456F-AB66-E3E9FE2B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0E"/>
    <w:pPr>
      <w:spacing w:after="200" w:line="276" w:lineRule="auto"/>
    </w:pPr>
    <w:rPr>
      <w:sz w:val="22"/>
      <w:szCs w:val="22"/>
      <w:lang w:val="lv-LV"/>
    </w:rPr>
  </w:style>
  <w:style w:type="paragraph" w:styleId="Heading4">
    <w:name w:val="heading 4"/>
    <w:basedOn w:val="Normal"/>
    <w:link w:val="Heading4Char"/>
    <w:uiPriority w:val="9"/>
    <w:qFormat/>
    <w:rsid w:val="0039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D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6532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7C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C9E"/>
    <w:rPr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E7C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81"/>
    <w:rPr>
      <w:rFonts w:ascii="Segoe UI" w:hAnsi="Segoe UI" w:cs="Segoe UI"/>
      <w:sz w:val="18"/>
      <w:szCs w:val="18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765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E05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E05"/>
    <w:rPr>
      <w:b/>
      <w:bCs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3460E1"/>
    <w:rPr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460E1"/>
    <w:pPr>
      <w:ind w:left="720"/>
      <w:contextualSpacing/>
    </w:pPr>
    <w:rPr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0E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0E1"/>
    <w:rPr>
      <w:rFonts w:eastAsia="Times New Roman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460E1"/>
    <w:rPr>
      <w:vertAlign w:val="superscript"/>
    </w:rPr>
  </w:style>
  <w:style w:type="character" w:styleId="Strong">
    <w:name w:val="Strong"/>
    <w:basedOn w:val="DefaultParagraphFont"/>
    <w:uiPriority w:val="22"/>
    <w:qFormat/>
    <w:rsid w:val="004B623D"/>
    <w:rPr>
      <w:b/>
      <w:bCs/>
    </w:rPr>
  </w:style>
  <w:style w:type="table" w:styleId="TableGrid">
    <w:name w:val="Table Grid"/>
    <w:basedOn w:val="TableNormal"/>
    <w:uiPriority w:val="39"/>
    <w:rsid w:val="0032115E"/>
    <w:rPr>
      <w:rFonts w:asciiTheme="minorHAnsi" w:eastAsiaTheme="minorHAnsi" w:hAnsiTheme="minorHAnsi" w:cstheme="minorBidi"/>
      <w:sz w:val="22"/>
      <w:szCs w:val="22"/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c">
    <w:name w:val="naisc"/>
    <w:basedOn w:val="Normal"/>
    <w:rsid w:val="007B4613"/>
    <w:pPr>
      <w:spacing w:before="75" w:after="75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Default">
    <w:name w:val="Default"/>
    <w:rsid w:val="00835A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1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59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ED35-02C9-46F1-BCE2-EA53DAF6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5773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2003.gada 10.jūnija noteikumos Nr.298 „Kārtība, kādā pretendents sedz izdevumus, kas saistīti ar personas profesionālās kvalifikācijas atzīšanu”” sākotnējās ietekmes novērtējuma ziņojums (a</vt:lpstr>
    </vt:vector>
  </TitlesOfParts>
  <Company>IZM</Company>
  <LinksUpToDate>false</LinksUpToDate>
  <CharactersWithSpaces>9047</CharactersWithSpaces>
  <SharedDoc>false</SharedDoc>
  <HLinks>
    <vt:vector size="6" baseType="variant"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http://85.254.195.224/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2003.gada 10.jūnija noteikumos Nr.298 „Kārtība, kādā pretendents sedz izdevumus, kas saistīti ar personas profesionālās kvalifikācijas atzīšanu”” sākotnējās ietekmes novērtējuma ziņojums (anotācija)</dc:title>
  <dc:subject>Noteikumu projekta anotācija</dc:subject>
  <dc:creator>Inese Stūre</dc:creator>
  <cp:keywords/>
  <dc:description>tel.:67047899; e-pasts: Inese.Sture@izm.gov.lv</dc:description>
  <cp:lastModifiedBy>Inese Stūre</cp:lastModifiedBy>
  <cp:revision>13</cp:revision>
  <cp:lastPrinted>2016-01-25T12:18:00Z</cp:lastPrinted>
  <dcterms:created xsi:type="dcterms:W3CDTF">2016-02-03T13:28:00Z</dcterms:created>
  <dcterms:modified xsi:type="dcterms:W3CDTF">2016-03-30T12:05:00Z</dcterms:modified>
</cp:coreProperties>
</file>