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9B1" w:rsidRPr="00316CEC" w:rsidRDefault="009019B1" w:rsidP="004C5B6D">
      <w:pPr>
        <w:pStyle w:val="Bezatstarpm"/>
        <w:jc w:val="center"/>
        <w:rPr>
          <w:rFonts w:ascii="Times New Roman" w:eastAsia="Times New Roman" w:hAnsi="Times New Roman"/>
          <w:b/>
          <w:sz w:val="24"/>
          <w:szCs w:val="24"/>
          <w:lang w:eastAsia="lv-LV"/>
        </w:rPr>
      </w:pPr>
      <w:bookmarkStart w:id="0" w:name="OLE_LINK3"/>
      <w:bookmarkStart w:id="1" w:name="OLE_LINK4"/>
      <w:bookmarkStart w:id="2" w:name="_GoBack"/>
      <w:bookmarkEnd w:id="2"/>
      <w:r w:rsidRPr="00316CEC">
        <w:rPr>
          <w:rFonts w:ascii="Times New Roman" w:hAnsi="Times New Roman"/>
          <w:b/>
          <w:sz w:val="24"/>
          <w:szCs w:val="24"/>
        </w:rPr>
        <w:t>Ministru kabineta noteikumu projekta</w:t>
      </w:r>
      <w:r w:rsidR="003745CC">
        <w:rPr>
          <w:rFonts w:ascii="Times New Roman" w:eastAsia="Times New Roman" w:hAnsi="Times New Roman"/>
          <w:b/>
          <w:sz w:val="24"/>
          <w:szCs w:val="24"/>
          <w:lang w:eastAsia="lv-LV"/>
        </w:rPr>
        <w:t xml:space="preserve"> </w:t>
      </w:r>
      <w:r w:rsidRPr="00316CEC">
        <w:rPr>
          <w:rFonts w:ascii="Times New Roman" w:eastAsia="Times New Roman" w:hAnsi="Times New Roman"/>
          <w:b/>
          <w:sz w:val="24"/>
          <w:szCs w:val="24"/>
          <w:lang w:eastAsia="lv-LV"/>
        </w:rPr>
        <w:t xml:space="preserve">„Grozījumi Ministru kabineta 2014. gada 8. aprīļa noteikumos Nr. 191 </w:t>
      </w:r>
      <w:r w:rsidRPr="00316CEC">
        <w:rPr>
          <w:rFonts w:ascii="Times New Roman" w:eastAsia="Times New Roman" w:hAnsi="Times New Roman"/>
          <w:b/>
          <w:bCs/>
          <w:color w:val="000000"/>
          <w:sz w:val="24"/>
          <w:szCs w:val="24"/>
          <w:lang w:eastAsia="ar-SA"/>
        </w:rPr>
        <w:t>„</w:t>
      </w:r>
      <w:r w:rsidRPr="00316CEC">
        <w:rPr>
          <w:rFonts w:ascii="Times New Roman" w:eastAsia="Times New Roman" w:hAnsi="Times New Roman"/>
          <w:b/>
          <w:bCs/>
          <w:sz w:val="24"/>
          <w:szCs w:val="24"/>
          <w:lang w:eastAsia="ar-SA"/>
        </w:rPr>
        <w:t xml:space="preserve">Norvēģijas finanšu instrumenta 2009.–2014. gada perioda programmas </w:t>
      </w:r>
      <w:r w:rsidRPr="00316CEC">
        <w:rPr>
          <w:rFonts w:ascii="Times New Roman" w:eastAsia="Times New Roman" w:hAnsi="Times New Roman"/>
          <w:b/>
          <w:bCs/>
          <w:color w:val="000000"/>
          <w:sz w:val="24"/>
          <w:szCs w:val="24"/>
          <w:lang w:eastAsia="ar-SA"/>
        </w:rPr>
        <w:t>„</w:t>
      </w:r>
      <w:r w:rsidRPr="00316CEC">
        <w:rPr>
          <w:rFonts w:ascii="Times New Roman" w:eastAsia="Times New Roman" w:hAnsi="Times New Roman"/>
          <w:b/>
          <w:bCs/>
          <w:sz w:val="24"/>
          <w:szCs w:val="24"/>
          <w:lang w:eastAsia="ar-SA"/>
        </w:rPr>
        <w:t>Latvijas korekcijas dienestu un Valsts policijas īslaicīgās aizturēšanas vietu reforma” īstenošanas kārtība””</w:t>
      </w:r>
      <w:r w:rsidRPr="00316CEC">
        <w:rPr>
          <w:rFonts w:ascii="Times New Roman" w:hAnsi="Times New Roman"/>
          <w:b/>
          <w:bCs/>
          <w:sz w:val="24"/>
          <w:szCs w:val="24"/>
        </w:rPr>
        <w:t xml:space="preserve"> sākotnējās ietekmes novērtējuma ziņojums (anotācija</w:t>
      </w:r>
      <w:bookmarkEnd w:id="0"/>
      <w:bookmarkEnd w:id="1"/>
      <w:r w:rsidRPr="00316CEC">
        <w:rPr>
          <w:rFonts w:ascii="Times New Roman" w:hAnsi="Times New Roman"/>
          <w:b/>
          <w:bCs/>
          <w:sz w:val="24"/>
          <w:szCs w:val="24"/>
        </w:rPr>
        <w:t>)</w:t>
      </w:r>
    </w:p>
    <w:tbl>
      <w:tblPr>
        <w:tblpPr w:leftFromText="180" w:rightFromText="180" w:vertAnchor="text" w:horzAnchor="margin" w:tblpXSpec="center" w:tblpY="116"/>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6"/>
        <w:gridCol w:w="2602"/>
        <w:gridCol w:w="6214"/>
      </w:tblGrid>
      <w:tr w:rsidR="009019B1" w:rsidRPr="006E0BDF" w:rsidTr="009B131E">
        <w:trPr>
          <w:trHeight w:val="352"/>
        </w:trPr>
        <w:tc>
          <w:tcPr>
            <w:tcW w:w="9352" w:type="dxa"/>
            <w:gridSpan w:val="3"/>
            <w:tcBorders>
              <w:top w:val="single" w:sz="6" w:space="0" w:color="auto"/>
              <w:left w:val="single" w:sz="6" w:space="0" w:color="auto"/>
              <w:bottom w:val="single" w:sz="6" w:space="0" w:color="auto"/>
              <w:right w:val="single" w:sz="6" w:space="0" w:color="auto"/>
            </w:tcBorders>
            <w:vAlign w:val="center"/>
          </w:tcPr>
          <w:p w:rsidR="009019B1" w:rsidRPr="00D64880" w:rsidRDefault="009019B1" w:rsidP="009B131E">
            <w:pPr>
              <w:spacing w:after="0" w:line="240" w:lineRule="auto"/>
              <w:jc w:val="center"/>
              <w:rPr>
                <w:rFonts w:ascii="Times New Roman" w:eastAsia="Times New Roman" w:hAnsi="Times New Roman"/>
                <w:b/>
                <w:sz w:val="24"/>
                <w:szCs w:val="24"/>
                <w:lang w:eastAsia="lv-LV"/>
              </w:rPr>
            </w:pPr>
            <w:r w:rsidRPr="00D64880">
              <w:rPr>
                <w:rFonts w:ascii="Times New Roman" w:eastAsia="Times New Roman" w:hAnsi="Times New Roman"/>
                <w:b/>
                <w:bCs/>
                <w:sz w:val="24"/>
                <w:szCs w:val="24"/>
                <w:lang w:eastAsia="lv-LV"/>
              </w:rPr>
              <w:t>I. Tiesību akta projekta izstrādes nepieciešamība</w:t>
            </w:r>
          </w:p>
        </w:tc>
      </w:tr>
      <w:tr w:rsidR="009019B1" w:rsidRPr="003560ED" w:rsidTr="009B131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trHeight w:val="1605"/>
        </w:trPr>
        <w:tc>
          <w:tcPr>
            <w:tcW w:w="536" w:type="dxa"/>
            <w:tcBorders>
              <w:top w:val="outset" w:sz="6" w:space="0" w:color="auto"/>
              <w:left w:val="outset" w:sz="6" w:space="0" w:color="auto"/>
              <w:bottom w:val="outset" w:sz="6" w:space="0" w:color="auto"/>
              <w:right w:val="outset" w:sz="6" w:space="0" w:color="auto"/>
            </w:tcBorders>
          </w:tcPr>
          <w:p w:rsidR="009019B1" w:rsidRPr="00260C2F" w:rsidRDefault="009019B1" w:rsidP="009B131E">
            <w:pPr>
              <w:spacing w:after="0" w:line="240" w:lineRule="auto"/>
              <w:jc w:val="both"/>
              <w:rPr>
                <w:rFonts w:ascii="Times New Roman" w:eastAsia="Times New Roman" w:hAnsi="Times New Roman"/>
                <w:sz w:val="24"/>
                <w:szCs w:val="24"/>
                <w:lang w:eastAsia="lv-LV"/>
              </w:rPr>
            </w:pPr>
            <w:r w:rsidRPr="00260C2F">
              <w:rPr>
                <w:rFonts w:ascii="Times New Roman" w:eastAsia="Times New Roman" w:hAnsi="Times New Roman"/>
                <w:sz w:val="24"/>
                <w:szCs w:val="24"/>
                <w:lang w:eastAsia="lv-LV"/>
              </w:rPr>
              <w:t>1.</w:t>
            </w:r>
          </w:p>
        </w:tc>
        <w:tc>
          <w:tcPr>
            <w:tcW w:w="2602" w:type="dxa"/>
            <w:tcBorders>
              <w:top w:val="outset" w:sz="6" w:space="0" w:color="auto"/>
              <w:left w:val="outset" w:sz="6" w:space="0" w:color="auto"/>
              <w:bottom w:val="outset" w:sz="6" w:space="0" w:color="auto"/>
              <w:right w:val="outset" w:sz="6" w:space="0" w:color="auto"/>
            </w:tcBorders>
          </w:tcPr>
          <w:p w:rsidR="009019B1" w:rsidRPr="00260C2F" w:rsidRDefault="009019B1" w:rsidP="009B131E">
            <w:pPr>
              <w:spacing w:after="0" w:line="240" w:lineRule="auto"/>
              <w:jc w:val="both"/>
              <w:rPr>
                <w:rFonts w:ascii="Times New Roman" w:eastAsia="Times New Roman" w:hAnsi="Times New Roman"/>
                <w:sz w:val="24"/>
                <w:szCs w:val="24"/>
                <w:lang w:eastAsia="lv-LV"/>
              </w:rPr>
            </w:pPr>
            <w:r w:rsidRPr="00260C2F">
              <w:rPr>
                <w:rFonts w:ascii="Times New Roman" w:eastAsia="Times New Roman" w:hAnsi="Times New Roman"/>
                <w:sz w:val="24"/>
                <w:szCs w:val="24"/>
                <w:lang w:eastAsia="lv-LV"/>
              </w:rPr>
              <w:t> Pamatojums</w:t>
            </w:r>
          </w:p>
        </w:tc>
        <w:tc>
          <w:tcPr>
            <w:tcW w:w="6214" w:type="dxa"/>
            <w:tcBorders>
              <w:top w:val="outset" w:sz="6" w:space="0" w:color="auto"/>
              <w:left w:val="outset" w:sz="6" w:space="0" w:color="auto"/>
              <w:bottom w:val="outset" w:sz="6" w:space="0" w:color="auto"/>
              <w:right w:val="outset" w:sz="6" w:space="0" w:color="auto"/>
            </w:tcBorders>
          </w:tcPr>
          <w:p w:rsidR="009019B1" w:rsidRPr="003560ED" w:rsidRDefault="009019B1" w:rsidP="009B131E">
            <w:pPr>
              <w:spacing w:after="0" w:line="240" w:lineRule="auto"/>
              <w:ind w:firstLine="592"/>
              <w:jc w:val="both"/>
              <w:outlineLvl w:val="0"/>
              <w:rPr>
                <w:rFonts w:ascii="Times New Roman" w:hAnsi="Times New Roman"/>
                <w:bCs/>
                <w:sz w:val="24"/>
                <w:szCs w:val="24"/>
              </w:rPr>
            </w:pPr>
            <w:r w:rsidRPr="003560ED">
              <w:rPr>
                <w:rFonts w:ascii="Times New Roman" w:hAnsi="Times New Roman"/>
                <w:bCs/>
                <w:sz w:val="24"/>
                <w:szCs w:val="24"/>
              </w:rPr>
              <w:t xml:space="preserve">Ministru kabineta noteikumu projekts </w:t>
            </w:r>
            <w:r w:rsidRPr="003560ED">
              <w:rPr>
                <w:rFonts w:ascii="Times New Roman" w:eastAsia="Times New Roman" w:hAnsi="Times New Roman"/>
                <w:sz w:val="24"/>
                <w:szCs w:val="24"/>
                <w:lang w:eastAsia="lv-LV"/>
              </w:rPr>
              <w:t xml:space="preserve">„Grozījumi Ministru kabineta 2014. gada 8. aprīļa noteikumos Nr. 191 </w:t>
            </w:r>
            <w:r w:rsidRPr="003560ED">
              <w:rPr>
                <w:rFonts w:ascii="Times New Roman" w:eastAsia="Times New Roman" w:hAnsi="Times New Roman"/>
                <w:bCs/>
                <w:color w:val="000000"/>
                <w:sz w:val="24"/>
                <w:szCs w:val="24"/>
                <w:lang w:eastAsia="ar-SA"/>
              </w:rPr>
              <w:t>„</w:t>
            </w:r>
            <w:r w:rsidRPr="003560ED">
              <w:rPr>
                <w:rFonts w:ascii="Times New Roman" w:eastAsia="Times New Roman" w:hAnsi="Times New Roman"/>
                <w:bCs/>
                <w:sz w:val="24"/>
                <w:szCs w:val="24"/>
                <w:lang w:eastAsia="ar-SA"/>
              </w:rPr>
              <w:t xml:space="preserve">Norvēģijas finanšu instrumenta 2009.–2014. gada perioda programmas </w:t>
            </w:r>
            <w:r w:rsidRPr="003560ED">
              <w:rPr>
                <w:rFonts w:ascii="Times New Roman" w:eastAsia="Times New Roman" w:hAnsi="Times New Roman"/>
                <w:bCs/>
                <w:color w:val="000000"/>
                <w:sz w:val="24"/>
                <w:szCs w:val="24"/>
                <w:lang w:eastAsia="ar-SA"/>
              </w:rPr>
              <w:t>„</w:t>
            </w:r>
            <w:r w:rsidRPr="003560ED">
              <w:rPr>
                <w:rFonts w:ascii="Times New Roman" w:eastAsia="Times New Roman" w:hAnsi="Times New Roman"/>
                <w:bCs/>
                <w:sz w:val="24"/>
                <w:szCs w:val="24"/>
                <w:lang w:eastAsia="ar-SA"/>
              </w:rPr>
              <w:t>Latvijas korekcijas dienestu un Valsts policijas īslaicīgās aizturēšanas vietu reforma” īstenošanas kārtība””</w:t>
            </w:r>
            <w:r w:rsidR="00495663">
              <w:rPr>
                <w:rFonts w:ascii="Times New Roman" w:eastAsia="Times New Roman" w:hAnsi="Times New Roman"/>
                <w:bCs/>
                <w:sz w:val="24"/>
                <w:szCs w:val="24"/>
                <w:lang w:eastAsia="ar-SA"/>
              </w:rPr>
              <w:t xml:space="preserve"> (turpmāk – projekts) </w:t>
            </w:r>
            <w:r w:rsidRPr="003560ED">
              <w:rPr>
                <w:rFonts w:ascii="Times New Roman" w:hAnsi="Times New Roman"/>
                <w:bCs/>
                <w:sz w:val="24"/>
                <w:szCs w:val="24"/>
              </w:rPr>
              <w:t>sagatavots, pamatojoties uz:</w:t>
            </w:r>
          </w:p>
          <w:p w:rsidR="009019B1" w:rsidRPr="003560ED" w:rsidRDefault="009019B1" w:rsidP="009019B1">
            <w:pPr>
              <w:numPr>
                <w:ilvl w:val="0"/>
                <w:numId w:val="2"/>
              </w:numPr>
              <w:spacing w:after="0" w:line="240" w:lineRule="auto"/>
              <w:ind w:left="419" w:hanging="425"/>
              <w:jc w:val="both"/>
              <w:outlineLvl w:val="0"/>
              <w:rPr>
                <w:rFonts w:ascii="Times New Roman" w:hAnsi="Times New Roman"/>
                <w:bCs/>
                <w:color w:val="000000"/>
                <w:sz w:val="24"/>
                <w:szCs w:val="24"/>
              </w:rPr>
            </w:pPr>
            <w:r w:rsidRPr="003560ED">
              <w:rPr>
                <w:rFonts w:ascii="Times New Roman" w:hAnsi="Times New Roman"/>
                <w:sz w:val="24"/>
                <w:szCs w:val="24"/>
                <w:shd w:val="clear" w:color="auto" w:fill="FFFFFF"/>
              </w:rPr>
              <w:t xml:space="preserve">Ministru kabineta </w:t>
            </w:r>
            <w:r w:rsidRPr="003560ED">
              <w:rPr>
                <w:rFonts w:ascii="Times New Roman" w:hAnsi="Times New Roman"/>
                <w:bCs/>
                <w:sz w:val="24"/>
                <w:szCs w:val="24"/>
              </w:rPr>
              <w:t>2012. gada 9. oktobra noteikumu Nr.</w:t>
            </w:r>
            <w:r>
              <w:rPr>
                <w:rFonts w:ascii="Times New Roman" w:hAnsi="Times New Roman"/>
                <w:bCs/>
                <w:sz w:val="24"/>
                <w:szCs w:val="24"/>
              </w:rPr>
              <w:t> </w:t>
            </w:r>
            <w:r w:rsidRPr="003560ED">
              <w:rPr>
                <w:rFonts w:ascii="Times New Roman" w:hAnsi="Times New Roman"/>
                <w:bCs/>
                <w:sz w:val="24"/>
                <w:szCs w:val="24"/>
              </w:rPr>
              <w:t xml:space="preserve">694 </w:t>
            </w:r>
            <w:r w:rsidRPr="003560ED">
              <w:rPr>
                <w:rFonts w:ascii="Times New Roman" w:hAnsi="Times New Roman"/>
                <w:sz w:val="24"/>
                <w:szCs w:val="24"/>
              </w:rPr>
              <w:t>“</w:t>
            </w:r>
            <w:r w:rsidRPr="003560ED">
              <w:rPr>
                <w:rFonts w:ascii="Times New Roman" w:hAnsi="Times New Roman"/>
                <w:bCs/>
                <w:sz w:val="24"/>
                <w:szCs w:val="24"/>
              </w:rPr>
              <w:t>Eiropas Ekonomikas zonas finanšu instrumenta un Norvēģijas finanšu instrumenta 2009.–2014. gada perioda vadības noteikumi” 32.</w:t>
            </w:r>
            <w:r w:rsidRPr="003560ED">
              <w:rPr>
                <w:rFonts w:ascii="Times New Roman" w:hAnsi="Times New Roman"/>
                <w:bCs/>
                <w:sz w:val="24"/>
                <w:szCs w:val="24"/>
                <w:vertAlign w:val="superscript"/>
              </w:rPr>
              <w:t>1</w:t>
            </w:r>
            <w:r>
              <w:rPr>
                <w:rFonts w:ascii="Times New Roman" w:hAnsi="Times New Roman"/>
                <w:bCs/>
                <w:sz w:val="24"/>
                <w:szCs w:val="24"/>
              </w:rPr>
              <w:t> </w:t>
            </w:r>
            <w:r w:rsidRPr="003560ED">
              <w:rPr>
                <w:rFonts w:ascii="Times New Roman" w:hAnsi="Times New Roman"/>
                <w:bCs/>
                <w:sz w:val="24"/>
                <w:szCs w:val="24"/>
              </w:rPr>
              <w:t>p</w:t>
            </w:r>
            <w:r>
              <w:rPr>
                <w:rFonts w:ascii="Times New Roman" w:hAnsi="Times New Roman"/>
                <w:bCs/>
                <w:sz w:val="24"/>
                <w:szCs w:val="24"/>
              </w:rPr>
              <w:t>unktu</w:t>
            </w:r>
            <w:r w:rsidRPr="003560ED">
              <w:rPr>
                <w:rFonts w:ascii="Times New Roman" w:hAnsi="Times New Roman"/>
                <w:bCs/>
                <w:sz w:val="24"/>
                <w:szCs w:val="24"/>
              </w:rPr>
              <w:t>, kurš noteic, ka programmas apsaimniekotājs vai aģentūra pagarina projekta īstenošanas termiņu atbilstoši donorvalsts lēmumam par attiecīgā projekta īstenošanas termiņa pagarināšanu, bet ne ilgāk kā līdz 2017. gada 30. </w:t>
            </w:r>
            <w:r w:rsidR="007D663A">
              <w:rPr>
                <w:rFonts w:ascii="Times New Roman" w:hAnsi="Times New Roman"/>
                <w:bCs/>
                <w:sz w:val="24"/>
                <w:szCs w:val="24"/>
              </w:rPr>
              <w:t>a</w:t>
            </w:r>
            <w:r w:rsidRPr="003560ED">
              <w:rPr>
                <w:rFonts w:ascii="Times New Roman" w:hAnsi="Times New Roman"/>
                <w:bCs/>
                <w:sz w:val="24"/>
                <w:szCs w:val="24"/>
              </w:rPr>
              <w:t>prīlim</w:t>
            </w:r>
            <w:r w:rsidR="00187ABF">
              <w:rPr>
                <w:rFonts w:ascii="Times New Roman" w:hAnsi="Times New Roman"/>
                <w:bCs/>
                <w:color w:val="000000"/>
                <w:sz w:val="24"/>
                <w:szCs w:val="24"/>
              </w:rPr>
              <w:t>;</w:t>
            </w:r>
          </w:p>
          <w:p w:rsidR="009019B1" w:rsidRDefault="009019B1" w:rsidP="009019B1">
            <w:pPr>
              <w:numPr>
                <w:ilvl w:val="0"/>
                <w:numId w:val="2"/>
              </w:numPr>
              <w:spacing w:after="0" w:line="240" w:lineRule="auto"/>
              <w:ind w:left="419" w:hanging="425"/>
              <w:jc w:val="both"/>
              <w:outlineLvl w:val="0"/>
              <w:rPr>
                <w:rFonts w:ascii="Times New Roman" w:hAnsi="Times New Roman"/>
                <w:bCs/>
                <w:sz w:val="24"/>
                <w:szCs w:val="24"/>
              </w:rPr>
            </w:pPr>
            <w:r w:rsidRPr="003560ED">
              <w:rPr>
                <w:rFonts w:ascii="Times New Roman" w:hAnsi="Times New Roman"/>
                <w:sz w:val="24"/>
                <w:szCs w:val="24"/>
                <w:shd w:val="clear" w:color="auto" w:fill="FFFFFF"/>
              </w:rPr>
              <w:t xml:space="preserve">Ministru kabineta </w:t>
            </w:r>
            <w:r w:rsidRPr="003560ED">
              <w:rPr>
                <w:rFonts w:ascii="Times New Roman" w:hAnsi="Times New Roman"/>
                <w:bCs/>
                <w:sz w:val="24"/>
                <w:szCs w:val="24"/>
              </w:rPr>
              <w:t xml:space="preserve">2012. gada 9. oktobra noteikumu Nr.694 </w:t>
            </w:r>
            <w:r w:rsidRPr="003560ED">
              <w:rPr>
                <w:rFonts w:ascii="Times New Roman" w:hAnsi="Times New Roman"/>
                <w:sz w:val="24"/>
                <w:szCs w:val="24"/>
              </w:rPr>
              <w:t>“</w:t>
            </w:r>
            <w:r w:rsidRPr="003560ED">
              <w:rPr>
                <w:rFonts w:ascii="Times New Roman" w:hAnsi="Times New Roman"/>
                <w:bCs/>
                <w:sz w:val="24"/>
                <w:szCs w:val="24"/>
              </w:rPr>
              <w:t>Eiropas Ekonomikas zonas finanšu instrumenta un Norvēģijas finanšu instrumenta 2009.–2014. gada perioda vadība</w:t>
            </w:r>
            <w:r w:rsidR="00010698">
              <w:rPr>
                <w:rFonts w:ascii="Times New Roman" w:hAnsi="Times New Roman"/>
                <w:bCs/>
                <w:sz w:val="24"/>
                <w:szCs w:val="24"/>
              </w:rPr>
              <w:t>s noteikumi” 107.5. apakšpunktu</w:t>
            </w:r>
            <w:r w:rsidRPr="003560ED">
              <w:rPr>
                <w:rFonts w:ascii="Times New Roman" w:hAnsi="Times New Roman"/>
                <w:bCs/>
                <w:sz w:val="24"/>
                <w:szCs w:val="24"/>
              </w:rPr>
              <w:t>, kas noteic, ka programmas noslēguma pārskatu, kurā iekļauj informāciju par programmas izdevumiem, kas ir veikti, apstiprināti vai atmaksāti līdzfinansējuma saņēmējam pēdējā pārskata periodā, ja projekta īstenošanas termiņš ir pagarināts ar šo noteikumu 32.</w:t>
            </w:r>
            <w:r w:rsidRPr="003560ED">
              <w:rPr>
                <w:rFonts w:ascii="Times New Roman" w:hAnsi="Times New Roman"/>
                <w:bCs/>
                <w:sz w:val="24"/>
                <w:szCs w:val="24"/>
                <w:vertAlign w:val="superscript"/>
              </w:rPr>
              <w:t>1</w:t>
            </w:r>
            <w:r>
              <w:rPr>
                <w:rFonts w:ascii="Times New Roman" w:hAnsi="Times New Roman"/>
                <w:bCs/>
                <w:sz w:val="24"/>
                <w:szCs w:val="24"/>
              </w:rPr>
              <w:t> </w:t>
            </w:r>
            <w:r w:rsidRPr="003560ED">
              <w:rPr>
                <w:rFonts w:ascii="Times New Roman" w:hAnsi="Times New Roman"/>
                <w:bCs/>
                <w:sz w:val="24"/>
                <w:szCs w:val="24"/>
              </w:rPr>
              <w:t xml:space="preserve">punktu, </w:t>
            </w:r>
            <w:r>
              <w:rPr>
                <w:rFonts w:ascii="Times New Roman" w:hAnsi="Times New Roman"/>
                <w:bCs/>
                <w:sz w:val="24"/>
                <w:szCs w:val="24"/>
              </w:rPr>
              <w:t xml:space="preserve">programmas apsaimniekotājs </w:t>
            </w:r>
            <w:r w:rsidRPr="003560ED">
              <w:rPr>
                <w:rFonts w:ascii="Times New Roman" w:hAnsi="Times New Roman"/>
                <w:bCs/>
                <w:sz w:val="24"/>
                <w:szCs w:val="24"/>
              </w:rPr>
              <w:t>sagatavo un iesniedz sertifikācijas iestādē līdz 2018. gada 31. janvārim</w:t>
            </w:r>
            <w:r w:rsidR="00187ABF">
              <w:rPr>
                <w:rFonts w:ascii="Times New Roman" w:hAnsi="Times New Roman"/>
                <w:bCs/>
                <w:sz w:val="24"/>
                <w:szCs w:val="24"/>
              </w:rPr>
              <w:t>;</w:t>
            </w:r>
          </w:p>
          <w:p w:rsidR="009019B1" w:rsidRPr="00171469" w:rsidRDefault="009019B1" w:rsidP="009019B1">
            <w:pPr>
              <w:numPr>
                <w:ilvl w:val="0"/>
                <w:numId w:val="2"/>
              </w:numPr>
              <w:spacing w:after="0" w:line="240" w:lineRule="auto"/>
              <w:ind w:left="419" w:hanging="425"/>
              <w:jc w:val="both"/>
              <w:outlineLvl w:val="0"/>
              <w:rPr>
                <w:rFonts w:ascii="Times New Roman" w:hAnsi="Times New Roman"/>
                <w:bCs/>
                <w:sz w:val="24"/>
                <w:szCs w:val="24"/>
              </w:rPr>
            </w:pPr>
            <w:r w:rsidRPr="00171469">
              <w:rPr>
                <w:rFonts w:ascii="Times New Roman" w:hAnsi="Times New Roman"/>
                <w:bCs/>
                <w:sz w:val="24"/>
                <w:szCs w:val="24"/>
              </w:rPr>
              <w:t>Finanšu ministrija</w:t>
            </w:r>
            <w:r w:rsidR="00187ABF">
              <w:rPr>
                <w:rFonts w:ascii="Times New Roman" w:hAnsi="Times New Roman"/>
                <w:bCs/>
                <w:sz w:val="24"/>
                <w:szCs w:val="24"/>
              </w:rPr>
              <w:t>s</w:t>
            </w:r>
            <w:r w:rsidRPr="00171469">
              <w:rPr>
                <w:rFonts w:ascii="Times New Roman" w:hAnsi="Times New Roman"/>
                <w:bCs/>
                <w:sz w:val="24"/>
                <w:szCs w:val="24"/>
              </w:rPr>
              <w:t xml:space="preserve"> kā Eiropas Ekonomikas zonas un Norvēģijas finanšu instrumenta (turpmāk – EEZ/Norvēģijas finanšu instruments) vadošā</w:t>
            </w:r>
            <w:r w:rsidR="00187ABF">
              <w:rPr>
                <w:rFonts w:ascii="Times New Roman" w:hAnsi="Times New Roman"/>
                <w:bCs/>
                <w:sz w:val="24"/>
                <w:szCs w:val="24"/>
              </w:rPr>
              <w:t>s</w:t>
            </w:r>
            <w:r w:rsidRPr="00171469">
              <w:rPr>
                <w:rFonts w:ascii="Times New Roman" w:hAnsi="Times New Roman"/>
                <w:bCs/>
                <w:sz w:val="24"/>
                <w:szCs w:val="24"/>
              </w:rPr>
              <w:t xml:space="preserve"> iestāde</w:t>
            </w:r>
            <w:r w:rsidR="00187ABF">
              <w:rPr>
                <w:rFonts w:ascii="Times New Roman" w:hAnsi="Times New Roman"/>
                <w:bCs/>
                <w:sz w:val="24"/>
                <w:szCs w:val="24"/>
              </w:rPr>
              <w:t>s</w:t>
            </w:r>
            <w:r w:rsidRPr="00171469">
              <w:rPr>
                <w:rFonts w:ascii="Times New Roman" w:hAnsi="Times New Roman"/>
                <w:bCs/>
                <w:sz w:val="24"/>
                <w:szCs w:val="24"/>
              </w:rPr>
              <w:t xml:space="preserve"> 2015. gada 17. decembra e-past</w:t>
            </w:r>
            <w:r w:rsidR="00187ABF">
              <w:rPr>
                <w:rFonts w:ascii="Times New Roman" w:hAnsi="Times New Roman"/>
                <w:bCs/>
                <w:sz w:val="24"/>
                <w:szCs w:val="24"/>
              </w:rPr>
              <w:t xml:space="preserve">a vēstuli, ar kuru </w:t>
            </w:r>
            <w:r w:rsidRPr="00171469">
              <w:rPr>
                <w:rFonts w:ascii="Times New Roman" w:hAnsi="Times New Roman"/>
                <w:bCs/>
                <w:sz w:val="24"/>
                <w:szCs w:val="24"/>
              </w:rPr>
              <w:t>Tieslietu ministrij</w:t>
            </w:r>
            <w:r w:rsidR="00187ABF">
              <w:rPr>
                <w:rFonts w:ascii="Times New Roman" w:hAnsi="Times New Roman"/>
                <w:bCs/>
                <w:sz w:val="24"/>
                <w:szCs w:val="24"/>
              </w:rPr>
              <w:t>a</w:t>
            </w:r>
            <w:r w:rsidRPr="00171469">
              <w:rPr>
                <w:rFonts w:ascii="Times New Roman" w:hAnsi="Times New Roman"/>
                <w:bCs/>
                <w:sz w:val="24"/>
                <w:szCs w:val="24"/>
              </w:rPr>
              <w:t xml:space="preserve"> kā programmas LV08 “Latvijas korekcij</w:t>
            </w:r>
            <w:r w:rsidR="00E45BEA">
              <w:rPr>
                <w:rFonts w:ascii="Times New Roman" w:hAnsi="Times New Roman"/>
                <w:bCs/>
                <w:sz w:val="24"/>
                <w:szCs w:val="24"/>
              </w:rPr>
              <w:t>as</w:t>
            </w:r>
            <w:r w:rsidRPr="00171469">
              <w:rPr>
                <w:rFonts w:ascii="Times New Roman" w:hAnsi="Times New Roman"/>
                <w:bCs/>
                <w:sz w:val="24"/>
                <w:szCs w:val="24"/>
              </w:rPr>
              <w:t xml:space="preserve"> dienestu un Valsts policijas īslaicīgās aizturēšanas vietu reforma“ (turpmāk</w:t>
            </w:r>
            <w:r w:rsidR="00010698">
              <w:rPr>
                <w:rFonts w:ascii="Times New Roman" w:hAnsi="Times New Roman"/>
                <w:bCs/>
                <w:sz w:val="24"/>
                <w:szCs w:val="24"/>
              </w:rPr>
              <w:t> – </w:t>
            </w:r>
            <w:r w:rsidRPr="00171469">
              <w:rPr>
                <w:rFonts w:ascii="Times New Roman" w:hAnsi="Times New Roman"/>
                <w:bCs/>
                <w:sz w:val="24"/>
                <w:szCs w:val="24"/>
              </w:rPr>
              <w:t xml:space="preserve">programma) </w:t>
            </w:r>
            <w:r w:rsidRPr="009313F0">
              <w:rPr>
                <w:rFonts w:ascii="Times New Roman" w:hAnsi="Times New Roman"/>
                <w:bCs/>
                <w:sz w:val="24"/>
                <w:szCs w:val="24"/>
              </w:rPr>
              <w:t>apsaimniekotāj</w:t>
            </w:r>
            <w:r w:rsidR="000204FA" w:rsidRPr="009313F0">
              <w:rPr>
                <w:rFonts w:ascii="Times New Roman" w:hAnsi="Times New Roman"/>
                <w:bCs/>
                <w:sz w:val="24"/>
                <w:szCs w:val="24"/>
              </w:rPr>
              <w:t>s</w:t>
            </w:r>
            <w:r w:rsidR="00187ABF" w:rsidRPr="009313F0">
              <w:rPr>
                <w:rFonts w:ascii="Times New Roman" w:hAnsi="Times New Roman"/>
                <w:bCs/>
                <w:sz w:val="24"/>
                <w:szCs w:val="24"/>
              </w:rPr>
              <w:t xml:space="preserve"> informēt</w:t>
            </w:r>
            <w:r w:rsidR="009313F0" w:rsidRPr="00E478D9">
              <w:rPr>
                <w:rFonts w:ascii="Times New Roman" w:hAnsi="Times New Roman"/>
                <w:bCs/>
                <w:sz w:val="24"/>
                <w:szCs w:val="24"/>
              </w:rPr>
              <w:t>a</w:t>
            </w:r>
            <w:r w:rsidRPr="009313F0">
              <w:rPr>
                <w:rFonts w:ascii="Times New Roman" w:hAnsi="Times New Roman"/>
                <w:bCs/>
                <w:sz w:val="24"/>
                <w:szCs w:val="24"/>
              </w:rPr>
              <w:t xml:space="preserve"> par nepieciešamību veikt gro</w:t>
            </w:r>
            <w:r w:rsidRPr="00171469">
              <w:rPr>
                <w:rFonts w:ascii="Times New Roman" w:hAnsi="Times New Roman"/>
                <w:bCs/>
                <w:sz w:val="24"/>
                <w:szCs w:val="24"/>
              </w:rPr>
              <w:t xml:space="preserve">zījumus Ministru kabineta 2014. gada 8. aprīļa noteikumos Nr.191 </w:t>
            </w:r>
            <w:r w:rsidR="00187ABF">
              <w:rPr>
                <w:rFonts w:ascii="Times New Roman" w:hAnsi="Times New Roman"/>
                <w:bCs/>
                <w:sz w:val="24"/>
                <w:szCs w:val="24"/>
              </w:rPr>
              <w:t>“</w:t>
            </w:r>
            <w:r w:rsidRPr="00171469">
              <w:rPr>
                <w:rFonts w:ascii="Times New Roman" w:hAnsi="Times New Roman"/>
                <w:bCs/>
                <w:sz w:val="24"/>
                <w:szCs w:val="24"/>
              </w:rPr>
              <w:t>Norvēģijas finanšu instrumenta 2009.-2014. gada perioda programmas “Latvijas korekcijas dienestu un Valsts policijas īslaicīgās aizturēšanas vietu reforma” īstenošanas kārtība”</w:t>
            </w:r>
            <w:r w:rsidR="00495663">
              <w:rPr>
                <w:rFonts w:ascii="Times New Roman" w:hAnsi="Times New Roman"/>
                <w:bCs/>
                <w:sz w:val="24"/>
                <w:szCs w:val="24"/>
              </w:rPr>
              <w:t xml:space="preserve"> (turpmāk – MK noteikumi Nr. 191)</w:t>
            </w:r>
            <w:r w:rsidRPr="00171469">
              <w:rPr>
                <w:rFonts w:ascii="Times New Roman" w:hAnsi="Times New Roman"/>
                <w:bCs/>
                <w:sz w:val="24"/>
                <w:szCs w:val="24"/>
              </w:rPr>
              <w:t>, ņemot vērā to, ka 2015. gada 13. oktobrī donorvalsts ir apstiprinājusi izmaksu attiecināmības termiņa pagarinājumu programmas ietvaros trim īstenojamiem projektiem</w:t>
            </w:r>
            <w:r w:rsidR="00187ABF">
              <w:rPr>
                <w:rFonts w:ascii="Times New Roman" w:hAnsi="Times New Roman"/>
                <w:bCs/>
                <w:sz w:val="24"/>
                <w:szCs w:val="24"/>
              </w:rPr>
              <w:t>;</w:t>
            </w:r>
          </w:p>
          <w:p w:rsidR="009019B1" w:rsidRPr="003560ED" w:rsidRDefault="009019B1" w:rsidP="009019B1">
            <w:pPr>
              <w:numPr>
                <w:ilvl w:val="0"/>
                <w:numId w:val="2"/>
              </w:numPr>
              <w:spacing w:after="0" w:line="240" w:lineRule="auto"/>
              <w:ind w:left="419" w:hanging="283"/>
              <w:jc w:val="both"/>
              <w:outlineLvl w:val="0"/>
              <w:rPr>
                <w:rFonts w:ascii="Times New Roman" w:hAnsi="Times New Roman"/>
                <w:bCs/>
                <w:sz w:val="24"/>
                <w:szCs w:val="24"/>
              </w:rPr>
            </w:pPr>
            <w:r>
              <w:rPr>
                <w:rFonts w:ascii="Times New Roman" w:hAnsi="Times New Roman"/>
                <w:bCs/>
                <w:sz w:val="24"/>
                <w:szCs w:val="24"/>
              </w:rPr>
              <w:lastRenderedPageBreak/>
              <w:t>Finanšu instrumenta biroja 2015. gada 10. decembra vēstul</w:t>
            </w:r>
            <w:r w:rsidR="00187ABF">
              <w:rPr>
                <w:rFonts w:ascii="Times New Roman" w:hAnsi="Times New Roman"/>
                <w:bCs/>
                <w:sz w:val="24"/>
                <w:szCs w:val="24"/>
              </w:rPr>
              <w:t>i</w:t>
            </w:r>
            <w:r>
              <w:rPr>
                <w:rFonts w:ascii="Times New Roman" w:hAnsi="Times New Roman"/>
                <w:bCs/>
                <w:sz w:val="24"/>
                <w:szCs w:val="24"/>
              </w:rPr>
              <w:t xml:space="preserve"> Finanšu ministrijai kā vadošajai iestādei par grozījumu veikšanu programmas līgumā, pagarinot programmas izdevumu attiecināmības termiņu līdz 2017. gada 31. decembrim.</w:t>
            </w:r>
          </w:p>
        </w:tc>
      </w:tr>
      <w:tr w:rsidR="009019B1" w:rsidRPr="006E0BDF" w:rsidTr="009B131E">
        <w:trPr>
          <w:trHeight w:val="1091"/>
        </w:trPr>
        <w:tc>
          <w:tcPr>
            <w:tcW w:w="536" w:type="dxa"/>
            <w:tcBorders>
              <w:top w:val="single" w:sz="6" w:space="0" w:color="auto"/>
              <w:left w:val="single" w:sz="6" w:space="0" w:color="auto"/>
              <w:bottom w:val="single" w:sz="6" w:space="0" w:color="auto"/>
              <w:right w:val="single" w:sz="6" w:space="0" w:color="auto"/>
            </w:tcBorders>
          </w:tcPr>
          <w:p w:rsidR="009019B1" w:rsidRPr="00260C2F" w:rsidRDefault="009019B1" w:rsidP="009B131E">
            <w:pPr>
              <w:spacing w:after="0" w:line="240" w:lineRule="auto"/>
              <w:rPr>
                <w:rFonts w:ascii="Times New Roman" w:eastAsia="Times New Roman" w:hAnsi="Times New Roman"/>
                <w:sz w:val="24"/>
                <w:szCs w:val="24"/>
                <w:lang w:eastAsia="lv-LV"/>
              </w:rPr>
            </w:pPr>
            <w:r w:rsidRPr="00260C2F">
              <w:rPr>
                <w:rFonts w:ascii="Times New Roman" w:eastAsia="Times New Roman" w:hAnsi="Times New Roman"/>
                <w:sz w:val="24"/>
                <w:szCs w:val="24"/>
                <w:lang w:eastAsia="lv-LV"/>
              </w:rPr>
              <w:lastRenderedPageBreak/>
              <w:t>2.</w:t>
            </w:r>
          </w:p>
        </w:tc>
        <w:tc>
          <w:tcPr>
            <w:tcW w:w="2602" w:type="dxa"/>
            <w:tcBorders>
              <w:top w:val="single" w:sz="6" w:space="0" w:color="auto"/>
              <w:left w:val="single" w:sz="6" w:space="0" w:color="auto"/>
              <w:bottom w:val="single" w:sz="6" w:space="0" w:color="auto"/>
              <w:right w:val="single" w:sz="6" w:space="0" w:color="auto"/>
            </w:tcBorders>
          </w:tcPr>
          <w:p w:rsidR="009019B1" w:rsidRPr="00260C2F" w:rsidRDefault="009019B1" w:rsidP="009B131E">
            <w:pPr>
              <w:spacing w:after="0" w:line="240" w:lineRule="auto"/>
              <w:rPr>
                <w:rFonts w:ascii="Times New Roman" w:eastAsia="Times New Roman" w:hAnsi="Times New Roman"/>
                <w:sz w:val="24"/>
                <w:szCs w:val="24"/>
                <w:lang w:eastAsia="lv-LV"/>
              </w:rPr>
            </w:pPr>
            <w:r w:rsidRPr="00260C2F">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rsidR="009019B1" w:rsidRPr="00260C2F" w:rsidRDefault="009019B1" w:rsidP="009B131E">
            <w:pPr>
              <w:spacing w:after="0" w:line="240" w:lineRule="auto"/>
              <w:rPr>
                <w:rFonts w:ascii="Times New Roman" w:eastAsia="Times New Roman" w:hAnsi="Times New Roman"/>
                <w:sz w:val="24"/>
                <w:szCs w:val="24"/>
                <w:lang w:eastAsia="lv-LV"/>
              </w:rPr>
            </w:pPr>
          </w:p>
          <w:p w:rsidR="009019B1" w:rsidRPr="00260C2F" w:rsidRDefault="009019B1" w:rsidP="009B131E">
            <w:pPr>
              <w:spacing w:after="0" w:line="240" w:lineRule="auto"/>
              <w:rPr>
                <w:rFonts w:ascii="Times New Roman" w:eastAsia="Times New Roman" w:hAnsi="Times New Roman"/>
                <w:sz w:val="24"/>
                <w:szCs w:val="24"/>
                <w:lang w:eastAsia="lv-LV"/>
              </w:rPr>
            </w:pPr>
          </w:p>
          <w:p w:rsidR="009019B1" w:rsidRPr="00260C2F" w:rsidRDefault="009019B1" w:rsidP="009B131E">
            <w:pPr>
              <w:spacing w:after="0" w:line="240" w:lineRule="auto"/>
              <w:rPr>
                <w:rFonts w:ascii="Times New Roman" w:eastAsia="Times New Roman" w:hAnsi="Times New Roman"/>
                <w:sz w:val="24"/>
                <w:szCs w:val="24"/>
                <w:lang w:eastAsia="lv-LV"/>
              </w:rPr>
            </w:pPr>
          </w:p>
          <w:p w:rsidR="009019B1" w:rsidRPr="00260C2F" w:rsidRDefault="009019B1" w:rsidP="009B131E">
            <w:pPr>
              <w:spacing w:after="0" w:line="240" w:lineRule="auto"/>
              <w:rPr>
                <w:rFonts w:ascii="Times New Roman" w:eastAsia="Times New Roman" w:hAnsi="Times New Roman"/>
                <w:sz w:val="24"/>
                <w:szCs w:val="24"/>
                <w:lang w:eastAsia="lv-LV"/>
              </w:rPr>
            </w:pPr>
          </w:p>
        </w:tc>
        <w:tc>
          <w:tcPr>
            <w:tcW w:w="6214" w:type="dxa"/>
            <w:tcBorders>
              <w:top w:val="single" w:sz="6" w:space="0" w:color="auto"/>
              <w:left w:val="single" w:sz="6" w:space="0" w:color="auto"/>
              <w:bottom w:val="single" w:sz="6" w:space="0" w:color="auto"/>
              <w:right w:val="single" w:sz="6" w:space="0" w:color="auto"/>
            </w:tcBorders>
          </w:tcPr>
          <w:p w:rsidR="009019B1" w:rsidRPr="000E5519" w:rsidRDefault="009019B1" w:rsidP="009B131E">
            <w:pPr>
              <w:spacing w:after="0" w:line="240" w:lineRule="auto"/>
              <w:ind w:firstLine="416"/>
              <w:jc w:val="both"/>
              <w:rPr>
                <w:rFonts w:ascii="Times New Roman" w:hAnsi="Times New Roman"/>
                <w:sz w:val="24"/>
                <w:szCs w:val="24"/>
              </w:rPr>
            </w:pPr>
            <w:r w:rsidRPr="000E5519">
              <w:rPr>
                <w:rFonts w:ascii="Times New Roman" w:hAnsi="Times New Roman"/>
                <w:sz w:val="24"/>
                <w:szCs w:val="24"/>
              </w:rPr>
              <w:t>Saskaņā ar saprašanās memorandā par Norvēģijas finanšu instrumenta ieviešanu 2009.-2014. gadā starp Latvijas Republiku un Norvēģijas Karalisti noteikto Tieslietu ministrija kā programmas apsaimniekotājs jaunajā plānošanas periodā prioritātes „Tieslietas un iekšlietas” ietvaros īsteno Norvēģijas finanšu instrumenta 2009.-2014. gada perioda</w:t>
            </w:r>
            <w:r w:rsidRPr="000E5519" w:rsidDel="00392C54">
              <w:rPr>
                <w:rFonts w:ascii="Times New Roman" w:hAnsi="Times New Roman"/>
                <w:sz w:val="24"/>
                <w:szCs w:val="24"/>
              </w:rPr>
              <w:t xml:space="preserve"> </w:t>
            </w:r>
            <w:r w:rsidRPr="000E5519">
              <w:rPr>
                <w:rFonts w:ascii="Times New Roman" w:hAnsi="Times New Roman"/>
                <w:sz w:val="24"/>
                <w:szCs w:val="24"/>
              </w:rPr>
              <w:t xml:space="preserve">programmu. </w:t>
            </w:r>
            <w:r w:rsidR="000204FA">
              <w:rPr>
                <w:rFonts w:ascii="Times New Roman" w:hAnsi="Times New Roman"/>
                <w:sz w:val="24"/>
                <w:szCs w:val="24"/>
              </w:rPr>
              <w:t>Tā</w:t>
            </w:r>
            <w:r w:rsidRPr="000E5519">
              <w:rPr>
                <w:rFonts w:ascii="Times New Roman" w:hAnsi="Times New Roman"/>
                <w:sz w:val="24"/>
                <w:szCs w:val="24"/>
              </w:rPr>
              <w:t xml:space="preserve"> ietver trīs iepriekš noteiktus projektus</w:t>
            </w:r>
            <w:r w:rsidR="00010698">
              <w:rPr>
                <w:rFonts w:ascii="Times New Roman" w:hAnsi="Times New Roman"/>
                <w:sz w:val="24"/>
                <w:szCs w:val="24"/>
              </w:rPr>
              <w:t xml:space="preserve"> (turpmāk </w:t>
            </w:r>
            <w:r w:rsidR="00010698">
              <w:rPr>
                <w:rFonts w:ascii="Times New Roman" w:hAnsi="Times New Roman"/>
                <w:bCs/>
                <w:sz w:val="24"/>
                <w:szCs w:val="24"/>
              </w:rPr>
              <w:t>– Programmas ietvaros īstenotie projekti)</w:t>
            </w:r>
            <w:r w:rsidRPr="000E5519">
              <w:rPr>
                <w:rFonts w:ascii="Times New Roman" w:hAnsi="Times New Roman"/>
                <w:sz w:val="24"/>
                <w:szCs w:val="24"/>
              </w:rPr>
              <w:t>:</w:t>
            </w:r>
          </w:p>
          <w:p w:rsidR="009019B1" w:rsidRPr="000E5519" w:rsidRDefault="009019B1" w:rsidP="009B131E">
            <w:pPr>
              <w:spacing w:after="0" w:line="240" w:lineRule="auto"/>
              <w:jc w:val="both"/>
              <w:rPr>
                <w:rFonts w:ascii="Times New Roman" w:eastAsia="Times New Roman" w:hAnsi="Times New Roman"/>
                <w:sz w:val="24"/>
                <w:szCs w:val="24"/>
                <w:lang w:eastAsia="lv-LV"/>
              </w:rPr>
            </w:pPr>
            <w:r w:rsidRPr="000E5519">
              <w:rPr>
                <w:rFonts w:ascii="Times New Roman" w:eastAsia="Times New Roman" w:hAnsi="Times New Roman"/>
                <w:sz w:val="24"/>
                <w:szCs w:val="24"/>
                <w:lang w:eastAsia="lv-LV"/>
              </w:rPr>
              <w:t>1. Valst</w:t>
            </w:r>
            <w:r>
              <w:rPr>
                <w:rFonts w:ascii="Times New Roman" w:eastAsia="Times New Roman" w:hAnsi="Times New Roman"/>
                <w:sz w:val="24"/>
                <w:szCs w:val="24"/>
                <w:lang w:eastAsia="lv-LV"/>
              </w:rPr>
              <w:t>s probācijas dienesta projekts „</w:t>
            </w:r>
            <w:r w:rsidRPr="000E5519">
              <w:rPr>
                <w:rFonts w:ascii="Times New Roman" w:eastAsia="Times New Roman" w:hAnsi="Times New Roman"/>
                <w:sz w:val="24"/>
                <w:szCs w:val="24"/>
                <w:lang w:eastAsia="lv-LV"/>
              </w:rPr>
              <w:t>Alternatīvu brīvības atņemšanai sekmēšana (ieskaitot iespējamo pilotprojektu elektronis</w:t>
            </w:r>
            <w:r>
              <w:rPr>
                <w:rFonts w:ascii="Times New Roman" w:eastAsia="Times New Roman" w:hAnsi="Times New Roman"/>
                <w:sz w:val="24"/>
                <w:szCs w:val="24"/>
                <w:lang w:eastAsia="lv-LV"/>
              </w:rPr>
              <w:t>kajai uzraudzībai)”</w:t>
            </w:r>
            <w:r w:rsidRPr="000E5519">
              <w:rPr>
                <w:rFonts w:ascii="Times New Roman" w:eastAsia="Times New Roman" w:hAnsi="Times New Roman"/>
                <w:sz w:val="24"/>
                <w:szCs w:val="24"/>
                <w:lang w:eastAsia="lv-LV"/>
              </w:rPr>
              <w:t>;</w:t>
            </w:r>
          </w:p>
          <w:p w:rsidR="009019B1" w:rsidRPr="002C3CF5" w:rsidRDefault="00403804" w:rsidP="009B131E">
            <w:pPr>
              <w:spacing w:after="0" w:line="240" w:lineRule="auto"/>
              <w:jc w:val="both"/>
              <w:rPr>
                <w:rFonts w:ascii="Times New Roman" w:eastAsia="Times New Roman" w:hAnsi="Times New Roman"/>
                <w:sz w:val="24"/>
                <w:szCs w:val="24"/>
                <w:lang w:eastAsia="lv-LV"/>
              </w:rPr>
            </w:pPr>
            <w:hyperlink r:id="rId8" w:anchor="n2" w:tgtFrame="_blank" w:history="1">
              <w:r w:rsidR="009019B1" w:rsidRPr="000E5519">
                <w:rPr>
                  <w:rFonts w:ascii="Times New Roman" w:eastAsia="Times New Roman" w:hAnsi="Times New Roman"/>
                  <w:sz w:val="24"/>
                  <w:szCs w:val="24"/>
                  <w:lang w:eastAsia="lv-LV"/>
                </w:rPr>
                <w:t xml:space="preserve">2. </w:t>
              </w:r>
            </w:hyperlink>
            <w:r w:rsidR="009019B1" w:rsidRPr="000E5519">
              <w:rPr>
                <w:rFonts w:ascii="Times New Roman" w:eastAsia="Times New Roman" w:hAnsi="Times New Roman"/>
                <w:sz w:val="24"/>
                <w:szCs w:val="24"/>
                <w:lang w:eastAsia="lv-LV"/>
              </w:rPr>
              <w:t>Ieslodz</w:t>
            </w:r>
            <w:r w:rsidR="009019B1">
              <w:rPr>
                <w:rFonts w:ascii="Times New Roman" w:eastAsia="Times New Roman" w:hAnsi="Times New Roman"/>
                <w:sz w:val="24"/>
                <w:szCs w:val="24"/>
                <w:lang w:eastAsia="lv-LV"/>
              </w:rPr>
              <w:t>ījuma vietu pārvaldes projekts „</w:t>
            </w:r>
            <w:r w:rsidR="009019B1" w:rsidRPr="000E5519">
              <w:rPr>
                <w:rFonts w:ascii="Times New Roman" w:eastAsia="Times New Roman" w:hAnsi="Times New Roman"/>
                <w:sz w:val="24"/>
                <w:szCs w:val="24"/>
                <w:lang w:eastAsia="lv-LV"/>
              </w:rPr>
              <w:t>Jauna nodaļa Olaines cietumā, ieskaitot būv</w:t>
            </w:r>
            <w:r w:rsidR="009019B1">
              <w:rPr>
                <w:rFonts w:ascii="Times New Roman" w:eastAsia="Times New Roman" w:hAnsi="Times New Roman"/>
                <w:sz w:val="24"/>
                <w:szCs w:val="24"/>
                <w:lang w:eastAsia="lv-LV"/>
              </w:rPr>
              <w:t xml:space="preserve">niecību un personāla </w:t>
            </w:r>
            <w:r w:rsidR="009019B1" w:rsidRPr="002C3CF5">
              <w:rPr>
                <w:rFonts w:ascii="Times New Roman" w:eastAsia="Times New Roman" w:hAnsi="Times New Roman"/>
                <w:sz w:val="24"/>
                <w:szCs w:val="24"/>
                <w:lang w:eastAsia="lv-LV"/>
              </w:rPr>
              <w:t>apmācību”</w:t>
            </w:r>
            <w:r w:rsidR="009019B1">
              <w:rPr>
                <w:rFonts w:ascii="Times New Roman" w:eastAsia="Times New Roman" w:hAnsi="Times New Roman"/>
                <w:sz w:val="24"/>
                <w:szCs w:val="24"/>
                <w:lang w:eastAsia="lv-LV"/>
              </w:rPr>
              <w:t>;</w:t>
            </w:r>
          </w:p>
          <w:p w:rsidR="009019B1" w:rsidRPr="009A00EC" w:rsidRDefault="009019B1" w:rsidP="009B131E">
            <w:pPr>
              <w:tabs>
                <w:tab w:val="left" w:pos="3686"/>
                <w:tab w:val="left" w:pos="6444"/>
              </w:tabs>
              <w:spacing w:after="0" w:line="240" w:lineRule="auto"/>
              <w:ind w:right="141"/>
              <w:jc w:val="both"/>
              <w:rPr>
                <w:rFonts w:ascii="Times New Roman" w:hAnsi="Times New Roman"/>
                <w:sz w:val="24"/>
                <w:szCs w:val="24"/>
              </w:rPr>
            </w:pPr>
            <w:r w:rsidRPr="002C3CF5">
              <w:rPr>
                <w:rFonts w:ascii="Times New Roman" w:eastAsia="Times New Roman" w:hAnsi="Times New Roman"/>
                <w:sz w:val="24"/>
                <w:szCs w:val="24"/>
                <w:lang w:eastAsia="lv-LV"/>
              </w:rPr>
              <w:t xml:space="preserve">3. Valsts policijas projekts „Valsts policijas īslaicīgās aizturēšanas vietu standartu uzlabošana, tai skaitā aktivitātes infrastruktūras uzlabošanai; līdzšinējās prakses </w:t>
            </w:r>
            <w:r w:rsidRPr="009A00EC">
              <w:rPr>
                <w:rFonts w:ascii="Times New Roman" w:eastAsia="Times New Roman" w:hAnsi="Times New Roman"/>
                <w:sz w:val="24"/>
                <w:szCs w:val="24"/>
                <w:lang w:eastAsia="lv-LV"/>
              </w:rPr>
              <w:t>administratīvajai aizturēšanai samazināšana/likvidēšana; prakses maiņa, atgriežot apcietinājumā esošos ieslodzītos turpmākai izmeklēšanai; atbilstošu apmācību nodrošināšana darbiniekiem, kas strādā īslaicīgās aizturēšanas vietās”.</w:t>
            </w:r>
            <w:r w:rsidRPr="009A00EC">
              <w:rPr>
                <w:rFonts w:ascii="Times New Roman" w:hAnsi="Times New Roman"/>
                <w:sz w:val="24"/>
                <w:szCs w:val="24"/>
              </w:rPr>
              <w:t xml:space="preserve"> </w:t>
            </w:r>
          </w:p>
          <w:p w:rsidR="009019B1" w:rsidRDefault="009019B1" w:rsidP="009B131E">
            <w:pPr>
              <w:tabs>
                <w:tab w:val="left" w:pos="423"/>
                <w:tab w:val="left" w:pos="3686"/>
                <w:tab w:val="left" w:pos="6444"/>
              </w:tabs>
              <w:spacing w:after="0" w:line="240" w:lineRule="auto"/>
              <w:ind w:right="141" w:firstLine="416"/>
              <w:jc w:val="both"/>
              <w:rPr>
                <w:rFonts w:ascii="Times New Roman" w:hAnsi="Times New Roman"/>
                <w:bCs/>
                <w:sz w:val="24"/>
                <w:szCs w:val="24"/>
              </w:rPr>
            </w:pPr>
            <w:r w:rsidRPr="009A00EC">
              <w:rPr>
                <w:rFonts w:ascii="Times New Roman" w:hAnsi="Times New Roman"/>
                <w:sz w:val="24"/>
                <w:szCs w:val="24"/>
              </w:rPr>
              <w:t>Pamatojoties uz programmu apsaimniekotāju iesniegumiem</w:t>
            </w:r>
            <w:r>
              <w:rPr>
                <w:rFonts w:ascii="Times New Roman" w:hAnsi="Times New Roman"/>
                <w:sz w:val="24"/>
                <w:szCs w:val="24"/>
              </w:rPr>
              <w:t>,</w:t>
            </w:r>
            <w:r w:rsidRPr="009A00EC">
              <w:rPr>
                <w:rFonts w:ascii="Times New Roman" w:hAnsi="Times New Roman"/>
                <w:sz w:val="24"/>
                <w:szCs w:val="24"/>
              </w:rPr>
              <w:t xml:space="preserve"> </w:t>
            </w:r>
            <w:r w:rsidRPr="009A00EC">
              <w:rPr>
                <w:rFonts w:ascii="Times New Roman" w:eastAsia="Times New Roman" w:hAnsi="Times New Roman"/>
                <w:sz w:val="24"/>
                <w:szCs w:val="24"/>
              </w:rPr>
              <w:t xml:space="preserve">EEZ/Norvēģijas finanšu instrumentu vadošā iestāde </w:t>
            </w:r>
            <w:r w:rsidRPr="009A00EC">
              <w:rPr>
                <w:rFonts w:ascii="Times New Roman" w:hAnsi="Times New Roman"/>
                <w:sz w:val="24"/>
                <w:szCs w:val="24"/>
              </w:rPr>
              <w:t>izvērtēja un iesniedza F</w:t>
            </w:r>
            <w:r>
              <w:rPr>
                <w:rFonts w:ascii="Times New Roman" w:hAnsi="Times New Roman"/>
                <w:sz w:val="24"/>
                <w:szCs w:val="24"/>
              </w:rPr>
              <w:t>inanšu instrumentu birojā</w:t>
            </w:r>
            <w:r w:rsidRPr="009A00EC">
              <w:rPr>
                <w:rFonts w:ascii="Times New Roman" w:hAnsi="Times New Roman"/>
                <w:sz w:val="24"/>
                <w:szCs w:val="24"/>
              </w:rPr>
              <w:t xml:space="preserve"> projektu pagarinājumu pieteikumus atsevišķās EEZ/Norvēģijas finanšu instrumentu īstenotajās programmās. F</w:t>
            </w:r>
            <w:r>
              <w:rPr>
                <w:rFonts w:ascii="Times New Roman" w:hAnsi="Times New Roman"/>
                <w:sz w:val="24"/>
                <w:szCs w:val="24"/>
              </w:rPr>
              <w:t>inanšu instrumentu birojs</w:t>
            </w:r>
            <w:r w:rsidRPr="009A00EC">
              <w:rPr>
                <w:rFonts w:ascii="Times New Roman" w:hAnsi="Times New Roman"/>
                <w:sz w:val="24"/>
                <w:szCs w:val="24"/>
              </w:rPr>
              <w:t xml:space="preserve"> ar 2015. gada 13. oktobra vēstuli informēja Finanšu ministriju, ka visiem EEZ/Norvēģijas finanšu instrumentu projektiem, kuriem tika pieprasīts pagarinājums, tas arī tika piešķirts, tādejādi atbalstot pagarināt projektu īstenošanas termiņu līdz 2017. gada 30. aprīlim.</w:t>
            </w:r>
            <w:r w:rsidRPr="003560ED">
              <w:rPr>
                <w:rFonts w:ascii="Times New Roman" w:hAnsi="Times New Roman"/>
                <w:bCs/>
                <w:sz w:val="24"/>
                <w:szCs w:val="24"/>
              </w:rPr>
              <w:t xml:space="preserve"> </w:t>
            </w:r>
          </w:p>
          <w:p w:rsidR="009019B1" w:rsidRDefault="009019B1" w:rsidP="009B131E">
            <w:pPr>
              <w:tabs>
                <w:tab w:val="left" w:pos="423"/>
                <w:tab w:val="left" w:pos="3686"/>
                <w:tab w:val="left" w:pos="6444"/>
              </w:tabs>
              <w:spacing w:after="0" w:line="240" w:lineRule="auto"/>
              <w:ind w:right="141" w:firstLine="416"/>
              <w:jc w:val="both"/>
              <w:rPr>
                <w:rFonts w:ascii="Times New Roman" w:hAnsi="Times New Roman"/>
                <w:bCs/>
                <w:sz w:val="24"/>
                <w:szCs w:val="24"/>
              </w:rPr>
            </w:pPr>
            <w:r>
              <w:rPr>
                <w:rFonts w:ascii="Times New Roman" w:hAnsi="Times New Roman"/>
                <w:bCs/>
                <w:sz w:val="24"/>
                <w:szCs w:val="24"/>
              </w:rPr>
              <w:t xml:space="preserve">Atbilstoši Ministru kabineta 2012. gada 9. oktobra noteikumu Nr. 694 </w:t>
            </w:r>
            <w:r w:rsidRPr="003560ED">
              <w:rPr>
                <w:rFonts w:ascii="Times New Roman" w:hAnsi="Times New Roman"/>
                <w:sz w:val="24"/>
                <w:szCs w:val="24"/>
              </w:rPr>
              <w:t>“</w:t>
            </w:r>
            <w:r w:rsidRPr="003560ED">
              <w:rPr>
                <w:rFonts w:ascii="Times New Roman" w:hAnsi="Times New Roman"/>
                <w:bCs/>
                <w:sz w:val="24"/>
                <w:szCs w:val="24"/>
              </w:rPr>
              <w:t>Eiropas Ekonomikas zonas finanšu instrumenta un Norvēģijas finanšu instrumenta 2009.–2014. gada perioda vadības noteikumi”</w:t>
            </w:r>
            <w:r>
              <w:rPr>
                <w:rFonts w:ascii="Times New Roman" w:hAnsi="Times New Roman"/>
                <w:bCs/>
                <w:sz w:val="24"/>
                <w:szCs w:val="24"/>
              </w:rPr>
              <w:t xml:space="preserve"> 18. punktam Finanšu ministrija kā vadošā iestāde ar 2016. gada 5. februāra e-pastu informē Tieslietu ministriju kā programmas apsaimniekotāju par to, ka saņēmusi </w:t>
            </w:r>
            <w:proofErr w:type="spellStart"/>
            <w:r>
              <w:rPr>
                <w:rFonts w:ascii="Times New Roman" w:hAnsi="Times New Roman"/>
                <w:bCs/>
                <w:sz w:val="24"/>
                <w:szCs w:val="24"/>
              </w:rPr>
              <w:t>DoRIS</w:t>
            </w:r>
            <w:proofErr w:type="spellEnd"/>
            <w:r>
              <w:rPr>
                <w:rFonts w:ascii="Times New Roman" w:hAnsi="Times New Roman"/>
                <w:bCs/>
                <w:sz w:val="24"/>
                <w:szCs w:val="24"/>
              </w:rPr>
              <w:t xml:space="preserve"> sistēmā donorvalsts apstiprinātos Norvēģijas finanšu instrumenta līdzfinansētas </w:t>
            </w:r>
            <w:r w:rsidRPr="000204FA">
              <w:rPr>
                <w:rFonts w:ascii="Times New Roman" w:hAnsi="Times New Roman"/>
                <w:bCs/>
                <w:sz w:val="24"/>
                <w:szCs w:val="24"/>
              </w:rPr>
              <w:t xml:space="preserve">programmas </w:t>
            </w:r>
            <w:r>
              <w:rPr>
                <w:rFonts w:ascii="Times New Roman" w:hAnsi="Times New Roman"/>
                <w:bCs/>
                <w:sz w:val="24"/>
                <w:szCs w:val="24"/>
              </w:rPr>
              <w:t xml:space="preserve">līguma 1. pielikuma grozījumus, ar kuriem tiek pagarināts programmas līmeņa izmaksu </w:t>
            </w:r>
            <w:r>
              <w:rPr>
                <w:rFonts w:ascii="Times New Roman" w:hAnsi="Times New Roman"/>
                <w:bCs/>
                <w:sz w:val="24"/>
                <w:szCs w:val="24"/>
              </w:rPr>
              <w:lastRenderedPageBreak/>
              <w:t xml:space="preserve">attiecināmības termiņš līdz 2017. gada 31. decembrim un informē, ka 2015. gada 11. decembrī akceptēja precizēto programmas līguma 1.pielikumu </w:t>
            </w:r>
            <w:proofErr w:type="spellStart"/>
            <w:r>
              <w:rPr>
                <w:rFonts w:ascii="Times New Roman" w:hAnsi="Times New Roman"/>
                <w:bCs/>
                <w:sz w:val="24"/>
                <w:szCs w:val="24"/>
              </w:rPr>
              <w:t>DoRIS</w:t>
            </w:r>
            <w:proofErr w:type="spellEnd"/>
            <w:r>
              <w:rPr>
                <w:rFonts w:ascii="Times New Roman" w:hAnsi="Times New Roman"/>
                <w:bCs/>
                <w:sz w:val="24"/>
                <w:szCs w:val="24"/>
              </w:rPr>
              <w:t xml:space="preserve"> sistēmā, līdz ar to minētie grozījumi stājušies spēkā atbilstoši Finanšu instrumenta biroja 2015. gada 10. decembra vēstulei.</w:t>
            </w:r>
          </w:p>
          <w:p w:rsidR="009019B1" w:rsidRPr="002C3CF5" w:rsidRDefault="009019B1" w:rsidP="009B131E">
            <w:pPr>
              <w:spacing w:after="0" w:line="240" w:lineRule="auto"/>
              <w:ind w:firstLine="300"/>
              <w:jc w:val="both"/>
              <w:rPr>
                <w:rFonts w:ascii="Times New Roman" w:hAnsi="Times New Roman"/>
                <w:sz w:val="24"/>
                <w:szCs w:val="24"/>
              </w:rPr>
            </w:pPr>
            <w:r w:rsidRPr="002C3CF5">
              <w:rPr>
                <w:rFonts w:ascii="Times New Roman" w:eastAsia="Times New Roman" w:hAnsi="Times New Roman"/>
                <w:sz w:val="24"/>
                <w:szCs w:val="24"/>
                <w:lang w:eastAsia="lv-LV"/>
              </w:rPr>
              <w:t>Līdz ar to, p</w:t>
            </w:r>
            <w:r w:rsidRPr="002C3CF5">
              <w:rPr>
                <w:rFonts w:ascii="Times New Roman" w:hAnsi="Times New Roman"/>
                <w:sz w:val="24"/>
                <w:szCs w:val="24"/>
              </w:rPr>
              <w:t xml:space="preserve">irmkārt, projekts paredz izteikt jaunā redakcijā </w:t>
            </w:r>
            <w:r w:rsidR="00495663">
              <w:rPr>
                <w:rFonts w:ascii="Times New Roman" w:hAnsi="Times New Roman"/>
                <w:sz w:val="24"/>
                <w:szCs w:val="24"/>
              </w:rPr>
              <w:t xml:space="preserve">MK noteikumu Nr. 191 </w:t>
            </w:r>
            <w:r w:rsidRPr="002C3CF5">
              <w:rPr>
                <w:rFonts w:ascii="Times New Roman" w:eastAsia="Times New Roman" w:hAnsi="Times New Roman"/>
                <w:sz w:val="24"/>
                <w:szCs w:val="24"/>
                <w:lang w:eastAsia="lv-LV"/>
              </w:rPr>
              <w:t>25. punktu,</w:t>
            </w:r>
            <w:r w:rsidRPr="002C3CF5">
              <w:rPr>
                <w:rFonts w:ascii="Times New Roman" w:hAnsi="Times New Roman"/>
                <w:sz w:val="24"/>
                <w:szCs w:val="24"/>
              </w:rPr>
              <w:t xml:space="preserve"> nosakot, </w:t>
            </w:r>
            <w:r>
              <w:rPr>
                <w:rFonts w:ascii="Times New Roman" w:hAnsi="Times New Roman"/>
                <w:sz w:val="24"/>
                <w:szCs w:val="24"/>
              </w:rPr>
              <w:t xml:space="preserve">ka </w:t>
            </w:r>
            <w:r w:rsidR="00010698">
              <w:rPr>
                <w:rFonts w:ascii="Times New Roman" w:hAnsi="Times New Roman"/>
                <w:sz w:val="24"/>
                <w:szCs w:val="24"/>
              </w:rPr>
              <w:t xml:space="preserve">Programmas ietvaros īstenoto projektu </w:t>
            </w:r>
            <w:r w:rsidRPr="002C3CF5">
              <w:rPr>
                <w:rFonts w:ascii="Times New Roman" w:hAnsi="Times New Roman"/>
                <w:sz w:val="24"/>
                <w:szCs w:val="24"/>
              </w:rPr>
              <w:t>īstenošanas un izmaksu attiecināmības termiņš nepārsniedz 2017. gada 30. aprīli.</w:t>
            </w:r>
          </w:p>
          <w:p w:rsidR="009019B1" w:rsidRDefault="009019B1" w:rsidP="009B131E">
            <w:pPr>
              <w:spacing w:after="0" w:line="240" w:lineRule="auto"/>
              <w:ind w:firstLine="300"/>
              <w:jc w:val="both"/>
              <w:rPr>
                <w:rFonts w:ascii="Times New Roman" w:hAnsi="Times New Roman"/>
                <w:sz w:val="24"/>
                <w:szCs w:val="24"/>
              </w:rPr>
            </w:pPr>
            <w:r w:rsidRPr="00EE0417">
              <w:rPr>
                <w:rFonts w:ascii="Times New Roman" w:hAnsi="Times New Roman"/>
                <w:sz w:val="24"/>
                <w:szCs w:val="24"/>
              </w:rPr>
              <w:t xml:space="preserve">Otrkārt, ņemot vērā to, ka, pagarinot </w:t>
            </w:r>
            <w:r w:rsidR="00010698">
              <w:rPr>
                <w:rFonts w:ascii="Times New Roman" w:hAnsi="Times New Roman"/>
                <w:sz w:val="24"/>
                <w:szCs w:val="24"/>
              </w:rPr>
              <w:t>Programmas ietvaros īstenoto p</w:t>
            </w:r>
            <w:r w:rsidRPr="00EE0417">
              <w:rPr>
                <w:rFonts w:ascii="Times New Roman" w:hAnsi="Times New Roman"/>
                <w:sz w:val="24"/>
                <w:szCs w:val="24"/>
              </w:rPr>
              <w:t>rojektu īstenošanas termiņu</w:t>
            </w:r>
            <w:r>
              <w:rPr>
                <w:rFonts w:ascii="Times New Roman" w:hAnsi="Times New Roman"/>
                <w:sz w:val="24"/>
                <w:szCs w:val="24"/>
              </w:rPr>
              <w:t>,</w:t>
            </w:r>
            <w:r w:rsidRPr="00EE0417">
              <w:rPr>
                <w:rFonts w:ascii="Times New Roman" w:hAnsi="Times New Roman"/>
                <w:sz w:val="24"/>
                <w:szCs w:val="24"/>
              </w:rPr>
              <w:t xml:space="preserve"> pagarinā</w:t>
            </w:r>
            <w:r>
              <w:rPr>
                <w:rFonts w:ascii="Times New Roman" w:hAnsi="Times New Roman"/>
                <w:sz w:val="24"/>
                <w:szCs w:val="24"/>
              </w:rPr>
              <w:t>s</w:t>
            </w:r>
            <w:r w:rsidRPr="00EE0417">
              <w:rPr>
                <w:rFonts w:ascii="Times New Roman" w:hAnsi="Times New Roman"/>
                <w:sz w:val="24"/>
                <w:szCs w:val="24"/>
              </w:rPr>
              <w:t xml:space="preserve"> arī </w:t>
            </w:r>
            <w:r w:rsidRPr="00F055D1">
              <w:rPr>
                <w:rFonts w:ascii="Times New Roman" w:hAnsi="Times New Roman"/>
                <w:sz w:val="24"/>
                <w:szCs w:val="24"/>
              </w:rPr>
              <w:t>programmas</w:t>
            </w:r>
            <w:r w:rsidRPr="00EE0417">
              <w:rPr>
                <w:rFonts w:ascii="Times New Roman" w:hAnsi="Times New Roman"/>
                <w:sz w:val="24"/>
                <w:szCs w:val="24"/>
              </w:rPr>
              <w:t xml:space="preserve"> attiecināmības periods, tiek </w:t>
            </w:r>
            <w:proofErr w:type="gramStart"/>
            <w:r w:rsidRPr="00EE0417">
              <w:rPr>
                <w:rFonts w:ascii="Times New Roman" w:hAnsi="Times New Roman"/>
                <w:sz w:val="24"/>
                <w:szCs w:val="24"/>
              </w:rPr>
              <w:t xml:space="preserve">precizēts </w:t>
            </w:r>
            <w:r w:rsidR="00495663">
              <w:rPr>
                <w:rFonts w:ascii="Times New Roman" w:hAnsi="Times New Roman"/>
                <w:sz w:val="24"/>
                <w:szCs w:val="24"/>
              </w:rPr>
              <w:t>M</w:t>
            </w:r>
            <w:r w:rsidR="000204FA">
              <w:rPr>
                <w:rFonts w:ascii="Times New Roman" w:hAnsi="Times New Roman"/>
                <w:sz w:val="24"/>
                <w:szCs w:val="24"/>
              </w:rPr>
              <w:t>inistru kabineta</w:t>
            </w:r>
            <w:r w:rsidR="00495663">
              <w:rPr>
                <w:rFonts w:ascii="Times New Roman" w:hAnsi="Times New Roman"/>
                <w:sz w:val="24"/>
                <w:szCs w:val="24"/>
              </w:rPr>
              <w:t xml:space="preserve"> </w:t>
            </w:r>
            <w:r w:rsidRPr="00EE0417">
              <w:rPr>
                <w:rFonts w:ascii="Times New Roman" w:hAnsi="Times New Roman"/>
                <w:sz w:val="24"/>
                <w:szCs w:val="24"/>
              </w:rPr>
              <w:t>noteikumu</w:t>
            </w:r>
            <w:proofErr w:type="gramEnd"/>
            <w:r w:rsidR="00495663">
              <w:rPr>
                <w:rFonts w:ascii="Times New Roman" w:hAnsi="Times New Roman"/>
                <w:sz w:val="24"/>
                <w:szCs w:val="24"/>
              </w:rPr>
              <w:t xml:space="preserve"> Nr. 191</w:t>
            </w:r>
            <w:r w:rsidRPr="00EE0417">
              <w:rPr>
                <w:rFonts w:ascii="Times New Roman" w:hAnsi="Times New Roman"/>
                <w:sz w:val="24"/>
                <w:szCs w:val="24"/>
              </w:rPr>
              <w:t xml:space="preserve"> 10. punkts, paredzot, ka </w:t>
            </w:r>
            <w:r w:rsidRPr="00F055D1">
              <w:rPr>
                <w:rFonts w:ascii="Times New Roman" w:hAnsi="Times New Roman"/>
                <w:sz w:val="24"/>
                <w:szCs w:val="24"/>
              </w:rPr>
              <w:t>programmas</w:t>
            </w:r>
            <w:r w:rsidRPr="00EE0417">
              <w:rPr>
                <w:rFonts w:ascii="Times New Roman" w:hAnsi="Times New Roman"/>
                <w:sz w:val="24"/>
                <w:szCs w:val="24"/>
              </w:rPr>
              <w:t xml:space="preserve"> īstenošanas termiņš ir 2017. gada 31. </w:t>
            </w:r>
            <w:r>
              <w:rPr>
                <w:rFonts w:ascii="Times New Roman" w:hAnsi="Times New Roman"/>
                <w:sz w:val="24"/>
                <w:szCs w:val="24"/>
              </w:rPr>
              <w:t>d</w:t>
            </w:r>
            <w:r w:rsidRPr="00EE0417">
              <w:rPr>
                <w:rFonts w:ascii="Times New Roman" w:hAnsi="Times New Roman"/>
                <w:sz w:val="24"/>
                <w:szCs w:val="24"/>
              </w:rPr>
              <w:t>ecembri</w:t>
            </w:r>
            <w:r>
              <w:rPr>
                <w:rFonts w:ascii="Times New Roman" w:hAnsi="Times New Roman"/>
                <w:sz w:val="24"/>
                <w:szCs w:val="24"/>
              </w:rPr>
              <w:t xml:space="preserve">s. </w:t>
            </w:r>
          </w:p>
          <w:p w:rsidR="009019B1" w:rsidRDefault="009019B1" w:rsidP="009B131E">
            <w:pPr>
              <w:spacing w:after="0" w:line="240" w:lineRule="auto"/>
              <w:ind w:firstLine="300"/>
              <w:jc w:val="both"/>
              <w:rPr>
                <w:rFonts w:ascii="Times New Roman" w:hAnsi="Times New Roman"/>
                <w:sz w:val="26"/>
                <w:szCs w:val="26"/>
              </w:rPr>
            </w:pPr>
            <w:r>
              <w:rPr>
                <w:rFonts w:ascii="Times New Roman" w:hAnsi="Times New Roman"/>
                <w:sz w:val="24"/>
                <w:szCs w:val="24"/>
              </w:rPr>
              <w:t xml:space="preserve">Treškārt, ievērojot minēto, projekts paredz arī izmaiņas attiecībā uz </w:t>
            </w:r>
            <w:r w:rsidR="000204FA">
              <w:rPr>
                <w:rFonts w:ascii="Times New Roman" w:hAnsi="Times New Roman"/>
                <w:sz w:val="24"/>
                <w:szCs w:val="24"/>
              </w:rPr>
              <w:t>n</w:t>
            </w:r>
            <w:r>
              <w:rPr>
                <w:rFonts w:ascii="Times New Roman" w:hAnsi="Times New Roman"/>
                <w:sz w:val="24"/>
                <w:szCs w:val="24"/>
              </w:rPr>
              <w:t>acionālā programmas partnera programmas noslēguma ziņojuma sagatavošanai nepieciešamās informācijas iesniegšanas termiņu programmas apsaimniekotājam, lai varētu nodrošināt donorvalstu prasības</w:t>
            </w:r>
            <w:r w:rsidRPr="00EE0417">
              <w:rPr>
                <w:rFonts w:ascii="Times New Roman" w:hAnsi="Times New Roman"/>
                <w:sz w:val="24"/>
                <w:szCs w:val="24"/>
              </w:rPr>
              <w:t>.</w:t>
            </w:r>
            <w:r>
              <w:rPr>
                <w:rFonts w:ascii="Times New Roman" w:hAnsi="Times New Roman"/>
                <w:sz w:val="24"/>
                <w:szCs w:val="24"/>
              </w:rPr>
              <w:t xml:space="preserve"> Līdz ar to projekts paredz precizēt </w:t>
            </w:r>
            <w:r w:rsidR="00495663">
              <w:rPr>
                <w:rFonts w:ascii="Times New Roman" w:hAnsi="Times New Roman"/>
                <w:sz w:val="24"/>
                <w:szCs w:val="24"/>
              </w:rPr>
              <w:t xml:space="preserve">MK </w:t>
            </w:r>
            <w:r>
              <w:rPr>
                <w:rFonts w:ascii="Times New Roman" w:hAnsi="Times New Roman"/>
                <w:sz w:val="24"/>
                <w:szCs w:val="24"/>
              </w:rPr>
              <w:t>noteikumu</w:t>
            </w:r>
            <w:r w:rsidR="00495663">
              <w:rPr>
                <w:rFonts w:ascii="Times New Roman" w:hAnsi="Times New Roman"/>
                <w:sz w:val="24"/>
                <w:szCs w:val="24"/>
              </w:rPr>
              <w:t xml:space="preserve"> Nr. 191</w:t>
            </w:r>
            <w:r>
              <w:rPr>
                <w:rFonts w:ascii="Times New Roman" w:hAnsi="Times New Roman"/>
                <w:sz w:val="24"/>
                <w:szCs w:val="24"/>
              </w:rPr>
              <w:t xml:space="preserve"> 84.5 apakšpunktu, kas paredz termiņu, t.i., 2018. gada 2. janvārim, kādā </w:t>
            </w:r>
            <w:r w:rsidR="000204FA" w:rsidRPr="000204FA">
              <w:rPr>
                <w:rFonts w:ascii="Times New Roman" w:hAnsi="Times New Roman"/>
                <w:sz w:val="24"/>
                <w:szCs w:val="24"/>
              </w:rPr>
              <w:t>n</w:t>
            </w:r>
            <w:r w:rsidRPr="000204FA">
              <w:rPr>
                <w:rFonts w:ascii="Times New Roman" w:hAnsi="Times New Roman"/>
                <w:sz w:val="24"/>
                <w:szCs w:val="24"/>
              </w:rPr>
              <w:t>acionālais</w:t>
            </w:r>
            <w:r>
              <w:rPr>
                <w:rFonts w:ascii="Times New Roman" w:hAnsi="Times New Roman"/>
                <w:sz w:val="24"/>
                <w:szCs w:val="24"/>
              </w:rPr>
              <w:t xml:space="preserve"> programmas partneris sniedz programmas apsaimniekotājam programmas noslēguma ziņojuma sagatavošanai nepieciešamo informāciju.</w:t>
            </w:r>
          </w:p>
          <w:p w:rsidR="009019B1" w:rsidRPr="006C6BD6" w:rsidRDefault="009019B1" w:rsidP="009B131E">
            <w:pPr>
              <w:spacing w:after="0" w:line="240" w:lineRule="auto"/>
              <w:ind w:left="33" w:firstLine="525"/>
              <w:jc w:val="both"/>
              <w:rPr>
                <w:rFonts w:ascii="Times New Roman" w:hAnsi="Times New Roman"/>
                <w:sz w:val="20"/>
                <w:szCs w:val="20"/>
              </w:rPr>
            </w:pPr>
          </w:p>
        </w:tc>
      </w:tr>
      <w:tr w:rsidR="009019B1" w:rsidRPr="006E0BDF" w:rsidTr="009B131E">
        <w:trPr>
          <w:trHeight w:val="746"/>
        </w:trPr>
        <w:tc>
          <w:tcPr>
            <w:tcW w:w="536" w:type="dxa"/>
            <w:tcBorders>
              <w:top w:val="single" w:sz="6" w:space="0" w:color="auto"/>
              <w:left w:val="single" w:sz="6" w:space="0" w:color="auto"/>
              <w:bottom w:val="single" w:sz="6" w:space="0" w:color="auto"/>
              <w:right w:val="single" w:sz="6" w:space="0" w:color="auto"/>
            </w:tcBorders>
          </w:tcPr>
          <w:p w:rsidR="009019B1" w:rsidRPr="00260C2F" w:rsidRDefault="009019B1" w:rsidP="009B131E">
            <w:pPr>
              <w:tabs>
                <w:tab w:val="left" w:pos="720"/>
                <w:tab w:val="center" w:pos="4153"/>
                <w:tab w:val="right" w:pos="8306"/>
              </w:tabs>
              <w:spacing w:after="0" w:line="240" w:lineRule="auto"/>
              <w:rPr>
                <w:rFonts w:ascii="Times New Roman" w:eastAsia="Times New Roman" w:hAnsi="Times New Roman"/>
                <w:sz w:val="24"/>
                <w:szCs w:val="24"/>
                <w:lang w:eastAsia="lv-LV"/>
              </w:rPr>
            </w:pPr>
            <w:r w:rsidRPr="00260C2F">
              <w:rPr>
                <w:rFonts w:ascii="Times New Roman" w:eastAsia="Times New Roman" w:hAnsi="Times New Roman"/>
                <w:sz w:val="24"/>
                <w:szCs w:val="24"/>
                <w:lang w:eastAsia="lv-LV"/>
              </w:rPr>
              <w:lastRenderedPageBreak/>
              <w:t>3.</w:t>
            </w:r>
          </w:p>
        </w:tc>
        <w:tc>
          <w:tcPr>
            <w:tcW w:w="2602" w:type="dxa"/>
            <w:tcBorders>
              <w:top w:val="single" w:sz="6" w:space="0" w:color="auto"/>
              <w:left w:val="single" w:sz="6" w:space="0" w:color="auto"/>
              <w:bottom w:val="single" w:sz="6" w:space="0" w:color="auto"/>
              <w:right w:val="single" w:sz="6" w:space="0" w:color="auto"/>
            </w:tcBorders>
          </w:tcPr>
          <w:p w:rsidR="009019B1" w:rsidRPr="00260C2F" w:rsidRDefault="009019B1" w:rsidP="009B131E">
            <w:pPr>
              <w:tabs>
                <w:tab w:val="left" w:pos="720"/>
                <w:tab w:val="center" w:pos="4153"/>
                <w:tab w:val="right" w:pos="8306"/>
              </w:tabs>
              <w:spacing w:after="0" w:line="240" w:lineRule="auto"/>
              <w:rPr>
                <w:rFonts w:ascii="Times New Roman" w:eastAsia="Times New Roman" w:hAnsi="Times New Roman"/>
                <w:sz w:val="24"/>
                <w:szCs w:val="24"/>
                <w:lang w:eastAsia="lv-LV"/>
              </w:rPr>
            </w:pPr>
            <w:r w:rsidRPr="00260C2F">
              <w:rPr>
                <w:rFonts w:ascii="Times New Roman" w:eastAsia="Times New Roman" w:hAnsi="Times New Roman"/>
                <w:sz w:val="24"/>
                <w:szCs w:val="24"/>
                <w:lang w:eastAsia="lv-LV"/>
              </w:rPr>
              <w:t>Projekta izstrādē iesaistītās institūcijas</w:t>
            </w:r>
          </w:p>
        </w:tc>
        <w:tc>
          <w:tcPr>
            <w:tcW w:w="6214" w:type="dxa"/>
            <w:tcBorders>
              <w:top w:val="single" w:sz="6" w:space="0" w:color="auto"/>
              <w:left w:val="single" w:sz="6" w:space="0" w:color="auto"/>
              <w:bottom w:val="single" w:sz="6" w:space="0" w:color="auto"/>
              <w:right w:val="single" w:sz="6" w:space="0" w:color="auto"/>
            </w:tcBorders>
          </w:tcPr>
          <w:p w:rsidR="009019B1" w:rsidRPr="00260C2F" w:rsidRDefault="009019B1" w:rsidP="009B131E">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Projekts šo jomu neskar.</w:t>
            </w:r>
          </w:p>
        </w:tc>
      </w:tr>
      <w:tr w:rsidR="009019B1" w:rsidRPr="006E0BDF" w:rsidTr="009B131E">
        <w:trPr>
          <w:trHeight w:val="367"/>
        </w:trPr>
        <w:tc>
          <w:tcPr>
            <w:tcW w:w="536" w:type="dxa"/>
            <w:tcBorders>
              <w:top w:val="single" w:sz="6" w:space="0" w:color="auto"/>
              <w:left w:val="single" w:sz="6" w:space="0" w:color="auto"/>
              <w:bottom w:val="single" w:sz="6" w:space="0" w:color="auto"/>
              <w:right w:val="single" w:sz="6" w:space="0" w:color="auto"/>
            </w:tcBorders>
          </w:tcPr>
          <w:p w:rsidR="009019B1" w:rsidRPr="00260C2F" w:rsidRDefault="009019B1" w:rsidP="009B131E">
            <w:pPr>
              <w:tabs>
                <w:tab w:val="left" w:pos="720"/>
                <w:tab w:val="center" w:pos="4153"/>
                <w:tab w:val="right" w:pos="8306"/>
              </w:tabs>
              <w:spacing w:after="0" w:line="240" w:lineRule="auto"/>
              <w:rPr>
                <w:rFonts w:ascii="Times New Roman" w:eastAsia="Times New Roman" w:hAnsi="Times New Roman"/>
                <w:sz w:val="24"/>
                <w:szCs w:val="24"/>
                <w:lang w:eastAsia="lv-LV"/>
              </w:rPr>
            </w:pPr>
            <w:r w:rsidRPr="00260C2F">
              <w:rPr>
                <w:rFonts w:ascii="Times New Roman" w:eastAsia="Times New Roman" w:hAnsi="Times New Roman"/>
                <w:sz w:val="24"/>
                <w:szCs w:val="24"/>
                <w:lang w:eastAsia="lv-LV"/>
              </w:rPr>
              <w:t>4.</w:t>
            </w:r>
          </w:p>
        </w:tc>
        <w:tc>
          <w:tcPr>
            <w:tcW w:w="2602" w:type="dxa"/>
            <w:tcBorders>
              <w:top w:val="single" w:sz="6" w:space="0" w:color="auto"/>
              <w:left w:val="single" w:sz="6" w:space="0" w:color="auto"/>
              <w:bottom w:val="single" w:sz="6" w:space="0" w:color="auto"/>
              <w:right w:val="single" w:sz="6" w:space="0" w:color="auto"/>
            </w:tcBorders>
          </w:tcPr>
          <w:p w:rsidR="009019B1" w:rsidRPr="00260C2F" w:rsidRDefault="009019B1" w:rsidP="009B131E">
            <w:pPr>
              <w:tabs>
                <w:tab w:val="left" w:pos="720"/>
                <w:tab w:val="center" w:pos="4153"/>
                <w:tab w:val="right" w:pos="8306"/>
              </w:tabs>
              <w:spacing w:after="0" w:line="240" w:lineRule="auto"/>
              <w:rPr>
                <w:rFonts w:ascii="Times New Roman" w:eastAsia="Times New Roman" w:hAnsi="Times New Roman"/>
                <w:sz w:val="24"/>
                <w:szCs w:val="24"/>
                <w:lang w:eastAsia="lv-LV"/>
              </w:rPr>
            </w:pPr>
            <w:r w:rsidRPr="00260C2F">
              <w:rPr>
                <w:rFonts w:ascii="Times New Roman" w:eastAsia="Times New Roman" w:hAnsi="Times New Roman"/>
                <w:sz w:val="24"/>
                <w:szCs w:val="24"/>
                <w:lang w:eastAsia="lv-LV"/>
              </w:rPr>
              <w:t>Cita informācija</w:t>
            </w:r>
          </w:p>
        </w:tc>
        <w:tc>
          <w:tcPr>
            <w:tcW w:w="6214" w:type="dxa"/>
            <w:tcBorders>
              <w:top w:val="single" w:sz="6" w:space="0" w:color="auto"/>
              <w:left w:val="single" w:sz="6" w:space="0" w:color="auto"/>
              <w:bottom w:val="single" w:sz="6" w:space="0" w:color="auto"/>
              <w:right w:val="single" w:sz="6" w:space="0" w:color="auto"/>
            </w:tcBorders>
          </w:tcPr>
          <w:p w:rsidR="009019B1" w:rsidRPr="00260C2F" w:rsidRDefault="009019B1" w:rsidP="009B131E">
            <w:pPr>
              <w:spacing w:after="0" w:line="240" w:lineRule="auto"/>
              <w:jc w:val="both"/>
              <w:rPr>
                <w:rFonts w:ascii="Times New Roman" w:eastAsia="Times New Roman" w:hAnsi="Times New Roman"/>
                <w:sz w:val="24"/>
                <w:szCs w:val="24"/>
                <w:lang w:eastAsia="lv-LV"/>
              </w:rPr>
            </w:pPr>
            <w:r w:rsidRPr="00260C2F">
              <w:rPr>
                <w:rFonts w:ascii="Times New Roman" w:eastAsia="Times New Roman" w:hAnsi="Times New Roman"/>
                <w:sz w:val="24"/>
                <w:szCs w:val="24"/>
                <w:lang w:eastAsia="lv-LV"/>
              </w:rPr>
              <w:t>Nav.</w:t>
            </w:r>
          </w:p>
        </w:tc>
      </w:tr>
    </w:tbl>
    <w:p w:rsidR="009019B1" w:rsidRDefault="009019B1" w:rsidP="009019B1">
      <w:pPr>
        <w:spacing w:after="0" w:line="240" w:lineRule="auto"/>
        <w:jc w:val="both"/>
        <w:rPr>
          <w:rFonts w:ascii="Times New Roman" w:hAnsi="Times New Roman"/>
          <w:sz w:val="26"/>
          <w:szCs w:val="26"/>
        </w:rPr>
      </w:pPr>
    </w:p>
    <w:p w:rsidR="009019B1" w:rsidRDefault="009019B1" w:rsidP="009019B1">
      <w:pPr>
        <w:spacing w:after="0" w:line="240" w:lineRule="auto"/>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51"/>
        <w:gridCol w:w="5962"/>
        <w:gridCol w:w="240"/>
      </w:tblGrid>
      <w:tr w:rsidR="009019B1" w:rsidRPr="009F17E4" w:rsidTr="009B131E">
        <w:tc>
          <w:tcPr>
            <w:tcW w:w="9047" w:type="dxa"/>
            <w:gridSpan w:val="3"/>
            <w:tcBorders>
              <w:top w:val="single" w:sz="4" w:space="0" w:color="auto"/>
              <w:left w:val="single" w:sz="4" w:space="0" w:color="auto"/>
              <w:bottom w:val="single" w:sz="4" w:space="0" w:color="auto"/>
              <w:right w:val="nil"/>
            </w:tcBorders>
          </w:tcPr>
          <w:p w:rsidR="009019B1" w:rsidRPr="009F17E4" w:rsidRDefault="009019B1" w:rsidP="009B131E">
            <w:pPr>
              <w:spacing w:after="0" w:line="240" w:lineRule="auto"/>
              <w:jc w:val="center"/>
              <w:rPr>
                <w:rFonts w:ascii="Times New Roman" w:eastAsia="Times New Roman" w:hAnsi="Times New Roman"/>
                <w:sz w:val="24"/>
                <w:szCs w:val="24"/>
              </w:rPr>
            </w:pPr>
            <w:r w:rsidRPr="00F34EEE">
              <w:rPr>
                <w:rFonts w:ascii="Times New Roman" w:eastAsia="Times New Roman" w:hAnsi="Times New Roman"/>
                <w:b/>
                <w:bCs/>
                <w:sz w:val="24"/>
                <w:szCs w:val="24"/>
                <w:lang w:eastAsia="lv-LV"/>
              </w:rPr>
              <w:t>VI</w:t>
            </w:r>
            <w:r w:rsidRPr="009F17E4">
              <w:rPr>
                <w:rFonts w:ascii="Times New Roman" w:eastAsia="Times New Roman" w:hAnsi="Times New Roman"/>
                <w:b/>
                <w:bCs/>
                <w:sz w:val="24"/>
                <w:szCs w:val="24"/>
                <w:lang w:eastAsia="lv-LV"/>
              </w:rPr>
              <w:t xml:space="preserve">. </w:t>
            </w:r>
            <w:r w:rsidRPr="009F17E4">
              <w:rPr>
                <w:rFonts w:ascii="Times New Roman" w:hAnsi="Times New Roman"/>
                <w:b/>
                <w:bCs/>
                <w:sz w:val="24"/>
                <w:szCs w:val="24"/>
              </w:rPr>
              <w:t>Sabiedrības līdzdalība un komunikācijas aktivitātes</w:t>
            </w:r>
          </w:p>
        </w:tc>
        <w:tc>
          <w:tcPr>
            <w:tcW w:w="240" w:type="dxa"/>
            <w:tcBorders>
              <w:top w:val="single" w:sz="4" w:space="0" w:color="auto"/>
              <w:left w:val="nil"/>
              <w:bottom w:val="single" w:sz="4" w:space="0" w:color="auto"/>
              <w:right w:val="single" w:sz="4" w:space="0" w:color="auto"/>
            </w:tcBorders>
            <w:shd w:val="clear" w:color="auto" w:fill="auto"/>
          </w:tcPr>
          <w:p w:rsidR="009019B1" w:rsidRPr="009F17E4" w:rsidRDefault="009019B1" w:rsidP="009B131E">
            <w:pPr>
              <w:spacing w:after="0" w:line="240" w:lineRule="auto"/>
              <w:jc w:val="center"/>
              <w:rPr>
                <w:rFonts w:ascii="Times New Roman" w:eastAsia="Times New Roman" w:hAnsi="Times New Roman"/>
                <w:sz w:val="24"/>
                <w:szCs w:val="24"/>
              </w:rPr>
            </w:pPr>
          </w:p>
        </w:tc>
      </w:tr>
      <w:tr w:rsidR="009019B1" w:rsidRPr="002368DE" w:rsidTr="009B131E">
        <w:tc>
          <w:tcPr>
            <w:tcW w:w="534" w:type="dxa"/>
            <w:tcBorders>
              <w:top w:val="single" w:sz="4" w:space="0" w:color="auto"/>
              <w:right w:val="single" w:sz="4" w:space="0" w:color="auto"/>
            </w:tcBorders>
          </w:tcPr>
          <w:p w:rsidR="009019B1" w:rsidRPr="00AA4AEC" w:rsidRDefault="009019B1" w:rsidP="009B131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551" w:type="dxa"/>
            <w:tcBorders>
              <w:top w:val="nil"/>
              <w:left w:val="single" w:sz="4" w:space="0" w:color="auto"/>
              <w:bottom w:val="single" w:sz="4" w:space="0" w:color="auto"/>
              <w:right w:val="single" w:sz="4" w:space="0" w:color="auto"/>
            </w:tcBorders>
            <w:shd w:val="clear" w:color="auto" w:fill="auto"/>
          </w:tcPr>
          <w:p w:rsidR="009019B1" w:rsidRPr="009F17E4" w:rsidRDefault="009019B1" w:rsidP="009B131E">
            <w:pPr>
              <w:spacing w:after="0" w:line="240" w:lineRule="auto"/>
              <w:rPr>
                <w:rFonts w:ascii="Times New Roman" w:eastAsia="Times New Roman" w:hAnsi="Times New Roman"/>
                <w:sz w:val="26"/>
                <w:szCs w:val="26"/>
              </w:rPr>
            </w:pPr>
            <w:r w:rsidRPr="0048481B">
              <w:rPr>
                <w:rFonts w:ascii="Times New Roman" w:eastAsia="Times New Roman" w:hAnsi="Times New Roman"/>
                <w:sz w:val="24"/>
                <w:szCs w:val="24"/>
                <w:lang w:eastAsia="lv-LV"/>
              </w:rPr>
              <w:t>Plānotās sabiedrības līdzdalības un komunikācijas aktivitātes saistībā ar projektu</w:t>
            </w:r>
          </w:p>
        </w:tc>
        <w:tc>
          <w:tcPr>
            <w:tcW w:w="6202" w:type="dxa"/>
            <w:gridSpan w:val="2"/>
            <w:tcBorders>
              <w:top w:val="nil"/>
              <w:left w:val="single" w:sz="4" w:space="0" w:color="auto"/>
              <w:bottom w:val="single" w:sz="4" w:space="0" w:color="auto"/>
            </w:tcBorders>
            <w:shd w:val="clear" w:color="auto" w:fill="auto"/>
          </w:tcPr>
          <w:p w:rsidR="009019B1" w:rsidRPr="0048481B" w:rsidRDefault="00495663" w:rsidP="000204FA">
            <w:pPr>
              <w:spacing w:after="0" w:line="240" w:lineRule="auto"/>
              <w:ind w:firstLine="317"/>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Projekta </w:t>
            </w:r>
            <w:r w:rsidR="009019B1" w:rsidRPr="00E862CD">
              <w:rPr>
                <w:rFonts w:ascii="Times New Roman" w:eastAsia="Times New Roman" w:hAnsi="Times New Roman"/>
                <w:sz w:val="24"/>
                <w:szCs w:val="24"/>
                <w:lang w:eastAsia="lv-LV"/>
              </w:rPr>
              <w:t xml:space="preserve">piemērošana attiecas uz valsts institūcijām, kuras iesaistītas </w:t>
            </w:r>
            <w:r w:rsidR="009019B1" w:rsidRPr="00E862CD">
              <w:rPr>
                <w:rFonts w:ascii="Times New Roman" w:eastAsia="Times New Roman" w:hAnsi="Times New Roman"/>
                <w:bCs/>
                <w:sz w:val="24"/>
                <w:szCs w:val="24"/>
                <w:lang w:eastAsia="ar-SA"/>
              </w:rPr>
              <w:t xml:space="preserve">Norvēģijas finanšu instrumenta 2009.–2014. gada perioda programmas </w:t>
            </w:r>
            <w:r w:rsidR="009019B1" w:rsidRPr="00596B88">
              <w:rPr>
                <w:rFonts w:ascii="Times New Roman" w:eastAsia="Times New Roman" w:hAnsi="Times New Roman"/>
                <w:sz w:val="24"/>
                <w:szCs w:val="24"/>
                <w:lang w:eastAsia="lv-LV"/>
              </w:rPr>
              <w:t>īstenošanā, līdz ar to projekts šo jomu neskar.</w:t>
            </w:r>
          </w:p>
        </w:tc>
      </w:tr>
      <w:tr w:rsidR="009019B1" w:rsidRPr="002368DE" w:rsidTr="009B131E">
        <w:tc>
          <w:tcPr>
            <w:tcW w:w="534" w:type="dxa"/>
            <w:tcBorders>
              <w:top w:val="single" w:sz="4" w:space="0" w:color="auto"/>
              <w:right w:val="single" w:sz="4" w:space="0" w:color="auto"/>
            </w:tcBorders>
          </w:tcPr>
          <w:p w:rsidR="009019B1" w:rsidRDefault="009019B1" w:rsidP="009B131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551" w:type="dxa"/>
            <w:tcBorders>
              <w:top w:val="nil"/>
              <w:left w:val="single" w:sz="4" w:space="0" w:color="auto"/>
              <w:bottom w:val="single" w:sz="4" w:space="0" w:color="auto"/>
              <w:right w:val="single" w:sz="4" w:space="0" w:color="auto"/>
            </w:tcBorders>
            <w:shd w:val="clear" w:color="auto" w:fill="auto"/>
          </w:tcPr>
          <w:p w:rsidR="009019B1" w:rsidRPr="009F17E4" w:rsidRDefault="009019B1" w:rsidP="009B131E">
            <w:pPr>
              <w:spacing w:after="0" w:line="240" w:lineRule="auto"/>
              <w:rPr>
                <w:rFonts w:ascii="Times New Roman" w:eastAsia="Times New Roman" w:hAnsi="Times New Roman"/>
                <w:sz w:val="24"/>
                <w:szCs w:val="24"/>
                <w:lang w:eastAsia="lv-LV"/>
              </w:rPr>
            </w:pPr>
            <w:r w:rsidRPr="00E862CD">
              <w:rPr>
                <w:rFonts w:ascii="Times New Roman" w:eastAsia="Times New Roman" w:hAnsi="Times New Roman"/>
                <w:sz w:val="24"/>
                <w:szCs w:val="24"/>
                <w:lang w:eastAsia="lv-LV"/>
              </w:rPr>
              <w:t>Sabiedrības līdzdalība projekta izstrādē</w:t>
            </w:r>
          </w:p>
        </w:tc>
        <w:tc>
          <w:tcPr>
            <w:tcW w:w="6202" w:type="dxa"/>
            <w:gridSpan w:val="2"/>
            <w:tcBorders>
              <w:top w:val="nil"/>
              <w:left w:val="single" w:sz="4" w:space="0" w:color="auto"/>
              <w:bottom w:val="single" w:sz="4" w:space="0" w:color="auto"/>
            </w:tcBorders>
            <w:shd w:val="clear" w:color="auto" w:fill="auto"/>
          </w:tcPr>
          <w:p w:rsidR="009019B1" w:rsidRPr="0048481B" w:rsidRDefault="009019B1" w:rsidP="009B131E">
            <w:pPr>
              <w:spacing w:after="0" w:line="240" w:lineRule="auto"/>
              <w:jc w:val="both"/>
              <w:rPr>
                <w:rFonts w:ascii="Times New Roman" w:eastAsia="Times New Roman" w:hAnsi="Times New Roman"/>
                <w:sz w:val="24"/>
                <w:szCs w:val="24"/>
              </w:rPr>
            </w:pPr>
            <w:r>
              <w:rPr>
                <w:rFonts w:ascii="Times New Roman" w:hAnsi="Times New Roman"/>
                <w:sz w:val="24"/>
                <w:szCs w:val="24"/>
              </w:rPr>
              <w:t>Projekts šo jomu neskar.</w:t>
            </w:r>
          </w:p>
        </w:tc>
      </w:tr>
      <w:tr w:rsidR="009019B1" w:rsidRPr="002368DE" w:rsidTr="009B131E">
        <w:tc>
          <w:tcPr>
            <w:tcW w:w="534" w:type="dxa"/>
            <w:tcBorders>
              <w:top w:val="single" w:sz="4" w:space="0" w:color="auto"/>
              <w:right w:val="single" w:sz="4" w:space="0" w:color="auto"/>
            </w:tcBorders>
          </w:tcPr>
          <w:p w:rsidR="009019B1" w:rsidRDefault="009019B1" w:rsidP="009B131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551" w:type="dxa"/>
            <w:tcBorders>
              <w:top w:val="nil"/>
              <w:left w:val="single" w:sz="4" w:space="0" w:color="auto"/>
              <w:bottom w:val="single" w:sz="4" w:space="0" w:color="auto"/>
              <w:right w:val="single" w:sz="4" w:space="0" w:color="auto"/>
            </w:tcBorders>
            <w:shd w:val="clear" w:color="auto" w:fill="auto"/>
          </w:tcPr>
          <w:p w:rsidR="009019B1" w:rsidRPr="009F17E4" w:rsidRDefault="009019B1" w:rsidP="009B131E">
            <w:pPr>
              <w:spacing w:after="0" w:line="240" w:lineRule="auto"/>
              <w:rPr>
                <w:rFonts w:ascii="Times New Roman" w:eastAsia="Times New Roman" w:hAnsi="Times New Roman"/>
                <w:sz w:val="24"/>
                <w:szCs w:val="24"/>
                <w:lang w:eastAsia="lv-LV"/>
              </w:rPr>
            </w:pPr>
            <w:r w:rsidRPr="00E862CD">
              <w:rPr>
                <w:rFonts w:ascii="Times New Roman" w:eastAsia="Times New Roman" w:hAnsi="Times New Roman"/>
                <w:sz w:val="24"/>
                <w:szCs w:val="24"/>
                <w:lang w:eastAsia="lv-LV"/>
              </w:rPr>
              <w:t>Sabiedrības līdzdalības rezultāti</w:t>
            </w:r>
          </w:p>
        </w:tc>
        <w:tc>
          <w:tcPr>
            <w:tcW w:w="6202" w:type="dxa"/>
            <w:gridSpan w:val="2"/>
            <w:tcBorders>
              <w:top w:val="nil"/>
              <w:left w:val="single" w:sz="4" w:space="0" w:color="auto"/>
              <w:bottom w:val="single" w:sz="4" w:space="0" w:color="auto"/>
            </w:tcBorders>
            <w:shd w:val="clear" w:color="auto" w:fill="auto"/>
          </w:tcPr>
          <w:p w:rsidR="009019B1" w:rsidRPr="0048481B" w:rsidRDefault="009019B1" w:rsidP="009B131E">
            <w:pPr>
              <w:spacing w:after="0" w:line="240" w:lineRule="auto"/>
              <w:jc w:val="both"/>
              <w:rPr>
                <w:rFonts w:ascii="Times New Roman" w:eastAsia="Times New Roman" w:hAnsi="Times New Roman"/>
                <w:sz w:val="24"/>
                <w:szCs w:val="24"/>
              </w:rPr>
            </w:pPr>
            <w:r>
              <w:rPr>
                <w:rFonts w:ascii="Times New Roman" w:hAnsi="Times New Roman"/>
                <w:sz w:val="24"/>
                <w:szCs w:val="24"/>
              </w:rPr>
              <w:t>Projekts šo jomu neskar.</w:t>
            </w:r>
          </w:p>
        </w:tc>
      </w:tr>
      <w:tr w:rsidR="009019B1" w:rsidRPr="002368DE" w:rsidTr="009B131E">
        <w:tc>
          <w:tcPr>
            <w:tcW w:w="534" w:type="dxa"/>
            <w:tcBorders>
              <w:top w:val="single" w:sz="4" w:space="0" w:color="auto"/>
              <w:right w:val="single" w:sz="4" w:space="0" w:color="auto"/>
            </w:tcBorders>
          </w:tcPr>
          <w:p w:rsidR="009019B1" w:rsidRDefault="009019B1" w:rsidP="009B131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551" w:type="dxa"/>
            <w:tcBorders>
              <w:top w:val="nil"/>
              <w:left w:val="single" w:sz="4" w:space="0" w:color="auto"/>
              <w:bottom w:val="single" w:sz="4" w:space="0" w:color="auto"/>
              <w:right w:val="single" w:sz="4" w:space="0" w:color="auto"/>
            </w:tcBorders>
            <w:shd w:val="clear" w:color="auto" w:fill="auto"/>
          </w:tcPr>
          <w:p w:rsidR="009019B1" w:rsidRPr="009F17E4" w:rsidRDefault="009019B1" w:rsidP="009B131E">
            <w:pPr>
              <w:spacing w:after="0" w:line="240" w:lineRule="auto"/>
              <w:rPr>
                <w:rFonts w:ascii="Times New Roman" w:eastAsia="Times New Roman" w:hAnsi="Times New Roman"/>
                <w:sz w:val="24"/>
                <w:szCs w:val="24"/>
                <w:lang w:eastAsia="lv-LV"/>
              </w:rPr>
            </w:pPr>
            <w:r w:rsidRPr="00E862CD">
              <w:rPr>
                <w:rFonts w:ascii="Times New Roman" w:eastAsia="Times New Roman" w:hAnsi="Times New Roman"/>
                <w:sz w:val="24"/>
                <w:szCs w:val="24"/>
                <w:lang w:eastAsia="lv-LV"/>
              </w:rPr>
              <w:t>Cita informācija</w:t>
            </w:r>
          </w:p>
        </w:tc>
        <w:tc>
          <w:tcPr>
            <w:tcW w:w="6202" w:type="dxa"/>
            <w:gridSpan w:val="2"/>
            <w:tcBorders>
              <w:top w:val="nil"/>
              <w:left w:val="single" w:sz="4" w:space="0" w:color="auto"/>
              <w:bottom w:val="single" w:sz="4" w:space="0" w:color="auto"/>
            </w:tcBorders>
            <w:shd w:val="clear" w:color="auto" w:fill="auto"/>
          </w:tcPr>
          <w:p w:rsidR="009019B1" w:rsidRPr="0048481B" w:rsidRDefault="009019B1" w:rsidP="009B131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Nav.</w:t>
            </w:r>
          </w:p>
        </w:tc>
      </w:tr>
      <w:tr w:rsidR="009019B1" w:rsidRPr="002368DE" w:rsidTr="009B131E">
        <w:tc>
          <w:tcPr>
            <w:tcW w:w="534" w:type="dxa"/>
            <w:tcBorders>
              <w:top w:val="single" w:sz="4" w:space="0" w:color="auto"/>
              <w:left w:val="nil"/>
              <w:right w:val="nil"/>
            </w:tcBorders>
          </w:tcPr>
          <w:p w:rsidR="009019B1" w:rsidRDefault="009019B1" w:rsidP="009B131E">
            <w:pPr>
              <w:spacing w:after="0" w:line="240" w:lineRule="auto"/>
              <w:jc w:val="both"/>
              <w:rPr>
                <w:rFonts w:ascii="Times New Roman" w:eastAsia="Times New Roman" w:hAnsi="Times New Roman"/>
                <w:sz w:val="24"/>
                <w:szCs w:val="24"/>
                <w:lang w:eastAsia="lv-LV"/>
              </w:rPr>
            </w:pPr>
          </w:p>
        </w:tc>
        <w:tc>
          <w:tcPr>
            <w:tcW w:w="8513" w:type="dxa"/>
            <w:gridSpan w:val="2"/>
            <w:tcBorders>
              <w:top w:val="single" w:sz="4" w:space="0" w:color="auto"/>
              <w:left w:val="nil"/>
              <w:bottom w:val="nil"/>
              <w:right w:val="nil"/>
            </w:tcBorders>
            <w:shd w:val="clear" w:color="auto" w:fill="auto"/>
          </w:tcPr>
          <w:p w:rsidR="009019B1" w:rsidRPr="009F17E4" w:rsidRDefault="009019B1" w:rsidP="009B131E">
            <w:pPr>
              <w:spacing w:after="0" w:line="240" w:lineRule="auto"/>
              <w:jc w:val="both"/>
              <w:rPr>
                <w:rFonts w:ascii="Times New Roman" w:eastAsia="Times New Roman" w:hAnsi="Times New Roman"/>
                <w:sz w:val="24"/>
                <w:szCs w:val="24"/>
                <w:lang w:eastAsia="lv-LV"/>
              </w:rPr>
            </w:pPr>
          </w:p>
        </w:tc>
        <w:tc>
          <w:tcPr>
            <w:tcW w:w="240" w:type="dxa"/>
            <w:tcBorders>
              <w:top w:val="single" w:sz="4" w:space="0" w:color="auto"/>
              <w:left w:val="nil"/>
              <w:right w:val="nil"/>
            </w:tcBorders>
            <w:shd w:val="clear" w:color="auto" w:fill="auto"/>
          </w:tcPr>
          <w:p w:rsidR="009019B1" w:rsidRPr="002368DE" w:rsidRDefault="009019B1" w:rsidP="009B131E">
            <w:pPr>
              <w:spacing w:after="0" w:line="240" w:lineRule="auto"/>
              <w:jc w:val="both"/>
              <w:rPr>
                <w:rFonts w:ascii="Times New Roman" w:eastAsia="Times New Roman" w:hAnsi="Times New Roman"/>
                <w:sz w:val="26"/>
                <w:szCs w:val="26"/>
              </w:rPr>
            </w:pPr>
          </w:p>
        </w:tc>
      </w:tr>
      <w:tr w:rsidR="009019B1" w:rsidRPr="002368DE" w:rsidTr="009B131E">
        <w:tc>
          <w:tcPr>
            <w:tcW w:w="9047" w:type="dxa"/>
            <w:gridSpan w:val="3"/>
            <w:tcBorders>
              <w:top w:val="single" w:sz="4" w:space="0" w:color="auto"/>
              <w:left w:val="single" w:sz="4" w:space="0" w:color="auto"/>
              <w:bottom w:val="single" w:sz="4" w:space="0" w:color="auto"/>
              <w:right w:val="nil"/>
            </w:tcBorders>
          </w:tcPr>
          <w:p w:rsidR="009019B1" w:rsidRPr="002368DE" w:rsidRDefault="009019B1" w:rsidP="009B131E">
            <w:pPr>
              <w:spacing w:after="0" w:line="240" w:lineRule="auto"/>
              <w:jc w:val="both"/>
              <w:rPr>
                <w:rFonts w:ascii="Times New Roman" w:eastAsia="Times New Roman" w:hAnsi="Times New Roman"/>
                <w:sz w:val="26"/>
                <w:szCs w:val="26"/>
              </w:rPr>
            </w:pPr>
            <w:r w:rsidRPr="002368DE">
              <w:rPr>
                <w:rFonts w:ascii="Times New Roman" w:eastAsia="Times New Roman" w:hAnsi="Times New Roman"/>
                <w:b/>
                <w:bCs/>
                <w:sz w:val="24"/>
                <w:szCs w:val="24"/>
                <w:lang w:eastAsia="lv-LV"/>
              </w:rPr>
              <w:t xml:space="preserve">          </w:t>
            </w:r>
            <w:r w:rsidRPr="00AA4AEC">
              <w:rPr>
                <w:rFonts w:ascii="Times New Roman" w:eastAsia="Times New Roman" w:hAnsi="Times New Roman"/>
                <w:b/>
                <w:bCs/>
                <w:sz w:val="24"/>
                <w:szCs w:val="24"/>
                <w:lang w:eastAsia="lv-LV"/>
              </w:rPr>
              <w:t>VII. Tiesību akta projekta izpildes nodrošināšana un tās ietekme uz institūcijām</w:t>
            </w:r>
          </w:p>
        </w:tc>
        <w:tc>
          <w:tcPr>
            <w:tcW w:w="240" w:type="dxa"/>
            <w:tcBorders>
              <w:top w:val="single" w:sz="4" w:space="0" w:color="auto"/>
              <w:left w:val="nil"/>
              <w:bottom w:val="single" w:sz="4" w:space="0" w:color="auto"/>
              <w:right w:val="single" w:sz="4" w:space="0" w:color="auto"/>
            </w:tcBorders>
            <w:shd w:val="clear" w:color="auto" w:fill="auto"/>
          </w:tcPr>
          <w:p w:rsidR="009019B1" w:rsidRPr="002368DE" w:rsidRDefault="009019B1" w:rsidP="009B131E">
            <w:pPr>
              <w:spacing w:after="0" w:line="240" w:lineRule="auto"/>
              <w:jc w:val="both"/>
              <w:rPr>
                <w:rFonts w:ascii="Times New Roman" w:eastAsia="Times New Roman" w:hAnsi="Times New Roman"/>
                <w:sz w:val="26"/>
                <w:szCs w:val="26"/>
              </w:rPr>
            </w:pPr>
          </w:p>
        </w:tc>
      </w:tr>
      <w:tr w:rsidR="009019B1" w:rsidRPr="002368DE" w:rsidTr="009B131E">
        <w:tc>
          <w:tcPr>
            <w:tcW w:w="534" w:type="dxa"/>
            <w:tcBorders>
              <w:top w:val="single" w:sz="4" w:space="0" w:color="auto"/>
            </w:tcBorders>
          </w:tcPr>
          <w:p w:rsidR="009019B1" w:rsidRPr="00AA4AEC" w:rsidRDefault="009019B1" w:rsidP="009B131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551" w:type="dxa"/>
            <w:tcBorders>
              <w:top w:val="single" w:sz="4" w:space="0" w:color="auto"/>
            </w:tcBorders>
            <w:shd w:val="clear" w:color="auto" w:fill="auto"/>
          </w:tcPr>
          <w:p w:rsidR="009019B1" w:rsidRPr="002368DE" w:rsidRDefault="009019B1" w:rsidP="009B131E">
            <w:pPr>
              <w:spacing w:after="0" w:line="240" w:lineRule="auto"/>
              <w:jc w:val="both"/>
              <w:rPr>
                <w:rFonts w:ascii="Times New Roman" w:eastAsia="Times New Roman" w:hAnsi="Times New Roman"/>
                <w:sz w:val="26"/>
                <w:szCs w:val="26"/>
              </w:rPr>
            </w:pPr>
            <w:r w:rsidRPr="00AA4AEC">
              <w:rPr>
                <w:rFonts w:ascii="Times New Roman" w:eastAsia="Times New Roman" w:hAnsi="Times New Roman"/>
                <w:sz w:val="24"/>
                <w:szCs w:val="24"/>
                <w:lang w:eastAsia="lv-LV"/>
              </w:rPr>
              <w:t>Projekta izpildē iesaistītās institūcijas</w:t>
            </w:r>
          </w:p>
        </w:tc>
        <w:tc>
          <w:tcPr>
            <w:tcW w:w="6202" w:type="dxa"/>
            <w:gridSpan w:val="2"/>
            <w:tcBorders>
              <w:top w:val="single" w:sz="4" w:space="0" w:color="auto"/>
            </w:tcBorders>
            <w:shd w:val="clear" w:color="auto" w:fill="auto"/>
          </w:tcPr>
          <w:p w:rsidR="009019B1" w:rsidRPr="002368DE" w:rsidRDefault="00495663" w:rsidP="004C5B6D">
            <w:pPr>
              <w:spacing w:after="0" w:line="240" w:lineRule="auto"/>
              <w:jc w:val="both"/>
              <w:rPr>
                <w:rFonts w:ascii="Times New Roman" w:eastAsia="Times New Roman" w:hAnsi="Times New Roman"/>
                <w:sz w:val="26"/>
                <w:szCs w:val="26"/>
              </w:rPr>
            </w:pPr>
            <w:r>
              <w:rPr>
                <w:rFonts w:ascii="Times New Roman" w:eastAsia="Times New Roman" w:hAnsi="Times New Roman"/>
                <w:bCs/>
                <w:iCs/>
                <w:sz w:val="24"/>
                <w:szCs w:val="24"/>
                <w:lang w:eastAsia="lv-LV"/>
              </w:rPr>
              <w:t xml:space="preserve">Tieslietu ministrija, Valsts probācijas dienests, Ieslodzījumu vietu pārvalde, </w:t>
            </w:r>
            <w:r w:rsidR="009019B1" w:rsidRPr="002368DE">
              <w:rPr>
                <w:rFonts w:ascii="Times New Roman" w:eastAsia="Times New Roman" w:hAnsi="Times New Roman"/>
                <w:bCs/>
                <w:iCs/>
                <w:sz w:val="24"/>
                <w:szCs w:val="24"/>
                <w:lang w:eastAsia="lv-LV"/>
              </w:rPr>
              <w:t>Finanšu ministrija</w:t>
            </w:r>
            <w:r w:rsidR="004C5B6D">
              <w:rPr>
                <w:rFonts w:ascii="Times New Roman" w:eastAsia="Times New Roman" w:hAnsi="Times New Roman"/>
                <w:bCs/>
                <w:iCs/>
                <w:sz w:val="24"/>
                <w:szCs w:val="24"/>
                <w:lang w:eastAsia="lv-LV"/>
              </w:rPr>
              <w:t>, Iekšlietu ministrija</w:t>
            </w:r>
            <w:r w:rsidR="009019B1" w:rsidRPr="002368DE">
              <w:rPr>
                <w:rFonts w:ascii="Times New Roman" w:eastAsia="Times New Roman" w:hAnsi="Times New Roman"/>
                <w:bCs/>
                <w:iCs/>
                <w:sz w:val="24"/>
                <w:szCs w:val="24"/>
                <w:lang w:eastAsia="lv-LV"/>
              </w:rPr>
              <w:t>.</w:t>
            </w:r>
          </w:p>
        </w:tc>
      </w:tr>
      <w:tr w:rsidR="009019B1" w:rsidRPr="002368DE" w:rsidTr="009B131E">
        <w:tc>
          <w:tcPr>
            <w:tcW w:w="534" w:type="dxa"/>
          </w:tcPr>
          <w:p w:rsidR="009019B1" w:rsidRPr="00AA4AEC" w:rsidRDefault="009019B1" w:rsidP="009B131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551" w:type="dxa"/>
            <w:shd w:val="clear" w:color="auto" w:fill="auto"/>
          </w:tcPr>
          <w:p w:rsidR="009019B1" w:rsidRPr="00AA4AEC" w:rsidRDefault="009019B1" w:rsidP="009B131E">
            <w:pPr>
              <w:spacing w:after="0" w:line="240" w:lineRule="auto"/>
              <w:rPr>
                <w:rFonts w:ascii="Times New Roman" w:eastAsia="Times New Roman" w:hAnsi="Times New Roman"/>
                <w:sz w:val="24"/>
                <w:szCs w:val="24"/>
                <w:lang w:eastAsia="lv-LV"/>
              </w:rPr>
            </w:pPr>
            <w:r w:rsidRPr="00AA4AEC">
              <w:rPr>
                <w:rFonts w:ascii="Times New Roman" w:eastAsia="Times New Roman" w:hAnsi="Times New Roman"/>
                <w:sz w:val="24"/>
                <w:szCs w:val="24"/>
                <w:lang w:eastAsia="lv-LV"/>
              </w:rPr>
              <w:t xml:space="preserve">Projekta izpildes ietekme uz pārvaldes </w:t>
            </w:r>
            <w:r w:rsidRPr="00AA4AEC">
              <w:rPr>
                <w:rFonts w:ascii="Times New Roman" w:eastAsia="Times New Roman" w:hAnsi="Times New Roman"/>
                <w:sz w:val="24"/>
                <w:szCs w:val="24"/>
                <w:lang w:eastAsia="lv-LV"/>
              </w:rPr>
              <w:lastRenderedPageBreak/>
              <w:t xml:space="preserve">funkcijām un institucionālo struktūru. </w:t>
            </w:r>
          </w:p>
          <w:p w:rsidR="009019B1" w:rsidRPr="00AA4AEC" w:rsidRDefault="009019B1" w:rsidP="009B131E">
            <w:pPr>
              <w:spacing w:after="0" w:line="240" w:lineRule="auto"/>
              <w:rPr>
                <w:rFonts w:ascii="Times New Roman" w:eastAsia="Times New Roman" w:hAnsi="Times New Roman"/>
                <w:sz w:val="24"/>
                <w:szCs w:val="24"/>
                <w:lang w:eastAsia="lv-LV"/>
              </w:rPr>
            </w:pPr>
          </w:p>
          <w:p w:rsidR="009019B1" w:rsidRPr="002368DE" w:rsidRDefault="009019B1" w:rsidP="009B131E">
            <w:pPr>
              <w:spacing w:after="0" w:line="240" w:lineRule="auto"/>
              <w:jc w:val="both"/>
              <w:rPr>
                <w:rFonts w:ascii="Times New Roman" w:eastAsia="Times New Roman" w:hAnsi="Times New Roman"/>
                <w:sz w:val="26"/>
                <w:szCs w:val="26"/>
              </w:rPr>
            </w:pPr>
            <w:r w:rsidRPr="00AA4AEC">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6202" w:type="dxa"/>
            <w:gridSpan w:val="2"/>
            <w:shd w:val="clear" w:color="auto" w:fill="auto"/>
          </w:tcPr>
          <w:p w:rsidR="009019B1" w:rsidRPr="002368DE" w:rsidRDefault="009019B1" w:rsidP="009B131E">
            <w:pPr>
              <w:spacing w:after="0" w:line="240" w:lineRule="auto"/>
              <w:jc w:val="both"/>
              <w:rPr>
                <w:rFonts w:ascii="Times New Roman" w:eastAsia="Times New Roman" w:hAnsi="Times New Roman"/>
                <w:sz w:val="26"/>
                <w:szCs w:val="26"/>
              </w:rPr>
            </w:pPr>
            <w:r>
              <w:rPr>
                <w:rFonts w:ascii="Times New Roman" w:hAnsi="Times New Roman"/>
                <w:sz w:val="24"/>
                <w:szCs w:val="24"/>
              </w:rPr>
              <w:lastRenderedPageBreak/>
              <w:t>Projekts šo jomu neskar.</w:t>
            </w:r>
          </w:p>
        </w:tc>
      </w:tr>
      <w:tr w:rsidR="009019B1" w:rsidRPr="002368DE" w:rsidTr="009B131E">
        <w:tc>
          <w:tcPr>
            <w:tcW w:w="534" w:type="dxa"/>
          </w:tcPr>
          <w:p w:rsidR="009019B1" w:rsidRPr="00AA4AEC" w:rsidRDefault="009019B1" w:rsidP="009B131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p>
        </w:tc>
        <w:tc>
          <w:tcPr>
            <w:tcW w:w="2551" w:type="dxa"/>
            <w:shd w:val="clear" w:color="auto" w:fill="auto"/>
          </w:tcPr>
          <w:p w:rsidR="009019B1" w:rsidRPr="002368DE" w:rsidRDefault="009019B1" w:rsidP="009B131E">
            <w:pPr>
              <w:spacing w:after="0" w:line="240" w:lineRule="auto"/>
              <w:jc w:val="both"/>
              <w:rPr>
                <w:rFonts w:ascii="Times New Roman" w:eastAsia="Times New Roman" w:hAnsi="Times New Roman"/>
                <w:sz w:val="26"/>
                <w:szCs w:val="26"/>
              </w:rPr>
            </w:pPr>
            <w:r w:rsidRPr="00AA4AEC">
              <w:rPr>
                <w:rFonts w:ascii="Times New Roman" w:eastAsia="Times New Roman" w:hAnsi="Times New Roman"/>
                <w:sz w:val="24"/>
                <w:szCs w:val="24"/>
                <w:lang w:eastAsia="lv-LV"/>
              </w:rPr>
              <w:t>Cita informācija</w:t>
            </w:r>
          </w:p>
        </w:tc>
        <w:tc>
          <w:tcPr>
            <w:tcW w:w="6202" w:type="dxa"/>
            <w:gridSpan w:val="2"/>
            <w:shd w:val="clear" w:color="auto" w:fill="auto"/>
          </w:tcPr>
          <w:p w:rsidR="009019B1" w:rsidRPr="002368DE" w:rsidRDefault="009019B1" w:rsidP="009B131E">
            <w:pPr>
              <w:spacing w:after="0" w:line="240" w:lineRule="auto"/>
              <w:jc w:val="both"/>
              <w:rPr>
                <w:rFonts w:ascii="Times New Roman" w:eastAsia="Times New Roman" w:hAnsi="Times New Roman"/>
                <w:sz w:val="26"/>
                <w:szCs w:val="26"/>
              </w:rPr>
            </w:pPr>
            <w:r w:rsidRPr="00AA4AEC">
              <w:rPr>
                <w:rFonts w:ascii="Times New Roman" w:eastAsia="Times New Roman" w:hAnsi="Times New Roman"/>
                <w:sz w:val="24"/>
                <w:szCs w:val="24"/>
                <w:lang w:eastAsia="lv-LV"/>
              </w:rPr>
              <w:t>Nav.</w:t>
            </w:r>
          </w:p>
        </w:tc>
      </w:tr>
    </w:tbl>
    <w:p w:rsidR="009019B1" w:rsidRDefault="009019B1" w:rsidP="009019B1">
      <w:pPr>
        <w:spacing w:after="0" w:line="240" w:lineRule="auto"/>
        <w:jc w:val="both"/>
        <w:rPr>
          <w:rFonts w:ascii="Times New Roman" w:hAnsi="Times New Roman"/>
          <w:sz w:val="26"/>
          <w:szCs w:val="26"/>
        </w:rPr>
      </w:pPr>
    </w:p>
    <w:p w:rsidR="009019B1" w:rsidRPr="00AA4AEC" w:rsidRDefault="009019B1" w:rsidP="009019B1">
      <w:pPr>
        <w:spacing w:after="0" w:line="240" w:lineRule="auto"/>
        <w:jc w:val="both"/>
        <w:rPr>
          <w:rFonts w:ascii="Times New Roman" w:eastAsia="Times New Roman" w:hAnsi="Times New Roman"/>
          <w:i/>
          <w:sz w:val="24"/>
          <w:szCs w:val="24"/>
        </w:rPr>
      </w:pPr>
      <w:r w:rsidRPr="00AA4AEC">
        <w:rPr>
          <w:rFonts w:ascii="Times New Roman" w:eastAsia="Times New Roman" w:hAnsi="Times New Roman"/>
          <w:i/>
          <w:sz w:val="24"/>
          <w:szCs w:val="24"/>
        </w:rPr>
        <w:t>Anotācijas II, III, IV</w:t>
      </w:r>
      <w:r w:rsidR="00495663">
        <w:rPr>
          <w:rFonts w:ascii="Times New Roman" w:eastAsia="Times New Roman" w:hAnsi="Times New Roman"/>
          <w:i/>
          <w:sz w:val="24"/>
          <w:szCs w:val="24"/>
        </w:rPr>
        <w:t xml:space="preserve"> un</w:t>
      </w:r>
      <w:r w:rsidRPr="00AA4AEC">
        <w:rPr>
          <w:rFonts w:ascii="Times New Roman" w:eastAsia="Times New Roman" w:hAnsi="Times New Roman"/>
          <w:i/>
          <w:sz w:val="24"/>
          <w:szCs w:val="24"/>
        </w:rPr>
        <w:t xml:space="preserve"> V sadaļa – projekts šīs jomas neskar.</w:t>
      </w:r>
    </w:p>
    <w:p w:rsidR="009019B1" w:rsidRPr="00CF06B8" w:rsidRDefault="009019B1" w:rsidP="009019B1">
      <w:pPr>
        <w:tabs>
          <w:tab w:val="left" w:pos="7513"/>
        </w:tabs>
        <w:spacing w:after="0" w:line="240" w:lineRule="auto"/>
        <w:rPr>
          <w:rFonts w:ascii="Times New Roman" w:eastAsia="Times New Roman" w:hAnsi="Times New Roman"/>
          <w:sz w:val="24"/>
          <w:szCs w:val="24"/>
          <w:lang w:eastAsia="lv-LV"/>
        </w:rPr>
      </w:pPr>
    </w:p>
    <w:p w:rsidR="009019B1" w:rsidRDefault="009019B1" w:rsidP="009019B1">
      <w:pPr>
        <w:tabs>
          <w:tab w:val="left" w:pos="7513"/>
        </w:tabs>
        <w:spacing w:after="0" w:line="240" w:lineRule="auto"/>
        <w:rPr>
          <w:rFonts w:ascii="Times New Roman" w:eastAsia="Times New Roman" w:hAnsi="Times New Roman"/>
          <w:sz w:val="24"/>
          <w:szCs w:val="24"/>
          <w:lang w:eastAsia="lv-LV"/>
        </w:rPr>
      </w:pPr>
    </w:p>
    <w:p w:rsidR="009019B1" w:rsidRPr="00260C2F" w:rsidRDefault="009019B1" w:rsidP="009019B1">
      <w:pPr>
        <w:tabs>
          <w:tab w:val="left" w:pos="7513"/>
        </w:tabs>
        <w:spacing w:after="0" w:line="240" w:lineRule="auto"/>
        <w:rPr>
          <w:rFonts w:ascii="Times New Roman" w:eastAsia="Times New Roman" w:hAnsi="Times New Roman"/>
          <w:sz w:val="24"/>
          <w:szCs w:val="24"/>
          <w:lang w:eastAsia="lv-LV"/>
        </w:rPr>
      </w:pPr>
      <w:r w:rsidRPr="00260C2F">
        <w:rPr>
          <w:rFonts w:ascii="Times New Roman" w:eastAsia="Times New Roman" w:hAnsi="Times New Roman"/>
          <w:sz w:val="24"/>
          <w:szCs w:val="24"/>
          <w:lang w:eastAsia="lv-LV"/>
        </w:rPr>
        <w:t>Iesniedzējs:</w:t>
      </w:r>
    </w:p>
    <w:p w:rsidR="009019B1" w:rsidRPr="00260C2F" w:rsidRDefault="001B3E58" w:rsidP="009019B1">
      <w:pPr>
        <w:tabs>
          <w:tab w:val="left" w:pos="6521"/>
        </w:tabs>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t</w:t>
      </w:r>
      <w:r w:rsidR="009019B1" w:rsidRPr="00260C2F">
        <w:rPr>
          <w:rFonts w:ascii="Times New Roman" w:eastAsia="Times New Roman" w:hAnsi="Times New Roman"/>
          <w:sz w:val="24"/>
          <w:szCs w:val="24"/>
          <w:lang w:eastAsia="lv-LV"/>
        </w:rPr>
        <w:t>ieslietu ministr</w:t>
      </w:r>
      <w:r>
        <w:rPr>
          <w:rFonts w:ascii="Times New Roman" w:eastAsia="Times New Roman" w:hAnsi="Times New Roman"/>
          <w:sz w:val="24"/>
          <w:szCs w:val="24"/>
          <w:lang w:eastAsia="lv-LV"/>
        </w:rPr>
        <w:t>s</w:t>
      </w:r>
      <w:r w:rsidR="009019B1" w:rsidRPr="00260C2F">
        <w:rPr>
          <w:rFonts w:ascii="Times New Roman" w:eastAsia="Times New Roman" w:hAnsi="Times New Roman"/>
          <w:sz w:val="24"/>
          <w:szCs w:val="24"/>
          <w:lang w:eastAsia="lv-LV"/>
        </w:rPr>
        <w:tab/>
      </w:r>
      <w:r>
        <w:rPr>
          <w:rFonts w:ascii="Times New Roman" w:eastAsia="Times New Roman" w:hAnsi="Times New Roman"/>
          <w:sz w:val="24"/>
          <w:szCs w:val="24"/>
          <w:lang w:eastAsia="lv-LV"/>
        </w:rPr>
        <w:t>Dzintars Rasnačs</w:t>
      </w:r>
    </w:p>
    <w:p w:rsidR="009019B1" w:rsidRDefault="009019B1" w:rsidP="009019B1">
      <w:pPr>
        <w:tabs>
          <w:tab w:val="left" w:pos="6521"/>
        </w:tabs>
        <w:spacing w:after="0" w:line="240" w:lineRule="auto"/>
        <w:rPr>
          <w:rFonts w:ascii="Times New Roman" w:eastAsia="Times New Roman" w:hAnsi="Times New Roman"/>
          <w:sz w:val="28"/>
          <w:szCs w:val="28"/>
          <w:lang w:eastAsia="lv-LV"/>
        </w:rPr>
      </w:pPr>
    </w:p>
    <w:p w:rsidR="009019B1" w:rsidRPr="00891890" w:rsidRDefault="009019B1" w:rsidP="009019B1">
      <w:pPr>
        <w:pStyle w:val="naisf"/>
        <w:spacing w:before="0" w:after="0"/>
        <w:ind w:firstLine="0"/>
        <w:rPr>
          <w:sz w:val="20"/>
          <w:szCs w:val="20"/>
        </w:rPr>
      </w:pPr>
    </w:p>
    <w:p w:rsidR="009019B1" w:rsidRDefault="003745CC" w:rsidP="009019B1">
      <w:pPr>
        <w:spacing w:after="0" w:line="240" w:lineRule="auto"/>
        <w:jc w:val="both"/>
        <w:rPr>
          <w:rFonts w:ascii="Times New Roman" w:hAnsi="Times New Roman"/>
          <w:sz w:val="20"/>
          <w:szCs w:val="20"/>
        </w:rPr>
      </w:pPr>
      <w:r>
        <w:rPr>
          <w:rFonts w:ascii="Times New Roman" w:hAnsi="Times New Roman"/>
          <w:sz w:val="20"/>
          <w:szCs w:val="20"/>
        </w:rPr>
        <w:t>19.02.</w:t>
      </w:r>
      <w:r w:rsidR="009019B1">
        <w:rPr>
          <w:rFonts w:ascii="Times New Roman" w:hAnsi="Times New Roman"/>
          <w:sz w:val="20"/>
          <w:szCs w:val="20"/>
        </w:rPr>
        <w:t>2016. 16:19</w:t>
      </w:r>
    </w:p>
    <w:p w:rsidR="009019B1" w:rsidRPr="00B50915" w:rsidRDefault="000204FA" w:rsidP="009019B1">
      <w:pPr>
        <w:spacing w:after="0" w:line="240" w:lineRule="auto"/>
        <w:jc w:val="both"/>
        <w:rPr>
          <w:rFonts w:ascii="Times New Roman" w:hAnsi="Times New Roman"/>
          <w:sz w:val="20"/>
          <w:szCs w:val="20"/>
        </w:rPr>
      </w:pPr>
      <w:r>
        <w:rPr>
          <w:rFonts w:ascii="Times New Roman" w:hAnsi="Times New Roman"/>
          <w:sz w:val="20"/>
          <w:szCs w:val="20"/>
        </w:rPr>
        <w:t>925</w:t>
      </w:r>
    </w:p>
    <w:p w:rsidR="009019B1" w:rsidRDefault="009019B1" w:rsidP="009019B1">
      <w:pPr>
        <w:numPr>
          <w:ilvl w:val="0"/>
          <w:numId w:val="1"/>
        </w:numPr>
        <w:spacing w:after="0" w:line="240" w:lineRule="auto"/>
        <w:ind w:left="142" w:hanging="142"/>
        <w:jc w:val="both"/>
        <w:rPr>
          <w:rFonts w:ascii="Times New Roman" w:hAnsi="Times New Roman"/>
          <w:sz w:val="20"/>
          <w:szCs w:val="20"/>
        </w:rPr>
      </w:pPr>
      <w:r>
        <w:rPr>
          <w:rFonts w:ascii="Times New Roman" w:hAnsi="Times New Roman"/>
          <w:sz w:val="20"/>
          <w:szCs w:val="20"/>
        </w:rPr>
        <w:t>Bērziņa</w:t>
      </w:r>
    </w:p>
    <w:p w:rsidR="0006048D" w:rsidRDefault="009019B1" w:rsidP="004C5B6D">
      <w:pPr>
        <w:spacing w:after="0" w:line="240" w:lineRule="auto"/>
        <w:jc w:val="both"/>
      </w:pPr>
      <w:r>
        <w:rPr>
          <w:rFonts w:ascii="Times New Roman" w:hAnsi="Times New Roman"/>
          <w:sz w:val="20"/>
          <w:szCs w:val="20"/>
        </w:rPr>
        <w:t>67036860, Inga.B</w:t>
      </w:r>
      <w:r w:rsidR="003745CC">
        <w:rPr>
          <w:rFonts w:ascii="Times New Roman" w:hAnsi="Times New Roman"/>
          <w:sz w:val="20"/>
          <w:szCs w:val="20"/>
        </w:rPr>
        <w:t>e</w:t>
      </w:r>
      <w:r>
        <w:rPr>
          <w:rFonts w:ascii="Times New Roman" w:hAnsi="Times New Roman"/>
          <w:sz w:val="20"/>
          <w:szCs w:val="20"/>
        </w:rPr>
        <w:t>rzi</w:t>
      </w:r>
      <w:r w:rsidR="003745CC">
        <w:rPr>
          <w:rFonts w:ascii="Times New Roman" w:hAnsi="Times New Roman"/>
          <w:sz w:val="20"/>
          <w:szCs w:val="20"/>
        </w:rPr>
        <w:t>n</w:t>
      </w:r>
      <w:r>
        <w:rPr>
          <w:rFonts w:ascii="Times New Roman" w:hAnsi="Times New Roman"/>
          <w:sz w:val="20"/>
          <w:szCs w:val="20"/>
        </w:rPr>
        <w:t>a@tm.gov.lv</w:t>
      </w:r>
    </w:p>
    <w:sectPr w:rsidR="0006048D" w:rsidSect="001B3806">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43D" w:rsidRDefault="0069043D" w:rsidP="003745CC">
      <w:pPr>
        <w:spacing w:after="0" w:line="240" w:lineRule="auto"/>
      </w:pPr>
      <w:r>
        <w:separator/>
      </w:r>
    </w:p>
  </w:endnote>
  <w:endnote w:type="continuationSeparator" w:id="0">
    <w:p w:rsidR="0069043D" w:rsidRDefault="0069043D" w:rsidP="0037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ACD" w:rsidRPr="00AF1032" w:rsidRDefault="003745CC" w:rsidP="00A96B7B">
    <w:pPr>
      <w:pStyle w:val="Kjene"/>
      <w:jc w:val="both"/>
      <w:rPr>
        <w:rFonts w:ascii="Times New Roman" w:hAnsi="Times New Roman"/>
        <w:sz w:val="20"/>
        <w:szCs w:val="20"/>
      </w:rPr>
    </w:pPr>
    <w:r>
      <w:rPr>
        <w:rFonts w:ascii="Times New Roman" w:hAnsi="Times New Roman"/>
        <w:sz w:val="20"/>
        <w:szCs w:val="20"/>
      </w:rPr>
      <w:t>TMAnot_190216_MK191</w:t>
    </w:r>
    <w:r w:rsidRPr="006A1B11">
      <w:rPr>
        <w:rFonts w:ascii="Times New Roman" w:hAnsi="Times New Roman"/>
        <w:sz w:val="20"/>
        <w:szCs w:val="20"/>
      </w:rPr>
      <w:t xml:space="preserve">; </w:t>
    </w:r>
    <w:r>
      <w:rPr>
        <w:rFonts w:ascii="Times New Roman" w:hAnsi="Times New Roman"/>
        <w:sz w:val="20"/>
        <w:szCs w:val="20"/>
      </w:rPr>
      <w:t>Ministru kabineta noteikumu projekta „</w:t>
    </w:r>
    <w:r>
      <w:rPr>
        <w:rFonts w:ascii="Times New Roman" w:hAnsi="Times New Roman"/>
        <w:bCs/>
        <w:color w:val="000000"/>
        <w:sz w:val="20"/>
        <w:szCs w:val="20"/>
      </w:rPr>
      <w:t>Grozījumi</w:t>
    </w:r>
    <w:r w:rsidRPr="006A1B11">
      <w:rPr>
        <w:rFonts w:ascii="Times New Roman" w:hAnsi="Times New Roman"/>
        <w:bCs/>
        <w:color w:val="000000"/>
        <w:sz w:val="20"/>
        <w:szCs w:val="20"/>
      </w:rPr>
      <w:t xml:space="preserve"> Ministru kabineta 2014. gada 8. aprīļa noteikum</w:t>
    </w:r>
    <w:r>
      <w:rPr>
        <w:rFonts w:ascii="Times New Roman" w:hAnsi="Times New Roman"/>
        <w:bCs/>
        <w:color w:val="000000"/>
        <w:sz w:val="20"/>
        <w:szCs w:val="20"/>
      </w:rPr>
      <w:t>os</w:t>
    </w:r>
    <w:r w:rsidRPr="006A1B11">
      <w:rPr>
        <w:rFonts w:ascii="Times New Roman" w:hAnsi="Times New Roman"/>
        <w:bCs/>
        <w:color w:val="000000"/>
        <w:sz w:val="20"/>
        <w:szCs w:val="20"/>
      </w:rPr>
      <w:t xml:space="preserve"> Nr.191 „</w:t>
    </w:r>
    <w:r w:rsidRPr="006A1B11">
      <w:rPr>
        <w:rFonts w:ascii="Times New Roman" w:hAnsi="Times New Roman"/>
        <w:bCs/>
        <w:sz w:val="20"/>
        <w:szCs w:val="20"/>
      </w:rPr>
      <w:t xml:space="preserve">Norvēģijas finanšu instrumenta 2009.–2014. gada perioda programmas </w:t>
    </w:r>
    <w:r>
      <w:rPr>
        <w:rFonts w:ascii="Times New Roman" w:hAnsi="Times New Roman"/>
        <w:bCs/>
        <w:sz w:val="20"/>
        <w:szCs w:val="20"/>
      </w:rPr>
      <w:t>“</w:t>
    </w:r>
    <w:r w:rsidRPr="006A1B11">
      <w:rPr>
        <w:rFonts w:ascii="Times New Roman" w:hAnsi="Times New Roman"/>
        <w:bCs/>
        <w:sz w:val="20"/>
        <w:szCs w:val="20"/>
      </w:rPr>
      <w:t>Latvijas korekcijas dienestu un Valsts policijas īslaicīgās aizturēšanas vietu reforma</w:t>
    </w:r>
    <w:r>
      <w:rPr>
        <w:rFonts w:ascii="Times New Roman" w:hAnsi="Times New Roman"/>
        <w:bCs/>
        <w:sz w:val="20"/>
        <w:szCs w:val="20"/>
      </w:rPr>
      <w:t>”</w:t>
    </w:r>
    <w:r w:rsidRPr="006A1B11">
      <w:rPr>
        <w:rFonts w:ascii="Times New Roman" w:hAnsi="Times New Roman"/>
        <w:bCs/>
        <w:sz w:val="20"/>
        <w:szCs w:val="20"/>
      </w:rPr>
      <w:t xml:space="preserve"> īstenošanas kārtība”</w:t>
    </w:r>
    <w:r>
      <w:rPr>
        <w:rFonts w:ascii="Times New Roman" w:hAnsi="Times New Roman"/>
        <w:bCs/>
        <w:sz w:val="20"/>
        <w:szCs w:val="20"/>
      </w:rPr>
      <w:t xml:space="preserve"> sākotnējās ietekmes novērtējuma ziņojums</w:t>
    </w:r>
    <w:r w:rsidRPr="006A1B11">
      <w:rPr>
        <w:rFonts w:ascii="Times New Roman" w:hAnsi="Times New Roman"/>
        <w:bCs/>
        <w:sz w:val="20"/>
        <w:szCs w:val="20"/>
      </w:rPr>
      <w:t xml:space="preserve"> </w:t>
    </w:r>
    <w:r>
      <w:rPr>
        <w:rFonts w:ascii="Times New Roman" w:hAnsi="Times New Roman"/>
        <w:sz w:val="20"/>
        <w:szCs w:val="20"/>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EB" w:rsidRPr="00594B08" w:rsidRDefault="003745CC" w:rsidP="00260C2F">
    <w:pPr>
      <w:pStyle w:val="Kjene"/>
      <w:jc w:val="both"/>
      <w:rPr>
        <w:rFonts w:ascii="Times New Roman" w:hAnsi="Times New Roman"/>
        <w:sz w:val="20"/>
        <w:szCs w:val="20"/>
      </w:rPr>
    </w:pPr>
    <w:r>
      <w:rPr>
        <w:rFonts w:ascii="Times New Roman" w:hAnsi="Times New Roman"/>
        <w:sz w:val="20"/>
        <w:szCs w:val="20"/>
      </w:rPr>
      <w:t>TMAnot_190216_MK191</w:t>
    </w:r>
    <w:r w:rsidRPr="006A1B11">
      <w:rPr>
        <w:rFonts w:ascii="Times New Roman" w:hAnsi="Times New Roman"/>
        <w:sz w:val="20"/>
        <w:szCs w:val="20"/>
      </w:rPr>
      <w:t xml:space="preserve">; </w:t>
    </w:r>
    <w:r>
      <w:rPr>
        <w:rFonts w:ascii="Times New Roman" w:hAnsi="Times New Roman"/>
        <w:sz w:val="20"/>
        <w:szCs w:val="20"/>
      </w:rPr>
      <w:t>Ministru kabineta noteikumu projekta „</w:t>
    </w:r>
    <w:r>
      <w:rPr>
        <w:rFonts w:ascii="Times New Roman" w:hAnsi="Times New Roman"/>
        <w:bCs/>
        <w:color w:val="000000"/>
        <w:sz w:val="20"/>
        <w:szCs w:val="20"/>
      </w:rPr>
      <w:t>Grozījumi</w:t>
    </w:r>
    <w:r w:rsidRPr="006A1B11">
      <w:rPr>
        <w:rFonts w:ascii="Times New Roman" w:hAnsi="Times New Roman"/>
        <w:bCs/>
        <w:color w:val="000000"/>
        <w:sz w:val="20"/>
        <w:szCs w:val="20"/>
      </w:rPr>
      <w:t xml:space="preserve"> Ministru kabineta 2014. gada 8. aprīļa noteikum</w:t>
    </w:r>
    <w:r>
      <w:rPr>
        <w:rFonts w:ascii="Times New Roman" w:hAnsi="Times New Roman"/>
        <w:bCs/>
        <w:color w:val="000000"/>
        <w:sz w:val="20"/>
        <w:szCs w:val="20"/>
      </w:rPr>
      <w:t>os</w:t>
    </w:r>
    <w:r w:rsidRPr="006A1B11">
      <w:rPr>
        <w:rFonts w:ascii="Times New Roman" w:hAnsi="Times New Roman"/>
        <w:bCs/>
        <w:color w:val="000000"/>
        <w:sz w:val="20"/>
        <w:szCs w:val="20"/>
      </w:rPr>
      <w:t xml:space="preserve"> Nr.191 „</w:t>
    </w:r>
    <w:r w:rsidRPr="006A1B11">
      <w:rPr>
        <w:rFonts w:ascii="Times New Roman" w:hAnsi="Times New Roman"/>
        <w:bCs/>
        <w:sz w:val="20"/>
        <w:szCs w:val="20"/>
      </w:rPr>
      <w:t xml:space="preserve">Norvēģijas finanšu instrumenta 2009.–2014. gada perioda programmas </w:t>
    </w:r>
    <w:r>
      <w:rPr>
        <w:rFonts w:ascii="Times New Roman" w:hAnsi="Times New Roman"/>
        <w:bCs/>
        <w:sz w:val="20"/>
        <w:szCs w:val="20"/>
      </w:rPr>
      <w:t>“</w:t>
    </w:r>
    <w:r w:rsidRPr="006A1B11">
      <w:rPr>
        <w:rFonts w:ascii="Times New Roman" w:hAnsi="Times New Roman"/>
        <w:bCs/>
        <w:sz w:val="20"/>
        <w:szCs w:val="20"/>
      </w:rPr>
      <w:t>Latvijas korekcijas dienestu un Valsts policijas īslaicīgās aizturēšanas vietu reforma</w:t>
    </w:r>
    <w:r>
      <w:rPr>
        <w:rFonts w:ascii="Times New Roman" w:hAnsi="Times New Roman"/>
        <w:bCs/>
        <w:sz w:val="20"/>
        <w:szCs w:val="20"/>
      </w:rPr>
      <w:t>”</w:t>
    </w:r>
    <w:r w:rsidRPr="006A1B11">
      <w:rPr>
        <w:rFonts w:ascii="Times New Roman" w:hAnsi="Times New Roman"/>
        <w:bCs/>
        <w:sz w:val="20"/>
        <w:szCs w:val="20"/>
      </w:rPr>
      <w:t xml:space="preserve"> īstenošanas kārtība”</w:t>
    </w:r>
    <w:r>
      <w:rPr>
        <w:rFonts w:ascii="Times New Roman" w:hAnsi="Times New Roman"/>
        <w:bCs/>
        <w:sz w:val="20"/>
        <w:szCs w:val="20"/>
      </w:rPr>
      <w:t xml:space="preserve"> sākotnējās ietekmes novērtējuma ziņojums</w:t>
    </w:r>
    <w:r w:rsidRPr="006A1B11">
      <w:rPr>
        <w:rFonts w:ascii="Times New Roman" w:hAnsi="Times New Roman"/>
        <w:bCs/>
        <w:sz w:val="20"/>
        <w:szCs w:val="20"/>
      </w:rPr>
      <w:t xml:space="preserve"> </w:t>
    </w:r>
    <w:r>
      <w:rPr>
        <w:rFonts w:ascii="Times New Roman" w:hAnsi="Times New Roman"/>
        <w:sz w:val="20"/>
        <w:szCs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43D" w:rsidRDefault="0069043D" w:rsidP="003745CC">
      <w:pPr>
        <w:spacing w:after="0" w:line="240" w:lineRule="auto"/>
      </w:pPr>
      <w:r>
        <w:separator/>
      </w:r>
    </w:p>
  </w:footnote>
  <w:footnote w:type="continuationSeparator" w:id="0">
    <w:p w:rsidR="0069043D" w:rsidRDefault="0069043D" w:rsidP="00374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ACD" w:rsidRPr="003A3D4C" w:rsidRDefault="003745CC">
    <w:pPr>
      <w:pStyle w:val="Galvene"/>
      <w:jc w:val="center"/>
    </w:pPr>
    <w:r w:rsidRPr="003A3D4C">
      <w:fldChar w:fldCharType="begin"/>
    </w:r>
    <w:r w:rsidRPr="003A3D4C">
      <w:instrText xml:space="preserve"> PAGE   \* MERGEFORMAT </w:instrText>
    </w:r>
    <w:r w:rsidRPr="003A3D4C">
      <w:fldChar w:fldCharType="separate"/>
    </w:r>
    <w:r w:rsidR="00403804">
      <w:rPr>
        <w:noProof/>
      </w:rPr>
      <w:t>4</w:t>
    </w:r>
    <w:r w:rsidRPr="003A3D4C">
      <w:fldChar w:fldCharType="end"/>
    </w:r>
  </w:p>
  <w:p w:rsidR="00540ACD" w:rsidRDefault="00403804">
    <w:pPr>
      <w:pStyle w:val="Galvene"/>
    </w:pPr>
  </w:p>
  <w:p w:rsidR="002C3CF5" w:rsidRDefault="0040380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82E7B"/>
    <w:multiLevelType w:val="hybridMultilevel"/>
    <w:tmpl w:val="EB8A92AC"/>
    <w:lvl w:ilvl="0" w:tplc="E8DA8190">
      <w:start w:val="1"/>
      <w:numFmt w:val="decimal"/>
      <w:lvlText w:val="%1)"/>
      <w:lvlJc w:val="left"/>
      <w:pPr>
        <w:ind w:left="885" w:hanging="885"/>
      </w:pPr>
      <w:rPr>
        <w:rFonts w:hint="default"/>
        <w:color w:val="auto"/>
      </w:rPr>
    </w:lvl>
    <w:lvl w:ilvl="1" w:tplc="04260019" w:tentative="1">
      <w:start w:val="1"/>
      <w:numFmt w:val="lowerLetter"/>
      <w:lvlText w:val="%2."/>
      <w:lvlJc w:val="left"/>
      <w:pPr>
        <w:ind w:left="1672" w:hanging="360"/>
      </w:pPr>
    </w:lvl>
    <w:lvl w:ilvl="2" w:tplc="0426001B" w:tentative="1">
      <w:start w:val="1"/>
      <w:numFmt w:val="lowerRoman"/>
      <w:lvlText w:val="%3."/>
      <w:lvlJc w:val="right"/>
      <w:pPr>
        <w:ind w:left="2392" w:hanging="180"/>
      </w:pPr>
    </w:lvl>
    <w:lvl w:ilvl="3" w:tplc="0426000F" w:tentative="1">
      <w:start w:val="1"/>
      <w:numFmt w:val="decimal"/>
      <w:lvlText w:val="%4."/>
      <w:lvlJc w:val="left"/>
      <w:pPr>
        <w:ind w:left="3112" w:hanging="360"/>
      </w:pPr>
    </w:lvl>
    <w:lvl w:ilvl="4" w:tplc="04260019" w:tentative="1">
      <w:start w:val="1"/>
      <w:numFmt w:val="lowerLetter"/>
      <w:lvlText w:val="%5."/>
      <w:lvlJc w:val="left"/>
      <w:pPr>
        <w:ind w:left="3832" w:hanging="360"/>
      </w:pPr>
    </w:lvl>
    <w:lvl w:ilvl="5" w:tplc="0426001B" w:tentative="1">
      <w:start w:val="1"/>
      <w:numFmt w:val="lowerRoman"/>
      <w:lvlText w:val="%6."/>
      <w:lvlJc w:val="right"/>
      <w:pPr>
        <w:ind w:left="4552" w:hanging="180"/>
      </w:pPr>
    </w:lvl>
    <w:lvl w:ilvl="6" w:tplc="0426000F" w:tentative="1">
      <w:start w:val="1"/>
      <w:numFmt w:val="decimal"/>
      <w:lvlText w:val="%7."/>
      <w:lvlJc w:val="left"/>
      <w:pPr>
        <w:ind w:left="5272" w:hanging="360"/>
      </w:pPr>
    </w:lvl>
    <w:lvl w:ilvl="7" w:tplc="04260019" w:tentative="1">
      <w:start w:val="1"/>
      <w:numFmt w:val="lowerLetter"/>
      <w:lvlText w:val="%8."/>
      <w:lvlJc w:val="left"/>
      <w:pPr>
        <w:ind w:left="5992" w:hanging="360"/>
      </w:pPr>
    </w:lvl>
    <w:lvl w:ilvl="8" w:tplc="0426001B" w:tentative="1">
      <w:start w:val="1"/>
      <w:numFmt w:val="lowerRoman"/>
      <w:lvlText w:val="%9."/>
      <w:lvlJc w:val="right"/>
      <w:pPr>
        <w:ind w:left="6712" w:hanging="180"/>
      </w:pPr>
    </w:lvl>
  </w:abstractNum>
  <w:abstractNum w:abstractNumId="1">
    <w:nsid w:val="3E477887"/>
    <w:multiLevelType w:val="hybridMultilevel"/>
    <w:tmpl w:val="CA4E8AC4"/>
    <w:lvl w:ilvl="0" w:tplc="60ECA6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9B1"/>
    <w:rsid w:val="00010698"/>
    <w:rsid w:val="000204FA"/>
    <w:rsid w:val="0006048D"/>
    <w:rsid w:val="00141F68"/>
    <w:rsid w:val="00187ABF"/>
    <w:rsid w:val="001B3E58"/>
    <w:rsid w:val="001B6BFA"/>
    <w:rsid w:val="00336A06"/>
    <w:rsid w:val="00364BBE"/>
    <w:rsid w:val="003745CC"/>
    <w:rsid w:val="00403804"/>
    <w:rsid w:val="00495663"/>
    <w:rsid w:val="004C5B6D"/>
    <w:rsid w:val="0069043D"/>
    <w:rsid w:val="007D663A"/>
    <w:rsid w:val="007F18E9"/>
    <w:rsid w:val="008347D5"/>
    <w:rsid w:val="008405FA"/>
    <w:rsid w:val="009019B1"/>
    <w:rsid w:val="009313F0"/>
    <w:rsid w:val="00962862"/>
    <w:rsid w:val="009D41EB"/>
    <w:rsid w:val="00A84CF2"/>
    <w:rsid w:val="00B53429"/>
    <w:rsid w:val="00B952EF"/>
    <w:rsid w:val="00D53289"/>
    <w:rsid w:val="00E45BEA"/>
    <w:rsid w:val="00E478D9"/>
    <w:rsid w:val="00F055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019B1"/>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9019B1"/>
    <w:pPr>
      <w:spacing w:after="0" w:line="240" w:lineRule="auto"/>
    </w:pPr>
    <w:rPr>
      <w:rFonts w:ascii="Calibri" w:eastAsia="Calibri" w:hAnsi="Calibri" w:cs="Times New Roman"/>
    </w:rPr>
  </w:style>
  <w:style w:type="paragraph" w:styleId="Galvene">
    <w:name w:val="header"/>
    <w:basedOn w:val="Parasts"/>
    <w:link w:val="GalveneRakstz"/>
    <w:uiPriority w:val="99"/>
    <w:rsid w:val="009019B1"/>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GalveneRakstz">
    <w:name w:val="Galvene Rakstz."/>
    <w:basedOn w:val="Noklusjumarindkopasfonts"/>
    <w:link w:val="Galvene"/>
    <w:uiPriority w:val="99"/>
    <w:rsid w:val="009019B1"/>
    <w:rPr>
      <w:rFonts w:ascii="Times New Roman" w:eastAsia="Times New Roman" w:hAnsi="Times New Roman" w:cs="Times New Roman"/>
      <w:sz w:val="24"/>
      <w:szCs w:val="24"/>
      <w:lang w:eastAsia="lv-LV"/>
    </w:rPr>
  </w:style>
  <w:style w:type="paragraph" w:customStyle="1" w:styleId="naisf">
    <w:name w:val="naisf"/>
    <w:basedOn w:val="Parasts"/>
    <w:rsid w:val="009019B1"/>
    <w:pPr>
      <w:spacing w:before="75" w:after="75" w:line="240" w:lineRule="auto"/>
      <w:ind w:firstLine="375"/>
      <w:jc w:val="both"/>
    </w:pPr>
    <w:rPr>
      <w:rFonts w:ascii="Times New Roman" w:eastAsia="Times New Roman" w:hAnsi="Times New Roman"/>
      <w:sz w:val="24"/>
      <w:szCs w:val="24"/>
      <w:lang w:eastAsia="lv-LV"/>
    </w:rPr>
  </w:style>
  <w:style w:type="paragraph" w:styleId="Kjene">
    <w:name w:val="footer"/>
    <w:basedOn w:val="Parasts"/>
    <w:link w:val="KjeneRakstz"/>
    <w:uiPriority w:val="99"/>
    <w:unhideWhenUsed/>
    <w:rsid w:val="009019B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019B1"/>
    <w:rPr>
      <w:rFonts w:ascii="Calibri" w:eastAsia="Calibri" w:hAnsi="Calibri" w:cs="Times New Roman"/>
    </w:rPr>
  </w:style>
  <w:style w:type="character" w:styleId="Komentraatsauce">
    <w:name w:val="annotation reference"/>
    <w:basedOn w:val="Noklusjumarindkopasfonts"/>
    <w:uiPriority w:val="99"/>
    <w:semiHidden/>
    <w:unhideWhenUsed/>
    <w:rsid w:val="009019B1"/>
    <w:rPr>
      <w:sz w:val="16"/>
      <w:szCs w:val="16"/>
    </w:rPr>
  </w:style>
  <w:style w:type="paragraph" w:styleId="Komentrateksts">
    <w:name w:val="annotation text"/>
    <w:basedOn w:val="Parasts"/>
    <w:link w:val="KomentratekstsRakstz"/>
    <w:uiPriority w:val="99"/>
    <w:semiHidden/>
    <w:unhideWhenUsed/>
    <w:rsid w:val="009019B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019B1"/>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9019B1"/>
    <w:rPr>
      <w:b/>
      <w:bCs/>
    </w:rPr>
  </w:style>
  <w:style w:type="character" w:customStyle="1" w:styleId="KomentratmaRakstz">
    <w:name w:val="Komentāra tēma Rakstz."/>
    <w:basedOn w:val="KomentratekstsRakstz"/>
    <w:link w:val="Komentratma"/>
    <w:uiPriority w:val="99"/>
    <w:semiHidden/>
    <w:rsid w:val="009019B1"/>
    <w:rPr>
      <w:rFonts w:ascii="Calibri" w:eastAsia="Calibri" w:hAnsi="Calibri" w:cs="Times New Roman"/>
      <w:b/>
      <w:bCs/>
      <w:sz w:val="20"/>
      <w:szCs w:val="20"/>
    </w:rPr>
  </w:style>
  <w:style w:type="paragraph" w:styleId="Balonteksts">
    <w:name w:val="Balloon Text"/>
    <w:basedOn w:val="Parasts"/>
    <w:link w:val="BalontekstsRakstz"/>
    <w:uiPriority w:val="99"/>
    <w:semiHidden/>
    <w:unhideWhenUsed/>
    <w:rsid w:val="009019B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019B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019B1"/>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9019B1"/>
    <w:pPr>
      <w:spacing w:after="0" w:line="240" w:lineRule="auto"/>
    </w:pPr>
    <w:rPr>
      <w:rFonts w:ascii="Calibri" w:eastAsia="Calibri" w:hAnsi="Calibri" w:cs="Times New Roman"/>
    </w:rPr>
  </w:style>
  <w:style w:type="paragraph" w:styleId="Galvene">
    <w:name w:val="header"/>
    <w:basedOn w:val="Parasts"/>
    <w:link w:val="GalveneRakstz"/>
    <w:uiPriority w:val="99"/>
    <w:rsid w:val="009019B1"/>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GalveneRakstz">
    <w:name w:val="Galvene Rakstz."/>
    <w:basedOn w:val="Noklusjumarindkopasfonts"/>
    <w:link w:val="Galvene"/>
    <w:uiPriority w:val="99"/>
    <w:rsid w:val="009019B1"/>
    <w:rPr>
      <w:rFonts w:ascii="Times New Roman" w:eastAsia="Times New Roman" w:hAnsi="Times New Roman" w:cs="Times New Roman"/>
      <w:sz w:val="24"/>
      <w:szCs w:val="24"/>
      <w:lang w:eastAsia="lv-LV"/>
    </w:rPr>
  </w:style>
  <w:style w:type="paragraph" w:customStyle="1" w:styleId="naisf">
    <w:name w:val="naisf"/>
    <w:basedOn w:val="Parasts"/>
    <w:rsid w:val="009019B1"/>
    <w:pPr>
      <w:spacing w:before="75" w:after="75" w:line="240" w:lineRule="auto"/>
      <w:ind w:firstLine="375"/>
      <w:jc w:val="both"/>
    </w:pPr>
    <w:rPr>
      <w:rFonts w:ascii="Times New Roman" w:eastAsia="Times New Roman" w:hAnsi="Times New Roman"/>
      <w:sz w:val="24"/>
      <w:szCs w:val="24"/>
      <w:lang w:eastAsia="lv-LV"/>
    </w:rPr>
  </w:style>
  <w:style w:type="paragraph" w:styleId="Kjene">
    <w:name w:val="footer"/>
    <w:basedOn w:val="Parasts"/>
    <w:link w:val="KjeneRakstz"/>
    <w:uiPriority w:val="99"/>
    <w:unhideWhenUsed/>
    <w:rsid w:val="009019B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019B1"/>
    <w:rPr>
      <w:rFonts w:ascii="Calibri" w:eastAsia="Calibri" w:hAnsi="Calibri" w:cs="Times New Roman"/>
    </w:rPr>
  </w:style>
  <w:style w:type="character" w:styleId="Komentraatsauce">
    <w:name w:val="annotation reference"/>
    <w:basedOn w:val="Noklusjumarindkopasfonts"/>
    <w:uiPriority w:val="99"/>
    <w:semiHidden/>
    <w:unhideWhenUsed/>
    <w:rsid w:val="009019B1"/>
    <w:rPr>
      <w:sz w:val="16"/>
      <w:szCs w:val="16"/>
    </w:rPr>
  </w:style>
  <w:style w:type="paragraph" w:styleId="Komentrateksts">
    <w:name w:val="annotation text"/>
    <w:basedOn w:val="Parasts"/>
    <w:link w:val="KomentratekstsRakstz"/>
    <w:uiPriority w:val="99"/>
    <w:semiHidden/>
    <w:unhideWhenUsed/>
    <w:rsid w:val="009019B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019B1"/>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9019B1"/>
    <w:rPr>
      <w:b/>
      <w:bCs/>
    </w:rPr>
  </w:style>
  <w:style w:type="character" w:customStyle="1" w:styleId="KomentratmaRakstz">
    <w:name w:val="Komentāra tēma Rakstz."/>
    <w:basedOn w:val="KomentratekstsRakstz"/>
    <w:link w:val="Komentratma"/>
    <w:uiPriority w:val="99"/>
    <w:semiHidden/>
    <w:rsid w:val="009019B1"/>
    <w:rPr>
      <w:rFonts w:ascii="Calibri" w:eastAsia="Calibri" w:hAnsi="Calibri" w:cs="Times New Roman"/>
      <w:b/>
      <w:bCs/>
      <w:sz w:val="20"/>
      <w:szCs w:val="20"/>
    </w:rPr>
  </w:style>
  <w:style w:type="paragraph" w:styleId="Balonteksts">
    <w:name w:val="Balloon Text"/>
    <w:basedOn w:val="Parasts"/>
    <w:link w:val="BalontekstsRakstz"/>
    <w:uiPriority w:val="99"/>
    <w:semiHidden/>
    <w:unhideWhenUsed/>
    <w:rsid w:val="009019B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019B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6570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4979</Words>
  <Characters>2839</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2014.  gada 8. aprīļa noteikumos Nr. 191 „Norvēģijas finanšu instrumenta 2009.–2014. gada perioda programmas „Latvijas korekcijas dienestu un Valsts policijas īslaicīgās aizturēšanas vietu </vt:lpstr>
    </vt:vector>
  </TitlesOfParts>
  <Company>Tieslietu ministrija</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  gada 8. aprīļa noteikumos Nr. 191 „Norvēģijas finanšu instrumenta 2009.–2014. gada perioda programmas „Latvijas korekcijas dienestu un Valsts policijas īslaicīgās aizturēšanas vietu reforma” īstenošanas kārtība”” sākotnējās ietekmes novērtējuma ziņojums (anotācija)</dc:title>
  <dc:subject>Anotācija</dc:subject>
  <dc:creator>Inga Bērziņa</dc:creator>
  <dc:description>67036860, Inga.Berzina@tm.gov.lv</dc:description>
  <cp:lastModifiedBy>Agita Sproge</cp:lastModifiedBy>
  <cp:revision>6</cp:revision>
  <cp:lastPrinted>2016-03-24T12:11:00Z</cp:lastPrinted>
  <dcterms:created xsi:type="dcterms:W3CDTF">2016-03-30T08:40:00Z</dcterms:created>
  <dcterms:modified xsi:type="dcterms:W3CDTF">2016-04-01T10:55:00Z</dcterms:modified>
</cp:coreProperties>
</file>