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90" w:rsidRDefault="00C12290" w:rsidP="00865B60">
      <w:pPr>
        <w:pStyle w:val="Title"/>
      </w:pPr>
      <w:r>
        <w:t>Ministru kabineta noteikumu projekta</w:t>
      </w:r>
    </w:p>
    <w:p w:rsidR="00647E32" w:rsidRPr="00FA5834" w:rsidRDefault="00647E32" w:rsidP="00865B60">
      <w:pPr>
        <w:pStyle w:val="Title"/>
      </w:pPr>
      <w:r w:rsidRPr="00FA5834">
        <w:t>„</w:t>
      </w:r>
      <w:r w:rsidR="00C12290">
        <w:t xml:space="preserve">Kārtība, kādā zemes </w:t>
      </w:r>
      <w:r w:rsidR="006E2514">
        <w:t xml:space="preserve">īpašniekiem vai </w:t>
      </w:r>
      <w:r w:rsidR="00C12290">
        <w:t xml:space="preserve">lietotājiem nosakāmi to zaudējumi apmēri, kas saistīti ar īpaši aizsargājamo nemedījamo sugu un migrējošo sugu dzīvnieku nodarītiem būtiskiem postījumiem un minimālās aizsardzības pasākumu prasības postījumu novēršanai </w:t>
      </w:r>
      <w:r w:rsidRPr="00FA5834">
        <w:t>”</w:t>
      </w:r>
    </w:p>
    <w:p w:rsidR="00647E32" w:rsidRPr="00FA5834" w:rsidRDefault="00647E32" w:rsidP="00865B60">
      <w:pPr>
        <w:pStyle w:val="naislab"/>
        <w:spacing w:before="0" w:after="0"/>
        <w:jc w:val="center"/>
        <w:outlineLvl w:val="0"/>
        <w:rPr>
          <w:b/>
        </w:rPr>
      </w:pPr>
      <w:r w:rsidRPr="00FA5834">
        <w:rPr>
          <w:b/>
        </w:rPr>
        <w:t>sākotnējās ietekmes novērtējuma ziņojums</w:t>
      </w:r>
    </w:p>
    <w:p w:rsidR="00113639" w:rsidRPr="00FA5834" w:rsidRDefault="00647E32" w:rsidP="00865B60">
      <w:pPr>
        <w:pStyle w:val="naislab"/>
        <w:spacing w:before="0" w:after="0"/>
        <w:jc w:val="center"/>
        <w:outlineLvl w:val="0"/>
      </w:pPr>
      <w:r w:rsidRPr="00FA5834">
        <w:rPr>
          <w:b/>
        </w:rPr>
        <w:t>(anotācija)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155"/>
        <w:gridCol w:w="6300"/>
      </w:tblGrid>
      <w:tr w:rsidR="00647E32" w:rsidRPr="00FA5834" w:rsidTr="00BD0B63">
        <w:tc>
          <w:tcPr>
            <w:tcW w:w="9005" w:type="dxa"/>
            <w:gridSpan w:val="3"/>
            <w:vAlign w:val="center"/>
          </w:tcPr>
          <w:p w:rsidR="00647E32" w:rsidRPr="00FA5834" w:rsidRDefault="00647E32" w:rsidP="00865B60">
            <w:pPr>
              <w:pStyle w:val="naisnod"/>
              <w:spacing w:before="0" w:after="0"/>
              <w:ind w:right="71"/>
            </w:pPr>
            <w:r w:rsidRPr="00FA5834">
              <w:t>I. Tiesību akta projekta izstrādes nepieciešamība</w:t>
            </w:r>
          </w:p>
        </w:tc>
      </w:tr>
      <w:tr w:rsidR="00647E32" w:rsidRPr="00FA5834" w:rsidTr="00BD0B63">
        <w:trPr>
          <w:trHeight w:val="630"/>
        </w:trPr>
        <w:tc>
          <w:tcPr>
            <w:tcW w:w="550" w:type="dxa"/>
          </w:tcPr>
          <w:p w:rsidR="00647E32" w:rsidRPr="00FA5834" w:rsidRDefault="00647E32" w:rsidP="00865B60">
            <w:pPr>
              <w:pStyle w:val="naiskr"/>
              <w:spacing w:before="0" w:after="0"/>
              <w:ind w:right="71"/>
            </w:pPr>
            <w:r w:rsidRPr="00FA5834">
              <w:t>1.</w:t>
            </w:r>
          </w:p>
        </w:tc>
        <w:tc>
          <w:tcPr>
            <w:tcW w:w="2155" w:type="dxa"/>
          </w:tcPr>
          <w:p w:rsidR="00647E32" w:rsidRPr="00FA5834" w:rsidRDefault="00647E32" w:rsidP="00865B60">
            <w:pPr>
              <w:pStyle w:val="naiskr"/>
              <w:spacing w:before="0" w:after="0"/>
              <w:ind w:right="71" w:hanging="10"/>
            </w:pPr>
            <w:r w:rsidRPr="00FA5834">
              <w:t>Pamatojums</w:t>
            </w:r>
          </w:p>
        </w:tc>
        <w:tc>
          <w:tcPr>
            <w:tcW w:w="6300" w:type="dxa"/>
          </w:tcPr>
          <w:p w:rsidR="00C92442" w:rsidRPr="00C12290" w:rsidRDefault="00C12290" w:rsidP="00976500">
            <w:pPr>
              <w:pStyle w:val="CommentText"/>
              <w:jc w:val="both"/>
              <w:rPr>
                <w:sz w:val="24"/>
                <w:szCs w:val="24"/>
              </w:rPr>
            </w:pPr>
            <w:r w:rsidRPr="00C12290">
              <w:rPr>
                <w:color w:val="000000"/>
                <w:sz w:val="24"/>
                <w:szCs w:val="24"/>
              </w:rPr>
              <w:t>Mini</w:t>
            </w:r>
            <w:r>
              <w:rPr>
                <w:color w:val="000000"/>
                <w:sz w:val="24"/>
                <w:szCs w:val="24"/>
              </w:rPr>
              <w:t xml:space="preserve">stru kabineta noteikumu projekts </w:t>
            </w:r>
            <w:r w:rsidRPr="00C12290">
              <w:rPr>
                <w:color w:val="000000"/>
                <w:sz w:val="24"/>
                <w:szCs w:val="24"/>
              </w:rPr>
              <w:t xml:space="preserve">„Kārtība, kādā zemes </w:t>
            </w:r>
            <w:r w:rsidR="00C90119">
              <w:rPr>
                <w:color w:val="000000"/>
                <w:sz w:val="24"/>
                <w:szCs w:val="24"/>
              </w:rPr>
              <w:t xml:space="preserve">īpašniekiem vai </w:t>
            </w:r>
            <w:r w:rsidRPr="00C12290">
              <w:rPr>
                <w:color w:val="000000"/>
                <w:sz w:val="24"/>
                <w:szCs w:val="24"/>
              </w:rPr>
              <w:t>lietotājiem nosakāmi to zaudējumi apmēri, kas saistīti ar īpaši aizsargājamo nemedījamo sugu un migrējošo sugu dzīvnieku nodarītiem būtiskiem postījumiem un minimālās aizsardzības pasākumu prasības postījumu novēršanai”</w:t>
            </w:r>
            <w:r>
              <w:rPr>
                <w:color w:val="000000"/>
                <w:sz w:val="24"/>
                <w:szCs w:val="24"/>
              </w:rPr>
              <w:t xml:space="preserve"> </w:t>
            </w:r>
            <w:r w:rsidR="003F631A">
              <w:rPr>
                <w:color w:val="000000"/>
                <w:sz w:val="24"/>
                <w:szCs w:val="24"/>
              </w:rPr>
              <w:t>(</w:t>
            </w:r>
            <w:r>
              <w:rPr>
                <w:color w:val="000000"/>
                <w:sz w:val="24"/>
                <w:szCs w:val="24"/>
              </w:rPr>
              <w:t>turpmāk</w:t>
            </w:r>
            <w:r w:rsidR="00976500">
              <w:rPr>
                <w:color w:val="000000"/>
                <w:sz w:val="24"/>
                <w:szCs w:val="24"/>
              </w:rPr>
              <w:t>-</w:t>
            </w:r>
            <w:r>
              <w:rPr>
                <w:color w:val="000000"/>
                <w:sz w:val="24"/>
                <w:szCs w:val="24"/>
              </w:rPr>
              <w:t>noteikumu projekts) izstrādāts saskaņā ar Sugu un biotopu aizsard</w:t>
            </w:r>
            <w:r w:rsidR="009F5E8B">
              <w:rPr>
                <w:color w:val="000000"/>
                <w:sz w:val="24"/>
                <w:szCs w:val="24"/>
              </w:rPr>
              <w:t xml:space="preserve">zības likuma 4.panta 6.punktu. </w:t>
            </w:r>
          </w:p>
        </w:tc>
      </w:tr>
      <w:tr w:rsidR="00647E32" w:rsidRPr="00FA5834" w:rsidTr="00BD0B63">
        <w:trPr>
          <w:trHeight w:val="70"/>
        </w:trPr>
        <w:tc>
          <w:tcPr>
            <w:tcW w:w="550" w:type="dxa"/>
          </w:tcPr>
          <w:p w:rsidR="00647E32" w:rsidRPr="00FA5834" w:rsidRDefault="00647E32" w:rsidP="00865B60">
            <w:pPr>
              <w:pStyle w:val="naiskr"/>
              <w:spacing w:before="0" w:after="0"/>
              <w:ind w:right="71"/>
            </w:pPr>
            <w:r w:rsidRPr="00FA5834">
              <w:t>2.</w:t>
            </w:r>
          </w:p>
        </w:tc>
        <w:tc>
          <w:tcPr>
            <w:tcW w:w="2155" w:type="dxa"/>
          </w:tcPr>
          <w:p w:rsidR="00647E32" w:rsidRPr="00FA5834" w:rsidRDefault="00647E32" w:rsidP="00865B60">
            <w:pPr>
              <w:pStyle w:val="naiskr"/>
              <w:tabs>
                <w:tab w:val="left" w:pos="170"/>
              </w:tabs>
              <w:spacing w:before="0" w:after="0"/>
              <w:ind w:right="71"/>
            </w:pPr>
            <w:r w:rsidRPr="00FA5834">
              <w:t>P</w:t>
            </w:r>
            <w:r w:rsidR="006C08A8">
              <w:t>ašreizējā situācija un problēmas, kuru risināšanai tiesību akta projekts izstrādāts, tiesiskā regulējuma mērķis un būtība</w:t>
            </w:r>
          </w:p>
        </w:tc>
        <w:tc>
          <w:tcPr>
            <w:tcW w:w="6300" w:type="dxa"/>
          </w:tcPr>
          <w:p w:rsidR="00976500" w:rsidRDefault="00976500" w:rsidP="006B569F">
            <w:pPr>
              <w:pStyle w:val="naisf"/>
              <w:spacing w:before="0" w:after="0"/>
              <w:ind w:right="71" w:firstLine="0"/>
              <w:rPr>
                <w:color w:val="000000"/>
              </w:rPr>
            </w:pPr>
            <w:r>
              <w:rPr>
                <w:color w:val="000000"/>
              </w:rPr>
              <w:t xml:space="preserve">Latvijas Republikas Saeima 2015.gada 8.oktobrī pieņēma grozījumus Sugu un biotopu aizsardzības likumā (turpmāk – Grozījumi), mainot deleģējumu Ministru kabinetam izdot noteikumus par </w:t>
            </w:r>
            <w:r>
              <w:t>kārtību, kādā zemes lietotājiem nosakāmi to zaudējumu apmēri, kas saistīti ar īpaši aizsargājamo nemedījamo sugu un migrējošo sugu dzīvnieku nodarītajiem būtiskiem postījumiem, un minimālās nepieciešamo aizsardzības pasākumu prasības postījumu novēršanai.</w:t>
            </w:r>
            <w:r>
              <w:rPr>
                <w:color w:val="000000"/>
              </w:rPr>
              <w:t xml:space="preserve"> Ar grozījumiem ir papildinātas pārejas noteikumu prasības, saskaņā ar kurām </w:t>
            </w:r>
            <w:r w:rsidRPr="009F5E8B">
              <w:rPr>
                <w:color w:val="000000"/>
              </w:rPr>
              <w:t>Mini</w:t>
            </w:r>
            <w:r>
              <w:rPr>
                <w:color w:val="000000"/>
              </w:rPr>
              <w:t>stru kabinetam līdz 2016.gada 1.janvārim jāizdod</w:t>
            </w:r>
            <w:r w:rsidR="00BE45FD">
              <w:rPr>
                <w:color w:val="000000"/>
              </w:rPr>
              <w:t xml:space="preserve"> noteikumi, ar kuriem nosaka k</w:t>
            </w:r>
            <w:r w:rsidR="00BE45FD">
              <w:t xml:space="preserve">ārtību, kādā zemes </w:t>
            </w:r>
            <w:r w:rsidR="00CF389E">
              <w:t xml:space="preserve">īpašniekiem vai </w:t>
            </w:r>
            <w:r w:rsidR="00BE45FD">
              <w:t>lietotājiem nosakāmi to zaudējumu apmēri, kas saistīti ar īpaši aizsargājamo nemedījamo sugu un migrējošo sugu dzīvnieku nodarītajiem būtiskiem postījumiem, un minimālās nepieciešamo aizsardzības pasākumu prasības postījumu novēršanai.</w:t>
            </w:r>
            <w:r w:rsidR="00BE45FD">
              <w:rPr>
                <w:color w:val="000000"/>
              </w:rPr>
              <w:t xml:space="preserve"> Ministru kabinetam pieņemot noteikumu projektu un stājoties spēkā attiecīgajiem noteikumiem, spēku zaudē </w:t>
            </w:r>
            <w:r>
              <w:t>Ministru kabineta 2007.gada 20.novembra noteikumi Nr.778 “Kārtība, kādā zemes lietotājiem nosakāmi to zaudējumu apmēri, kas saistīti ar īpaši aizsargājamo nemedījamo un migrējošo sugu dzīvnieku nodarītiem būtiskiem postījumiem” (turpmāk</w:t>
            </w:r>
            <w:r w:rsidR="00BE45FD">
              <w:t xml:space="preserve"> </w:t>
            </w:r>
            <w:r>
              <w:t>-</w:t>
            </w:r>
            <w:r w:rsidR="00BE45FD">
              <w:t xml:space="preserve"> </w:t>
            </w:r>
            <w:r>
              <w:t>noteikumi Nr.778)</w:t>
            </w:r>
            <w:r w:rsidR="00BE45FD">
              <w:t>.</w:t>
            </w:r>
          </w:p>
          <w:p w:rsidR="00091ECD" w:rsidRPr="006B569F" w:rsidRDefault="00647E32" w:rsidP="006B569F">
            <w:pPr>
              <w:pStyle w:val="naisf"/>
              <w:spacing w:before="0" w:after="0"/>
              <w:ind w:right="71" w:firstLine="0"/>
              <w:rPr>
                <w:color w:val="000000"/>
              </w:rPr>
            </w:pPr>
            <w:r w:rsidRPr="00FA5834">
              <w:rPr>
                <w:color w:val="000000"/>
              </w:rPr>
              <w:t>Sugu un biotopu aizsardzības likum</w:t>
            </w:r>
            <w:r w:rsidR="003F631A">
              <w:rPr>
                <w:color w:val="000000"/>
              </w:rPr>
              <w:t>a</w:t>
            </w:r>
            <w:r w:rsidRPr="00FA5834">
              <w:rPr>
                <w:color w:val="000000"/>
              </w:rPr>
              <w:t xml:space="preserve"> </w:t>
            </w:r>
            <w:r w:rsidR="003F631A">
              <w:rPr>
                <w:color w:val="000000"/>
              </w:rPr>
              <w:t xml:space="preserve">10.pants </w:t>
            </w:r>
            <w:r w:rsidRPr="00FA5834">
              <w:rPr>
                <w:color w:val="000000"/>
              </w:rPr>
              <w:t>paredz</w:t>
            </w:r>
            <w:r w:rsidR="006B569F">
              <w:rPr>
                <w:color w:val="000000"/>
              </w:rPr>
              <w:t>ēja</w:t>
            </w:r>
            <w:r w:rsidRPr="00FA5834">
              <w:rPr>
                <w:color w:val="000000"/>
              </w:rPr>
              <w:t xml:space="preserve"> zemes īpašniekiem</w:t>
            </w:r>
            <w:r w:rsidR="00D30E0A" w:rsidRPr="00FA5834">
              <w:rPr>
                <w:color w:val="000000"/>
              </w:rPr>
              <w:t xml:space="preserve"> un pastāvīgajiem lietotājiem</w:t>
            </w:r>
            <w:r w:rsidRPr="00FA5834">
              <w:rPr>
                <w:color w:val="000000"/>
              </w:rPr>
              <w:t xml:space="preserve"> tiesības saņemt no Latvijas vides aizsardzības fonda līdzekļiem kompensāciju par īpaši aizsargājamo nemedījamo sugu un migrējošo sugu dzīvnieku nodarītajiem būtiskiem postījumiem. Likums </w:t>
            </w:r>
            <w:r w:rsidR="00AB49A4" w:rsidRPr="00FA5834">
              <w:rPr>
                <w:color w:val="000000"/>
              </w:rPr>
              <w:t xml:space="preserve">ir vairākkārtīgi </w:t>
            </w:r>
            <w:r w:rsidRPr="00FA5834">
              <w:rPr>
                <w:color w:val="000000"/>
              </w:rPr>
              <w:t>grozīts, nosakot</w:t>
            </w:r>
            <w:r w:rsidR="003F631A">
              <w:rPr>
                <w:color w:val="000000"/>
              </w:rPr>
              <w:t xml:space="preserve"> Pārejas noteikumos</w:t>
            </w:r>
            <w:r w:rsidRPr="00FA5834">
              <w:rPr>
                <w:color w:val="000000"/>
              </w:rPr>
              <w:t>, ka k</w:t>
            </w:r>
            <w:r w:rsidRPr="00FA5834">
              <w:t>ompensāciju par īpaši aizsargājamo nemedījamo sugu un migrējošo sugu dzīvnieku nodarītajiem būtiskiem postījumiem neaprēķina un neizmaksā 2009.,2010.</w:t>
            </w:r>
            <w:r w:rsidR="00AB49A4" w:rsidRPr="00FA5834">
              <w:t>,</w:t>
            </w:r>
            <w:r w:rsidRPr="00FA5834">
              <w:t>2011.</w:t>
            </w:r>
            <w:r w:rsidR="009157F6">
              <w:t>, 2012.un 2013.</w:t>
            </w:r>
            <w:r w:rsidRPr="00FA5834">
              <w:t>gadā.</w:t>
            </w:r>
            <w:r w:rsidRPr="00FA5834">
              <w:rPr>
                <w:color w:val="000000"/>
              </w:rPr>
              <w:t xml:space="preserve"> </w:t>
            </w:r>
          </w:p>
          <w:p w:rsidR="004969D1" w:rsidRDefault="00742888" w:rsidP="00865B60">
            <w:pPr>
              <w:jc w:val="both"/>
            </w:pPr>
            <w:r>
              <w:t>Satversmes tiesa</w:t>
            </w:r>
            <w:r w:rsidRPr="00FA5834">
              <w:t xml:space="preserve"> </w:t>
            </w:r>
            <w:r w:rsidR="009157F6">
              <w:t>2013.</w:t>
            </w:r>
            <w:r w:rsidR="00AB49A4" w:rsidRPr="00FA5834">
              <w:t>ga</w:t>
            </w:r>
            <w:r w:rsidR="00A75DE1">
              <w:t xml:space="preserve">da 16.augustā </w:t>
            </w:r>
            <w:r w:rsidR="00AB49A4" w:rsidRPr="00FA5834">
              <w:t xml:space="preserve">ierosināja lietu </w:t>
            </w:r>
            <w:r>
              <w:t>„</w:t>
            </w:r>
            <w:r w:rsidR="00AB49A4" w:rsidRPr="00FA5834">
              <w:t>Par Sugu un biotopu aizsardzī</w:t>
            </w:r>
            <w:r w:rsidR="00BD4098">
              <w:t>bas likuma pārejas noteikumu 8.</w:t>
            </w:r>
            <w:r w:rsidR="00AB49A4" w:rsidRPr="00FA5834">
              <w:t>punkta atbilstību La</w:t>
            </w:r>
            <w:r w:rsidR="009157F6">
              <w:t>tvijas Republikas Satversmes 1.un 105.</w:t>
            </w:r>
            <w:r w:rsidR="00AB49A4" w:rsidRPr="00FA5834">
              <w:t>pantam</w:t>
            </w:r>
            <w:r>
              <w:t>”</w:t>
            </w:r>
            <w:r w:rsidR="00AB49A4" w:rsidRPr="00FA5834">
              <w:t xml:space="preserve">. </w:t>
            </w:r>
            <w:r>
              <w:t xml:space="preserve"> Satversmes tiesa</w:t>
            </w:r>
            <w:r w:rsidRPr="00FA5834">
              <w:t xml:space="preserve"> </w:t>
            </w:r>
            <w:r w:rsidR="009157F6">
              <w:t>2014.gada 19.</w:t>
            </w:r>
            <w:r w:rsidR="004969D1">
              <w:t xml:space="preserve">martā </w:t>
            </w:r>
            <w:r w:rsidR="009157F6">
              <w:t>pieņēm</w:t>
            </w:r>
            <w:r>
              <w:t>a</w:t>
            </w:r>
            <w:r w:rsidR="009157F6">
              <w:t xml:space="preserve"> spriedumu lietā Nr.</w:t>
            </w:r>
            <w:r w:rsidR="004969D1">
              <w:t>2013-13-01 „Par Sugu un biotopu aizsardzī</w:t>
            </w:r>
            <w:r w:rsidR="00BD4098">
              <w:t>bas likuma pārejas noteikumu 8.</w:t>
            </w:r>
            <w:r w:rsidR="004969D1">
              <w:t>punkta atbilstību La</w:t>
            </w:r>
            <w:r w:rsidR="009157F6">
              <w:t>tvijas Republikas Satversmes 1.</w:t>
            </w:r>
            <w:r w:rsidR="004969D1">
              <w:t>un 105</w:t>
            </w:r>
            <w:r w:rsidR="009157F6">
              <w:t>.</w:t>
            </w:r>
            <w:r w:rsidR="004969D1">
              <w:t>pantam</w:t>
            </w:r>
            <w:r w:rsidR="00C92442">
              <w:t>.</w:t>
            </w:r>
            <w:r w:rsidR="006443D0">
              <w:t>”</w:t>
            </w:r>
          </w:p>
          <w:p w:rsidR="00245027" w:rsidRDefault="00A75DE1" w:rsidP="006B569F">
            <w:pPr>
              <w:jc w:val="both"/>
            </w:pPr>
            <w:r>
              <w:t xml:space="preserve">Satversmes tiesa </w:t>
            </w:r>
            <w:r w:rsidR="00742888">
              <w:t xml:space="preserve">minētajā spriedumā </w:t>
            </w:r>
            <w:r>
              <w:t>atz</w:t>
            </w:r>
            <w:r w:rsidR="006443D0">
              <w:t>ina</w:t>
            </w:r>
            <w:r>
              <w:t xml:space="preserve">, ka </w:t>
            </w:r>
            <w:r w:rsidR="004969D1">
              <w:t>apstrīdētā norma noteic pamattiesību nesamērīgu ierobežojumu. Līdz ar to apstrīdētā norma neatbilst tiesiskās paļāvības principam un attie</w:t>
            </w:r>
            <w:r w:rsidR="009157F6">
              <w:t>cīgi tā neatbilst Satversmes 1.un 105.</w:t>
            </w:r>
            <w:r w:rsidR="004969D1">
              <w:t>pantam</w:t>
            </w:r>
            <w:r w:rsidR="006B569F">
              <w:t>.</w:t>
            </w:r>
            <w:r w:rsidR="009F5E8B">
              <w:t xml:space="preserve"> </w:t>
            </w:r>
            <w:r w:rsidR="00CC290B" w:rsidRPr="00CC290B">
              <w:t>Tomēr Satversmes tiesa ņēma vērā, ka apstrīdētās normas atcelšanai nevar piešķirt vispārēju atpakaļvērstu spēku. Tiesiskās stabilitātes un skaidrības saglabāšanai piemērots risinājums ir apstrīdētās normas atcelšana tikai attiecībā uz SIA „Sātiņi-S”. Attiecībā uz SIA „Sātiņi-S” apstrīdētā norma atzīta par spēkā neesošu no tās pieņemšanas brīža.  Pēc sprieduma pieņemšanas SIA „Sātiņi-S” tika aprēķināta un izmaksāta kompensācija.</w:t>
            </w:r>
          </w:p>
          <w:p w:rsidR="009F5E8B" w:rsidRDefault="00742888" w:rsidP="006B569F">
            <w:pPr>
              <w:jc w:val="both"/>
            </w:pPr>
            <w:r>
              <w:t xml:space="preserve">Kompensācijas </w:t>
            </w:r>
            <w:r w:rsidR="009F5E8B">
              <w:t>2015.gadā</w:t>
            </w:r>
            <w:r w:rsidR="00CF389E">
              <w:t xml:space="preserve"> </w:t>
            </w:r>
            <w:r w:rsidR="009F5E8B">
              <w:t>izmaksā</w:t>
            </w:r>
            <w:r w:rsidR="00467D03">
              <w:t>ja</w:t>
            </w:r>
            <w:r w:rsidR="009F5E8B">
              <w:t xml:space="preserve"> saskaņā ar noteikumiem Nr.778, kas </w:t>
            </w:r>
            <w:r w:rsidR="00467D03">
              <w:t>ir zaudējuši</w:t>
            </w:r>
            <w:r w:rsidR="009F5E8B">
              <w:t xml:space="preserve"> spēku </w:t>
            </w:r>
            <w:r w:rsidR="009B5005">
              <w:t>2016.gada 1.janvārī.</w:t>
            </w:r>
          </w:p>
          <w:p w:rsidR="006A7438" w:rsidRDefault="006A7438" w:rsidP="006A7438">
            <w:pPr>
              <w:jc w:val="both"/>
            </w:pPr>
            <w:r>
              <w:t xml:space="preserve">Ministru kabineta noteikumu projektā lietoti termini “zemes īpašnieks” un “zemes lietotājs” atbilstoši Sugu un biotopu aizsardzības likuma 10.panta pirmajai daļai, kas nosaka, ka gan zemes īpašniekiem, gan zemes lietotājiem ir tiesības saņemt kompensāciju par īpaši aizsargājamo nemedījamo sugu un migrējošo sugu dzīvnieku nodarītajiem būtiskiem postījumiem. Minētie termini Sugu un biotopu aizsardzības likumā tika iekļauti ar 2015.gada 8.oktobra likumu “Grozījumi Sugu un biotopu aizsardzības likumā”. Atbilstoši šī likuma 1.pantam visā likumā vārdi "zemes īpašnieks un pastāvīgais lietotājs" (attiecīgā locījumā) aizstāti ar vārdiem "zemes īpašnieks vai lietotājs" (attiecīgā locījumā) un vārdi "zemes lietotājs" (attiecīgā locījumā) - ar vārdiem "zemes īpašnieks vai lietotājs" (attiecīgā locījumā). Tādējādi 2015.gada 8.oktobra likums “Grozījumi Sugu un biotopu aizsardzības likumā” pēc būtības paredzēja, ka arī Sugu un biotopu aizsardzības likuma 4.panta 6.punktā termins “zemes lietotājs” tiek aizstāts ar vārdiem “zemes īpašnieki vai lietotāji” (attiecīgajā locījumā), taču redakcionālu vai citu iemeslu dēļ tas netika izdarīts. Termins “zemes lietotājs” savā visplašākajā nozīmē ietver arī terminu “zemes īpašnieks”. Noteikumu projektā izmantot tikai vienu no šiem terminiem nebūtu korekti, jo zemes īpašnieks ne vienmēr ir zemes faktiskais lietotājs, un savukārt zemes lietotājs ne vienmēr ir zemes īpašnieks, bet ir, piemēram, zemes nomnieks. </w:t>
            </w:r>
          </w:p>
          <w:p w:rsidR="006A7438" w:rsidRDefault="006A7438" w:rsidP="006A7438">
            <w:pPr>
              <w:jc w:val="both"/>
            </w:pPr>
            <w:r>
              <w:t>Arī likuma 2015.gada 8.oktobra likums “Grozījumi Sugu un biotopu aizsardzības likumā” anotācijā ir skaidrots, ka kompensācijas par īpaši aizsargājamo un nemedījamo sugu un migrējošo sugu dzīvnieku nodarītajiem būtiskiem postījumiem izmaksā personai, kas faktiski izmanto zemi un tas ne vienmēr ir zemes īpašnieks. Ņemot vērā, ka likumprojekts tiek papildināts ar nosacījumu, ka zemes īpašnieks vai lietotājs ir tiesīgs saņemt kompensāciju par īpaši aizsargājamo nemedījamo sugu un migrējošo sugu dzīvnieku nodarītajiem būtiskiem postījumiem, ja tas ir veicis nepieciešamās aizsardzības prasības, lai</w:t>
            </w:r>
            <w:r w:rsidR="00CF389E">
              <w:t xml:space="preserve"> postījumus novērstu, Ministru k</w:t>
            </w:r>
            <w:r>
              <w:t>abinetam tiek dots deleģējums noteikt minimālās prasības labāko pieejamo aizsardzības pasākumu ieviešanai.</w:t>
            </w:r>
          </w:p>
          <w:p w:rsidR="002E234F" w:rsidRDefault="00050F54" w:rsidP="00E41E2B">
            <w:pPr>
              <w:jc w:val="both"/>
            </w:pPr>
            <w:r>
              <w:t>Noteikumos Nr.778 zaudējumu noteikšanai augkopībā tika izmantota formula, kurai nepieciešamie dati tika iegūti pārbaudē dabā, maršrutā ik pēc 5 metriem izvērtējot parauglaukumu. Postījumu novērtēšanas maršruta kopgarums 1 ha nedrīkstēja būt mazāks par 640m (attiecīgi 6,40 km, ja jāvērtē 10 ha platība). Šī metodika neļāva objektīvi izvērtēt postījumus visās lauksaimniecības kultūras attīstības stadijās</w:t>
            </w:r>
            <w:r w:rsidR="00E41E2B">
              <w:t>. Par agrā pavasarī nodarītiem postījumiem aprēķini tika veikti pirms ražas novākšanas, kad attiecīgo kultūru būtiski bija ietekmējuši citi apkārtējās vides faktori (piemēram, medījamie zīdītāji). Zaudējumu aprēķinu metodika būtiski atšķīrās no metodikas, kas  tiek pielietota attiecībā pret medījamo dzīvnieku nodarītajiem post</w:t>
            </w:r>
            <w:r w:rsidR="002E234F">
              <w:t>ījumiem un ir noteikta ar</w:t>
            </w:r>
            <w:r w:rsidR="00E41E2B">
              <w:t xml:space="preserve"> Ministru kabin</w:t>
            </w:r>
            <w:r w:rsidR="002E234F">
              <w:t>eta 2014.gada 26 maija noteikumiem</w:t>
            </w:r>
            <w:r w:rsidR="00E41E2B">
              <w:t xml:space="preserve"> Nr. 269 “Noteikumi par medījamo dzīvnieku nodarīto zaudējumu noteikšanu un medību koordinācijas komisijām”</w:t>
            </w:r>
            <w:r w:rsidR="002E234F">
              <w:t>.</w:t>
            </w:r>
          </w:p>
          <w:p w:rsidR="00E41E2B" w:rsidRDefault="002E234F" w:rsidP="00E41E2B">
            <w:pPr>
              <w:jc w:val="both"/>
            </w:pPr>
            <w:r>
              <w:t xml:space="preserve">Līdzšinējā kārtība zaudējumu apmēru noteikšanai akvakultūrai tika balstīta uz kompensācijas pieprasītāja sniegto informāciju par   </w:t>
            </w:r>
            <w:r w:rsidR="00E41E2B">
              <w:t xml:space="preserve"> </w:t>
            </w:r>
          </w:p>
          <w:p w:rsidR="00CC1962" w:rsidRDefault="002E234F" w:rsidP="00E41E2B">
            <w:pPr>
              <w:jc w:val="both"/>
            </w:pPr>
            <w:r>
              <w:t>putnu skaitu, putnu uzturēšanās ilgumu, zivju realizācijas cenu. Aprēķinu formulā izmantotais parametrs “zivju patēriņš kilogramos vienam īpatnim” nav objektīvs rādītājs, jo putns vienas dienas laikā varēja tikt uzskaitīts vairākās vietās. Tas, ka informācija par putnu skaitu bija iesniedzama līdz 15.oktobrim ierobežoja iespēju saņemt kompensācijas ar jūras kraukļu rudens migrācijas laikā nodarītajiem postījumiem. Kompensācija nepienācās par</w:t>
            </w:r>
            <w:r w:rsidR="004F5A32">
              <w:t xml:space="preserve"> lielā baltā</w:t>
            </w:r>
            <w:r>
              <w:t xml:space="preserve"> g</w:t>
            </w:r>
            <w:r w:rsidR="004F5A32">
              <w:t>ārņa</w:t>
            </w:r>
            <w:r>
              <w:t>, ķ</w:t>
            </w:r>
            <w:r w:rsidR="004F5A32">
              <w:t>īru</w:t>
            </w:r>
            <w:r>
              <w:t xml:space="preserve"> un ūdr</w:t>
            </w:r>
            <w:r w:rsidR="004F5A32">
              <w:t>u postījumiem.</w:t>
            </w:r>
          </w:p>
          <w:p w:rsidR="004F5A32" w:rsidRDefault="00CF389E" w:rsidP="00E41E2B">
            <w:pPr>
              <w:jc w:val="both"/>
            </w:pPr>
            <w:r>
              <w:t>Noteikumu projekts  paredz</w:t>
            </w:r>
            <w:r w:rsidR="004F5A32">
              <w:t xml:space="preserve">: </w:t>
            </w:r>
          </w:p>
          <w:p w:rsidR="00E95D09" w:rsidRPr="00023FE4" w:rsidRDefault="001A6C7B" w:rsidP="009B5005">
            <w:pPr>
              <w:jc w:val="both"/>
            </w:pPr>
            <w:r w:rsidRPr="00023FE4">
              <w:t>1)</w:t>
            </w:r>
            <w:r w:rsidR="00307004" w:rsidRPr="00023FE4">
              <w:t xml:space="preserve"> </w:t>
            </w:r>
            <w:r w:rsidR="00281E75" w:rsidRPr="00023FE4">
              <w:t>k</w:t>
            </w:r>
            <w:r w:rsidR="009B5005" w:rsidRPr="00023FE4">
              <w:t>ārtību</w:t>
            </w:r>
            <w:r w:rsidR="00742888" w:rsidRPr="00023FE4">
              <w:t>,</w:t>
            </w:r>
            <w:r w:rsidR="009B5005" w:rsidRPr="00023FE4">
              <w:t xml:space="preserve"> kādā zemes </w:t>
            </w:r>
            <w:r w:rsidR="00C90119" w:rsidRPr="00023FE4">
              <w:t xml:space="preserve">īpašniekiem vai </w:t>
            </w:r>
            <w:r w:rsidR="009B5005" w:rsidRPr="00023FE4">
              <w:t>lietotājiem nosakāmi zaudējumu apmēri augkopībā, akvakultūrā, lopkopībā un biškopībā par būtiskiem postījumiem, ko nodarījuš</w:t>
            </w:r>
            <w:r w:rsidR="00281E75" w:rsidRPr="00023FE4">
              <w:t>i</w:t>
            </w:r>
            <w:r w:rsidR="009B5005" w:rsidRPr="00023FE4">
              <w:t xml:space="preserve"> īpaši aizsargājamo nemedījamo un migrējošo sugu dz</w:t>
            </w:r>
            <w:r w:rsidR="006A7438" w:rsidRPr="00023FE4">
              <w:t xml:space="preserve">īvnieki. </w:t>
            </w:r>
            <w:r w:rsidR="00CF389E" w:rsidRPr="00023FE4">
              <w:t xml:space="preserve">Izmantota labākā pieejamā informācija par sugām, kas nodara postījumus un šo postījumu raksturu, aptverot visas nozares, kur zaudējumu nodarīšanas iespēja ir vislielākā.  </w:t>
            </w:r>
            <w:r w:rsidR="006A7438" w:rsidRPr="00023FE4">
              <w:t>Augkopība un akvakultūra ir tās cilvēka saimnieciskās darbības nozares, kurās zaudējumus nodara migrējošo putnu sugas. Savukārt īpaši aizsargājamā s</w:t>
            </w:r>
            <w:r w:rsidR="00361494" w:rsidRPr="00023FE4">
              <w:t>uga-</w:t>
            </w:r>
            <w:r w:rsidR="006A7438" w:rsidRPr="00023FE4">
              <w:t>lācis</w:t>
            </w:r>
            <w:r w:rsidR="00361494" w:rsidRPr="00023FE4">
              <w:t xml:space="preserve"> nodara postījumus biškopībai. Taču ir iespējama varbūtība, ka lācis var nodarīt zaudējumus arī lopkopībā. Lāču skaitam Latvijā un reģionā kopumā ir vērojama pieaugoša tendence, kas </w:t>
            </w:r>
            <w:r w:rsidR="00E95D09" w:rsidRPr="00023FE4">
              <w:t>var izraisīt</w:t>
            </w:r>
            <w:r w:rsidR="00361494" w:rsidRPr="00023FE4">
              <w:t xml:space="preserve"> pieaugošu konfliktsituāciju skaitu-postījumus bišu dravās un uzbrukumus lauksaimniecības dzīvniekiem. Citās nozarēs šādi </w:t>
            </w:r>
            <w:r w:rsidR="00E95D09" w:rsidRPr="00023FE4">
              <w:t xml:space="preserve">būtiski </w:t>
            </w:r>
            <w:r w:rsidR="00361494" w:rsidRPr="00023FE4">
              <w:t>zaudējumi nav paredzami.</w:t>
            </w:r>
          </w:p>
          <w:p w:rsidR="00E95D09" w:rsidRPr="00023FE4" w:rsidRDefault="00E95D09" w:rsidP="009B5005">
            <w:pPr>
              <w:jc w:val="both"/>
            </w:pPr>
            <w:r w:rsidRPr="00023FE4">
              <w:t>2)t</w:t>
            </w:r>
            <w:r w:rsidR="00361494" w:rsidRPr="00023FE4">
              <w:t xml:space="preserve">iek noteikts minimālais </w:t>
            </w:r>
            <w:r w:rsidR="00FD6314" w:rsidRPr="00023FE4">
              <w:t>zaudējumu apmērs</w:t>
            </w:r>
            <w:r w:rsidR="00A413D3" w:rsidRPr="00023FE4">
              <w:t xml:space="preserve"> (viena minimālā mēnešalga</w:t>
            </w:r>
            <w:r w:rsidR="00411909" w:rsidRPr="00023FE4">
              <w:t>)</w:t>
            </w:r>
            <w:r w:rsidR="00FD6314" w:rsidRPr="00023FE4">
              <w:t>,  arī minimālā   zemes vienības</w:t>
            </w:r>
            <w:r w:rsidRPr="00023FE4">
              <w:t xml:space="preserve"> (0,05 ha)</w:t>
            </w:r>
            <w:r w:rsidR="00FD6314" w:rsidRPr="00023FE4">
              <w:t xml:space="preserve"> vai dīķa platība</w:t>
            </w:r>
            <w:r w:rsidRPr="00023FE4">
              <w:t xml:space="preserve"> (0,1 ha)</w:t>
            </w:r>
            <w:r w:rsidR="00FD6314" w:rsidRPr="00023FE4">
              <w:t xml:space="preserve">, lai būtu iespējams postījumus konstatēt, novērtēt un aprēķināt zaudējumu apmēru. Savvaļas sugu zīdītāju un putnu sugu klātbūtne ir neizbēgama praktiski jebkurā cilvēka saimnieciskajā darbībā izmantotajā vietā, ja vien  tā nenotiek norobežotā vidē.  </w:t>
            </w:r>
          </w:p>
          <w:p w:rsidR="009264B2" w:rsidRPr="00023FE4" w:rsidRDefault="00E95D09" w:rsidP="009B5005">
            <w:pPr>
              <w:jc w:val="both"/>
            </w:pPr>
            <w:r w:rsidRPr="00023FE4">
              <w:t xml:space="preserve">3) </w:t>
            </w:r>
            <w:r w:rsidR="006475FB" w:rsidRPr="00023FE4">
              <w:t>periodi kuros tiek nodarīti postījumi saistīti ar sugu ekoloģiskajām prasībām un paradumiem. Ņemts vērā, ka p</w:t>
            </w:r>
            <w:r w:rsidR="009264B2" w:rsidRPr="00023FE4">
              <w:t>utnu migrācija notiek pavasara sezonā un rudens sezonā, kad arī tiek nodarīti būtiskākie postījumi un to, ka vienā un tajā pašā zemes vienībā pavasara periodā var tikt audzēts viens kultūraugs, bet rudenī jau cits-paredzēta iespēja pieteikt kompensāciju katrā no sezonām (divas reizes gadā).</w:t>
            </w:r>
          </w:p>
          <w:p w:rsidR="001A6C7B" w:rsidRPr="00023FE4" w:rsidRDefault="009264B2" w:rsidP="009B5005">
            <w:pPr>
              <w:jc w:val="both"/>
            </w:pPr>
            <w:r w:rsidRPr="00023FE4">
              <w:t>Akvakultūrā zaudējumus nodara sugas, kas uzturas un barojās cauru gadu (ūdrs), gan migrējošās sugas, kas ligzdo un barojas visu uzturēšanās laiku</w:t>
            </w:r>
            <w:r w:rsidR="002F7650" w:rsidRPr="00023FE4">
              <w:t xml:space="preserve"> (zivju ērglis, jūras ērglis, ķīri, gārņi un jūras kraukļi)</w:t>
            </w:r>
            <w:r w:rsidRPr="00023FE4">
              <w:t xml:space="preserve"> gan sugas</w:t>
            </w:r>
            <w:r w:rsidR="002F7650" w:rsidRPr="00023FE4">
              <w:t>, kuru īpatņu skaits krasi pieaug rudens  migrācijas laikā (jūras krauklis)</w:t>
            </w:r>
            <w:r w:rsidR="00127155">
              <w:t xml:space="preserve"> </w:t>
            </w:r>
            <w:r w:rsidR="002F7650" w:rsidRPr="00023FE4">
              <w:t>un uzturēšanās ilgums nav paredzams.</w:t>
            </w:r>
            <w:r w:rsidRPr="00023FE4">
              <w:t xml:space="preserve"> </w:t>
            </w:r>
            <w:r w:rsidR="006475FB" w:rsidRPr="00023FE4">
              <w:t>Tādēļ p</w:t>
            </w:r>
            <w:r w:rsidR="002F7650" w:rsidRPr="00023FE4">
              <w:t xml:space="preserve">aredzēts kompensāciju pieteikt reizi gadā, tad kad ir visplašākā zivjēdāju putnu sugu skaita klātbūtne un attiecīgi arī lielākie postījumi. </w:t>
            </w:r>
          </w:p>
          <w:p w:rsidR="002F7650" w:rsidRPr="00023FE4" w:rsidRDefault="001709F0" w:rsidP="009B5005">
            <w:pPr>
              <w:jc w:val="both"/>
            </w:pPr>
            <w:r w:rsidRPr="00023FE4">
              <w:t>Lā</w:t>
            </w:r>
            <w:r w:rsidR="002F7650" w:rsidRPr="00023FE4">
              <w:t>ču postījumu lopkopībai vai biškopībai nav iespējams precīzi prognozēt</w:t>
            </w:r>
            <w:r w:rsidR="00E40F9C" w:rsidRPr="00023FE4">
              <w:t>. Tie būs atsevišķi gadījumi, kas katrs ir izvērtējams. Lāča došanās ziemas guļā neizslēdz iespēju, ka atsevišķi lāči dažādu iemeslu dēļ var būt arī aktīvi ziemas periodā un radīt draudus ieziemotām bišu saimēm un lauksaimniecības dzīvniekiem to novietnēs.</w:t>
            </w:r>
            <w:r w:rsidR="002F7650" w:rsidRPr="00023FE4">
              <w:t xml:space="preserve"> </w:t>
            </w:r>
            <w:r w:rsidR="006475FB" w:rsidRPr="00023FE4">
              <w:t>Tādēļ kompensāciju par postījumiem biškopībā un lopkopībā pieprasa par ikreizējiem nodarītiem postījumiem.</w:t>
            </w:r>
          </w:p>
          <w:p w:rsidR="00811773" w:rsidRPr="00163DA7" w:rsidRDefault="006475FB" w:rsidP="00811773">
            <w:pPr>
              <w:jc w:val="both"/>
            </w:pPr>
            <w:r w:rsidRPr="00023FE4">
              <w:t>4</w:t>
            </w:r>
            <w:r w:rsidR="001A6C7B" w:rsidRPr="00023FE4">
              <w:t>)</w:t>
            </w:r>
            <w:r w:rsidR="00307004" w:rsidRPr="00023FE4">
              <w:t xml:space="preserve"> </w:t>
            </w:r>
            <w:r w:rsidR="00281E75" w:rsidRPr="00023FE4">
              <w:t>m</w:t>
            </w:r>
            <w:r w:rsidR="001A6C7B" w:rsidRPr="00023FE4">
              <w:t>inimālos aizsardzības pasākumus zaudējumu novēršanai augkopībā, akva</w:t>
            </w:r>
            <w:r w:rsidR="00811773" w:rsidRPr="00023FE4">
              <w:t xml:space="preserve">kultūrā, lopkopībā un biškopībā. Atbilstoši Sugu un biotopu aizsardzības likumam, kompensāciju par </w:t>
            </w:r>
            <w:r w:rsidR="00811773" w:rsidRPr="00023FE4">
              <w:rPr>
                <w:color w:val="000000"/>
              </w:rPr>
              <w:t xml:space="preserve">postījumiem ir tiesības saņemt tikai tādā gadījumā, ja ir veikti nepieciešamie aizsardzības pasākumi to novēršanai un, </w:t>
            </w:r>
            <w:r w:rsidR="00811773" w:rsidRPr="00023FE4">
              <w:t xml:space="preserve">izmantojot savas zināšanas, spējas un praktiskās iespējas, </w:t>
            </w:r>
            <w:r w:rsidR="00811773" w:rsidRPr="00023FE4">
              <w:rPr>
                <w:bCs/>
              </w:rPr>
              <w:t>ir ieviestas saudzīgas ekoloģiskās metodes</w:t>
            </w:r>
            <w:r w:rsidR="00811773" w:rsidRPr="00023FE4">
              <w:t>, lai zaudējumus novērstu vai samazinātu. Aizsardzības pasākumu mērķis ir, neapdraudot dzīvnieku veselību un nekaitējot apkārtējai videi, pēc iespējas samazināt</w:t>
            </w:r>
            <w:r w:rsidR="00811773">
              <w:t xml:space="preserve"> zaudējuma apmēru. Pie šādiem pasākumiem pieskaitāmi tādi pasākumi, kā </w:t>
            </w:r>
            <w:r w:rsidR="00811773">
              <w:rPr>
                <w:color w:val="000000"/>
              </w:rPr>
              <w:t xml:space="preserve">teritorijas norobežošana (žogi, elektriskie gani), ganāmpulku apsargāšana (suņi), putnu atbaidīšana u.c. ekoloģiskas metodes postījumu novēršanai. </w:t>
            </w:r>
          </w:p>
          <w:p w:rsidR="00E40F9C" w:rsidRDefault="006475FB" w:rsidP="009B5005">
            <w:pPr>
              <w:jc w:val="both"/>
            </w:pPr>
            <w:r>
              <w:t>5</w:t>
            </w:r>
            <w:r w:rsidR="001A6C7B">
              <w:t xml:space="preserve">) </w:t>
            </w:r>
            <w:r w:rsidR="00411909">
              <w:t xml:space="preserve">pieteikuma </w:t>
            </w:r>
            <w:r w:rsidR="001A6C7B">
              <w:t>iesniegšanas kārtīb</w:t>
            </w:r>
            <w:r w:rsidR="00281E75">
              <w:t>u</w:t>
            </w:r>
            <w:r w:rsidR="001A6C7B">
              <w:t xml:space="preserve"> </w:t>
            </w:r>
            <w:r w:rsidR="00C92439">
              <w:t xml:space="preserve">Dabas aizsardzības pārvaldē </w:t>
            </w:r>
            <w:r w:rsidR="001A6C7B">
              <w:t xml:space="preserve">un </w:t>
            </w:r>
            <w:r w:rsidR="00D72B79">
              <w:t>dokument</w:t>
            </w:r>
            <w:r w:rsidR="00281E75">
              <w:t>us</w:t>
            </w:r>
            <w:r w:rsidR="001A6C7B">
              <w:t>,</w:t>
            </w:r>
            <w:r w:rsidR="00281E75">
              <w:t xml:space="preserve"> </w:t>
            </w:r>
            <w:r w:rsidR="001A6C7B">
              <w:t>kas pievienojami</w:t>
            </w:r>
            <w:r w:rsidR="00411909">
              <w:t xml:space="preserve"> pieteikumam</w:t>
            </w:r>
            <w:r w:rsidR="00E40F9C">
              <w:t xml:space="preserve">. </w:t>
            </w:r>
          </w:p>
          <w:p w:rsidR="00E40F9C" w:rsidRPr="00023FE4" w:rsidRDefault="006475FB" w:rsidP="009B5005">
            <w:pPr>
              <w:jc w:val="both"/>
            </w:pPr>
            <w:r w:rsidRPr="00023FE4">
              <w:t>6</w:t>
            </w:r>
            <w:r w:rsidR="001709F0" w:rsidRPr="00023FE4">
              <w:t>) t</w:t>
            </w:r>
            <w:r w:rsidR="00E40F9C" w:rsidRPr="00023FE4">
              <w:t>ā kā  akvakultūras nozarē paredzētās kompensācijas izmaksājamas saskaņā ar Komisijas 2</w:t>
            </w:r>
            <w:r w:rsidR="005C2E5C" w:rsidRPr="00023FE4">
              <w:t>014. gada 27. jūnija Regulas (ES</w:t>
            </w:r>
            <w:r w:rsidR="00E40F9C" w:rsidRPr="00023FE4">
              <w:t xml:space="preserve">) Nr. 717/2014 par Līguma par Eiropas Savienības darbību 107. un 108. panta piemērošanu </w:t>
            </w:r>
            <w:r w:rsidR="00E40F9C" w:rsidRPr="00023FE4">
              <w:rPr>
                <w:i/>
              </w:rPr>
              <w:t>de minimis</w:t>
            </w:r>
            <w:r w:rsidR="00E40F9C" w:rsidRPr="00023FE4">
              <w:t xml:space="preserve"> atbalstam zvejniecības un akvakultūras nozarē  (turpmāk – regula Nr. 717/2014) nosacījumiem, bet lauksaimniecības nozarē   </w:t>
            </w:r>
            <w:r w:rsidR="005C2E5C" w:rsidRPr="00023FE4">
              <w:t xml:space="preserve"> saskaņā ar Komisijas 2013.gada 18.decembra Regulas  (ES) 1408/2013 par Līguma par Eiropa Savienības darbību  107. un 108.panta piemērošanu </w:t>
            </w:r>
            <w:r w:rsidR="005C2E5C" w:rsidRPr="00023FE4">
              <w:rPr>
                <w:i/>
              </w:rPr>
              <w:t>de minimis</w:t>
            </w:r>
            <w:r w:rsidR="005C2E5C" w:rsidRPr="00023FE4">
              <w:t xml:space="preserve"> atbalstam lauksaimniecības nozarē (turpmāk- regula Nr. 1408/2013), noteikumu projekts</w:t>
            </w:r>
            <w:r w:rsidR="00E40F9C" w:rsidRPr="00023FE4">
              <w:t xml:space="preserve"> papildināts ar regulas Nr.717/2014</w:t>
            </w:r>
            <w:r w:rsidR="005C2E5C" w:rsidRPr="00023FE4">
              <w:t xml:space="preserve"> un regulas Nr.1408/2013</w:t>
            </w:r>
            <w:r w:rsidR="00E40F9C" w:rsidRPr="00023FE4">
              <w:t xml:space="preserve"> nosacījumiem</w:t>
            </w:r>
            <w:r w:rsidR="005C2E5C" w:rsidRPr="00023FE4">
              <w:t>.</w:t>
            </w:r>
          </w:p>
          <w:p w:rsidR="005A3B71" w:rsidRPr="00023FE4" w:rsidRDefault="005C2E5C" w:rsidP="009B5005">
            <w:pPr>
              <w:jc w:val="both"/>
            </w:pPr>
            <w:r w:rsidRPr="00023FE4">
              <w:t xml:space="preserve">Noteikumos iekļauta prasība </w:t>
            </w:r>
            <w:r w:rsidR="004C2BFB" w:rsidRPr="00023FE4">
              <w:t xml:space="preserve"> iesniegt pārvaldei iesnieguma formu, kas nepieciešama </w:t>
            </w:r>
            <w:r w:rsidR="004C2BFB" w:rsidRPr="00023FE4">
              <w:rPr>
                <w:i/>
              </w:rPr>
              <w:t>de minimis</w:t>
            </w:r>
            <w:r w:rsidR="004C2BFB" w:rsidRPr="00023FE4">
              <w:t xml:space="preserve"> atbalsta saņemšanai. Ieļauta atsauce uz regulas Nr.717/2014 un regulas Nr.1408/2013 </w:t>
            </w:r>
            <w:r w:rsidR="00411909" w:rsidRPr="00023FE4">
              <w:t xml:space="preserve">noteiktajām </w:t>
            </w:r>
            <w:r w:rsidR="004C2BFB" w:rsidRPr="00023FE4">
              <w:t xml:space="preserve">normām. </w:t>
            </w:r>
          </w:p>
          <w:p w:rsidR="001A6C7B" w:rsidRDefault="006475FB" w:rsidP="009B5005">
            <w:pPr>
              <w:jc w:val="both"/>
            </w:pPr>
            <w:r w:rsidRPr="00023FE4">
              <w:t>7</w:t>
            </w:r>
            <w:r w:rsidR="001A6C7B" w:rsidRPr="00023FE4">
              <w:t xml:space="preserve">) </w:t>
            </w:r>
            <w:r w:rsidR="00281E75" w:rsidRPr="00023FE4">
              <w:t>z</w:t>
            </w:r>
            <w:r w:rsidR="001A6C7B" w:rsidRPr="00023FE4">
              <w:t>audējumu novērtēšanai izveidot komisiju un iespēju nepieciešamības gadījumā</w:t>
            </w:r>
            <w:r w:rsidR="001A6C7B">
              <w:t xml:space="preserve"> p</w:t>
            </w:r>
            <w:r w:rsidR="009F2E9C">
              <w:t>ieaicināt neatkarīgus ekspertus. Ekspertus plānots pieaicināt no tādām institūcijām kā “Latvijas Lauku konsultāciju un izglītības centrs”</w:t>
            </w:r>
            <w:r w:rsidR="00127155">
              <w:t xml:space="preserve"> </w:t>
            </w:r>
            <w:r w:rsidR="009F2E9C">
              <w:t>(augkopība</w:t>
            </w:r>
            <w:r w:rsidR="004979AB">
              <w:t>, lopkopība</w:t>
            </w:r>
            <w:r w:rsidR="009F2E9C">
              <w:t>), institūta “Silava”</w:t>
            </w:r>
            <w:r w:rsidR="00127155">
              <w:t xml:space="preserve"> </w:t>
            </w:r>
            <w:r w:rsidR="009F2E9C">
              <w:t>(plēsēji), institūta “BIOR” (zivis), sugu un biotopu jom</w:t>
            </w:r>
            <w:r w:rsidR="00127155">
              <w:t xml:space="preserve">as eksperti (putni, zīdītāji), </w:t>
            </w:r>
            <w:r w:rsidR="009F2E9C">
              <w:t>biškopības nozares eksperti (</w:t>
            </w:r>
            <w:r w:rsidR="004979AB">
              <w:t xml:space="preserve">bites).  Lai </w:t>
            </w:r>
            <w:r w:rsidR="004979AB" w:rsidRPr="004979AB">
              <w:t xml:space="preserve"> konstatētu postījumus nodarījušo dzīvnieku sugu, var nepietikt ar valsts institūciju un pašvaldības kompetenci, un var būt nepieciešamība pieaicināt ekspertu, kuram ir jāsedz izdevumi, kas saistīti ar viņa darbu un izbraukumu uz īpašumu. Eksperta pieaicināšana, arī gadījumos, kad to  pieaicinās komisija, i</w:t>
            </w:r>
            <w:r>
              <w:t>r iesniedzēja interesēs,</w:t>
            </w:r>
            <w:r w:rsidR="004979AB" w:rsidRPr="004979AB">
              <w:t xml:space="preserve"> lai atbilstoši un pamatoti tiktu noteikts kompensācijas apmērs. Šāda prasība pēc iespējas samazinās nepamatotu iesniegumu iesniegšanas gadījumus, jo, ja nodarītie zaudējumi ir būtiski, izdevumu apmaksa par eksperta darbu ir samērīga attiecībā pret iegūtās kompensācijas apmēru, kas ir daudzkārt lielāka. Identiska prasība iesniedzējam segt eksperta izdevumus ir noteikta Ministru kabineta 2014.gada 26.maija noteikumu Nr.269 “Noteikumi par medījamo dzīvnieku nodarīto zaudējumu noteikšanu un medību koordinācijas komisijām” 6.punktā.</w:t>
            </w:r>
          </w:p>
          <w:p w:rsidR="00670E8E" w:rsidRDefault="006475FB" w:rsidP="009B5005">
            <w:pPr>
              <w:jc w:val="both"/>
            </w:pPr>
            <w:r>
              <w:t>8</w:t>
            </w:r>
            <w:r w:rsidR="001A6C7B">
              <w:t>)</w:t>
            </w:r>
            <w:r w:rsidR="00307004">
              <w:t xml:space="preserve"> </w:t>
            </w:r>
            <w:r w:rsidR="00281E75">
              <w:t>a</w:t>
            </w:r>
            <w:r w:rsidR="001A6C7B">
              <w:t>ugkopībā nodarīto zaudējumu novērtēšanai un apmēra aprēķināšanai izmantot formulu, kurā aprēķinos tiek izmantots attiecīgās kultūras bruto seguma izmaksas par iepriekšējo gadu</w:t>
            </w:r>
            <w:r w:rsidR="00C92439">
              <w:t>, saistībā ar platību, kurā postījumi nodarīti.</w:t>
            </w:r>
            <w:r w:rsidR="001C5E8A">
              <w:t xml:space="preserve"> Šāda pie</w:t>
            </w:r>
            <w:r w:rsidR="00050F54">
              <w:t>e</w:t>
            </w:r>
            <w:r w:rsidR="001C5E8A">
              <w:t xml:space="preserve">ja jau izmantota citos ministru kabineta noteikumos, nosakot medījamo dzīvnieku nodarīto zaudējumu apmēru augkopībā. </w:t>
            </w:r>
            <w:r w:rsidR="00C92439">
              <w:t xml:space="preserve"> </w:t>
            </w:r>
            <w:r>
              <w:t xml:space="preserve">Tādējādi </w:t>
            </w:r>
            <w:r w:rsidR="00742888">
              <w:t xml:space="preserve"> </w:t>
            </w:r>
            <w:r>
              <w:t xml:space="preserve">plānots </w:t>
            </w:r>
            <w:r w:rsidR="00742888">
              <w:t>b</w:t>
            </w:r>
            <w:r w:rsidR="00C92439">
              <w:t>ūtiski atvieglot postījumu vietas apsekošanai nepieciešam</w:t>
            </w:r>
            <w:r w:rsidR="00742888">
              <w:t>o</w:t>
            </w:r>
            <w:r w:rsidR="00C92439">
              <w:t xml:space="preserve"> darba apjom</w:t>
            </w:r>
            <w:r w:rsidR="00742888">
              <w:t>u</w:t>
            </w:r>
            <w:r w:rsidR="00C92439">
              <w:t xml:space="preserve">, salīdzinājumā ar noteikumos Nr.778 </w:t>
            </w:r>
            <w:r w:rsidR="00742888">
              <w:t xml:space="preserve">noteikto un praksē līdz šim </w:t>
            </w:r>
            <w:r w:rsidR="009A2D7E">
              <w:t xml:space="preserve">pielietoto metodiku, </w:t>
            </w:r>
            <w:r w:rsidR="00670E8E">
              <w:t>vienlaikus tiek paredzēta iespēja pieteikt kompensāciju divas reizes gadā.</w:t>
            </w:r>
          </w:p>
          <w:p w:rsidR="00C92439" w:rsidRDefault="00670E8E" w:rsidP="009B5005">
            <w:pPr>
              <w:jc w:val="both"/>
            </w:pPr>
            <w:r>
              <w:t>9</w:t>
            </w:r>
            <w:r w:rsidR="009F2E9C">
              <w:t>)</w:t>
            </w:r>
            <w:r w:rsidR="00C92439">
              <w:t xml:space="preserve"> </w:t>
            </w:r>
            <w:r w:rsidR="00307004">
              <w:t>a</w:t>
            </w:r>
            <w:r w:rsidR="00C92439">
              <w:t>kvakultūrai nodarītos zaudējumus no</w:t>
            </w:r>
            <w:r w:rsidR="00470136">
              <w:t>teiks</w:t>
            </w:r>
            <w:r w:rsidR="00C92439">
              <w:t xml:space="preserve"> pēc </w:t>
            </w:r>
            <w:r w:rsidR="00470136">
              <w:t xml:space="preserve">piecu </w:t>
            </w:r>
            <w:r w:rsidR="00C92439">
              <w:t>būtiskāko zivjēdāju putnu (gārņi, jūras krauklis, ķīri, zivju ērglis</w:t>
            </w:r>
            <w:r w:rsidR="00470136">
              <w:t xml:space="preserve">, jūras ērglis) un ūdra </w:t>
            </w:r>
            <w:r w:rsidR="00C92439">
              <w:t>klātbūtnes</w:t>
            </w:r>
            <w:r w:rsidR="00470136">
              <w:t xml:space="preserve">, ņemot vērā dīķu platību, kurā šīs sugas sastopamas un nodara postījumus. Tiek izmantota objektīvāka aprēķinu formula. Tiek samazināts slogs iesnieguma iesniedzējam, jo nav nepieciešams uzskaitīt putnus un dienas, kuras tie pavada akvakultūras uzņēmumā. </w:t>
            </w:r>
            <w:r w:rsidR="00C92439">
              <w:t xml:space="preserve"> </w:t>
            </w:r>
          </w:p>
          <w:p w:rsidR="00C92439" w:rsidRDefault="00670E8E" w:rsidP="009B5005">
            <w:pPr>
              <w:jc w:val="both"/>
            </w:pPr>
            <w:r>
              <w:t>10</w:t>
            </w:r>
            <w:r w:rsidR="008D10AA">
              <w:t>)</w:t>
            </w:r>
            <w:r w:rsidR="00307004">
              <w:t xml:space="preserve"> z</w:t>
            </w:r>
            <w:r w:rsidR="00C92439">
              <w:t>audējumu apmēru lopkopībai un biškopībai no</w:t>
            </w:r>
            <w:r w:rsidR="00307004">
              <w:t>teikt</w:t>
            </w:r>
            <w:r w:rsidR="00C92439">
              <w:t xml:space="preserve"> pēc attiecīgā lauksaimniecības dzīvnieka vai bišu saimes bojā ejas vai nepieciešamības to likvidēt, izmantojot bruto seguma izmaksas </w:t>
            </w:r>
            <w:r w:rsidR="008D10AA">
              <w:t>par iepriekšējo gadu;</w:t>
            </w:r>
          </w:p>
          <w:p w:rsidR="008D10AA" w:rsidRDefault="00670E8E" w:rsidP="009B5005">
            <w:pPr>
              <w:jc w:val="both"/>
            </w:pPr>
            <w:r>
              <w:t>11</w:t>
            </w:r>
            <w:r w:rsidR="008D10AA">
              <w:t xml:space="preserve">) </w:t>
            </w:r>
            <w:r w:rsidR="00307004">
              <w:t xml:space="preserve">noteikt </w:t>
            </w:r>
            <w:r w:rsidR="008D10AA">
              <w:t>lēmuma pieņemšanas kārtīb</w:t>
            </w:r>
            <w:r w:rsidR="00307004">
              <w:t>u</w:t>
            </w:r>
            <w:r w:rsidR="008D10AA">
              <w:t xml:space="preserve"> par kompensācijas pie</w:t>
            </w:r>
            <w:r w:rsidR="00F52F1D">
              <w:t>š</w:t>
            </w:r>
            <w:r w:rsidR="008D10AA">
              <w:t>ķiršanu</w:t>
            </w:r>
            <w:r w:rsidR="009F2E9C">
              <w:t xml:space="preserve">, ņemot vērā </w:t>
            </w:r>
            <w:r w:rsidR="008D10AA">
              <w:t xml:space="preserve"> </w:t>
            </w:r>
            <w:r w:rsidR="009F2E9C">
              <w:t xml:space="preserve"> </w:t>
            </w:r>
            <w:r w:rsidR="009F2E9C" w:rsidRPr="009F2E9C">
              <w:t>regulas Nr.717/2014 un r</w:t>
            </w:r>
            <w:r w:rsidR="009F2E9C">
              <w:t>egulas Nr.1408/2013 nosacījumus</w:t>
            </w:r>
            <w:r w:rsidR="009F2E9C" w:rsidRPr="009F2E9C">
              <w:t xml:space="preserve"> </w:t>
            </w:r>
            <w:r w:rsidR="00F52F1D">
              <w:t>vai atteikumu piešķirt kompensāciju, lēmuma apstrīdēšanas kārtīb</w:t>
            </w:r>
            <w:r w:rsidR="00307004">
              <w:t>u</w:t>
            </w:r>
            <w:r w:rsidR="00F52F1D">
              <w:t>.</w:t>
            </w:r>
          </w:p>
          <w:p w:rsidR="00CA3E6A" w:rsidRDefault="00670E8E" w:rsidP="00E93AE0">
            <w:pPr>
              <w:jc w:val="both"/>
            </w:pPr>
            <w:r>
              <w:t>12</w:t>
            </w:r>
            <w:r w:rsidR="00D72B79">
              <w:t xml:space="preserve">) </w:t>
            </w:r>
            <w:r w:rsidR="007C45E8">
              <w:t xml:space="preserve">vienai iestādei – Dabas aizsardzības pārvaldei veikt </w:t>
            </w:r>
            <w:r w:rsidR="00307004">
              <w:t>k</w:t>
            </w:r>
            <w:r w:rsidR="00D72B79">
              <w:t>ompensāciju administrēšanu</w:t>
            </w:r>
            <w:r w:rsidR="007C45E8">
              <w:t xml:space="preserve">, </w:t>
            </w:r>
            <w:r w:rsidR="0042046E">
              <w:t>pārņemot no</w:t>
            </w:r>
            <w:r w:rsidR="00D35C30" w:rsidRPr="00D35C30">
              <w:t xml:space="preserve"> </w:t>
            </w:r>
            <w:r w:rsidR="00D35C30">
              <w:t xml:space="preserve">Valsts vides dienesta </w:t>
            </w:r>
            <w:r w:rsidR="00D35C30" w:rsidRPr="00D35C30">
              <w:t>īpaši aizsargājamo nemedījamo sugu un migrējošo sugu dzīvnieku nodarī</w:t>
            </w:r>
            <w:r w:rsidR="00D35C30">
              <w:t>to</w:t>
            </w:r>
            <w:r w:rsidR="00D35C30" w:rsidRPr="00D35C30">
              <w:t xml:space="preserve"> postījum</w:t>
            </w:r>
            <w:r w:rsidR="00D35C30">
              <w:t>u</w:t>
            </w:r>
            <w:r w:rsidR="00D35C30" w:rsidRPr="00D35C30">
              <w:t xml:space="preserve"> </w:t>
            </w:r>
            <w:r w:rsidR="00D35C30">
              <w:t xml:space="preserve">novērtēšanu un zaudējumu </w:t>
            </w:r>
            <w:r w:rsidR="00D35C30" w:rsidRPr="00D35C30">
              <w:t>apmēra noteikšan</w:t>
            </w:r>
            <w:r w:rsidR="007C45E8">
              <w:t>as funkciju</w:t>
            </w:r>
            <w:r w:rsidR="00D35C30">
              <w:t xml:space="preserve"> un no </w:t>
            </w:r>
            <w:r w:rsidR="00D35C30" w:rsidRPr="00D35C30">
              <w:t>Latvijas vides aizsardzības fond</w:t>
            </w:r>
            <w:r w:rsidR="007C45E8">
              <w:t xml:space="preserve">a  </w:t>
            </w:r>
            <w:r w:rsidR="00D35C30" w:rsidRPr="00D35C30">
              <w:t xml:space="preserve"> </w:t>
            </w:r>
            <w:r w:rsidR="009C7189">
              <w:t>administrācijas</w:t>
            </w:r>
            <w:r w:rsidR="007C45E8">
              <w:t xml:space="preserve"> - </w:t>
            </w:r>
            <w:r w:rsidR="009C7189">
              <w:t xml:space="preserve"> </w:t>
            </w:r>
            <w:r w:rsidR="00D35C30" w:rsidRPr="00D35C30">
              <w:t>pārņem</w:t>
            </w:r>
            <w:r w:rsidR="007C45E8">
              <w:t>t</w:t>
            </w:r>
            <w:r w:rsidR="00D35C30" w:rsidRPr="00D35C30">
              <w:t xml:space="preserve"> </w:t>
            </w:r>
            <w:r w:rsidR="00D35C30">
              <w:t xml:space="preserve">lēmumu pieņemšanu un šo </w:t>
            </w:r>
            <w:r w:rsidR="00D35C30" w:rsidRPr="00D35C30">
              <w:t xml:space="preserve">kompensāciju </w:t>
            </w:r>
            <w:r w:rsidR="00D35C30">
              <w:t>izmaksu</w:t>
            </w:r>
            <w:r w:rsidR="007A5553">
              <w:t>.</w:t>
            </w:r>
          </w:p>
          <w:p w:rsidR="00120DF6" w:rsidRDefault="00670E8E" w:rsidP="00E93AE0">
            <w:pPr>
              <w:jc w:val="both"/>
            </w:pPr>
            <w:r>
              <w:t>13</w:t>
            </w:r>
            <w:r w:rsidR="00CA3E6A">
              <w:t>)</w:t>
            </w:r>
            <w:r w:rsidR="007C45E8">
              <w:t xml:space="preserve"> </w:t>
            </w:r>
            <w:r w:rsidR="00E93AE0">
              <w:t>novērst neefektīvas, darbietilpīgas un grūti pārbaudāmas zaudējumu novērtēšanas metodikas izmantošan</w:t>
            </w:r>
            <w:r w:rsidR="007C45E8">
              <w:t>u</w:t>
            </w:r>
            <w:r w:rsidR="00E93AE0">
              <w:t xml:space="preserve">, kas tika pielietotas augkopībai un akvakultūrai </w:t>
            </w:r>
            <w:r w:rsidR="007C45E8">
              <w:t xml:space="preserve">atbilstoši </w:t>
            </w:r>
            <w:r w:rsidR="00E93AE0">
              <w:t>noteikum</w:t>
            </w:r>
            <w:r w:rsidR="007C45E8">
              <w:t>iem</w:t>
            </w:r>
            <w:r w:rsidR="00E93AE0">
              <w:t xml:space="preserve"> Nr.778</w:t>
            </w:r>
            <w:r w:rsidR="00470136">
              <w:t>.</w:t>
            </w:r>
          </w:p>
          <w:p w:rsidR="00694F59" w:rsidRPr="00FA5834" w:rsidRDefault="00694F59" w:rsidP="00E93AE0">
            <w:pPr>
              <w:jc w:val="both"/>
            </w:pPr>
            <w:r>
              <w:t xml:space="preserve">Lai nodrošinātu pieteikumu kompensācijas saņemšanai, kas tikuši iesniegti līdz šo noteikumu spēkā stāšanās dienai izskatīšanu, ievērojot Administratīvā procesa likuma 15.panta 12.daļu, noteikumu projektā ir ietverts noslēguma jautājums, paredzot, ka šo iesniegumu izskatīšanai tiek piemērotas Noteikumu Nr.778 normas, ciktāl tās nav pretrunā ar Sugu un biotopu aizsardzības likumu.  </w:t>
            </w:r>
          </w:p>
        </w:tc>
      </w:tr>
      <w:tr w:rsidR="00647E32" w:rsidRPr="00FA5834" w:rsidTr="00BD0B63">
        <w:trPr>
          <w:trHeight w:val="476"/>
        </w:trPr>
        <w:tc>
          <w:tcPr>
            <w:tcW w:w="550" w:type="dxa"/>
          </w:tcPr>
          <w:p w:rsidR="00647E32" w:rsidRPr="00FA5834" w:rsidRDefault="006C08A8" w:rsidP="00865B60">
            <w:pPr>
              <w:pStyle w:val="naiskr"/>
              <w:spacing w:before="0" w:after="0"/>
              <w:ind w:right="71"/>
            </w:pPr>
            <w:r>
              <w:t>3</w:t>
            </w:r>
            <w:r w:rsidR="00647E32" w:rsidRPr="00FA5834">
              <w:t>.</w:t>
            </w:r>
          </w:p>
        </w:tc>
        <w:tc>
          <w:tcPr>
            <w:tcW w:w="2155" w:type="dxa"/>
          </w:tcPr>
          <w:p w:rsidR="00647E32" w:rsidRPr="00FA5834" w:rsidRDefault="00647E32" w:rsidP="00865B60">
            <w:pPr>
              <w:pStyle w:val="naiskr"/>
              <w:spacing w:before="0" w:after="0"/>
              <w:ind w:right="71"/>
            </w:pPr>
            <w:r w:rsidRPr="00FA5834">
              <w:t>Projekta izstrādē iesaistītās institūcijas</w:t>
            </w:r>
          </w:p>
        </w:tc>
        <w:tc>
          <w:tcPr>
            <w:tcW w:w="6300" w:type="dxa"/>
          </w:tcPr>
          <w:p w:rsidR="00647E32" w:rsidRPr="00FA5834" w:rsidRDefault="00647E32" w:rsidP="00865B60">
            <w:pPr>
              <w:pStyle w:val="naiskr"/>
              <w:spacing w:before="0" w:after="0"/>
              <w:ind w:right="71"/>
            </w:pPr>
            <w:r w:rsidRPr="00FA5834">
              <w:t>Vides aizsardzības un reģionālās attīstības ministrija</w:t>
            </w:r>
          </w:p>
          <w:p w:rsidR="00647E32" w:rsidRPr="00FA5834" w:rsidRDefault="006C08A8" w:rsidP="00865B60">
            <w:pPr>
              <w:pStyle w:val="naiskr"/>
              <w:spacing w:before="0" w:after="0"/>
              <w:ind w:right="71"/>
            </w:pPr>
            <w:r>
              <w:t>Dabas aizsardzības pārvalde</w:t>
            </w:r>
          </w:p>
        </w:tc>
      </w:tr>
      <w:tr w:rsidR="00647E32" w:rsidRPr="00FA5834" w:rsidTr="00BD0B63">
        <w:trPr>
          <w:trHeight w:val="437"/>
        </w:trPr>
        <w:tc>
          <w:tcPr>
            <w:tcW w:w="550" w:type="dxa"/>
          </w:tcPr>
          <w:p w:rsidR="00647E32" w:rsidRPr="00FA5834" w:rsidRDefault="00C206A9" w:rsidP="00865B60">
            <w:pPr>
              <w:pStyle w:val="naiskr"/>
              <w:spacing w:before="0" w:after="0"/>
              <w:ind w:right="71"/>
            </w:pPr>
            <w:r>
              <w:t>4</w:t>
            </w:r>
            <w:r w:rsidR="00647E32" w:rsidRPr="00FA5834">
              <w:t>.</w:t>
            </w:r>
          </w:p>
        </w:tc>
        <w:tc>
          <w:tcPr>
            <w:tcW w:w="2155" w:type="dxa"/>
          </w:tcPr>
          <w:p w:rsidR="00647E32" w:rsidRPr="00FA5834" w:rsidRDefault="00647E32" w:rsidP="00865B60">
            <w:pPr>
              <w:pStyle w:val="naiskr"/>
              <w:spacing w:before="0" w:after="0"/>
              <w:ind w:right="71"/>
            </w:pPr>
            <w:r w:rsidRPr="00FA5834">
              <w:t>Cita informācija</w:t>
            </w:r>
          </w:p>
        </w:tc>
        <w:tc>
          <w:tcPr>
            <w:tcW w:w="6300" w:type="dxa"/>
          </w:tcPr>
          <w:p w:rsidR="00647E32" w:rsidRDefault="001709F0" w:rsidP="00C57F66">
            <w:pPr>
              <w:pStyle w:val="naiskr"/>
              <w:spacing w:before="0" w:after="0"/>
              <w:ind w:right="71"/>
              <w:jc w:val="both"/>
            </w:pPr>
            <w:r>
              <w:t xml:space="preserve">Ekspertu iesaistīšana </w:t>
            </w:r>
            <w:r w:rsidR="003A1C91">
              <w:t xml:space="preserve">sarežģītos vai strīdīgos kompensācijas pieprasījuma gadījumos ļaus izvairīties no kļūmēm, kas varētu rasties gadījumos, kuros grūti noteikt postījumus nodarījušo sugu. Piemēram, postījumu gadījumā lopkopībā var rasties situācijas, kurās ļoti svarīgi noteikt sugu (vilks, lūsis, lācis, suns utt.), jo uz medījamajām sugām-vilks un lūsis attiecināmi   </w:t>
            </w:r>
            <w:r w:rsidR="003A1C91" w:rsidRPr="003A1C91">
              <w:t>Ministru kabineta 2014.gada 26.maija noteikumu Nr.269 “Noteikumi par medījamo dzīvnieku nodarīto zaudējumu noteikšanu un medību koordinācijas komisijām”</w:t>
            </w:r>
            <w:r w:rsidR="003A1C91">
              <w:t>. Tāpat augkopībā iespējami postījumi, ko nodara medījamās dzīvnieku sugas.</w:t>
            </w:r>
            <w:r w:rsidR="00C57F66">
              <w:t xml:space="preserve"> Eksperta specifiskās zināšanas papildus komisijas locekļu profesionālajām zināšanām ļaus identificēt iespējamos gadījumus, kuros var tikt mēģināts ļaunprātīgi veicināt rašanos  (piemēram, pievilināt putnus ar zemas dīgtspējas vai mazvērtīgiem graudiem,</w:t>
            </w:r>
            <w:r w:rsidR="00127155">
              <w:t xml:space="preserve"> </w:t>
            </w:r>
            <w:r w:rsidR="00C57F66">
              <w:t>(barību) postījumu nodarīšanai tuvākajā apkārtnē) vai mākslīgi radot pazīmes par kādas sugas klātbūtni (piemēram, novietojot ūdra ekskrementus un barības atliekas kā liecības ūdra klātbūtnei</w:t>
            </w:r>
            <w:r w:rsidR="002E070C">
              <w:t>)</w:t>
            </w:r>
          </w:p>
          <w:p w:rsidR="00045B90" w:rsidRPr="00FA5834" w:rsidRDefault="00045B90" w:rsidP="00045B90">
            <w:pPr>
              <w:pStyle w:val="naiskr"/>
              <w:spacing w:before="0" w:after="0"/>
              <w:ind w:right="71"/>
              <w:jc w:val="both"/>
            </w:pPr>
            <w:r w:rsidRPr="00045B90">
              <w:t>Dabas aizsardzības pārvaldei, kuras amatpersona pieņems lēmumu par kompensācijas piešķiršanu vai atteikumu, nav elektroniski pieejama grafiskā informācija par zemes vienību, ko satur zemes robežu plāns. Dabas aizsardzības pārvaldei tiek nodrošināta elektroniska pieeja tikai tekstuālai kadastra informācijai, no kuras var redzēt konkrētā zemesgabala zemes lietojuma veidu sadalījumu un platības, bet</w:t>
            </w:r>
            <w:r>
              <w:t xml:space="preserve"> </w:t>
            </w:r>
            <w:r w:rsidRPr="00045B90">
              <w:t>ir nepieciešama grafiskā informācija par zemes vienības novietojumu un zemes lietošanas veidu sadalījumu zemes vienībā. Katra zemes īpašnieka rīcībā ir zemes robežu plāns, un zemes robežu plāna kopijas iesniegšana neuzliek zemes īpašniekam ne</w:t>
            </w:r>
            <w:r>
              <w:t>samērīgu slogu. Zemes īpašnieka vai</w:t>
            </w:r>
            <w:r w:rsidRPr="00045B90">
              <w:t xml:space="preserve"> </w:t>
            </w:r>
            <w:r>
              <w:t xml:space="preserve">lietotāja interesēs ir </w:t>
            </w:r>
            <w:r w:rsidRPr="00045B90">
              <w:t xml:space="preserve">lai Dabas aizsardzības pārvalde pēc iespējas ātrāk var organizēt </w:t>
            </w:r>
            <w:r>
              <w:t>pārbaudi dabā un pieņemt lēmumu.</w:t>
            </w:r>
            <w:r w:rsidRPr="00045B90">
              <w:t xml:space="preserve"> Lauku atbalsta dienesta rīcībā esošā informācija par lauku blokiem var kalpot kā papildu informācija, bet nevar tikt uzskatīta par pamatojuma dokumentu.</w:t>
            </w:r>
          </w:p>
        </w:tc>
      </w:tr>
    </w:tbl>
    <w:p w:rsidR="00DC389A" w:rsidRPr="00FA5834" w:rsidRDefault="00DC389A" w:rsidP="00865B60">
      <w:pPr>
        <w:pStyle w:val="naisf"/>
        <w:spacing w:before="0" w:after="0"/>
        <w:ind w:right="71"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1"/>
        <w:gridCol w:w="2502"/>
        <w:gridCol w:w="6129"/>
      </w:tblGrid>
      <w:tr w:rsidR="00DC389A" w:rsidRPr="00FA5834" w:rsidTr="009A2C5E">
        <w:tc>
          <w:tcPr>
            <w:tcW w:w="9072" w:type="dxa"/>
            <w:gridSpan w:val="3"/>
            <w:vAlign w:val="center"/>
          </w:tcPr>
          <w:p w:rsidR="00DC389A" w:rsidRPr="00FA5834" w:rsidRDefault="00DC389A" w:rsidP="00865B60">
            <w:pPr>
              <w:pStyle w:val="naisnod"/>
              <w:spacing w:before="0" w:after="0"/>
              <w:ind w:right="71"/>
            </w:pPr>
            <w:r w:rsidRPr="00FA5834">
              <w:t>II. Tiesību akta projekta ietekme uz sabiedrību</w:t>
            </w:r>
          </w:p>
        </w:tc>
      </w:tr>
      <w:tr w:rsidR="00DC389A" w:rsidRPr="00FA5834" w:rsidTr="009A2C5E">
        <w:trPr>
          <w:trHeight w:val="467"/>
        </w:trPr>
        <w:tc>
          <w:tcPr>
            <w:tcW w:w="441" w:type="dxa"/>
          </w:tcPr>
          <w:p w:rsidR="00DC389A" w:rsidRPr="00FA5834" w:rsidRDefault="00DC389A" w:rsidP="00865B60">
            <w:pPr>
              <w:pStyle w:val="naiskr"/>
              <w:spacing w:before="0" w:after="0"/>
              <w:ind w:right="71"/>
            </w:pPr>
            <w:r w:rsidRPr="00FA5834">
              <w:t>1.</w:t>
            </w:r>
          </w:p>
        </w:tc>
        <w:tc>
          <w:tcPr>
            <w:tcW w:w="2502" w:type="dxa"/>
          </w:tcPr>
          <w:p w:rsidR="00DC389A" w:rsidRPr="00FA5834" w:rsidRDefault="001760B2" w:rsidP="00865B60">
            <w:pPr>
              <w:pStyle w:val="naiskr"/>
              <w:spacing w:before="0" w:after="0"/>
              <w:ind w:right="71"/>
            </w:pPr>
            <w:r>
              <w:t>Sabiedrības mērķgrupas, kuras tiesiskais regulējums ietekmē vai varētu ietekmēt</w:t>
            </w:r>
          </w:p>
        </w:tc>
        <w:tc>
          <w:tcPr>
            <w:tcW w:w="6129" w:type="dxa"/>
          </w:tcPr>
          <w:p w:rsidR="00DC389A" w:rsidRPr="00FA5834" w:rsidRDefault="007C45E8" w:rsidP="00C50631">
            <w:pPr>
              <w:pStyle w:val="Default"/>
              <w:ind w:right="74"/>
              <w:jc w:val="both"/>
            </w:pPr>
            <w:r>
              <w:rPr>
                <w:iCs/>
              </w:rPr>
              <w:t>Noteikumu projekts</w:t>
            </w:r>
            <w:r w:rsidR="00DC389A" w:rsidRPr="00FA5834">
              <w:rPr>
                <w:iCs/>
              </w:rPr>
              <w:t xml:space="preserve"> tiešā veidā </w:t>
            </w:r>
            <w:r w:rsidR="00927A73">
              <w:rPr>
                <w:iCs/>
              </w:rPr>
              <w:t>skar tos zemes īpašniekus</w:t>
            </w:r>
            <w:r w:rsidR="0042046E">
              <w:rPr>
                <w:iCs/>
              </w:rPr>
              <w:t xml:space="preserve"> vai lietotājus</w:t>
            </w:r>
            <w:r w:rsidR="00927A73">
              <w:rPr>
                <w:iCs/>
              </w:rPr>
              <w:t>, kuru</w:t>
            </w:r>
            <w:r w:rsidR="00641BBD" w:rsidRPr="00FA5834">
              <w:rPr>
                <w:iCs/>
              </w:rPr>
              <w:t xml:space="preserve"> darbība </w:t>
            </w:r>
            <w:r w:rsidR="00DE4A2F">
              <w:t>(</w:t>
            </w:r>
            <w:r w:rsidR="00641BBD" w:rsidRPr="00FA5834">
              <w:t>augkopība, akvaku</w:t>
            </w:r>
            <w:r w:rsidR="00927A73">
              <w:t>ltūra, lopkopība vai biškopība)</w:t>
            </w:r>
            <w:r w:rsidR="00641BBD" w:rsidRPr="00FA5834">
              <w:rPr>
                <w:iCs/>
              </w:rPr>
              <w:t xml:space="preserve"> var tikt ietekmēta no </w:t>
            </w:r>
            <w:r w:rsidR="00641BBD" w:rsidRPr="00FA5834">
              <w:t xml:space="preserve">īpaši aizsargājamo nemedījamo sugu un migrējošo sugu dzīvnieku būtiskiem postījumiem. </w:t>
            </w:r>
          </w:p>
        </w:tc>
      </w:tr>
      <w:tr w:rsidR="00DC389A" w:rsidRPr="00FA5834" w:rsidTr="009A2C5E">
        <w:trPr>
          <w:trHeight w:val="517"/>
        </w:trPr>
        <w:tc>
          <w:tcPr>
            <w:tcW w:w="441" w:type="dxa"/>
          </w:tcPr>
          <w:p w:rsidR="00DC389A" w:rsidRPr="00FA5834" w:rsidRDefault="00DE4A2F" w:rsidP="00865B60">
            <w:pPr>
              <w:pStyle w:val="naislab"/>
              <w:spacing w:before="0" w:after="0"/>
              <w:ind w:right="71"/>
            </w:pPr>
            <w:r>
              <w:t>2</w:t>
            </w:r>
            <w:r w:rsidR="00DC389A" w:rsidRPr="00FA5834">
              <w:t>.</w:t>
            </w:r>
          </w:p>
        </w:tc>
        <w:tc>
          <w:tcPr>
            <w:tcW w:w="2502" w:type="dxa"/>
          </w:tcPr>
          <w:p w:rsidR="00DC389A" w:rsidRPr="00FA5834" w:rsidRDefault="001760B2" w:rsidP="00865B60">
            <w:pPr>
              <w:pStyle w:val="naislab"/>
              <w:spacing w:before="0" w:after="0"/>
              <w:ind w:right="71"/>
              <w:jc w:val="left"/>
            </w:pPr>
            <w:r>
              <w:t>Tiesiskā regulējuma ietekme uz tautsaimniecību un administratīvo slogu</w:t>
            </w:r>
          </w:p>
        </w:tc>
        <w:tc>
          <w:tcPr>
            <w:tcW w:w="6129" w:type="dxa"/>
          </w:tcPr>
          <w:p w:rsidR="00DC389A" w:rsidRDefault="00F52F1D" w:rsidP="000555FE">
            <w:pPr>
              <w:ind w:right="71"/>
              <w:jc w:val="both"/>
            </w:pPr>
            <w:r>
              <w:t>Kompensāciju izmaksa par īpaši aizsargājamo nemedījamo un migrējošo sugu dzīvnieku nodarītajiem postījumiem pozitīvi ietekmēs tautsaimniecību. Preventīvu aizsardzības pasākumu veikšana var būtiski mazināt vai vispār nov</w:t>
            </w:r>
            <w:r w:rsidR="00AC6696">
              <w:t xml:space="preserve">ērst </w:t>
            </w:r>
            <w:r w:rsidR="002776D3">
              <w:t xml:space="preserve">potenciālos </w:t>
            </w:r>
            <w:r w:rsidR="00AC6696">
              <w:t xml:space="preserve">zaudējumus. </w:t>
            </w:r>
          </w:p>
          <w:p w:rsidR="00013ECC" w:rsidRPr="00FA5834" w:rsidRDefault="00013ECC" w:rsidP="00B72BFB">
            <w:pPr>
              <w:ind w:right="71"/>
              <w:jc w:val="both"/>
            </w:pPr>
            <w:r>
              <w:t xml:space="preserve">Dabas aizsardzības pārvaldei kompensāciju par īpaši aizsargājamo nemedījamo un migrējošo sugu dzīvnieku nodarītajiem postījumiem </w:t>
            </w:r>
            <w:r w:rsidR="008A3E29">
              <w:t>administr</w:t>
            </w:r>
            <w:r w:rsidR="00345AC1">
              <w:t>ēšana</w:t>
            </w:r>
            <w:r w:rsidR="008A3E29">
              <w:t xml:space="preserve"> </w:t>
            </w:r>
            <w:r w:rsidR="00345AC1">
              <w:t xml:space="preserve">radīs papildu </w:t>
            </w:r>
            <w:r>
              <w:t>administratīv</w:t>
            </w:r>
            <w:r w:rsidR="00345AC1">
              <w:t>o</w:t>
            </w:r>
            <w:r>
              <w:t xml:space="preserve"> slog</w:t>
            </w:r>
            <w:r w:rsidR="00345AC1">
              <w:t>u</w:t>
            </w:r>
            <w:r w:rsidR="00C86D71">
              <w:t xml:space="preserve"> un papildu administratīvās izmaksas</w:t>
            </w:r>
            <w:r>
              <w:t>, savukārt Valsts vides dienesta</w:t>
            </w:r>
            <w:r w:rsidR="00A6231E">
              <w:t>m</w:t>
            </w:r>
            <w:r>
              <w:t xml:space="preserve"> un Latvijas </w:t>
            </w:r>
            <w:r w:rsidR="00915820">
              <w:t>v</w:t>
            </w:r>
            <w:r>
              <w:t xml:space="preserve">ides </w:t>
            </w:r>
            <w:r w:rsidR="00DB3BF2">
              <w:t xml:space="preserve">aizsardzības </w:t>
            </w:r>
            <w:r>
              <w:t>fonda administr</w:t>
            </w:r>
            <w:r w:rsidR="00A6231E">
              <w:t>ācijai</w:t>
            </w:r>
            <w:r w:rsidR="001F7351">
              <w:t xml:space="preserve">, kuras atbilstoši noteikumiem Nr.778 </w:t>
            </w:r>
            <w:r w:rsidR="00B72BFB">
              <w:t xml:space="preserve">līdz šim </w:t>
            </w:r>
            <w:r w:rsidR="001F7351">
              <w:t xml:space="preserve">administrēja </w:t>
            </w:r>
            <w:r w:rsidR="00B72BFB">
              <w:t xml:space="preserve">šo </w:t>
            </w:r>
            <w:r w:rsidR="001F7351">
              <w:t>kompensāciju izmaksu</w:t>
            </w:r>
            <w:r w:rsidR="00B72BFB">
              <w:t>,</w:t>
            </w:r>
            <w:r w:rsidR="001F7351">
              <w:t xml:space="preserve"> </w:t>
            </w:r>
            <w:r>
              <w:t>administratīvais slogs samazin</w:t>
            </w:r>
            <w:r w:rsidR="00C86D71">
              <w:t>āsies.</w:t>
            </w:r>
          </w:p>
        </w:tc>
      </w:tr>
      <w:tr w:rsidR="00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idRPr="00FA5834">
              <w:t>.</w:t>
            </w:r>
          </w:p>
        </w:tc>
        <w:tc>
          <w:tcPr>
            <w:tcW w:w="2502" w:type="dxa"/>
          </w:tcPr>
          <w:p w:rsidR="00DC389A" w:rsidRPr="00FA5834" w:rsidRDefault="00DC389A" w:rsidP="00865B60">
            <w:pPr>
              <w:pStyle w:val="naiskr"/>
              <w:spacing w:before="0" w:after="0"/>
              <w:ind w:right="71"/>
            </w:pPr>
            <w:r w:rsidRPr="00FA5834">
              <w:t>Administratīvo izmaksu monetārs novērtējums</w:t>
            </w:r>
          </w:p>
        </w:tc>
        <w:tc>
          <w:tcPr>
            <w:tcW w:w="6129" w:type="dxa"/>
          </w:tcPr>
          <w:p w:rsidR="0093084D" w:rsidRPr="0093084D" w:rsidRDefault="00515DDF" w:rsidP="0093084D">
            <w:pPr>
              <w:spacing w:line="259" w:lineRule="auto"/>
              <w:ind w:left="34"/>
              <w:jc w:val="both"/>
              <w:rPr>
                <w:rFonts w:eastAsia="Calibri"/>
                <w:color w:val="000000"/>
                <w:lang w:eastAsia="en-US"/>
              </w:rPr>
            </w:pPr>
            <w:r>
              <w:rPr>
                <w:rFonts w:eastAsia="Calibri"/>
                <w:color w:val="000000"/>
                <w:lang w:eastAsia="en-US"/>
              </w:rPr>
              <w:t xml:space="preserve">Dabas aizsardzības pārvaldes administratīvās izmaksas </w:t>
            </w:r>
            <w:r w:rsidR="00747FBC">
              <w:rPr>
                <w:rFonts w:eastAsia="Calibri"/>
                <w:color w:val="000000"/>
                <w:lang w:eastAsia="en-US"/>
              </w:rPr>
              <w:t xml:space="preserve">gadā </w:t>
            </w:r>
            <w:r w:rsidR="009A2C5E">
              <w:rPr>
                <w:rFonts w:eastAsia="Calibri"/>
                <w:color w:val="000000"/>
                <w:lang w:eastAsia="en-US"/>
              </w:rPr>
              <w:t>-</w:t>
            </w:r>
            <w:r w:rsidR="0093084D" w:rsidRPr="0093084D">
              <w:rPr>
                <w:rFonts w:eastAsia="Calibri"/>
                <w:color w:val="000000"/>
                <w:lang w:eastAsia="en-US"/>
              </w:rPr>
              <w:t xml:space="preserve">56 684,36 </w:t>
            </w:r>
            <w:r w:rsidR="00E900B6" w:rsidRPr="00E900B6">
              <w:rPr>
                <w:rFonts w:eastAsia="Calibri"/>
                <w:i/>
                <w:color w:val="000000"/>
                <w:lang w:eastAsia="en-US"/>
              </w:rPr>
              <w:t>euro</w:t>
            </w:r>
            <w:r w:rsidR="000E281B" w:rsidRPr="000E281B">
              <w:rPr>
                <w:rFonts w:eastAsia="Calibri"/>
                <w:color w:val="000000"/>
                <w:lang w:eastAsia="en-US"/>
              </w:rPr>
              <w:t xml:space="preserve">. </w:t>
            </w:r>
            <w:r w:rsidR="0093084D" w:rsidRPr="0093084D">
              <w:rPr>
                <w:rFonts w:eastAsia="Calibri"/>
                <w:color w:val="000000"/>
                <w:lang w:eastAsia="en-US"/>
              </w:rPr>
              <w:t>Administratīvo izmaksu monetārs novērtējums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kompensāciju par īpaši aizsargājamo nemedījamo sugu un migrējošo sugu dzīvnieku nodarītiem būtiskiem postījumiem administrēšanai</w:t>
            </w:r>
            <w:r w:rsidR="009A2C5E">
              <w:rPr>
                <w:rFonts w:eastAsia="Calibri"/>
                <w:color w:val="000000"/>
                <w:lang w:eastAsia="en-US"/>
              </w:rPr>
              <w:t>:</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C = (f x l) x (n x b) + i + d, kur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C – administratīvās izmaksas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f – finanšu līdzekļu apjoms, kas nepieciešams, lai nodrošinātu projektā paredzētā kompensāciju administrēšanas pienākuma izpildi (stundas samaksas likme);</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l – laika patēriņš, kas nepieciešams, lai veiktu projektā paredzētā 1 iesnieguma izskatīšanu – veiktu pārbaudi dabā un sagatavotu dokumentus, kurus paredz projekts;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n – subjektu skaits, uz ko attiecas projektā paredzētās prasības (Pārvaldes amatpersonu skaits, kuras nodrošinās projektā paredzētā kompensāciju administrēšanas pienākuma izpildi);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 – cik bieži gada laikā veiks projektā paredzēto kompensāciju administrēšanas pienākumu (iesniegumu skaits);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i – biroja uzturēšanas izdevumi kompensāciju administrēšanas pienākuma izpildei (biroja tehnika, datortehnika, kancelejas preces, elektroenerģija u.c.);</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d – autotransporta izmantošanas izdevumi projektā paredzētās pārbaudes dabā veikšanai </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C</w:t>
            </w:r>
            <w:r w:rsidRPr="0093084D">
              <w:rPr>
                <w:rFonts w:eastAsia="Calibri"/>
                <w:color w:val="000000"/>
                <w:lang w:eastAsia="en-US"/>
              </w:rPr>
              <w:t xml:space="preserve"> = (4,76 x 24) x (4 x 109) + 4482,08 + 2393,64 = 114,24 x 436 + 4482,08 + 2393,64 = 49 808,64 + 4482,08 + 2393,64 = </w:t>
            </w:r>
            <w:r w:rsidRPr="009A2C5E">
              <w:rPr>
                <w:rFonts w:eastAsia="Calibri"/>
                <w:b/>
                <w:color w:val="000000"/>
                <w:lang w:eastAsia="en-US"/>
              </w:rPr>
              <w:t>56</w:t>
            </w:r>
            <w:r w:rsidRPr="0093084D">
              <w:rPr>
                <w:rFonts w:eastAsia="Calibri"/>
                <w:color w:val="000000"/>
                <w:lang w:eastAsia="en-US"/>
              </w:rPr>
              <w:t xml:space="preserve"> </w:t>
            </w:r>
            <w:r w:rsidRPr="009A2C5E">
              <w:rPr>
                <w:rFonts w:eastAsia="Calibri"/>
                <w:b/>
                <w:color w:val="000000"/>
                <w:lang w:eastAsia="en-US"/>
              </w:rPr>
              <w:t>684,36 EUR</w:t>
            </w:r>
            <w:r w:rsidRPr="0093084D">
              <w:rPr>
                <w:rFonts w:eastAsia="Calibri"/>
                <w:color w:val="000000"/>
                <w:lang w:eastAsia="en-US"/>
              </w:rPr>
              <w:t>, kur:</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f</w:t>
            </w:r>
            <w:r w:rsidRPr="0093084D">
              <w:rPr>
                <w:rFonts w:eastAsia="Calibri"/>
                <w:color w:val="000000"/>
                <w:lang w:eastAsia="en-US"/>
              </w:rPr>
              <w:t xml:space="preserve"> – 4,76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amatpersonas vid. mēnešalga = 800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darba dienu skaits vid. mēnesī = 21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nostrādāto stundu skaits 1 darba dienā = 8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stundas samaksas likme = 800 / (21 x 8) = 4,76 EUR/h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l</w:t>
            </w:r>
            <w:r w:rsidRPr="0093084D">
              <w:rPr>
                <w:rFonts w:eastAsia="Calibri"/>
                <w:color w:val="000000"/>
                <w:lang w:eastAsia="en-US"/>
              </w:rPr>
              <w:t xml:space="preserve"> – 24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laika patēriņš, kas vid. nepieciešams 1 pārbaudes veikšanai dabā = 8 h (1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laika patēriņš, kas vid. nepieciešams komisijas darba organizēšanai un dokumentu </w:t>
            </w:r>
            <w:r w:rsidRPr="0093084D">
              <w:rPr>
                <w:rFonts w:eastAsia="Calibri"/>
                <w:color w:val="000000"/>
                <w:lang w:eastAsia="en-US"/>
              </w:rPr>
              <w:tab/>
              <w:t xml:space="preserve">(pārbaudes akts ar kartoshēmu, vēstules, informācijas pieprasījumi un informācijas </w:t>
            </w:r>
            <w:r w:rsidRPr="0093084D">
              <w:rPr>
                <w:rFonts w:eastAsia="Calibri"/>
                <w:color w:val="000000"/>
                <w:lang w:eastAsia="en-US"/>
              </w:rPr>
              <w:tab/>
              <w:t>pārbaude, lēmums) sagatavošanai, izskatot 1 iesniegumu = 16 h (2 darba dienas);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kopā = 8 + 16 = 24 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n</w:t>
            </w:r>
            <w:r w:rsidRPr="0093084D">
              <w:rPr>
                <w:rFonts w:eastAsia="Calibri"/>
                <w:color w:val="000000"/>
                <w:lang w:eastAsia="en-US"/>
              </w:rPr>
              <w:t xml:space="preserve"> – 4 amatpersonas: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Projektā paredzēto kompensāciju administrēšanas pienākumu veiks </w:t>
            </w:r>
            <w:r w:rsidR="002776D3">
              <w:rPr>
                <w:rFonts w:eastAsia="Calibri"/>
                <w:color w:val="000000"/>
                <w:lang w:eastAsia="en-US"/>
              </w:rPr>
              <w:t>Dabas</w:t>
            </w:r>
            <w:r w:rsidR="0042046E">
              <w:rPr>
                <w:rFonts w:eastAsia="Calibri"/>
                <w:color w:val="000000"/>
                <w:lang w:eastAsia="en-US"/>
              </w:rPr>
              <w:t xml:space="preserve"> aizsardzības </w:t>
            </w:r>
            <w:r w:rsidR="002776D3">
              <w:rPr>
                <w:rFonts w:eastAsia="Calibri"/>
                <w:color w:val="000000"/>
                <w:lang w:eastAsia="en-US"/>
              </w:rPr>
              <w:t xml:space="preserve"> p</w:t>
            </w:r>
            <w:r w:rsidRPr="0093084D">
              <w:rPr>
                <w:rFonts w:eastAsia="Calibri"/>
                <w:color w:val="000000"/>
                <w:lang w:eastAsia="en-US"/>
              </w:rPr>
              <w:t xml:space="preserve">ārvaldes </w:t>
            </w:r>
            <w:r w:rsidRPr="0093084D">
              <w:rPr>
                <w:rFonts w:eastAsia="Calibri"/>
                <w:color w:val="000000"/>
                <w:lang w:eastAsia="en-US"/>
              </w:rPr>
              <w:tab/>
              <w:t>teritoriālās struktūrvienības – Vidzemes reģionālā administrācija, Pierīgas reģionālā administrācija, Kurzemes reģionālā admini</w:t>
            </w:r>
            <w:r>
              <w:rPr>
                <w:rFonts w:eastAsia="Calibri"/>
                <w:color w:val="000000"/>
                <w:lang w:eastAsia="en-US"/>
              </w:rPr>
              <w:t xml:space="preserve">strācija un Latgales reģionālā </w:t>
            </w:r>
            <w:r w:rsidRPr="0093084D">
              <w:rPr>
                <w:rFonts w:eastAsia="Calibri"/>
                <w:color w:val="000000"/>
                <w:lang w:eastAsia="en-US"/>
              </w:rPr>
              <w:t>administrācija</w:t>
            </w:r>
            <w:r w:rsidR="002776D3">
              <w:rPr>
                <w:rFonts w:eastAsia="Calibri"/>
                <w:color w:val="000000"/>
                <w:lang w:eastAsia="en-US"/>
              </w:rPr>
              <w:t>. Plānotais nodarbināto skaits ikvienā no minētajām struktūrvienībām: 1 amatpersona.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b</w:t>
            </w:r>
            <w:r w:rsidRPr="0093084D">
              <w:rPr>
                <w:rFonts w:eastAsia="Calibri"/>
                <w:color w:val="000000"/>
                <w:lang w:eastAsia="en-US"/>
              </w:rPr>
              <w:t xml:space="preserve"> – 109 reizes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Atbilstoši projektam kompensāciju ir tiesības saņemt vienu reizi gadā, tādējādi </w:t>
            </w:r>
            <w:r w:rsidRPr="0093084D">
              <w:rPr>
                <w:rFonts w:eastAsia="Calibri"/>
                <w:color w:val="000000"/>
                <w:lang w:eastAsia="en-US"/>
              </w:rPr>
              <w:tab/>
              <w:t xml:space="preserve">projektā paredzētais kompensāciju administrēšanas pienākums jāveic tik reizes, cik ir </w:t>
            </w:r>
            <w:r w:rsidRPr="0093084D">
              <w:rPr>
                <w:rFonts w:eastAsia="Calibri"/>
                <w:color w:val="000000"/>
                <w:lang w:eastAsia="en-US"/>
              </w:rPr>
              <w:tab/>
              <w:t xml:space="preserve">saņemto personu iesniegumu skaits. Atbilstoši Latvijas vides aizsardzības fonda </w:t>
            </w:r>
            <w:r w:rsidRPr="0093084D">
              <w:rPr>
                <w:rFonts w:eastAsia="Calibri"/>
                <w:color w:val="000000"/>
                <w:lang w:eastAsia="en-US"/>
              </w:rPr>
              <w:tab/>
              <w:t xml:space="preserve">administrācijas mājaslapā pieejamajam publiskajam pārskatam par 2008.gadu, </w:t>
            </w:r>
            <w:r w:rsidRPr="0093084D">
              <w:rPr>
                <w:rFonts w:eastAsia="Calibri"/>
                <w:color w:val="000000"/>
                <w:lang w:eastAsia="en-US"/>
              </w:rPr>
              <w:tab/>
              <w:t xml:space="preserve">2008.gadā izmaksāta kompensācija 109 personām. 2009.-2014.gadā kompensāciju </w:t>
            </w:r>
            <w:r w:rsidRPr="0093084D">
              <w:rPr>
                <w:rFonts w:eastAsia="Calibri"/>
                <w:color w:val="000000"/>
                <w:lang w:eastAsia="en-US"/>
              </w:rPr>
              <w:tab/>
              <w:t>izmaksa netika veikta.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 xml:space="preserve">i </w:t>
            </w:r>
            <w:r w:rsidRPr="0093084D">
              <w:rPr>
                <w:rFonts w:eastAsia="Calibri"/>
                <w:color w:val="000000"/>
                <w:lang w:eastAsia="en-US"/>
              </w:rPr>
              <w:t>– 4482,08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biroja uzturēšanas izdevumi (biroja tehnika, datortehnika, elektroenerģija u.c.) = 2,57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 iesniegumu = 2,57 x 16 h = 41,12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109 iesniegumus = 41,12 x 109 = 4482,08 EUR</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d</w:t>
            </w:r>
            <w:r w:rsidRPr="0093084D">
              <w:rPr>
                <w:rFonts w:eastAsia="Calibri"/>
                <w:color w:val="000000"/>
                <w:lang w:eastAsia="en-US"/>
              </w:rPr>
              <w:t xml:space="preserve"> –2393,64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1 pārbaudes dabā (zemes īpašuma atrašanās vietas) vid. attālums (Pārvaldes reģionālās </w:t>
            </w:r>
            <w:r w:rsidRPr="0093084D">
              <w:rPr>
                <w:rFonts w:eastAsia="Calibri"/>
                <w:color w:val="000000"/>
                <w:lang w:eastAsia="en-US"/>
              </w:rPr>
              <w:tab/>
              <w:t>administrācijas birojs–zemes īpašums turp un atpakaļ) = 260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vid. degvielas patēriņš = 8 litri/100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vid. cena = 1,056 EUR/litrs;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 pārbaudei dabā = (260 x 8 / 100) x 1,056 = 21,96 EUR;</w:t>
            </w:r>
          </w:p>
          <w:p w:rsidR="00DC389A" w:rsidRPr="00CB5E13"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109 pārbaudēm dabā = 21,9</w:t>
            </w:r>
            <w:r w:rsidR="0001640E">
              <w:rPr>
                <w:rFonts w:eastAsia="Calibri"/>
                <w:color w:val="000000"/>
                <w:lang w:eastAsia="en-US"/>
              </w:rPr>
              <w:t>6 x109=2393,64 |EUR</w:t>
            </w:r>
          </w:p>
        </w:tc>
      </w:tr>
      <w:tr w:rsidR="00DC389A" w:rsidRPr="00FA5834" w:rsidTr="009A2C5E">
        <w:tc>
          <w:tcPr>
            <w:tcW w:w="441" w:type="dxa"/>
          </w:tcPr>
          <w:p w:rsidR="00DC389A" w:rsidRPr="00FA5834" w:rsidRDefault="004E7A26" w:rsidP="00865B60">
            <w:pPr>
              <w:pStyle w:val="naiskr"/>
              <w:spacing w:before="0" w:after="0"/>
              <w:ind w:right="71"/>
            </w:pPr>
            <w:r>
              <w:t>4</w:t>
            </w:r>
            <w:r w:rsidR="00DC389A" w:rsidRPr="00FA5834">
              <w:t>.</w:t>
            </w:r>
          </w:p>
        </w:tc>
        <w:tc>
          <w:tcPr>
            <w:tcW w:w="2502" w:type="dxa"/>
          </w:tcPr>
          <w:p w:rsidR="00DC389A" w:rsidRPr="00FA5834" w:rsidRDefault="00DC389A" w:rsidP="00865B60">
            <w:pPr>
              <w:pStyle w:val="naiskr"/>
              <w:spacing w:before="0" w:after="0"/>
              <w:ind w:right="71"/>
            </w:pPr>
            <w:r w:rsidRPr="00FA5834">
              <w:t>Cita informācija</w:t>
            </w:r>
          </w:p>
        </w:tc>
        <w:tc>
          <w:tcPr>
            <w:tcW w:w="6129" w:type="dxa"/>
          </w:tcPr>
          <w:p w:rsidR="00DC389A" w:rsidRDefault="004E7A26" w:rsidP="006653AE">
            <w:pPr>
              <w:pStyle w:val="naiskr"/>
              <w:spacing w:before="0" w:after="0"/>
              <w:ind w:right="71"/>
              <w:jc w:val="both"/>
              <w:rPr>
                <w:iCs/>
              </w:rPr>
            </w:pPr>
            <w:r w:rsidRPr="00FA5834">
              <w:rPr>
                <w:iCs/>
              </w:rPr>
              <w:t>Bioloģiskās daudzveidības saglabāšana ir viens no</w:t>
            </w:r>
            <w:r w:rsidRPr="00FA5834">
              <w:t xml:space="preserve"> </w:t>
            </w:r>
            <w:r w:rsidRPr="00FA5834">
              <w:rPr>
                <w:iCs/>
              </w:rPr>
              <w:t>pamatnosacījumiem cilvēku labklājības nodrošināšanai un ekonomisko aktivitāšu pastāvēšanai. Īpaši aizsargājam</w:t>
            </w:r>
            <w:r w:rsidR="002776D3">
              <w:rPr>
                <w:iCs/>
              </w:rPr>
              <w:t>o</w:t>
            </w:r>
            <w:r w:rsidRPr="00FA5834">
              <w:rPr>
                <w:iCs/>
              </w:rPr>
              <w:t xml:space="preserve"> sug</w:t>
            </w:r>
            <w:r w:rsidR="002776D3">
              <w:rPr>
                <w:iCs/>
              </w:rPr>
              <w:t>u</w:t>
            </w:r>
            <w:r w:rsidRPr="00FA5834">
              <w:rPr>
                <w:iCs/>
              </w:rPr>
              <w:t xml:space="preserve"> </w:t>
            </w:r>
            <w:r w:rsidR="0042046E" w:rsidRPr="00FA5834">
              <w:rPr>
                <w:iCs/>
              </w:rPr>
              <w:t>aizsardzību</w:t>
            </w:r>
            <w:r w:rsidRPr="00FA5834">
              <w:rPr>
                <w:iCs/>
              </w:rPr>
              <w:t xml:space="preserve"> </w:t>
            </w:r>
            <w:r w:rsidR="002776D3">
              <w:rPr>
                <w:iCs/>
              </w:rPr>
              <w:t xml:space="preserve">īsteno </w:t>
            </w:r>
            <w:r w:rsidRPr="00FA5834">
              <w:rPr>
                <w:iCs/>
              </w:rPr>
              <w:t>visas sa</w:t>
            </w:r>
            <w:r w:rsidR="005F4749">
              <w:rPr>
                <w:iCs/>
              </w:rPr>
              <w:t>biedrības interesēs</w:t>
            </w:r>
            <w:r w:rsidR="00DB3BF2">
              <w:rPr>
                <w:iCs/>
              </w:rPr>
              <w:t>,</w:t>
            </w:r>
            <w:r w:rsidR="005F4749">
              <w:rPr>
                <w:iCs/>
              </w:rPr>
              <w:t xml:space="preserve"> līdz ar to </w:t>
            </w:r>
            <w:r w:rsidRPr="00FA5834">
              <w:rPr>
                <w:iCs/>
              </w:rPr>
              <w:t xml:space="preserve">ir </w:t>
            </w:r>
            <w:r w:rsidR="002776D3">
              <w:rPr>
                <w:iCs/>
              </w:rPr>
              <w:t>svarīgi</w:t>
            </w:r>
            <w:r w:rsidRPr="00FA5834">
              <w:rPr>
                <w:iCs/>
              </w:rPr>
              <w:t xml:space="preserve"> saglabāt kompensāciju sistēmu, lai novērstu zemes īpašnieku</w:t>
            </w:r>
            <w:r w:rsidR="0042046E">
              <w:rPr>
                <w:iCs/>
              </w:rPr>
              <w:t xml:space="preserve"> vai lietotāju </w:t>
            </w:r>
            <w:r w:rsidRPr="00FA5834">
              <w:rPr>
                <w:iCs/>
              </w:rPr>
              <w:t xml:space="preserve"> un sabiedr</w:t>
            </w:r>
            <w:r w:rsidR="005F4749">
              <w:rPr>
                <w:iCs/>
              </w:rPr>
              <w:t>ības kopumā neapmierinātību par</w:t>
            </w:r>
            <w:r w:rsidR="009E1E82">
              <w:rPr>
                <w:iCs/>
              </w:rPr>
              <w:t xml:space="preserve"> īpaši aizsargājamo nemedījamo </w:t>
            </w:r>
            <w:r w:rsidRPr="00FA5834">
              <w:rPr>
                <w:iCs/>
              </w:rPr>
              <w:t>sugu noda</w:t>
            </w:r>
            <w:r w:rsidR="009E1E82">
              <w:rPr>
                <w:iCs/>
              </w:rPr>
              <w:t xml:space="preserve">rītajiem postījumiem (piemēram, </w:t>
            </w:r>
            <w:r w:rsidRPr="00FA5834">
              <w:rPr>
                <w:iCs/>
              </w:rPr>
              <w:t>lauksaimniecībai, akvakultūr</w:t>
            </w:r>
            <w:r w:rsidR="00404A9D">
              <w:rPr>
                <w:iCs/>
              </w:rPr>
              <w:t xml:space="preserve">ai), kuri </w:t>
            </w:r>
            <w:r w:rsidRPr="00FA5834">
              <w:rPr>
                <w:iCs/>
              </w:rPr>
              <w:t>netiek attiecīgi kompensēti.</w:t>
            </w:r>
          </w:p>
          <w:p w:rsidR="00B62932" w:rsidRPr="00FA5834" w:rsidRDefault="00B62932" w:rsidP="006653AE">
            <w:pPr>
              <w:pStyle w:val="naiskr"/>
              <w:spacing w:before="0" w:after="0"/>
              <w:ind w:right="71"/>
              <w:jc w:val="both"/>
            </w:pPr>
            <w:r>
              <w:rPr>
                <w:iCs/>
              </w:rPr>
              <w:t xml:space="preserve">Iesnieguma iesniedzējam radīsies nebūtiski izdevumi saistībā ar to, ka ir jāiesniedz Lauksaimniecības datu centra izziņa, kas </w:t>
            </w:r>
            <w:r w:rsidRPr="00B62932">
              <w:rPr>
                <w:iCs/>
              </w:rPr>
              <w:t xml:space="preserve">atbilstoši Ministru kabineta 2013.gada 17.septembra noteikumu Nr.880 “Lauksaimniecības datu centra publisko maksas pakalpojumu cenrādis” pielikuma 3.punktam Lauksaimniecības datu centra izziņa no datubāzes par dzīvnieku, ganāmpulku un novietņu reģistru un piena kvotām (sagatavo 14 dienu laikā) maksā 4,98 </w:t>
            </w:r>
            <w:r w:rsidRPr="00127155">
              <w:rPr>
                <w:i/>
                <w:iCs/>
              </w:rPr>
              <w:t>euro</w:t>
            </w:r>
            <w:r>
              <w:rPr>
                <w:iCs/>
              </w:rPr>
              <w:t>.</w:t>
            </w:r>
            <w:r w:rsidR="002E070C">
              <w:rPr>
                <w:iCs/>
              </w:rPr>
              <w:t xml:space="preserve"> Tāpat izdevumi var rasties gadījumā, ja nepieciešams pieaicināt ekspertu.</w:t>
            </w:r>
          </w:p>
        </w:tc>
      </w:tr>
    </w:tbl>
    <w:p w:rsidR="00B47E53" w:rsidRPr="00FA5834" w:rsidRDefault="00B47E53" w:rsidP="00865B60">
      <w:pPr>
        <w:pStyle w:val="naisf"/>
        <w:spacing w:before="0" w:after="0"/>
        <w:ind w:right="71" w:firstLine="0"/>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4"/>
        <w:gridCol w:w="1424"/>
        <w:gridCol w:w="1423"/>
        <w:gridCol w:w="1423"/>
        <w:gridCol w:w="1375"/>
      </w:tblGrid>
      <w:tr w:rsidR="00EF363F" w:rsidRPr="00FA5834" w:rsidTr="00C54AF0">
        <w:trPr>
          <w:trHeight w:val="652"/>
          <w:jc w:val="center"/>
        </w:trPr>
        <w:tc>
          <w:tcPr>
            <w:tcW w:w="9215" w:type="dxa"/>
            <w:gridSpan w:val="6"/>
          </w:tcPr>
          <w:p w:rsidR="00EF363F" w:rsidRPr="00FA5834" w:rsidRDefault="00EF363F" w:rsidP="00865B60">
            <w:pPr>
              <w:pStyle w:val="naisnod"/>
              <w:spacing w:before="0" w:after="0"/>
              <w:ind w:right="71"/>
              <w:rPr>
                <w:i/>
              </w:rPr>
            </w:pPr>
            <w:r w:rsidRPr="00FA5834">
              <w:br w:type="page"/>
              <w:t>III. Tiesību akta projekta ietekme uz valsts budžetu un pašvaldību budžetiem</w:t>
            </w:r>
          </w:p>
        </w:tc>
      </w:tr>
      <w:tr w:rsidR="00EF363F" w:rsidRPr="00FA5834" w:rsidTr="00C54AF0">
        <w:trPr>
          <w:jc w:val="center"/>
        </w:trPr>
        <w:tc>
          <w:tcPr>
            <w:tcW w:w="2216" w:type="dxa"/>
            <w:vMerge w:val="restart"/>
            <w:vAlign w:val="center"/>
          </w:tcPr>
          <w:p w:rsidR="00EF363F" w:rsidRPr="00FA5834" w:rsidRDefault="00EF363F" w:rsidP="00865B60">
            <w:pPr>
              <w:pStyle w:val="naisf"/>
              <w:spacing w:before="0" w:after="0"/>
              <w:ind w:right="71" w:firstLine="0"/>
              <w:jc w:val="center"/>
              <w:rPr>
                <w:b/>
              </w:rPr>
            </w:pPr>
            <w:r w:rsidRPr="00FA5834">
              <w:rPr>
                <w:b/>
              </w:rPr>
              <w:t>Rādītāji</w:t>
            </w:r>
          </w:p>
        </w:tc>
        <w:tc>
          <w:tcPr>
            <w:tcW w:w="2778" w:type="dxa"/>
            <w:gridSpan w:val="2"/>
            <w:vMerge w:val="restart"/>
            <w:vAlign w:val="center"/>
          </w:tcPr>
          <w:p w:rsidR="00EF363F" w:rsidRPr="00FA5834" w:rsidRDefault="00333546" w:rsidP="00333546">
            <w:pPr>
              <w:pStyle w:val="naisf"/>
              <w:spacing w:before="0" w:after="0"/>
              <w:ind w:right="71" w:firstLine="0"/>
              <w:jc w:val="center"/>
              <w:rPr>
                <w:b/>
              </w:rPr>
            </w:pPr>
            <w:r w:rsidRPr="00FA5834">
              <w:rPr>
                <w:b/>
              </w:rPr>
              <w:t>201</w:t>
            </w:r>
            <w:r>
              <w:rPr>
                <w:b/>
              </w:rPr>
              <w:t>6</w:t>
            </w:r>
            <w:r w:rsidR="00EF363F" w:rsidRPr="00FA5834">
              <w:rPr>
                <w:b/>
              </w:rPr>
              <w:t>.gads</w:t>
            </w:r>
          </w:p>
        </w:tc>
        <w:tc>
          <w:tcPr>
            <w:tcW w:w="4221" w:type="dxa"/>
            <w:gridSpan w:val="3"/>
            <w:vAlign w:val="center"/>
          </w:tcPr>
          <w:p w:rsidR="00EF363F" w:rsidRPr="00FA5834" w:rsidRDefault="00D4597B" w:rsidP="00865B60">
            <w:pPr>
              <w:pStyle w:val="naisf"/>
              <w:spacing w:before="0" w:after="0"/>
              <w:ind w:right="71" w:firstLine="0"/>
              <w:jc w:val="center"/>
              <w:rPr>
                <w:b/>
                <w:i/>
              </w:rPr>
            </w:pPr>
            <w:r>
              <w:t>Turpmākie trīs gadi (</w:t>
            </w:r>
            <w:r w:rsidRPr="00885006">
              <w:rPr>
                <w:i/>
              </w:rPr>
              <w:t>euro</w:t>
            </w:r>
            <w:r w:rsidR="00EF363F" w:rsidRPr="00FA5834">
              <w:t>)</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2778" w:type="dxa"/>
            <w:gridSpan w:val="2"/>
            <w:vMerge/>
            <w:vAlign w:val="center"/>
          </w:tcPr>
          <w:p w:rsidR="00EF363F" w:rsidRPr="00FA5834" w:rsidRDefault="00EF363F" w:rsidP="00865B60">
            <w:pPr>
              <w:pStyle w:val="naisf"/>
              <w:spacing w:before="0" w:after="0"/>
              <w:ind w:right="71" w:firstLine="0"/>
              <w:jc w:val="center"/>
              <w:rPr>
                <w:b/>
                <w:i/>
              </w:rPr>
            </w:pPr>
          </w:p>
        </w:tc>
        <w:tc>
          <w:tcPr>
            <w:tcW w:w="1423"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7</w:t>
            </w:r>
          </w:p>
        </w:tc>
        <w:tc>
          <w:tcPr>
            <w:tcW w:w="1423"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8</w:t>
            </w:r>
          </w:p>
        </w:tc>
        <w:tc>
          <w:tcPr>
            <w:tcW w:w="1375"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9</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1354" w:type="dxa"/>
            <w:vAlign w:val="center"/>
          </w:tcPr>
          <w:p w:rsidR="00EF363F" w:rsidRPr="00FA5834" w:rsidRDefault="00EF363F" w:rsidP="00865B60">
            <w:pPr>
              <w:pStyle w:val="naisf"/>
              <w:spacing w:before="0" w:after="0"/>
              <w:ind w:right="71" w:firstLine="0"/>
              <w:jc w:val="center"/>
              <w:rPr>
                <w:b/>
                <w:i/>
              </w:rPr>
            </w:pPr>
            <w:r w:rsidRPr="00FA5834">
              <w:t>Saskaņā ar valsts budžetu kārtējam gadam</w:t>
            </w:r>
          </w:p>
        </w:tc>
        <w:tc>
          <w:tcPr>
            <w:tcW w:w="1424" w:type="dxa"/>
            <w:vAlign w:val="center"/>
          </w:tcPr>
          <w:p w:rsidR="00EF363F" w:rsidRPr="00FA5834" w:rsidRDefault="00EF363F" w:rsidP="00865B60">
            <w:pPr>
              <w:pStyle w:val="naisf"/>
              <w:spacing w:before="0" w:after="0"/>
              <w:ind w:right="71" w:firstLine="0"/>
              <w:jc w:val="center"/>
              <w:rPr>
                <w:b/>
                <w:i/>
              </w:rPr>
            </w:pPr>
            <w:r w:rsidRPr="00FA5834">
              <w:t>Izmaiņas kārtējā gadā, salīdzinot ar budžetu kārtējam gadam</w:t>
            </w:r>
          </w:p>
        </w:tc>
        <w:tc>
          <w:tcPr>
            <w:tcW w:w="1423" w:type="dxa"/>
            <w:vAlign w:val="center"/>
          </w:tcPr>
          <w:p w:rsidR="00EF363F" w:rsidRPr="00FA5834" w:rsidRDefault="00EF363F" w:rsidP="00865B60">
            <w:pPr>
              <w:pStyle w:val="naisf"/>
              <w:spacing w:before="0" w:after="0"/>
              <w:ind w:right="71" w:firstLine="0"/>
              <w:jc w:val="center"/>
              <w:rPr>
                <w:b/>
                <w:i/>
              </w:rPr>
            </w:pPr>
            <w:r w:rsidRPr="00FA5834">
              <w:t>Izmaiņas, salīdzinot ar kārtējo gadu</w:t>
            </w:r>
          </w:p>
        </w:tc>
        <w:tc>
          <w:tcPr>
            <w:tcW w:w="1423" w:type="dxa"/>
            <w:vAlign w:val="center"/>
          </w:tcPr>
          <w:p w:rsidR="00EF363F" w:rsidRPr="00FA5834" w:rsidRDefault="00EF363F" w:rsidP="00865B60">
            <w:pPr>
              <w:pStyle w:val="naisf"/>
              <w:spacing w:before="0" w:after="0"/>
              <w:ind w:right="71" w:firstLine="0"/>
              <w:jc w:val="center"/>
            </w:pPr>
            <w:r w:rsidRPr="00FA5834">
              <w:t xml:space="preserve">Izmaiņas, salīdzinot ar kārtējo </w:t>
            </w:r>
          </w:p>
          <w:p w:rsidR="00EF363F" w:rsidRPr="00FA5834" w:rsidRDefault="00EF363F" w:rsidP="00865B60">
            <w:pPr>
              <w:pStyle w:val="naisf"/>
              <w:spacing w:before="0" w:after="0"/>
              <w:ind w:right="71" w:firstLine="0"/>
              <w:jc w:val="center"/>
              <w:rPr>
                <w:b/>
                <w:i/>
              </w:rPr>
            </w:pPr>
            <w:r w:rsidRPr="00FA5834">
              <w:t>gadu</w:t>
            </w:r>
          </w:p>
        </w:tc>
        <w:tc>
          <w:tcPr>
            <w:tcW w:w="1375" w:type="dxa"/>
            <w:vAlign w:val="center"/>
          </w:tcPr>
          <w:p w:rsidR="00EF363F" w:rsidRPr="00FA5834" w:rsidRDefault="00EF363F" w:rsidP="00865B60">
            <w:pPr>
              <w:pStyle w:val="naisf"/>
              <w:spacing w:before="0" w:after="0"/>
              <w:ind w:right="71" w:firstLine="0"/>
              <w:jc w:val="center"/>
            </w:pPr>
            <w:r w:rsidRPr="00FA5834">
              <w:t>Izmaiņas, salīdzinot ar kārtējo</w:t>
            </w:r>
          </w:p>
          <w:p w:rsidR="00EF363F" w:rsidRPr="00FA5834" w:rsidRDefault="00EF363F" w:rsidP="00865B60">
            <w:pPr>
              <w:pStyle w:val="naisf"/>
              <w:spacing w:before="0" w:after="0"/>
              <w:ind w:right="71" w:firstLine="0"/>
              <w:jc w:val="center"/>
              <w:rPr>
                <w:b/>
                <w:i/>
              </w:rPr>
            </w:pPr>
            <w:r w:rsidRPr="00FA5834">
              <w:t>gadu</w:t>
            </w:r>
          </w:p>
        </w:tc>
      </w:tr>
      <w:tr w:rsidR="00EF363F" w:rsidRPr="00FA5834" w:rsidTr="00C54AF0">
        <w:trPr>
          <w:jc w:val="center"/>
        </w:trPr>
        <w:tc>
          <w:tcPr>
            <w:tcW w:w="2216" w:type="dxa"/>
            <w:vAlign w:val="center"/>
          </w:tcPr>
          <w:p w:rsidR="00EF363F" w:rsidRPr="00FA5834" w:rsidRDefault="00EF363F" w:rsidP="00865B60">
            <w:pPr>
              <w:pStyle w:val="naisf"/>
              <w:spacing w:before="0" w:after="0"/>
              <w:ind w:right="71" w:firstLine="0"/>
              <w:jc w:val="center"/>
              <w:rPr>
                <w:bCs/>
              </w:rPr>
            </w:pPr>
            <w:r w:rsidRPr="00FA5834">
              <w:rPr>
                <w:bCs/>
              </w:rPr>
              <w:t>1</w:t>
            </w:r>
          </w:p>
        </w:tc>
        <w:tc>
          <w:tcPr>
            <w:tcW w:w="1354" w:type="dxa"/>
            <w:vAlign w:val="center"/>
          </w:tcPr>
          <w:p w:rsidR="00EF363F" w:rsidRPr="00FA5834" w:rsidRDefault="00EF363F" w:rsidP="00865B60">
            <w:pPr>
              <w:pStyle w:val="naisf"/>
              <w:spacing w:before="0" w:after="0"/>
              <w:ind w:right="71" w:firstLine="0"/>
              <w:jc w:val="center"/>
              <w:rPr>
                <w:bCs/>
              </w:rPr>
            </w:pPr>
            <w:r w:rsidRPr="00FA5834">
              <w:rPr>
                <w:bCs/>
              </w:rPr>
              <w:t>2</w:t>
            </w:r>
          </w:p>
        </w:tc>
        <w:tc>
          <w:tcPr>
            <w:tcW w:w="1424" w:type="dxa"/>
            <w:vAlign w:val="center"/>
          </w:tcPr>
          <w:p w:rsidR="00EF363F" w:rsidRPr="00FA5834" w:rsidRDefault="00EF363F" w:rsidP="00865B60">
            <w:pPr>
              <w:pStyle w:val="naisf"/>
              <w:spacing w:before="0" w:after="0"/>
              <w:ind w:right="71" w:firstLine="0"/>
              <w:jc w:val="center"/>
              <w:rPr>
                <w:bCs/>
              </w:rPr>
            </w:pPr>
            <w:r w:rsidRPr="00FA5834">
              <w:rPr>
                <w:bCs/>
              </w:rPr>
              <w:t>3</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4</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5</w:t>
            </w:r>
          </w:p>
        </w:tc>
        <w:tc>
          <w:tcPr>
            <w:tcW w:w="1375" w:type="dxa"/>
            <w:vAlign w:val="center"/>
          </w:tcPr>
          <w:p w:rsidR="00EF363F" w:rsidRPr="00FA5834" w:rsidRDefault="00EF363F" w:rsidP="00865B60">
            <w:pPr>
              <w:pStyle w:val="naisf"/>
              <w:spacing w:before="0" w:after="0"/>
              <w:ind w:right="71" w:firstLine="0"/>
              <w:jc w:val="center"/>
              <w:rPr>
                <w:bCs/>
              </w:rPr>
            </w:pPr>
            <w:r w:rsidRPr="00FA5834">
              <w:rPr>
                <w:bCs/>
              </w:rPr>
              <w:t>6</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 Budžeta ieņēmumi:</w:t>
            </w:r>
          </w:p>
        </w:tc>
        <w:tc>
          <w:tcPr>
            <w:tcW w:w="1354" w:type="dxa"/>
            <w:vAlign w:val="center"/>
          </w:tcPr>
          <w:p w:rsidR="00DC389A" w:rsidRPr="002A2FEE" w:rsidRDefault="00333546" w:rsidP="00865B60">
            <w:pPr>
              <w:ind w:right="71"/>
              <w:jc w:val="center"/>
            </w:pPr>
            <w:r>
              <w:t>291 374</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pPr>
            <w:r w:rsidRPr="00FA5834">
              <w:t>1.1. valsts pamatbudžets, tai skaitā ieņēmumi no maksas pakalpojumiem un citi pašu ieņēmumi</w:t>
            </w:r>
          </w:p>
          <w:p w:rsidR="00DC389A" w:rsidRPr="00FA5834" w:rsidRDefault="00DC389A" w:rsidP="00865B60">
            <w:pPr>
              <w:ind w:right="71"/>
              <w:jc w:val="center"/>
              <w:rPr>
                <w:i/>
              </w:rPr>
            </w:pPr>
          </w:p>
        </w:tc>
        <w:tc>
          <w:tcPr>
            <w:tcW w:w="1354" w:type="dxa"/>
            <w:vAlign w:val="center"/>
          </w:tcPr>
          <w:p w:rsidR="00DC389A" w:rsidRPr="002A2FEE" w:rsidRDefault="00333546" w:rsidP="00865B60">
            <w:pPr>
              <w:ind w:right="71"/>
              <w:jc w:val="center"/>
            </w:pPr>
            <w:r>
              <w:t>291 374</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1.2. valsts speciālais budžets</w:t>
            </w:r>
          </w:p>
        </w:tc>
        <w:tc>
          <w:tcPr>
            <w:tcW w:w="1354" w:type="dxa"/>
            <w:vAlign w:val="center"/>
          </w:tcPr>
          <w:p w:rsidR="00DC389A" w:rsidRPr="002A2FEE" w:rsidRDefault="002A2FEE" w:rsidP="00865B60">
            <w:pPr>
              <w:ind w:right="71"/>
              <w:jc w:val="center"/>
            </w:pPr>
            <w:r w:rsidRPr="002A2FEE">
              <w:rPr>
                <w:iCs/>
              </w:rPr>
              <w:t>0</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1958F6" w:rsidRDefault="002A2FEE" w:rsidP="00865B60">
            <w:pPr>
              <w:ind w:right="71"/>
              <w:jc w:val="center"/>
            </w:pPr>
            <w:r>
              <w:rPr>
                <w:iCs/>
              </w:rPr>
              <w:t>0</w:t>
            </w:r>
          </w:p>
        </w:tc>
        <w:tc>
          <w:tcPr>
            <w:tcW w:w="1423" w:type="dxa"/>
            <w:vAlign w:val="center"/>
          </w:tcPr>
          <w:p w:rsidR="00DC389A" w:rsidRPr="001958F6" w:rsidRDefault="002A2FEE" w:rsidP="00865B60">
            <w:pPr>
              <w:ind w:right="71"/>
              <w:jc w:val="center"/>
            </w:pPr>
            <w:r>
              <w:rPr>
                <w:iCs/>
              </w:rPr>
              <w:t>0</w:t>
            </w:r>
          </w:p>
        </w:tc>
        <w:tc>
          <w:tcPr>
            <w:tcW w:w="1375" w:type="dxa"/>
            <w:vAlign w:val="center"/>
          </w:tcPr>
          <w:p w:rsidR="00DC389A" w:rsidRPr="001958F6"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1.3. pašvaldību budžets</w:t>
            </w:r>
          </w:p>
        </w:tc>
        <w:tc>
          <w:tcPr>
            <w:tcW w:w="1354" w:type="dxa"/>
            <w:vAlign w:val="center"/>
          </w:tcPr>
          <w:p w:rsidR="00DC389A" w:rsidRPr="002A2FEE" w:rsidRDefault="002A2FEE" w:rsidP="009A2C5E">
            <w:pPr>
              <w:ind w:right="71"/>
              <w:jc w:val="center"/>
            </w:pPr>
            <w:r w:rsidRPr="002A2FEE">
              <w:rPr>
                <w:iCs/>
              </w:rPr>
              <w:t>0</w:t>
            </w:r>
          </w:p>
        </w:tc>
        <w:tc>
          <w:tcPr>
            <w:tcW w:w="1424"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375" w:type="dxa"/>
            <w:vAlign w:val="center"/>
          </w:tcPr>
          <w:p w:rsidR="00DC389A" w:rsidRPr="002A2FEE" w:rsidRDefault="002A2FEE" w:rsidP="009A2C5E">
            <w:pPr>
              <w:ind w:right="71"/>
              <w:jc w:val="center"/>
            </w:pPr>
            <w:r w:rsidRPr="002A2FEE">
              <w:rPr>
                <w:iCs/>
              </w:rPr>
              <w:t>0</w:t>
            </w:r>
          </w:p>
        </w:tc>
      </w:tr>
      <w:tr w:rsidR="00333546" w:rsidRPr="001958F6" w:rsidTr="00DF622C">
        <w:trPr>
          <w:jc w:val="center"/>
        </w:trPr>
        <w:tc>
          <w:tcPr>
            <w:tcW w:w="2216" w:type="dxa"/>
          </w:tcPr>
          <w:p w:rsidR="00333546" w:rsidRPr="00FA5834" w:rsidRDefault="00333546" w:rsidP="00333546">
            <w:pPr>
              <w:ind w:right="71"/>
            </w:pPr>
            <w:r w:rsidRPr="00FA5834">
              <w:t>2. Budžeta izdevumi:</w:t>
            </w:r>
          </w:p>
        </w:tc>
        <w:tc>
          <w:tcPr>
            <w:tcW w:w="1354" w:type="dxa"/>
            <w:vAlign w:val="center"/>
          </w:tcPr>
          <w:p w:rsidR="00333546" w:rsidRPr="00530219" w:rsidRDefault="00333546" w:rsidP="00333546">
            <w:pPr>
              <w:ind w:right="71"/>
              <w:jc w:val="center"/>
            </w:pPr>
            <w:r>
              <w:t>291 374</w:t>
            </w:r>
          </w:p>
        </w:tc>
        <w:tc>
          <w:tcPr>
            <w:tcW w:w="1424" w:type="dxa"/>
            <w:vAlign w:val="center"/>
          </w:tcPr>
          <w:p w:rsidR="00333546" w:rsidRPr="00530219" w:rsidRDefault="00D604A5" w:rsidP="00333546">
            <w:pPr>
              <w:ind w:right="71"/>
              <w:jc w:val="center"/>
            </w:pPr>
            <w:r>
              <w:rPr>
                <w:iCs/>
              </w:rPr>
              <w:t>56 684</w:t>
            </w:r>
          </w:p>
        </w:tc>
        <w:tc>
          <w:tcPr>
            <w:tcW w:w="1423" w:type="dxa"/>
            <w:vAlign w:val="center"/>
          </w:tcPr>
          <w:p w:rsidR="00333546" w:rsidRPr="00530219" w:rsidRDefault="00D604A5" w:rsidP="00333546">
            <w:pPr>
              <w:ind w:right="71"/>
              <w:jc w:val="center"/>
            </w:pPr>
            <w:r>
              <w:rPr>
                <w:iCs/>
              </w:rPr>
              <w:t>56 684</w:t>
            </w:r>
          </w:p>
        </w:tc>
        <w:tc>
          <w:tcPr>
            <w:tcW w:w="1423" w:type="dxa"/>
            <w:vAlign w:val="center"/>
          </w:tcPr>
          <w:p w:rsidR="00333546" w:rsidRPr="00530219" w:rsidRDefault="00D604A5" w:rsidP="00CE192C">
            <w:pPr>
              <w:ind w:right="71"/>
              <w:jc w:val="center"/>
            </w:pPr>
            <w:r>
              <w:rPr>
                <w:iCs/>
              </w:rPr>
              <w:t>56 684</w:t>
            </w:r>
          </w:p>
        </w:tc>
        <w:tc>
          <w:tcPr>
            <w:tcW w:w="1375" w:type="dxa"/>
            <w:vAlign w:val="center"/>
          </w:tcPr>
          <w:p w:rsidR="00333546" w:rsidRPr="00B7335F" w:rsidRDefault="00D604A5" w:rsidP="00CE192C">
            <w:pPr>
              <w:ind w:right="71"/>
              <w:jc w:val="center"/>
            </w:pPr>
            <w:r>
              <w:rPr>
                <w:iCs/>
              </w:rPr>
              <w:t>56 684</w:t>
            </w:r>
          </w:p>
        </w:tc>
      </w:tr>
      <w:tr w:rsidR="00333546" w:rsidRPr="001958F6" w:rsidTr="00DF622C">
        <w:trPr>
          <w:jc w:val="center"/>
        </w:trPr>
        <w:tc>
          <w:tcPr>
            <w:tcW w:w="2216" w:type="dxa"/>
          </w:tcPr>
          <w:p w:rsidR="00333546" w:rsidRPr="00FA5834" w:rsidRDefault="00333546" w:rsidP="00333546">
            <w:pPr>
              <w:ind w:right="71"/>
            </w:pPr>
            <w:r w:rsidRPr="00FA5834">
              <w:t>2.1. valsts pamatbudžets</w:t>
            </w:r>
          </w:p>
        </w:tc>
        <w:tc>
          <w:tcPr>
            <w:tcW w:w="1354" w:type="dxa"/>
            <w:vAlign w:val="center"/>
          </w:tcPr>
          <w:p w:rsidR="00333546" w:rsidRPr="002A2FEE" w:rsidRDefault="00333546" w:rsidP="00333546">
            <w:pPr>
              <w:ind w:right="71"/>
              <w:jc w:val="center"/>
            </w:pPr>
            <w:r>
              <w:t>291 374</w:t>
            </w:r>
          </w:p>
        </w:tc>
        <w:tc>
          <w:tcPr>
            <w:tcW w:w="1424" w:type="dxa"/>
            <w:vAlign w:val="center"/>
          </w:tcPr>
          <w:p w:rsidR="00333546" w:rsidRPr="002A2FEE" w:rsidRDefault="00D604A5" w:rsidP="00333546">
            <w:pPr>
              <w:ind w:right="71"/>
              <w:jc w:val="center"/>
            </w:pPr>
            <w:r>
              <w:rPr>
                <w:iCs/>
              </w:rPr>
              <w:t>56 684</w:t>
            </w:r>
          </w:p>
        </w:tc>
        <w:tc>
          <w:tcPr>
            <w:tcW w:w="1423" w:type="dxa"/>
            <w:vAlign w:val="center"/>
          </w:tcPr>
          <w:p w:rsidR="00333546" w:rsidRPr="00FA5834" w:rsidRDefault="00D604A5" w:rsidP="00333546">
            <w:pPr>
              <w:ind w:right="71"/>
              <w:jc w:val="center"/>
            </w:pPr>
            <w:r w:rsidRPr="00D604A5">
              <w:rPr>
                <w:iCs/>
              </w:rPr>
              <w:t>56 684</w:t>
            </w:r>
          </w:p>
        </w:tc>
        <w:tc>
          <w:tcPr>
            <w:tcW w:w="1423" w:type="dxa"/>
            <w:vAlign w:val="center"/>
          </w:tcPr>
          <w:p w:rsidR="00333546" w:rsidRPr="00FA5834" w:rsidRDefault="00D604A5" w:rsidP="00333546">
            <w:pPr>
              <w:ind w:right="71"/>
              <w:jc w:val="center"/>
            </w:pPr>
            <w:r w:rsidRPr="00D604A5">
              <w:rPr>
                <w:iCs/>
              </w:rPr>
              <w:t>56 684</w:t>
            </w:r>
          </w:p>
        </w:tc>
        <w:tc>
          <w:tcPr>
            <w:tcW w:w="1375" w:type="dxa"/>
            <w:vAlign w:val="center"/>
          </w:tcPr>
          <w:p w:rsidR="00333546" w:rsidRPr="001958F6" w:rsidRDefault="00D604A5" w:rsidP="00333546">
            <w:pPr>
              <w:ind w:right="71"/>
              <w:jc w:val="center"/>
            </w:pPr>
            <w:r>
              <w:rPr>
                <w:iCs/>
              </w:rPr>
              <w:t>56 684</w:t>
            </w:r>
          </w:p>
        </w:tc>
      </w:tr>
      <w:tr w:rsidR="00DC389A" w:rsidRPr="00FA5834" w:rsidTr="00C54AF0">
        <w:trPr>
          <w:jc w:val="center"/>
        </w:trPr>
        <w:tc>
          <w:tcPr>
            <w:tcW w:w="2216" w:type="dxa"/>
          </w:tcPr>
          <w:p w:rsidR="00DC389A" w:rsidRPr="00FA5834" w:rsidRDefault="00DC389A" w:rsidP="00865B60">
            <w:pPr>
              <w:ind w:right="71"/>
            </w:pPr>
            <w:r w:rsidRPr="00FA5834">
              <w:t>2.2. valsts speciālais budžets</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2.3. pašvaldību budžets </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333546" w:rsidRPr="00FA5834" w:rsidTr="00C54AF0">
        <w:trPr>
          <w:jc w:val="center"/>
        </w:trPr>
        <w:tc>
          <w:tcPr>
            <w:tcW w:w="2216" w:type="dxa"/>
          </w:tcPr>
          <w:p w:rsidR="00333546" w:rsidRPr="00FA5834" w:rsidRDefault="00333546" w:rsidP="00333546">
            <w:pPr>
              <w:ind w:right="71"/>
            </w:pPr>
            <w:r w:rsidRPr="00FA5834">
              <w:t>3. Finansiālā ietekme:</w:t>
            </w:r>
          </w:p>
        </w:tc>
        <w:tc>
          <w:tcPr>
            <w:tcW w:w="1354" w:type="dxa"/>
            <w:shd w:val="clear" w:color="auto" w:fill="auto"/>
            <w:vAlign w:val="center"/>
          </w:tcPr>
          <w:p w:rsidR="00333546" w:rsidRPr="00A82C7F" w:rsidRDefault="00333546" w:rsidP="00A82C7F">
            <w:pPr>
              <w:ind w:right="71"/>
              <w:jc w:val="center"/>
              <w:rPr>
                <w:iCs/>
              </w:rPr>
            </w:pPr>
            <w:r w:rsidRPr="00A82C7F">
              <w:rPr>
                <w:iCs/>
              </w:rPr>
              <w:t>0</w:t>
            </w:r>
          </w:p>
        </w:tc>
        <w:tc>
          <w:tcPr>
            <w:tcW w:w="1424" w:type="dxa"/>
            <w:vAlign w:val="center"/>
          </w:tcPr>
          <w:p w:rsidR="00333546" w:rsidRPr="00A82C7F" w:rsidRDefault="00BC6369" w:rsidP="00A82C7F">
            <w:pPr>
              <w:ind w:right="71"/>
              <w:jc w:val="center"/>
              <w:rPr>
                <w:iCs/>
              </w:rPr>
            </w:pPr>
            <w:r>
              <w:rPr>
                <w:iCs/>
              </w:rPr>
              <w:t>-56 684</w:t>
            </w:r>
          </w:p>
        </w:tc>
        <w:tc>
          <w:tcPr>
            <w:tcW w:w="1423" w:type="dxa"/>
            <w:vAlign w:val="center"/>
          </w:tcPr>
          <w:p w:rsidR="00333546" w:rsidRPr="00D43755" w:rsidRDefault="00BC6369" w:rsidP="00333546">
            <w:pPr>
              <w:ind w:right="71"/>
              <w:jc w:val="center"/>
            </w:pPr>
            <w:r>
              <w:rPr>
                <w:iCs/>
              </w:rPr>
              <w:t>-56 684</w:t>
            </w:r>
          </w:p>
        </w:tc>
        <w:tc>
          <w:tcPr>
            <w:tcW w:w="1423" w:type="dxa"/>
            <w:vAlign w:val="center"/>
          </w:tcPr>
          <w:p w:rsidR="00333546" w:rsidRPr="00D43755" w:rsidRDefault="00BC6369" w:rsidP="00333546">
            <w:pPr>
              <w:ind w:right="71"/>
              <w:jc w:val="center"/>
            </w:pPr>
            <w:r>
              <w:rPr>
                <w:iCs/>
              </w:rPr>
              <w:t>-56 684</w:t>
            </w:r>
          </w:p>
        </w:tc>
        <w:tc>
          <w:tcPr>
            <w:tcW w:w="1375" w:type="dxa"/>
            <w:vAlign w:val="center"/>
          </w:tcPr>
          <w:p w:rsidR="00333546" w:rsidRPr="00D43755" w:rsidRDefault="00BC6369" w:rsidP="00333546">
            <w:pPr>
              <w:ind w:right="71"/>
              <w:jc w:val="center"/>
            </w:pPr>
            <w:r>
              <w:rPr>
                <w:iCs/>
              </w:rPr>
              <w:t>-56 684</w:t>
            </w:r>
          </w:p>
        </w:tc>
      </w:tr>
      <w:tr w:rsidR="00333546" w:rsidRPr="00FA5834" w:rsidTr="00C54AF0">
        <w:trPr>
          <w:jc w:val="center"/>
        </w:trPr>
        <w:tc>
          <w:tcPr>
            <w:tcW w:w="2216" w:type="dxa"/>
          </w:tcPr>
          <w:p w:rsidR="00333546" w:rsidRPr="00FA5834" w:rsidRDefault="00333546" w:rsidP="00333546">
            <w:pPr>
              <w:ind w:right="71"/>
            </w:pPr>
            <w:r w:rsidRPr="00FA5834">
              <w:t>3.1. valsts pamatbudžets</w:t>
            </w:r>
          </w:p>
        </w:tc>
        <w:tc>
          <w:tcPr>
            <w:tcW w:w="1354" w:type="dxa"/>
            <w:shd w:val="clear" w:color="auto" w:fill="auto"/>
            <w:vAlign w:val="center"/>
          </w:tcPr>
          <w:p w:rsidR="00333546" w:rsidRPr="002A2FEE" w:rsidRDefault="00333546" w:rsidP="00333546">
            <w:pPr>
              <w:ind w:right="71"/>
              <w:jc w:val="center"/>
            </w:pPr>
            <w:r>
              <w:t>0</w:t>
            </w:r>
          </w:p>
        </w:tc>
        <w:tc>
          <w:tcPr>
            <w:tcW w:w="1424" w:type="dxa"/>
            <w:vAlign w:val="center"/>
          </w:tcPr>
          <w:p w:rsidR="00333546" w:rsidRPr="002A2FEE" w:rsidRDefault="00D604A5" w:rsidP="00333546">
            <w:pPr>
              <w:ind w:right="71"/>
              <w:jc w:val="center"/>
            </w:pPr>
            <w:r>
              <w:rPr>
                <w:iCs/>
              </w:rPr>
              <w:t>-</w:t>
            </w:r>
            <w:r w:rsidRPr="00D604A5">
              <w:rPr>
                <w:iCs/>
              </w:rPr>
              <w:t>56 684</w:t>
            </w:r>
          </w:p>
        </w:tc>
        <w:tc>
          <w:tcPr>
            <w:tcW w:w="1423" w:type="dxa"/>
            <w:vAlign w:val="center"/>
          </w:tcPr>
          <w:p w:rsidR="00333546" w:rsidRPr="00D43755" w:rsidRDefault="00D604A5" w:rsidP="00333546">
            <w:pPr>
              <w:ind w:right="71"/>
              <w:jc w:val="center"/>
            </w:pPr>
            <w:r>
              <w:rPr>
                <w:iCs/>
              </w:rPr>
              <w:t>-</w:t>
            </w:r>
            <w:r w:rsidRPr="00D604A5">
              <w:rPr>
                <w:iCs/>
              </w:rPr>
              <w:t>56 684</w:t>
            </w:r>
          </w:p>
        </w:tc>
        <w:tc>
          <w:tcPr>
            <w:tcW w:w="1423" w:type="dxa"/>
            <w:vAlign w:val="center"/>
          </w:tcPr>
          <w:p w:rsidR="00333546" w:rsidRPr="00D43755" w:rsidRDefault="00D604A5" w:rsidP="00333546">
            <w:pPr>
              <w:ind w:right="71"/>
              <w:jc w:val="center"/>
            </w:pPr>
            <w:r>
              <w:rPr>
                <w:iCs/>
              </w:rPr>
              <w:t>-</w:t>
            </w:r>
            <w:r w:rsidRPr="00D604A5">
              <w:rPr>
                <w:iCs/>
              </w:rPr>
              <w:t>56 684</w:t>
            </w:r>
          </w:p>
        </w:tc>
        <w:tc>
          <w:tcPr>
            <w:tcW w:w="1375" w:type="dxa"/>
            <w:vAlign w:val="center"/>
          </w:tcPr>
          <w:p w:rsidR="00333546" w:rsidRPr="00D43755" w:rsidRDefault="00D604A5" w:rsidP="00333546">
            <w:pPr>
              <w:ind w:right="71"/>
              <w:jc w:val="center"/>
            </w:pPr>
            <w:r>
              <w:rPr>
                <w:iCs/>
              </w:rPr>
              <w:t>-</w:t>
            </w:r>
            <w:r w:rsidRPr="00D604A5">
              <w:rPr>
                <w:iCs/>
              </w:rPr>
              <w:t>56 684</w:t>
            </w:r>
          </w:p>
        </w:tc>
      </w:tr>
      <w:tr w:rsidR="00DC389A" w:rsidRPr="00FA5834" w:rsidTr="00C54AF0">
        <w:trPr>
          <w:jc w:val="center"/>
        </w:trPr>
        <w:tc>
          <w:tcPr>
            <w:tcW w:w="2216" w:type="dxa"/>
          </w:tcPr>
          <w:p w:rsidR="00DC389A" w:rsidRPr="00FA5834" w:rsidRDefault="00DC389A" w:rsidP="00865B60">
            <w:pPr>
              <w:ind w:right="71"/>
            </w:pPr>
            <w:r w:rsidRPr="00FA5834">
              <w:t>3.2. speciālais budžets</w:t>
            </w:r>
          </w:p>
        </w:tc>
        <w:tc>
          <w:tcPr>
            <w:tcW w:w="1354" w:type="dxa"/>
            <w:shd w:val="clear" w:color="auto" w:fill="auto"/>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375" w:type="dxa"/>
            <w:vAlign w:val="center"/>
          </w:tcPr>
          <w:p w:rsidR="00DC389A" w:rsidRPr="00D43755"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3.3. pašvaldību budžets </w:t>
            </w:r>
          </w:p>
        </w:tc>
        <w:tc>
          <w:tcPr>
            <w:tcW w:w="1354" w:type="dxa"/>
            <w:tcBorders>
              <w:bottom w:val="single" w:sz="4" w:space="0" w:color="auto"/>
            </w:tcBorders>
            <w:shd w:val="clear" w:color="auto" w:fill="auto"/>
            <w:vAlign w:val="center"/>
          </w:tcPr>
          <w:p w:rsidR="00DC389A" w:rsidRPr="002A2FEE" w:rsidRDefault="002A2FEE" w:rsidP="00865B60">
            <w:pPr>
              <w:ind w:right="71"/>
              <w:jc w:val="center"/>
            </w:pPr>
            <w:r>
              <w:rPr>
                <w:iCs/>
              </w:rPr>
              <w:t>0</w:t>
            </w:r>
          </w:p>
        </w:tc>
        <w:tc>
          <w:tcPr>
            <w:tcW w:w="1424" w:type="dxa"/>
            <w:tcBorders>
              <w:bottom w:val="single" w:sz="4" w:space="0" w:color="auto"/>
            </w:tcBorders>
            <w:vAlign w:val="center"/>
          </w:tcPr>
          <w:p w:rsidR="00DC389A" w:rsidRPr="002A2FEE"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375" w:type="dxa"/>
            <w:tcBorders>
              <w:bottom w:val="single" w:sz="4" w:space="0" w:color="auto"/>
            </w:tcBorders>
            <w:vAlign w:val="center"/>
          </w:tcPr>
          <w:p w:rsidR="00DC389A" w:rsidRPr="00D43755" w:rsidRDefault="002A2FEE" w:rsidP="00865B60">
            <w:pPr>
              <w:ind w:right="71"/>
              <w:jc w:val="center"/>
            </w:pPr>
            <w:r>
              <w:rPr>
                <w:iCs/>
              </w:rPr>
              <w:t>0</w:t>
            </w:r>
          </w:p>
        </w:tc>
      </w:tr>
      <w:tr w:rsidR="00AD4609" w:rsidRPr="00FA5834" w:rsidTr="00C54AF0">
        <w:trPr>
          <w:jc w:val="center"/>
        </w:trPr>
        <w:tc>
          <w:tcPr>
            <w:tcW w:w="2216" w:type="dxa"/>
          </w:tcPr>
          <w:p w:rsidR="00AD4609" w:rsidRPr="00FA5834" w:rsidRDefault="00AD4609" w:rsidP="00865B60">
            <w:pPr>
              <w:ind w:right="71"/>
            </w:pPr>
            <w:r w:rsidRPr="00FA5834">
              <w:t>4. Finanšu līdzekļi papildu izde</w:t>
            </w:r>
            <w:r w:rsidRPr="00FA5834">
              <w:softHyphen/>
              <w:t>vumu finansēšanai (kompensējošu izdevumu samazinājumu norāda ar "+" zīmi)</w:t>
            </w:r>
          </w:p>
        </w:tc>
        <w:tc>
          <w:tcPr>
            <w:tcW w:w="1354" w:type="dxa"/>
            <w:tcBorders>
              <w:bottom w:val="single" w:sz="4" w:space="0" w:color="auto"/>
              <w:right w:val="single" w:sz="4" w:space="0" w:color="auto"/>
            </w:tcBorders>
            <w:vAlign w:val="center"/>
          </w:tcPr>
          <w:p w:rsidR="00AD4609" w:rsidRPr="002A2FEE" w:rsidRDefault="00AD4609" w:rsidP="00865B60">
            <w:pPr>
              <w:ind w:right="71"/>
              <w:jc w:val="center"/>
            </w:pPr>
            <w:r w:rsidRPr="002A2FEE">
              <w:t>x</w:t>
            </w:r>
          </w:p>
        </w:tc>
        <w:tc>
          <w:tcPr>
            <w:tcW w:w="1424" w:type="dxa"/>
            <w:tcBorders>
              <w:top w:val="single" w:sz="4" w:space="0" w:color="auto"/>
              <w:left w:val="single" w:sz="4" w:space="0" w:color="auto"/>
              <w:bottom w:val="single" w:sz="4" w:space="0" w:color="auto"/>
              <w:right w:val="single" w:sz="4" w:space="0" w:color="auto"/>
            </w:tcBorders>
            <w:vAlign w:val="center"/>
          </w:tcPr>
          <w:p w:rsidR="00AD4609" w:rsidRPr="002A2FEE" w:rsidRDefault="00333546" w:rsidP="00865B60">
            <w:pPr>
              <w:ind w:right="71"/>
              <w:jc w:val="center"/>
              <w:rPr>
                <w:highlight w:val="yellow"/>
              </w:rPr>
            </w:pPr>
            <w:r>
              <w:t>0</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333546" w:rsidP="00865B60">
            <w:pPr>
              <w:ind w:right="71"/>
              <w:jc w:val="center"/>
              <w:rPr>
                <w:highlight w:val="yellow"/>
              </w:rPr>
            </w:pPr>
            <w:r>
              <w:t>0</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333546" w:rsidP="00865B60">
            <w:pPr>
              <w:ind w:right="71"/>
              <w:jc w:val="center"/>
              <w:rPr>
                <w:highlight w:val="yellow"/>
              </w:rPr>
            </w:pPr>
            <w:r>
              <w:t>0</w:t>
            </w:r>
          </w:p>
        </w:tc>
        <w:tc>
          <w:tcPr>
            <w:tcW w:w="1375" w:type="dxa"/>
            <w:tcBorders>
              <w:top w:val="single" w:sz="4" w:space="0" w:color="auto"/>
              <w:left w:val="single" w:sz="4" w:space="0" w:color="auto"/>
              <w:bottom w:val="single" w:sz="4" w:space="0" w:color="auto"/>
              <w:right w:val="single" w:sz="4" w:space="0" w:color="auto"/>
            </w:tcBorders>
            <w:vAlign w:val="center"/>
          </w:tcPr>
          <w:p w:rsidR="00AD4609" w:rsidRPr="001958F6" w:rsidRDefault="00333546" w:rsidP="00865B60">
            <w:pPr>
              <w:ind w:right="71"/>
              <w:jc w:val="center"/>
            </w:pPr>
            <w:r>
              <w:t>0</w:t>
            </w:r>
          </w:p>
        </w:tc>
      </w:tr>
      <w:tr w:rsidR="00DC389A" w:rsidRPr="00FA5834" w:rsidTr="00C54AF0">
        <w:trPr>
          <w:jc w:val="center"/>
        </w:trPr>
        <w:tc>
          <w:tcPr>
            <w:tcW w:w="2216" w:type="dxa"/>
          </w:tcPr>
          <w:p w:rsidR="00DC389A" w:rsidRPr="00FA5834" w:rsidRDefault="00DC389A" w:rsidP="00865B60">
            <w:pPr>
              <w:ind w:right="71"/>
            </w:pPr>
            <w:r w:rsidRPr="00FA5834">
              <w:t>5. Precizēta finansiālā ietekme:</w:t>
            </w:r>
          </w:p>
        </w:tc>
        <w:tc>
          <w:tcPr>
            <w:tcW w:w="1354" w:type="dxa"/>
            <w:vMerge w:val="restart"/>
            <w:tcBorders>
              <w:top w:val="single" w:sz="4" w:space="0" w:color="auto"/>
            </w:tcBorders>
            <w:vAlign w:val="center"/>
          </w:tcPr>
          <w:p w:rsidR="00DC389A" w:rsidRPr="002A2FEE" w:rsidRDefault="00E21C4A" w:rsidP="00865B60">
            <w:pPr>
              <w:ind w:right="71"/>
              <w:jc w:val="center"/>
            </w:pPr>
            <w:r w:rsidRPr="002A2FEE">
              <w:rPr>
                <w:iCs/>
              </w:rPr>
              <w:t>x</w:t>
            </w:r>
          </w:p>
        </w:tc>
        <w:tc>
          <w:tcPr>
            <w:tcW w:w="1424"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375" w:type="dxa"/>
            <w:tcBorders>
              <w:top w:val="single" w:sz="4" w:space="0" w:color="auto"/>
            </w:tcBorders>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5.1. valsts pamatbudžets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5.2. speciālais 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5.3. pašvaldību budžets </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EF363F" w:rsidRPr="00FA5834" w:rsidTr="00C54AF0">
        <w:trPr>
          <w:jc w:val="center"/>
        </w:trPr>
        <w:tc>
          <w:tcPr>
            <w:tcW w:w="2216" w:type="dxa"/>
          </w:tcPr>
          <w:p w:rsidR="00EF363F" w:rsidRPr="00FA5834" w:rsidRDefault="00EF363F" w:rsidP="00865B60">
            <w:pPr>
              <w:ind w:right="71"/>
            </w:pPr>
            <w:r w:rsidRPr="00FA5834">
              <w:t>6. Detalizēts ieņēmumu un izdevu</w:t>
            </w:r>
            <w:r w:rsidRPr="00FA5834">
              <w:softHyphen/>
              <w:t>mu aprēķins (ja nepieciešams, detalizētu ieņēmumu un izdevumu aprēķinu var pievienot anotācijas pielikumā):</w:t>
            </w:r>
          </w:p>
        </w:tc>
        <w:tc>
          <w:tcPr>
            <w:tcW w:w="6999" w:type="dxa"/>
            <w:gridSpan w:val="5"/>
            <w:vMerge w:val="restart"/>
          </w:tcPr>
          <w:p w:rsidR="00014B7F" w:rsidRDefault="00AC6696" w:rsidP="00865B60">
            <w:pPr>
              <w:pStyle w:val="NormalWeb"/>
              <w:spacing w:before="0" w:beforeAutospacing="0" w:after="0" w:afterAutospacing="0"/>
              <w:ind w:right="71"/>
              <w:jc w:val="both"/>
            </w:pPr>
            <w:r>
              <w:t>N</w:t>
            </w:r>
            <w:r w:rsidR="00ED18F9">
              <w:t xml:space="preserve">av iespējams iepriekš veikt </w:t>
            </w:r>
            <w:r w:rsidR="00794C76">
              <w:t xml:space="preserve">detalizētu </w:t>
            </w:r>
            <w:r w:rsidR="00ED18F9">
              <w:t>aprēķi</w:t>
            </w:r>
            <w:r w:rsidR="00794C76">
              <w:t>nu par kompensāciju izmaksu</w:t>
            </w:r>
            <w:r w:rsidR="00ED18F9">
              <w:t xml:space="preserve"> apmēru</w:t>
            </w:r>
            <w:r w:rsidR="007A7DD2">
              <w:t xml:space="preserve">. </w:t>
            </w:r>
            <w:r>
              <w:t xml:space="preserve">Situācija ir mainīga ne tikai katra gada griezumā, bet arī sezonāli. Būtiskākos postījumus nodara migrējošās putnu sugas migrāciju laikā, ko savukārt ietekmē klimatiskie, meteoroloģiskie un daudzi citi apstākļi. Klātbūtne un attiecīgi </w:t>
            </w:r>
            <w:r w:rsidR="00A40310">
              <w:t>postījumu nodarīšana vienā konkrēt</w:t>
            </w:r>
            <w:r w:rsidR="00DB3BF2">
              <w:t>ā</w:t>
            </w:r>
            <w:r w:rsidR="00A40310">
              <w:t xml:space="preserve"> vietā var variēt no dažām dienām līdz vairākiem mēnešiem. </w:t>
            </w:r>
            <w:r>
              <w:t xml:space="preserve"> </w:t>
            </w:r>
            <w:r w:rsidR="008F5523">
              <w:t>T</w:t>
            </w:r>
            <w:r w:rsidR="00455F0D">
              <w:t xml:space="preserve">iek paredzēts, ka finansējuma apmērs </w:t>
            </w:r>
            <w:r w:rsidR="008F5523">
              <w:t xml:space="preserve">kompensāciju izmaksām </w:t>
            </w:r>
            <w:r w:rsidR="00DF622C">
              <w:t>par 2016</w:t>
            </w:r>
            <w:r w:rsidR="009B7A97">
              <w:t>.–</w:t>
            </w:r>
            <w:r w:rsidR="00333546" w:rsidRPr="00D5493C">
              <w:t>201</w:t>
            </w:r>
            <w:r w:rsidR="00333546">
              <w:t>9</w:t>
            </w:r>
            <w:r w:rsidR="00455F0D">
              <w:t xml:space="preserve">.gadu </w:t>
            </w:r>
            <w:r w:rsidR="008F5523">
              <w:t>būs šim mērķim</w:t>
            </w:r>
            <w:r w:rsidR="0001640E">
              <w:t xml:space="preserve"> paredzētā finansējuma ietvaros 291 374 euro apmērā.</w:t>
            </w:r>
          </w:p>
          <w:p w:rsidR="00471D66" w:rsidRPr="00BC6369" w:rsidRDefault="00BC6369" w:rsidP="0093084D">
            <w:pPr>
              <w:pStyle w:val="NormalWeb"/>
              <w:spacing w:before="0" w:beforeAutospacing="0" w:after="0" w:afterAutospacing="0"/>
              <w:ind w:right="71"/>
              <w:jc w:val="both"/>
            </w:pPr>
            <w:r>
              <w:t>Dabas aizsardzības pārvaldes administratīvo izmaksu monetārs novērtējums kompensāciju administrēšanai sniegts II. sadaļas 3.punktā.</w:t>
            </w:r>
          </w:p>
        </w:tc>
      </w:tr>
      <w:tr w:rsidR="00EF363F" w:rsidRPr="00FA5834" w:rsidTr="00C54AF0">
        <w:trPr>
          <w:jc w:val="center"/>
        </w:trPr>
        <w:tc>
          <w:tcPr>
            <w:tcW w:w="2216" w:type="dxa"/>
          </w:tcPr>
          <w:p w:rsidR="00EF363F" w:rsidRPr="00FA5834" w:rsidRDefault="00EF363F" w:rsidP="00865B60">
            <w:pPr>
              <w:ind w:right="71"/>
            </w:pPr>
            <w:r w:rsidRPr="00FA5834">
              <w:t>6.1. detalizēts ieņēmumu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FA5834" w:rsidTr="00C54AF0">
        <w:trPr>
          <w:jc w:val="center"/>
        </w:trPr>
        <w:tc>
          <w:tcPr>
            <w:tcW w:w="2216" w:type="dxa"/>
          </w:tcPr>
          <w:p w:rsidR="00EF363F" w:rsidRPr="00FA5834" w:rsidRDefault="00EF363F" w:rsidP="00865B60">
            <w:pPr>
              <w:ind w:right="71"/>
            </w:pPr>
            <w:r w:rsidRPr="00FA5834">
              <w:t>6.2. detalizēts izdevumu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B63E2D" w:rsidTr="00C54AF0">
        <w:trPr>
          <w:jc w:val="center"/>
        </w:trPr>
        <w:tc>
          <w:tcPr>
            <w:tcW w:w="2216" w:type="dxa"/>
          </w:tcPr>
          <w:p w:rsidR="00EF363F" w:rsidRPr="00B63E2D" w:rsidRDefault="00EF363F" w:rsidP="00865B60">
            <w:pPr>
              <w:ind w:right="71"/>
              <w:rPr>
                <w:b/>
              </w:rPr>
            </w:pPr>
            <w:r w:rsidRPr="00B63E2D">
              <w:rPr>
                <w:b/>
              </w:rPr>
              <w:t>7. Cita informācija</w:t>
            </w:r>
          </w:p>
        </w:tc>
        <w:tc>
          <w:tcPr>
            <w:tcW w:w="6999" w:type="dxa"/>
            <w:gridSpan w:val="5"/>
          </w:tcPr>
          <w:p w:rsidR="00023FE4" w:rsidRDefault="00957FFB" w:rsidP="00023FE4">
            <w:pPr>
              <w:tabs>
                <w:tab w:val="left" w:pos="993"/>
                <w:tab w:val="left" w:pos="1134"/>
              </w:tabs>
              <w:jc w:val="both"/>
            </w:pPr>
            <w:r w:rsidRPr="00023FE4">
              <w:t xml:space="preserve">Kompensācijas par </w:t>
            </w:r>
            <w:r w:rsidRPr="00023FE4">
              <w:rPr>
                <w:color w:val="000000"/>
              </w:rPr>
              <w:t xml:space="preserve">īpaši aizsargājamo nemedījamo sugu un migrējošo sugu dzīvnieku nodarītajiem būtiskiem postījumiem paredzēts izmaksāt no </w:t>
            </w:r>
            <w:r w:rsidRPr="00023FE4">
              <w:t xml:space="preserve">Dabas aizsardzības pārvaldes līdzekļiem, kas paredzēti kompensāciju izmaksai par saimnieciskās darbības ierobežojumiem īpaši aizsargājamās dabas teritorijās un mikroliegumos </w:t>
            </w:r>
            <w:r w:rsidR="00A82C7F" w:rsidRPr="00023FE4">
              <w:t>2016</w:t>
            </w:r>
            <w:r w:rsidRPr="00023FE4">
              <w:t>.–</w:t>
            </w:r>
            <w:r w:rsidR="00A82C7F" w:rsidRPr="00023FE4">
              <w:t>2019</w:t>
            </w:r>
            <w:r w:rsidRPr="00023FE4">
              <w:t xml:space="preserve">.gadam. </w:t>
            </w:r>
            <w:r w:rsidR="00050566" w:rsidRPr="00023FE4">
              <w:t xml:space="preserve">Šo kompensāciju izmaksām, saskaņā ar likumu </w:t>
            </w:r>
            <w:r w:rsidR="00BC3FA0" w:rsidRPr="00023FE4">
              <w:t>Par kompensāciju par saimnieciskās darbības ierobežojumiem aizsargājamās teritorijās,</w:t>
            </w:r>
            <w:r w:rsidR="00050566" w:rsidRPr="00023FE4">
              <w:t xml:space="preserve"> </w:t>
            </w:r>
            <w:r w:rsidRPr="00023FE4">
              <w:t xml:space="preserve">ir pieejami 658 605 </w:t>
            </w:r>
            <w:r w:rsidRPr="00023FE4">
              <w:rPr>
                <w:i/>
              </w:rPr>
              <w:t>euro</w:t>
            </w:r>
            <w:r w:rsidRPr="00023FE4">
              <w:t xml:space="preserve"> katru gadu</w:t>
            </w:r>
            <w:r w:rsidR="00050566" w:rsidRPr="00023FE4">
              <w:t xml:space="preserve">. </w:t>
            </w:r>
          </w:p>
          <w:p w:rsidR="00023FE4" w:rsidRDefault="00BC3FA0" w:rsidP="00023FE4">
            <w:pPr>
              <w:tabs>
                <w:tab w:val="left" w:pos="993"/>
                <w:tab w:val="left" w:pos="1134"/>
              </w:tabs>
              <w:jc w:val="both"/>
            </w:pPr>
            <w:r w:rsidRPr="00023FE4">
              <w:t xml:space="preserve">Ņemot vērā iepriekšējo gadu pieredzi, kad kompensāciju </w:t>
            </w:r>
            <w:r w:rsidR="00957FFB" w:rsidRPr="00023FE4">
              <w:t xml:space="preserve">izmaksai nepieciešamais līdzekļu apjoms indikatīvi ir </w:t>
            </w:r>
            <w:r w:rsidRPr="00023FE4">
              <w:t xml:space="preserve">bijis </w:t>
            </w:r>
            <w:r w:rsidR="00957FFB" w:rsidRPr="00023FE4">
              <w:t xml:space="preserve">367 231 </w:t>
            </w:r>
            <w:r w:rsidR="00957FFB" w:rsidRPr="00023FE4">
              <w:rPr>
                <w:i/>
              </w:rPr>
              <w:t>euro</w:t>
            </w:r>
            <w:r w:rsidR="00957FFB" w:rsidRPr="00023FE4">
              <w:t xml:space="preserve"> katru gadu</w:t>
            </w:r>
            <w:r w:rsidRPr="00023FE4">
              <w:t xml:space="preserve">, </w:t>
            </w:r>
            <w:r w:rsidR="00957FFB" w:rsidRPr="00023FE4">
              <w:t xml:space="preserve">pārpalikumu, kas </w:t>
            </w:r>
            <w:r w:rsidR="00014B7F" w:rsidRPr="00023FE4">
              <w:t xml:space="preserve">ir </w:t>
            </w:r>
            <w:r w:rsidR="00957FFB" w:rsidRPr="00023FE4">
              <w:t xml:space="preserve">291 374 </w:t>
            </w:r>
            <w:r w:rsidR="00957FFB" w:rsidRPr="00023FE4">
              <w:rPr>
                <w:i/>
              </w:rPr>
              <w:t>euro</w:t>
            </w:r>
            <w:r w:rsidRPr="00023FE4">
              <w:t xml:space="preserve"> apmērā katru gadu, </w:t>
            </w:r>
            <w:r w:rsidR="00957FFB" w:rsidRPr="00023FE4">
              <w:t xml:space="preserve">pārdalīt kompensācijām par </w:t>
            </w:r>
            <w:r w:rsidR="00957FFB" w:rsidRPr="00023FE4">
              <w:rPr>
                <w:color w:val="000000"/>
              </w:rPr>
              <w:t>īpaši aizsargājamo nemedījamo sugu un migrējošo sugu dzīvnieku nodarītajiem būtiskiem postījumiem</w:t>
            </w:r>
            <w:r w:rsidR="00014B7F" w:rsidRPr="00023FE4">
              <w:rPr>
                <w:color w:val="000000"/>
              </w:rPr>
              <w:t xml:space="preserve">, tādējādi </w:t>
            </w:r>
            <w:r w:rsidR="00DC0393" w:rsidRPr="00023FE4">
              <w:rPr>
                <w:color w:val="000000"/>
              </w:rPr>
              <w:t xml:space="preserve">kompensāciju izmaksai </w:t>
            </w:r>
            <w:r w:rsidR="00014B7F" w:rsidRPr="00023FE4">
              <w:rPr>
                <w:color w:val="000000"/>
              </w:rPr>
              <w:t xml:space="preserve">neprasot </w:t>
            </w:r>
            <w:r w:rsidR="00AD5382" w:rsidRPr="00023FE4">
              <w:rPr>
                <w:color w:val="000000"/>
              </w:rPr>
              <w:t xml:space="preserve">papildus </w:t>
            </w:r>
            <w:r w:rsidR="00014B7F" w:rsidRPr="00023FE4">
              <w:rPr>
                <w:color w:val="000000"/>
              </w:rPr>
              <w:t>atsevišķus līdzekļus no valsts budžeta.</w:t>
            </w:r>
          </w:p>
          <w:p w:rsidR="00023FE4" w:rsidRPr="00DC1F7B" w:rsidRDefault="00B63E2D" w:rsidP="00023FE4">
            <w:pPr>
              <w:tabs>
                <w:tab w:val="left" w:pos="993"/>
                <w:tab w:val="left" w:pos="1134"/>
              </w:tabs>
              <w:jc w:val="both"/>
            </w:pPr>
            <w:r w:rsidRPr="00DC1F7B">
              <w:rPr>
                <w:bCs/>
              </w:rPr>
              <w:t>Ar Ministru kabineta</w:t>
            </w:r>
            <w:r w:rsidRPr="00DC1F7B">
              <w:rPr>
                <w:color w:val="000000" w:themeColor="text1"/>
              </w:rPr>
              <w:t xml:space="preserve"> 2010.gada 21.decembra </w:t>
            </w:r>
            <w:r w:rsidRPr="00DC1F7B">
              <w:rPr>
                <w:bCs/>
                <w:color w:val="000000" w:themeColor="text1"/>
              </w:rPr>
              <w:t>noteikumiem Nr.1144 “</w:t>
            </w:r>
            <w:r w:rsidRPr="00FF0B55">
              <w:rPr>
                <w:bCs/>
              </w:rPr>
              <w:t xml:space="preserve">Grozījumi Ministru kabineta 2009.gada 2.jūnija noteikumos Nr.507 </w:t>
            </w:r>
            <w:r w:rsidR="00FF0B55">
              <w:rPr>
                <w:bCs/>
              </w:rPr>
              <w:t>“</w:t>
            </w:r>
            <w:hyperlink r:id="rId8" w:tgtFrame="_blank" w:history="1">
              <w:r w:rsidRPr="00FF0B55">
                <w:t>Dabas aizsardzības pārvaldes nolikums</w:t>
              </w:r>
            </w:hyperlink>
            <w:r w:rsidR="00FF0B55">
              <w:rPr>
                <w:bCs/>
              </w:rPr>
              <w:t>”</w:t>
            </w:r>
            <w:r w:rsidRPr="00FF0B55">
              <w:rPr>
                <w:bCs/>
              </w:rPr>
              <w:t xml:space="preserve"> tika</w:t>
            </w:r>
            <w:r w:rsidRPr="00DC1F7B">
              <w:rPr>
                <w:bCs/>
                <w:color w:val="000000" w:themeColor="text1"/>
              </w:rPr>
              <w:t xml:space="preserve"> grozīts Dabas aizsardzības pārvaldes nolikuma </w:t>
            </w:r>
            <w:r w:rsidRPr="00DC1F7B">
              <w:rPr>
                <w:color w:val="000000" w:themeColor="text1"/>
              </w:rPr>
              <w:t>2.4.apakšpunkts, papildinot to ar zaudējumu atlīdzības izmaksu administrēšanu par īpaši aizsargājamo nemedījamo sugu un migrējošo sugu dzīvnieku nod</w:t>
            </w:r>
            <w:r w:rsidR="00DC1F7B" w:rsidRPr="00DC1F7B">
              <w:rPr>
                <w:color w:val="000000" w:themeColor="text1"/>
              </w:rPr>
              <w:t>arītajiem būtiskiem postījumiem.</w:t>
            </w:r>
            <w:r w:rsidRPr="00DC1F7B">
              <w:rPr>
                <w:color w:val="000000" w:themeColor="text1"/>
              </w:rPr>
              <w:t xml:space="preserve"> </w:t>
            </w:r>
            <w:r w:rsidRPr="00DC1F7B">
              <w:rPr>
                <w:bCs/>
              </w:rPr>
              <w:t>Dabas aizsardzības pārvalde</w:t>
            </w:r>
            <w:r w:rsidRPr="00B63E2D">
              <w:rPr>
                <w:b/>
                <w:bCs/>
              </w:rPr>
              <w:t xml:space="preserve"> </w:t>
            </w:r>
            <w:r w:rsidRPr="00DC1F7B">
              <w:rPr>
                <w:bCs/>
              </w:rPr>
              <w:t>līdz šim nav uzsākusi šīs funkcijas īstenošanu, jo atbilstoši Sugu un biotopu aizsardzības likuma Pārejas noteikumu 8., 11. un 14.punktam kompensāciju par īpaši aizsargājamo nemedījamo sugu un migrējošo sugu dzīvnieku nodarītajiem būtiskiem postījumiem neaprēķināja un neizmaksāja 2009., 2010., 2011., 2012., 2013. un 2014.gadā, kā arī atbilstoši spēkā esošajiem Ministru kabineta 2007.gada 20.novembra noteikumiem Nr.778 “Kārtība, kādā zemes lietotājiem nosakāmi to zaudējumu apmēri, kas saistīti ar īpaši aizsargājamo nemedījamo un migrējošo sugu dzīvnieku nodarītiem būtiskiem postījumiem” postījumu novērtēšanu un zaudējumu apmēra noteikšanu veica Valsts vides dienests, bet lēmumu pieņemšanu un šo kompensāciju izmaksu – Latvijas vides aizsardzības fonda administrācija. Atsākot postījumu aprēķināšanu un zaudējumu apmēra noteikšanu pēc 6 gadu pārtraukuma, finansējums Valsts vides dienestam šīs funkcijas veikšanai netika piešķirts.</w:t>
            </w:r>
          </w:p>
          <w:p w:rsidR="00B63E2D" w:rsidRPr="00DC1F7B" w:rsidRDefault="00FF0B55" w:rsidP="00023FE4">
            <w:pPr>
              <w:tabs>
                <w:tab w:val="left" w:pos="993"/>
                <w:tab w:val="left" w:pos="1134"/>
              </w:tabs>
              <w:jc w:val="both"/>
            </w:pPr>
            <w:r>
              <w:rPr>
                <w:bCs/>
              </w:rPr>
              <w:t>Tikai ar šo</w:t>
            </w:r>
            <w:r w:rsidR="00B63E2D" w:rsidRPr="00DC1F7B">
              <w:rPr>
                <w:bCs/>
              </w:rPr>
              <w:t xml:space="preserve"> noteikumu projekta spēkā stāšanos Dabas aizsardzības pārvalde uzsāktu šīs funkcijas īstenošanu, tādējādi arī papildus finansējums ir nepieciešams šogad un turpmākos gadus. </w:t>
            </w:r>
          </w:p>
          <w:p w:rsidR="00EF363F" w:rsidRPr="00B63E2D" w:rsidRDefault="00DF622C" w:rsidP="00411909">
            <w:pPr>
              <w:pStyle w:val="naisf"/>
              <w:tabs>
                <w:tab w:val="left" w:pos="4644"/>
              </w:tabs>
              <w:spacing w:before="0" w:after="0"/>
              <w:ind w:right="71" w:firstLine="0"/>
              <w:rPr>
                <w:b/>
              </w:rPr>
            </w:pPr>
            <w:r w:rsidRPr="00DC1F7B">
              <w:t>Dabas aizsardzības pārvalde</w:t>
            </w:r>
            <w:r w:rsidR="0092165B" w:rsidRPr="00DC1F7B">
              <w:t>i</w:t>
            </w:r>
            <w:r w:rsidRPr="00DC1F7B">
              <w:t xml:space="preserve"> noteikumu projektā pared</w:t>
            </w:r>
            <w:r w:rsidR="00411909" w:rsidRPr="00DC1F7B">
              <w:t>zēto kompensāciju administrēšanai ik gadu nepieciešami 56 684 eiro</w:t>
            </w:r>
            <w:r w:rsidRPr="00B63E2D">
              <w:rPr>
                <w:b/>
              </w:rPr>
              <w:t xml:space="preserve"> </w:t>
            </w:r>
          </w:p>
        </w:tc>
      </w:tr>
    </w:tbl>
    <w:p w:rsidR="00DC389A" w:rsidRPr="00B63E2D" w:rsidRDefault="00DC389A" w:rsidP="00D802F7">
      <w:pPr>
        <w:pStyle w:val="naisf"/>
        <w:spacing w:before="0" w:after="0"/>
        <w:ind w:right="71" w:firstLine="0"/>
        <w:rPr>
          <w:b/>
        </w:rPr>
      </w:pPr>
    </w:p>
    <w:tbl>
      <w:tblPr>
        <w:tblW w:w="920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83"/>
        <w:gridCol w:w="1624"/>
        <w:gridCol w:w="736"/>
        <w:gridCol w:w="1015"/>
        <w:gridCol w:w="2427"/>
        <w:gridCol w:w="2721"/>
      </w:tblGrid>
      <w:tr w:rsidR="00D06F56" w:rsidRPr="00B63E2D" w:rsidTr="00D06F56">
        <w:trPr>
          <w:jc w:val="center"/>
        </w:trPr>
        <w:tc>
          <w:tcPr>
            <w:tcW w:w="9206" w:type="dxa"/>
            <w:gridSpan w:val="6"/>
            <w:tcBorders>
              <w:top w:val="outset" w:sz="6" w:space="0" w:color="auto"/>
              <w:bottom w:val="outset" w:sz="6" w:space="0" w:color="auto"/>
            </w:tcBorders>
            <w:vAlign w:val="center"/>
          </w:tcPr>
          <w:p w:rsidR="00D06F56" w:rsidRPr="00B63E2D" w:rsidRDefault="00D06F56" w:rsidP="00D06F56">
            <w:pPr>
              <w:pStyle w:val="naisf"/>
              <w:ind w:right="71"/>
              <w:rPr>
                <w:b/>
              </w:rPr>
            </w:pPr>
            <w:r w:rsidRPr="00B63E2D">
              <w:rPr>
                <w:b/>
              </w:rPr>
              <w:t>V. Tiesību akta projekta atbilstība Latvijas Republikas starptautiskajām saistībām</w:t>
            </w:r>
          </w:p>
        </w:tc>
      </w:tr>
      <w:tr w:rsidR="00D06F56" w:rsidRPr="00B63E2D" w:rsidTr="00D06F56">
        <w:trPr>
          <w:jc w:val="center"/>
        </w:trPr>
        <w:tc>
          <w:tcPr>
            <w:tcW w:w="683" w:type="dxa"/>
            <w:tcBorders>
              <w:top w:val="outset" w:sz="6" w:space="0" w:color="auto"/>
              <w:bottom w:val="outset" w:sz="6" w:space="0" w:color="auto"/>
              <w:right w:val="outset" w:sz="6" w:space="0" w:color="auto"/>
            </w:tcBorders>
          </w:tcPr>
          <w:p w:rsidR="00D06F56" w:rsidRPr="00B63E2D" w:rsidRDefault="00D06F56" w:rsidP="00D06F56">
            <w:pPr>
              <w:pStyle w:val="naisf"/>
              <w:ind w:right="71"/>
              <w:rPr>
                <w:b/>
              </w:rPr>
            </w:pPr>
            <w:r w:rsidRPr="00B63E2D">
              <w:rPr>
                <w:b/>
              </w:rPr>
              <w:t>1.</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B63E2D" w:rsidRDefault="00D06F56" w:rsidP="00D06F56">
            <w:pPr>
              <w:pStyle w:val="naisf"/>
              <w:ind w:right="71"/>
              <w:rPr>
                <w:b/>
              </w:rPr>
            </w:pPr>
            <w:r w:rsidRPr="00B63E2D">
              <w:rPr>
                <w:b/>
              </w:rPr>
              <w:t>Saistības pret Eiropas Savienību</w:t>
            </w:r>
          </w:p>
        </w:tc>
        <w:tc>
          <w:tcPr>
            <w:tcW w:w="6163" w:type="dxa"/>
            <w:gridSpan w:val="3"/>
            <w:tcBorders>
              <w:top w:val="outset" w:sz="6" w:space="0" w:color="auto"/>
              <w:left w:val="outset" w:sz="6" w:space="0" w:color="auto"/>
              <w:bottom w:val="outset" w:sz="6" w:space="0" w:color="auto"/>
            </w:tcBorders>
          </w:tcPr>
          <w:p w:rsidR="00D06F56" w:rsidRPr="00B63E2D" w:rsidRDefault="00D06F56" w:rsidP="00D06F56">
            <w:pPr>
              <w:pStyle w:val="naisf"/>
              <w:ind w:right="71"/>
              <w:rPr>
                <w:b/>
              </w:rPr>
            </w:pPr>
            <w:r w:rsidRPr="00B63E2D">
              <w:rPr>
                <w:b/>
              </w:rPr>
              <w:t xml:space="preserve">Noteikumu </w:t>
            </w:r>
            <w:r w:rsidR="00BC6369" w:rsidRPr="00B63E2D">
              <w:rPr>
                <w:b/>
              </w:rPr>
              <w:t xml:space="preserve">projektā iekļautas normas, kas </w:t>
            </w:r>
            <w:r w:rsidRPr="00B63E2D">
              <w:rPr>
                <w:b/>
              </w:rPr>
              <w:t xml:space="preserve"> nodrošina Komisijas regulas Nr.717/2014 prasību izpildi nacionālā līmenī.</w:t>
            </w:r>
          </w:p>
          <w:p w:rsidR="00D06F56" w:rsidRPr="00B63E2D" w:rsidRDefault="00D06F56" w:rsidP="00D06F56">
            <w:pPr>
              <w:pStyle w:val="naisf"/>
              <w:ind w:right="71"/>
              <w:rPr>
                <w:b/>
              </w:rPr>
            </w:pPr>
          </w:p>
        </w:tc>
      </w:tr>
      <w:tr w:rsidR="00D06F56" w:rsidRPr="00D06F56" w:rsidTr="00D06F56">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2.</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Citas starptautiskās saistības</w:t>
            </w:r>
          </w:p>
        </w:tc>
        <w:tc>
          <w:tcPr>
            <w:tcW w:w="6163" w:type="dxa"/>
            <w:gridSpan w:val="3"/>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3.</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163" w:type="dxa"/>
            <w:gridSpan w:val="3"/>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9206" w:type="dxa"/>
            <w:gridSpan w:val="6"/>
            <w:tcBorders>
              <w:top w:val="outset" w:sz="6" w:space="0" w:color="auto"/>
              <w:bottom w:val="outset" w:sz="6" w:space="0" w:color="auto"/>
            </w:tcBorders>
            <w:vAlign w:val="center"/>
          </w:tcPr>
          <w:p w:rsidR="00D06F56" w:rsidRPr="00D06F56" w:rsidRDefault="00D06F56" w:rsidP="00D06F56">
            <w:pPr>
              <w:pStyle w:val="naisf"/>
              <w:ind w:right="71"/>
              <w:jc w:val="left"/>
              <w:rPr>
                <w:b/>
              </w:rPr>
            </w:pPr>
            <w:r w:rsidRPr="00D06F56">
              <w:rPr>
                <w:b/>
              </w:rPr>
              <w:t>1.tabula</w:t>
            </w:r>
          </w:p>
          <w:p w:rsidR="00D06F56" w:rsidRPr="00D06F56" w:rsidRDefault="00D06F56" w:rsidP="00D06F56">
            <w:pPr>
              <w:pStyle w:val="naisf"/>
              <w:ind w:right="71"/>
              <w:jc w:val="left"/>
            </w:pPr>
            <w:r w:rsidRPr="00D06F56">
              <w:rPr>
                <w:b/>
              </w:rPr>
              <w:t>Tiesību akta projekta atbilstība ES tiesību aktiem</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datums, numurs un nosaukums</w:t>
            </w:r>
          </w:p>
        </w:tc>
        <w:tc>
          <w:tcPr>
            <w:tcW w:w="6899" w:type="dxa"/>
            <w:gridSpan w:val="4"/>
            <w:tcBorders>
              <w:top w:val="outset" w:sz="6" w:space="0" w:color="auto"/>
              <w:left w:val="outset" w:sz="6" w:space="0" w:color="auto"/>
              <w:bottom w:val="outset" w:sz="6" w:space="0" w:color="auto"/>
            </w:tcBorders>
          </w:tcPr>
          <w:p w:rsidR="00D06F56" w:rsidRPr="00D06F56" w:rsidRDefault="00D06F56" w:rsidP="00127155">
            <w:pPr>
              <w:pStyle w:val="naisf"/>
              <w:ind w:right="71" w:firstLine="0"/>
            </w:pPr>
            <w:r w:rsidRPr="00D06F56">
              <w:t xml:space="preserve">2014.gada 27.jūnija Eiropas Komisijas (ES) regula Nr.717/2014 par Līguma par Eiropas Savienības darbību 107. un 108. panta piemērošanu </w:t>
            </w:r>
            <w:r w:rsidRPr="00D06F56">
              <w:rPr>
                <w:i/>
              </w:rPr>
              <w:t>de minimis</w:t>
            </w:r>
            <w:r w:rsidRPr="00D06F56">
              <w:t xml:space="preserve"> atbalstam zvejniecības un akvakultūras nozarē.</w:t>
            </w:r>
          </w:p>
          <w:p w:rsidR="00D06F56" w:rsidRPr="00D06F56" w:rsidRDefault="00D06F56" w:rsidP="00D06F56">
            <w:pPr>
              <w:pStyle w:val="naisf"/>
              <w:ind w:right="71"/>
            </w:pP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1751" w:type="dxa"/>
            <w:gridSpan w:val="2"/>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2427" w:type="dxa"/>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C</w:t>
            </w:r>
          </w:p>
        </w:tc>
        <w:tc>
          <w:tcPr>
            <w:tcW w:w="2721" w:type="dxa"/>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D</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panta numurs (uzskaitot katru tiesību akta vienību – pantu, daļu, punktu, apakšpunktu)</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Projekta vienība, kas pārņem vai ievieš katru šīs tabulas A ailē minēto ES tiesību akta vienību, vai tiesību akts, kur attiecīgā ES tiesību akta vienība pārņemta vai ieviesta</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Informācija par to, vai šīs tabulas A ailē minētās ES tiesību akta vienības tiek pārņemtas vai ieviestas pilnībā vai daļēji.</w:t>
            </w:r>
          </w:p>
          <w:p w:rsidR="00D06F56" w:rsidRPr="00D06F56" w:rsidRDefault="00D06F56" w:rsidP="00D06F56">
            <w:pPr>
              <w:pStyle w:val="naisf"/>
              <w:ind w:right="71"/>
            </w:pPr>
            <w:r w:rsidRPr="00D06F56">
              <w:t>Ja attiecīgā ES tiesību akta vienība tiek pārņemta vai ieviesta daļēji, sniedz attiecīgu skaidrojumu, kā arī precīzi norāda, kad un kādā veidā ES tiesību akta vienība tiks pārņemta vai ieviesta pilnībā.</w:t>
            </w:r>
          </w:p>
          <w:p w:rsidR="00D06F56" w:rsidRPr="00D06F56" w:rsidRDefault="00D06F56" w:rsidP="00D06F56">
            <w:pPr>
              <w:pStyle w:val="naisf"/>
              <w:ind w:right="71"/>
            </w:pPr>
            <w:r w:rsidRPr="00D06F56">
              <w:t>Norāda institūciju, kas ir atbildīga par šo saistību izpildi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šīs tabulas B ailē minētās projekta vienības paredz stingrākas prasības nekā šīs tabulas A ailē minētās ES tiesību akta vienības.</w:t>
            </w:r>
          </w:p>
          <w:p w:rsidR="00D06F56" w:rsidRPr="00D06F56" w:rsidRDefault="00D06F56" w:rsidP="00D06F56">
            <w:pPr>
              <w:pStyle w:val="naisf"/>
              <w:ind w:right="71"/>
            </w:pPr>
            <w:r w:rsidRPr="00D06F56">
              <w:t>Ja projekts satur stingrā</w:t>
            </w:r>
            <w:r w:rsidRPr="00D06F56">
              <w:softHyphen/>
              <w:t>kas prasības nekā attie</w:t>
            </w:r>
            <w:r w:rsidRPr="00D06F56">
              <w:softHyphen/>
              <w:t>cīgais ES tiesību akts, norāda pamatojumu un samērīgumu.</w:t>
            </w:r>
          </w:p>
          <w:p w:rsidR="00D06F56" w:rsidRPr="00D06F56" w:rsidRDefault="00D06F56" w:rsidP="00D06F56">
            <w:pPr>
              <w:pStyle w:val="naisf"/>
              <w:ind w:right="71"/>
            </w:pPr>
            <w:r w:rsidRPr="00D06F56">
              <w:t>Norāda iespējamās alternatīvas (t.sk. alternatīvas, kas neparedz tiesiskā regulējuma izstrādi) – kādos gadījumos būtu iespējams izvairīties no stingrāku prasību noteikšanas, nekā paredzēts attiecīgajos ES tiesību aktos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 xml:space="preserve">Komisijas regulas Nr.717/2014 2. panta 2. punkts. </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0D44BC" w:rsidP="00D06F56">
            <w:pPr>
              <w:pStyle w:val="naisf"/>
              <w:ind w:right="71"/>
            </w:pPr>
            <w:r>
              <w:rPr>
                <w:bCs/>
              </w:rPr>
              <w:t>Noteikumu projekta 39</w:t>
            </w:r>
            <w:r w:rsidR="00D06F56" w:rsidRPr="00D06F56">
              <w:rPr>
                <w:bCs/>
              </w:rPr>
              <w:t>.</w:t>
            </w:r>
            <w:r w:rsidR="007371B2">
              <w:rPr>
                <w:bCs/>
              </w:rPr>
              <w:t>1</w:t>
            </w:r>
            <w:r>
              <w:rPr>
                <w:bCs/>
              </w:rPr>
              <w:t>.</w:t>
            </w:r>
            <w:r w:rsidR="007371B2">
              <w:rPr>
                <w:bCs/>
              </w:rPr>
              <w:t>,39.2.</w:t>
            </w:r>
            <w:r w:rsidR="00D06F56" w:rsidRPr="00D06F56">
              <w:rPr>
                <w:bCs/>
              </w:rPr>
              <w:t xml:space="preserve"> </w:t>
            </w:r>
            <w:r>
              <w:rPr>
                <w:bCs/>
              </w:rPr>
              <w:t>apakš</w:t>
            </w:r>
            <w:r w:rsidR="00D06F56" w:rsidRPr="00D06F56">
              <w:rPr>
                <w:bCs/>
              </w:rPr>
              <w:t xml:space="preserve">punkts. </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3.pants.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0D44BC">
              <w:rPr>
                <w:bCs/>
              </w:rPr>
              <w:t>1</w:t>
            </w:r>
            <w:r w:rsidRPr="00D06F56">
              <w:rPr>
                <w:bCs/>
              </w:rPr>
              <w:t>2.</w:t>
            </w:r>
            <w:r w:rsidR="00A413D3">
              <w:rPr>
                <w:bCs/>
              </w:rPr>
              <w:t>5</w:t>
            </w:r>
            <w:r w:rsidR="000D44BC">
              <w:rPr>
                <w:bCs/>
              </w:rPr>
              <w:t>.</w:t>
            </w:r>
            <w:r w:rsidRPr="00D06F56">
              <w:rPr>
                <w:bCs/>
              </w:rPr>
              <w:t xml:space="preserve"> </w:t>
            </w:r>
            <w:r w:rsidR="000D44BC">
              <w:rPr>
                <w:bCs/>
              </w:rPr>
              <w:t>apakš</w:t>
            </w:r>
            <w:r w:rsidRPr="00D06F56">
              <w:rPr>
                <w:bCs/>
              </w:rPr>
              <w:t xml:space="preserve">punkts. </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t>Komisijas regulas Nr.717/2014 3. panta 2.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0D44BC">
            <w:pPr>
              <w:pStyle w:val="naisf"/>
              <w:ind w:right="71"/>
              <w:rPr>
                <w:bCs/>
              </w:rPr>
            </w:pPr>
            <w:r w:rsidRPr="00D06F56">
              <w:rPr>
                <w:bCs/>
              </w:rPr>
              <w:t xml:space="preserve">Noteikumu projekta </w:t>
            </w:r>
            <w:r w:rsidR="006E1E06">
              <w:rPr>
                <w:bCs/>
              </w:rPr>
              <w:t>39.2</w:t>
            </w:r>
            <w:r w:rsidR="000D44BC">
              <w:rPr>
                <w:bCs/>
              </w:rPr>
              <w:t xml:space="preserve"> apakšpunkts.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3. panta 3.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0D44BC">
            <w:pPr>
              <w:pStyle w:val="naisf"/>
              <w:ind w:right="71"/>
              <w:rPr>
                <w:bCs/>
              </w:rPr>
            </w:pPr>
            <w:r w:rsidRPr="00D06F56">
              <w:rPr>
                <w:bCs/>
              </w:rPr>
              <w:t xml:space="preserve">Noteikumu projekta </w:t>
            </w:r>
            <w:r w:rsidR="006E1E06">
              <w:rPr>
                <w:bCs/>
              </w:rPr>
              <w:t>39.2</w:t>
            </w:r>
            <w:r w:rsidR="000D44BC">
              <w:rPr>
                <w:bCs/>
              </w:rPr>
              <w:t xml:space="preserve"> apakš</w:t>
            </w:r>
            <w:r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4.pants.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A413D3" w:rsidP="00D06F56">
            <w:pPr>
              <w:pStyle w:val="naisf"/>
              <w:ind w:right="71"/>
              <w:rPr>
                <w:bCs/>
              </w:rPr>
            </w:pPr>
            <w:r>
              <w:rPr>
                <w:bCs/>
              </w:rPr>
              <w:t>Noteikumu projekta 12.5</w:t>
            </w:r>
            <w:r w:rsidR="00D06F56" w:rsidRPr="00D06F56">
              <w:rPr>
                <w:bCs/>
              </w:rPr>
              <w:t xml:space="preserve">. </w:t>
            </w:r>
            <w:r w:rsidR="000D44BC">
              <w:rPr>
                <w:bCs/>
              </w:rPr>
              <w:t>apakš</w:t>
            </w:r>
            <w:r w:rsidR="00D06F56"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EE7A7A">
            <w:pPr>
              <w:pStyle w:val="naisf"/>
              <w:ind w:right="71"/>
            </w:pPr>
            <w:r w:rsidRPr="00D06F56">
              <w:t>Komisi</w:t>
            </w:r>
            <w:r w:rsidR="00EE7A7A">
              <w:t>jas regulas Nr.717/2014 5. 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9436C2" w:rsidP="00D06F56">
            <w:pPr>
              <w:pStyle w:val="naisf"/>
              <w:ind w:right="71"/>
              <w:rPr>
                <w:bCs/>
              </w:rPr>
            </w:pPr>
            <w:r>
              <w:rPr>
                <w:bCs/>
              </w:rPr>
              <w:t xml:space="preserve">Noteikumu projekta </w:t>
            </w:r>
            <w:r w:rsidR="00EE7A7A">
              <w:rPr>
                <w:bCs/>
              </w:rPr>
              <w:t>12.5., 39.2.,</w:t>
            </w:r>
            <w:r>
              <w:rPr>
                <w:bCs/>
              </w:rPr>
              <w:t>39.3</w:t>
            </w:r>
            <w:r w:rsidR="00D06F56" w:rsidRPr="00D06F56">
              <w:rPr>
                <w:bCs/>
              </w:rPr>
              <w:t xml:space="preserve">. </w:t>
            </w:r>
            <w:r>
              <w:rPr>
                <w:bCs/>
              </w:rPr>
              <w:t>apakš</w:t>
            </w:r>
            <w:r w:rsidR="00D06F56"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6. panta 4.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9436C2" w:rsidP="00D06F56">
            <w:pPr>
              <w:pStyle w:val="naisf"/>
              <w:ind w:right="71"/>
              <w:rPr>
                <w:bCs/>
              </w:rPr>
            </w:pPr>
            <w:r>
              <w:rPr>
                <w:bCs/>
              </w:rPr>
              <w:t xml:space="preserve">Noteikumu projekta </w:t>
            </w:r>
            <w:r w:rsidR="004154D2">
              <w:rPr>
                <w:bCs/>
              </w:rPr>
              <w:t xml:space="preserve">43., </w:t>
            </w:r>
            <w:r>
              <w:rPr>
                <w:bCs/>
              </w:rPr>
              <w:t>44</w:t>
            </w:r>
            <w:r w:rsidR="00D06F56" w:rsidRPr="00D06F56">
              <w:rPr>
                <w:bCs/>
              </w:rPr>
              <w:t>.punkts</w:t>
            </w:r>
            <w:r>
              <w:rPr>
                <w:bCs/>
              </w:rPr>
              <w:t>.</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4154D2" w:rsidRPr="00D06F56" w:rsidTr="00D06F56">
        <w:trPr>
          <w:jc w:val="center"/>
        </w:trPr>
        <w:tc>
          <w:tcPr>
            <w:tcW w:w="2307" w:type="dxa"/>
            <w:gridSpan w:val="2"/>
            <w:tcBorders>
              <w:top w:val="outset" w:sz="6" w:space="0" w:color="auto"/>
              <w:bottom w:val="outset" w:sz="6" w:space="0" w:color="auto"/>
              <w:right w:val="outset" w:sz="6" w:space="0" w:color="auto"/>
            </w:tcBorders>
          </w:tcPr>
          <w:p w:rsidR="004154D2" w:rsidRPr="00D06F56" w:rsidRDefault="004154D2" w:rsidP="00D06F56">
            <w:pPr>
              <w:pStyle w:val="naisf"/>
              <w:ind w:right="71"/>
            </w:pPr>
            <w:r>
              <w:t xml:space="preserve">Komisijas regulas Nr.717/2014 7.pants </w:t>
            </w:r>
          </w:p>
        </w:tc>
        <w:tc>
          <w:tcPr>
            <w:tcW w:w="1751" w:type="dxa"/>
            <w:gridSpan w:val="2"/>
            <w:tcBorders>
              <w:top w:val="outset" w:sz="6" w:space="0" w:color="auto"/>
              <w:left w:val="outset" w:sz="6" w:space="0" w:color="auto"/>
              <w:bottom w:val="outset" w:sz="6" w:space="0" w:color="auto"/>
              <w:right w:val="outset" w:sz="6" w:space="0" w:color="auto"/>
            </w:tcBorders>
          </w:tcPr>
          <w:p w:rsidR="004154D2" w:rsidRDefault="004154D2" w:rsidP="00D06F56">
            <w:pPr>
              <w:pStyle w:val="naisf"/>
              <w:ind w:right="71"/>
              <w:rPr>
                <w:bCs/>
              </w:rPr>
            </w:pPr>
            <w:r>
              <w:rPr>
                <w:bCs/>
              </w:rPr>
              <w:t xml:space="preserve">Noteikumu </w:t>
            </w:r>
            <w:r w:rsidR="00296019">
              <w:rPr>
                <w:bCs/>
              </w:rPr>
              <w:t>projekta 39.3</w:t>
            </w:r>
            <w:r>
              <w:rPr>
                <w:bCs/>
              </w:rPr>
              <w:t>. apakšpunkts</w:t>
            </w:r>
          </w:p>
        </w:tc>
        <w:tc>
          <w:tcPr>
            <w:tcW w:w="2427" w:type="dxa"/>
            <w:tcBorders>
              <w:top w:val="outset" w:sz="6" w:space="0" w:color="auto"/>
              <w:left w:val="outset" w:sz="6" w:space="0" w:color="auto"/>
              <w:bottom w:val="outset" w:sz="6" w:space="0" w:color="auto"/>
              <w:right w:val="outset" w:sz="6" w:space="0" w:color="auto"/>
            </w:tcBorders>
          </w:tcPr>
          <w:p w:rsidR="004154D2" w:rsidRPr="00D06F56" w:rsidRDefault="004154D2" w:rsidP="004154D2">
            <w:pPr>
              <w:pStyle w:val="naisf"/>
              <w:ind w:right="71"/>
              <w:rPr>
                <w:iCs/>
              </w:rPr>
            </w:pPr>
            <w:r w:rsidRPr="00D06F56">
              <w:rPr>
                <w:iCs/>
              </w:rPr>
              <w:t>Tiesību norma ieviesta pilnībā.</w:t>
            </w:r>
          </w:p>
          <w:p w:rsidR="004154D2" w:rsidRPr="00D06F56" w:rsidRDefault="004154D2" w:rsidP="00D06F56">
            <w:pPr>
              <w:pStyle w:val="naisf"/>
              <w:ind w:right="71"/>
              <w:rPr>
                <w:iCs/>
              </w:rPr>
            </w:pPr>
          </w:p>
        </w:tc>
        <w:tc>
          <w:tcPr>
            <w:tcW w:w="2721" w:type="dxa"/>
            <w:tcBorders>
              <w:top w:val="outset" w:sz="6" w:space="0" w:color="auto"/>
              <w:left w:val="outset" w:sz="6" w:space="0" w:color="auto"/>
              <w:bottom w:val="outset" w:sz="6" w:space="0" w:color="auto"/>
            </w:tcBorders>
          </w:tcPr>
          <w:p w:rsidR="004154D2" w:rsidRPr="00D06F56" w:rsidRDefault="004154D2"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Kā ir izmantota ES tiesību aktā paredzētā rīcības brīvība dalīb</w:t>
            </w:r>
            <w:r w:rsidRPr="00D06F56">
              <w:softHyphen/>
              <w:t>valstij pārņemt vai ieviest noteiktas ES tiesību akta normas?</w:t>
            </w:r>
          </w:p>
          <w:p w:rsidR="00D06F56" w:rsidRPr="00D06F56" w:rsidRDefault="00D06F56" w:rsidP="00D06F56">
            <w:pPr>
              <w:pStyle w:val="naisf"/>
              <w:ind w:right="71"/>
            </w:pPr>
            <w:r w:rsidRPr="00D06F56">
              <w:t>Kādēļ?</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sniegt paziņojumu ES insti</w:t>
            </w:r>
            <w:r w:rsidRPr="00D06F56">
              <w:softHyphen/>
              <w:t>tūcijām un ES dalīb</w:t>
            </w:r>
            <w:r w:rsidRPr="00D06F56">
              <w:softHyphen/>
              <w:t>valstīm atbilstoši normatīvajiem aktiem, kas regulē informā</w:t>
            </w:r>
            <w:r w:rsidRPr="00D06F56">
              <w:softHyphen/>
              <w:t>cijas sniegšanu par tehnisko noteikumu, valsts atbalsta piešķir</w:t>
            </w:r>
            <w:r w:rsidRPr="00D06F56">
              <w:softHyphen/>
              <w:t>šanas un finanšu noteikumu (attiecībā uz monetāro politiku) projektiem</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bl>
    <w:p w:rsidR="00D06F56" w:rsidRDefault="00D06F56" w:rsidP="00D802F7">
      <w:pPr>
        <w:pStyle w:val="naisf"/>
        <w:spacing w:before="0" w:after="0"/>
        <w:ind w:right="71" w:firstLine="0"/>
      </w:pPr>
    </w:p>
    <w:tbl>
      <w:tblPr>
        <w:tblW w:w="922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83"/>
        <w:gridCol w:w="1505"/>
        <w:gridCol w:w="267"/>
        <w:gridCol w:w="738"/>
        <w:gridCol w:w="930"/>
        <w:gridCol w:w="1200"/>
        <w:gridCol w:w="1150"/>
        <w:gridCol w:w="2756"/>
      </w:tblGrid>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1.</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pret Eiropas Savienību</w:t>
            </w:r>
          </w:p>
        </w:tc>
        <w:tc>
          <w:tcPr>
            <w:tcW w:w="6036" w:type="dxa"/>
            <w:gridSpan w:val="4"/>
            <w:tcBorders>
              <w:top w:val="outset" w:sz="6" w:space="0" w:color="auto"/>
              <w:left w:val="outset" w:sz="6" w:space="0" w:color="auto"/>
              <w:bottom w:val="outset" w:sz="6" w:space="0" w:color="auto"/>
            </w:tcBorders>
          </w:tcPr>
          <w:p w:rsidR="00D06F56" w:rsidRPr="00D06F56" w:rsidRDefault="005066FD" w:rsidP="00D06F56">
            <w:pPr>
              <w:pStyle w:val="naisf"/>
              <w:ind w:right="71"/>
            </w:pPr>
            <w:r>
              <w:t xml:space="preserve">Noteikumu projektā iekļautas normas, kas </w:t>
            </w:r>
            <w:r w:rsidR="00D06F56" w:rsidRPr="00D06F56">
              <w:t xml:space="preserve"> nodrošina Komisijas regulas Nr. 1408/2013 prasību izpildi nacionālā līmenī.</w:t>
            </w:r>
          </w:p>
          <w:p w:rsidR="00D06F56" w:rsidRPr="00D06F56" w:rsidRDefault="00D06F56" w:rsidP="00D06F56">
            <w:pPr>
              <w:pStyle w:val="naisf"/>
              <w:ind w:right="71"/>
            </w:pPr>
          </w:p>
        </w:tc>
      </w:tr>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2.</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Citas starptautiskās saistības</w:t>
            </w:r>
          </w:p>
        </w:tc>
        <w:tc>
          <w:tcPr>
            <w:tcW w:w="6036"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3.</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036"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9229" w:type="dxa"/>
            <w:gridSpan w:val="8"/>
            <w:tcBorders>
              <w:top w:val="outset" w:sz="6" w:space="0" w:color="auto"/>
              <w:bottom w:val="outset" w:sz="6" w:space="0" w:color="auto"/>
            </w:tcBorders>
            <w:vAlign w:val="center"/>
          </w:tcPr>
          <w:p w:rsidR="00D06F56" w:rsidRPr="00D06F56" w:rsidRDefault="00D06F56" w:rsidP="00D06F56">
            <w:pPr>
              <w:pStyle w:val="naisf"/>
              <w:ind w:right="71"/>
              <w:rPr>
                <w:b/>
              </w:rPr>
            </w:pPr>
            <w:r w:rsidRPr="00D06F56">
              <w:rPr>
                <w:b/>
              </w:rPr>
              <w:t>1.tabula</w:t>
            </w:r>
          </w:p>
          <w:p w:rsidR="00D06F56" w:rsidRPr="00D06F56" w:rsidRDefault="00D06F56" w:rsidP="00D06F56">
            <w:pPr>
              <w:pStyle w:val="naisf"/>
              <w:ind w:right="71"/>
            </w:pPr>
            <w:r w:rsidRPr="00D06F56">
              <w:rPr>
                <w:b/>
              </w:rPr>
              <w:t>Tiesību akta projekta atbilstība ES tiesību aktiem</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datums, numurs un nosaukums</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 xml:space="preserve">2013.gada 18.decembra Eiropas Komisijas (ES) regula Nr.1408/2013 par Līguma par Eiropas Savienības darbību 107. un 108. panta piemērošanu </w:t>
            </w:r>
            <w:r w:rsidRPr="00D06F56">
              <w:rPr>
                <w:i/>
              </w:rPr>
              <w:t>de minimis</w:t>
            </w:r>
            <w:r w:rsidRPr="00D06F56">
              <w:t xml:space="preserve"> atbalstam lauksaimniecības nozarē.</w:t>
            </w:r>
          </w:p>
          <w:p w:rsidR="00D06F56" w:rsidRPr="00D06F56" w:rsidRDefault="00D06F56" w:rsidP="00D06F56">
            <w:pPr>
              <w:pStyle w:val="naisf"/>
              <w:ind w:right="71"/>
            </w:pP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1935" w:type="dxa"/>
            <w:gridSpan w:val="3"/>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2350" w:type="dxa"/>
            <w:gridSpan w:val="2"/>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C</w:t>
            </w:r>
          </w:p>
        </w:tc>
        <w:tc>
          <w:tcPr>
            <w:tcW w:w="2756" w:type="dxa"/>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D</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panta numurs (uzskaitot katru tiesību akta vienību – pantu, daļu, punktu, apakšpunktu)</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Projekta vienība, kas pārņem vai ievieš katru šīs tabulas A ailē minēto ES tiesību akta vienību, vai tiesību akts, kur attiecīgā ES tiesību akta vienība pārņemta vai ieviesta</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Informācija par to, vai šīs tabulas A ailē minētās ES tiesību akta vienības tiek pārņemtas vai ieviestas pilnībā vai daļēji.</w:t>
            </w:r>
          </w:p>
          <w:p w:rsidR="00D06F56" w:rsidRPr="00D06F56" w:rsidRDefault="00D06F56" w:rsidP="00D06F56">
            <w:pPr>
              <w:pStyle w:val="naisf"/>
              <w:ind w:right="71"/>
            </w:pPr>
            <w:r w:rsidRPr="00D06F56">
              <w:t>Ja attiecīgā ES tiesību akta vienība tiek pārņemta vai ieviesta daļēji, sniedz attiecīgu skaidrojumu, kā arī precīzi norāda, kad un kādā veidā ES tiesību akta vienība tiks pārņemta vai ieviesta pilnībā.</w:t>
            </w:r>
          </w:p>
          <w:p w:rsidR="00D06F56" w:rsidRPr="00D06F56" w:rsidRDefault="00D06F56" w:rsidP="00D06F56">
            <w:pPr>
              <w:pStyle w:val="naisf"/>
              <w:ind w:right="71"/>
            </w:pPr>
            <w:r w:rsidRPr="00D06F56">
              <w:t>Norāda institūciju, kas ir atbildīga par šo saistību izpildi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šīs tabulas B ailē minētās projekta vienības paredz stingrākas prasības nekā šīs tabulas A ailē minētās ES tiesību akta vienības.</w:t>
            </w:r>
          </w:p>
          <w:p w:rsidR="00D06F56" w:rsidRPr="00D06F56" w:rsidRDefault="00D06F56" w:rsidP="00D06F56">
            <w:pPr>
              <w:pStyle w:val="naisf"/>
              <w:ind w:right="71"/>
            </w:pPr>
            <w:r w:rsidRPr="00D06F56">
              <w:t>Ja projekts satur stingrā</w:t>
            </w:r>
            <w:r w:rsidRPr="00D06F56">
              <w:softHyphen/>
              <w:t>kas prasības nekā attie</w:t>
            </w:r>
            <w:r w:rsidRPr="00D06F56">
              <w:softHyphen/>
              <w:t>cīgais ES tiesību akts, norāda pamatojumu un samērīgumu.</w:t>
            </w:r>
          </w:p>
          <w:p w:rsidR="00D06F56" w:rsidRPr="00D06F56" w:rsidRDefault="00D06F56" w:rsidP="00D06F56">
            <w:pPr>
              <w:pStyle w:val="naisf"/>
              <w:ind w:right="71"/>
            </w:pPr>
            <w:r w:rsidRPr="00D06F56">
              <w:t>Norāda iespējamās alternatīvas (t.sk. alternatīvas, kas neparedz tiesiskā regulējuma izstrādi) – kādos gadījumos būtu iespējams izvairīties no stingrāku prasību noteikšanas, nekā paredzēts attiecīgajos ES tiesību aktos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w:t>
            </w:r>
            <w:r w:rsidR="005066FD">
              <w:t>omisijas regulas Nr. 1408/2013 1</w:t>
            </w:r>
            <w:r w:rsidR="004154D2">
              <w:t>. pants</w:t>
            </w:r>
            <w:r w:rsidRPr="00D06F56">
              <w:t xml:space="preserve"> </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5066FD" w:rsidP="00D06F56">
            <w:pPr>
              <w:pStyle w:val="naisf"/>
              <w:ind w:right="71"/>
            </w:pPr>
            <w:r>
              <w:rPr>
                <w:bCs/>
              </w:rPr>
              <w:t>Noteikumu proje</w:t>
            </w:r>
            <w:r w:rsidR="00296019">
              <w:rPr>
                <w:bCs/>
              </w:rPr>
              <w:t>kta 39.1.,</w:t>
            </w:r>
            <w:r w:rsidR="009436C2">
              <w:rPr>
                <w:bCs/>
              </w:rPr>
              <w:t xml:space="preserve"> apakš</w:t>
            </w:r>
            <w:r w:rsidR="00D06F56" w:rsidRPr="00D06F56">
              <w:rPr>
                <w:bCs/>
              </w:rPr>
              <w:t xml:space="preserve">punkts. </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t>K</w:t>
            </w:r>
            <w:r w:rsidR="004154D2">
              <w:t>omisijas regulas Nr. 1408/2013 2</w:t>
            </w:r>
            <w:r w:rsidRPr="00D06F56">
              <w:t>. panta 2. 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4154D2">
            <w:pPr>
              <w:pStyle w:val="naisf"/>
              <w:ind w:right="71"/>
              <w:rPr>
                <w:bCs/>
              </w:rPr>
            </w:pPr>
            <w:r w:rsidRPr="00D06F56">
              <w:rPr>
                <w:bCs/>
              </w:rPr>
              <w:t xml:space="preserve">Noteikumu projekta </w:t>
            </w:r>
            <w:r w:rsidR="004154D2">
              <w:rPr>
                <w:bCs/>
              </w:rPr>
              <w:t>39.2. apak</w:t>
            </w:r>
            <w:r w:rsidR="00494FD7">
              <w:rPr>
                <w:bCs/>
              </w:rPr>
              <w:t>š</w:t>
            </w:r>
            <w:r w:rsidR="004154D2">
              <w:rPr>
                <w:bCs/>
              </w:rPr>
              <w:t>punkts</w:t>
            </w:r>
            <w:r w:rsidR="00494FD7">
              <w:rPr>
                <w:bCs/>
              </w:rPr>
              <w:t>.</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 xml:space="preserve">Komisijas </w:t>
            </w:r>
            <w:r w:rsidR="00494FD7">
              <w:t>regulas Nr. 1408/2013 3. panta 2</w:t>
            </w:r>
            <w:r w:rsidRPr="00D06F56">
              <w:t>. 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9436C2">
            <w:pPr>
              <w:pStyle w:val="naisf"/>
              <w:ind w:right="71"/>
              <w:rPr>
                <w:bCs/>
              </w:rPr>
            </w:pPr>
            <w:r w:rsidRPr="00D06F56">
              <w:rPr>
                <w:bCs/>
              </w:rPr>
              <w:t xml:space="preserve">Noteikumu projekta </w:t>
            </w:r>
            <w:r w:rsidR="00494FD7">
              <w:rPr>
                <w:bCs/>
              </w:rPr>
              <w:t xml:space="preserve">12.4, </w:t>
            </w:r>
            <w:r w:rsidR="00296019">
              <w:rPr>
                <w:bCs/>
              </w:rPr>
              <w:t>39.2</w:t>
            </w:r>
            <w:r w:rsidR="009436C2">
              <w:rPr>
                <w:bCs/>
              </w:rPr>
              <w:t>. apakšpunkti.</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4.pants.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A413D3">
              <w:rPr>
                <w:bCs/>
              </w:rPr>
              <w:t>12</w:t>
            </w:r>
            <w:r w:rsidR="006E2514">
              <w:rPr>
                <w:bCs/>
              </w:rPr>
              <w:t>.</w:t>
            </w:r>
            <w:r w:rsidR="00A413D3">
              <w:rPr>
                <w:bCs/>
              </w:rPr>
              <w:t>4</w:t>
            </w:r>
            <w:r w:rsidRPr="00D06F56">
              <w:rPr>
                <w:bCs/>
              </w:rPr>
              <w:t xml:space="preserve">. </w:t>
            </w:r>
            <w:r w:rsidR="006E2514">
              <w:rPr>
                <w:bCs/>
              </w:rPr>
              <w:t>apakš</w:t>
            </w:r>
            <w:r w:rsidRPr="00D06F56">
              <w:rPr>
                <w:bCs/>
              </w:rPr>
              <w:t>punkts.</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5. pants.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A413D3">
              <w:rPr>
                <w:bCs/>
              </w:rPr>
              <w:t>12</w:t>
            </w:r>
            <w:r w:rsidR="006E2514">
              <w:rPr>
                <w:bCs/>
              </w:rPr>
              <w:t>.</w:t>
            </w:r>
            <w:r w:rsidR="00A413D3">
              <w:rPr>
                <w:bCs/>
              </w:rPr>
              <w:t>4</w:t>
            </w:r>
            <w:r w:rsidRPr="00D06F56">
              <w:rPr>
                <w:bCs/>
              </w:rPr>
              <w:t xml:space="preserve">. </w:t>
            </w:r>
            <w:r w:rsidR="00296019">
              <w:rPr>
                <w:bCs/>
              </w:rPr>
              <w:t>39.2</w:t>
            </w:r>
            <w:r w:rsidR="00494FD7">
              <w:rPr>
                <w:bCs/>
              </w:rPr>
              <w:t xml:space="preserve">. </w:t>
            </w:r>
            <w:r w:rsidR="006E2514">
              <w:rPr>
                <w:bCs/>
              </w:rPr>
              <w:t>apakš</w:t>
            </w:r>
            <w:r w:rsidRPr="00D06F56">
              <w:rPr>
                <w:bCs/>
              </w:rPr>
              <w:t>punkts.</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pP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6. panta 4.punkts.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6E2514">
            <w:pPr>
              <w:pStyle w:val="naisf"/>
              <w:ind w:right="71"/>
              <w:rPr>
                <w:bCs/>
              </w:rPr>
            </w:pPr>
            <w:r w:rsidRPr="00D06F56">
              <w:rPr>
                <w:bCs/>
              </w:rPr>
              <w:t>Noteikumu projekta</w:t>
            </w:r>
            <w:r w:rsidR="006E2514">
              <w:rPr>
                <w:bCs/>
              </w:rPr>
              <w:t xml:space="preserve"> 43</w:t>
            </w:r>
            <w:r w:rsidRPr="00D06F56">
              <w:rPr>
                <w:bCs/>
              </w:rPr>
              <w:t>.</w:t>
            </w:r>
            <w:r w:rsidR="006E2514">
              <w:rPr>
                <w:bCs/>
              </w:rPr>
              <w:t>, 44 apakšpunkti.</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Kā ir izmantota ES tiesību aktā paredzētā rīcības brīvība dalīb</w:t>
            </w:r>
            <w:r w:rsidRPr="00D06F56">
              <w:softHyphen/>
              <w:t>valstij pārņemt vai ieviest noteiktas ES tiesību akta normas?</w:t>
            </w:r>
          </w:p>
          <w:p w:rsidR="00D06F56" w:rsidRPr="00D06F56" w:rsidRDefault="00D06F56" w:rsidP="00D06F56">
            <w:pPr>
              <w:pStyle w:val="naisf"/>
              <w:ind w:right="71"/>
            </w:pPr>
            <w:r w:rsidRPr="00D06F56">
              <w:t>Kādēļ?</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sniegt paziņojumu ES insti</w:t>
            </w:r>
            <w:r w:rsidRPr="00D06F56">
              <w:softHyphen/>
              <w:t>tūcijām un ES dalīb</w:t>
            </w:r>
            <w:r w:rsidRPr="00D06F56">
              <w:softHyphen/>
              <w:t>valstīm atbilstoši normatīvajiem aktiem, kas regulē informā</w:t>
            </w:r>
            <w:r w:rsidRPr="00D06F56">
              <w:softHyphen/>
              <w:t>cijas sniegšanu par tehnisko noteikumu, valsts atbalsta piešķir</w:t>
            </w:r>
            <w:r w:rsidRPr="00D06F56">
              <w:softHyphen/>
              <w:t>šanas un finanšu noteikumu (attiecībā uz monetāro politiku) projektiem</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D06F56">
        <w:trPr>
          <w:jc w:val="center"/>
        </w:trPr>
        <w:tc>
          <w:tcPr>
            <w:tcW w:w="9229" w:type="dxa"/>
            <w:gridSpan w:val="8"/>
            <w:tcBorders>
              <w:top w:val="outset" w:sz="6" w:space="0" w:color="auto"/>
              <w:bottom w:val="outset" w:sz="6" w:space="0" w:color="auto"/>
            </w:tcBorders>
            <w:vAlign w:val="center"/>
          </w:tcPr>
          <w:p w:rsidR="00D06F56" w:rsidRPr="00D06F56" w:rsidRDefault="00D06F56" w:rsidP="00D06F56">
            <w:pPr>
              <w:pStyle w:val="naisf"/>
              <w:ind w:right="71"/>
              <w:rPr>
                <w:b/>
              </w:rPr>
            </w:pPr>
            <w:r w:rsidRPr="00D06F56">
              <w:rPr>
                <w:b/>
              </w:rPr>
              <w:t>2.tabula</w:t>
            </w:r>
          </w:p>
          <w:p w:rsidR="00D06F56" w:rsidRPr="00D06F56" w:rsidRDefault="00D06F56" w:rsidP="00D06F56">
            <w:pPr>
              <w:pStyle w:val="naisf"/>
              <w:ind w:right="71"/>
              <w:rPr>
                <w:b/>
              </w:rPr>
            </w:pPr>
            <w:r w:rsidRPr="00D06F56">
              <w:rPr>
                <w:b/>
              </w:rPr>
              <w:t>Ar tiesību akta projektu izpildītās vai uzņemtās saistības, kas izriet no starptautiskajiem tiesību aktiem vai starptautiskas institūcijas vai organizācijas dokumentiem.</w:t>
            </w:r>
          </w:p>
          <w:p w:rsidR="00D06F56" w:rsidRPr="00D06F56" w:rsidRDefault="00D06F56" w:rsidP="00D06F56">
            <w:pPr>
              <w:pStyle w:val="naisf"/>
              <w:ind w:right="71"/>
              <w:rPr>
                <w:b/>
              </w:rPr>
            </w:pPr>
            <w:r w:rsidRPr="00D06F56">
              <w:rPr>
                <w:b/>
              </w:rPr>
              <w:t>Pasākumi šo saistību izpildei</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Attiecīgā starptautiskā tiesību akta vai starptautiskas institūcijas vai organizācijas dokumenta (turpmāk – starptautiskais dokuments) datums, numurs un nosaukums</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2868" w:type="dxa"/>
            <w:gridSpan w:val="3"/>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3906" w:type="dxa"/>
            <w:gridSpan w:val="2"/>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C</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Starptautiskās saistības (pēc būtības), kas izriet no norādītā starptautis</w:t>
            </w:r>
            <w:r w:rsidRPr="00D06F56">
              <w:softHyphen/>
              <w:t>kā dokumenta.</w:t>
            </w:r>
          </w:p>
          <w:p w:rsidR="00D06F56" w:rsidRPr="00D06F56" w:rsidRDefault="00D06F56" w:rsidP="00D06F56">
            <w:pPr>
              <w:pStyle w:val="naisf"/>
              <w:ind w:right="71"/>
            </w:pPr>
            <w:r w:rsidRPr="00D06F56">
              <w:t>Konkrēti veicamie pasākumi vai uzdevumi, kas nepieciešami šo starptautisko saistību izpildei</w:t>
            </w:r>
          </w:p>
        </w:tc>
        <w:tc>
          <w:tcPr>
            <w:tcW w:w="2868"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06" w:type="dxa"/>
            <w:gridSpan w:val="2"/>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starptautiskās saistības, kas minētas šīs tabulas A ailē, tiek izpildītas pilnībā vai daļēji.</w:t>
            </w:r>
          </w:p>
          <w:p w:rsidR="00D06F56" w:rsidRPr="00D06F56" w:rsidRDefault="00D06F56" w:rsidP="00D06F56">
            <w:pPr>
              <w:pStyle w:val="naisf"/>
              <w:ind w:right="71"/>
            </w:pPr>
            <w:r w:rsidRPr="00D06F56">
              <w:t>Ja attiecīgās starptautiskās saistības tiek izpildītas daļēji, sniedz skaidrojumu, kā arī precīzi norāda, kad un kādā veidā starptautiskās saistības tiks izpildītas pilnībā.</w:t>
            </w:r>
          </w:p>
          <w:p w:rsidR="00D06F56" w:rsidRPr="00D06F56" w:rsidRDefault="00D06F56" w:rsidP="00D06F56">
            <w:pPr>
              <w:pStyle w:val="naisf"/>
              <w:ind w:right="71"/>
            </w:pPr>
            <w:r w:rsidRPr="00D06F56">
              <w:t>Norāda institūciju, kas ir atbildīga par šo saistību izpildi pilnībā</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Nav</w:t>
            </w:r>
          </w:p>
        </w:tc>
        <w:tc>
          <w:tcPr>
            <w:tcW w:w="2868"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Nav</w:t>
            </w:r>
          </w:p>
        </w:tc>
        <w:tc>
          <w:tcPr>
            <w:tcW w:w="3906" w:type="dxa"/>
            <w:gridSpan w:val="2"/>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Vai starptautiskajā dokumentā paredzētās saistības nav pretrunā ar jau esošajām Latvijas Republikas starptautis</w:t>
            </w:r>
            <w:r w:rsidRPr="00D06F56">
              <w:softHyphen/>
              <w:t>kajām saistībām</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bl>
    <w:p w:rsidR="00D06F56" w:rsidRPr="00FA5834" w:rsidRDefault="00D06F56" w:rsidP="00D802F7">
      <w:pPr>
        <w:pStyle w:val="naisf"/>
        <w:spacing w:before="0" w:after="0"/>
        <w:ind w:right="71" w:firstLine="0"/>
      </w:pPr>
    </w:p>
    <w:p w:rsidR="00EF363F" w:rsidRPr="00FA5834" w:rsidRDefault="00EF363F" w:rsidP="00865B60">
      <w:pPr>
        <w:pStyle w:val="naisf"/>
        <w:spacing w:before="0" w:after="0"/>
        <w:ind w:right="71" w:firstLine="0"/>
        <w:rPr>
          <w:b/>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
        <w:gridCol w:w="4148"/>
        <w:gridCol w:w="4494"/>
      </w:tblGrid>
      <w:tr w:rsidR="00647E32" w:rsidRPr="00FA5834" w:rsidTr="00225A41">
        <w:trPr>
          <w:jc w:val="center"/>
        </w:trPr>
        <w:tc>
          <w:tcPr>
            <w:tcW w:w="9176" w:type="dxa"/>
            <w:gridSpan w:val="3"/>
          </w:tcPr>
          <w:p w:rsidR="00647E32" w:rsidRPr="00FA5834" w:rsidRDefault="00647E32" w:rsidP="00865B60">
            <w:pPr>
              <w:pStyle w:val="naisnod"/>
              <w:spacing w:before="0" w:after="0"/>
              <w:ind w:right="71"/>
            </w:pPr>
            <w:r w:rsidRPr="00FA5834">
              <w:t>VI. Sabiedrības līdzdalība un šīs līdzdalības rezultāti</w:t>
            </w:r>
          </w:p>
        </w:tc>
      </w:tr>
      <w:tr w:rsidR="00647E32" w:rsidRPr="00FA5834" w:rsidTr="00225A41">
        <w:trPr>
          <w:trHeight w:val="553"/>
          <w:jc w:val="center"/>
        </w:trPr>
        <w:tc>
          <w:tcPr>
            <w:tcW w:w="534" w:type="dxa"/>
          </w:tcPr>
          <w:p w:rsidR="00647E32" w:rsidRPr="00FA5834" w:rsidRDefault="00647E32" w:rsidP="00865B60">
            <w:pPr>
              <w:pStyle w:val="naiskr"/>
              <w:spacing w:before="0" w:after="0"/>
              <w:ind w:right="71"/>
              <w:rPr>
                <w:bCs/>
              </w:rPr>
            </w:pPr>
            <w:r w:rsidRPr="00FA5834">
              <w:rPr>
                <w:bCs/>
              </w:rPr>
              <w:t>1.</w:t>
            </w:r>
          </w:p>
        </w:tc>
        <w:tc>
          <w:tcPr>
            <w:tcW w:w="4148" w:type="dxa"/>
          </w:tcPr>
          <w:p w:rsidR="00647E32" w:rsidRPr="00FA5834" w:rsidRDefault="006E3F2A" w:rsidP="00865B60">
            <w:pPr>
              <w:pStyle w:val="naiskr"/>
              <w:tabs>
                <w:tab w:val="left" w:pos="170"/>
              </w:tabs>
              <w:spacing w:before="0" w:after="0"/>
              <w:ind w:right="71"/>
            </w:pPr>
            <w:r>
              <w:t>Plānotās sabiedrības līdzdalības un komunikācijas aktivitātes saistībā ar projektu</w:t>
            </w:r>
          </w:p>
        </w:tc>
        <w:tc>
          <w:tcPr>
            <w:tcW w:w="4494" w:type="dxa"/>
          </w:tcPr>
          <w:p w:rsidR="00076958" w:rsidRDefault="00076958" w:rsidP="00076958">
            <w:pPr>
              <w:ind w:left="57" w:right="57"/>
              <w:jc w:val="both"/>
            </w:pPr>
            <w:r w:rsidRPr="00F42059">
              <w:t>Saskaņā ar Ministru kabineta 2009.gada 25.augusta noteikumu Nr.970 „Sabiedrības līdzdalības kārtība attīstības plānošanas procesā” 7.4.</w:t>
            </w:r>
            <w:r w:rsidRPr="00F42059">
              <w:rPr>
                <w:vertAlign w:val="superscript"/>
              </w:rPr>
              <w:t>1</w:t>
            </w:r>
            <w:r w:rsidRPr="00F42059">
              <w:t>apakšpunktu sabiedrības pārstāvji ir aicināti līdzdarboties, rakstiski sniedzot viedokli par noteikumu projektu tā izstrādes stadijā. Sabiedrības pārstāvji ir informēti par iespēju līdzdarboties, publicējot paziņoju</w:t>
            </w:r>
            <w:r>
              <w:t>mu par līdzdalības procesu ministrijas</w:t>
            </w:r>
            <w:r w:rsidRPr="00F42059">
              <w:t xml:space="preserve"> tīmekļa vietnē.</w:t>
            </w:r>
          </w:p>
          <w:p w:rsidR="00647E32" w:rsidRPr="00FA5834" w:rsidRDefault="00647E32" w:rsidP="00442C4B">
            <w:pPr>
              <w:jc w:val="both"/>
            </w:pPr>
          </w:p>
        </w:tc>
      </w:tr>
      <w:tr w:rsidR="00647E32" w:rsidRPr="00FA5834" w:rsidTr="00225A41">
        <w:trPr>
          <w:trHeight w:val="339"/>
          <w:jc w:val="center"/>
        </w:trPr>
        <w:tc>
          <w:tcPr>
            <w:tcW w:w="534" w:type="dxa"/>
          </w:tcPr>
          <w:p w:rsidR="00647E32" w:rsidRPr="00FA5834" w:rsidRDefault="00647E32" w:rsidP="00865B60">
            <w:pPr>
              <w:pStyle w:val="naiskr"/>
              <w:spacing w:before="0" w:after="0"/>
              <w:ind w:right="71"/>
              <w:rPr>
                <w:bCs/>
              </w:rPr>
            </w:pPr>
            <w:r w:rsidRPr="00FA5834">
              <w:rPr>
                <w:bCs/>
              </w:rPr>
              <w:t>2.</w:t>
            </w:r>
          </w:p>
        </w:tc>
        <w:tc>
          <w:tcPr>
            <w:tcW w:w="4148" w:type="dxa"/>
          </w:tcPr>
          <w:p w:rsidR="00647E32" w:rsidRPr="00FA5834" w:rsidRDefault="00647E32" w:rsidP="00865B60">
            <w:pPr>
              <w:pStyle w:val="naiskr"/>
              <w:spacing w:before="0" w:after="0"/>
              <w:ind w:right="71"/>
            </w:pPr>
            <w:r w:rsidRPr="00FA5834">
              <w:t xml:space="preserve">Sabiedrības līdzdalība projekta izstrādē </w:t>
            </w:r>
          </w:p>
        </w:tc>
        <w:tc>
          <w:tcPr>
            <w:tcW w:w="4494" w:type="dxa"/>
          </w:tcPr>
          <w:p w:rsidR="00076958" w:rsidRDefault="00076958" w:rsidP="00076958">
            <w:pPr>
              <w:ind w:right="88"/>
              <w:jc w:val="both"/>
            </w:pPr>
            <w:r w:rsidRPr="00623CA6">
              <w:t xml:space="preserve">Noteikumu projekts </w:t>
            </w:r>
            <w:r w:rsidRPr="00D74D0A">
              <w:t xml:space="preserve">2015.gada </w:t>
            </w:r>
            <w:r w:rsidR="00442C4B">
              <w:t xml:space="preserve">28.oktobrī </w:t>
            </w:r>
            <w:r w:rsidRPr="00623CA6">
              <w:t xml:space="preserve"> </w:t>
            </w:r>
            <w:r>
              <w:t>ievietots ministrijas</w:t>
            </w:r>
            <w:r w:rsidRPr="00623CA6">
              <w:t xml:space="preserve"> publiskā tīmekļa vietnē</w:t>
            </w:r>
            <w:r>
              <w:t>:</w:t>
            </w:r>
          </w:p>
          <w:p w:rsidR="00DF622C" w:rsidRDefault="00C44F3E" w:rsidP="00076958">
            <w:pPr>
              <w:pStyle w:val="naiskr"/>
              <w:spacing w:before="0" w:after="0"/>
              <w:ind w:right="71"/>
              <w:jc w:val="both"/>
            </w:pPr>
            <w:hyperlink r:id="rId9" w:history="1">
              <w:r w:rsidR="00076958" w:rsidRPr="00AC3E88">
                <w:rPr>
                  <w:rStyle w:val="Hyperlink"/>
                </w:rPr>
                <w:t>www.varam.gov.lv</w:t>
              </w:r>
            </w:hyperlink>
            <w:r w:rsidR="00076958">
              <w:t xml:space="preserve"> </w:t>
            </w:r>
          </w:p>
          <w:p w:rsidR="00647E32" w:rsidRPr="00FA5834" w:rsidRDefault="00DF622C" w:rsidP="00076958">
            <w:pPr>
              <w:pStyle w:val="naiskr"/>
              <w:spacing w:before="0" w:after="0"/>
              <w:ind w:right="71"/>
              <w:jc w:val="both"/>
            </w:pPr>
            <w:r>
              <w:t>Interesentiem telefoniski sniegts skaidrojums par noteikumu projektu un atsevišķām tajā plānotajām normām.</w:t>
            </w:r>
            <w:r w:rsidR="00076958">
              <w:t xml:space="preserve"> </w:t>
            </w:r>
          </w:p>
        </w:tc>
      </w:tr>
      <w:tr w:rsidR="00647E32" w:rsidRPr="00FA5834" w:rsidTr="00225A41">
        <w:trPr>
          <w:trHeight w:val="375"/>
          <w:jc w:val="center"/>
        </w:trPr>
        <w:tc>
          <w:tcPr>
            <w:tcW w:w="534" w:type="dxa"/>
          </w:tcPr>
          <w:p w:rsidR="00647E32" w:rsidRPr="00FA5834" w:rsidRDefault="00647E32" w:rsidP="00865B60">
            <w:pPr>
              <w:pStyle w:val="naiskr"/>
              <w:spacing w:before="0" w:after="0"/>
              <w:ind w:right="71"/>
              <w:rPr>
                <w:bCs/>
              </w:rPr>
            </w:pPr>
            <w:r w:rsidRPr="00FA5834">
              <w:rPr>
                <w:bCs/>
              </w:rPr>
              <w:t>3.</w:t>
            </w:r>
          </w:p>
        </w:tc>
        <w:tc>
          <w:tcPr>
            <w:tcW w:w="4148" w:type="dxa"/>
          </w:tcPr>
          <w:p w:rsidR="00647E32" w:rsidRPr="00FA5834" w:rsidRDefault="00647E32" w:rsidP="00865B60">
            <w:pPr>
              <w:pStyle w:val="naiskr"/>
              <w:spacing w:before="0" w:after="0"/>
              <w:ind w:right="71"/>
            </w:pPr>
            <w:r w:rsidRPr="00FA5834">
              <w:t xml:space="preserve">Sabiedrības līdzdalības rezultāti </w:t>
            </w:r>
          </w:p>
        </w:tc>
        <w:tc>
          <w:tcPr>
            <w:tcW w:w="4494" w:type="dxa"/>
          </w:tcPr>
          <w:p w:rsidR="00647E32" w:rsidRPr="00FA5834" w:rsidRDefault="00DF622C" w:rsidP="00865B60">
            <w:pPr>
              <w:pStyle w:val="naiskr"/>
              <w:spacing w:before="0" w:after="0"/>
              <w:ind w:right="71"/>
              <w:jc w:val="both"/>
            </w:pPr>
            <w:r>
              <w:t>Latvijas Dabas fonda sniegtie iebildumi izvērtēti un ņemti vērā</w:t>
            </w:r>
          </w:p>
        </w:tc>
      </w:tr>
      <w:tr w:rsidR="00647E32" w:rsidRPr="00FA5834" w:rsidTr="00225A41">
        <w:trPr>
          <w:trHeight w:val="476"/>
          <w:jc w:val="center"/>
        </w:trPr>
        <w:tc>
          <w:tcPr>
            <w:tcW w:w="534" w:type="dxa"/>
          </w:tcPr>
          <w:p w:rsidR="00647E32" w:rsidRPr="00FA5834" w:rsidRDefault="006E3F2A" w:rsidP="00865B60">
            <w:pPr>
              <w:pStyle w:val="naiskr"/>
              <w:spacing w:before="0" w:after="0"/>
              <w:ind w:right="71"/>
              <w:rPr>
                <w:bCs/>
              </w:rPr>
            </w:pPr>
            <w:r>
              <w:rPr>
                <w:bCs/>
              </w:rPr>
              <w:t>4</w:t>
            </w:r>
            <w:r w:rsidR="00647E32" w:rsidRPr="00FA5834">
              <w:rPr>
                <w:bCs/>
              </w:rPr>
              <w:t>.</w:t>
            </w:r>
          </w:p>
        </w:tc>
        <w:tc>
          <w:tcPr>
            <w:tcW w:w="4148" w:type="dxa"/>
          </w:tcPr>
          <w:p w:rsidR="00647E32" w:rsidRPr="00FA5834" w:rsidRDefault="00647E32" w:rsidP="00865B60">
            <w:pPr>
              <w:pStyle w:val="naiskr"/>
              <w:spacing w:before="0" w:after="0"/>
              <w:ind w:right="71"/>
            </w:pPr>
            <w:r w:rsidRPr="00FA5834">
              <w:t>Cita informācija</w:t>
            </w:r>
          </w:p>
        </w:tc>
        <w:tc>
          <w:tcPr>
            <w:tcW w:w="4494" w:type="dxa"/>
          </w:tcPr>
          <w:p w:rsidR="00647E32" w:rsidRPr="00FA5834" w:rsidRDefault="00647E32" w:rsidP="00865B60">
            <w:pPr>
              <w:pStyle w:val="naiskr"/>
              <w:spacing w:before="0" w:after="0"/>
              <w:ind w:right="71"/>
              <w:jc w:val="both"/>
            </w:pPr>
            <w:r w:rsidRPr="00FA5834">
              <w:t>Nav</w:t>
            </w:r>
          </w:p>
        </w:tc>
      </w:tr>
    </w:tbl>
    <w:p w:rsidR="00647E32" w:rsidRPr="00FA5834" w:rsidRDefault="00647E32" w:rsidP="00865B60">
      <w:pPr>
        <w:pStyle w:val="naisf"/>
        <w:spacing w:before="0" w:after="0"/>
        <w:ind w:right="71"/>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40"/>
        <w:gridCol w:w="3757"/>
        <w:gridCol w:w="4883"/>
      </w:tblGrid>
      <w:tr w:rsidR="00647E32" w:rsidRPr="00FA5834" w:rsidTr="00E62B66">
        <w:tc>
          <w:tcPr>
            <w:tcW w:w="9180" w:type="dxa"/>
            <w:gridSpan w:val="3"/>
            <w:tcBorders>
              <w:top w:val="single" w:sz="4" w:space="0" w:color="auto"/>
            </w:tcBorders>
          </w:tcPr>
          <w:p w:rsidR="00647E32" w:rsidRPr="00FA5834" w:rsidRDefault="00647E32" w:rsidP="00865B60">
            <w:pPr>
              <w:pStyle w:val="naisnod"/>
              <w:spacing w:before="0" w:after="0"/>
              <w:ind w:right="71"/>
            </w:pPr>
            <w:r w:rsidRPr="00FA5834">
              <w:t>VII. Tiesību akta projekta izpildes nodrošināšana un tās ietekme uz institūcijām</w:t>
            </w:r>
          </w:p>
        </w:tc>
      </w:tr>
      <w:tr w:rsidR="00647E32" w:rsidRPr="00FA5834" w:rsidTr="00E62B66">
        <w:trPr>
          <w:trHeight w:val="427"/>
        </w:trPr>
        <w:tc>
          <w:tcPr>
            <w:tcW w:w="540" w:type="dxa"/>
          </w:tcPr>
          <w:p w:rsidR="00647E32" w:rsidRPr="00FA5834" w:rsidRDefault="00647E32" w:rsidP="00865B60">
            <w:pPr>
              <w:pStyle w:val="naisnod"/>
              <w:spacing w:before="0" w:after="0"/>
              <w:ind w:right="71"/>
              <w:jc w:val="left"/>
              <w:rPr>
                <w:b w:val="0"/>
              </w:rPr>
            </w:pPr>
            <w:r w:rsidRPr="00FA5834">
              <w:rPr>
                <w:b w:val="0"/>
              </w:rPr>
              <w:t>1.</w:t>
            </w:r>
          </w:p>
        </w:tc>
        <w:tc>
          <w:tcPr>
            <w:tcW w:w="3757" w:type="dxa"/>
          </w:tcPr>
          <w:p w:rsidR="00647E32" w:rsidRPr="00FA5834" w:rsidRDefault="00647E32" w:rsidP="00865B60">
            <w:pPr>
              <w:pStyle w:val="naisf"/>
              <w:spacing w:before="0" w:after="0"/>
              <w:ind w:right="71" w:firstLine="0"/>
              <w:jc w:val="left"/>
            </w:pPr>
            <w:r w:rsidRPr="00FA5834">
              <w:t xml:space="preserve">Projekta izpildē iesaistītās institūcijas </w:t>
            </w:r>
          </w:p>
        </w:tc>
        <w:tc>
          <w:tcPr>
            <w:tcW w:w="4883" w:type="dxa"/>
          </w:tcPr>
          <w:p w:rsidR="00647E32" w:rsidRPr="00FA5834" w:rsidRDefault="00647E32" w:rsidP="00A40310">
            <w:pPr>
              <w:pStyle w:val="naisnod"/>
              <w:spacing w:before="0" w:after="0"/>
              <w:ind w:right="71"/>
              <w:jc w:val="left"/>
              <w:rPr>
                <w:b w:val="0"/>
              </w:rPr>
            </w:pPr>
            <w:r w:rsidRPr="00FA5834">
              <w:rPr>
                <w:b w:val="0"/>
                <w:iCs/>
              </w:rPr>
              <w:t>Vides aizsardzības un reģionālās attīstības ministrija</w:t>
            </w:r>
            <w:r w:rsidR="00D30E0A" w:rsidRPr="00FA5834">
              <w:rPr>
                <w:b w:val="0"/>
                <w:iCs/>
              </w:rPr>
              <w:t xml:space="preserve">, </w:t>
            </w:r>
            <w:r w:rsidR="00A40310">
              <w:rPr>
                <w:b w:val="0"/>
                <w:iCs/>
              </w:rPr>
              <w:t>Valsts vides dienests</w:t>
            </w:r>
            <w:r w:rsidR="006515E8">
              <w:rPr>
                <w:b w:val="0"/>
                <w:iCs/>
              </w:rPr>
              <w:t>, Dabas aizsardzības p</w:t>
            </w:r>
            <w:r w:rsidR="00B1306B">
              <w:rPr>
                <w:b w:val="0"/>
                <w:iCs/>
              </w:rPr>
              <w:t>ārvalde.</w:t>
            </w:r>
          </w:p>
        </w:tc>
      </w:tr>
      <w:tr w:rsidR="00647E32" w:rsidRPr="00FA5834" w:rsidTr="00E62B66">
        <w:trPr>
          <w:trHeight w:val="463"/>
        </w:trPr>
        <w:tc>
          <w:tcPr>
            <w:tcW w:w="540" w:type="dxa"/>
          </w:tcPr>
          <w:p w:rsidR="00647E32" w:rsidRPr="00FA5834" w:rsidRDefault="00647E32" w:rsidP="00865B60">
            <w:pPr>
              <w:pStyle w:val="naisnod"/>
              <w:spacing w:before="0" w:after="0"/>
              <w:ind w:right="71"/>
              <w:jc w:val="left"/>
              <w:rPr>
                <w:b w:val="0"/>
              </w:rPr>
            </w:pPr>
            <w:r w:rsidRPr="00FA5834">
              <w:rPr>
                <w:b w:val="0"/>
              </w:rPr>
              <w:t>2.</w:t>
            </w:r>
          </w:p>
        </w:tc>
        <w:tc>
          <w:tcPr>
            <w:tcW w:w="3757" w:type="dxa"/>
          </w:tcPr>
          <w:p w:rsidR="00647E32" w:rsidRPr="00FA5834" w:rsidRDefault="00386C85" w:rsidP="00A80C80">
            <w:pPr>
              <w:pStyle w:val="naisf"/>
              <w:spacing w:before="0" w:after="0"/>
              <w:ind w:left="57" w:right="57" w:firstLine="0"/>
              <w:jc w:val="left"/>
            </w:pPr>
            <w:r w:rsidRPr="00DD49B6">
              <w:t>Projekta izpildes iet</w:t>
            </w:r>
            <w:r>
              <w:t xml:space="preserve">ekme uz pārvaldes funkcijām un </w:t>
            </w:r>
            <w:r w:rsidRPr="00DD49B6">
              <w:t>institucionālo struktūru.</w:t>
            </w:r>
            <w:r w:rsidR="00215D8A">
              <w:t xml:space="preserve"> </w:t>
            </w:r>
            <w:r w:rsidRPr="00DD49B6">
              <w:t>Jaunu institūciju izveide, esošu institūciju likvidācija vai reorga</w:t>
            </w:r>
            <w:r>
              <w:softHyphen/>
            </w:r>
            <w:r w:rsidRPr="00DD49B6">
              <w:t xml:space="preserve">nizācija, to ietekme uz </w:t>
            </w:r>
            <w:r>
              <w:t>institūcijas cilvēkresursiem</w:t>
            </w:r>
          </w:p>
        </w:tc>
        <w:tc>
          <w:tcPr>
            <w:tcW w:w="4883" w:type="dxa"/>
          </w:tcPr>
          <w:p w:rsidR="00A80C80" w:rsidRPr="00F25B7E" w:rsidRDefault="00A40310" w:rsidP="00F25B7E">
            <w:pPr>
              <w:jc w:val="both"/>
            </w:pPr>
            <w:r>
              <w:rPr>
                <w:color w:val="000000"/>
              </w:rPr>
              <w:t>P</w:t>
            </w:r>
            <w:r w:rsidR="009F6E17">
              <w:rPr>
                <w:color w:val="000000"/>
              </w:rPr>
              <w:t>aredz</w:t>
            </w:r>
            <w:r w:rsidR="00774DAF">
              <w:rPr>
                <w:color w:val="000000"/>
              </w:rPr>
              <w:t>ēta</w:t>
            </w:r>
            <w:r w:rsidR="009F6E17">
              <w:rPr>
                <w:color w:val="000000"/>
              </w:rPr>
              <w:t xml:space="preserve"> pārvaldes funkciju maiņ</w:t>
            </w:r>
            <w:r w:rsidR="00215D8A">
              <w:rPr>
                <w:color w:val="000000"/>
              </w:rPr>
              <w:t>a</w:t>
            </w:r>
            <w:r w:rsidR="00442C4B">
              <w:rPr>
                <w:b/>
                <w:color w:val="000000"/>
              </w:rPr>
              <w:t>.</w:t>
            </w:r>
            <w:r w:rsidR="009F6E17">
              <w:rPr>
                <w:color w:val="000000"/>
              </w:rPr>
              <w:t xml:space="preserve"> </w:t>
            </w:r>
            <w:r w:rsidR="00442C4B">
              <w:t>Viena iestāde – Dabas aizsardzības pārvalde veiks kompensāciju administrēšanu, pārņemot no</w:t>
            </w:r>
            <w:r w:rsidR="00442C4B" w:rsidRPr="00D35C30">
              <w:t xml:space="preserve"> </w:t>
            </w:r>
            <w:r w:rsidR="00442C4B">
              <w:t xml:space="preserve">Valsts vides dienesta </w:t>
            </w:r>
            <w:r w:rsidR="00442C4B" w:rsidRPr="00D35C30">
              <w:t>īpaši aizsargājamo nemedījamo sugu un migrējošo sugu dzīvnieku nodarī</w:t>
            </w:r>
            <w:r w:rsidR="00442C4B">
              <w:t>to</w:t>
            </w:r>
            <w:r w:rsidR="00442C4B" w:rsidRPr="00D35C30">
              <w:t xml:space="preserve"> postījum</w:t>
            </w:r>
            <w:r w:rsidR="00442C4B">
              <w:t>u</w:t>
            </w:r>
            <w:r w:rsidR="00442C4B" w:rsidRPr="00D35C30">
              <w:t xml:space="preserve"> </w:t>
            </w:r>
            <w:r w:rsidR="00442C4B">
              <w:t xml:space="preserve">novērtēšanu un zaudējumu </w:t>
            </w:r>
            <w:r w:rsidR="00442C4B" w:rsidRPr="00D35C30">
              <w:t>apmēra noteikšan</w:t>
            </w:r>
            <w:r w:rsidR="00442C4B">
              <w:t xml:space="preserve">as funkciju un no </w:t>
            </w:r>
            <w:r w:rsidR="00442C4B" w:rsidRPr="00D35C30">
              <w:t>Latvijas vides aizsardzības fond</w:t>
            </w:r>
            <w:r w:rsidR="00442C4B">
              <w:t xml:space="preserve">a  </w:t>
            </w:r>
            <w:r w:rsidR="00442C4B" w:rsidRPr="00D35C30">
              <w:t xml:space="preserve"> </w:t>
            </w:r>
            <w:r w:rsidR="00FF0B55">
              <w:t xml:space="preserve">administrācijas – </w:t>
            </w:r>
            <w:r w:rsidR="00442C4B">
              <w:t xml:space="preserve">lēmumu pieņemšanu un šo </w:t>
            </w:r>
            <w:r w:rsidR="00442C4B" w:rsidRPr="00D35C30">
              <w:t xml:space="preserve">kompensāciju </w:t>
            </w:r>
            <w:r w:rsidR="00442C4B">
              <w:t xml:space="preserve">izmaksu. Nav plānota jaunu institūciju veidošana vai esošo reorganizācija. </w:t>
            </w:r>
          </w:p>
        </w:tc>
      </w:tr>
      <w:tr w:rsidR="00A80C80" w:rsidRPr="00FA5834" w:rsidTr="00E62B66">
        <w:trPr>
          <w:trHeight w:val="463"/>
        </w:trPr>
        <w:tc>
          <w:tcPr>
            <w:tcW w:w="540" w:type="dxa"/>
          </w:tcPr>
          <w:p w:rsidR="00A80C80" w:rsidRPr="00FA5834" w:rsidRDefault="00A80C80" w:rsidP="00865B60">
            <w:pPr>
              <w:pStyle w:val="naisnod"/>
              <w:spacing w:before="0" w:after="0"/>
              <w:ind w:right="71"/>
              <w:jc w:val="left"/>
              <w:rPr>
                <w:b w:val="0"/>
              </w:rPr>
            </w:pPr>
            <w:r>
              <w:rPr>
                <w:b w:val="0"/>
              </w:rPr>
              <w:t>3.</w:t>
            </w:r>
          </w:p>
        </w:tc>
        <w:tc>
          <w:tcPr>
            <w:tcW w:w="3757" w:type="dxa"/>
          </w:tcPr>
          <w:p w:rsidR="00A80C80" w:rsidRPr="00DD49B6" w:rsidRDefault="00A80C80" w:rsidP="00A80C80">
            <w:pPr>
              <w:pStyle w:val="naisf"/>
              <w:spacing w:before="0" w:after="0"/>
              <w:ind w:right="57" w:firstLine="0"/>
              <w:jc w:val="left"/>
            </w:pPr>
            <w:r>
              <w:t>Cita informācija</w:t>
            </w:r>
          </w:p>
        </w:tc>
        <w:tc>
          <w:tcPr>
            <w:tcW w:w="4883" w:type="dxa"/>
          </w:tcPr>
          <w:p w:rsidR="00A80C80" w:rsidRPr="00A80C80" w:rsidRDefault="00A80C80" w:rsidP="00865B60">
            <w:pPr>
              <w:pStyle w:val="naisnod"/>
              <w:spacing w:before="0" w:after="0"/>
              <w:ind w:right="71"/>
              <w:jc w:val="left"/>
              <w:rPr>
                <w:b w:val="0"/>
                <w:color w:val="000000"/>
              </w:rPr>
            </w:pPr>
            <w:r w:rsidRPr="00A80C80">
              <w:rPr>
                <w:b w:val="0"/>
              </w:rPr>
              <w:t>Nav</w:t>
            </w:r>
          </w:p>
        </w:tc>
      </w:tr>
    </w:tbl>
    <w:p w:rsidR="002C4DAF" w:rsidRDefault="002C4DAF" w:rsidP="0054357B">
      <w:pPr>
        <w:spacing w:after="120"/>
        <w:jc w:val="both"/>
        <w:rPr>
          <w:bCs/>
        </w:rPr>
      </w:pPr>
    </w:p>
    <w:p w:rsidR="00A80C80" w:rsidRPr="00537602" w:rsidRDefault="0054357B" w:rsidP="00537602">
      <w:pPr>
        <w:spacing w:after="120"/>
        <w:jc w:val="both"/>
        <w:rPr>
          <w:bCs/>
          <w:i/>
        </w:rPr>
      </w:pPr>
      <w:r w:rsidRPr="00537602">
        <w:rPr>
          <w:bCs/>
          <w:i/>
        </w:rPr>
        <w:t xml:space="preserve">Anotācijas </w:t>
      </w:r>
      <w:r w:rsidR="009A2D7E" w:rsidRPr="00537602">
        <w:rPr>
          <w:bCs/>
          <w:i/>
        </w:rPr>
        <w:t>IV</w:t>
      </w:r>
      <w:r w:rsidR="00537602">
        <w:rPr>
          <w:bCs/>
          <w:i/>
        </w:rPr>
        <w:t xml:space="preserve"> sadaļa </w:t>
      </w:r>
      <w:r w:rsidRPr="00537602">
        <w:rPr>
          <w:bCs/>
          <w:i/>
        </w:rPr>
        <w:t>– projekts šo jomu neskar.</w:t>
      </w:r>
    </w:p>
    <w:p w:rsidR="00A80C80" w:rsidRDefault="00A80C80" w:rsidP="00A80C80"/>
    <w:p w:rsidR="00A80C80" w:rsidRDefault="00A80C80" w:rsidP="00A80C80">
      <w:r>
        <w:t xml:space="preserve">Vides aizsardzības un </w:t>
      </w:r>
    </w:p>
    <w:p w:rsidR="00A80C80" w:rsidRDefault="00A80C80" w:rsidP="00A80C80">
      <w:r>
        <w:t>reģionālās attīstības ministrs</w:t>
      </w:r>
      <w:r>
        <w:tab/>
      </w:r>
      <w:r>
        <w:tab/>
      </w:r>
      <w:r>
        <w:tab/>
      </w:r>
      <w:r>
        <w:tab/>
      </w:r>
      <w:r>
        <w:tab/>
      </w:r>
      <w:r>
        <w:tab/>
      </w:r>
      <w:r>
        <w:tab/>
      </w:r>
      <w:r w:rsidR="00BB420C">
        <w:t>K.</w:t>
      </w:r>
      <w:r>
        <w:t>Gerhards</w:t>
      </w:r>
    </w:p>
    <w:p w:rsidR="00A80C80" w:rsidRDefault="00A80C80" w:rsidP="00A80C80"/>
    <w:p w:rsidR="00BB420C" w:rsidRPr="00BB420C" w:rsidRDefault="00BB420C" w:rsidP="00BB420C">
      <w:pPr>
        <w:tabs>
          <w:tab w:val="left" w:pos="0"/>
        </w:tabs>
        <w:jc w:val="both"/>
        <w:rPr>
          <w:b/>
        </w:rPr>
      </w:pPr>
      <w:r w:rsidRPr="00BB420C">
        <w:rPr>
          <w:b/>
        </w:rPr>
        <w:t>Iesniedzējs:</w:t>
      </w:r>
    </w:p>
    <w:p w:rsidR="00BB420C" w:rsidRPr="00BB420C" w:rsidRDefault="00BB420C" w:rsidP="00BB420C">
      <w:pPr>
        <w:tabs>
          <w:tab w:val="left" w:pos="0"/>
        </w:tabs>
        <w:jc w:val="both"/>
      </w:pPr>
    </w:p>
    <w:p w:rsidR="00BB420C" w:rsidRPr="00BB420C" w:rsidRDefault="00BB420C" w:rsidP="005A3203">
      <w:r w:rsidRPr="00BB420C">
        <w:t xml:space="preserve">Vides aizsardzības un </w:t>
      </w:r>
    </w:p>
    <w:p w:rsidR="00BB420C" w:rsidRPr="00BB420C" w:rsidRDefault="00BB420C" w:rsidP="003C37FD">
      <w:pPr>
        <w:rPr>
          <w:b/>
          <w:color w:val="000000"/>
        </w:rPr>
      </w:pPr>
      <w:r w:rsidRPr="00BB420C">
        <w:t>reģionālās attīstības ministrs</w:t>
      </w:r>
      <w:r w:rsidRPr="00BB420C">
        <w:tab/>
      </w:r>
      <w:r w:rsidRPr="00BB420C">
        <w:tab/>
      </w:r>
      <w:r w:rsidR="003C37FD">
        <w:t xml:space="preserve">                                                           </w:t>
      </w:r>
      <w:r w:rsidRPr="00BB420C">
        <w:t>K.Gerhards</w:t>
      </w:r>
      <w:r w:rsidRPr="00BB420C">
        <w:rPr>
          <w:b/>
          <w:color w:val="000000"/>
        </w:rPr>
        <w:t xml:space="preserve"> </w:t>
      </w:r>
    </w:p>
    <w:p w:rsidR="00BB420C" w:rsidRPr="00BB420C" w:rsidRDefault="00BB420C" w:rsidP="00BB420C">
      <w:pPr>
        <w:tabs>
          <w:tab w:val="left" w:pos="6804"/>
        </w:tabs>
        <w:rPr>
          <w:b/>
          <w:color w:val="000000"/>
        </w:rPr>
      </w:pPr>
    </w:p>
    <w:p w:rsidR="00BB420C" w:rsidRPr="00BB420C" w:rsidRDefault="00BB420C" w:rsidP="00BB420C">
      <w:pPr>
        <w:tabs>
          <w:tab w:val="left" w:pos="6804"/>
        </w:tabs>
        <w:rPr>
          <w:b/>
          <w:color w:val="000000"/>
        </w:rPr>
      </w:pPr>
      <w:r w:rsidRPr="00BB420C">
        <w:rPr>
          <w:b/>
          <w:color w:val="000000"/>
        </w:rPr>
        <w:t xml:space="preserve">Vīza: </w:t>
      </w:r>
    </w:p>
    <w:p w:rsidR="00BB420C" w:rsidRPr="00067D6C" w:rsidRDefault="00C31E82" w:rsidP="00BB420C">
      <w:pPr>
        <w:tabs>
          <w:tab w:val="left" w:pos="6804"/>
        </w:tabs>
        <w:rPr>
          <w:color w:val="000000"/>
          <w:sz w:val="28"/>
          <w:szCs w:val="28"/>
        </w:rPr>
      </w:pPr>
      <w:r>
        <w:rPr>
          <w:color w:val="000000"/>
        </w:rPr>
        <w:t>V</w:t>
      </w:r>
      <w:r w:rsidR="00494FD7">
        <w:rPr>
          <w:color w:val="000000"/>
        </w:rPr>
        <w:t>alsts sekretārs</w:t>
      </w:r>
      <w:r w:rsidR="00C90119">
        <w:rPr>
          <w:color w:val="000000"/>
        </w:rPr>
        <w:t xml:space="preserve">         </w:t>
      </w:r>
      <w:r w:rsidR="00C90119">
        <w:rPr>
          <w:color w:val="000000"/>
        </w:rPr>
        <w:tab/>
        <w:t xml:space="preserve">      </w:t>
      </w:r>
      <w:r w:rsidR="00C90119">
        <w:rPr>
          <w:color w:val="000000"/>
        </w:rPr>
        <w:tab/>
      </w:r>
      <w:r w:rsidR="00494FD7">
        <w:rPr>
          <w:color w:val="000000"/>
        </w:rPr>
        <w:t>R.Muciņš</w:t>
      </w:r>
      <w:r w:rsidR="00C90119">
        <w:rPr>
          <w:color w:val="000000"/>
        </w:rPr>
        <w:t xml:space="preserve"> </w:t>
      </w:r>
    </w:p>
    <w:p w:rsidR="00A80C80" w:rsidRDefault="00A80C80" w:rsidP="00A80C80"/>
    <w:p w:rsidR="00A80C80" w:rsidRPr="005A3203" w:rsidRDefault="00494FD7" w:rsidP="00A80C80">
      <w:pPr>
        <w:rPr>
          <w:sz w:val="20"/>
          <w:szCs w:val="20"/>
        </w:rPr>
      </w:pPr>
      <w:r w:rsidRPr="005A3203">
        <w:rPr>
          <w:sz w:val="20"/>
          <w:szCs w:val="20"/>
        </w:rPr>
        <w:t>02.03</w:t>
      </w:r>
      <w:r w:rsidR="00300C08" w:rsidRPr="005A3203">
        <w:rPr>
          <w:sz w:val="20"/>
          <w:szCs w:val="20"/>
        </w:rPr>
        <w:t>.2016</w:t>
      </w:r>
      <w:r w:rsidR="00296019" w:rsidRPr="005A3203">
        <w:rPr>
          <w:sz w:val="20"/>
          <w:szCs w:val="20"/>
        </w:rPr>
        <w:t xml:space="preserve"> 11</w:t>
      </w:r>
      <w:r w:rsidR="00B63E2D" w:rsidRPr="005A3203">
        <w:rPr>
          <w:sz w:val="20"/>
          <w:szCs w:val="20"/>
        </w:rPr>
        <w:t>:5</w:t>
      </w:r>
      <w:r w:rsidR="00CC290B" w:rsidRPr="005A3203">
        <w:rPr>
          <w:sz w:val="20"/>
          <w:szCs w:val="20"/>
        </w:rPr>
        <w:t>0</w:t>
      </w:r>
    </w:p>
    <w:p w:rsidR="00A80C80" w:rsidRPr="005A3203" w:rsidRDefault="00694F59" w:rsidP="00A80C80">
      <w:pPr>
        <w:rPr>
          <w:sz w:val="20"/>
          <w:szCs w:val="20"/>
        </w:rPr>
      </w:pPr>
      <w:r>
        <w:rPr>
          <w:sz w:val="20"/>
          <w:szCs w:val="20"/>
        </w:rPr>
        <w:t>48864</w:t>
      </w:r>
      <w:bookmarkStart w:id="0" w:name="_GoBack"/>
      <w:bookmarkEnd w:id="0"/>
    </w:p>
    <w:p w:rsidR="00A80C80" w:rsidRPr="005A3203" w:rsidRDefault="00A80C80" w:rsidP="00A80C80">
      <w:pPr>
        <w:rPr>
          <w:sz w:val="20"/>
          <w:szCs w:val="20"/>
        </w:rPr>
      </w:pPr>
      <w:r w:rsidRPr="005A3203">
        <w:rPr>
          <w:sz w:val="20"/>
          <w:szCs w:val="20"/>
        </w:rPr>
        <w:t>V.Bernards</w:t>
      </w:r>
    </w:p>
    <w:p w:rsidR="008312CD" w:rsidRPr="005A3203" w:rsidRDefault="008312CD" w:rsidP="00A80C80">
      <w:pPr>
        <w:rPr>
          <w:sz w:val="20"/>
          <w:szCs w:val="20"/>
        </w:rPr>
      </w:pPr>
      <w:r w:rsidRPr="005A3203">
        <w:rPr>
          <w:sz w:val="20"/>
          <w:szCs w:val="20"/>
        </w:rPr>
        <w:t>Dabas aizsardzības departamenta</w:t>
      </w:r>
    </w:p>
    <w:p w:rsidR="00A80C80" w:rsidRPr="005A3203" w:rsidRDefault="008312CD" w:rsidP="00A80C80">
      <w:pPr>
        <w:rPr>
          <w:sz w:val="20"/>
          <w:szCs w:val="20"/>
        </w:rPr>
      </w:pPr>
      <w:r w:rsidRPr="005A3203">
        <w:rPr>
          <w:sz w:val="20"/>
          <w:szCs w:val="20"/>
        </w:rPr>
        <w:t xml:space="preserve">vecākais referents </w:t>
      </w:r>
      <w:r w:rsidR="00A80C80" w:rsidRPr="005A3203">
        <w:rPr>
          <w:sz w:val="20"/>
          <w:szCs w:val="20"/>
        </w:rPr>
        <w:t>6702652</w:t>
      </w:r>
    </w:p>
    <w:p w:rsidR="00865B60" w:rsidRPr="00F25B7E" w:rsidRDefault="005A3203" w:rsidP="00865B60">
      <w:pPr>
        <w:rPr>
          <w:sz w:val="20"/>
          <w:szCs w:val="20"/>
        </w:rPr>
      </w:pPr>
      <w:r>
        <w:rPr>
          <w:sz w:val="20"/>
          <w:szCs w:val="20"/>
        </w:rPr>
        <w:t>vilnis.bernards@varam.gov.lv</w:t>
      </w:r>
    </w:p>
    <w:p w:rsidR="00865B60" w:rsidRPr="00865B60" w:rsidRDefault="00865B60" w:rsidP="00865B60">
      <w:pPr>
        <w:rPr>
          <w:sz w:val="20"/>
          <w:szCs w:val="20"/>
        </w:rPr>
      </w:pPr>
    </w:p>
    <w:sectPr w:rsidR="00865B60" w:rsidRPr="00865B60" w:rsidSect="00865B60">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E8" w:rsidRDefault="009D74E8">
      <w:r>
        <w:separator/>
      </w:r>
    </w:p>
  </w:endnote>
  <w:endnote w:type="continuationSeparator" w:id="0">
    <w:p w:rsidR="009D74E8" w:rsidRDefault="009D7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B2" w:rsidRPr="00865B60" w:rsidRDefault="00C44F3E" w:rsidP="00EE1E3E">
    <w:pPr>
      <w:pStyle w:val="Title"/>
      <w:spacing w:before="120"/>
      <w:jc w:val="both"/>
      <w:rPr>
        <w:sz w:val="20"/>
        <w:szCs w:val="20"/>
      </w:rPr>
    </w:pPr>
    <w:r w:rsidRPr="00865B60">
      <w:rPr>
        <w:b w:val="0"/>
        <w:sz w:val="20"/>
        <w:szCs w:val="20"/>
      </w:rPr>
      <w:fldChar w:fldCharType="begin"/>
    </w:r>
    <w:r w:rsidR="007371B2" w:rsidRPr="00865B60">
      <w:rPr>
        <w:b w:val="0"/>
        <w:sz w:val="20"/>
        <w:szCs w:val="20"/>
      </w:rPr>
      <w:instrText>VARAMAnot_031214_sugas</w:instrText>
    </w:r>
    <w:r w:rsidRPr="00865B60">
      <w:rPr>
        <w:b w:val="0"/>
        <w:sz w:val="20"/>
        <w:szCs w:val="20"/>
      </w:rPr>
      <w:fldChar w:fldCharType="separate"/>
    </w:r>
    <w:r w:rsidR="00A56B28">
      <w:rPr>
        <w:b w:val="0"/>
        <w:noProof/>
        <w:sz w:val="20"/>
        <w:szCs w:val="20"/>
      </w:rPr>
      <w:t>VARAMAnot_0203</w:t>
    </w:r>
    <w:r w:rsidR="007371B2">
      <w:rPr>
        <w:b w:val="0"/>
        <w:noProof/>
        <w:sz w:val="20"/>
        <w:szCs w:val="20"/>
      </w:rPr>
      <w:t>16</w:t>
    </w:r>
    <w:r w:rsidR="007371B2" w:rsidRPr="00865B60">
      <w:rPr>
        <w:b w:val="0"/>
        <w:noProof/>
        <w:sz w:val="20"/>
        <w:szCs w:val="20"/>
      </w:rPr>
      <w:t>_</w:t>
    </w:r>
    <w:r w:rsidRPr="00865B60">
      <w:rPr>
        <w:b w:val="0"/>
        <w:sz w:val="20"/>
        <w:szCs w:val="20"/>
      </w:rPr>
      <w:fldChar w:fldCharType="end"/>
    </w:r>
    <w:r w:rsidR="007371B2">
      <w:rPr>
        <w:b w:val="0"/>
        <w:sz w:val="20"/>
        <w:szCs w:val="20"/>
      </w:rPr>
      <w:t>kompensacijas</w:t>
    </w:r>
    <w:r w:rsidR="007371B2" w:rsidRPr="00865B60">
      <w:rPr>
        <w:b w:val="0"/>
        <w:sz w:val="20"/>
        <w:szCs w:val="20"/>
      </w:rPr>
      <w:t xml:space="preserve">; </w:t>
    </w:r>
    <w:r w:rsidR="007371B2">
      <w:rPr>
        <w:b w:val="0"/>
        <w:sz w:val="20"/>
        <w:szCs w:val="20"/>
      </w:rPr>
      <w:t xml:space="preserve">Ministru kabineta noteikumu projekta </w:t>
    </w:r>
    <w:r w:rsidR="007371B2" w:rsidRPr="000B06EF">
      <w:rPr>
        <w:rStyle w:val="Strong"/>
        <w:bCs/>
        <w:sz w:val="20"/>
        <w:szCs w:val="20"/>
      </w:rPr>
      <w:t>„</w:t>
    </w:r>
    <w:r w:rsidR="007371B2">
      <w:rPr>
        <w:b w:val="0"/>
        <w:sz w:val="20"/>
        <w:szCs w:val="20"/>
      </w:rPr>
      <w:t>Kārtība, kādā zemes īpašniekiem vai lietotājiem nosakāmi zaudējumu apmēri, kas saistīti ar īpaši aizsargājamo nemedījamo sugu un migrējošo sugu dzīvnieku nodarītiem būtiskiem postījumiem un minimālās aizsardzības pasākumu prasības postījumu novēršanai” sākotnējās ietekmes novērtējuma ziņojums (anotācija)</w:t>
    </w:r>
  </w:p>
  <w:p w:rsidR="007371B2" w:rsidRDefault="007371B2">
    <w:pPr>
      <w:pStyle w:val="Footer"/>
    </w:pPr>
  </w:p>
  <w:p w:rsidR="007371B2" w:rsidRPr="00465712" w:rsidRDefault="007371B2" w:rsidP="00865B60">
    <w:pPr>
      <w:pStyle w:val="Title"/>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B2" w:rsidRPr="00865B60" w:rsidRDefault="00C44F3E" w:rsidP="008312CD">
    <w:pPr>
      <w:pStyle w:val="Title"/>
      <w:spacing w:before="120"/>
      <w:jc w:val="both"/>
      <w:rPr>
        <w:sz w:val="20"/>
        <w:szCs w:val="20"/>
      </w:rPr>
    </w:pPr>
    <w:r w:rsidRPr="00865B60">
      <w:rPr>
        <w:b w:val="0"/>
        <w:sz w:val="20"/>
        <w:szCs w:val="20"/>
      </w:rPr>
      <w:fldChar w:fldCharType="begin"/>
    </w:r>
    <w:r w:rsidR="007371B2" w:rsidRPr="00865B60">
      <w:rPr>
        <w:b w:val="0"/>
        <w:sz w:val="20"/>
        <w:szCs w:val="20"/>
      </w:rPr>
      <w:instrText>VARAMAnot_031214_sugas</w:instrText>
    </w:r>
    <w:r w:rsidRPr="00865B60">
      <w:rPr>
        <w:b w:val="0"/>
        <w:sz w:val="20"/>
        <w:szCs w:val="20"/>
      </w:rPr>
      <w:fldChar w:fldCharType="separate"/>
    </w:r>
    <w:r w:rsidR="00A56B28">
      <w:rPr>
        <w:b w:val="0"/>
        <w:noProof/>
        <w:sz w:val="20"/>
        <w:szCs w:val="20"/>
      </w:rPr>
      <w:t>VARAMAnot_0203</w:t>
    </w:r>
    <w:r w:rsidR="007371B2">
      <w:rPr>
        <w:b w:val="0"/>
        <w:noProof/>
        <w:sz w:val="20"/>
        <w:szCs w:val="20"/>
      </w:rPr>
      <w:t>16</w:t>
    </w:r>
    <w:r w:rsidR="007371B2" w:rsidRPr="00865B60">
      <w:rPr>
        <w:b w:val="0"/>
        <w:noProof/>
        <w:sz w:val="20"/>
        <w:szCs w:val="20"/>
      </w:rPr>
      <w:t>_</w:t>
    </w:r>
    <w:r w:rsidRPr="00865B60">
      <w:rPr>
        <w:b w:val="0"/>
        <w:sz w:val="20"/>
        <w:szCs w:val="20"/>
      </w:rPr>
      <w:fldChar w:fldCharType="end"/>
    </w:r>
    <w:r w:rsidR="007371B2">
      <w:rPr>
        <w:b w:val="0"/>
        <w:sz w:val="20"/>
        <w:szCs w:val="20"/>
      </w:rPr>
      <w:t>kompensacijas</w:t>
    </w:r>
    <w:r w:rsidR="007371B2" w:rsidRPr="00865B60">
      <w:rPr>
        <w:b w:val="0"/>
        <w:sz w:val="20"/>
        <w:szCs w:val="20"/>
      </w:rPr>
      <w:t xml:space="preserve">; </w:t>
    </w:r>
    <w:r w:rsidR="007371B2">
      <w:rPr>
        <w:b w:val="0"/>
        <w:sz w:val="20"/>
        <w:szCs w:val="20"/>
      </w:rPr>
      <w:t xml:space="preserve">Ministru kabineta noteikumu projekta </w:t>
    </w:r>
    <w:r w:rsidR="007371B2" w:rsidRPr="000B06EF">
      <w:rPr>
        <w:rStyle w:val="Strong"/>
        <w:bCs/>
        <w:sz w:val="20"/>
        <w:szCs w:val="20"/>
      </w:rPr>
      <w:t>„</w:t>
    </w:r>
    <w:r w:rsidR="007371B2">
      <w:rPr>
        <w:b w:val="0"/>
        <w:sz w:val="20"/>
        <w:szCs w:val="20"/>
      </w:rPr>
      <w:t>Kārtība, kādā zemes īpašniekiem vai lietotājiem nosakāmi zaudējumu apmēri, kas saistīti ar īpaši aizsargājamo nemedījamo sugu un migrējošo sugu dzīvnieku nodarītiem būtiskiem postījumiem un minimālās aizsardzības pasākumu prasības postījumu novēršanai” sākotnējās ietekmes novērtējuma ziņojums (anotācija)</w:t>
    </w:r>
  </w:p>
  <w:p w:rsidR="007371B2" w:rsidRDefault="007371B2" w:rsidP="008312CD">
    <w:pPr>
      <w:pStyle w:val="Footer"/>
    </w:pPr>
  </w:p>
  <w:p w:rsidR="007371B2" w:rsidRPr="00865B60" w:rsidRDefault="007371B2" w:rsidP="00865B60">
    <w:pPr>
      <w:pStyle w:val="Title"/>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E8" w:rsidRDefault="009D74E8">
      <w:r>
        <w:separator/>
      </w:r>
    </w:p>
  </w:footnote>
  <w:footnote w:type="continuationSeparator" w:id="0">
    <w:p w:rsidR="009D74E8" w:rsidRDefault="009D7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B2" w:rsidRDefault="00C44F3E" w:rsidP="00647E32">
    <w:pPr>
      <w:pStyle w:val="Header"/>
      <w:framePr w:wrap="around" w:vAnchor="text" w:hAnchor="margin" w:xAlign="center" w:y="1"/>
      <w:rPr>
        <w:rStyle w:val="PageNumber"/>
      </w:rPr>
    </w:pPr>
    <w:r>
      <w:rPr>
        <w:rStyle w:val="PageNumber"/>
      </w:rPr>
      <w:fldChar w:fldCharType="begin"/>
    </w:r>
    <w:r w:rsidR="007371B2">
      <w:rPr>
        <w:rStyle w:val="PageNumber"/>
      </w:rPr>
      <w:instrText xml:space="preserve">PAGE  </w:instrText>
    </w:r>
    <w:r>
      <w:rPr>
        <w:rStyle w:val="PageNumber"/>
      </w:rPr>
      <w:fldChar w:fldCharType="end"/>
    </w:r>
  </w:p>
  <w:p w:rsidR="007371B2" w:rsidRDefault="00737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B2" w:rsidRDefault="00C44F3E" w:rsidP="00647E32">
    <w:pPr>
      <w:pStyle w:val="Header"/>
      <w:framePr w:wrap="around" w:vAnchor="text" w:hAnchor="margin" w:xAlign="center" w:y="1"/>
      <w:rPr>
        <w:rStyle w:val="PageNumber"/>
      </w:rPr>
    </w:pPr>
    <w:r>
      <w:rPr>
        <w:rStyle w:val="PageNumber"/>
      </w:rPr>
      <w:fldChar w:fldCharType="begin"/>
    </w:r>
    <w:r w:rsidR="007371B2">
      <w:rPr>
        <w:rStyle w:val="PageNumber"/>
      </w:rPr>
      <w:instrText xml:space="preserve">PAGE  </w:instrText>
    </w:r>
    <w:r>
      <w:rPr>
        <w:rStyle w:val="PageNumber"/>
      </w:rPr>
      <w:fldChar w:fldCharType="separate"/>
    </w:r>
    <w:r w:rsidR="001702B5">
      <w:rPr>
        <w:rStyle w:val="PageNumber"/>
        <w:noProof/>
      </w:rPr>
      <w:t>19</w:t>
    </w:r>
    <w:r>
      <w:rPr>
        <w:rStyle w:val="PageNumber"/>
      </w:rPr>
      <w:fldChar w:fldCharType="end"/>
    </w:r>
  </w:p>
  <w:p w:rsidR="007371B2" w:rsidRDefault="00737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29"/>
    <w:multiLevelType w:val="hybridMultilevel"/>
    <w:tmpl w:val="F7369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0E753F"/>
    <w:multiLevelType w:val="hybridMultilevel"/>
    <w:tmpl w:val="7FFA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673053"/>
    <w:multiLevelType w:val="hybridMultilevel"/>
    <w:tmpl w:val="5788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476B2570"/>
    <w:multiLevelType w:val="hybridMultilevel"/>
    <w:tmpl w:val="9814E39C"/>
    <w:lvl w:ilvl="0" w:tplc="D4CE8B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7B65B6A"/>
    <w:multiLevelType w:val="hybridMultilevel"/>
    <w:tmpl w:val="2C9E2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FA3DC6"/>
    <w:multiLevelType w:val="hybridMultilevel"/>
    <w:tmpl w:val="3C8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C4019D"/>
    <w:multiLevelType w:val="hybridMultilevel"/>
    <w:tmpl w:val="BE82094E"/>
    <w:lvl w:ilvl="0" w:tplc="851C0C5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rsids>
    <w:rsidRoot w:val="00647E32"/>
    <w:rsid w:val="000004D6"/>
    <w:rsid w:val="00003AAD"/>
    <w:rsid w:val="0001101B"/>
    <w:rsid w:val="00013ECC"/>
    <w:rsid w:val="00014B7F"/>
    <w:rsid w:val="0001640E"/>
    <w:rsid w:val="00023281"/>
    <w:rsid w:val="00023FE4"/>
    <w:rsid w:val="0002641E"/>
    <w:rsid w:val="000265AA"/>
    <w:rsid w:val="00026DBF"/>
    <w:rsid w:val="000362E8"/>
    <w:rsid w:val="00040DCF"/>
    <w:rsid w:val="00043B73"/>
    <w:rsid w:val="0004465A"/>
    <w:rsid w:val="00044E83"/>
    <w:rsid w:val="00045B90"/>
    <w:rsid w:val="0004792F"/>
    <w:rsid w:val="00050566"/>
    <w:rsid w:val="00050F54"/>
    <w:rsid w:val="00054B93"/>
    <w:rsid w:val="000555FE"/>
    <w:rsid w:val="000576AA"/>
    <w:rsid w:val="00060CF4"/>
    <w:rsid w:val="0006520A"/>
    <w:rsid w:val="0006629F"/>
    <w:rsid w:val="00075A14"/>
    <w:rsid w:val="00076958"/>
    <w:rsid w:val="0007746F"/>
    <w:rsid w:val="00083DEF"/>
    <w:rsid w:val="00090417"/>
    <w:rsid w:val="00091ECD"/>
    <w:rsid w:val="000A16EF"/>
    <w:rsid w:val="000A3EBF"/>
    <w:rsid w:val="000A685D"/>
    <w:rsid w:val="000B06EF"/>
    <w:rsid w:val="000B41E1"/>
    <w:rsid w:val="000B4540"/>
    <w:rsid w:val="000C426C"/>
    <w:rsid w:val="000C6F06"/>
    <w:rsid w:val="000D44BC"/>
    <w:rsid w:val="000D5EB2"/>
    <w:rsid w:val="000E281B"/>
    <w:rsid w:val="000E376D"/>
    <w:rsid w:val="000E5503"/>
    <w:rsid w:val="000F5127"/>
    <w:rsid w:val="00113639"/>
    <w:rsid w:val="00120222"/>
    <w:rsid w:val="00120DF6"/>
    <w:rsid w:val="00127155"/>
    <w:rsid w:val="00127A7D"/>
    <w:rsid w:val="00143EC3"/>
    <w:rsid w:val="00145077"/>
    <w:rsid w:val="001457E6"/>
    <w:rsid w:val="001469E7"/>
    <w:rsid w:val="00146A82"/>
    <w:rsid w:val="00153F32"/>
    <w:rsid w:val="00154249"/>
    <w:rsid w:val="00161D8C"/>
    <w:rsid w:val="00163DA7"/>
    <w:rsid w:val="00167B48"/>
    <w:rsid w:val="00170264"/>
    <w:rsid w:val="001702B5"/>
    <w:rsid w:val="001709F0"/>
    <w:rsid w:val="00175991"/>
    <w:rsid w:val="001760B2"/>
    <w:rsid w:val="001764DC"/>
    <w:rsid w:val="0018327D"/>
    <w:rsid w:val="00186EFA"/>
    <w:rsid w:val="0019127C"/>
    <w:rsid w:val="001940C2"/>
    <w:rsid w:val="001958F6"/>
    <w:rsid w:val="001A4012"/>
    <w:rsid w:val="001A6C7B"/>
    <w:rsid w:val="001B43BE"/>
    <w:rsid w:val="001C5E8A"/>
    <w:rsid w:val="001C6DFC"/>
    <w:rsid w:val="001D0CDA"/>
    <w:rsid w:val="001D10CC"/>
    <w:rsid w:val="001D221A"/>
    <w:rsid w:val="001E047E"/>
    <w:rsid w:val="001E370A"/>
    <w:rsid w:val="001E6289"/>
    <w:rsid w:val="001F1988"/>
    <w:rsid w:val="001F31DD"/>
    <w:rsid w:val="001F4CB5"/>
    <w:rsid w:val="001F53F0"/>
    <w:rsid w:val="001F7351"/>
    <w:rsid w:val="001F74BE"/>
    <w:rsid w:val="00206693"/>
    <w:rsid w:val="00215D8A"/>
    <w:rsid w:val="002218D0"/>
    <w:rsid w:val="00225A41"/>
    <w:rsid w:val="00225E40"/>
    <w:rsid w:val="00231300"/>
    <w:rsid w:val="00234648"/>
    <w:rsid w:val="00242673"/>
    <w:rsid w:val="00245027"/>
    <w:rsid w:val="00250CB9"/>
    <w:rsid w:val="0026097D"/>
    <w:rsid w:val="00261B54"/>
    <w:rsid w:val="00262D18"/>
    <w:rsid w:val="00262E25"/>
    <w:rsid w:val="00263071"/>
    <w:rsid w:val="00274BFA"/>
    <w:rsid w:val="002776D3"/>
    <w:rsid w:val="00281E75"/>
    <w:rsid w:val="002908E3"/>
    <w:rsid w:val="00296019"/>
    <w:rsid w:val="002968E7"/>
    <w:rsid w:val="002A2FEE"/>
    <w:rsid w:val="002C1193"/>
    <w:rsid w:val="002C1D64"/>
    <w:rsid w:val="002C3E7F"/>
    <w:rsid w:val="002C4DAF"/>
    <w:rsid w:val="002C72DA"/>
    <w:rsid w:val="002D1BEE"/>
    <w:rsid w:val="002D318E"/>
    <w:rsid w:val="002E070C"/>
    <w:rsid w:val="002E1D95"/>
    <w:rsid w:val="002E234F"/>
    <w:rsid w:val="002E32A4"/>
    <w:rsid w:val="002F33CB"/>
    <w:rsid w:val="002F532B"/>
    <w:rsid w:val="002F7650"/>
    <w:rsid w:val="002F78C1"/>
    <w:rsid w:val="003001F2"/>
    <w:rsid w:val="00300C08"/>
    <w:rsid w:val="00301042"/>
    <w:rsid w:val="0030591C"/>
    <w:rsid w:val="00306655"/>
    <w:rsid w:val="00307004"/>
    <w:rsid w:val="00307827"/>
    <w:rsid w:val="00323C97"/>
    <w:rsid w:val="00333546"/>
    <w:rsid w:val="00335C83"/>
    <w:rsid w:val="00342DA3"/>
    <w:rsid w:val="00345AC1"/>
    <w:rsid w:val="00345E9B"/>
    <w:rsid w:val="00361494"/>
    <w:rsid w:val="00365541"/>
    <w:rsid w:val="00366542"/>
    <w:rsid w:val="0037146F"/>
    <w:rsid w:val="00372BEB"/>
    <w:rsid w:val="003757CD"/>
    <w:rsid w:val="0038206D"/>
    <w:rsid w:val="00382AA7"/>
    <w:rsid w:val="00382E60"/>
    <w:rsid w:val="003834B9"/>
    <w:rsid w:val="00384282"/>
    <w:rsid w:val="00386C85"/>
    <w:rsid w:val="00387F3A"/>
    <w:rsid w:val="003A1C91"/>
    <w:rsid w:val="003A6C56"/>
    <w:rsid w:val="003C37FD"/>
    <w:rsid w:val="003C5544"/>
    <w:rsid w:val="003C65F7"/>
    <w:rsid w:val="003D0449"/>
    <w:rsid w:val="003D4DEC"/>
    <w:rsid w:val="003E58D7"/>
    <w:rsid w:val="003E79E0"/>
    <w:rsid w:val="003F16B5"/>
    <w:rsid w:val="003F3B6D"/>
    <w:rsid w:val="003F631A"/>
    <w:rsid w:val="00404A9D"/>
    <w:rsid w:val="00406292"/>
    <w:rsid w:val="00411909"/>
    <w:rsid w:val="004133D9"/>
    <w:rsid w:val="004154D2"/>
    <w:rsid w:val="00420066"/>
    <w:rsid w:val="0042046E"/>
    <w:rsid w:val="00423685"/>
    <w:rsid w:val="00425CBE"/>
    <w:rsid w:val="004266B0"/>
    <w:rsid w:val="004267E0"/>
    <w:rsid w:val="00426BAB"/>
    <w:rsid w:val="00442C4B"/>
    <w:rsid w:val="00443189"/>
    <w:rsid w:val="00450860"/>
    <w:rsid w:val="00455F0D"/>
    <w:rsid w:val="00464D2D"/>
    <w:rsid w:val="00465712"/>
    <w:rsid w:val="00467D03"/>
    <w:rsid w:val="00470136"/>
    <w:rsid w:val="004705DC"/>
    <w:rsid w:val="00470983"/>
    <w:rsid w:val="00471D66"/>
    <w:rsid w:val="00474A96"/>
    <w:rsid w:val="004757BD"/>
    <w:rsid w:val="004765E0"/>
    <w:rsid w:val="00480C4F"/>
    <w:rsid w:val="00483008"/>
    <w:rsid w:val="00485781"/>
    <w:rsid w:val="004859BE"/>
    <w:rsid w:val="00494FD7"/>
    <w:rsid w:val="004969D1"/>
    <w:rsid w:val="0049725F"/>
    <w:rsid w:val="004979AB"/>
    <w:rsid w:val="004A31D3"/>
    <w:rsid w:val="004A3288"/>
    <w:rsid w:val="004B198C"/>
    <w:rsid w:val="004C270C"/>
    <w:rsid w:val="004C2BFB"/>
    <w:rsid w:val="004C6205"/>
    <w:rsid w:val="004D07CF"/>
    <w:rsid w:val="004D477E"/>
    <w:rsid w:val="004D4EF6"/>
    <w:rsid w:val="004D5340"/>
    <w:rsid w:val="004E46D2"/>
    <w:rsid w:val="004E60AB"/>
    <w:rsid w:val="004E7A26"/>
    <w:rsid w:val="004F191E"/>
    <w:rsid w:val="004F2995"/>
    <w:rsid w:val="004F343F"/>
    <w:rsid w:val="004F5A32"/>
    <w:rsid w:val="004F5D89"/>
    <w:rsid w:val="004F648B"/>
    <w:rsid w:val="00502A5F"/>
    <w:rsid w:val="00502DFD"/>
    <w:rsid w:val="005066FD"/>
    <w:rsid w:val="00507357"/>
    <w:rsid w:val="00514D86"/>
    <w:rsid w:val="0051540A"/>
    <w:rsid w:val="00515DDF"/>
    <w:rsid w:val="005207EF"/>
    <w:rsid w:val="00523AD0"/>
    <w:rsid w:val="00530219"/>
    <w:rsid w:val="005313F5"/>
    <w:rsid w:val="0053394C"/>
    <w:rsid w:val="00534E4A"/>
    <w:rsid w:val="00537602"/>
    <w:rsid w:val="00541C21"/>
    <w:rsid w:val="0054357B"/>
    <w:rsid w:val="00544BD4"/>
    <w:rsid w:val="005456C7"/>
    <w:rsid w:val="00553463"/>
    <w:rsid w:val="005611E3"/>
    <w:rsid w:val="00561DEF"/>
    <w:rsid w:val="005622E4"/>
    <w:rsid w:val="005666A9"/>
    <w:rsid w:val="00567E7D"/>
    <w:rsid w:val="00572157"/>
    <w:rsid w:val="005806BC"/>
    <w:rsid w:val="00587425"/>
    <w:rsid w:val="005943C2"/>
    <w:rsid w:val="00594B26"/>
    <w:rsid w:val="0059575C"/>
    <w:rsid w:val="005A08B4"/>
    <w:rsid w:val="005A3203"/>
    <w:rsid w:val="005A3B71"/>
    <w:rsid w:val="005B4046"/>
    <w:rsid w:val="005C2488"/>
    <w:rsid w:val="005C2E5C"/>
    <w:rsid w:val="005C44CE"/>
    <w:rsid w:val="005C60EA"/>
    <w:rsid w:val="005C6210"/>
    <w:rsid w:val="005C6DCD"/>
    <w:rsid w:val="005D22CD"/>
    <w:rsid w:val="005D3D50"/>
    <w:rsid w:val="005D5C70"/>
    <w:rsid w:val="005E0748"/>
    <w:rsid w:val="005E24C0"/>
    <w:rsid w:val="005F4749"/>
    <w:rsid w:val="005F7A16"/>
    <w:rsid w:val="005F7C8E"/>
    <w:rsid w:val="006000ED"/>
    <w:rsid w:val="00603548"/>
    <w:rsid w:val="006039BF"/>
    <w:rsid w:val="0062504D"/>
    <w:rsid w:val="00626F05"/>
    <w:rsid w:val="00632EE4"/>
    <w:rsid w:val="00634144"/>
    <w:rsid w:val="006374A8"/>
    <w:rsid w:val="0063791E"/>
    <w:rsid w:val="00640814"/>
    <w:rsid w:val="00641BBD"/>
    <w:rsid w:val="006443D0"/>
    <w:rsid w:val="00646C9C"/>
    <w:rsid w:val="006475FB"/>
    <w:rsid w:val="00647E32"/>
    <w:rsid w:val="006515E8"/>
    <w:rsid w:val="00661B6A"/>
    <w:rsid w:val="006624D3"/>
    <w:rsid w:val="0066536B"/>
    <w:rsid w:val="006653AE"/>
    <w:rsid w:val="00670E8E"/>
    <w:rsid w:val="0067732C"/>
    <w:rsid w:val="00684B62"/>
    <w:rsid w:val="006850A4"/>
    <w:rsid w:val="00690B5B"/>
    <w:rsid w:val="00693304"/>
    <w:rsid w:val="00693F7C"/>
    <w:rsid w:val="00694F59"/>
    <w:rsid w:val="00697C6C"/>
    <w:rsid w:val="006A6337"/>
    <w:rsid w:val="006A7438"/>
    <w:rsid w:val="006B105C"/>
    <w:rsid w:val="006B3F30"/>
    <w:rsid w:val="006B569F"/>
    <w:rsid w:val="006B7C42"/>
    <w:rsid w:val="006C08A8"/>
    <w:rsid w:val="006C6EF0"/>
    <w:rsid w:val="006E06A4"/>
    <w:rsid w:val="006E1E06"/>
    <w:rsid w:val="006E2514"/>
    <w:rsid w:val="006E3F2A"/>
    <w:rsid w:val="006F1121"/>
    <w:rsid w:val="006F1BB7"/>
    <w:rsid w:val="00703C5C"/>
    <w:rsid w:val="00704C1C"/>
    <w:rsid w:val="007052ED"/>
    <w:rsid w:val="00711861"/>
    <w:rsid w:val="0071278B"/>
    <w:rsid w:val="00712920"/>
    <w:rsid w:val="007163F2"/>
    <w:rsid w:val="007248CC"/>
    <w:rsid w:val="00724CE2"/>
    <w:rsid w:val="00726B69"/>
    <w:rsid w:val="007321B5"/>
    <w:rsid w:val="007371B2"/>
    <w:rsid w:val="00742888"/>
    <w:rsid w:val="00747FBC"/>
    <w:rsid w:val="00751FB7"/>
    <w:rsid w:val="00753657"/>
    <w:rsid w:val="00765CF7"/>
    <w:rsid w:val="007670F9"/>
    <w:rsid w:val="007723AB"/>
    <w:rsid w:val="00774D83"/>
    <w:rsid w:val="00774DAF"/>
    <w:rsid w:val="007803EA"/>
    <w:rsid w:val="00785F42"/>
    <w:rsid w:val="00793084"/>
    <w:rsid w:val="00794C76"/>
    <w:rsid w:val="007A5553"/>
    <w:rsid w:val="007A7DD2"/>
    <w:rsid w:val="007B43B7"/>
    <w:rsid w:val="007C1E29"/>
    <w:rsid w:val="007C32E6"/>
    <w:rsid w:val="007C45E8"/>
    <w:rsid w:val="007C5CF7"/>
    <w:rsid w:val="007C6359"/>
    <w:rsid w:val="007D396D"/>
    <w:rsid w:val="007D4CD3"/>
    <w:rsid w:val="007E1355"/>
    <w:rsid w:val="007E61BB"/>
    <w:rsid w:val="007E704C"/>
    <w:rsid w:val="007E7A9A"/>
    <w:rsid w:val="007F04CB"/>
    <w:rsid w:val="007F0552"/>
    <w:rsid w:val="007F060F"/>
    <w:rsid w:val="007F6954"/>
    <w:rsid w:val="00811773"/>
    <w:rsid w:val="00813C77"/>
    <w:rsid w:val="00814F3E"/>
    <w:rsid w:val="00817F5C"/>
    <w:rsid w:val="0082464F"/>
    <w:rsid w:val="008254C6"/>
    <w:rsid w:val="00830A87"/>
    <w:rsid w:val="008312CD"/>
    <w:rsid w:val="008343BE"/>
    <w:rsid w:val="008419D8"/>
    <w:rsid w:val="00843702"/>
    <w:rsid w:val="00847A56"/>
    <w:rsid w:val="00847BB7"/>
    <w:rsid w:val="008514AB"/>
    <w:rsid w:val="00851DB1"/>
    <w:rsid w:val="00857112"/>
    <w:rsid w:val="008572CD"/>
    <w:rsid w:val="00860F39"/>
    <w:rsid w:val="00863111"/>
    <w:rsid w:val="00865B60"/>
    <w:rsid w:val="00872B3F"/>
    <w:rsid w:val="0087436A"/>
    <w:rsid w:val="00875638"/>
    <w:rsid w:val="0088470B"/>
    <w:rsid w:val="00885006"/>
    <w:rsid w:val="00885CD9"/>
    <w:rsid w:val="00885D61"/>
    <w:rsid w:val="008905AF"/>
    <w:rsid w:val="00894504"/>
    <w:rsid w:val="00894DEB"/>
    <w:rsid w:val="008960A3"/>
    <w:rsid w:val="008A0B56"/>
    <w:rsid w:val="008A24EB"/>
    <w:rsid w:val="008A3E29"/>
    <w:rsid w:val="008B0302"/>
    <w:rsid w:val="008B3DDA"/>
    <w:rsid w:val="008B55D6"/>
    <w:rsid w:val="008B6E40"/>
    <w:rsid w:val="008C3F47"/>
    <w:rsid w:val="008C6CC3"/>
    <w:rsid w:val="008D0057"/>
    <w:rsid w:val="008D10AA"/>
    <w:rsid w:val="008D25A0"/>
    <w:rsid w:val="008D5A26"/>
    <w:rsid w:val="008D6E37"/>
    <w:rsid w:val="008E0B2D"/>
    <w:rsid w:val="008E0BE2"/>
    <w:rsid w:val="008E41CE"/>
    <w:rsid w:val="008E4CFA"/>
    <w:rsid w:val="008E6B21"/>
    <w:rsid w:val="008F2BCA"/>
    <w:rsid w:val="008F5523"/>
    <w:rsid w:val="00907750"/>
    <w:rsid w:val="009116DE"/>
    <w:rsid w:val="00912CFE"/>
    <w:rsid w:val="009157F6"/>
    <w:rsid w:val="00915820"/>
    <w:rsid w:val="00916719"/>
    <w:rsid w:val="009208EA"/>
    <w:rsid w:val="0092165B"/>
    <w:rsid w:val="009228D4"/>
    <w:rsid w:val="009258B8"/>
    <w:rsid w:val="009264B2"/>
    <w:rsid w:val="00927A73"/>
    <w:rsid w:val="00930293"/>
    <w:rsid w:val="0093084D"/>
    <w:rsid w:val="009436C2"/>
    <w:rsid w:val="009450DF"/>
    <w:rsid w:val="00955933"/>
    <w:rsid w:val="00955CFA"/>
    <w:rsid w:val="009572DF"/>
    <w:rsid w:val="00957864"/>
    <w:rsid w:val="00957FFB"/>
    <w:rsid w:val="009607BC"/>
    <w:rsid w:val="00965FB5"/>
    <w:rsid w:val="00971C1F"/>
    <w:rsid w:val="00974FCF"/>
    <w:rsid w:val="009763A1"/>
    <w:rsid w:val="00976500"/>
    <w:rsid w:val="00976B76"/>
    <w:rsid w:val="009776DB"/>
    <w:rsid w:val="009807D9"/>
    <w:rsid w:val="00990B79"/>
    <w:rsid w:val="00991989"/>
    <w:rsid w:val="00992642"/>
    <w:rsid w:val="00993283"/>
    <w:rsid w:val="0099513F"/>
    <w:rsid w:val="009A187D"/>
    <w:rsid w:val="009A2C5E"/>
    <w:rsid w:val="009A2D7E"/>
    <w:rsid w:val="009A7A6A"/>
    <w:rsid w:val="009B5005"/>
    <w:rsid w:val="009B6221"/>
    <w:rsid w:val="009B7A97"/>
    <w:rsid w:val="009C0BAD"/>
    <w:rsid w:val="009C3577"/>
    <w:rsid w:val="009C5521"/>
    <w:rsid w:val="009C5D72"/>
    <w:rsid w:val="009C7189"/>
    <w:rsid w:val="009D74E8"/>
    <w:rsid w:val="009E1E82"/>
    <w:rsid w:val="009E5792"/>
    <w:rsid w:val="009E75CD"/>
    <w:rsid w:val="009F2E9C"/>
    <w:rsid w:val="009F459A"/>
    <w:rsid w:val="009F5E8B"/>
    <w:rsid w:val="009F6E17"/>
    <w:rsid w:val="00A2035B"/>
    <w:rsid w:val="00A20A4A"/>
    <w:rsid w:val="00A21956"/>
    <w:rsid w:val="00A237D6"/>
    <w:rsid w:val="00A26C55"/>
    <w:rsid w:val="00A2717B"/>
    <w:rsid w:val="00A351CD"/>
    <w:rsid w:val="00A40310"/>
    <w:rsid w:val="00A413D3"/>
    <w:rsid w:val="00A45AB8"/>
    <w:rsid w:val="00A468D6"/>
    <w:rsid w:val="00A52030"/>
    <w:rsid w:val="00A56B28"/>
    <w:rsid w:val="00A5776F"/>
    <w:rsid w:val="00A57BDE"/>
    <w:rsid w:val="00A57C4A"/>
    <w:rsid w:val="00A60B11"/>
    <w:rsid w:val="00A6154F"/>
    <w:rsid w:val="00A6231E"/>
    <w:rsid w:val="00A66769"/>
    <w:rsid w:val="00A70F28"/>
    <w:rsid w:val="00A75DE1"/>
    <w:rsid w:val="00A8008B"/>
    <w:rsid w:val="00A80C80"/>
    <w:rsid w:val="00A82C7F"/>
    <w:rsid w:val="00A83698"/>
    <w:rsid w:val="00A844FF"/>
    <w:rsid w:val="00A86186"/>
    <w:rsid w:val="00A8646B"/>
    <w:rsid w:val="00A9141E"/>
    <w:rsid w:val="00A924AF"/>
    <w:rsid w:val="00A95CE5"/>
    <w:rsid w:val="00A97C70"/>
    <w:rsid w:val="00AB1463"/>
    <w:rsid w:val="00AB3B54"/>
    <w:rsid w:val="00AB49A4"/>
    <w:rsid w:val="00AC2050"/>
    <w:rsid w:val="00AC3C7C"/>
    <w:rsid w:val="00AC4136"/>
    <w:rsid w:val="00AC54FD"/>
    <w:rsid w:val="00AC6696"/>
    <w:rsid w:val="00AC67C2"/>
    <w:rsid w:val="00AD4609"/>
    <w:rsid w:val="00AD5382"/>
    <w:rsid w:val="00AD5548"/>
    <w:rsid w:val="00AD582D"/>
    <w:rsid w:val="00AD6CEC"/>
    <w:rsid w:val="00AE150F"/>
    <w:rsid w:val="00AF268E"/>
    <w:rsid w:val="00AF31C9"/>
    <w:rsid w:val="00AF4D01"/>
    <w:rsid w:val="00B00E1F"/>
    <w:rsid w:val="00B056A2"/>
    <w:rsid w:val="00B07BEC"/>
    <w:rsid w:val="00B1306B"/>
    <w:rsid w:val="00B2196D"/>
    <w:rsid w:val="00B22CAC"/>
    <w:rsid w:val="00B27296"/>
    <w:rsid w:val="00B30652"/>
    <w:rsid w:val="00B31DB4"/>
    <w:rsid w:val="00B3404E"/>
    <w:rsid w:val="00B35334"/>
    <w:rsid w:val="00B36DA3"/>
    <w:rsid w:val="00B36F72"/>
    <w:rsid w:val="00B41EDE"/>
    <w:rsid w:val="00B46EB5"/>
    <w:rsid w:val="00B47E53"/>
    <w:rsid w:val="00B607A6"/>
    <w:rsid w:val="00B62210"/>
    <w:rsid w:val="00B62932"/>
    <w:rsid w:val="00B6352B"/>
    <w:rsid w:val="00B63E2D"/>
    <w:rsid w:val="00B644EC"/>
    <w:rsid w:val="00B7026F"/>
    <w:rsid w:val="00B72BFB"/>
    <w:rsid w:val="00B7335F"/>
    <w:rsid w:val="00B76010"/>
    <w:rsid w:val="00B7625F"/>
    <w:rsid w:val="00B815C6"/>
    <w:rsid w:val="00B827F9"/>
    <w:rsid w:val="00B9214C"/>
    <w:rsid w:val="00B92792"/>
    <w:rsid w:val="00BA02E0"/>
    <w:rsid w:val="00BA0598"/>
    <w:rsid w:val="00BA2D8F"/>
    <w:rsid w:val="00BB0FF4"/>
    <w:rsid w:val="00BB420C"/>
    <w:rsid w:val="00BC3FA0"/>
    <w:rsid w:val="00BC4A6F"/>
    <w:rsid w:val="00BC4ED3"/>
    <w:rsid w:val="00BC5699"/>
    <w:rsid w:val="00BC6369"/>
    <w:rsid w:val="00BD0B63"/>
    <w:rsid w:val="00BD4098"/>
    <w:rsid w:val="00BE09CF"/>
    <w:rsid w:val="00BE45FD"/>
    <w:rsid w:val="00BE575C"/>
    <w:rsid w:val="00BF12CF"/>
    <w:rsid w:val="00BF4E09"/>
    <w:rsid w:val="00BF5CE9"/>
    <w:rsid w:val="00BF7255"/>
    <w:rsid w:val="00C016BF"/>
    <w:rsid w:val="00C05EDF"/>
    <w:rsid w:val="00C12290"/>
    <w:rsid w:val="00C14B40"/>
    <w:rsid w:val="00C153DB"/>
    <w:rsid w:val="00C15877"/>
    <w:rsid w:val="00C1780D"/>
    <w:rsid w:val="00C17F09"/>
    <w:rsid w:val="00C206A9"/>
    <w:rsid w:val="00C20963"/>
    <w:rsid w:val="00C222FC"/>
    <w:rsid w:val="00C23413"/>
    <w:rsid w:val="00C268E5"/>
    <w:rsid w:val="00C31E82"/>
    <w:rsid w:val="00C31EC2"/>
    <w:rsid w:val="00C36809"/>
    <w:rsid w:val="00C41097"/>
    <w:rsid w:val="00C429CE"/>
    <w:rsid w:val="00C44F3E"/>
    <w:rsid w:val="00C50631"/>
    <w:rsid w:val="00C534E4"/>
    <w:rsid w:val="00C54AF0"/>
    <w:rsid w:val="00C54F19"/>
    <w:rsid w:val="00C57F66"/>
    <w:rsid w:val="00C62CB7"/>
    <w:rsid w:val="00C62E27"/>
    <w:rsid w:val="00C74B53"/>
    <w:rsid w:val="00C86D71"/>
    <w:rsid w:val="00C90119"/>
    <w:rsid w:val="00C92439"/>
    <w:rsid w:val="00C92442"/>
    <w:rsid w:val="00C96310"/>
    <w:rsid w:val="00CA3E6A"/>
    <w:rsid w:val="00CB1BEE"/>
    <w:rsid w:val="00CB5E13"/>
    <w:rsid w:val="00CB66C0"/>
    <w:rsid w:val="00CC1962"/>
    <w:rsid w:val="00CC290B"/>
    <w:rsid w:val="00CC2CCD"/>
    <w:rsid w:val="00CC3BA4"/>
    <w:rsid w:val="00CC57D7"/>
    <w:rsid w:val="00CD575D"/>
    <w:rsid w:val="00CE192C"/>
    <w:rsid w:val="00CE42BB"/>
    <w:rsid w:val="00CE4CF6"/>
    <w:rsid w:val="00CE54F5"/>
    <w:rsid w:val="00CE6DF5"/>
    <w:rsid w:val="00CF140D"/>
    <w:rsid w:val="00CF2F7E"/>
    <w:rsid w:val="00CF3259"/>
    <w:rsid w:val="00CF389E"/>
    <w:rsid w:val="00D06721"/>
    <w:rsid w:val="00D06F56"/>
    <w:rsid w:val="00D10E3B"/>
    <w:rsid w:val="00D13A5D"/>
    <w:rsid w:val="00D17398"/>
    <w:rsid w:val="00D176FD"/>
    <w:rsid w:val="00D17BB1"/>
    <w:rsid w:val="00D21673"/>
    <w:rsid w:val="00D307B5"/>
    <w:rsid w:val="00D30E0A"/>
    <w:rsid w:val="00D35C30"/>
    <w:rsid w:val="00D361CE"/>
    <w:rsid w:val="00D37A93"/>
    <w:rsid w:val="00D43755"/>
    <w:rsid w:val="00D45532"/>
    <w:rsid w:val="00D4597B"/>
    <w:rsid w:val="00D47FC2"/>
    <w:rsid w:val="00D51A7A"/>
    <w:rsid w:val="00D5493C"/>
    <w:rsid w:val="00D553DD"/>
    <w:rsid w:val="00D604A5"/>
    <w:rsid w:val="00D60A84"/>
    <w:rsid w:val="00D619F8"/>
    <w:rsid w:val="00D64F43"/>
    <w:rsid w:val="00D70C31"/>
    <w:rsid w:val="00D71353"/>
    <w:rsid w:val="00D72B79"/>
    <w:rsid w:val="00D802F7"/>
    <w:rsid w:val="00D80DA3"/>
    <w:rsid w:val="00D81636"/>
    <w:rsid w:val="00D83C2B"/>
    <w:rsid w:val="00D841D0"/>
    <w:rsid w:val="00D91848"/>
    <w:rsid w:val="00D922CB"/>
    <w:rsid w:val="00DA46B6"/>
    <w:rsid w:val="00DA4F40"/>
    <w:rsid w:val="00DB081D"/>
    <w:rsid w:val="00DB3BF2"/>
    <w:rsid w:val="00DC0393"/>
    <w:rsid w:val="00DC1F7B"/>
    <w:rsid w:val="00DC389A"/>
    <w:rsid w:val="00DC463E"/>
    <w:rsid w:val="00DC55AB"/>
    <w:rsid w:val="00DC67D4"/>
    <w:rsid w:val="00DD0FCE"/>
    <w:rsid w:val="00DD1C77"/>
    <w:rsid w:val="00DD34E2"/>
    <w:rsid w:val="00DE1AB1"/>
    <w:rsid w:val="00DE212B"/>
    <w:rsid w:val="00DE33DF"/>
    <w:rsid w:val="00DE4A2F"/>
    <w:rsid w:val="00DF622C"/>
    <w:rsid w:val="00E0591F"/>
    <w:rsid w:val="00E10AC0"/>
    <w:rsid w:val="00E11F35"/>
    <w:rsid w:val="00E16CF5"/>
    <w:rsid w:val="00E21C4A"/>
    <w:rsid w:val="00E21CE3"/>
    <w:rsid w:val="00E3028D"/>
    <w:rsid w:val="00E3494E"/>
    <w:rsid w:val="00E3658E"/>
    <w:rsid w:val="00E372EF"/>
    <w:rsid w:val="00E40F9C"/>
    <w:rsid w:val="00E41E2B"/>
    <w:rsid w:val="00E43B56"/>
    <w:rsid w:val="00E442BB"/>
    <w:rsid w:val="00E47986"/>
    <w:rsid w:val="00E510B0"/>
    <w:rsid w:val="00E539F0"/>
    <w:rsid w:val="00E544C8"/>
    <w:rsid w:val="00E6005D"/>
    <w:rsid w:val="00E62B66"/>
    <w:rsid w:val="00E6458D"/>
    <w:rsid w:val="00E83B10"/>
    <w:rsid w:val="00E83EA0"/>
    <w:rsid w:val="00E87269"/>
    <w:rsid w:val="00E900B6"/>
    <w:rsid w:val="00E93AE0"/>
    <w:rsid w:val="00E95D09"/>
    <w:rsid w:val="00E9690F"/>
    <w:rsid w:val="00EA0CC3"/>
    <w:rsid w:val="00EA1AF7"/>
    <w:rsid w:val="00EB5542"/>
    <w:rsid w:val="00EC76AC"/>
    <w:rsid w:val="00ED18F9"/>
    <w:rsid w:val="00ED2139"/>
    <w:rsid w:val="00ED7D6D"/>
    <w:rsid w:val="00EE01EF"/>
    <w:rsid w:val="00EE1E3E"/>
    <w:rsid w:val="00EE7A7A"/>
    <w:rsid w:val="00EE7E26"/>
    <w:rsid w:val="00EF363F"/>
    <w:rsid w:val="00EF527F"/>
    <w:rsid w:val="00F1094B"/>
    <w:rsid w:val="00F11B1C"/>
    <w:rsid w:val="00F1242F"/>
    <w:rsid w:val="00F12F63"/>
    <w:rsid w:val="00F1488C"/>
    <w:rsid w:val="00F241E3"/>
    <w:rsid w:val="00F25A3F"/>
    <w:rsid w:val="00F25B7E"/>
    <w:rsid w:val="00F32D7F"/>
    <w:rsid w:val="00F332E2"/>
    <w:rsid w:val="00F35EF1"/>
    <w:rsid w:val="00F36818"/>
    <w:rsid w:val="00F3769E"/>
    <w:rsid w:val="00F413FA"/>
    <w:rsid w:val="00F46B54"/>
    <w:rsid w:val="00F52F1D"/>
    <w:rsid w:val="00F54147"/>
    <w:rsid w:val="00F671BE"/>
    <w:rsid w:val="00F73C90"/>
    <w:rsid w:val="00F7437F"/>
    <w:rsid w:val="00F775D8"/>
    <w:rsid w:val="00F8475B"/>
    <w:rsid w:val="00F9564E"/>
    <w:rsid w:val="00FA5834"/>
    <w:rsid w:val="00FA5DFA"/>
    <w:rsid w:val="00FB1B52"/>
    <w:rsid w:val="00FC7390"/>
    <w:rsid w:val="00FD6314"/>
    <w:rsid w:val="00FD674D"/>
    <w:rsid w:val="00FD7566"/>
    <w:rsid w:val="00FF0B55"/>
    <w:rsid w:val="00FF2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E32"/>
    <w:pPr>
      <w:tabs>
        <w:tab w:val="center" w:pos="4153"/>
        <w:tab w:val="right" w:pos="8306"/>
      </w:tabs>
    </w:pPr>
  </w:style>
  <w:style w:type="character" w:styleId="PageNumber">
    <w:name w:val="page number"/>
    <w:basedOn w:val="DefaultParagraphFont"/>
    <w:rsid w:val="00647E32"/>
  </w:style>
  <w:style w:type="paragraph" w:customStyle="1" w:styleId="naisf">
    <w:name w:val="naisf"/>
    <w:basedOn w:val="Normal"/>
    <w:uiPriority w:val="99"/>
    <w:rsid w:val="00647E32"/>
    <w:pPr>
      <w:spacing w:before="75" w:after="75"/>
      <w:ind w:firstLine="375"/>
      <w:jc w:val="both"/>
    </w:pPr>
  </w:style>
  <w:style w:type="paragraph" w:customStyle="1" w:styleId="naisnod">
    <w:name w:val="naisnod"/>
    <w:basedOn w:val="Normal"/>
    <w:rsid w:val="00647E32"/>
    <w:pPr>
      <w:spacing w:before="150" w:after="150"/>
      <w:jc w:val="center"/>
    </w:pPr>
    <w:rPr>
      <w:b/>
      <w:bCs/>
    </w:rPr>
  </w:style>
  <w:style w:type="paragraph" w:customStyle="1" w:styleId="naislab">
    <w:name w:val="naislab"/>
    <w:basedOn w:val="Normal"/>
    <w:rsid w:val="00647E32"/>
    <w:pPr>
      <w:spacing w:before="75" w:after="75"/>
      <w:jc w:val="right"/>
    </w:pPr>
  </w:style>
  <w:style w:type="paragraph" w:customStyle="1" w:styleId="naiskr">
    <w:name w:val="naiskr"/>
    <w:basedOn w:val="Normal"/>
    <w:rsid w:val="00647E32"/>
    <w:pPr>
      <w:spacing w:before="75" w:after="75"/>
    </w:pPr>
  </w:style>
  <w:style w:type="paragraph" w:styleId="FootnoteText">
    <w:name w:val="footnote text"/>
    <w:basedOn w:val="Normal"/>
    <w:semiHidden/>
    <w:rsid w:val="00647E32"/>
    <w:rPr>
      <w:sz w:val="20"/>
      <w:szCs w:val="20"/>
    </w:rPr>
  </w:style>
  <w:style w:type="paragraph" w:styleId="Footer">
    <w:name w:val="footer"/>
    <w:basedOn w:val="Normal"/>
    <w:link w:val="FooterChar"/>
    <w:uiPriority w:val="99"/>
    <w:rsid w:val="00647E32"/>
    <w:pPr>
      <w:tabs>
        <w:tab w:val="center" w:pos="4153"/>
        <w:tab w:val="right" w:pos="8306"/>
      </w:tabs>
    </w:pPr>
  </w:style>
  <w:style w:type="character" w:customStyle="1" w:styleId="FooterChar">
    <w:name w:val="Footer Char"/>
    <w:link w:val="Footer"/>
    <w:uiPriority w:val="99"/>
    <w:rsid w:val="00647E32"/>
    <w:rPr>
      <w:sz w:val="24"/>
      <w:szCs w:val="24"/>
      <w:lang w:val="lv-LV" w:eastAsia="lv-LV" w:bidi="ar-SA"/>
    </w:rPr>
  </w:style>
  <w:style w:type="character" w:styleId="Hyperlink">
    <w:name w:val="Hyperlink"/>
    <w:uiPriority w:val="99"/>
    <w:rsid w:val="00647E32"/>
    <w:rPr>
      <w:color w:val="0000FF"/>
      <w:u w:val="single"/>
    </w:rPr>
  </w:style>
  <w:style w:type="paragraph" w:styleId="NormalWeb">
    <w:name w:val="Normal (Web)"/>
    <w:basedOn w:val="Normal"/>
    <w:rsid w:val="00647E32"/>
    <w:pPr>
      <w:spacing w:before="100" w:beforeAutospacing="1" w:after="100" w:afterAutospacing="1"/>
    </w:pPr>
  </w:style>
  <w:style w:type="character" w:styleId="Strong">
    <w:name w:val="Strong"/>
    <w:qFormat/>
    <w:rsid w:val="00647E32"/>
    <w:rPr>
      <w:b/>
      <w:bCs/>
    </w:rPr>
  </w:style>
  <w:style w:type="paragraph" w:styleId="Title">
    <w:name w:val="Title"/>
    <w:basedOn w:val="Normal"/>
    <w:qFormat/>
    <w:rsid w:val="00647E32"/>
    <w:pPr>
      <w:jc w:val="center"/>
    </w:pPr>
    <w:rPr>
      <w:b/>
      <w:bCs/>
      <w:lang w:eastAsia="en-US"/>
    </w:rPr>
  </w:style>
  <w:style w:type="paragraph" w:customStyle="1" w:styleId="parasts">
    <w:name w:val="parasts"/>
    <w:basedOn w:val="Normal"/>
    <w:link w:val="parastsChar"/>
    <w:rsid w:val="00DC389A"/>
    <w:pPr>
      <w:spacing w:before="50" w:after="50"/>
      <w:jc w:val="both"/>
    </w:pPr>
    <w:rPr>
      <w:lang w:eastAsia="en-US"/>
    </w:rPr>
  </w:style>
  <w:style w:type="character" w:customStyle="1" w:styleId="parastsChar">
    <w:name w:val="parasts Char"/>
    <w:link w:val="parasts"/>
    <w:rsid w:val="00DC389A"/>
    <w:rPr>
      <w:sz w:val="24"/>
      <w:szCs w:val="24"/>
      <w:lang w:val="lv-LV" w:eastAsia="en-US" w:bidi="ar-SA"/>
    </w:rPr>
  </w:style>
  <w:style w:type="paragraph" w:customStyle="1" w:styleId="Default">
    <w:name w:val="Default"/>
    <w:rsid w:val="00641BBD"/>
    <w:pPr>
      <w:autoSpaceDE w:val="0"/>
      <w:autoSpaceDN w:val="0"/>
      <w:adjustRightInd w:val="0"/>
    </w:pPr>
    <w:rPr>
      <w:color w:val="000000"/>
      <w:sz w:val="24"/>
      <w:szCs w:val="24"/>
    </w:rPr>
  </w:style>
  <w:style w:type="paragraph" w:styleId="ListParagraph">
    <w:name w:val="List Paragraph"/>
    <w:basedOn w:val="Normal"/>
    <w:qFormat/>
    <w:rsid w:val="00AB49A4"/>
    <w:pPr>
      <w:spacing w:after="200" w:line="276" w:lineRule="auto"/>
      <w:ind w:left="720"/>
      <w:contextualSpacing/>
    </w:pPr>
    <w:rPr>
      <w:rFonts w:ascii="Calibri" w:eastAsia="Calibri" w:hAnsi="Calibri"/>
      <w:sz w:val="22"/>
      <w:szCs w:val="22"/>
      <w:lang w:eastAsia="en-US"/>
    </w:rPr>
  </w:style>
  <w:style w:type="character" w:styleId="FootnoteReference">
    <w:name w:val="footnote reference"/>
    <w:rsid w:val="000F5127"/>
    <w:rPr>
      <w:position w:val="0"/>
      <w:vertAlign w:val="superscript"/>
    </w:rPr>
  </w:style>
  <w:style w:type="character" w:styleId="CommentReference">
    <w:name w:val="annotation reference"/>
    <w:rsid w:val="00301042"/>
    <w:rPr>
      <w:sz w:val="16"/>
      <w:szCs w:val="16"/>
    </w:rPr>
  </w:style>
  <w:style w:type="paragraph" w:styleId="CommentText">
    <w:name w:val="annotation text"/>
    <w:basedOn w:val="Normal"/>
    <w:link w:val="CommentTextChar"/>
    <w:uiPriority w:val="99"/>
    <w:rsid w:val="00301042"/>
    <w:rPr>
      <w:sz w:val="20"/>
      <w:szCs w:val="20"/>
    </w:rPr>
  </w:style>
  <w:style w:type="character" w:customStyle="1" w:styleId="CommentTextChar">
    <w:name w:val="Comment Text Char"/>
    <w:basedOn w:val="DefaultParagraphFont"/>
    <w:link w:val="CommentText"/>
    <w:uiPriority w:val="99"/>
    <w:rsid w:val="00301042"/>
  </w:style>
  <w:style w:type="paragraph" w:styleId="CommentSubject">
    <w:name w:val="annotation subject"/>
    <w:basedOn w:val="CommentText"/>
    <w:next w:val="CommentText"/>
    <w:link w:val="CommentSubjectChar"/>
    <w:rsid w:val="00301042"/>
    <w:rPr>
      <w:b/>
      <w:bCs/>
    </w:rPr>
  </w:style>
  <w:style w:type="character" w:customStyle="1" w:styleId="CommentSubjectChar">
    <w:name w:val="Comment Subject Char"/>
    <w:link w:val="CommentSubject"/>
    <w:rsid w:val="00301042"/>
    <w:rPr>
      <w:b/>
      <w:bCs/>
    </w:rPr>
  </w:style>
  <w:style w:type="paragraph" w:styleId="BalloonText">
    <w:name w:val="Balloon Text"/>
    <w:basedOn w:val="Normal"/>
    <w:link w:val="BalloonTextChar"/>
    <w:rsid w:val="00301042"/>
    <w:rPr>
      <w:rFonts w:ascii="Segoe UI" w:hAnsi="Segoe UI"/>
      <w:sz w:val="18"/>
      <w:szCs w:val="18"/>
    </w:rPr>
  </w:style>
  <w:style w:type="character" w:customStyle="1" w:styleId="BalloonTextChar">
    <w:name w:val="Balloon Text Char"/>
    <w:link w:val="BalloonText"/>
    <w:rsid w:val="00301042"/>
    <w:rPr>
      <w:rFonts w:ascii="Segoe UI" w:hAnsi="Segoe UI" w:cs="Segoe UI"/>
      <w:sz w:val="18"/>
      <w:szCs w:val="18"/>
    </w:rPr>
  </w:style>
  <w:style w:type="paragraph" w:styleId="PlainText">
    <w:name w:val="Plain Text"/>
    <w:basedOn w:val="Normal"/>
    <w:link w:val="PlainTextChar"/>
    <w:uiPriority w:val="99"/>
    <w:unhideWhenUsed/>
    <w:rsid w:val="00245027"/>
    <w:rPr>
      <w:rFonts w:ascii="Consolas" w:eastAsia="Calibri" w:hAnsi="Consolas"/>
      <w:sz w:val="21"/>
      <w:szCs w:val="21"/>
      <w:lang w:eastAsia="en-US"/>
    </w:rPr>
  </w:style>
  <w:style w:type="character" w:customStyle="1" w:styleId="PlainTextChar">
    <w:name w:val="Plain Text Char"/>
    <w:link w:val="PlainText"/>
    <w:uiPriority w:val="99"/>
    <w:rsid w:val="00245027"/>
    <w:rPr>
      <w:rFonts w:ascii="Consolas" w:eastAsia="Calibri" w:hAnsi="Consolas" w:cs="Times New Roman"/>
      <w:sz w:val="21"/>
      <w:szCs w:val="21"/>
      <w:lang w:eastAsia="en-US"/>
    </w:rPr>
  </w:style>
  <w:style w:type="paragraph" w:customStyle="1" w:styleId="tv213">
    <w:name w:val="tv213"/>
    <w:basedOn w:val="Normal"/>
    <w:rsid w:val="005B4046"/>
    <w:pPr>
      <w:spacing w:before="100" w:beforeAutospacing="1" w:after="100" w:afterAutospacing="1"/>
    </w:pPr>
    <w:rPr>
      <w:lang w:val="en-US" w:eastAsia="en-US"/>
    </w:rPr>
  </w:style>
  <w:style w:type="character" w:customStyle="1" w:styleId="HeaderChar">
    <w:name w:val="Header Char"/>
    <w:link w:val="Header"/>
    <w:uiPriority w:val="99"/>
    <w:locked/>
    <w:rsid w:val="00076958"/>
    <w:rPr>
      <w:sz w:val="24"/>
      <w:szCs w:val="24"/>
    </w:rPr>
  </w:style>
  <w:style w:type="character" w:styleId="FollowedHyperlink">
    <w:name w:val="FollowedHyperlink"/>
    <w:basedOn w:val="DefaultParagraphFont"/>
    <w:semiHidden/>
    <w:unhideWhenUsed/>
    <w:rsid w:val="00FF0B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9231059">
      <w:bodyDiv w:val="1"/>
      <w:marLeft w:val="0"/>
      <w:marRight w:val="0"/>
      <w:marTop w:val="0"/>
      <w:marBottom w:val="0"/>
      <w:divBdr>
        <w:top w:val="none" w:sz="0" w:space="0" w:color="auto"/>
        <w:left w:val="none" w:sz="0" w:space="0" w:color="auto"/>
        <w:bottom w:val="none" w:sz="0" w:space="0" w:color="auto"/>
        <w:right w:val="none" w:sz="0" w:space="0" w:color="auto"/>
      </w:divBdr>
    </w:div>
    <w:div w:id="1205681596">
      <w:bodyDiv w:val="1"/>
      <w:marLeft w:val="0"/>
      <w:marRight w:val="0"/>
      <w:marTop w:val="0"/>
      <w:marBottom w:val="0"/>
      <w:divBdr>
        <w:top w:val="none" w:sz="0" w:space="0" w:color="auto"/>
        <w:left w:val="none" w:sz="0" w:space="0" w:color="auto"/>
        <w:bottom w:val="none" w:sz="0" w:space="0" w:color="auto"/>
        <w:right w:val="none" w:sz="0" w:space="0" w:color="auto"/>
      </w:divBdr>
    </w:div>
    <w:div w:id="1310867762">
      <w:bodyDiv w:val="1"/>
      <w:marLeft w:val="0"/>
      <w:marRight w:val="0"/>
      <w:marTop w:val="0"/>
      <w:marBottom w:val="0"/>
      <w:divBdr>
        <w:top w:val="none" w:sz="0" w:space="0" w:color="auto"/>
        <w:left w:val="none" w:sz="0" w:space="0" w:color="auto"/>
        <w:bottom w:val="none" w:sz="0" w:space="0" w:color="auto"/>
        <w:right w:val="none" w:sz="0" w:space="0" w:color="auto"/>
      </w:divBdr>
    </w:div>
    <w:div w:id="1621033771">
      <w:bodyDiv w:val="1"/>
      <w:marLeft w:val="0"/>
      <w:marRight w:val="0"/>
      <w:marTop w:val="0"/>
      <w:marBottom w:val="0"/>
      <w:divBdr>
        <w:top w:val="none" w:sz="0" w:space="0" w:color="auto"/>
        <w:left w:val="none" w:sz="0" w:space="0" w:color="auto"/>
        <w:bottom w:val="none" w:sz="0" w:space="0" w:color="auto"/>
        <w:right w:val="none" w:sz="0" w:space="0" w:color="auto"/>
      </w:divBdr>
    </w:div>
    <w:div w:id="1781337569">
      <w:bodyDiv w:val="1"/>
      <w:marLeft w:val="0"/>
      <w:marRight w:val="0"/>
      <w:marTop w:val="0"/>
      <w:marBottom w:val="0"/>
      <w:divBdr>
        <w:top w:val="none" w:sz="0" w:space="0" w:color="auto"/>
        <w:left w:val="none" w:sz="0" w:space="0" w:color="auto"/>
        <w:bottom w:val="none" w:sz="0" w:space="0" w:color="auto"/>
        <w:right w:val="none" w:sz="0" w:space="0" w:color="auto"/>
      </w:divBdr>
    </w:div>
    <w:div w:id="1783331581">
      <w:bodyDiv w:val="1"/>
      <w:marLeft w:val="0"/>
      <w:marRight w:val="0"/>
      <w:marTop w:val="0"/>
      <w:marBottom w:val="0"/>
      <w:divBdr>
        <w:top w:val="none" w:sz="0" w:space="0" w:color="auto"/>
        <w:left w:val="none" w:sz="0" w:space="0" w:color="auto"/>
        <w:bottom w:val="none" w:sz="0" w:space="0" w:color="auto"/>
        <w:right w:val="none" w:sz="0" w:space="0" w:color="auto"/>
      </w:divBdr>
      <w:divsChild>
        <w:div w:id="1106386186">
          <w:marLeft w:val="0"/>
          <w:marRight w:val="0"/>
          <w:marTop w:val="0"/>
          <w:marBottom w:val="0"/>
          <w:divBdr>
            <w:top w:val="none" w:sz="0" w:space="0" w:color="auto"/>
            <w:left w:val="none" w:sz="0" w:space="0" w:color="auto"/>
            <w:bottom w:val="none" w:sz="0" w:space="0" w:color="auto"/>
            <w:right w:val="none" w:sz="0" w:space="0" w:color="auto"/>
          </w:divBdr>
        </w:div>
        <w:div w:id="291324856">
          <w:marLeft w:val="0"/>
          <w:marRight w:val="0"/>
          <w:marTop w:val="0"/>
          <w:marBottom w:val="0"/>
          <w:divBdr>
            <w:top w:val="none" w:sz="0" w:space="0" w:color="auto"/>
            <w:left w:val="none" w:sz="0" w:space="0" w:color="auto"/>
            <w:bottom w:val="none" w:sz="0" w:space="0" w:color="auto"/>
            <w:right w:val="none" w:sz="0" w:space="0" w:color="auto"/>
          </w:divBdr>
        </w:div>
        <w:div w:id="79721013">
          <w:marLeft w:val="0"/>
          <w:marRight w:val="0"/>
          <w:marTop w:val="0"/>
          <w:marBottom w:val="0"/>
          <w:divBdr>
            <w:top w:val="none" w:sz="0" w:space="0" w:color="auto"/>
            <w:left w:val="none" w:sz="0" w:space="0" w:color="auto"/>
            <w:bottom w:val="none" w:sz="0" w:space="0" w:color="auto"/>
            <w:right w:val="none" w:sz="0" w:space="0" w:color="auto"/>
          </w:divBdr>
        </w:div>
        <w:div w:id="1921451938">
          <w:marLeft w:val="0"/>
          <w:marRight w:val="0"/>
          <w:marTop w:val="0"/>
          <w:marBottom w:val="0"/>
          <w:divBdr>
            <w:top w:val="none" w:sz="0" w:space="0" w:color="auto"/>
            <w:left w:val="none" w:sz="0" w:space="0" w:color="auto"/>
            <w:bottom w:val="none" w:sz="0" w:space="0" w:color="auto"/>
            <w:right w:val="none" w:sz="0" w:space="0" w:color="auto"/>
          </w:divBdr>
        </w:div>
      </w:divsChild>
    </w:div>
    <w:div w:id="1793865608">
      <w:bodyDiv w:val="1"/>
      <w:marLeft w:val="0"/>
      <w:marRight w:val="0"/>
      <w:marTop w:val="0"/>
      <w:marBottom w:val="0"/>
      <w:divBdr>
        <w:top w:val="none" w:sz="0" w:space="0" w:color="auto"/>
        <w:left w:val="none" w:sz="0" w:space="0" w:color="auto"/>
        <w:bottom w:val="none" w:sz="0" w:space="0" w:color="auto"/>
        <w:right w:val="none" w:sz="0" w:space="0" w:color="auto"/>
      </w:divBdr>
    </w:div>
    <w:div w:id="18291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93117-dabas-aizsardzibas-parvaldes-no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86810-7EC5-451A-B811-DBCE3327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4864</Words>
  <Characters>33733</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vidm</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LindaT</dc:creator>
  <cp:lastModifiedBy>larisat</cp:lastModifiedBy>
  <cp:revision>2</cp:revision>
  <cp:lastPrinted>2015-05-11T13:43:00Z</cp:lastPrinted>
  <dcterms:created xsi:type="dcterms:W3CDTF">2016-04-07T12:14:00Z</dcterms:created>
  <dcterms:modified xsi:type="dcterms:W3CDTF">2016-04-07T12:14:00Z</dcterms:modified>
  <cp:contentStatus/>
</cp:coreProperties>
</file>