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EA" w:rsidRPr="0087655E" w:rsidRDefault="003759EA" w:rsidP="003759EA">
      <w:pPr>
        <w:jc w:val="center"/>
        <w:rPr>
          <w:b/>
          <w:bCs/>
          <w:sz w:val="28"/>
          <w:szCs w:val="28"/>
          <w:lang w:eastAsia="en-US"/>
        </w:rPr>
      </w:pPr>
      <w:r w:rsidRPr="0087655E">
        <w:rPr>
          <w:b/>
          <w:bCs/>
          <w:sz w:val="28"/>
          <w:szCs w:val="28"/>
          <w:lang w:eastAsia="en-US"/>
        </w:rPr>
        <w:t xml:space="preserve">Ministru kabineta noteikumu projekta </w:t>
      </w:r>
    </w:p>
    <w:p w:rsidR="008A6072" w:rsidRPr="0087655E" w:rsidRDefault="003759EA" w:rsidP="003759EA">
      <w:pPr>
        <w:jc w:val="center"/>
        <w:rPr>
          <w:b/>
          <w:bCs/>
          <w:lang w:eastAsia="en-US"/>
        </w:rPr>
      </w:pPr>
      <w:r w:rsidRPr="0087655E">
        <w:rPr>
          <w:b/>
          <w:bCs/>
          <w:sz w:val="28"/>
          <w:szCs w:val="28"/>
          <w:lang w:eastAsia="en-US"/>
        </w:rPr>
        <w:t>„</w:t>
      </w:r>
      <w:r w:rsidRPr="0087655E">
        <w:rPr>
          <w:b/>
          <w:sz w:val="28"/>
          <w:szCs w:val="28"/>
        </w:rPr>
        <w:t xml:space="preserve">Kārtība, kādā pašvaldībām 2016. gadā piešķir valsts budžeta dotāciju Valsts un pašvaldību vienoto klientu apkalpošanas centru tīkla </w:t>
      </w:r>
      <w:r w:rsidRPr="0087655E">
        <w:rPr>
          <w:b/>
          <w:sz w:val="28"/>
        </w:rPr>
        <w:t>uzturēšanai”</w:t>
      </w:r>
      <w:r w:rsidRPr="0087655E">
        <w:rPr>
          <w:b/>
          <w:sz w:val="28"/>
          <w:szCs w:val="28"/>
        </w:rPr>
        <w:t xml:space="preserve"> </w:t>
      </w:r>
      <w:r w:rsidRPr="0087655E">
        <w:rPr>
          <w:b/>
          <w:bCs/>
          <w:sz w:val="28"/>
          <w:szCs w:val="28"/>
          <w:lang w:eastAsia="en-US"/>
        </w:rPr>
        <w:t>sākotnējās ietekmes novērtējuma ziņojums (anotācija</w:t>
      </w:r>
      <w:r w:rsidRPr="0087655E">
        <w:rPr>
          <w:b/>
          <w:bCs/>
          <w:lang w:eastAsia="en-US"/>
        </w:rPr>
        <w:t>)</w:t>
      </w:r>
    </w:p>
    <w:p w:rsidR="00C00837" w:rsidRPr="0087655E" w:rsidRDefault="00C00837" w:rsidP="008F642E">
      <w:pPr>
        <w:spacing w:before="60" w:after="60"/>
        <w:ind w:firstLine="374"/>
        <w:jc w:val="both"/>
        <w:outlineLvl w:val="3"/>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68"/>
      </w:tblGrid>
      <w:tr w:rsidR="0087655E" w:rsidRPr="0087655E" w:rsidTr="005E550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550D" w:rsidRPr="0087655E" w:rsidRDefault="005E550D" w:rsidP="008F642E">
            <w:pPr>
              <w:pStyle w:val="tvhtml"/>
              <w:jc w:val="center"/>
              <w:rPr>
                <w:b/>
                <w:bCs/>
                <w:lang w:val="lv-LV"/>
              </w:rPr>
            </w:pPr>
            <w:r w:rsidRPr="0087655E">
              <w:rPr>
                <w:b/>
                <w:bCs/>
                <w:lang w:val="lv-LV"/>
              </w:rPr>
              <w:t>I. Tiesību akta projekta izstrādes nepieciešamība</w:t>
            </w:r>
          </w:p>
        </w:tc>
      </w:tr>
      <w:tr w:rsidR="0087655E" w:rsidRPr="0087655E" w:rsidTr="005E550D">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pStyle w:val="tvhtml"/>
              <w:jc w:val="both"/>
              <w:rPr>
                <w:lang w:val="lv-LV"/>
              </w:rPr>
            </w:pPr>
            <w:r w:rsidRPr="0087655E">
              <w:rPr>
                <w:lang w:val="lv-LV"/>
              </w:rPr>
              <w:t>1.</w:t>
            </w:r>
          </w:p>
        </w:tc>
        <w:tc>
          <w:tcPr>
            <w:tcW w:w="1530"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jc w:val="both"/>
            </w:pPr>
            <w:r w:rsidRPr="0087655E">
              <w:t>Pamatojums</w:t>
            </w:r>
          </w:p>
        </w:tc>
        <w:tc>
          <w:tcPr>
            <w:tcW w:w="3158" w:type="pct"/>
            <w:tcBorders>
              <w:top w:val="outset" w:sz="6" w:space="0" w:color="auto"/>
              <w:left w:val="outset" w:sz="6" w:space="0" w:color="auto"/>
              <w:bottom w:val="outset" w:sz="6" w:space="0" w:color="auto"/>
              <w:right w:val="outset" w:sz="6" w:space="0" w:color="auto"/>
            </w:tcBorders>
            <w:hideMark/>
          </w:tcPr>
          <w:p w:rsidR="00326821" w:rsidRPr="0087655E" w:rsidRDefault="00135810" w:rsidP="0087655E">
            <w:pPr>
              <w:ind w:left="66" w:firstLine="142"/>
              <w:jc w:val="both"/>
              <w:rPr>
                <w:bCs/>
              </w:rPr>
            </w:pPr>
            <w:r w:rsidRPr="0087655E">
              <w:t>Ministru kabineta noteikumu projekts „</w:t>
            </w:r>
            <w:r w:rsidR="00207ADC" w:rsidRPr="0087655E">
              <w:rPr>
                <w:b/>
              </w:rPr>
              <w:t>Kārtība, kādā pašvaldībām 2016.</w:t>
            </w:r>
            <w:r w:rsidR="00010645" w:rsidRPr="0087655E">
              <w:rPr>
                <w:b/>
              </w:rPr>
              <w:t> </w:t>
            </w:r>
            <w:r w:rsidR="00207ADC" w:rsidRPr="0087655E">
              <w:rPr>
                <w:b/>
              </w:rPr>
              <w:t>gadā piešķir valsts budžeta dotāciju Valsts un pašvaldību vienoto klientu apkalpošanas centru tīkla uzturēšanai</w:t>
            </w:r>
            <w:r w:rsidR="000A25DC" w:rsidRPr="0087655E">
              <w:rPr>
                <w:bCs/>
              </w:rPr>
              <w:t>”</w:t>
            </w:r>
            <w:r w:rsidR="005C05B3" w:rsidRPr="0087655E">
              <w:rPr>
                <w:bCs/>
              </w:rPr>
              <w:t xml:space="preserve"> (turpmāk – noteikumu projekts)</w:t>
            </w:r>
            <w:r w:rsidRPr="0087655E">
              <w:rPr>
                <w:bCs/>
              </w:rPr>
              <w:t xml:space="preserve"> sagatavots </w:t>
            </w:r>
            <w:r w:rsidR="005C05B3" w:rsidRPr="0087655E">
              <w:rPr>
                <w:bCs/>
              </w:rPr>
              <w:t xml:space="preserve">saskaņā ar </w:t>
            </w:r>
            <w:r w:rsidR="004E1F54" w:rsidRPr="0087655E">
              <w:rPr>
                <w:bCs/>
              </w:rPr>
              <w:t>l</w:t>
            </w:r>
            <w:r w:rsidR="005C05B3" w:rsidRPr="0087655E">
              <w:t xml:space="preserve">ikuma </w:t>
            </w:r>
            <w:r w:rsidR="00A2680F" w:rsidRPr="0087655E">
              <w:t>„</w:t>
            </w:r>
            <w:r w:rsidR="000E0A11" w:rsidRPr="0087655E">
              <w:t>Par v</w:t>
            </w:r>
            <w:r w:rsidR="002755F6" w:rsidRPr="0087655E">
              <w:t>alsts budžetu 2016</w:t>
            </w:r>
            <w:r w:rsidR="008A6EC7" w:rsidRPr="0087655E">
              <w:t>.</w:t>
            </w:r>
            <w:r w:rsidR="00A2680F" w:rsidRPr="0087655E">
              <w:t> g</w:t>
            </w:r>
            <w:r w:rsidR="002755F6" w:rsidRPr="0087655E">
              <w:t>adam</w:t>
            </w:r>
            <w:r w:rsidR="00A2680F" w:rsidRPr="0087655E">
              <w:t xml:space="preserve">” </w:t>
            </w:r>
            <w:r w:rsidR="00917335" w:rsidRPr="0087655E">
              <w:t>55</w:t>
            </w:r>
            <w:r w:rsidR="008A6EC7" w:rsidRPr="0087655E">
              <w:t>.</w:t>
            </w:r>
            <w:r w:rsidR="00A2680F" w:rsidRPr="0087655E">
              <w:t> </w:t>
            </w:r>
            <w:r w:rsidR="005C05B3" w:rsidRPr="0087655E">
              <w:t>pantu.</w:t>
            </w:r>
          </w:p>
        </w:tc>
      </w:tr>
      <w:tr w:rsidR="0087655E" w:rsidRPr="0087655E" w:rsidTr="005E550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843F3" w:rsidRPr="0087655E" w:rsidRDefault="005E550D" w:rsidP="008F642E">
            <w:pPr>
              <w:pStyle w:val="tvhtml"/>
              <w:jc w:val="both"/>
              <w:rPr>
                <w:lang w:val="lv-LV"/>
              </w:rPr>
            </w:pPr>
            <w:r w:rsidRPr="0087655E">
              <w:rPr>
                <w:lang w:val="lv-LV"/>
              </w:rPr>
              <w:t>2.</w:t>
            </w: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6843F3" w:rsidRPr="0087655E" w:rsidRDefault="006843F3" w:rsidP="008F642E">
            <w:pPr>
              <w:jc w:val="both"/>
              <w:rPr>
                <w:lang w:eastAsia="en-US"/>
              </w:rPr>
            </w:pPr>
          </w:p>
          <w:p w:rsidR="005E550D" w:rsidRPr="0087655E" w:rsidRDefault="005E550D" w:rsidP="008F642E">
            <w:pPr>
              <w:jc w:val="both"/>
              <w:rPr>
                <w:lang w:eastAsia="en-US"/>
              </w:rPr>
            </w:pPr>
          </w:p>
        </w:tc>
        <w:tc>
          <w:tcPr>
            <w:tcW w:w="1530"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jc w:val="both"/>
            </w:pPr>
            <w:r w:rsidRPr="0087655E">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hideMark/>
          </w:tcPr>
          <w:p w:rsidR="00690557" w:rsidRPr="0087655E" w:rsidRDefault="00690557" w:rsidP="00690557">
            <w:pPr>
              <w:ind w:left="66" w:firstLine="142"/>
              <w:jc w:val="both"/>
            </w:pPr>
            <w:r w:rsidRPr="0087655E">
              <w:t xml:space="preserve">Noteikumu projektā noteikta kārtība, kādā ministrija budžeta programmas 30.00.00 „Pašvaldību attīstības nacionālie atbalsta instrumenti” ietvaros paredzētās apropriācijas 517 611 </w:t>
            </w:r>
            <w:r w:rsidRPr="0087655E">
              <w:rPr>
                <w:i/>
              </w:rPr>
              <w:t>euro</w:t>
            </w:r>
            <w:r w:rsidRPr="0087655E">
              <w:t xml:space="preserve"> apmērā piešķir pašvaldībām valsts budžeta dotāciju (turpmāk – dotācija) vienoto klientu apkalpošanas centru) tīkla uzturēšanai valsts pakalpojumu sniegšanai 2016. gadā.</w:t>
            </w:r>
          </w:p>
          <w:p w:rsidR="00690557" w:rsidRPr="0087655E" w:rsidRDefault="00690557" w:rsidP="00690557">
            <w:pPr>
              <w:ind w:left="66" w:firstLine="142"/>
              <w:jc w:val="both"/>
            </w:pPr>
            <w:r w:rsidRPr="0087655E">
              <w:t>Vienoto klientu apkalpošanas centru uzturēšana pašvaldībās nodrošinās pakalpojumu saņemšanu iedzīvotājiem un uzņēmējiem vienuviet.</w:t>
            </w:r>
          </w:p>
          <w:p w:rsidR="00983705" w:rsidRPr="0087655E" w:rsidRDefault="00690557" w:rsidP="00983705">
            <w:pPr>
              <w:ind w:left="66" w:firstLine="142"/>
              <w:jc w:val="both"/>
            </w:pPr>
            <w:r w:rsidRPr="0087655E">
              <w:t xml:space="preserve">Publisko pakalpojumu nodrošināšana sabiedrībai ir viens no valsts galvenajiem uzdevumiem. Publisko pakalpojumu sniegšanas pilnveidošana ir būtiska valsts pārvaldes modernizācijas un valsts pārvaldes strukturālo reformu sastāvdaļa un ir viena no valdības prioritātēm. Saskaņā ar Ministru kabineta 2015. gada 10. janvāra rīkojumu Nr. 14 „Grozījumi Koncepcijā par publisko pakalpojumu sistēmas pilnveidi” (turpmāk - koncepcija) un Ministru kabineta 2015. gada 26. maija noteikumiem Nr. 260 “Kārtība, kādā pašvaldībām 2015. gadā piešķir valsts budžeta dotāciju Valsts un pašvaldību vienoto klientu apkalpošanas centru tīkla izveidei reģionu un novadu nozīmes attīstības centros” (turpmāk – MK noteikumi Nr. 260), 2015. gadā tika uzsākta Valsts un pašvaldību vienoto klientu apkalpošanas centru (turpmāk – vienotie klientu apkalpošanas centri) izveide un darbinieku mācības. </w:t>
            </w:r>
          </w:p>
          <w:p w:rsidR="00983705" w:rsidRPr="0087655E" w:rsidRDefault="00537E49" w:rsidP="00983705">
            <w:pPr>
              <w:ind w:left="66" w:firstLine="142"/>
              <w:jc w:val="both"/>
            </w:pPr>
            <w:r w:rsidRPr="0087655E">
              <w:t>Vides aizsardzības un reģionālās attīstības ministrijai (turpmāk – ministrija)</w:t>
            </w:r>
            <w:r w:rsidRPr="0087655E">
              <w:rPr>
                <w:bCs/>
                <w:shd w:val="clear" w:color="auto" w:fill="FFFFFF"/>
              </w:rPr>
              <w:t xml:space="preserve"> </w:t>
            </w:r>
            <w:r w:rsidRPr="0087655E">
              <w:t>jauno politikas iniciatīvu ietvaros, pamatojoties uz likumu „</w:t>
            </w:r>
            <w:r w:rsidRPr="0087655E">
              <w:rPr>
                <w:bCs/>
                <w:shd w:val="clear" w:color="auto" w:fill="FFFFFF"/>
              </w:rPr>
              <w:t xml:space="preserve">Par vidēja termiņa budžeta ietvaru 2015., 2016. un 2017. gadam”, tika piešķirts finansējums budžeta </w:t>
            </w:r>
            <w:r w:rsidRPr="0087655E">
              <w:t xml:space="preserve">programmā 30.00.00 „Pašvaldību attīstības nacionālie atbalsta instrumenti”, tajā skaitā pasākumam „Publisko pakalpojumu pieejamības nodrošināšana saskaņā ar vienas pieturas aģentūras principu”. </w:t>
            </w:r>
            <w:r w:rsidR="00565985" w:rsidRPr="0087655E">
              <w:t xml:space="preserve">Piešķirtais finansējums 2015. gadā ir 919 739 </w:t>
            </w:r>
            <w:r w:rsidR="00565985" w:rsidRPr="0087655E">
              <w:rPr>
                <w:i/>
              </w:rPr>
              <w:t>euro</w:t>
            </w:r>
            <w:r w:rsidR="00565985" w:rsidRPr="0087655E">
              <w:t xml:space="preserve">, 2016. gadā - 517 611 </w:t>
            </w:r>
            <w:r w:rsidR="00565985" w:rsidRPr="0087655E">
              <w:rPr>
                <w:i/>
              </w:rPr>
              <w:t>euro</w:t>
            </w:r>
            <w:r w:rsidR="00565985" w:rsidRPr="0087655E">
              <w:t xml:space="preserve"> un indikatīvi 2017.</w:t>
            </w:r>
            <w:r w:rsidR="0084686C" w:rsidRPr="0087655E">
              <w:t>,</w:t>
            </w:r>
            <w:r w:rsidR="00565985" w:rsidRPr="0087655E">
              <w:t xml:space="preserve"> 2018.</w:t>
            </w:r>
            <w:r w:rsidR="0084686C" w:rsidRPr="0087655E">
              <w:t xml:space="preserve"> un 2019.</w:t>
            </w:r>
            <w:r w:rsidR="00565985" w:rsidRPr="0087655E">
              <w:t xml:space="preserve"> gadā 940 394 </w:t>
            </w:r>
            <w:r w:rsidR="00565985" w:rsidRPr="0087655E">
              <w:rPr>
                <w:i/>
              </w:rPr>
              <w:t xml:space="preserve">euro </w:t>
            </w:r>
            <w:r w:rsidR="00565985" w:rsidRPr="0087655E">
              <w:t>apmērā katru gadu vienoto klientu apkalpošanas centru tīkla uzturēšanai un attīstībai, lai nodrošinātu valsts pakalpojumu pieejamību.</w:t>
            </w:r>
          </w:p>
          <w:p w:rsidR="00983705" w:rsidRPr="0087655E" w:rsidRDefault="00537E49" w:rsidP="00983705">
            <w:pPr>
              <w:ind w:left="66" w:firstLine="142"/>
              <w:jc w:val="both"/>
            </w:pPr>
            <w:r w:rsidRPr="0087655E">
              <w:t>Lai nodrošinātu vienveidīgu pieprasītāko valsts pakalpojumu sniegšanu pašvaldībās, Lauku atbalsts dienests, Nodarbinātības valsts aģentūra, Uzņēmumu reģistrs, Pilsonības un migrācijas lietu pārvalde, Valsts ieņēmumu dienests, Valsts sociālās apdrošināšanas aģentūra,Valsts zemes dienests un, papildus, Valsts darba inspekcija, ir izstrādājušas pieprasītu, relatīvi vienkāršu un nedalāmu pakalpojumu, kuriem ir administratīva pakalpojuma pazīmes, grozu - minimālo pakalpojumu grozu, kura sniegšana tiktu piedāvāta novadu nozīmes pašvaldību centros.</w:t>
            </w:r>
          </w:p>
          <w:p w:rsidR="00983705" w:rsidRPr="0087655E" w:rsidRDefault="00537E49" w:rsidP="00983705">
            <w:pPr>
              <w:ind w:left="66" w:firstLine="142"/>
              <w:jc w:val="both"/>
            </w:pPr>
            <w:r w:rsidRPr="0087655E">
              <w:t xml:space="preserve">Paredzētā budžeta finansējuma ietvaros </w:t>
            </w:r>
            <w:r w:rsidR="00DE54C8" w:rsidRPr="0087655E">
              <w:t>ministrija</w:t>
            </w:r>
            <w:r w:rsidRPr="0087655E">
              <w:t xml:space="preserve"> ir noslē</w:t>
            </w:r>
            <w:r w:rsidR="00DE54C8" w:rsidRPr="0087655E">
              <w:t>gusi</w:t>
            </w:r>
            <w:r w:rsidRPr="0087655E">
              <w:t xml:space="preserve"> līgumu ar Ventspils pilsētas domi par informācijas un komunikācijas tīkla nodrošināšanu starp pašvaldībām un valsts iestādēm, izmantojot drošo kanālu (DIVS) par līguma summu 65 000 </w:t>
            </w:r>
            <w:r w:rsidRPr="0087655E">
              <w:rPr>
                <w:i/>
              </w:rPr>
              <w:t>euro</w:t>
            </w:r>
            <w:r w:rsidRPr="0087655E">
              <w:t xml:space="preserve"> apmērā. Ventspils pilsētas domes struktūrvienība Ventspils digitālais centrs 2015.</w:t>
            </w:r>
            <w:r w:rsidR="00DE54C8" w:rsidRPr="0087655E">
              <w:t> </w:t>
            </w:r>
            <w:r w:rsidRPr="0087655E">
              <w:t xml:space="preserve">gadā izveidoja un turpina nodrošināt </w:t>
            </w:r>
            <w:r w:rsidR="00DE54C8" w:rsidRPr="0087655E">
              <w:t>vienoto klientu apkalpošanas centru</w:t>
            </w:r>
            <w:r w:rsidRPr="0087655E">
              <w:t xml:space="preserve"> pakalpojumu vadības sistēmu.</w:t>
            </w:r>
          </w:p>
          <w:p w:rsidR="00B86003" w:rsidRPr="0087655E" w:rsidRDefault="00983705" w:rsidP="00B86003">
            <w:pPr>
              <w:ind w:left="66" w:firstLine="142"/>
              <w:jc w:val="both"/>
            </w:pPr>
            <w:r w:rsidRPr="0087655E">
              <w:t>Valsts reģionālās attīstības aģentūra un Ventspils pilsētas dome 2015. gada 17. augustā noslēdza vienošanos par grozījumiem 2013. gada 17. decembra Vienošanās Nr. 13-2/13/155 par pašvaldības informācijas tehnoloģiju kompetences centra uzturēšanu un izmaiņu veikšanu pašvaldības informācijas sistēmā, kas paredz veikt izmaiņas pašvaldības informācijas sistēmā vienoto klientu apkalpošanas centru datu apmaiņai caur Valsts informācijas sistēmu savietotāju ar valsts pārvaldes institūcijām valsts pakalpojumu saņemšanai un pieprasīšanai. Ventspils pilsētas pašvaldības iestāde „Ventspils Digitālais centrs” 2015. gada 23. augustā noslēdza sadarbības līgumu Nr. 19.-19/2015/145 ar ministriju par vienoto klientu apkalpošanas centru sniegto pakalpojumu vadības sistēmas darbības nodrošināšanu reģionu un novadu nozīmes attīstības centros”.</w:t>
            </w:r>
          </w:p>
          <w:p w:rsidR="00DF1386" w:rsidRDefault="00DF1386" w:rsidP="00B50F8A">
            <w:pPr>
              <w:ind w:left="66" w:firstLine="142"/>
              <w:jc w:val="both"/>
              <w:rPr>
                <w:szCs w:val="28"/>
              </w:rPr>
            </w:pPr>
            <w:r w:rsidRPr="00EB3C54">
              <w:rPr>
                <w:szCs w:val="28"/>
              </w:rPr>
              <w:t xml:space="preserve">Ministrija centralizēti nodrošina vienotā klientu apkalpošanas centru tīkla atpazīstamības aktivitātes (piem. viedkaršu lasītāju izgatavošana, plakātu izgatavošanu, bukletu sagatavošanu, izdošanu u.c.) un sabiedriskās domas pētījuma veikšanu, šim mērķim paredzot finansējumu 7771.00 </w:t>
            </w:r>
            <w:r w:rsidRPr="00EB3C54">
              <w:rPr>
                <w:i/>
                <w:szCs w:val="28"/>
              </w:rPr>
              <w:t>euro</w:t>
            </w:r>
            <w:r w:rsidRPr="00EB3C54">
              <w:rPr>
                <w:szCs w:val="28"/>
              </w:rPr>
              <w:t xml:space="preserve"> apmērā no budžeta programmas 30.00.00 "Pašvaldību attīstības nacionālie atbalsta instrumenti" ietvaros piešķirtās valsts budžeta dotācijas</w:t>
            </w:r>
            <w:r>
              <w:rPr>
                <w:szCs w:val="28"/>
              </w:rPr>
              <w:t>.</w:t>
            </w:r>
          </w:p>
          <w:p w:rsidR="00BF025E" w:rsidRPr="00BF025E" w:rsidRDefault="00DF1386" w:rsidP="00BF025E">
            <w:pPr>
              <w:ind w:left="66" w:firstLine="142"/>
              <w:jc w:val="both"/>
              <w:rPr>
                <w:b/>
              </w:rPr>
            </w:pPr>
            <w:r w:rsidRPr="00EB3C54">
              <w:rPr>
                <w:szCs w:val="28"/>
              </w:rPr>
              <w:t>.</w:t>
            </w:r>
            <w:r w:rsidR="00B86003" w:rsidRPr="0087655E">
              <w:t>Noteikumu projekta 1. pielikumā „Valsts budžeta dotācijas apmērs 2016. gadā Valsts un pašvaldību vienoto klientu apkalpošanas centru tīkla uzturēšanai” minētās pašvaldības ir uzsākušas klientu apkalpošanas centru tīkla ieviešanu savās pašvaldībās jau 2015. gadā. Saskaņā ar MK noteikumu Nr. 260 prasībām 2015. gadā visas novadu un reģionālās nozīmes pašvaldības varēja pieteikties valsts budžeta dotācijas apguvei. Interesi izrādīja un pieteicās 59 pašvaldības. Ņemot vērā valsts budžeta iespējas 2016. gadā, uzturēšanas izdevumu dotēšana paredzēta tiem vienotajiem klientu apkalpošanas centriem, kuri pieteikušies to izveidei un darbībai 2015. gadā un turpina vai uzsāk savu darbību 2016. gadā.</w:t>
            </w:r>
            <w:r w:rsidR="00E41C0B">
              <w:t xml:space="preserve"> </w:t>
            </w:r>
            <w:r w:rsidR="00BF025E" w:rsidRPr="00BF025E">
              <w:t xml:space="preserve">Valsts budžeta dotācija šīm pašvaldībām tiek aprēķināta, pamatojoties uz likumā „Par valsts budžetu 2016. gadam” noteikto finansējuma apmēru, kas nesedz ministrijai iesniegto pašvaldību pieprasījumu pēc dotācijas apjoma vienoto klientu apkalpošanas centru uzturēšanas izmaksām. Lai izstrādātu metodiku uzturēšanas izdevumu aprēķināšanai turpmākiem gadiem, </w:t>
            </w:r>
            <w:r w:rsidR="00847F0D">
              <w:t>ministrija</w:t>
            </w:r>
            <w:r w:rsidR="00BF025E" w:rsidRPr="00BF025E">
              <w:t xml:space="preserve"> un L</w:t>
            </w:r>
            <w:r w:rsidR="00847F0D">
              <w:t>atvijas Pašvaldību savienība</w:t>
            </w:r>
            <w:r w:rsidR="00BF025E" w:rsidRPr="00BF025E">
              <w:t xml:space="preserve"> 2016. gadā izveido darba grupu. </w:t>
            </w:r>
          </w:p>
          <w:p w:rsidR="0087655E" w:rsidRDefault="00B50F8A" w:rsidP="0087655E">
            <w:pPr>
              <w:ind w:left="66" w:firstLine="142"/>
              <w:jc w:val="both"/>
              <w:rPr>
                <w:b/>
              </w:rPr>
            </w:pPr>
            <w:r w:rsidRPr="0087655E">
              <w:t>Vienoto klientu apkalpošanas centru uzturēšanas izmaksas ietver divas pozīcijas – uzturēšanas izdevumus un nodarbināto atlīdzības izdevumus.</w:t>
            </w:r>
          </w:p>
          <w:p w:rsidR="00B50F8A" w:rsidRPr="0087655E" w:rsidRDefault="005C05B3" w:rsidP="0087655E">
            <w:pPr>
              <w:ind w:left="66" w:firstLine="142"/>
              <w:jc w:val="both"/>
              <w:rPr>
                <w:b/>
              </w:rPr>
            </w:pPr>
            <w:r w:rsidRPr="0087655E">
              <w:t xml:space="preserve">Noteikumu projektā noteikta kārtība, kādā </w:t>
            </w:r>
            <w:r w:rsidR="00537E49" w:rsidRPr="0087655E">
              <w:t>ministrija</w:t>
            </w:r>
            <w:r w:rsidRPr="0087655E">
              <w:t xml:space="preserve"> budžeta programmas 30.00.00 „Pašvaldību attīstības nacionālie atbalsta instrumenti” ietvaros paredzētās apropriācijas 517 611 </w:t>
            </w:r>
            <w:r w:rsidRPr="0087655E">
              <w:rPr>
                <w:i/>
              </w:rPr>
              <w:t>euro</w:t>
            </w:r>
            <w:r w:rsidRPr="0087655E">
              <w:t xml:space="preserve"> apmērā piešķir pašvaldībām valsts budžeta dotāciju </w:t>
            </w:r>
            <w:r w:rsidR="00D264A2" w:rsidRPr="0087655E">
              <w:t>(turpmāk – dotācija)</w:t>
            </w:r>
            <w:r w:rsidR="00B94AB8" w:rsidRPr="0087655E">
              <w:t xml:space="preserve"> </w:t>
            </w:r>
            <w:r w:rsidR="00A004EB" w:rsidRPr="0087655E">
              <w:t>vienot</w:t>
            </w:r>
            <w:r w:rsidR="00DE54C8" w:rsidRPr="0087655E">
              <w:t>o</w:t>
            </w:r>
            <w:r w:rsidR="00A004EB" w:rsidRPr="0087655E">
              <w:t xml:space="preserve"> klientu apkalpošanas centr</w:t>
            </w:r>
            <w:r w:rsidR="00DE54C8" w:rsidRPr="0087655E">
              <w:t>u</w:t>
            </w:r>
            <w:r w:rsidRPr="0087655E">
              <w:t xml:space="preserve">) tīkla </w:t>
            </w:r>
            <w:r w:rsidR="00207ADC" w:rsidRPr="0087655E">
              <w:t xml:space="preserve">izveidei un </w:t>
            </w:r>
            <w:r w:rsidR="009339CF" w:rsidRPr="0087655E">
              <w:t>uzturēšanai</w:t>
            </w:r>
            <w:r w:rsidRPr="0087655E">
              <w:t xml:space="preserve"> valsts pakalpojumu sniegšanai</w:t>
            </w:r>
            <w:r w:rsidR="00AF2F36" w:rsidRPr="0087655E">
              <w:t xml:space="preserve"> 2016.</w:t>
            </w:r>
            <w:r w:rsidR="00D264A2" w:rsidRPr="0087655E">
              <w:t> </w:t>
            </w:r>
            <w:r w:rsidR="00AF2F36" w:rsidRPr="0087655E">
              <w:t>gadā</w:t>
            </w:r>
            <w:r w:rsidRPr="0087655E">
              <w:t xml:space="preserve">. </w:t>
            </w:r>
            <w:r w:rsidR="00D31B60" w:rsidRPr="0087655E">
              <w:t>V</w:t>
            </w:r>
            <w:r w:rsidR="00D264A2" w:rsidRPr="0087655E">
              <w:t>ienotie klientu apkalpošanas centri</w:t>
            </w:r>
            <w:r w:rsidR="00D31B60" w:rsidRPr="0087655E">
              <w:t xml:space="preserve"> </w:t>
            </w:r>
            <w:r w:rsidR="00207ADC" w:rsidRPr="0087655E">
              <w:t>izveide un</w:t>
            </w:r>
            <w:r w:rsidR="00D31B60" w:rsidRPr="0087655E">
              <w:t xml:space="preserve"> pašvaldībās nodrošinās pakalpojumu saņemšanu iedzīvotājiem un uzņēmējiem vienuviet.</w:t>
            </w:r>
          </w:p>
          <w:p w:rsidR="00B50F8A" w:rsidRPr="0087655E" w:rsidRDefault="00B50F8A" w:rsidP="00B50F8A">
            <w:pPr>
              <w:ind w:left="66" w:firstLine="142"/>
              <w:jc w:val="both"/>
            </w:pPr>
            <w:r w:rsidRPr="0087655E">
              <w:rPr>
                <w:rFonts w:eastAsia="Verdana"/>
              </w:rPr>
              <w:t xml:space="preserve">Saskaņā ar </w:t>
            </w:r>
            <w:r w:rsidRPr="0087655E">
              <w:t>MK noteikumu Nr. 260</w:t>
            </w:r>
            <w:r w:rsidRPr="0087655E">
              <w:rPr>
                <w:rFonts w:eastAsia="Verdana"/>
              </w:rPr>
              <w:t xml:space="preserve"> 7. punktu,</w:t>
            </w:r>
            <w:r w:rsidRPr="0087655E">
              <w:t xml:space="preserve"> valsts budžeta dotācijas apmērs vienoto klientu apkalpošanas centru uzturēšanai 2015. gadā nevarēja pārsniegt 300 </w:t>
            </w:r>
            <w:r w:rsidRPr="0087655E">
              <w:rPr>
                <w:i/>
              </w:rPr>
              <w:t>euro</w:t>
            </w:r>
            <w:r w:rsidRPr="0087655E">
              <w:t xml:space="preserve"> mēnesī. 2016. gadā, ņemot vērā piešķirto valsts budžeta dotācijas apjomu, vienoto klientu apkalpošanas centru novadu un reģionu nozīmes attīstības centros uzturēšanas izdevumu aprēķinā</w:t>
            </w:r>
            <w:r w:rsidR="00C379FF">
              <w:t>,</w:t>
            </w:r>
            <w:r w:rsidRPr="0087655E">
              <w:t xml:space="preserve"> kā labās prakses piemērs pārņemts Finanšu ministrijas 2015. gada 27. martā apstiprinātais dokuments „Metodika par netiešo izmaksu vienotās likmes piemērošanu projekta izmaksu atzīšanā 2014.- 2020. gada plānošanas periodā” </w:t>
            </w:r>
            <w:hyperlink r:id="rId8" w:history="1">
              <w:r w:rsidRPr="0087655E">
                <w:rPr>
                  <w:rStyle w:val="Hyperlink"/>
                  <w:color w:val="auto"/>
                </w:rPr>
                <w:t>http://www.esfondi.lv/upload/00-vadlinijas/vadlinijas_2015/4.3._metodika.pdf</w:t>
              </w:r>
            </w:hyperlink>
            <w:r w:rsidRPr="0087655E">
              <w:rPr>
                <w:rStyle w:val="Hyperlink"/>
                <w:color w:val="auto"/>
              </w:rPr>
              <w:t xml:space="preserve"> (turpmāk - metode)</w:t>
            </w:r>
            <w:r w:rsidRPr="0087655E">
              <w:t>. Šī Eiropas Komisijas (turpmāk - EK) piedāvātā metode netiešo izmaksu piemērošanai ir šāda: netiešās izmaksas nosakot ar vienotu likmi 15 % no attiecināmajām tiešajām personāla izmaksām. Šīs metodes izmantošana neprasa veikt aprēķinus likmes pamatošanai. Metode atspoguļo netiešo izmaksu rašanās loģiku: projekta netiešās izmaksas tiek noteiktas no projekta tiešajām attiecināmajām personāla izmaksām, jo netiešo izmaksu lielums lielā mērā ir tieši saistīts ar to, cik daudz projekta īstenošanā ir iesaistīto cilvēku, kuri vismaz 30% no sava darba laika strādā uz projektu. No nodarbināto cilvēku skaita (tiešajām personāla izmaksām) ir atkarīgs, cik lielas izmaksas ir nepieciešamas, lai nodrošinātu tiem atbilstošus darba apstākļus (piem., biroja preces, sakaru pakalpojumus, siltas un apgaismotas telpas, darba drošību, u.c.). Pamatojums šādas metodikas pielietošanā – labā prakse un aprobēts modelis.</w:t>
            </w:r>
          </w:p>
          <w:p w:rsidR="00B50F8A" w:rsidRPr="0087655E" w:rsidRDefault="00B50F8A" w:rsidP="00B50F8A">
            <w:pPr>
              <w:ind w:left="66" w:firstLine="142"/>
              <w:jc w:val="both"/>
            </w:pPr>
            <w:r w:rsidRPr="0087655E">
              <w:rPr>
                <w:szCs w:val="20"/>
              </w:rPr>
              <w:t xml:space="preserve">Uzturēšanas izdevumu atbalstāmās izmaksas 15% apmērā ir noteiktas atbilstoši metodikai, sadalot netiešās izmaksas: </w:t>
            </w:r>
          </w:p>
          <w:p w:rsidR="00B50F8A" w:rsidRPr="0087655E" w:rsidRDefault="00B50F8A" w:rsidP="00B50F8A">
            <w:pPr>
              <w:ind w:left="66" w:firstLine="142"/>
              <w:jc w:val="both"/>
              <w:rPr>
                <w:szCs w:val="20"/>
              </w:rPr>
            </w:pPr>
            <w:r w:rsidRPr="0087655E">
              <w:rPr>
                <w:szCs w:val="20"/>
              </w:rPr>
              <w:t xml:space="preserve">1. Vienoto klientu apkalpošanas centru personāla kancelejas preces, biroja piederumi un biroja aprīkojuma noma. </w:t>
            </w:r>
          </w:p>
          <w:p w:rsidR="00B50F8A" w:rsidRPr="0087655E" w:rsidRDefault="00B50F8A" w:rsidP="00B50F8A">
            <w:pPr>
              <w:ind w:left="66" w:firstLine="142"/>
              <w:jc w:val="both"/>
              <w:rPr>
                <w:szCs w:val="20"/>
              </w:rPr>
            </w:pPr>
            <w:r w:rsidRPr="0087655E">
              <w:rPr>
                <w:szCs w:val="20"/>
              </w:rPr>
              <w:t xml:space="preserve">2. Vienoto klientu apkalpošanas centru personāla telpu noma un īre, komunālie maksājumi un telpu uzturēšanas izmaksas (tai skaitā iestādes koplietošanas telpu un koplietošanas resursu izmantošanas izmaksu proporcionāla segšana). </w:t>
            </w:r>
          </w:p>
          <w:p w:rsidR="00B50F8A" w:rsidRPr="0087655E" w:rsidRDefault="00B50F8A" w:rsidP="00B50F8A">
            <w:pPr>
              <w:ind w:left="66" w:firstLine="142"/>
              <w:jc w:val="both"/>
              <w:rPr>
                <w:szCs w:val="20"/>
              </w:rPr>
            </w:pPr>
            <w:r w:rsidRPr="0087655E">
              <w:rPr>
                <w:szCs w:val="20"/>
              </w:rPr>
              <w:t xml:space="preserve">3. Vienoto klientu apkalpošanas centru personāla sakaru, interneta, IT uzturēšanas izmaksas un pasta pakalpojumu izmaksas. </w:t>
            </w:r>
          </w:p>
          <w:p w:rsidR="00B50F8A" w:rsidRPr="0087655E" w:rsidRDefault="00B50F8A" w:rsidP="00B50F8A">
            <w:pPr>
              <w:ind w:left="66" w:firstLine="142"/>
              <w:jc w:val="both"/>
            </w:pPr>
            <w:r w:rsidRPr="0087655E">
              <w:rPr>
                <w:szCs w:val="20"/>
              </w:rPr>
              <w:t>4. citas izmaksas, kas nav iekļautas vienoto klientu apkalpošanas centru tiešajās attiecināmajās izmaksās, bet ir nepieciešamas darbību rezultātu sasniegšanai.</w:t>
            </w:r>
          </w:p>
          <w:p w:rsidR="00B50F8A" w:rsidRPr="0087655E" w:rsidRDefault="00B50F8A" w:rsidP="00B50F8A">
            <w:pPr>
              <w:ind w:left="66" w:firstLine="142"/>
              <w:jc w:val="both"/>
            </w:pPr>
            <w:r w:rsidRPr="0087655E">
              <w:t>Ne mazāk par 50 % no vienotā klientu apkalpošanas centra uzturēšanas izmaksām pašvaldība sedz no saviem budžeta līdzekļiem. Nodarbināto atlīdzības izmaksas tiek noteiktas, ņemot vērā Ministru kabineta 2015. gada 26. maija noteikumu Nr. 260 8. punktu. Vienoto klientu apkalpošanas centru nodarbināto atlīdzības fonda nodrošināšanai (tiešās attiecināmas personāla izmaksas) valsts budžeta dotācija 2016. gadā piešķirama šādā apmērā:</w:t>
            </w:r>
          </w:p>
          <w:p w:rsidR="00B50F8A" w:rsidRPr="0087655E" w:rsidRDefault="00B50F8A" w:rsidP="00B50F8A">
            <w:pPr>
              <w:pStyle w:val="tv213"/>
              <w:tabs>
                <w:tab w:val="left" w:pos="1134"/>
              </w:tabs>
              <w:spacing w:before="0" w:beforeAutospacing="0" w:after="0" w:afterAutospacing="0"/>
              <w:ind w:left="66" w:firstLine="142"/>
              <w:jc w:val="both"/>
            </w:pPr>
            <w:r w:rsidRPr="0087655E">
              <w:t xml:space="preserve">1. pašvaldībām, kurās ir vairāk nekā 20 000 iedzīvotāju, – 1 000 </w:t>
            </w:r>
            <w:r w:rsidRPr="0087655E">
              <w:rPr>
                <w:i/>
              </w:rPr>
              <w:t xml:space="preserve">euro </w:t>
            </w:r>
            <w:r w:rsidRPr="0087655E">
              <w:t>mēnesī;</w:t>
            </w:r>
          </w:p>
          <w:p w:rsidR="00B50F8A" w:rsidRPr="0087655E" w:rsidRDefault="00B50F8A" w:rsidP="00B50F8A">
            <w:pPr>
              <w:pStyle w:val="tv213"/>
              <w:tabs>
                <w:tab w:val="left" w:pos="1134"/>
              </w:tabs>
              <w:spacing w:before="0" w:beforeAutospacing="0" w:after="0" w:afterAutospacing="0"/>
              <w:ind w:left="66" w:firstLine="142"/>
              <w:jc w:val="both"/>
            </w:pPr>
            <w:r w:rsidRPr="0087655E">
              <w:t xml:space="preserve">2. pašvaldībām no 10 001 līdz 20000 iedzīvotājiem – 700 </w:t>
            </w:r>
            <w:r w:rsidRPr="0087655E">
              <w:rPr>
                <w:i/>
              </w:rPr>
              <w:t>euro</w:t>
            </w:r>
            <w:r w:rsidRPr="0087655E">
              <w:t xml:space="preserve"> mēnesī;</w:t>
            </w:r>
          </w:p>
          <w:p w:rsidR="00B50F8A" w:rsidRPr="0087655E" w:rsidRDefault="00B50F8A" w:rsidP="00B50F8A">
            <w:pPr>
              <w:ind w:left="66" w:firstLine="142"/>
              <w:jc w:val="both"/>
            </w:pPr>
            <w:r w:rsidRPr="0087655E">
              <w:t xml:space="preserve">3. pašvaldībām līdz 10 000 iedzīvotāju – 500 </w:t>
            </w:r>
            <w:r w:rsidRPr="0087655E">
              <w:rPr>
                <w:i/>
              </w:rPr>
              <w:t>euro</w:t>
            </w:r>
            <w:r w:rsidRPr="0087655E">
              <w:t xml:space="preserve"> mēnesī. </w:t>
            </w:r>
          </w:p>
          <w:p w:rsidR="00F167C8" w:rsidRPr="0087655E" w:rsidRDefault="00B50F8A" w:rsidP="00F167C8">
            <w:pPr>
              <w:ind w:left="66" w:firstLine="142"/>
              <w:jc w:val="both"/>
            </w:pPr>
            <w:r w:rsidRPr="0087655E">
              <w:t>Atlīdzība vienoto klientu apkalpošanas centru nodarbinātajiem piešķirama, nepārsniedzot noteikto apmēru, neatkarīgi no iesaistīto darbinieku skaita.</w:t>
            </w:r>
          </w:p>
          <w:p w:rsidR="00F167C8" w:rsidRPr="0087655E" w:rsidRDefault="00F167C8" w:rsidP="00F167C8">
            <w:pPr>
              <w:ind w:left="66" w:firstLine="142"/>
              <w:jc w:val="both"/>
            </w:pPr>
            <w:r w:rsidRPr="0087655E">
              <w:t xml:space="preserve">Saskaņā ar Ministru kabineta 2015.gada 10.novembra informatīvo ziņojumu „Par valsts un pašvaldību vienoto klientu apkalpošanas centra izveidi reģionu nozīmes attīstības centros 2015. gadā”, Balvu, Smiltenes un Tukuma novada pašvaldību uzturēšanas izdevumi tiek segti </w:t>
            </w:r>
            <w:r w:rsidRPr="00855C6A">
              <w:t>no 2016. gada 1. jūlija. Saskaņā</w:t>
            </w:r>
            <w:r w:rsidRPr="0087655E">
              <w:t xml:space="preserve"> ar noslēgtajiem līgumiem valsts budžeta dotāciju Balvu novada, Smiltenes novada un Tukuma novada vienoto klientu apkalpošanas centru uzturēšanas izdevumiem piešķir, ņemot vērā noslēgtos līgumus starp Vides aizsardzības un reģionālās attīstības ministriju un Balvu novada pašvaldību, Smiltenes novada pašvaldību un Tukuma novada pašvaldību, t.i., 300 </w:t>
            </w:r>
            <w:r w:rsidRPr="0087655E">
              <w:rPr>
                <w:i/>
              </w:rPr>
              <w:t>euro</w:t>
            </w:r>
            <w:r w:rsidRPr="0087655E">
              <w:t>/mēnesī.</w:t>
            </w:r>
          </w:p>
          <w:p w:rsidR="00B50F8A" w:rsidRPr="00DF1386" w:rsidRDefault="00A84B33" w:rsidP="00B50F8A">
            <w:pPr>
              <w:ind w:left="66" w:firstLine="142"/>
              <w:jc w:val="both"/>
            </w:pPr>
            <w:r w:rsidRPr="00DF1386">
              <w:rPr>
                <w:iCs/>
              </w:rPr>
              <w:t>Ņemot vērā, ka vienoto klientu apkalpošanas centru darbības nodrošināšanai 2016. gadā ir piešķirts par 56 % mazāks valsts budžeta dotācijas apjoms nekā 2015. gadā, vienoto klientu apkalpošanas centru novadu nozīmes attīstības centros uzturēšanas izmaksas ir samazinātas, lai saglabātu iespēju vienoto klientu apkalpošanas centru darbinieku atlīdzības izmaksas turpināt dotēt 2015. gada līmenī.</w:t>
            </w:r>
          </w:p>
          <w:p w:rsidR="00BF025E" w:rsidRPr="00BF025E" w:rsidRDefault="00BF025E" w:rsidP="00F167C8">
            <w:pPr>
              <w:ind w:left="66" w:firstLine="142"/>
              <w:jc w:val="both"/>
            </w:pPr>
            <w:r w:rsidRPr="00BF025E">
              <w:rPr>
                <w:iCs/>
              </w:rPr>
              <w:t xml:space="preserve">Nākamajos gados vienoto klientu apkalpošanas centru novadu nozīmes attīstības centros uzturēšanas izmaksas tiks pārskatītas, tostarp, ņemot vērā valsts budžeta dotācijas apjomus, </w:t>
            </w:r>
            <w:r w:rsidRPr="00BF025E">
              <w:t>kas ir paredzēti saskaņā ar likumu „Par vidēja termiņa budžeta ietvaru 2016., 2017. un 2018. gadam”.</w:t>
            </w:r>
          </w:p>
          <w:p w:rsidR="00F167C8" w:rsidRPr="0087655E" w:rsidRDefault="00316F1B" w:rsidP="00F167C8">
            <w:pPr>
              <w:ind w:left="66" w:firstLine="142"/>
              <w:jc w:val="both"/>
            </w:pPr>
            <w:r w:rsidRPr="00C379FF">
              <w:t>Valsts budžeta dotāciju, kas nav izlietota atbilstoši paredzētajiem mērķiem, atmaksā saskaņā ar Ministru kabineta 2010.</w:t>
            </w:r>
            <w:r w:rsidR="00F167C8" w:rsidRPr="00C379FF">
              <w:t> gad</w:t>
            </w:r>
            <w:r w:rsidRPr="00C379FF">
              <w:t>a 28.</w:t>
            </w:r>
            <w:r w:rsidR="00F167C8" w:rsidRPr="00C379FF">
              <w:t> </w:t>
            </w:r>
            <w:r w:rsidRPr="00C379FF">
              <w:t>decembra</w:t>
            </w:r>
            <w:r w:rsidRPr="0087655E">
              <w:t xml:space="preserve"> noteikumiem Nr.</w:t>
            </w:r>
            <w:r w:rsidR="00F167C8" w:rsidRPr="0087655E">
              <w:t> </w:t>
            </w:r>
            <w:r w:rsidRPr="0087655E">
              <w:t xml:space="preserve">1220 </w:t>
            </w:r>
            <w:r w:rsidR="00F167C8" w:rsidRPr="0087655E">
              <w:t>„</w:t>
            </w:r>
            <w:hyperlink r:id="rId9" w:tgtFrame="_blank" w:history="1">
              <w:r w:rsidRPr="0087655E">
                <w:t>Asignējumu piešķiršanas un izpildes kārtība</w:t>
              </w:r>
            </w:hyperlink>
            <w:r w:rsidR="00F167C8" w:rsidRPr="0087655E">
              <w:t>”</w:t>
            </w:r>
            <w:r w:rsidRPr="0087655E">
              <w:t xml:space="preserve">. </w:t>
            </w:r>
          </w:p>
          <w:p w:rsidR="00F167C8" w:rsidRPr="0087655E" w:rsidRDefault="00D13AA4" w:rsidP="00F167C8">
            <w:pPr>
              <w:ind w:left="66" w:firstLine="142"/>
              <w:jc w:val="both"/>
            </w:pPr>
            <w:r w:rsidRPr="0087655E">
              <w:t xml:space="preserve">Likums </w:t>
            </w:r>
            <w:r w:rsidR="00135810" w:rsidRPr="0087655E">
              <w:t xml:space="preserve">„Par valsts </w:t>
            </w:r>
            <w:r w:rsidRPr="0087655E">
              <w:t>budžetu 2016. </w:t>
            </w:r>
            <w:r w:rsidR="00135810" w:rsidRPr="0087655E">
              <w:t>gadam”</w:t>
            </w:r>
            <w:r w:rsidRPr="0087655E">
              <w:t xml:space="preserve"> nosaka deleģējumu</w:t>
            </w:r>
            <w:r w:rsidR="00735F17" w:rsidRPr="0087655E">
              <w:t xml:space="preserve"> finansējuma sadalē</w:t>
            </w:r>
            <w:r w:rsidRPr="0087655E">
              <w:t xml:space="preserve"> tikai vienam gadam – 2016. gadam. Līdz ar to noteikumu projektā nav ietverama prasība par turpmākajos gados nepieciešamo valsts budžeta finansējumu centru izveidei</w:t>
            </w:r>
            <w:r w:rsidR="0080743D" w:rsidRPr="0087655E">
              <w:t xml:space="preserve">, </w:t>
            </w:r>
            <w:r w:rsidRPr="0087655E">
              <w:t xml:space="preserve"> uzturēšanai</w:t>
            </w:r>
            <w:r w:rsidR="0080743D" w:rsidRPr="0087655E">
              <w:t xml:space="preserve"> un nodarbināto atlīdzībai.</w:t>
            </w:r>
          </w:p>
          <w:p w:rsidR="00716F30" w:rsidRPr="0087655E" w:rsidRDefault="00AD5300" w:rsidP="00716F30">
            <w:pPr>
              <w:ind w:left="66" w:firstLine="142"/>
              <w:jc w:val="both"/>
            </w:pPr>
            <w:r w:rsidRPr="0087655E">
              <w:t xml:space="preserve">Ekonomiskos ieguvumus veido administratīvā sloga samazinājums </w:t>
            </w:r>
            <w:r w:rsidR="00F167C8" w:rsidRPr="0087655E">
              <w:t>vienoto klientu apkalpošanas centru</w:t>
            </w:r>
            <w:r w:rsidRPr="0087655E">
              <w:t xml:space="preserve"> klientiem. Administratīvā sloga samazinājums novadu centros ir pamatots ar klientu laika ietaupījumu, nebraucot uz tuv</w:t>
            </w:r>
            <w:r w:rsidR="00F167C8" w:rsidRPr="0087655E">
              <w:t>āko reģionālo centru – vidēji 1.</w:t>
            </w:r>
            <w:r w:rsidRPr="0087655E">
              <w:t>24 st</w:t>
            </w:r>
            <w:r w:rsidR="00F167C8" w:rsidRPr="0087655E">
              <w:t>.</w:t>
            </w:r>
            <w:r w:rsidR="00D44FD4" w:rsidRPr="0087655E">
              <w:t xml:space="preserve"> 21 un 9 nacionālās un reģionālās nozīmes attīstības centros</w:t>
            </w:r>
            <w:r w:rsidR="00716F30" w:rsidRPr="0087655E">
              <w:t>,</w:t>
            </w:r>
            <w:r w:rsidR="00D44FD4" w:rsidRPr="0087655E">
              <w:t xml:space="preserve"> administratīvais slogs samazināsies </w:t>
            </w:r>
            <w:r w:rsidR="00716F30" w:rsidRPr="0087655E">
              <w:t xml:space="preserve">arī </w:t>
            </w:r>
            <w:r w:rsidR="00D44FD4" w:rsidRPr="0087655E">
              <w:t>sinerģijas efekta dēļ</w:t>
            </w:r>
            <w:r w:rsidR="003E43D7" w:rsidRPr="0087655E">
              <w:t>.</w:t>
            </w:r>
          </w:p>
          <w:p w:rsidR="00716F30" w:rsidRPr="0087655E" w:rsidRDefault="00B7394E" w:rsidP="00716F30">
            <w:pPr>
              <w:ind w:left="66" w:firstLine="142"/>
              <w:jc w:val="both"/>
            </w:pPr>
            <w:r w:rsidRPr="0087655E">
              <w:t>Pamatojoties uz piešķirto valsts budžeta dotācijas a</w:t>
            </w:r>
            <w:r w:rsidR="007D2ACF" w:rsidRPr="0087655E">
              <w:t>pmēru, 2016</w:t>
            </w:r>
            <w:r w:rsidRPr="0087655E">
              <w:t>. </w:t>
            </w:r>
            <w:r w:rsidR="003B37ED" w:rsidRPr="0087655E">
              <w:t>g</w:t>
            </w:r>
            <w:r w:rsidRPr="0087655E">
              <w:t>adā</w:t>
            </w:r>
            <w:r w:rsidR="007D2ACF" w:rsidRPr="0087655E">
              <w:t xml:space="preserve"> tiks nodrošināta </w:t>
            </w:r>
            <w:r w:rsidR="004E1F54" w:rsidRPr="0087655E">
              <w:t xml:space="preserve">56 </w:t>
            </w:r>
            <w:r w:rsidR="007D2ACF" w:rsidRPr="0087655E">
              <w:t xml:space="preserve">novadu </w:t>
            </w:r>
            <w:r w:rsidR="00284A42" w:rsidRPr="0087655E">
              <w:t xml:space="preserve">un 3 reģionālās </w:t>
            </w:r>
            <w:r w:rsidR="007D2ACF" w:rsidRPr="0087655E">
              <w:t xml:space="preserve">nozīmes </w:t>
            </w:r>
            <w:r w:rsidR="00716F30" w:rsidRPr="0087655E">
              <w:t>vienoto klientu apkalpošanas centru</w:t>
            </w:r>
            <w:r w:rsidR="007D2ACF" w:rsidRPr="0087655E">
              <w:t xml:space="preserve"> </w:t>
            </w:r>
            <w:r w:rsidR="004E1F54" w:rsidRPr="0087655E">
              <w:t>darbība</w:t>
            </w:r>
            <w:r w:rsidR="008723E4" w:rsidRPr="0087655E">
              <w:t xml:space="preserve">, lai </w:t>
            </w:r>
            <w:r w:rsidR="007D2ACF" w:rsidRPr="0087655E">
              <w:t xml:space="preserve">pēc iespējas ātrāk, ērtāk un izdevīgāk </w:t>
            </w:r>
            <w:r w:rsidR="008723E4" w:rsidRPr="0087655E">
              <w:t xml:space="preserve">nodrošinātu </w:t>
            </w:r>
            <w:r w:rsidR="007D2ACF" w:rsidRPr="0087655E">
              <w:t xml:space="preserve">publiskā sektora </w:t>
            </w:r>
            <w:r w:rsidR="008723E4" w:rsidRPr="0087655E">
              <w:t xml:space="preserve">sadarbību </w:t>
            </w:r>
            <w:r w:rsidR="007D2ACF" w:rsidRPr="0087655E">
              <w:t>ar iedzīvotājiem.</w:t>
            </w:r>
          </w:p>
          <w:p w:rsidR="007707F5" w:rsidRPr="0087655E" w:rsidRDefault="007707F5" w:rsidP="00716F30">
            <w:pPr>
              <w:ind w:left="66" w:firstLine="142"/>
              <w:jc w:val="both"/>
            </w:pPr>
            <w:r w:rsidRPr="0087655E">
              <w:t>Noteikumos paredzētā valsts budžeta dotācija izmantojama vienoto klientu apkalpošanas centru uzturēšanai laika periodā no 2016.</w:t>
            </w:r>
            <w:r w:rsidR="00716F30" w:rsidRPr="0087655E">
              <w:t> </w:t>
            </w:r>
            <w:r w:rsidRPr="0087655E">
              <w:t>gada 1.janvāra līdz 31.</w:t>
            </w:r>
            <w:r w:rsidR="00716F30" w:rsidRPr="0087655E">
              <w:t> </w:t>
            </w:r>
            <w:r w:rsidRPr="0087655E">
              <w:t>decembrim.</w:t>
            </w:r>
          </w:p>
        </w:tc>
      </w:tr>
      <w:tr w:rsidR="0087655E" w:rsidRPr="0087655E" w:rsidTr="005E550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pStyle w:val="tvhtml"/>
              <w:jc w:val="both"/>
              <w:rPr>
                <w:lang w:val="lv-LV"/>
              </w:rPr>
            </w:pPr>
            <w:r w:rsidRPr="0087655E">
              <w:rPr>
                <w:lang w:val="lv-LV"/>
              </w:rPr>
              <w:t>3.</w:t>
            </w:r>
          </w:p>
        </w:tc>
        <w:tc>
          <w:tcPr>
            <w:tcW w:w="1530"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jc w:val="both"/>
            </w:pPr>
            <w:r w:rsidRPr="0087655E">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hideMark/>
          </w:tcPr>
          <w:p w:rsidR="005E550D" w:rsidRPr="0087655E" w:rsidRDefault="00F76D0E" w:rsidP="0087655E">
            <w:pPr>
              <w:ind w:left="66" w:right="138"/>
              <w:jc w:val="both"/>
            </w:pPr>
            <w:r w:rsidRPr="0087655E">
              <w:t>Latvijas Pašvaldību savienība</w:t>
            </w:r>
            <w:r w:rsidR="008723E4" w:rsidRPr="0087655E">
              <w:t>.</w:t>
            </w:r>
          </w:p>
        </w:tc>
      </w:tr>
      <w:tr w:rsidR="0087655E" w:rsidRPr="0087655E" w:rsidTr="005E55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pStyle w:val="tvhtml"/>
              <w:jc w:val="both"/>
              <w:rPr>
                <w:lang w:val="lv-LV"/>
              </w:rPr>
            </w:pPr>
            <w:r w:rsidRPr="0087655E">
              <w:rPr>
                <w:lang w:val="lv-LV"/>
              </w:rPr>
              <w:t>4.</w:t>
            </w:r>
          </w:p>
        </w:tc>
        <w:tc>
          <w:tcPr>
            <w:tcW w:w="1530"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jc w:val="both"/>
            </w:pPr>
            <w:r w:rsidRPr="0087655E">
              <w:t>Cita informācija</w:t>
            </w:r>
          </w:p>
        </w:tc>
        <w:tc>
          <w:tcPr>
            <w:tcW w:w="3158" w:type="pct"/>
            <w:tcBorders>
              <w:top w:val="outset" w:sz="6" w:space="0" w:color="auto"/>
              <w:left w:val="outset" w:sz="6" w:space="0" w:color="auto"/>
              <w:bottom w:val="outset" w:sz="6" w:space="0" w:color="auto"/>
              <w:right w:val="outset" w:sz="6" w:space="0" w:color="auto"/>
            </w:tcBorders>
            <w:hideMark/>
          </w:tcPr>
          <w:p w:rsidR="005E550D" w:rsidRPr="0087655E" w:rsidRDefault="00FA5B30" w:rsidP="0087655E">
            <w:pPr>
              <w:pStyle w:val="tvhtml"/>
              <w:ind w:left="66" w:right="138"/>
              <w:jc w:val="both"/>
              <w:rPr>
                <w:lang w:val="lv-LV"/>
              </w:rPr>
            </w:pPr>
            <w:r w:rsidRPr="0087655E">
              <w:rPr>
                <w:lang w:val="lv-LV"/>
              </w:rPr>
              <w:t>Nav</w:t>
            </w:r>
            <w:r w:rsidR="008723E4" w:rsidRPr="0087655E">
              <w:rPr>
                <w:lang w:val="lv-LV"/>
              </w:rPr>
              <w:t>.</w:t>
            </w:r>
          </w:p>
        </w:tc>
      </w:tr>
    </w:tbl>
    <w:p w:rsidR="005E550D" w:rsidRPr="0087655E" w:rsidRDefault="005E550D" w:rsidP="008F642E">
      <w:pPr>
        <w:pStyle w:val="tvhtml"/>
        <w:spacing w:before="0" w:beforeAutospacing="0" w:after="0" w:afterAutospacing="0"/>
        <w:jc w:val="both"/>
        <w:rPr>
          <w:lang w:val="lv-LV"/>
        </w:rPr>
      </w:pPr>
      <w:r w:rsidRPr="0087655E">
        <w:rPr>
          <w:lang w:val="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68"/>
      </w:tblGrid>
      <w:tr w:rsidR="0087655E" w:rsidRPr="0087655E" w:rsidTr="005E550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550D" w:rsidRPr="0087655E" w:rsidRDefault="005E550D" w:rsidP="00DC00F5">
            <w:pPr>
              <w:pStyle w:val="tvhtml"/>
              <w:jc w:val="center"/>
              <w:rPr>
                <w:b/>
                <w:bCs/>
                <w:lang w:val="lv-LV"/>
              </w:rPr>
            </w:pPr>
            <w:r w:rsidRPr="0087655E">
              <w:rPr>
                <w:b/>
                <w:bCs/>
                <w:lang w:val="lv-LV"/>
              </w:rPr>
              <w:t>II. Tiesību akta projekta ietekme uz sabiedrību, tautsaimniecības attīstību un administratīvo slogu</w:t>
            </w:r>
          </w:p>
        </w:tc>
      </w:tr>
      <w:tr w:rsidR="0087655E" w:rsidRPr="0087655E" w:rsidTr="005E550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jc w:val="both"/>
            </w:pPr>
            <w:r w:rsidRPr="0087655E">
              <w:t>1.</w:t>
            </w:r>
          </w:p>
        </w:tc>
        <w:tc>
          <w:tcPr>
            <w:tcW w:w="1550"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jc w:val="both"/>
            </w:pPr>
            <w:r w:rsidRPr="0087655E">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5E550D" w:rsidRPr="0087655E" w:rsidRDefault="005A01DA" w:rsidP="00716F30">
            <w:pPr>
              <w:pStyle w:val="Default"/>
              <w:ind w:left="66" w:right="138" w:firstLine="142"/>
              <w:jc w:val="both"/>
              <w:rPr>
                <w:color w:val="auto"/>
                <w:lang w:val="lv-LV" w:eastAsia="lv-LV"/>
              </w:rPr>
            </w:pPr>
            <w:r w:rsidRPr="0087655E">
              <w:rPr>
                <w:color w:val="auto"/>
                <w:lang w:val="lv-LV"/>
              </w:rPr>
              <w:t>Mērķgrupa, ko skar šis noteikumu projekts, aptver 59 pašvaldības (saskaņā ar Ministru kabineta noteikumu 1.</w:t>
            </w:r>
            <w:r w:rsidR="00716F30" w:rsidRPr="0087655E">
              <w:rPr>
                <w:color w:val="auto"/>
                <w:lang w:val="lv-LV"/>
              </w:rPr>
              <w:t> </w:t>
            </w:r>
            <w:r w:rsidRPr="0087655E">
              <w:rPr>
                <w:color w:val="auto"/>
                <w:lang w:val="lv-LV"/>
              </w:rPr>
              <w:t>pielikuma pašvaldību sarakstu) un to iedzīvotājus.</w:t>
            </w:r>
          </w:p>
        </w:tc>
      </w:tr>
      <w:tr w:rsidR="0087655E" w:rsidRPr="0087655E" w:rsidTr="005E550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jc w:val="both"/>
            </w:pPr>
            <w:r w:rsidRPr="0087655E">
              <w:t>2.</w:t>
            </w:r>
          </w:p>
        </w:tc>
        <w:tc>
          <w:tcPr>
            <w:tcW w:w="1550"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jc w:val="both"/>
            </w:pPr>
            <w:r w:rsidRPr="0087655E">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78594F" w:rsidRPr="0087655E" w:rsidRDefault="006D39E1" w:rsidP="00716F30">
            <w:pPr>
              <w:pStyle w:val="naiskr"/>
              <w:spacing w:before="0" w:after="0"/>
              <w:ind w:left="66" w:right="138" w:firstLine="142"/>
              <w:jc w:val="both"/>
              <w:rPr>
                <w:iCs/>
              </w:rPr>
            </w:pPr>
            <w:r w:rsidRPr="0087655E">
              <w:rPr>
                <w:iCs/>
              </w:rPr>
              <w:t>Administratīvais slogs samazinās iedzīvotājiem.</w:t>
            </w:r>
            <w:r w:rsidR="00716F30" w:rsidRPr="0087655E">
              <w:rPr>
                <w:iCs/>
              </w:rPr>
              <w:t xml:space="preserve"> </w:t>
            </w:r>
            <w:r w:rsidR="005E550D" w:rsidRPr="0087655E">
              <w:rPr>
                <w:iCs/>
              </w:rPr>
              <w:t xml:space="preserve">Pašvaldību iedzīvotājiem </w:t>
            </w:r>
            <w:r w:rsidR="00F76D0E" w:rsidRPr="0087655E">
              <w:rPr>
                <w:iCs/>
              </w:rPr>
              <w:t xml:space="preserve">pašvaldību administratīvajā teritorijā </w:t>
            </w:r>
            <w:r w:rsidR="005E550D" w:rsidRPr="0087655E">
              <w:rPr>
                <w:iCs/>
              </w:rPr>
              <w:t xml:space="preserve">tiks nodrošināta </w:t>
            </w:r>
            <w:r w:rsidR="00CC56B5" w:rsidRPr="0087655E">
              <w:rPr>
                <w:iCs/>
              </w:rPr>
              <w:t>valsts un pašvaldību pakalpojum</w:t>
            </w:r>
            <w:r w:rsidR="00F76D0E" w:rsidRPr="0087655E">
              <w:rPr>
                <w:iCs/>
              </w:rPr>
              <w:t>u saņemšana klātienē</w:t>
            </w:r>
            <w:r w:rsidR="00CC56B5" w:rsidRPr="0087655E">
              <w:rPr>
                <w:iCs/>
              </w:rPr>
              <w:t>.</w:t>
            </w:r>
          </w:p>
        </w:tc>
      </w:tr>
      <w:tr w:rsidR="0087655E" w:rsidRPr="0087655E" w:rsidTr="005E550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jc w:val="both"/>
            </w:pPr>
            <w:r w:rsidRPr="0087655E">
              <w:t>3.</w:t>
            </w:r>
          </w:p>
        </w:tc>
        <w:tc>
          <w:tcPr>
            <w:tcW w:w="1550"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jc w:val="both"/>
            </w:pPr>
            <w:r w:rsidRPr="0087655E">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FB1494" w:rsidRPr="0087655E" w:rsidRDefault="00FB1494" w:rsidP="00716F30">
            <w:pPr>
              <w:ind w:left="66" w:right="197" w:firstLine="142"/>
              <w:jc w:val="both"/>
              <w:rPr>
                <w:sz w:val="22"/>
                <w:szCs w:val="22"/>
              </w:rPr>
            </w:pPr>
            <w:r w:rsidRPr="0087655E">
              <w:t xml:space="preserve">Informācijas </w:t>
            </w:r>
            <w:r w:rsidRPr="0087655E">
              <w:rPr>
                <w:bCs/>
              </w:rPr>
              <w:t>sniegšanas pienākumi</w:t>
            </w:r>
            <w:r w:rsidRPr="0087655E">
              <w:t xml:space="preserve"> pašvaldībām izriet no noteikumu projekta </w:t>
            </w:r>
            <w:r w:rsidR="0084686C" w:rsidRPr="0087655E">
              <w:rPr>
                <w:bCs/>
              </w:rPr>
              <w:t>13</w:t>
            </w:r>
            <w:r w:rsidRPr="0087655E">
              <w:rPr>
                <w:bCs/>
              </w:rPr>
              <w:t xml:space="preserve">. un </w:t>
            </w:r>
            <w:r w:rsidR="0084686C" w:rsidRPr="0087655E">
              <w:rPr>
                <w:bCs/>
              </w:rPr>
              <w:t>14</w:t>
            </w:r>
            <w:r w:rsidRPr="0087655E">
              <w:rPr>
                <w:bCs/>
              </w:rPr>
              <w:t>.</w:t>
            </w:r>
            <w:r w:rsidR="00716F30" w:rsidRPr="0087655E">
              <w:rPr>
                <w:bCs/>
              </w:rPr>
              <w:t> </w:t>
            </w:r>
            <w:r w:rsidRPr="0087655E">
              <w:rPr>
                <w:bCs/>
              </w:rPr>
              <w:t>punkta</w:t>
            </w:r>
            <w:r w:rsidRPr="0087655E">
              <w:t>.</w:t>
            </w:r>
          </w:p>
          <w:p w:rsidR="00FB1494" w:rsidRPr="0087655E" w:rsidRDefault="00FB1494" w:rsidP="00716F30">
            <w:pPr>
              <w:ind w:left="66" w:right="197" w:firstLine="142"/>
              <w:jc w:val="both"/>
            </w:pPr>
            <w:r w:rsidRPr="0087655E">
              <w:t xml:space="preserve">Pašvaldībām informācijas sniegšanas pienākuma radītās izmaksas jeb administratīvās izmaksas ir C = (f x l) x (n x b) = </w:t>
            </w:r>
            <w:r w:rsidR="00355CD4" w:rsidRPr="0087655E">
              <w:t>456,4</w:t>
            </w:r>
            <w:r w:rsidRPr="0087655E">
              <w:rPr>
                <w:i/>
              </w:rPr>
              <w:t xml:space="preserve"> euro</w:t>
            </w:r>
            <w:r w:rsidRPr="0087655E">
              <w:t>, kur</w:t>
            </w:r>
          </w:p>
          <w:p w:rsidR="00FB1494" w:rsidRPr="0087655E" w:rsidRDefault="00FB1494" w:rsidP="00716F30">
            <w:pPr>
              <w:ind w:left="66" w:right="197" w:firstLine="142"/>
              <w:jc w:val="both"/>
            </w:pPr>
            <w:r w:rsidRPr="0087655E">
              <w:t>C – informācijas sniegšanas pienākuma radītās izmaksas jeb administratīvās izmaksas;</w:t>
            </w:r>
          </w:p>
          <w:p w:rsidR="00FB1494" w:rsidRPr="0087655E" w:rsidRDefault="00FB1494" w:rsidP="00716F30">
            <w:pPr>
              <w:ind w:left="66" w:right="197" w:firstLine="142"/>
              <w:jc w:val="both"/>
            </w:pPr>
            <w:r w:rsidRPr="0087655E">
              <w:t>f – finanšu līdzekļu apjoms, kas nepieciešams, lai nodrošinātu projektā paredzētā informācijas sniegšanas pienākuma izpildi (stundas samaksas likme, ieskaitot virsstundas vai stundas limitu ārējo pakalpojumu sniedzējiem, ja tādi ir) (atbilstoši Centrālās statistikas mājas lapas „Darbaspēka izmaksas” + pie identificētām darbaspēka izmaksām pieskaitīts klāt 25% (pieskaitāmās izmaksas) – 11,41;</w:t>
            </w:r>
          </w:p>
          <w:p w:rsidR="00FB1494" w:rsidRPr="0087655E" w:rsidRDefault="00FB1494" w:rsidP="00716F30">
            <w:pPr>
              <w:ind w:left="66" w:right="197" w:firstLine="142"/>
              <w:jc w:val="both"/>
            </w:pPr>
            <w:r w:rsidRPr="0087655E">
              <w:t>l – laika patēriņš, kas nepieciešams, lai sagatavotu informāciju, kuras sniegšanu paredz projekts- 8;</w:t>
            </w:r>
          </w:p>
          <w:p w:rsidR="00FB1494" w:rsidRPr="0087655E" w:rsidRDefault="00FB1494" w:rsidP="00716F30">
            <w:pPr>
              <w:ind w:left="66" w:right="197" w:firstLine="142"/>
              <w:jc w:val="both"/>
            </w:pPr>
            <w:r w:rsidRPr="0087655E">
              <w:t>n – subjektu skaits, uz ko attiecas projektā paredzētās informācijas sniegšanas prasības- 5;</w:t>
            </w:r>
          </w:p>
          <w:p w:rsidR="00FB1494" w:rsidRPr="0087655E" w:rsidRDefault="00FB1494" w:rsidP="00716F30">
            <w:pPr>
              <w:ind w:left="66" w:right="197" w:firstLine="142"/>
              <w:jc w:val="both"/>
            </w:pPr>
            <w:r w:rsidRPr="0087655E">
              <w:t>b – cik bieži gada laikā projekts paredz informācijas sniegšanu- 1.</w:t>
            </w:r>
          </w:p>
          <w:p w:rsidR="00FB1494" w:rsidRPr="0087655E" w:rsidRDefault="00FB1494" w:rsidP="00716F30">
            <w:pPr>
              <w:ind w:left="66" w:right="197" w:firstLine="142"/>
              <w:jc w:val="both"/>
            </w:pPr>
            <w:r w:rsidRPr="0087655E">
              <w:t xml:space="preserve">Informācijas apkopošanas, uzglabāšanas pienākumi </w:t>
            </w:r>
            <w:r w:rsidR="00716F30" w:rsidRPr="0087655E">
              <w:rPr>
                <w:bCs/>
              </w:rPr>
              <w:t>ministrijai</w:t>
            </w:r>
            <w:r w:rsidRPr="0087655E">
              <w:t xml:space="preserve"> izriet no noteikumu projekta </w:t>
            </w:r>
            <w:r w:rsidR="0084686C" w:rsidRPr="0087655E">
              <w:rPr>
                <w:bCs/>
              </w:rPr>
              <w:t>15</w:t>
            </w:r>
            <w:r w:rsidRPr="0087655E">
              <w:rPr>
                <w:bCs/>
              </w:rPr>
              <w:t>.punkta</w:t>
            </w:r>
            <w:r w:rsidRPr="0087655E">
              <w:t>.</w:t>
            </w:r>
          </w:p>
          <w:p w:rsidR="00FB1494" w:rsidRPr="0087655E" w:rsidRDefault="00FB1494" w:rsidP="00716F30">
            <w:pPr>
              <w:ind w:left="66" w:right="197" w:firstLine="142"/>
              <w:jc w:val="both"/>
            </w:pPr>
            <w:r w:rsidRPr="0087655E">
              <w:t xml:space="preserve">VARAM informācijas sniegšanas pienākuma radītās izmaksas jeb administratīvās izmaksas ir C = (f x l) x (n x b) = </w:t>
            </w:r>
            <w:r w:rsidR="00355CD4" w:rsidRPr="0087655E">
              <w:t>2282</w:t>
            </w:r>
            <w:r w:rsidRPr="0087655E">
              <w:t xml:space="preserve"> </w:t>
            </w:r>
            <w:r w:rsidRPr="0087655E">
              <w:rPr>
                <w:i/>
              </w:rPr>
              <w:t>euro</w:t>
            </w:r>
            <w:r w:rsidRPr="0087655E">
              <w:t>, kur</w:t>
            </w:r>
          </w:p>
          <w:p w:rsidR="00FB1494" w:rsidRPr="0087655E" w:rsidRDefault="00FB1494" w:rsidP="00716F30">
            <w:pPr>
              <w:ind w:left="66" w:right="197" w:firstLine="142"/>
              <w:jc w:val="both"/>
            </w:pPr>
            <w:r w:rsidRPr="0087655E">
              <w:t>C – informācijas sniegšanas pienākuma radītās izmaksas jeb administratīvās izmaksas;</w:t>
            </w:r>
          </w:p>
          <w:p w:rsidR="00FB1494" w:rsidRPr="0087655E" w:rsidRDefault="00FB1494" w:rsidP="00716F30">
            <w:pPr>
              <w:ind w:left="66" w:right="197" w:firstLine="142"/>
              <w:jc w:val="both"/>
            </w:pPr>
            <w:r w:rsidRPr="0087655E">
              <w:t>f – finanšu līdzekļu apjoms, kas nepieciešams, lai nodrošinātu projektā paredzētā informācijas sniegšanas pienākuma izpildi (stundas samaksas likme, ieskaitot virsstundas vai stundas limitu ārējo pakalpojumu sniedzējiem, ja tādi ir) (atbilstoši Centrālās statistikas mājas lapas „Darbaspēka izmaksas” + pie identificētām darbaspēka izmaksām pieskaitīts klāt 25% (pieskaitāmās izmaksas) – 11,41;</w:t>
            </w:r>
          </w:p>
          <w:p w:rsidR="00FB1494" w:rsidRPr="0087655E" w:rsidRDefault="00FB1494" w:rsidP="00716F30">
            <w:pPr>
              <w:ind w:left="66" w:right="197" w:firstLine="142"/>
              <w:jc w:val="both"/>
            </w:pPr>
            <w:r w:rsidRPr="0087655E">
              <w:t xml:space="preserve">l – laika patēriņš, kas nepieciešams, lai sagatavotu informāciju, kuras sniegšanu paredz projekts- </w:t>
            </w:r>
            <w:r w:rsidR="00355CD4" w:rsidRPr="0087655E">
              <w:t>40</w:t>
            </w:r>
            <w:r w:rsidRPr="0087655E">
              <w:t>;</w:t>
            </w:r>
          </w:p>
          <w:p w:rsidR="00FB1494" w:rsidRPr="0087655E" w:rsidRDefault="00FB1494" w:rsidP="00716F30">
            <w:pPr>
              <w:ind w:left="66" w:right="197" w:firstLine="142"/>
              <w:jc w:val="both"/>
            </w:pPr>
            <w:r w:rsidRPr="0087655E">
              <w:t>n – subjektu skaits, uz ko attiecas projektā paredzētās informācijas sniegšanas prasības- 5;</w:t>
            </w:r>
          </w:p>
          <w:p w:rsidR="00000FFA" w:rsidRPr="0087655E" w:rsidRDefault="00FB1494" w:rsidP="00716F30">
            <w:pPr>
              <w:ind w:left="66" w:right="197" w:firstLine="142"/>
              <w:jc w:val="both"/>
            </w:pPr>
            <w:r w:rsidRPr="0087655E">
              <w:t>b – cik bieži gada laikā projekts paredz informācijas sniegšanu- 1.</w:t>
            </w:r>
          </w:p>
        </w:tc>
      </w:tr>
      <w:tr w:rsidR="0087655E" w:rsidRPr="0087655E" w:rsidTr="005E550D">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jc w:val="both"/>
            </w:pPr>
            <w:r w:rsidRPr="0087655E">
              <w:t>4.</w:t>
            </w:r>
          </w:p>
        </w:tc>
        <w:tc>
          <w:tcPr>
            <w:tcW w:w="1550"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jc w:val="both"/>
            </w:pPr>
            <w:r w:rsidRPr="0087655E">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E550D" w:rsidRPr="0087655E" w:rsidRDefault="005E550D" w:rsidP="008F642E">
            <w:pPr>
              <w:pStyle w:val="tvhtml"/>
              <w:ind w:left="208" w:right="138"/>
              <w:jc w:val="both"/>
              <w:rPr>
                <w:lang w:val="lv-LV"/>
              </w:rPr>
            </w:pPr>
            <w:r w:rsidRPr="0087655E">
              <w:rPr>
                <w:lang w:val="lv-LV"/>
              </w:rPr>
              <w:t>Nav</w:t>
            </w:r>
            <w:r w:rsidR="008723E4" w:rsidRPr="0087655E">
              <w:rPr>
                <w:lang w:val="lv-LV"/>
              </w:rPr>
              <w:t>.</w:t>
            </w:r>
          </w:p>
        </w:tc>
      </w:tr>
    </w:tbl>
    <w:p w:rsidR="003F68CD" w:rsidRPr="0087655E" w:rsidRDefault="003F68CD" w:rsidP="00DC00F5">
      <w:pPr>
        <w:pStyle w:val="tvhtml"/>
        <w:spacing w:before="0" w:beforeAutospacing="0" w:after="0" w:afterAutospacing="0"/>
        <w:jc w:val="both"/>
        <w:rPr>
          <w:lang w:val="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76"/>
        <w:gridCol w:w="1227"/>
        <w:gridCol w:w="1288"/>
        <w:gridCol w:w="1317"/>
        <w:gridCol w:w="1317"/>
        <w:gridCol w:w="1494"/>
      </w:tblGrid>
      <w:tr w:rsidR="0087655E" w:rsidRPr="0087655E" w:rsidTr="003F68CD">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pStyle w:val="tvhtml"/>
              <w:jc w:val="center"/>
              <w:rPr>
                <w:b/>
                <w:bCs/>
                <w:lang w:val="lv-LV"/>
              </w:rPr>
            </w:pPr>
            <w:r w:rsidRPr="0087655E">
              <w:rPr>
                <w:b/>
                <w:bCs/>
                <w:lang w:val="lv-LV"/>
              </w:rPr>
              <w:t>III. Tiesību akta projekta ietekme uz valsts budžetu un pašvaldību budžetiem</w:t>
            </w:r>
          </w:p>
        </w:tc>
      </w:tr>
      <w:tr w:rsidR="0087655E" w:rsidRPr="0087655E" w:rsidTr="00716F30">
        <w:trPr>
          <w:tblCellSpacing w:w="15" w:type="dxa"/>
          <w:jc w:val="center"/>
        </w:trPr>
        <w:tc>
          <w:tcPr>
            <w:tcW w:w="1393" w:type="pct"/>
            <w:vMerge w:val="restart"/>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pStyle w:val="tvhtml"/>
              <w:jc w:val="center"/>
              <w:rPr>
                <w:b/>
                <w:bCs/>
                <w:lang w:val="lv-LV"/>
              </w:rPr>
            </w:pPr>
            <w:r w:rsidRPr="0087655E">
              <w:rPr>
                <w:b/>
                <w:bCs/>
                <w:lang w:val="lv-LV"/>
              </w:rPr>
              <w:t>Rādītāji</w:t>
            </w:r>
          </w:p>
        </w:tc>
        <w:tc>
          <w:tcPr>
            <w:tcW w:w="134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F68CD" w:rsidRPr="0087655E" w:rsidRDefault="002B2101" w:rsidP="003059E3">
            <w:pPr>
              <w:pStyle w:val="tvhtml"/>
              <w:jc w:val="center"/>
              <w:rPr>
                <w:b/>
                <w:bCs/>
                <w:lang w:val="lv-LV"/>
              </w:rPr>
            </w:pPr>
            <w:r w:rsidRPr="0087655E">
              <w:rPr>
                <w:b/>
                <w:bCs/>
                <w:lang w:val="lv-LV"/>
              </w:rPr>
              <w:t>201</w:t>
            </w:r>
            <w:r w:rsidR="003059E3" w:rsidRPr="0087655E">
              <w:rPr>
                <w:b/>
                <w:bCs/>
                <w:lang w:val="lv-LV"/>
              </w:rPr>
              <w:t>6</w:t>
            </w:r>
          </w:p>
        </w:tc>
        <w:tc>
          <w:tcPr>
            <w:tcW w:w="2199" w:type="pct"/>
            <w:gridSpan w:val="3"/>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pStyle w:val="tvhtml"/>
              <w:jc w:val="center"/>
              <w:rPr>
                <w:lang w:val="lv-LV"/>
              </w:rPr>
            </w:pPr>
            <w:r w:rsidRPr="0087655E">
              <w:rPr>
                <w:lang w:val="lv-LV"/>
              </w:rPr>
              <w:t>Turpmākie trīs gadi (</w:t>
            </w:r>
            <w:r w:rsidRPr="0087655E">
              <w:rPr>
                <w:i/>
                <w:iCs/>
                <w:lang w:val="lv-LV"/>
              </w:rPr>
              <w:t>euro</w:t>
            </w:r>
            <w:r w:rsidRPr="0087655E">
              <w:rPr>
                <w:lang w:val="lv-LV"/>
              </w:rPr>
              <w:t>)</w:t>
            </w:r>
          </w:p>
        </w:tc>
      </w:tr>
      <w:tr w:rsidR="0087655E" w:rsidRPr="0087655E" w:rsidTr="00716F3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8F642E">
            <w:pPr>
              <w:jc w:val="both"/>
              <w:rPr>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jc w:val="center"/>
              <w:rPr>
                <w:b/>
                <w:bCs/>
              </w:rPr>
            </w:pPr>
          </w:p>
        </w:tc>
        <w:tc>
          <w:tcPr>
            <w:tcW w:w="709"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2B2101" w:rsidP="00C67369">
            <w:pPr>
              <w:pStyle w:val="tvhtml"/>
              <w:jc w:val="center"/>
              <w:rPr>
                <w:b/>
                <w:bCs/>
                <w:lang w:val="lv-LV"/>
              </w:rPr>
            </w:pPr>
            <w:r w:rsidRPr="0087655E">
              <w:rPr>
                <w:b/>
                <w:bCs/>
                <w:lang w:val="lv-LV"/>
              </w:rPr>
              <w:t>201</w:t>
            </w:r>
            <w:r w:rsidR="003059E3" w:rsidRPr="0087655E">
              <w:rPr>
                <w:b/>
                <w:bCs/>
                <w:lang w:val="lv-LV"/>
              </w:rPr>
              <w:t>7</w:t>
            </w:r>
          </w:p>
        </w:tc>
        <w:tc>
          <w:tcPr>
            <w:tcW w:w="709"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2B2101" w:rsidP="00C67369">
            <w:pPr>
              <w:pStyle w:val="tvhtml"/>
              <w:jc w:val="center"/>
              <w:rPr>
                <w:b/>
                <w:bCs/>
                <w:lang w:val="lv-LV"/>
              </w:rPr>
            </w:pPr>
            <w:r w:rsidRPr="0087655E">
              <w:rPr>
                <w:b/>
                <w:bCs/>
                <w:lang w:val="lv-LV"/>
              </w:rPr>
              <w:t>201</w:t>
            </w:r>
            <w:r w:rsidR="003059E3" w:rsidRPr="0087655E">
              <w:rPr>
                <w:b/>
                <w:bCs/>
                <w:lang w:val="lv-LV"/>
              </w:rPr>
              <w:t>8</w:t>
            </w:r>
          </w:p>
        </w:tc>
        <w:tc>
          <w:tcPr>
            <w:tcW w:w="749"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2B2101" w:rsidP="00C67369">
            <w:pPr>
              <w:pStyle w:val="tvhtml"/>
              <w:jc w:val="center"/>
              <w:rPr>
                <w:b/>
                <w:bCs/>
                <w:lang w:val="lv-LV"/>
              </w:rPr>
            </w:pPr>
            <w:r w:rsidRPr="0087655E">
              <w:rPr>
                <w:b/>
                <w:bCs/>
                <w:lang w:val="lv-LV"/>
              </w:rPr>
              <w:t>201</w:t>
            </w:r>
            <w:r w:rsidR="003059E3" w:rsidRPr="0087655E">
              <w:rPr>
                <w:b/>
                <w:bCs/>
                <w:lang w:val="lv-LV"/>
              </w:rPr>
              <w:t>9</w:t>
            </w:r>
          </w:p>
        </w:tc>
      </w:tr>
      <w:tr w:rsidR="0087655E" w:rsidRPr="0087655E" w:rsidTr="00716F3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8F642E">
            <w:pPr>
              <w:jc w:val="both"/>
              <w:rPr>
                <w:b/>
                <w:bCs/>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716F30">
            <w:pPr>
              <w:pStyle w:val="tvhtml"/>
              <w:jc w:val="center"/>
              <w:rPr>
                <w:lang w:val="lv-LV"/>
              </w:rPr>
            </w:pPr>
            <w:r w:rsidRPr="0087655E">
              <w:rPr>
                <w:lang w:val="lv-LV"/>
              </w:rPr>
              <w:t>saskaņā ar valsts budžetu kārtējam gadam</w:t>
            </w:r>
          </w:p>
        </w:tc>
        <w:tc>
          <w:tcPr>
            <w:tcW w:w="677"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716F30">
            <w:pPr>
              <w:pStyle w:val="tvhtml"/>
              <w:jc w:val="center"/>
              <w:rPr>
                <w:lang w:val="lv-LV"/>
              </w:rPr>
            </w:pPr>
            <w:r w:rsidRPr="0087655E">
              <w:rPr>
                <w:lang w:val="lv-LV"/>
              </w:rPr>
              <w:t>izmaiņas kārtējā gadā, salīdzinot ar valsts budžetu kārtējam gadam</w:t>
            </w:r>
          </w:p>
        </w:tc>
        <w:tc>
          <w:tcPr>
            <w:tcW w:w="709"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716F30">
            <w:pPr>
              <w:pStyle w:val="tvhtml"/>
              <w:jc w:val="center"/>
              <w:rPr>
                <w:lang w:val="lv-LV"/>
              </w:rPr>
            </w:pPr>
            <w:r w:rsidRPr="0087655E">
              <w:rPr>
                <w:lang w:val="lv-LV"/>
              </w:rPr>
              <w:t>iz</w:t>
            </w:r>
            <w:r w:rsidR="004E4347" w:rsidRPr="0087655E">
              <w:rPr>
                <w:lang w:val="lv-LV"/>
              </w:rPr>
              <w:t xml:space="preserve">maiņas, </w:t>
            </w:r>
            <w:r w:rsidR="003059E3" w:rsidRPr="0087655E">
              <w:rPr>
                <w:lang w:val="lv-LV"/>
              </w:rPr>
              <w:t>salīdzinot ar kārtējo (2016</w:t>
            </w:r>
            <w:r w:rsidRPr="0087655E">
              <w:rPr>
                <w:lang w:val="lv-LV"/>
              </w:rPr>
              <w:t>) gadu</w:t>
            </w:r>
          </w:p>
        </w:tc>
        <w:tc>
          <w:tcPr>
            <w:tcW w:w="709"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716F30">
            <w:pPr>
              <w:pStyle w:val="tvhtml"/>
              <w:jc w:val="center"/>
              <w:rPr>
                <w:lang w:val="lv-LV"/>
              </w:rPr>
            </w:pPr>
            <w:r w:rsidRPr="0087655E">
              <w:rPr>
                <w:lang w:val="lv-LV"/>
              </w:rPr>
              <w:t>iz</w:t>
            </w:r>
            <w:r w:rsidR="004E4347" w:rsidRPr="0087655E">
              <w:rPr>
                <w:lang w:val="lv-LV"/>
              </w:rPr>
              <w:t>mai</w:t>
            </w:r>
            <w:r w:rsidR="003059E3" w:rsidRPr="0087655E">
              <w:rPr>
                <w:lang w:val="lv-LV"/>
              </w:rPr>
              <w:t>ņas, salīdzinot ar kārtējo (2016</w:t>
            </w:r>
            <w:r w:rsidRPr="0087655E">
              <w:rPr>
                <w:lang w:val="lv-LV"/>
              </w:rPr>
              <w:t>) gadu</w:t>
            </w:r>
          </w:p>
        </w:tc>
        <w:tc>
          <w:tcPr>
            <w:tcW w:w="749"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716F30">
            <w:pPr>
              <w:pStyle w:val="tvhtml"/>
              <w:jc w:val="center"/>
              <w:rPr>
                <w:lang w:val="lv-LV"/>
              </w:rPr>
            </w:pPr>
            <w:r w:rsidRPr="0087655E">
              <w:rPr>
                <w:lang w:val="lv-LV"/>
              </w:rPr>
              <w:t>iz</w:t>
            </w:r>
            <w:r w:rsidR="004E4347" w:rsidRPr="0087655E">
              <w:rPr>
                <w:lang w:val="lv-LV"/>
              </w:rPr>
              <w:t>mai</w:t>
            </w:r>
            <w:r w:rsidR="003059E3" w:rsidRPr="0087655E">
              <w:rPr>
                <w:lang w:val="lv-LV"/>
              </w:rPr>
              <w:t>ņas, salīdzinot ar kārtējo (2016</w:t>
            </w:r>
            <w:r w:rsidRPr="0087655E">
              <w:rPr>
                <w:lang w:val="lv-LV"/>
              </w:rPr>
              <w:t>) gadu</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pStyle w:val="tvhtml"/>
              <w:jc w:val="center"/>
              <w:rPr>
                <w:lang w:val="lv-LV"/>
              </w:rPr>
            </w:pPr>
            <w:r w:rsidRPr="0087655E">
              <w:rPr>
                <w:lang w:val="lv-LV"/>
              </w:rPr>
              <w:t>1</w:t>
            </w:r>
          </w:p>
        </w:tc>
        <w:tc>
          <w:tcPr>
            <w:tcW w:w="649"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pStyle w:val="tvhtml"/>
              <w:jc w:val="center"/>
              <w:rPr>
                <w:lang w:val="lv-LV"/>
              </w:rPr>
            </w:pPr>
            <w:r w:rsidRPr="0087655E">
              <w:rPr>
                <w:lang w:val="lv-LV"/>
              </w:rPr>
              <w:t>2</w:t>
            </w:r>
          </w:p>
        </w:tc>
        <w:tc>
          <w:tcPr>
            <w:tcW w:w="677"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pStyle w:val="tvhtml"/>
              <w:jc w:val="center"/>
              <w:rPr>
                <w:lang w:val="lv-LV"/>
              </w:rPr>
            </w:pPr>
            <w:r w:rsidRPr="0087655E">
              <w:rPr>
                <w:lang w:val="lv-LV"/>
              </w:rPr>
              <w:t>3</w:t>
            </w:r>
          </w:p>
        </w:tc>
        <w:tc>
          <w:tcPr>
            <w:tcW w:w="709"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pStyle w:val="tvhtml"/>
              <w:jc w:val="center"/>
              <w:rPr>
                <w:lang w:val="lv-LV"/>
              </w:rPr>
            </w:pPr>
            <w:r w:rsidRPr="0087655E">
              <w:rPr>
                <w:lang w:val="lv-LV"/>
              </w:rPr>
              <w:t>4</w:t>
            </w:r>
          </w:p>
        </w:tc>
        <w:tc>
          <w:tcPr>
            <w:tcW w:w="709"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pStyle w:val="tvhtml"/>
              <w:jc w:val="center"/>
              <w:rPr>
                <w:lang w:val="lv-LV"/>
              </w:rPr>
            </w:pPr>
            <w:r w:rsidRPr="0087655E">
              <w:rPr>
                <w:lang w:val="lv-LV"/>
              </w:rPr>
              <w:t>5</w:t>
            </w:r>
          </w:p>
        </w:tc>
        <w:tc>
          <w:tcPr>
            <w:tcW w:w="749"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pStyle w:val="tvhtml"/>
              <w:jc w:val="center"/>
              <w:rPr>
                <w:lang w:val="lv-LV"/>
              </w:rPr>
            </w:pPr>
            <w:r w:rsidRPr="0087655E">
              <w:rPr>
                <w:lang w:val="lv-LV"/>
              </w:rPr>
              <w:t>6</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716F30" w:rsidRPr="0087655E" w:rsidRDefault="00716F30" w:rsidP="008F642E">
            <w:pPr>
              <w:jc w:val="both"/>
            </w:pPr>
            <w:r w:rsidRPr="0087655E">
              <w:t>1. Budžeta ieņēmumi:</w:t>
            </w:r>
          </w:p>
        </w:tc>
        <w:tc>
          <w:tcPr>
            <w:tcW w:w="649" w:type="pct"/>
            <w:tcBorders>
              <w:top w:val="outset" w:sz="6" w:space="0" w:color="auto"/>
              <w:left w:val="outset" w:sz="6" w:space="0" w:color="auto"/>
              <w:bottom w:val="outset" w:sz="6" w:space="0" w:color="auto"/>
              <w:right w:val="outset" w:sz="6" w:space="0" w:color="auto"/>
            </w:tcBorders>
            <w:hideMark/>
          </w:tcPr>
          <w:p w:rsidR="00716F30" w:rsidRPr="0087655E" w:rsidRDefault="00716F30" w:rsidP="00716F30">
            <w:pPr>
              <w:jc w:val="center"/>
            </w:pPr>
            <w:r w:rsidRPr="0087655E">
              <w:t>517 611</w:t>
            </w:r>
          </w:p>
        </w:tc>
        <w:tc>
          <w:tcPr>
            <w:tcW w:w="677" w:type="pct"/>
            <w:tcBorders>
              <w:top w:val="outset" w:sz="6" w:space="0" w:color="auto"/>
              <w:left w:val="outset" w:sz="6" w:space="0" w:color="auto"/>
              <w:bottom w:val="outset" w:sz="6" w:space="0" w:color="auto"/>
              <w:right w:val="outset" w:sz="6" w:space="0" w:color="auto"/>
            </w:tcBorders>
            <w:hideMark/>
          </w:tcPr>
          <w:p w:rsidR="00716F30" w:rsidRPr="0087655E" w:rsidRDefault="00716F30" w:rsidP="00716F30">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716F30" w:rsidRPr="0087655E" w:rsidRDefault="00716F30" w:rsidP="00716F30">
            <w:pPr>
              <w:jc w:val="center"/>
            </w:pPr>
            <w:r w:rsidRPr="0087655E">
              <w:t>+422 783</w:t>
            </w:r>
          </w:p>
        </w:tc>
        <w:tc>
          <w:tcPr>
            <w:tcW w:w="709" w:type="pct"/>
            <w:tcBorders>
              <w:top w:val="outset" w:sz="6" w:space="0" w:color="auto"/>
              <w:left w:val="outset" w:sz="6" w:space="0" w:color="auto"/>
              <w:bottom w:val="outset" w:sz="6" w:space="0" w:color="auto"/>
              <w:right w:val="outset" w:sz="6" w:space="0" w:color="auto"/>
            </w:tcBorders>
            <w:hideMark/>
          </w:tcPr>
          <w:p w:rsidR="00716F30" w:rsidRPr="0087655E" w:rsidRDefault="00716F30" w:rsidP="00716F30">
            <w:pPr>
              <w:jc w:val="center"/>
            </w:pPr>
            <w:r w:rsidRPr="0087655E">
              <w:t>+422 783</w:t>
            </w:r>
          </w:p>
        </w:tc>
        <w:tc>
          <w:tcPr>
            <w:tcW w:w="749" w:type="pct"/>
            <w:tcBorders>
              <w:top w:val="outset" w:sz="6" w:space="0" w:color="auto"/>
              <w:left w:val="outset" w:sz="6" w:space="0" w:color="auto"/>
              <w:bottom w:val="outset" w:sz="6" w:space="0" w:color="auto"/>
              <w:right w:val="outset" w:sz="6" w:space="0" w:color="auto"/>
            </w:tcBorders>
            <w:hideMark/>
          </w:tcPr>
          <w:p w:rsidR="00716F30" w:rsidRPr="0087655E" w:rsidRDefault="00716F30" w:rsidP="00716F30">
            <w:pPr>
              <w:jc w:val="center"/>
            </w:pPr>
            <w:r w:rsidRPr="0087655E">
              <w:t>+422 783</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1.1. valsts pamatbudžets, tai skaitā ieņēmumi no maksas pakalpojumiem un citi pašu ieņēmumi</w:t>
            </w:r>
          </w:p>
        </w:tc>
        <w:tc>
          <w:tcPr>
            <w:tcW w:w="649" w:type="pct"/>
            <w:tcBorders>
              <w:top w:val="outset" w:sz="6" w:space="0" w:color="auto"/>
              <w:left w:val="outset" w:sz="6" w:space="0" w:color="auto"/>
              <w:bottom w:val="outset" w:sz="6" w:space="0" w:color="auto"/>
              <w:right w:val="outset" w:sz="6" w:space="0" w:color="auto"/>
            </w:tcBorders>
            <w:hideMark/>
          </w:tcPr>
          <w:p w:rsidR="003F68CD" w:rsidRPr="0087655E" w:rsidRDefault="003059E3" w:rsidP="00716F30">
            <w:pPr>
              <w:jc w:val="center"/>
            </w:pPr>
            <w:r w:rsidRPr="0087655E">
              <w:t>517</w:t>
            </w:r>
            <w:r w:rsidR="0080743D" w:rsidRPr="0087655E">
              <w:t xml:space="preserve"> </w:t>
            </w:r>
            <w:r w:rsidRPr="0087655E">
              <w:t>611</w:t>
            </w: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9D25C2" w:rsidP="00716F30">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tcPr>
          <w:p w:rsidR="003F68CD" w:rsidRPr="0087655E" w:rsidRDefault="0037553D" w:rsidP="00716F30">
            <w:pPr>
              <w:jc w:val="center"/>
            </w:pPr>
            <w:r w:rsidRPr="0087655E">
              <w:t>+422 783</w:t>
            </w:r>
          </w:p>
        </w:tc>
        <w:tc>
          <w:tcPr>
            <w:tcW w:w="709" w:type="pct"/>
            <w:tcBorders>
              <w:top w:val="outset" w:sz="6" w:space="0" w:color="auto"/>
              <w:left w:val="outset" w:sz="6" w:space="0" w:color="auto"/>
              <w:bottom w:val="outset" w:sz="6" w:space="0" w:color="auto"/>
              <w:right w:val="outset" w:sz="6" w:space="0" w:color="auto"/>
            </w:tcBorders>
          </w:tcPr>
          <w:p w:rsidR="003F68CD" w:rsidRPr="0087655E" w:rsidRDefault="0037553D" w:rsidP="00716F30">
            <w:pPr>
              <w:jc w:val="center"/>
            </w:pPr>
            <w:r w:rsidRPr="0087655E">
              <w:t>+422 783</w:t>
            </w:r>
          </w:p>
        </w:tc>
        <w:tc>
          <w:tcPr>
            <w:tcW w:w="749" w:type="pct"/>
            <w:tcBorders>
              <w:top w:val="outset" w:sz="6" w:space="0" w:color="auto"/>
              <w:left w:val="outset" w:sz="6" w:space="0" w:color="auto"/>
              <w:bottom w:val="outset" w:sz="6" w:space="0" w:color="auto"/>
              <w:right w:val="outset" w:sz="6" w:space="0" w:color="auto"/>
            </w:tcBorders>
          </w:tcPr>
          <w:p w:rsidR="003F68CD" w:rsidRPr="0087655E" w:rsidRDefault="00716F30" w:rsidP="00716F30">
            <w:pPr>
              <w:jc w:val="center"/>
            </w:pPr>
            <w:r w:rsidRPr="0087655E">
              <w:t>+422 783</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1.2. valsts speciālais budžets</w:t>
            </w:r>
          </w:p>
        </w:tc>
        <w:tc>
          <w:tcPr>
            <w:tcW w:w="6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716F30">
            <w:pPr>
              <w:jc w:val="center"/>
            </w:pPr>
            <w:r w:rsidRPr="0087655E">
              <w:t>0</w:t>
            </w: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4E4347" w:rsidP="00716F30">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716F30">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716F30">
            <w:pPr>
              <w:jc w:val="center"/>
            </w:pPr>
            <w:r w:rsidRPr="0087655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716F30">
            <w:pPr>
              <w:jc w:val="center"/>
            </w:pPr>
            <w:r w:rsidRPr="0087655E">
              <w:t>0</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A40D4F" w:rsidRPr="0087655E" w:rsidRDefault="00A40D4F" w:rsidP="008F642E">
            <w:pPr>
              <w:jc w:val="both"/>
            </w:pPr>
            <w:r w:rsidRPr="0087655E">
              <w:t>1.3. pašvaldību budžets</w:t>
            </w:r>
          </w:p>
        </w:tc>
        <w:tc>
          <w:tcPr>
            <w:tcW w:w="649" w:type="pct"/>
            <w:tcBorders>
              <w:top w:val="outset" w:sz="6" w:space="0" w:color="auto"/>
              <w:left w:val="outset" w:sz="6" w:space="0" w:color="auto"/>
              <w:bottom w:val="outset" w:sz="6" w:space="0" w:color="auto"/>
              <w:right w:val="outset" w:sz="6" w:space="0" w:color="auto"/>
            </w:tcBorders>
            <w:hideMark/>
          </w:tcPr>
          <w:p w:rsidR="00A40D4F" w:rsidRPr="0087655E" w:rsidRDefault="00A40D4F" w:rsidP="00C67369">
            <w:pPr>
              <w:jc w:val="center"/>
            </w:pPr>
            <w:r w:rsidRPr="0087655E">
              <w:t>Nav precīzi aprēķināms</w:t>
            </w:r>
          </w:p>
        </w:tc>
        <w:tc>
          <w:tcPr>
            <w:tcW w:w="677" w:type="pct"/>
            <w:tcBorders>
              <w:top w:val="outset" w:sz="6" w:space="0" w:color="auto"/>
              <w:left w:val="outset" w:sz="6" w:space="0" w:color="auto"/>
              <w:bottom w:val="outset" w:sz="6" w:space="0" w:color="auto"/>
              <w:right w:val="outset" w:sz="6" w:space="0" w:color="auto"/>
            </w:tcBorders>
            <w:hideMark/>
          </w:tcPr>
          <w:p w:rsidR="00A40D4F" w:rsidRPr="0087655E" w:rsidRDefault="00A40D4F"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A40D4F" w:rsidRPr="0087655E" w:rsidRDefault="00A40D4F" w:rsidP="00C67369">
            <w:pPr>
              <w:jc w:val="center"/>
            </w:pPr>
            <w:r w:rsidRPr="0087655E">
              <w:t>Nav precīzi aprēķināms</w:t>
            </w:r>
          </w:p>
        </w:tc>
        <w:tc>
          <w:tcPr>
            <w:tcW w:w="709" w:type="pct"/>
            <w:tcBorders>
              <w:top w:val="outset" w:sz="6" w:space="0" w:color="auto"/>
              <w:left w:val="outset" w:sz="6" w:space="0" w:color="auto"/>
              <w:bottom w:val="outset" w:sz="6" w:space="0" w:color="auto"/>
              <w:right w:val="outset" w:sz="6" w:space="0" w:color="auto"/>
            </w:tcBorders>
            <w:hideMark/>
          </w:tcPr>
          <w:p w:rsidR="00A40D4F" w:rsidRPr="0087655E" w:rsidRDefault="00A40D4F" w:rsidP="00C67369">
            <w:pPr>
              <w:jc w:val="center"/>
            </w:pPr>
            <w:r w:rsidRPr="0087655E">
              <w:t>Nav precīzi aprēķināms</w:t>
            </w:r>
          </w:p>
        </w:tc>
        <w:tc>
          <w:tcPr>
            <w:tcW w:w="749" w:type="pct"/>
            <w:tcBorders>
              <w:top w:val="outset" w:sz="6" w:space="0" w:color="auto"/>
              <w:left w:val="outset" w:sz="6" w:space="0" w:color="auto"/>
              <w:bottom w:val="outset" w:sz="6" w:space="0" w:color="auto"/>
              <w:right w:val="outset" w:sz="6" w:space="0" w:color="auto"/>
            </w:tcBorders>
            <w:hideMark/>
          </w:tcPr>
          <w:p w:rsidR="00A40D4F" w:rsidRPr="0087655E" w:rsidRDefault="00A40D4F" w:rsidP="00C67369">
            <w:pPr>
              <w:jc w:val="center"/>
            </w:pPr>
            <w:r w:rsidRPr="0087655E">
              <w:t>Nav precīzi aprēķināms</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716F30" w:rsidRPr="0087655E" w:rsidRDefault="00716F30" w:rsidP="008F642E">
            <w:pPr>
              <w:jc w:val="both"/>
            </w:pPr>
            <w:r w:rsidRPr="0087655E">
              <w:t>2. Budžeta izdevumi:</w:t>
            </w:r>
          </w:p>
        </w:tc>
        <w:tc>
          <w:tcPr>
            <w:tcW w:w="649" w:type="pct"/>
            <w:tcBorders>
              <w:top w:val="outset" w:sz="6" w:space="0" w:color="auto"/>
              <w:left w:val="outset" w:sz="6" w:space="0" w:color="auto"/>
              <w:bottom w:val="outset" w:sz="6" w:space="0" w:color="auto"/>
              <w:right w:val="outset" w:sz="6" w:space="0" w:color="auto"/>
            </w:tcBorders>
            <w:hideMark/>
          </w:tcPr>
          <w:p w:rsidR="00716F30" w:rsidRPr="0087655E" w:rsidRDefault="00716F30" w:rsidP="00C67369">
            <w:pPr>
              <w:jc w:val="center"/>
            </w:pPr>
            <w:r w:rsidRPr="0087655E">
              <w:t>517 611</w:t>
            </w:r>
          </w:p>
        </w:tc>
        <w:tc>
          <w:tcPr>
            <w:tcW w:w="677" w:type="pct"/>
            <w:tcBorders>
              <w:top w:val="outset" w:sz="6" w:space="0" w:color="auto"/>
              <w:left w:val="outset" w:sz="6" w:space="0" w:color="auto"/>
              <w:bottom w:val="outset" w:sz="6" w:space="0" w:color="auto"/>
              <w:right w:val="outset" w:sz="6" w:space="0" w:color="auto"/>
            </w:tcBorders>
            <w:hideMark/>
          </w:tcPr>
          <w:p w:rsidR="00716F30" w:rsidRPr="0087655E" w:rsidRDefault="00716F30"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vAlign w:val="center"/>
            <w:hideMark/>
          </w:tcPr>
          <w:p w:rsidR="00716F30" w:rsidRPr="0087655E" w:rsidRDefault="00716F30" w:rsidP="00716F30">
            <w:pPr>
              <w:jc w:val="center"/>
            </w:pPr>
            <w:r w:rsidRPr="0087655E">
              <w:t>+422 783</w:t>
            </w:r>
          </w:p>
        </w:tc>
        <w:tc>
          <w:tcPr>
            <w:tcW w:w="709" w:type="pct"/>
            <w:tcBorders>
              <w:top w:val="outset" w:sz="6" w:space="0" w:color="auto"/>
              <w:left w:val="outset" w:sz="6" w:space="0" w:color="auto"/>
              <w:bottom w:val="outset" w:sz="6" w:space="0" w:color="auto"/>
              <w:right w:val="outset" w:sz="6" w:space="0" w:color="auto"/>
            </w:tcBorders>
            <w:vAlign w:val="center"/>
            <w:hideMark/>
          </w:tcPr>
          <w:p w:rsidR="00716F30" w:rsidRPr="0087655E" w:rsidRDefault="00716F30" w:rsidP="00716F30">
            <w:pPr>
              <w:jc w:val="center"/>
            </w:pPr>
            <w:r w:rsidRPr="0087655E">
              <w:t>+422 783</w:t>
            </w:r>
          </w:p>
        </w:tc>
        <w:tc>
          <w:tcPr>
            <w:tcW w:w="749" w:type="pct"/>
            <w:tcBorders>
              <w:top w:val="outset" w:sz="6" w:space="0" w:color="auto"/>
              <w:left w:val="outset" w:sz="6" w:space="0" w:color="auto"/>
              <w:bottom w:val="outset" w:sz="6" w:space="0" w:color="auto"/>
              <w:right w:val="outset" w:sz="6" w:space="0" w:color="auto"/>
            </w:tcBorders>
            <w:vAlign w:val="center"/>
            <w:hideMark/>
          </w:tcPr>
          <w:p w:rsidR="00716F30" w:rsidRPr="0087655E" w:rsidRDefault="00716F30" w:rsidP="00716F30">
            <w:pPr>
              <w:jc w:val="center"/>
            </w:pPr>
            <w:r w:rsidRPr="0087655E">
              <w:t>+422 783</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2.1. valsts pamatbudžets</w:t>
            </w:r>
          </w:p>
        </w:tc>
        <w:tc>
          <w:tcPr>
            <w:tcW w:w="649" w:type="pct"/>
            <w:tcBorders>
              <w:top w:val="outset" w:sz="6" w:space="0" w:color="auto"/>
              <w:left w:val="outset" w:sz="6" w:space="0" w:color="auto"/>
              <w:bottom w:val="outset" w:sz="6" w:space="0" w:color="auto"/>
              <w:right w:val="outset" w:sz="6" w:space="0" w:color="auto"/>
            </w:tcBorders>
            <w:hideMark/>
          </w:tcPr>
          <w:p w:rsidR="003F68CD" w:rsidRPr="0087655E" w:rsidRDefault="003059E3" w:rsidP="00C67369">
            <w:pPr>
              <w:jc w:val="center"/>
            </w:pPr>
            <w:r w:rsidRPr="0087655E">
              <w:t>517</w:t>
            </w:r>
            <w:r w:rsidR="0080743D" w:rsidRPr="0087655E">
              <w:t xml:space="preserve"> </w:t>
            </w:r>
            <w:r w:rsidRPr="0087655E">
              <w:t>611</w:t>
            </w: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37553D" w:rsidP="00C67369">
            <w:pPr>
              <w:jc w:val="center"/>
            </w:pPr>
            <w:r w:rsidRPr="0087655E">
              <w:t>+422 783</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37553D" w:rsidP="00C67369">
            <w:pPr>
              <w:jc w:val="center"/>
            </w:pPr>
            <w:r w:rsidRPr="0087655E">
              <w:t>+422 783</w:t>
            </w: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716F30" w:rsidP="00C67369">
            <w:pPr>
              <w:jc w:val="center"/>
            </w:pPr>
            <w:r w:rsidRPr="0087655E">
              <w:t>+422 783</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2.2. valsts speciālais budžets</w:t>
            </w:r>
          </w:p>
        </w:tc>
        <w:tc>
          <w:tcPr>
            <w:tcW w:w="6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2.3. pašvaldību budžets</w:t>
            </w:r>
          </w:p>
        </w:tc>
        <w:tc>
          <w:tcPr>
            <w:tcW w:w="6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Nav precīzi aprēķināms</w:t>
            </w: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Nav precīzi aprēķināms</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Nav precīzi aprēķināms</w:t>
            </w: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Nav precīzi aprēķināms</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3. Finansiālā ietekme:</w:t>
            </w:r>
          </w:p>
        </w:tc>
        <w:tc>
          <w:tcPr>
            <w:tcW w:w="649" w:type="pct"/>
            <w:tcBorders>
              <w:top w:val="outset" w:sz="6" w:space="0" w:color="auto"/>
              <w:left w:val="outset" w:sz="6" w:space="0" w:color="auto"/>
              <w:bottom w:val="outset" w:sz="6" w:space="0" w:color="auto"/>
              <w:right w:val="outset" w:sz="6" w:space="0" w:color="auto"/>
            </w:tcBorders>
            <w:vAlign w:val="center"/>
            <w:hideMark/>
          </w:tcPr>
          <w:p w:rsidR="003F68CD" w:rsidRPr="0087655E" w:rsidRDefault="004E4347" w:rsidP="00C67369">
            <w:pPr>
              <w:jc w:val="center"/>
            </w:pPr>
            <w:r w:rsidRPr="0087655E">
              <w:t>0</w:t>
            </w: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3.1. valsts pamatbudžets</w:t>
            </w:r>
          </w:p>
        </w:tc>
        <w:tc>
          <w:tcPr>
            <w:tcW w:w="6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716F30"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716F30"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716F30" w:rsidP="00C67369">
            <w:pPr>
              <w:jc w:val="center"/>
            </w:pPr>
            <w:r w:rsidRPr="0087655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716F30" w:rsidP="00C67369">
            <w:pPr>
              <w:jc w:val="center"/>
            </w:pPr>
            <w:r w:rsidRPr="0087655E">
              <w:t>0</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3.2. speciālais budžets</w:t>
            </w:r>
          </w:p>
        </w:tc>
        <w:tc>
          <w:tcPr>
            <w:tcW w:w="6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8C7F22" w:rsidRPr="0087655E" w:rsidRDefault="008C7F22" w:rsidP="008C7F22">
            <w:pPr>
              <w:jc w:val="both"/>
            </w:pPr>
            <w:r w:rsidRPr="0087655E">
              <w:t>3.3. pašvaldību budžets</w:t>
            </w:r>
          </w:p>
        </w:tc>
        <w:tc>
          <w:tcPr>
            <w:tcW w:w="649" w:type="pct"/>
            <w:tcBorders>
              <w:top w:val="outset" w:sz="6" w:space="0" w:color="auto"/>
              <w:left w:val="outset" w:sz="6" w:space="0" w:color="auto"/>
              <w:bottom w:val="outset" w:sz="6" w:space="0" w:color="auto"/>
              <w:right w:val="outset" w:sz="6" w:space="0" w:color="auto"/>
            </w:tcBorders>
            <w:hideMark/>
          </w:tcPr>
          <w:p w:rsidR="008C7F22" w:rsidRPr="0087655E" w:rsidRDefault="008C7F22" w:rsidP="008C7F22">
            <w:pPr>
              <w:jc w:val="center"/>
            </w:pPr>
            <w:r w:rsidRPr="0087655E">
              <w:t>0</w:t>
            </w:r>
          </w:p>
        </w:tc>
        <w:tc>
          <w:tcPr>
            <w:tcW w:w="677" w:type="pct"/>
            <w:tcBorders>
              <w:top w:val="outset" w:sz="6" w:space="0" w:color="auto"/>
              <w:left w:val="outset" w:sz="6" w:space="0" w:color="auto"/>
              <w:bottom w:val="outset" w:sz="6" w:space="0" w:color="auto"/>
              <w:right w:val="outset" w:sz="6" w:space="0" w:color="auto"/>
            </w:tcBorders>
            <w:hideMark/>
          </w:tcPr>
          <w:p w:rsidR="008C7F22" w:rsidRPr="0087655E" w:rsidRDefault="008C7F22" w:rsidP="008C7F22">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8C7F22" w:rsidRPr="0087655E" w:rsidRDefault="008C7F22" w:rsidP="008C7F22">
            <w:pPr>
              <w:jc w:val="center"/>
            </w:pPr>
            <w:r w:rsidRPr="0087655E">
              <w:t>Nav precīzi aprēķināms</w:t>
            </w:r>
          </w:p>
        </w:tc>
        <w:tc>
          <w:tcPr>
            <w:tcW w:w="709" w:type="pct"/>
            <w:tcBorders>
              <w:top w:val="outset" w:sz="6" w:space="0" w:color="auto"/>
              <w:left w:val="outset" w:sz="6" w:space="0" w:color="auto"/>
              <w:bottom w:val="outset" w:sz="6" w:space="0" w:color="auto"/>
              <w:right w:val="outset" w:sz="6" w:space="0" w:color="auto"/>
            </w:tcBorders>
            <w:hideMark/>
          </w:tcPr>
          <w:p w:rsidR="008C7F22" w:rsidRPr="0087655E" w:rsidRDefault="008C7F22" w:rsidP="008C7F22">
            <w:pPr>
              <w:jc w:val="center"/>
            </w:pPr>
            <w:r w:rsidRPr="0087655E">
              <w:t>Nav precīzi aprēķināms</w:t>
            </w:r>
          </w:p>
        </w:tc>
        <w:tc>
          <w:tcPr>
            <w:tcW w:w="749" w:type="pct"/>
            <w:tcBorders>
              <w:top w:val="outset" w:sz="6" w:space="0" w:color="auto"/>
              <w:left w:val="outset" w:sz="6" w:space="0" w:color="auto"/>
              <w:bottom w:val="outset" w:sz="6" w:space="0" w:color="auto"/>
              <w:right w:val="outset" w:sz="6" w:space="0" w:color="auto"/>
            </w:tcBorders>
            <w:hideMark/>
          </w:tcPr>
          <w:p w:rsidR="008C7F22" w:rsidRPr="0087655E" w:rsidRDefault="008C7F22" w:rsidP="008C7F22">
            <w:pPr>
              <w:jc w:val="center"/>
            </w:pPr>
            <w:r w:rsidRPr="0087655E">
              <w:t>Nav precīzi aprēķināms</w:t>
            </w:r>
          </w:p>
        </w:tc>
      </w:tr>
      <w:tr w:rsidR="0087655E" w:rsidRPr="0087655E" w:rsidTr="00716F30">
        <w:trPr>
          <w:tblCellSpacing w:w="15" w:type="dxa"/>
          <w:jc w:val="center"/>
        </w:trPr>
        <w:tc>
          <w:tcPr>
            <w:tcW w:w="1393" w:type="pct"/>
            <w:vMerge w:val="restar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4. Finanšu līdzekļi papildu izdevumu finansēšanai (kompensējošu izdevumu samazinājumu norāda ar "+" zīmi)</w:t>
            </w:r>
          </w:p>
        </w:tc>
        <w:tc>
          <w:tcPr>
            <w:tcW w:w="649" w:type="pct"/>
            <w:vMerge w:val="restar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pStyle w:val="tvhtml"/>
              <w:jc w:val="center"/>
              <w:rPr>
                <w:lang w:val="lv-LV"/>
              </w:rPr>
            </w:pPr>
            <w:r w:rsidRPr="0087655E">
              <w:rPr>
                <w:lang w:val="lv-LV"/>
              </w:rPr>
              <w:t>X</w:t>
            </w: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3F68CD" w:rsidP="00C67369">
            <w:pPr>
              <w:jc w:val="center"/>
            </w:pP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3F68CD" w:rsidP="00C67369">
            <w:pPr>
              <w:jc w:val="center"/>
            </w:pP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3F68CD" w:rsidP="00C67369">
            <w:pPr>
              <w:jc w:val="center"/>
            </w:pP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3F68CD" w:rsidP="00C67369">
            <w:pPr>
              <w:jc w:val="center"/>
            </w:pPr>
          </w:p>
        </w:tc>
      </w:tr>
      <w:tr w:rsidR="0087655E" w:rsidRPr="0087655E" w:rsidTr="00716F3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8F642E">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jc w:val="center"/>
            </w:pP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r>
      <w:tr w:rsidR="0087655E" w:rsidRPr="0087655E" w:rsidTr="00716F3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8F642E">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jc w:val="center"/>
            </w:pP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5. Precizēta finansiālā ietekme:</w:t>
            </w:r>
          </w:p>
        </w:tc>
        <w:tc>
          <w:tcPr>
            <w:tcW w:w="649" w:type="pct"/>
            <w:vMerge w:val="restart"/>
            <w:tcBorders>
              <w:top w:val="outset" w:sz="6" w:space="0" w:color="auto"/>
              <w:left w:val="outset" w:sz="6" w:space="0" w:color="auto"/>
              <w:bottom w:val="outset" w:sz="6" w:space="0" w:color="auto"/>
              <w:right w:val="outset" w:sz="6" w:space="0" w:color="auto"/>
            </w:tcBorders>
            <w:hideMark/>
          </w:tcPr>
          <w:p w:rsidR="003F68CD" w:rsidRPr="0087655E" w:rsidRDefault="00A40D4F" w:rsidP="00C67369">
            <w:pPr>
              <w:pStyle w:val="tvhtml"/>
              <w:jc w:val="center"/>
              <w:rPr>
                <w:lang w:val="lv-LV"/>
              </w:rPr>
            </w:pPr>
            <w:r w:rsidRPr="0087655E">
              <w:rPr>
                <w:lang w:val="lv-LV"/>
              </w:rPr>
              <w:t>X</w:t>
            </w: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9D25C2"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A40D4F"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A40D4F" w:rsidP="00C67369">
            <w:pPr>
              <w:jc w:val="center"/>
            </w:pPr>
            <w:r w:rsidRPr="0087655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A40D4F" w:rsidP="00C67369">
            <w:pPr>
              <w:jc w:val="center"/>
            </w:pPr>
            <w:r w:rsidRPr="0087655E">
              <w:t>0</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jc w:val="center"/>
            </w:pP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jc w:val="center"/>
            </w:pP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4E4347" w:rsidP="00C67369">
            <w:pPr>
              <w:jc w:val="center"/>
            </w:pPr>
            <w:r w:rsidRPr="0087655E">
              <w:t>0</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C67369">
            <w:pPr>
              <w:jc w:val="center"/>
            </w:pPr>
          </w:p>
        </w:tc>
        <w:tc>
          <w:tcPr>
            <w:tcW w:w="677" w:type="pct"/>
            <w:tcBorders>
              <w:top w:val="outset" w:sz="6" w:space="0" w:color="auto"/>
              <w:left w:val="outset" w:sz="6" w:space="0" w:color="auto"/>
              <w:bottom w:val="outset" w:sz="6" w:space="0" w:color="auto"/>
              <w:right w:val="outset" w:sz="6" w:space="0" w:color="auto"/>
            </w:tcBorders>
            <w:hideMark/>
          </w:tcPr>
          <w:p w:rsidR="003F68CD" w:rsidRPr="0087655E" w:rsidRDefault="00716F30"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716F30" w:rsidP="00C67369">
            <w:pPr>
              <w:jc w:val="center"/>
            </w:pPr>
            <w:r w:rsidRPr="0087655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87655E" w:rsidRDefault="00716F30" w:rsidP="00C67369">
            <w:pPr>
              <w:jc w:val="center"/>
            </w:pPr>
            <w:r w:rsidRPr="0087655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87655E" w:rsidRDefault="00716F30" w:rsidP="00C67369">
            <w:pPr>
              <w:jc w:val="center"/>
            </w:pPr>
            <w:r w:rsidRPr="0087655E">
              <w:t>0</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6. Detalizēts ieņēmumu un izdevumu aprēķins (ja nepieciešams, detalizētu ieņēmumu un izdevumu aprēķinu var pievienot anotācijas pielikumā):</w:t>
            </w:r>
          </w:p>
        </w:tc>
        <w:tc>
          <w:tcPr>
            <w:tcW w:w="3558" w:type="pct"/>
            <w:gridSpan w:val="5"/>
            <w:vMerge w:val="restart"/>
            <w:tcBorders>
              <w:top w:val="outset" w:sz="6" w:space="0" w:color="auto"/>
              <w:left w:val="outset" w:sz="6" w:space="0" w:color="auto"/>
              <w:bottom w:val="outset" w:sz="6" w:space="0" w:color="auto"/>
              <w:right w:val="outset" w:sz="6" w:space="0" w:color="auto"/>
            </w:tcBorders>
            <w:hideMark/>
          </w:tcPr>
          <w:p w:rsidR="00214FA8" w:rsidRPr="0087655E" w:rsidRDefault="003759EA" w:rsidP="0087655E">
            <w:pPr>
              <w:ind w:firstLine="133"/>
              <w:jc w:val="both"/>
            </w:pPr>
            <w:r w:rsidRPr="0087655E" w:rsidDel="000C77C2">
              <w:t>Saskaņā ar likumu „Par valsts budžetu 2016. gadam” un likumu „</w:t>
            </w:r>
            <w:r w:rsidRPr="0087655E" w:rsidDel="000C77C2">
              <w:rPr>
                <w:bCs/>
                <w:shd w:val="clear" w:color="auto" w:fill="FFFFFF"/>
              </w:rPr>
              <w:t>Par vidēja termiņa budžeta ietvaru 201</w:t>
            </w:r>
            <w:r w:rsidRPr="0087655E">
              <w:rPr>
                <w:bCs/>
                <w:shd w:val="clear" w:color="auto" w:fill="FFFFFF"/>
              </w:rPr>
              <w:t>6</w:t>
            </w:r>
            <w:r w:rsidRPr="0087655E" w:rsidDel="000C77C2">
              <w:rPr>
                <w:bCs/>
                <w:shd w:val="clear" w:color="auto" w:fill="FFFFFF"/>
              </w:rPr>
              <w:t>., 201</w:t>
            </w:r>
            <w:r w:rsidRPr="0087655E">
              <w:rPr>
                <w:bCs/>
                <w:shd w:val="clear" w:color="auto" w:fill="FFFFFF"/>
              </w:rPr>
              <w:t>7</w:t>
            </w:r>
            <w:r w:rsidRPr="0087655E" w:rsidDel="000C77C2">
              <w:rPr>
                <w:bCs/>
                <w:shd w:val="clear" w:color="auto" w:fill="FFFFFF"/>
              </w:rPr>
              <w:t>. un 201</w:t>
            </w:r>
            <w:r w:rsidRPr="0087655E">
              <w:rPr>
                <w:bCs/>
                <w:shd w:val="clear" w:color="auto" w:fill="FFFFFF"/>
              </w:rPr>
              <w:t>8</w:t>
            </w:r>
            <w:r w:rsidRPr="0087655E" w:rsidDel="000C77C2">
              <w:rPr>
                <w:bCs/>
                <w:shd w:val="clear" w:color="auto" w:fill="FFFFFF"/>
              </w:rPr>
              <w:t xml:space="preserve">. gadam”, </w:t>
            </w:r>
            <w:r w:rsidRPr="0087655E" w:rsidDel="000C77C2">
              <w:t>ministrijai vienoto klientu apkalpošanas centru izveidei un uzturēšanai paredzēts finansējums 201</w:t>
            </w:r>
            <w:r w:rsidRPr="0087655E">
              <w:t>6</w:t>
            </w:r>
            <w:r w:rsidRPr="0087655E" w:rsidDel="000C77C2">
              <w:t xml:space="preserve">.gadā </w:t>
            </w:r>
            <w:r w:rsidRPr="0087655E">
              <w:t>517 611</w:t>
            </w:r>
            <w:r w:rsidRPr="0087655E" w:rsidDel="000C77C2">
              <w:t xml:space="preserve"> </w:t>
            </w:r>
            <w:r w:rsidRPr="0087655E" w:rsidDel="000C77C2">
              <w:rPr>
                <w:i/>
              </w:rPr>
              <w:t>euro</w:t>
            </w:r>
            <w:r w:rsidRPr="0087655E" w:rsidDel="000C77C2">
              <w:t>, 201</w:t>
            </w:r>
            <w:r w:rsidRPr="0087655E">
              <w:t>7</w:t>
            </w:r>
            <w:r w:rsidRPr="0087655E" w:rsidDel="000C77C2">
              <w:t>.</w:t>
            </w:r>
            <w:r w:rsidRPr="0087655E">
              <w:t xml:space="preserve">gadā </w:t>
            </w:r>
            <w:r w:rsidRPr="0087655E" w:rsidDel="000C77C2">
              <w:t>940</w:t>
            </w:r>
            <w:r w:rsidRPr="0087655E">
              <w:t xml:space="preserve"> </w:t>
            </w:r>
            <w:r w:rsidRPr="0087655E" w:rsidDel="000C77C2">
              <w:t>394 </w:t>
            </w:r>
            <w:r w:rsidRPr="0087655E">
              <w:rPr>
                <w:i/>
              </w:rPr>
              <w:t>euro</w:t>
            </w:r>
            <w:r w:rsidRPr="0087655E">
              <w:t>, 2018.</w:t>
            </w:r>
            <w:r w:rsidRPr="0087655E" w:rsidDel="000C77C2">
              <w:t>gadā 940 394</w:t>
            </w:r>
            <w:r w:rsidRPr="0087655E">
              <w:rPr>
                <w:i/>
              </w:rPr>
              <w:t xml:space="preserve"> euro</w:t>
            </w:r>
            <w:r w:rsidRPr="0087655E">
              <w:t xml:space="preserve"> un 2019.gadā 940 394 </w:t>
            </w:r>
            <w:r w:rsidRPr="0087655E">
              <w:rPr>
                <w:i/>
              </w:rPr>
              <w:t>euro</w:t>
            </w:r>
            <w:r w:rsidRPr="0087655E">
              <w:t xml:space="preserve"> apmērā</w:t>
            </w: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DC00F5">
            <w:pPr>
              <w:ind w:left="207"/>
              <w:jc w:val="both"/>
            </w:pPr>
          </w:p>
        </w:tc>
      </w:tr>
      <w:tr w:rsidR="0087655E" w:rsidRPr="0087655E"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F68CD" w:rsidRPr="0087655E" w:rsidRDefault="003F68CD" w:rsidP="00DC00F5">
            <w:pPr>
              <w:ind w:left="207"/>
              <w:jc w:val="both"/>
            </w:pPr>
          </w:p>
        </w:tc>
      </w:tr>
      <w:tr w:rsidR="0087655E" w:rsidRPr="0087655E" w:rsidTr="00716F30">
        <w:trPr>
          <w:trHeight w:val="555"/>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87655E" w:rsidRDefault="003F68CD" w:rsidP="008F642E">
            <w:pPr>
              <w:jc w:val="both"/>
            </w:pPr>
            <w:r w:rsidRPr="0087655E">
              <w:t>7. Cita informācija</w:t>
            </w:r>
          </w:p>
        </w:tc>
        <w:tc>
          <w:tcPr>
            <w:tcW w:w="3558" w:type="pct"/>
            <w:gridSpan w:val="5"/>
            <w:tcBorders>
              <w:top w:val="outset" w:sz="6" w:space="0" w:color="auto"/>
              <w:left w:val="outset" w:sz="6" w:space="0" w:color="auto"/>
              <w:bottom w:val="outset" w:sz="6" w:space="0" w:color="auto"/>
              <w:right w:val="outset" w:sz="6" w:space="0" w:color="auto"/>
            </w:tcBorders>
            <w:hideMark/>
          </w:tcPr>
          <w:p w:rsidR="003F68CD" w:rsidRPr="0087655E" w:rsidRDefault="002B2101" w:rsidP="00716F30">
            <w:pPr>
              <w:pStyle w:val="tvhtml"/>
              <w:ind w:firstLine="133"/>
              <w:jc w:val="both"/>
              <w:rPr>
                <w:lang w:val="lv-LV"/>
              </w:rPr>
            </w:pPr>
            <w:r w:rsidRPr="0087655E">
              <w:rPr>
                <w:lang w:val="lv-LV"/>
              </w:rPr>
              <w:t>Atbilstoši Ministru kabineta 2009.</w:t>
            </w:r>
            <w:r w:rsidR="00C67369" w:rsidRPr="0087655E">
              <w:rPr>
                <w:lang w:val="lv-LV"/>
              </w:rPr>
              <w:t> </w:t>
            </w:r>
            <w:r w:rsidRPr="0087655E">
              <w:rPr>
                <w:lang w:val="lv-LV"/>
              </w:rPr>
              <w:t>gada 15.</w:t>
            </w:r>
            <w:r w:rsidR="00C67369" w:rsidRPr="0087655E">
              <w:rPr>
                <w:lang w:val="lv-LV"/>
              </w:rPr>
              <w:t> </w:t>
            </w:r>
            <w:r w:rsidRPr="0087655E">
              <w:rPr>
                <w:lang w:val="lv-LV"/>
              </w:rPr>
              <w:t>decembra instrukcija</w:t>
            </w:r>
            <w:r w:rsidR="00BF1656" w:rsidRPr="0087655E">
              <w:rPr>
                <w:lang w:val="lv-LV"/>
              </w:rPr>
              <w:t>s</w:t>
            </w:r>
            <w:r w:rsidRPr="0087655E">
              <w:rPr>
                <w:lang w:val="lv-LV"/>
              </w:rPr>
              <w:t xml:space="preserve"> Nr.</w:t>
            </w:r>
            <w:r w:rsidR="00C67369" w:rsidRPr="0087655E">
              <w:rPr>
                <w:lang w:val="lv-LV"/>
              </w:rPr>
              <w:t> </w:t>
            </w:r>
            <w:r w:rsidRPr="0087655E">
              <w:rPr>
                <w:lang w:val="lv-LV"/>
              </w:rPr>
              <w:t>19</w:t>
            </w:r>
            <w:r w:rsidR="00BF1656" w:rsidRPr="0087655E">
              <w:rPr>
                <w:lang w:val="lv-LV"/>
              </w:rPr>
              <w:t xml:space="preserve"> „</w:t>
            </w:r>
            <w:r w:rsidR="00345536" w:rsidRPr="0087655E">
              <w:rPr>
                <w:lang w:val="lv-LV"/>
              </w:rPr>
              <w:t>Tiesību akta projekta sākotnējās ietekmes izvērtēšanas kārtība</w:t>
            </w:r>
            <w:r w:rsidR="00BF1656" w:rsidRPr="0087655E">
              <w:rPr>
                <w:shd w:val="clear" w:color="auto" w:fill="FFFFFF"/>
                <w:lang w:val="lv-LV"/>
              </w:rPr>
              <w:t>”</w:t>
            </w:r>
            <w:r w:rsidRPr="0087655E">
              <w:rPr>
                <w:lang w:val="lv-LV"/>
              </w:rPr>
              <w:t xml:space="preserve"> 33.</w:t>
            </w:r>
            <w:r w:rsidR="00C67369" w:rsidRPr="0087655E">
              <w:rPr>
                <w:lang w:val="lv-LV"/>
              </w:rPr>
              <w:t> </w:t>
            </w:r>
            <w:r w:rsidRPr="0087655E">
              <w:rPr>
                <w:lang w:val="lv-LV"/>
              </w:rPr>
              <w:t>punktā noteiktajam</w:t>
            </w:r>
            <w:r w:rsidR="00716F30" w:rsidRPr="0087655E">
              <w:rPr>
                <w:lang w:val="lv-LV"/>
              </w:rPr>
              <w:t>,</w:t>
            </w:r>
            <w:r w:rsidRPr="0087655E">
              <w:rPr>
                <w:lang w:val="lv-LV"/>
              </w:rPr>
              <w:t xml:space="preserve"> nav iespējams precīzi aprēķināt tiesību akta projekta ietekmi uz pašvaldību budžeta līdzek</w:t>
            </w:r>
            <w:r w:rsidR="001B56BE" w:rsidRPr="0087655E">
              <w:rPr>
                <w:lang w:val="lv-LV"/>
              </w:rPr>
              <w:t>ļiem, jo katras pašvaldības pieteikums satur individualizētus aprē</w:t>
            </w:r>
            <w:r w:rsidR="00654312" w:rsidRPr="0087655E">
              <w:rPr>
                <w:lang w:val="lv-LV"/>
              </w:rPr>
              <w:t>ķinus</w:t>
            </w:r>
            <w:r w:rsidR="00716F30" w:rsidRPr="0087655E">
              <w:rPr>
                <w:lang w:val="lv-LV"/>
              </w:rPr>
              <w:t>,</w:t>
            </w:r>
            <w:r w:rsidR="00654312" w:rsidRPr="0087655E">
              <w:rPr>
                <w:lang w:val="lv-LV"/>
              </w:rPr>
              <w:t xml:space="preserve"> pieprasot pašvaldību budžetu un investīciju apjomus. </w:t>
            </w:r>
          </w:p>
        </w:tc>
      </w:tr>
    </w:tbl>
    <w:p w:rsidR="003F68CD" w:rsidRPr="0087655E" w:rsidRDefault="003F68CD" w:rsidP="008F642E">
      <w:pPr>
        <w:pStyle w:val="tvhtml"/>
        <w:spacing w:before="0" w:beforeAutospacing="0" w:after="0" w:afterAutospacing="0"/>
        <w:jc w:val="both"/>
        <w:rPr>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760"/>
        <w:gridCol w:w="5959"/>
      </w:tblGrid>
      <w:tr w:rsidR="0087655E" w:rsidRPr="0087655E" w:rsidTr="00A9489D">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666FC" w:rsidRPr="0087655E" w:rsidRDefault="004666FC" w:rsidP="00C67369">
            <w:pPr>
              <w:pStyle w:val="tvhtml"/>
              <w:jc w:val="center"/>
              <w:rPr>
                <w:b/>
                <w:bCs/>
                <w:lang w:val="lv-LV"/>
              </w:rPr>
            </w:pPr>
            <w:r w:rsidRPr="0087655E">
              <w:rPr>
                <w:b/>
                <w:bCs/>
                <w:lang w:val="lv-LV"/>
              </w:rPr>
              <w:t>VI. Sabiedrības līdzdalība un komunikācijas aktivitātes</w:t>
            </w:r>
          </w:p>
        </w:tc>
      </w:tr>
      <w:tr w:rsidR="0087655E" w:rsidRPr="0087655E" w:rsidTr="00A9489D">
        <w:trPr>
          <w:trHeight w:val="54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666FC" w:rsidRPr="0087655E" w:rsidRDefault="004666FC" w:rsidP="008F642E">
            <w:pPr>
              <w:jc w:val="both"/>
            </w:pPr>
            <w:r w:rsidRPr="0087655E">
              <w:t>1.</w:t>
            </w:r>
          </w:p>
        </w:tc>
        <w:tc>
          <w:tcPr>
            <w:tcW w:w="1500" w:type="pct"/>
            <w:tcBorders>
              <w:top w:val="outset" w:sz="6" w:space="0" w:color="auto"/>
              <w:left w:val="outset" w:sz="6" w:space="0" w:color="auto"/>
              <w:bottom w:val="outset" w:sz="6" w:space="0" w:color="auto"/>
              <w:right w:val="outset" w:sz="6" w:space="0" w:color="auto"/>
            </w:tcBorders>
            <w:hideMark/>
          </w:tcPr>
          <w:p w:rsidR="004666FC" w:rsidRPr="0087655E" w:rsidRDefault="004666FC" w:rsidP="008F642E">
            <w:pPr>
              <w:jc w:val="both"/>
            </w:pPr>
            <w:r w:rsidRPr="0087655E">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4666FC" w:rsidRPr="0087655E" w:rsidRDefault="008723E4" w:rsidP="00716F30">
            <w:pPr>
              <w:ind w:left="16" w:firstLine="141"/>
              <w:jc w:val="both"/>
            </w:pPr>
            <w:r w:rsidRPr="0087655E">
              <w:t>Saskaņā ar Ministu kabineta 2009.gada 25.augusta noteikumu Nr.970 „Sabiedrības</w:t>
            </w:r>
            <w:r w:rsidR="006E0B30" w:rsidRPr="0087655E">
              <w:t xml:space="preserve"> līdzdalības kārtība attīstības plānošanas procesā” 7.4.</w:t>
            </w:r>
            <w:r w:rsidR="000A25DC" w:rsidRPr="0087655E">
              <w:rPr>
                <w:vertAlign w:val="superscript"/>
              </w:rPr>
              <w:t>1</w:t>
            </w:r>
            <w:r w:rsidRPr="0087655E">
              <w:t xml:space="preserve"> </w:t>
            </w:r>
            <w:r w:rsidR="006E0B30" w:rsidRPr="0087655E">
              <w:t>apakšpunktu sabiedrības pārstāvji ir aicināti līdzdarboties, rakstiski sniedzot viedokli par noteikumu projektu tā izstrā</w:t>
            </w:r>
            <w:bookmarkStart w:id="0" w:name="_GoBack"/>
            <w:bookmarkEnd w:id="0"/>
            <w:r w:rsidR="006E0B30" w:rsidRPr="0087655E">
              <w:t xml:space="preserve">des stadijā. Sabiedrības pārstāvji ir informēti par iespēju līdzdarboties, publicējot paziņojumu par līdzdalības procesu VARAM tīmekļa vietnē </w:t>
            </w:r>
            <w:hyperlink r:id="rId10" w:history="1">
              <w:r w:rsidR="006E0B30" w:rsidRPr="0087655E">
                <w:rPr>
                  <w:rStyle w:val="Hyperlink"/>
                  <w:color w:val="auto"/>
                </w:rPr>
                <w:t>www.varam.gov.lv</w:t>
              </w:r>
            </w:hyperlink>
            <w:r w:rsidR="006E0B30" w:rsidRPr="0087655E">
              <w:t xml:space="preserve">, sadaļā „Sabiedrības līdzdalība”.  </w:t>
            </w:r>
          </w:p>
        </w:tc>
      </w:tr>
      <w:tr w:rsidR="0087655E" w:rsidRPr="0087655E" w:rsidTr="00A9489D">
        <w:trPr>
          <w:trHeight w:val="33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666FC" w:rsidRPr="0087655E" w:rsidRDefault="004666FC" w:rsidP="008F642E">
            <w:pPr>
              <w:jc w:val="both"/>
            </w:pPr>
            <w:r w:rsidRPr="0087655E">
              <w:t>2.</w:t>
            </w:r>
          </w:p>
        </w:tc>
        <w:tc>
          <w:tcPr>
            <w:tcW w:w="1500" w:type="pct"/>
            <w:tcBorders>
              <w:top w:val="outset" w:sz="6" w:space="0" w:color="auto"/>
              <w:left w:val="outset" w:sz="6" w:space="0" w:color="auto"/>
              <w:bottom w:val="outset" w:sz="6" w:space="0" w:color="auto"/>
              <w:right w:val="outset" w:sz="6" w:space="0" w:color="auto"/>
            </w:tcBorders>
            <w:hideMark/>
          </w:tcPr>
          <w:p w:rsidR="004666FC" w:rsidRPr="0087655E" w:rsidRDefault="004666FC" w:rsidP="008F642E">
            <w:pPr>
              <w:jc w:val="both"/>
            </w:pPr>
            <w:r w:rsidRPr="0087655E">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4666FC" w:rsidRPr="0087655E" w:rsidRDefault="00382876" w:rsidP="00716F30">
            <w:pPr>
              <w:ind w:left="16" w:firstLine="141"/>
              <w:jc w:val="both"/>
            </w:pPr>
            <w:r w:rsidRPr="0087655E">
              <w:t xml:space="preserve">Noteikumu projekts </w:t>
            </w:r>
            <w:r w:rsidR="00DC00F5" w:rsidRPr="0087655E">
              <w:t xml:space="preserve">2015. gada </w:t>
            </w:r>
            <w:r w:rsidR="00792B6C" w:rsidRPr="0087655E">
              <w:t>4</w:t>
            </w:r>
            <w:r w:rsidR="004666FC" w:rsidRPr="0087655E">
              <w:t>.</w:t>
            </w:r>
            <w:r w:rsidR="00DC00F5" w:rsidRPr="0087655E">
              <w:t> </w:t>
            </w:r>
            <w:r w:rsidR="00743A15" w:rsidRPr="0087655E">
              <w:t>d</w:t>
            </w:r>
            <w:r w:rsidR="00431804" w:rsidRPr="0087655E">
              <w:t>ecembrī</w:t>
            </w:r>
            <w:r w:rsidRPr="0087655E">
              <w:t xml:space="preserve"> ir ievietots VARAM tīmekļa vietnē sabiedriskai apspriedei.</w:t>
            </w:r>
          </w:p>
        </w:tc>
      </w:tr>
      <w:tr w:rsidR="0087655E" w:rsidRPr="0087655E" w:rsidTr="00A9489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666FC" w:rsidRPr="0087655E" w:rsidRDefault="004666FC" w:rsidP="008F642E">
            <w:pPr>
              <w:jc w:val="both"/>
            </w:pPr>
            <w:r w:rsidRPr="0087655E">
              <w:t>3.</w:t>
            </w:r>
          </w:p>
        </w:tc>
        <w:tc>
          <w:tcPr>
            <w:tcW w:w="1500" w:type="pct"/>
            <w:tcBorders>
              <w:top w:val="outset" w:sz="6" w:space="0" w:color="auto"/>
              <w:left w:val="outset" w:sz="6" w:space="0" w:color="auto"/>
              <w:bottom w:val="outset" w:sz="6" w:space="0" w:color="auto"/>
              <w:right w:val="outset" w:sz="6" w:space="0" w:color="auto"/>
            </w:tcBorders>
            <w:hideMark/>
          </w:tcPr>
          <w:p w:rsidR="004666FC" w:rsidRPr="0087655E" w:rsidRDefault="004666FC" w:rsidP="008F642E">
            <w:pPr>
              <w:jc w:val="both"/>
            </w:pPr>
            <w:r w:rsidRPr="0087655E">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62369E" w:rsidRPr="0087655E" w:rsidRDefault="00382876" w:rsidP="00716F30">
            <w:pPr>
              <w:ind w:left="16" w:firstLine="141"/>
              <w:jc w:val="both"/>
            </w:pPr>
            <w:r w:rsidRPr="0087655E">
              <w:t>Noteikumu projekta izstrādes gaitā nav saņemti priekšlikumi un komentāri.</w:t>
            </w:r>
          </w:p>
        </w:tc>
      </w:tr>
      <w:tr w:rsidR="0087655E" w:rsidRPr="0087655E" w:rsidTr="00A9489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666FC" w:rsidRPr="0087655E" w:rsidRDefault="004666FC" w:rsidP="008F642E">
            <w:pPr>
              <w:jc w:val="both"/>
            </w:pPr>
            <w:r w:rsidRPr="0087655E">
              <w:t>4.</w:t>
            </w:r>
          </w:p>
        </w:tc>
        <w:tc>
          <w:tcPr>
            <w:tcW w:w="1500" w:type="pct"/>
            <w:tcBorders>
              <w:top w:val="outset" w:sz="6" w:space="0" w:color="auto"/>
              <w:left w:val="outset" w:sz="6" w:space="0" w:color="auto"/>
              <w:bottom w:val="outset" w:sz="6" w:space="0" w:color="auto"/>
              <w:right w:val="outset" w:sz="6" w:space="0" w:color="auto"/>
            </w:tcBorders>
            <w:hideMark/>
          </w:tcPr>
          <w:p w:rsidR="004666FC" w:rsidRPr="0087655E" w:rsidRDefault="004666FC" w:rsidP="008F642E">
            <w:pPr>
              <w:jc w:val="both"/>
            </w:pPr>
            <w:r w:rsidRPr="0087655E">
              <w:t>Cita informācija</w:t>
            </w:r>
          </w:p>
        </w:tc>
        <w:tc>
          <w:tcPr>
            <w:tcW w:w="3250" w:type="pct"/>
            <w:tcBorders>
              <w:top w:val="outset" w:sz="6" w:space="0" w:color="auto"/>
              <w:left w:val="outset" w:sz="6" w:space="0" w:color="auto"/>
              <w:bottom w:val="outset" w:sz="6" w:space="0" w:color="auto"/>
              <w:right w:val="outset" w:sz="6" w:space="0" w:color="auto"/>
            </w:tcBorders>
            <w:hideMark/>
          </w:tcPr>
          <w:p w:rsidR="004666FC" w:rsidRPr="0087655E" w:rsidRDefault="004666FC" w:rsidP="00716F30">
            <w:pPr>
              <w:pStyle w:val="tvhtml"/>
              <w:ind w:left="16" w:firstLine="141"/>
              <w:jc w:val="both"/>
              <w:rPr>
                <w:lang w:val="lv-LV"/>
              </w:rPr>
            </w:pPr>
            <w:r w:rsidRPr="0087655E">
              <w:rPr>
                <w:lang w:val="lv-LV"/>
              </w:rPr>
              <w:t>Nav</w:t>
            </w:r>
            <w:r w:rsidR="00382876" w:rsidRPr="0087655E">
              <w:rPr>
                <w:lang w:val="lv-LV"/>
              </w:rPr>
              <w:t>.</w:t>
            </w:r>
          </w:p>
        </w:tc>
      </w:tr>
    </w:tbl>
    <w:p w:rsidR="004666FC" w:rsidRPr="0087655E" w:rsidRDefault="004666FC" w:rsidP="008F642E">
      <w:pPr>
        <w:pStyle w:val="tvhtml"/>
        <w:spacing w:before="0" w:beforeAutospacing="0" w:after="0" w:afterAutospacing="0"/>
        <w:jc w:val="both"/>
        <w:rPr>
          <w:lang w:val="lv-LV"/>
        </w:rPr>
      </w:pPr>
    </w:p>
    <w:tbl>
      <w:tblPr>
        <w:tblW w:w="5074"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0"/>
        <w:gridCol w:w="2831"/>
        <w:gridCol w:w="5974"/>
      </w:tblGrid>
      <w:tr w:rsidR="0087655E" w:rsidRPr="0087655E" w:rsidTr="005F7696">
        <w:trPr>
          <w:trHeight w:val="37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F7696" w:rsidRPr="0087655E" w:rsidRDefault="005F7696" w:rsidP="00DC00F5">
            <w:pPr>
              <w:pStyle w:val="tvhtml"/>
              <w:jc w:val="center"/>
              <w:rPr>
                <w:b/>
                <w:bCs/>
                <w:lang w:val="lv-LV"/>
              </w:rPr>
            </w:pPr>
            <w:r w:rsidRPr="0087655E">
              <w:rPr>
                <w:b/>
                <w:bCs/>
                <w:lang w:val="lv-LV"/>
              </w:rPr>
              <w:t>VII. Tiesību akta projekta izpildes nodrošināšana un tās ietekme uz institūcijām</w:t>
            </w:r>
          </w:p>
        </w:tc>
      </w:tr>
      <w:tr w:rsidR="0087655E" w:rsidRPr="0087655E" w:rsidTr="006C5FA0">
        <w:trPr>
          <w:trHeight w:val="420"/>
          <w:tblCellSpacing w:w="15" w:type="dxa"/>
        </w:trPr>
        <w:tc>
          <w:tcPr>
            <w:tcW w:w="272" w:type="pct"/>
            <w:tcBorders>
              <w:top w:val="outset" w:sz="6" w:space="0" w:color="auto"/>
              <w:left w:val="outset" w:sz="6" w:space="0" w:color="auto"/>
              <w:bottom w:val="outset" w:sz="6" w:space="0" w:color="auto"/>
              <w:right w:val="outset" w:sz="6" w:space="0" w:color="auto"/>
            </w:tcBorders>
            <w:hideMark/>
          </w:tcPr>
          <w:p w:rsidR="005F7696" w:rsidRPr="0087655E" w:rsidRDefault="005F7696" w:rsidP="008F642E">
            <w:pPr>
              <w:jc w:val="both"/>
            </w:pPr>
            <w:r w:rsidRPr="0087655E">
              <w:t>1.</w:t>
            </w:r>
          </w:p>
        </w:tc>
        <w:tc>
          <w:tcPr>
            <w:tcW w:w="1507" w:type="pct"/>
            <w:tcBorders>
              <w:top w:val="outset" w:sz="6" w:space="0" w:color="auto"/>
              <w:left w:val="outset" w:sz="6" w:space="0" w:color="auto"/>
              <w:bottom w:val="outset" w:sz="6" w:space="0" w:color="auto"/>
              <w:right w:val="outset" w:sz="6" w:space="0" w:color="auto"/>
            </w:tcBorders>
            <w:hideMark/>
          </w:tcPr>
          <w:p w:rsidR="005F7696" w:rsidRPr="0087655E" w:rsidRDefault="005F7696" w:rsidP="008F642E">
            <w:pPr>
              <w:jc w:val="both"/>
            </w:pPr>
            <w:r w:rsidRPr="0087655E">
              <w:t>Projekta izpildē iesaistītās institūcijas</w:t>
            </w:r>
          </w:p>
        </w:tc>
        <w:tc>
          <w:tcPr>
            <w:tcW w:w="3157" w:type="pct"/>
            <w:tcBorders>
              <w:top w:val="outset" w:sz="6" w:space="0" w:color="auto"/>
              <w:left w:val="outset" w:sz="6" w:space="0" w:color="auto"/>
              <w:bottom w:val="outset" w:sz="6" w:space="0" w:color="auto"/>
              <w:right w:val="outset" w:sz="6" w:space="0" w:color="auto"/>
            </w:tcBorders>
            <w:hideMark/>
          </w:tcPr>
          <w:p w:rsidR="005F7696" w:rsidRPr="0087655E" w:rsidRDefault="005F7696" w:rsidP="00716F30">
            <w:pPr>
              <w:ind w:left="103" w:right="207" w:firstLine="142"/>
              <w:jc w:val="both"/>
            </w:pPr>
            <w:r w:rsidRPr="0087655E">
              <w:rPr>
                <w:iCs/>
              </w:rPr>
              <w:t xml:space="preserve">Noteikumu projekta izpildi nodrošinās </w:t>
            </w:r>
            <w:r w:rsidR="00382876" w:rsidRPr="0087655E">
              <w:t>VARAM</w:t>
            </w:r>
            <w:r w:rsidRPr="0087655E">
              <w:rPr>
                <w:iCs/>
              </w:rPr>
              <w:t>.</w:t>
            </w:r>
          </w:p>
        </w:tc>
      </w:tr>
      <w:tr w:rsidR="0087655E" w:rsidRPr="0087655E" w:rsidTr="006C5FA0">
        <w:trPr>
          <w:trHeight w:val="450"/>
          <w:tblCellSpacing w:w="15" w:type="dxa"/>
        </w:trPr>
        <w:tc>
          <w:tcPr>
            <w:tcW w:w="272" w:type="pct"/>
            <w:tcBorders>
              <w:top w:val="outset" w:sz="6" w:space="0" w:color="auto"/>
              <w:left w:val="outset" w:sz="6" w:space="0" w:color="auto"/>
              <w:bottom w:val="outset" w:sz="6" w:space="0" w:color="auto"/>
              <w:right w:val="outset" w:sz="6" w:space="0" w:color="auto"/>
            </w:tcBorders>
            <w:hideMark/>
          </w:tcPr>
          <w:p w:rsidR="005F7696" w:rsidRPr="0087655E" w:rsidRDefault="005F7696" w:rsidP="008F642E">
            <w:pPr>
              <w:jc w:val="both"/>
            </w:pPr>
            <w:r w:rsidRPr="0087655E">
              <w:t>2.</w:t>
            </w:r>
          </w:p>
        </w:tc>
        <w:tc>
          <w:tcPr>
            <w:tcW w:w="1507" w:type="pct"/>
            <w:tcBorders>
              <w:top w:val="outset" w:sz="6" w:space="0" w:color="auto"/>
              <w:left w:val="outset" w:sz="6" w:space="0" w:color="auto"/>
              <w:bottom w:val="outset" w:sz="6" w:space="0" w:color="auto"/>
              <w:right w:val="outset" w:sz="6" w:space="0" w:color="auto"/>
            </w:tcBorders>
            <w:hideMark/>
          </w:tcPr>
          <w:p w:rsidR="005F7696" w:rsidRPr="0087655E" w:rsidRDefault="005F7696" w:rsidP="008F642E">
            <w:pPr>
              <w:jc w:val="both"/>
            </w:pPr>
            <w:r w:rsidRPr="0087655E">
              <w:t xml:space="preserve">Projekta izpildes ietekme uz pārvaldes funkcijām un institucionālo struktūru. </w:t>
            </w:r>
          </w:p>
          <w:p w:rsidR="005F7696" w:rsidRPr="0087655E" w:rsidRDefault="005F7696" w:rsidP="008F642E">
            <w:pPr>
              <w:pStyle w:val="tvhtml"/>
              <w:jc w:val="both"/>
              <w:rPr>
                <w:lang w:val="lv-LV"/>
              </w:rPr>
            </w:pPr>
            <w:r w:rsidRPr="0087655E">
              <w:rPr>
                <w:lang w:val="lv-LV"/>
              </w:rPr>
              <w:t>Jaunu institūciju izveide, esošu institūciju likvidācija vai reorganizācija, to ietekme uz institūcijas cilvēkresursiem</w:t>
            </w:r>
          </w:p>
        </w:tc>
        <w:tc>
          <w:tcPr>
            <w:tcW w:w="3157" w:type="pct"/>
            <w:tcBorders>
              <w:top w:val="outset" w:sz="6" w:space="0" w:color="auto"/>
              <w:left w:val="outset" w:sz="6" w:space="0" w:color="auto"/>
              <w:bottom w:val="outset" w:sz="6" w:space="0" w:color="auto"/>
              <w:right w:val="outset" w:sz="6" w:space="0" w:color="auto"/>
            </w:tcBorders>
            <w:hideMark/>
          </w:tcPr>
          <w:p w:rsidR="005F7696" w:rsidRPr="0087655E" w:rsidRDefault="004666FC" w:rsidP="00716F30">
            <w:pPr>
              <w:ind w:left="103" w:right="264" w:firstLine="142"/>
              <w:jc w:val="both"/>
            </w:pPr>
            <w:r w:rsidRPr="0087655E">
              <w:t>Noteikumu projektam nav paredzama ietekme uz institucionālo struktūru, kā arī tas neietekmēs iesaistīto institūciju cilvēkresursus.</w:t>
            </w:r>
          </w:p>
        </w:tc>
      </w:tr>
      <w:tr w:rsidR="0087655E" w:rsidRPr="0087655E" w:rsidTr="006C5FA0">
        <w:trPr>
          <w:trHeight w:val="390"/>
          <w:tblCellSpacing w:w="15" w:type="dxa"/>
        </w:trPr>
        <w:tc>
          <w:tcPr>
            <w:tcW w:w="272" w:type="pct"/>
            <w:tcBorders>
              <w:top w:val="outset" w:sz="6" w:space="0" w:color="auto"/>
              <w:left w:val="outset" w:sz="6" w:space="0" w:color="auto"/>
              <w:bottom w:val="outset" w:sz="6" w:space="0" w:color="auto"/>
              <w:right w:val="outset" w:sz="6" w:space="0" w:color="auto"/>
            </w:tcBorders>
            <w:hideMark/>
          </w:tcPr>
          <w:p w:rsidR="005F7696" w:rsidRPr="0087655E" w:rsidRDefault="005F7696" w:rsidP="008F642E">
            <w:pPr>
              <w:jc w:val="both"/>
            </w:pPr>
            <w:r w:rsidRPr="0087655E">
              <w:t>3.</w:t>
            </w:r>
          </w:p>
        </w:tc>
        <w:tc>
          <w:tcPr>
            <w:tcW w:w="1507" w:type="pct"/>
            <w:tcBorders>
              <w:top w:val="outset" w:sz="6" w:space="0" w:color="auto"/>
              <w:left w:val="outset" w:sz="6" w:space="0" w:color="auto"/>
              <w:bottom w:val="outset" w:sz="6" w:space="0" w:color="auto"/>
              <w:right w:val="outset" w:sz="6" w:space="0" w:color="auto"/>
            </w:tcBorders>
            <w:hideMark/>
          </w:tcPr>
          <w:p w:rsidR="005F7696" w:rsidRPr="0087655E" w:rsidRDefault="005F7696" w:rsidP="008F642E">
            <w:pPr>
              <w:jc w:val="both"/>
            </w:pPr>
            <w:r w:rsidRPr="0087655E">
              <w:t>Cita informācija</w:t>
            </w:r>
          </w:p>
        </w:tc>
        <w:tc>
          <w:tcPr>
            <w:tcW w:w="3157" w:type="pct"/>
            <w:tcBorders>
              <w:top w:val="outset" w:sz="6" w:space="0" w:color="auto"/>
              <w:left w:val="outset" w:sz="6" w:space="0" w:color="auto"/>
              <w:bottom w:val="outset" w:sz="6" w:space="0" w:color="auto"/>
              <w:right w:val="outset" w:sz="6" w:space="0" w:color="auto"/>
            </w:tcBorders>
            <w:hideMark/>
          </w:tcPr>
          <w:p w:rsidR="005F7696" w:rsidRPr="0087655E" w:rsidRDefault="005F7696" w:rsidP="008F642E">
            <w:pPr>
              <w:ind w:left="293"/>
              <w:jc w:val="both"/>
            </w:pPr>
            <w:r w:rsidRPr="0087655E">
              <w:t>Nav</w:t>
            </w:r>
            <w:r w:rsidR="00382876" w:rsidRPr="0087655E">
              <w:t>.</w:t>
            </w:r>
          </w:p>
        </w:tc>
      </w:tr>
    </w:tbl>
    <w:p w:rsidR="00024478" w:rsidRPr="0087655E" w:rsidRDefault="00941352" w:rsidP="008F642E">
      <w:pPr>
        <w:jc w:val="both"/>
      </w:pPr>
      <w:r w:rsidRPr="0087655E">
        <w:t xml:space="preserve">Anotācijas </w:t>
      </w:r>
      <w:r w:rsidR="004666FC" w:rsidRPr="0087655E">
        <w:t>IV</w:t>
      </w:r>
      <w:r w:rsidR="00743A15" w:rsidRPr="0087655E">
        <w:t>.</w:t>
      </w:r>
      <w:r w:rsidR="004666FC" w:rsidRPr="0087655E">
        <w:t xml:space="preserve"> un</w:t>
      </w:r>
      <w:r w:rsidRPr="0087655E">
        <w:t xml:space="preserve"> V.</w:t>
      </w:r>
      <w:r w:rsidR="00DC00F5" w:rsidRPr="0087655E">
        <w:t xml:space="preserve"> </w:t>
      </w:r>
      <w:r w:rsidRPr="0087655E">
        <w:t>sadaļa</w:t>
      </w:r>
      <w:r w:rsidR="00373394" w:rsidRPr="0087655E">
        <w:t xml:space="preserve"> – projekts šo jomu neskar.</w:t>
      </w:r>
    </w:p>
    <w:p w:rsidR="00373394" w:rsidRPr="0087655E" w:rsidRDefault="00373394" w:rsidP="008F642E">
      <w:pPr>
        <w:jc w:val="both"/>
      </w:pPr>
    </w:p>
    <w:p w:rsidR="00024478" w:rsidRPr="0087655E" w:rsidRDefault="00024478" w:rsidP="008F642E">
      <w:pPr>
        <w:jc w:val="both"/>
      </w:pPr>
    </w:p>
    <w:p w:rsidR="00941352" w:rsidRPr="0087655E" w:rsidRDefault="002B61DB" w:rsidP="008F642E">
      <w:pPr>
        <w:pStyle w:val="naisf"/>
        <w:spacing w:before="0" w:after="0"/>
        <w:ind w:firstLine="0"/>
      </w:pPr>
      <w:r w:rsidRPr="0087655E">
        <w:t xml:space="preserve">Vides aizsardzības un reģionālās </w:t>
      </w:r>
    </w:p>
    <w:p w:rsidR="00941352" w:rsidRPr="0087655E" w:rsidRDefault="002B61DB" w:rsidP="008F642E">
      <w:pPr>
        <w:pStyle w:val="naisf"/>
        <w:spacing w:before="0" w:after="0"/>
        <w:ind w:firstLine="0"/>
      </w:pPr>
      <w:r w:rsidRPr="0087655E">
        <w:t>attīstības ministrs</w:t>
      </w:r>
      <w:r w:rsidRPr="0087655E">
        <w:tab/>
      </w:r>
      <w:r w:rsidRPr="0087655E">
        <w:tab/>
      </w:r>
      <w:r w:rsidRPr="0087655E">
        <w:tab/>
      </w:r>
      <w:r w:rsidRPr="0087655E">
        <w:tab/>
      </w:r>
      <w:r w:rsidRPr="0087655E">
        <w:tab/>
      </w:r>
      <w:r w:rsidRPr="0087655E">
        <w:tab/>
      </w:r>
      <w:r w:rsidRPr="0087655E">
        <w:tab/>
      </w:r>
      <w:r w:rsidR="00DC00F5" w:rsidRPr="0087655E">
        <w:tab/>
      </w:r>
      <w:r w:rsidR="00DC00F5" w:rsidRPr="0087655E">
        <w:tab/>
      </w:r>
      <w:r w:rsidR="00CC56B5" w:rsidRPr="0087655E">
        <w:t>K.Gerhards</w:t>
      </w:r>
    </w:p>
    <w:p w:rsidR="00941352" w:rsidRPr="0087655E" w:rsidRDefault="00941352" w:rsidP="008F642E">
      <w:pPr>
        <w:pStyle w:val="naisf"/>
        <w:spacing w:before="0" w:after="0"/>
        <w:ind w:firstLine="0"/>
      </w:pPr>
    </w:p>
    <w:p w:rsidR="00024478" w:rsidRPr="0087655E" w:rsidRDefault="00024478" w:rsidP="008F642E">
      <w:pPr>
        <w:pStyle w:val="naisf"/>
        <w:spacing w:before="0" w:after="0"/>
        <w:ind w:firstLine="0"/>
      </w:pPr>
    </w:p>
    <w:p w:rsidR="00320CEE" w:rsidRPr="0087655E" w:rsidRDefault="00320CEE" w:rsidP="008F642E">
      <w:pPr>
        <w:pStyle w:val="naisf"/>
        <w:spacing w:before="0" w:after="0"/>
        <w:ind w:firstLine="0"/>
        <w:rPr>
          <w:b/>
        </w:rPr>
      </w:pPr>
      <w:r w:rsidRPr="0087655E">
        <w:rPr>
          <w:b/>
        </w:rPr>
        <w:t xml:space="preserve">Iesniedzējs: </w:t>
      </w:r>
    </w:p>
    <w:p w:rsidR="00354462" w:rsidRPr="0087655E" w:rsidRDefault="00AC2821" w:rsidP="008F642E">
      <w:pPr>
        <w:pStyle w:val="naisf"/>
        <w:spacing w:before="0" w:after="0"/>
        <w:ind w:firstLine="0"/>
      </w:pPr>
      <w:r w:rsidRPr="0087655E">
        <w:t>Vides</w:t>
      </w:r>
      <w:r w:rsidR="00354462" w:rsidRPr="0087655E">
        <w:t xml:space="preserve"> aizsardzības un </w:t>
      </w:r>
    </w:p>
    <w:p w:rsidR="00AC2821" w:rsidRPr="0087655E" w:rsidRDefault="00C576E3" w:rsidP="008F642E">
      <w:pPr>
        <w:pStyle w:val="naisf"/>
        <w:spacing w:before="0" w:after="0"/>
        <w:ind w:firstLine="0"/>
      </w:pPr>
      <w:r w:rsidRPr="0087655E">
        <w:t>reģionālās attīstības ministr</w:t>
      </w:r>
      <w:r w:rsidR="008A6072" w:rsidRPr="0087655E">
        <w:t>s</w:t>
      </w:r>
      <w:r w:rsidR="00C15FB9" w:rsidRPr="0087655E">
        <w:t xml:space="preserve"> </w:t>
      </w:r>
      <w:r w:rsidR="008A6072" w:rsidRPr="0087655E">
        <w:tab/>
      </w:r>
      <w:r w:rsidR="008A6072" w:rsidRPr="0087655E">
        <w:tab/>
      </w:r>
      <w:r w:rsidR="008A6072" w:rsidRPr="0087655E">
        <w:tab/>
      </w:r>
      <w:r w:rsidR="008A6072" w:rsidRPr="0087655E">
        <w:tab/>
      </w:r>
      <w:r w:rsidR="008A6072" w:rsidRPr="0087655E">
        <w:tab/>
      </w:r>
      <w:r w:rsidR="008A6072" w:rsidRPr="0087655E">
        <w:tab/>
      </w:r>
      <w:r w:rsidR="00DC00F5" w:rsidRPr="0087655E">
        <w:tab/>
      </w:r>
      <w:r w:rsidR="00DC00F5" w:rsidRPr="0087655E">
        <w:tab/>
      </w:r>
      <w:r w:rsidR="00CC56B5" w:rsidRPr="0087655E">
        <w:t>K.Gerhards</w:t>
      </w:r>
    </w:p>
    <w:p w:rsidR="00024478" w:rsidRPr="0087655E" w:rsidRDefault="00024478" w:rsidP="008F642E">
      <w:pPr>
        <w:pStyle w:val="naisf"/>
        <w:spacing w:before="0" w:after="0"/>
        <w:ind w:firstLine="0"/>
      </w:pPr>
    </w:p>
    <w:p w:rsidR="00DC00F5" w:rsidRPr="0087655E" w:rsidRDefault="00DC00F5" w:rsidP="008F642E">
      <w:pPr>
        <w:pStyle w:val="naisf"/>
        <w:spacing w:before="0" w:after="0"/>
        <w:ind w:firstLine="0"/>
      </w:pPr>
    </w:p>
    <w:p w:rsidR="00AC2821" w:rsidRPr="0087655E" w:rsidRDefault="00AC2821" w:rsidP="008F642E">
      <w:pPr>
        <w:jc w:val="both"/>
        <w:rPr>
          <w:b/>
        </w:rPr>
      </w:pPr>
      <w:r w:rsidRPr="0087655E">
        <w:rPr>
          <w:b/>
        </w:rPr>
        <w:t xml:space="preserve">Vīza: </w:t>
      </w:r>
    </w:p>
    <w:p w:rsidR="00AD7014" w:rsidRDefault="00A852B0" w:rsidP="008F642E">
      <w:pPr>
        <w:jc w:val="both"/>
      </w:pPr>
      <w:r w:rsidRPr="0087655E">
        <w:t>v</w:t>
      </w:r>
      <w:r w:rsidR="003759EA" w:rsidRPr="0087655E">
        <w:t>alsts sekretāra p.i.</w:t>
      </w:r>
      <w:r w:rsidR="00C86F53" w:rsidRPr="0087655E">
        <w:tab/>
      </w:r>
    </w:p>
    <w:p w:rsidR="00C86F53" w:rsidRPr="0087655E" w:rsidRDefault="00AD7014" w:rsidP="008F642E">
      <w:pPr>
        <w:jc w:val="both"/>
      </w:pPr>
      <w:r>
        <w:t>valsts sekretāra vietniece</w:t>
      </w:r>
      <w:r w:rsidR="00C86F53" w:rsidRPr="0087655E">
        <w:tab/>
      </w:r>
      <w:r w:rsidR="00C86F53" w:rsidRPr="0087655E">
        <w:tab/>
      </w:r>
      <w:r w:rsidR="00C86F53" w:rsidRPr="0087655E">
        <w:tab/>
      </w:r>
      <w:r w:rsidR="008A6072" w:rsidRPr="0087655E">
        <w:tab/>
      </w:r>
      <w:r w:rsidR="008A6072" w:rsidRPr="0087655E">
        <w:tab/>
      </w:r>
      <w:r w:rsidR="008A6072" w:rsidRPr="0087655E">
        <w:tab/>
      </w:r>
      <w:r w:rsidR="00DC00F5" w:rsidRPr="0087655E">
        <w:tab/>
      </w:r>
      <w:r w:rsidR="00DC00F5" w:rsidRPr="0087655E">
        <w:tab/>
      </w:r>
      <w:r w:rsidR="003759EA" w:rsidRPr="0087655E">
        <w:t>E.Turka</w:t>
      </w:r>
      <w:r w:rsidR="00C86F53" w:rsidRPr="0087655E">
        <w:t xml:space="preserve"> </w:t>
      </w:r>
    </w:p>
    <w:p w:rsidR="00CE5F53" w:rsidRPr="0087655E" w:rsidRDefault="00CE5F53" w:rsidP="008F642E">
      <w:pPr>
        <w:pStyle w:val="naisf"/>
        <w:spacing w:before="0" w:after="0"/>
        <w:ind w:firstLine="0"/>
      </w:pPr>
    </w:p>
    <w:p w:rsidR="00024478" w:rsidRPr="0087655E" w:rsidRDefault="00024478" w:rsidP="008F642E">
      <w:pPr>
        <w:pStyle w:val="naisf"/>
        <w:spacing w:before="0" w:after="0"/>
        <w:ind w:firstLine="0"/>
      </w:pPr>
    </w:p>
    <w:p w:rsidR="006655D6" w:rsidRPr="0087655E" w:rsidRDefault="008E0709" w:rsidP="008F642E">
      <w:pPr>
        <w:jc w:val="both"/>
        <w:rPr>
          <w:sz w:val="20"/>
          <w:szCs w:val="20"/>
        </w:rPr>
      </w:pPr>
      <w:r w:rsidRPr="0087655E">
        <w:rPr>
          <w:sz w:val="20"/>
          <w:szCs w:val="20"/>
        </w:rPr>
        <w:fldChar w:fldCharType="begin"/>
      </w:r>
      <w:r w:rsidR="006655D6" w:rsidRPr="0087655E">
        <w:rPr>
          <w:sz w:val="20"/>
          <w:szCs w:val="20"/>
        </w:rPr>
        <w:instrText xml:space="preserve"> DATE  \@ "dd.MM.yyyy H:mm"  \* MERGEFORMAT </w:instrText>
      </w:r>
      <w:r w:rsidR="005B0D54">
        <w:rPr>
          <w:sz w:val="20"/>
          <w:szCs w:val="20"/>
        </w:rPr>
        <w:fldChar w:fldCharType="separate"/>
      </w:r>
      <w:r w:rsidR="005B0D54">
        <w:rPr>
          <w:noProof/>
          <w:sz w:val="20"/>
          <w:szCs w:val="20"/>
        </w:rPr>
        <w:t>02.03.2016 12:08</w:t>
      </w:r>
      <w:r w:rsidRPr="0087655E">
        <w:rPr>
          <w:sz w:val="20"/>
          <w:szCs w:val="20"/>
        </w:rPr>
        <w:fldChar w:fldCharType="end"/>
      </w:r>
    </w:p>
    <w:p w:rsidR="002F146E" w:rsidRPr="0087655E" w:rsidRDefault="008E0709" w:rsidP="008F642E">
      <w:pPr>
        <w:tabs>
          <w:tab w:val="left" w:pos="5865"/>
        </w:tabs>
        <w:jc w:val="both"/>
        <w:rPr>
          <w:sz w:val="20"/>
          <w:szCs w:val="20"/>
        </w:rPr>
      </w:pPr>
      <w:fldSimple w:instr=" NUMWORDS   \* MERGEFORMAT ">
        <w:r w:rsidR="00AD7014" w:rsidRPr="00AD7014">
          <w:rPr>
            <w:noProof/>
            <w:sz w:val="20"/>
            <w:szCs w:val="20"/>
          </w:rPr>
          <w:t>2453</w:t>
        </w:r>
      </w:fldSimple>
    </w:p>
    <w:p w:rsidR="00AD263A" w:rsidRPr="0087655E" w:rsidRDefault="00387B2A" w:rsidP="00DC00F5">
      <w:pPr>
        <w:tabs>
          <w:tab w:val="left" w:pos="5865"/>
        </w:tabs>
        <w:jc w:val="both"/>
        <w:rPr>
          <w:sz w:val="20"/>
          <w:szCs w:val="20"/>
        </w:rPr>
      </w:pPr>
      <w:r w:rsidRPr="0087655E">
        <w:rPr>
          <w:sz w:val="20"/>
          <w:szCs w:val="20"/>
        </w:rPr>
        <w:t>N.</w:t>
      </w:r>
      <w:r w:rsidR="008A6072" w:rsidRPr="0087655E">
        <w:rPr>
          <w:sz w:val="20"/>
          <w:szCs w:val="20"/>
        </w:rPr>
        <w:t xml:space="preserve"> Lauskis</w:t>
      </w:r>
      <w:r w:rsidR="00DC00F5" w:rsidRPr="0087655E">
        <w:rPr>
          <w:sz w:val="20"/>
          <w:szCs w:val="20"/>
        </w:rPr>
        <w:t xml:space="preserve">, </w:t>
      </w:r>
      <w:r w:rsidR="00E66FE6" w:rsidRPr="0087655E">
        <w:rPr>
          <w:sz w:val="20"/>
          <w:szCs w:val="20"/>
          <w:shd w:val="clear" w:color="auto" w:fill="FFFFFF"/>
        </w:rPr>
        <w:t>67026945</w:t>
      </w:r>
    </w:p>
    <w:p w:rsidR="008F642E" w:rsidRPr="0087655E" w:rsidRDefault="008E0709" w:rsidP="008F642E">
      <w:pPr>
        <w:jc w:val="both"/>
        <w:rPr>
          <w:sz w:val="20"/>
          <w:szCs w:val="20"/>
        </w:rPr>
      </w:pPr>
      <w:hyperlink r:id="rId11" w:history="1">
        <w:r w:rsidR="00387B2A" w:rsidRPr="0087655E">
          <w:rPr>
            <w:rStyle w:val="Hyperlink"/>
            <w:color w:val="auto"/>
            <w:sz w:val="20"/>
            <w:szCs w:val="20"/>
          </w:rPr>
          <w:t>normunds.lauskis@varam.gov.lv</w:t>
        </w:r>
      </w:hyperlink>
      <w:r w:rsidR="00AD263A" w:rsidRPr="0087655E">
        <w:rPr>
          <w:sz w:val="20"/>
          <w:szCs w:val="20"/>
        </w:rPr>
        <w:t xml:space="preserve"> </w:t>
      </w:r>
    </w:p>
    <w:sectPr w:rsidR="008F642E" w:rsidRPr="0087655E" w:rsidSect="00434207">
      <w:headerReference w:type="even" r:id="rId12"/>
      <w:headerReference w:type="default" r:id="rId13"/>
      <w:footerReference w:type="default" r:id="rId14"/>
      <w:footerReference w:type="first" r:id="rId15"/>
      <w:pgSz w:w="11906" w:h="16838" w:code="9"/>
      <w:pgMar w:top="1411" w:right="1138" w:bottom="1138" w:left="1699"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552" w:rsidRDefault="00FD5552">
      <w:r>
        <w:separator/>
      </w:r>
    </w:p>
  </w:endnote>
  <w:endnote w:type="continuationSeparator" w:id="0">
    <w:p w:rsidR="00FD5552" w:rsidRDefault="00FD5552">
      <w:r>
        <w:continuationSeparator/>
      </w:r>
    </w:p>
  </w:endnote>
  <w:endnote w:type="continuationNotice" w:id="1">
    <w:p w:rsidR="00FD5552" w:rsidRDefault="00FD555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9D" w:rsidRPr="00E66FE6" w:rsidRDefault="00D65F0E" w:rsidP="00D65F0E">
    <w:pPr>
      <w:pStyle w:val="Footer"/>
      <w:jc w:val="both"/>
      <w:rPr>
        <w:sz w:val="20"/>
        <w:szCs w:val="20"/>
      </w:rPr>
    </w:pPr>
    <w:r w:rsidRPr="00F26B26">
      <w:rPr>
        <w:sz w:val="20"/>
        <w:szCs w:val="20"/>
      </w:rPr>
      <w:t>VARAMAnot_</w:t>
    </w:r>
    <w:r w:rsidR="009731E3" w:rsidRPr="00F26B26">
      <w:rPr>
        <w:sz w:val="20"/>
        <w:szCs w:val="20"/>
      </w:rPr>
      <w:t>210116</w:t>
    </w:r>
    <w:r w:rsidR="00734566" w:rsidRPr="00F26B26">
      <w:rPr>
        <w:sz w:val="20"/>
        <w:szCs w:val="20"/>
      </w:rPr>
      <w:t>_VPVKAC2016</w:t>
    </w:r>
    <w:r w:rsidRPr="00F26B26">
      <w:rPr>
        <w:sz w:val="20"/>
        <w:szCs w:val="20"/>
      </w:rPr>
      <w:t>; Ministru kabineta noteikumu projekta „</w:t>
    </w:r>
    <w:r w:rsidR="00B034B2" w:rsidRPr="00F26B26">
      <w:rPr>
        <w:sz w:val="20"/>
        <w:szCs w:val="20"/>
      </w:rPr>
      <w:t xml:space="preserve">Kārtība, kādā pašvaldībām </w:t>
    </w:r>
    <w:r w:rsidR="00B034B2" w:rsidRPr="00C35714">
      <w:rPr>
        <w:sz w:val="20"/>
        <w:szCs w:val="20"/>
      </w:rPr>
      <w:t>2016.gadā piešķir valsts budžeta dotāciju Valsts un pašvaldību vienoto kl</w:t>
    </w:r>
    <w:r w:rsidR="00A33DB0">
      <w:rPr>
        <w:sz w:val="20"/>
        <w:szCs w:val="20"/>
      </w:rPr>
      <w:t xml:space="preserve">ientu apkalpošanas centru tīkla </w:t>
    </w:r>
    <w:r w:rsidR="00B034B2" w:rsidRPr="00C35714">
      <w:rPr>
        <w:sz w:val="20"/>
        <w:szCs w:val="20"/>
      </w:rPr>
      <w:t>uzturēšanai</w:t>
    </w:r>
    <w:r w:rsidRPr="00E66FE6">
      <w:rPr>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9D" w:rsidRPr="00792B6C" w:rsidRDefault="00E66FE6" w:rsidP="00792B6C">
    <w:pPr>
      <w:pStyle w:val="Footer"/>
      <w:jc w:val="both"/>
    </w:pPr>
    <w:r w:rsidRPr="00792B6C">
      <w:rPr>
        <w:sz w:val="20"/>
        <w:szCs w:val="20"/>
      </w:rPr>
      <w:t>VARAMAnot_</w:t>
    </w:r>
    <w:r w:rsidR="00B2770F">
      <w:rPr>
        <w:sz w:val="20"/>
        <w:szCs w:val="20"/>
      </w:rPr>
      <w:t>210116</w:t>
    </w:r>
    <w:r w:rsidR="00734566">
      <w:rPr>
        <w:sz w:val="20"/>
        <w:szCs w:val="20"/>
      </w:rPr>
      <w:t>_VPVKAC2016</w:t>
    </w:r>
    <w:r w:rsidRPr="00E66FE6">
      <w:rPr>
        <w:sz w:val="20"/>
        <w:szCs w:val="20"/>
      </w:rPr>
      <w:t>; Ministru kabineta noteikumu projekta „</w:t>
    </w:r>
    <w:r w:rsidR="00B034B2" w:rsidRPr="00C35714">
      <w:rPr>
        <w:sz w:val="20"/>
        <w:szCs w:val="20"/>
      </w:rPr>
      <w:t>Kārtība, kādā pašvaldībām 2016.gadā piešķir valsts budžeta dotāciju Valsts un pašvaldību vienoto kl</w:t>
    </w:r>
    <w:r w:rsidR="00A33DB0">
      <w:rPr>
        <w:sz w:val="20"/>
        <w:szCs w:val="20"/>
      </w:rPr>
      <w:t>ientu apkalpošanas centru tīkla u</w:t>
    </w:r>
    <w:r w:rsidR="00B034B2" w:rsidRPr="00C35714">
      <w:rPr>
        <w:sz w:val="20"/>
        <w:szCs w:val="20"/>
      </w:rPr>
      <w:t>zturēšanai</w:t>
    </w:r>
    <w:r w:rsidRPr="00E66FE6">
      <w:rPr>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552" w:rsidRDefault="00FD5552">
      <w:r>
        <w:separator/>
      </w:r>
    </w:p>
  </w:footnote>
  <w:footnote w:type="continuationSeparator" w:id="0">
    <w:p w:rsidR="00FD5552" w:rsidRDefault="00FD5552">
      <w:r>
        <w:continuationSeparator/>
      </w:r>
    </w:p>
  </w:footnote>
  <w:footnote w:type="continuationNotice" w:id="1">
    <w:p w:rsidR="00FD5552" w:rsidRDefault="00FD55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9D" w:rsidRDefault="008E0709" w:rsidP="00ED7A6B">
    <w:pPr>
      <w:pStyle w:val="Header"/>
      <w:framePr w:wrap="around" w:vAnchor="text" w:hAnchor="margin" w:xAlign="center" w:y="1"/>
      <w:rPr>
        <w:rStyle w:val="PageNumber"/>
      </w:rPr>
    </w:pPr>
    <w:r>
      <w:rPr>
        <w:rStyle w:val="PageNumber"/>
      </w:rPr>
      <w:fldChar w:fldCharType="begin"/>
    </w:r>
    <w:r w:rsidR="00A9489D">
      <w:rPr>
        <w:rStyle w:val="PageNumber"/>
      </w:rPr>
      <w:instrText xml:space="preserve">PAGE  </w:instrText>
    </w:r>
    <w:r>
      <w:rPr>
        <w:rStyle w:val="PageNumber"/>
      </w:rPr>
      <w:fldChar w:fldCharType="end"/>
    </w:r>
  </w:p>
  <w:p w:rsidR="00A9489D" w:rsidRDefault="00A94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9D" w:rsidRDefault="008E0709" w:rsidP="00ED7A6B">
    <w:pPr>
      <w:pStyle w:val="Header"/>
      <w:framePr w:wrap="around" w:vAnchor="text" w:hAnchor="margin" w:xAlign="center" w:y="1"/>
      <w:rPr>
        <w:rStyle w:val="PageNumber"/>
      </w:rPr>
    </w:pPr>
    <w:r>
      <w:rPr>
        <w:rStyle w:val="PageNumber"/>
      </w:rPr>
      <w:fldChar w:fldCharType="begin"/>
    </w:r>
    <w:r w:rsidR="00A9489D">
      <w:rPr>
        <w:rStyle w:val="PageNumber"/>
      </w:rPr>
      <w:instrText xml:space="preserve">PAGE  </w:instrText>
    </w:r>
    <w:r>
      <w:rPr>
        <w:rStyle w:val="PageNumber"/>
      </w:rPr>
      <w:fldChar w:fldCharType="separate"/>
    </w:r>
    <w:r w:rsidR="005B0D54">
      <w:rPr>
        <w:rStyle w:val="PageNumber"/>
        <w:noProof/>
      </w:rPr>
      <w:t>9</w:t>
    </w:r>
    <w:r>
      <w:rPr>
        <w:rStyle w:val="PageNumber"/>
      </w:rPr>
      <w:fldChar w:fldCharType="end"/>
    </w:r>
  </w:p>
  <w:p w:rsidR="00A9489D" w:rsidRDefault="00A948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55CD"/>
    <w:multiLevelType w:val="hybridMultilevel"/>
    <w:tmpl w:val="BF244F4C"/>
    <w:lvl w:ilvl="0" w:tplc="C5E8F376">
      <w:start w:val="1"/>
      <w:numFmt w:val="decimal"/>
      <w:lvlText w:val="%1)"/>
      <w:lvlJc w:val="left"/>
      <w:pPr>
        <w:tabs>
          <w:tab w:val="num" w:pos="417"/>
        </w:tabs>
        <w:ind w:left="417" w:hanging="360"/>
      </w:pPr>
      <w:rPr>
        <w:rFonts w:hint="default"/>
      </w:r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abstractNum w:abstractNumId="1">
    <w:nsid w:val="49660B92"/>
    <w:multiLevelType w:val="hybridMultilevel"/>
    <w:tmpl w:val="45D21E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4ABC5082"/>
    <w:multiLevelType w:val="hybridMultilevel"/>
    <w:tmpl w:val="1F6E15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4C35643A"/>
    <w:multiLevelType w:val="multilevel"/>
    <w:tmpl w:val="C1E6376E"/>
    <w:lvl w:ilvl="0">
      <w:start w:val="1"/>
      <w:numFmt w:val="decimal"/>
      <w:lvlText w:val="%1."/>
      <w:lvlJc w:val="left"/>
      <w:pPr>
        <w:ind w:left="644" w:hanging="360"/>
      </w:pPr>
      <w:rPr>
        <w:rFonts w:ascii="Times New Roman" w:hAnsi="Times New Roman" w:hint="default"/>
        <w:b w:val="0"/>
        <w:i w:val="0"/>
        <w:spacing w:val="0"/>
        <w:position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5F9D55EB"/>
    <w:multiLevelType w:val="hybridMultilevel"/>
    <w:tmpl w:val="860E34A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stylePaneFormatFilter w:val="3F01"/>
  <w:defaultTabStop w:val="720"/>
  <w:drawingGridHorizontalSpacing w:val="187"/>
  <w:displayVerticalDrawingGridEvery w:val="2"/>
  <w:doNotShadeFormData/>
  <w:characterSpacingControl w:val="doNotCompress"/>
  <w:footnotePr>
    <w:footnote w:id="-1"/>
    <w:footnote w:id="0"/>
    <w:footnote w:id="1"/>
  </w:footnotePr>
  <w:endnotePr>
    <w:endnote w:id="-1"/>
    <w:endnote w:id="0"/>
    <w:endnote w:id="1"/>
  </w:endnotePr>
  <w:compat/>
  <w:rsids>
    <w:rsidRoot w:val="00AC2821"/>
    <w:rsid w:val="00000FFA"/>
    <w:rsid w:val="0000136B"/>
    <w:rsid w:val="00001572"/>
    <w:rsid w:val="00002CE0"/>
    <w:rsid w:val="00002DCC"/>
    <w:rsid w:val="00007C5E"/>
    <w:rsid w:val="0001057B"/>
    <w:rsid w:val="00010645"/>
    <w:rsid w:val="0001191F"/>
    <w:rsid w:val="0001202C"/>
    <w:rsid w:val="00013C3C"/>
    <w:rsid w:val="00015050"/>
    <w:rsid w:val="00017AFD"/>
    <w:rsid w:val="00017EEB"/>
    <w:rsid w:val="0002090B"/>
    <w:rsid w:val="00020BAB"/>
    <w:rsid w:val="0002156A"/>
    <w:rsid w:val="00023CDE"/>
    <w:rsid w:val="00024478"/>
    <w:rsid w:val="000268E6"/>
    <w:rsid w:val="000414FB"/>
    <w:rsid w:val="000427B5"/>
    <w:rsid w:val="00042E0B"/>
    <w:rsid w:val="00044105"/>
    <w:rsid w:val="00045071"/>
    <w:rsid w:val="00051199"/>
    <w:rsid w:val="00051B3A"/>
    <w:rsid w:val="00052385"/>
    <w:rsid w:val="0005365A"/>
    <w:rsid w:val="00055DAD"/>
    <w:rsid w:val="000572C8"/>
    <w:rsid w:val="0006036B"/>
    <w:rsid w:val="00060ECF"/>
    <w:rsid w:val="00065A02"/>
    <w:rsid w:val="00065C22"/>
    <w:rsid w:val="00070DD6"/>
    <w:rsid w:val="0007112E"/>
    <w:rsid w:val="000714F1"/>
    <w:rsid w:val="00072DF3"/>
    <w:rsid w:val="00073D9B"/>
    <w:rsid w:val="00082AEB"/>
    <w:rsid w:val="00084AB2"/>
    <w:rsid w:val="000A1D07"/>
    <w:rsid w:val="000A25DC"/>
    <w:rsid w:val="000A3612"/>
    <w:rsid w:val="000A3DA0"/>
    <w:rsid w:val="000A605E"/>
    <w:rsid w:val="000A700B"/>
    <w:rsid w:val="000B18B3"/>
    <w:rsid w:val="000B3945"/>
    <w:rsid w:val="000B5B7E"/>
    <w:rsid w:val="000B73DC"/>
    <w:rsid w:val="000B7903"/>
    <w:rsid w:val="000C253A"/>
    <w:rsid w:val="000C3003"/>
    <w:rsid w:val="000C3BEC"/>
    <w:rsid w:val="000C3F8B"/>
    <w:rsid w:val="000C4EA0"/>
    <w:rsid w:val="000C6130"/>
    <w:rsid w:val="000C70A9"/>
    <w:rsid w:val="000C7294"/>
    <w:rsid w:val="000C77C2"/>
    <w:rsid w:val="000D1593"/>
    <w:rsid w:val="000D222D"/>
    <w:rsid w:val="000D242E"/>
    <w:rsid w:val="000D2997"/>
    <w:rsid w:val="000D367B"/>
    <w:rsid w:val="000E0A11"/>
    <w:rsid w:val="000E10BD"/>
    <w:rsid w:val="000E26F6"/>
    <w:rsid w:val="000E3C14"/>
    <w:rsid w:val="000E4AF0"/>
    <w:rsid w:val="000E4B9B"/>
    <w:rsid w:val="000F34C8"/>
    <w:rsid w:val="000F3B54"/>
    <w:rsid w:val="000F47B2"/>
    <w:rsid w:val="000F58CC"/>
    <w:rsid w:val="000F5E76"/>
    <w:rsid w:val="000F6803"/>
    <w:rsid w:val="000F7DDB"/>
    <w:rsid w:val="00103BE6"/>
    <w:rsid w:val="00104128"/>
    <w:rsid w:val="00104527"/>
    <w:rsid w:val="001065AC"/>
    <w:rsid w:val="00111331"/>
    <w:rsid w:val="0011263B"/>
    <w:rsid w:val="0011380D"/>
    <w:rsid w:val="001206AF"/>
    <w:rsid w:val="00123F7B"/>
    <w:rsid w:val="00124140"/>
    <w:rsid w:val="0012536C"/>
    <w:rsid w:val="00125D7F"/>
    <w:rsid w:val="00127C29"/>
    <w:rsid w:val="00135810"/>
    <w:rsid w:val="00136028"/>
    <w:rsid w:val="0013639C"/>
    <w:rsid w:val="001374BA"/>
    <w:rsid w:val="00140C35"/>
    <w:rsid w:val="00140EFB"/>
    <w:rsid w:val="00141BC1"/>
    <w:rsid w:val="001437D5"/>
    <w:rsid w:val="00144C71"/>
    <w:rsid w:val="00146E5A"/>
    <w:rsid w:val="001473BF"/>
    <w:rsid w:val="00150293"/>
    <w:rsid w:val="0015179C"/>
    <w:rsid w:val="00152F50"/>
    <w:rsid w:val="00153579"/>
    <w:rsid w:val="00154FE7"/>
    <w:rsid w:val="001617E8"/>
    <w:rsid w:val="00163410"/>
    <w:rsid w:val="00163EC5"/>
    <w:rsid w:val="0016481C"/>
    <w:rsid w:val="0016594D"/>
    <w:rsid w:val="00167141"/>
    <w:rsid w:val="00167996"/>
    <w:rsid w:val="0017062E"/>
    <w:rsid w:val="00171580"/>
    <w:rsid w:val="00171AB0"/>
    <w:rsid w:val="00171B85"/>
    <w:rsid w:val="00171B9A"/>
    <w:rsid w:val="001756DE"/>
    <w:rsid w:val="00175B3F"/>
    <w:rsid w:val="00176625"/>
    <w:rsid w:val="00176829"/>
    <w:rsid w:val="00176A01"/>
    <w:rsid w:val="00176B97"/>
    <w:rsid w:val="00180523"/>
    <w:rsid w:val="00183732"/>
    <w:rsid w:val="00191BD6"/>
    <w:rsid w:val="0019311F"/>
    <w:rsid w:val="00193A3D"/>
    <w:rsid w:val="00193D24"/>
    <w:rsid w:val="00194FED"/>
    <w:rsid w:val="001975DC"/>
    <w:rsid w:val="001A188B"/>
    <w:rsid w:val="001A4899"/>
    <w:rsid w:val="001A4A08"/>
    <w:rsid w:val="001A6298"/>
    <w:rsid w:val="001A66CA"/>
    <w:rsid w:val="001A71D1"/>
    <w:rsid w:val="001A7A46"/>
    <w:rsid w:val="001B3321"/>
    <w:rsid w:val="001B3F2F"/>
    <w:rsid w:val="001B56BE"/>
    <w:rsid w:val="001B6398"/>
    <w:rsid w:val="001C071A"/>
    <w:rsid w:val="001C2238"/>
    <w:rsid w:val="001C294D"/>
    <w:rsid w:val="001C3797"/>
    <w:rsid w:val="001C4CC6"/>
    <w:rsid w:val="001C5514"/>
    <w:rsid w:val="001C5BF0"/>
    <w:rsid w:val="001C6AC6"/>
    <w:rsid w:val="001D146D"/>
    <w:rsid w:val="001D17A6"/>
    <w:rsid w:val="001D21A8"/>
    <w:rsid w:val="001D4896"/>
    <w:rsid w:val="001E006F"/>
    <w:rsid w:val="001E1B8F"/>
    <w:rsid w:val="001E1E70"/>
    <w:rsid w:val="001E3E47"/>
    <w:rsid w:val="001F0241"/>
    <w:rsid w:val="001F0E2F"/>
    <w:rsid w:val="001F2E6B"/>
    <w:rsid w:val="001F310B"/>
    <w:rsid w:val="001F4391"/>
    <w:rsid w:val="001F66A6"/>
    <w:rsid w:val="001F6B6C"/>
    <w:rsid w:val="001F735C"/>
    <w:rsid w:val="0020084F"/>
    <w:rsid w:val="00202C70"/>
    <w:rsid w:val="00202D54"/>
    <w:rsid w:val="00205865"/>
    <w:rsid w:val="00205D00"/>
    <w:rsid w:val="002061D5"/>
    <w:rsid w:val="00206CDA"/>
    <w:rsid w:val="00206E28"/>
    <w:rsid w:val="00207ADC"/>
    <w:rsid w:val="00207C13"/>
    <w:rsid w:val="0021074C"/>
    <w:rsid w:val="00212AEA"/>
    <w:rsid w:val="00214FA8"/>
    <w:rsid w:val="002152E0"/>
    <w:rsid w:val="0021547D"/>
    <w:rsid w:val="002155C4"/>
    <w:rsid w:val="002162EE"/>
    <w:rsid w:val="00220D69"/>
    <w:rsid w:val="00220D98"/>
    <w:rsid w:val="00220F95"/>
    <w:rsid w:val="0022186E"/>
    <w:rsid w:val="00224D19"/>
    <w:rsid w:val="00230F20"/>
    <w:rsid w:val="002310DF"/>
    <w:rsid w:val="0023154B"/>
    <w:rsid w:val="00233E24"/>
    <w:rsid w:val="00235371"/>
    <w:rsid w:val="002361B0"/>
    <w:rsid w:val="00237B0D"/>
    <w:rsid w:val="00242049"/>
    <w:rsid w:val="0024235D"/>
    <w:rsid w:val="00244C81"/>
    <w:rsid w:val="002510D0"/>
    <w:rsid w:val="002511B5"/>
    <w:rsid w:val="00251E53"/>
    <w:rsid w:val="00253157"/>
    <w:rsid w:val="002531CF"/>
    <w:rsid w:val="00257A32"/>
    <w:rsid w:val="0026277D"/>
    <w:rsid w:val="002662DB"/>
    <w:rsid w:val="002669AE"/>
    <w:rsid w:val="0027239C"/>
    <w:rsid w:val="0027300B"/>
    <w:rsid w:val="002732CF"/>
    <w:rsid w:val="00274922"/>
    <w:rsid w:val="002755F6"/>
    <w:rsid w:val="00280242"/>
    <w:rsid w:val="00280692"/>
    <w:rsid w:val="00281241"/>
    <w:rsid w:val="00283098"/>
    <w:rsid w:val="00283CC9"/>
    <w:rsid w:val="002847C5"/>
    <w:rsid w:val="00284A42"/>
    <w:rsid w:val="00290E70"/>
    <w:rsid w:val="00291F42"/>
    <w:rsid w:val="00292F4F"/>
    <w:rsid w:val="002934A5"/>
    <w:rsid w:val="002935D1"/>
    <w:rsid w:val="00297344"/>
    <w:rsid w:val="002A00C0"/>
    <w:rsid w:val="002A1C2C"/>
    <w:rsid w:val="002A3D18"/>
    <w:rsid w:val="002B1777"/>
    <w:rsid w:val="002B2101"/>
    <w:rsid w:val="002B2AB5"/>
    <w:rsid w:val="002B478A"/>
    <w:rsid w:val="002B538F"/>
    <w:rsid w:val="002B61DB"/>
    <w:rsid w:val="002B7658"/>
    <w:rsid w:val="002B7A5E"/>
    <w:rsid w:val="002B7CF6"/>
    <w:rsid w:val="002C0D39"/>
    <w:rsid w:val="002C1222"/>
    <w:rsid w:val="002C15EB"/>
    <w:rsid w:val="002C2880"/>
    <w:rsid w:val="002C69A9"/>
    <w:rsid w:val="002D07AE"/>
    <w:rsid w:val="002D15D9"/>
    <w:rsid w:val="002D42BE"/>
    <w:rsid w:val="002D6138"/>
    <w:rsid w:val="002E121E"/>
    <w:rsid w:val="002E3A06"/>
    <w:rsid w:val="002E4F7C"/>
    <w:rsid w:val="002E59DB"/>
    <w:rsid w:val="002F07FA"/>
    <w:rsid w:val="002F0DE3"/>
    <w:rsid w:val="002F0FE9"/>
    <w:rsid w:val="002F146E"/>
    <w:rsid w:val="002F4BDE"/>
    <w:rsid w:val="002F5979"/>
    <w:rsid w:val="002F5D35"/>
    <w:rsid w:val="002F6985"/>
    <w:rsid w:val="0030322B"/>
    <w:rsid w:val="003059E3"/>
    <w:rsid w:val="00307299"/>
    <w:rsid w:val="00311035"/>
    <w:rsid w:val="0031122C"/>
    <w:rsid w:val="003124C3"/>
    <w:rsid w:val="003154B1"/>
    <w:rsid w:val="00315CAB"/>
    <w:rsid w:val="00316F1B"/>
    <w:rsid w:val="003205D4"/>
    <w:rsid w:val="00320CEE"/>
    <w:rsid w:val="00323B99"/>
    <w:rsid w:val="00324EF8"/>
    <w:rsid w:val="00325504"/>
    <w:rsid w:val="00326821"/>
    <w:rsid w:val="0032734A"/>
    <w:rsid w:val="00331069"/>
    <w:rsid w:val="00332238"/>
    <w:rsid w:val="003325BE"/>
    <w:rsid w:val="00333392"/>
    <w:rsid w:val="00334319"/>
    <w:rsid w:val="00336D45"/>
    <w:rsid w:val="0033776C"/>
    <w:rsid w:val="00340580"/>
    <w:rsid w:val="00343DDC"/>
    <w:rsid w:val="003448E9"/>
    <w:rsid w:val="00345536"/>
    <w:rsid w:val="003470F5"/>
    <w:rsid w:val="00347858"/>
    <w:rsid w:val="003478FB"/>
    <w:rsid w:val="0034793D"/>
    <w:rsid w:val="00350CF7"/>
    <w:rsid w:val="00352C8B"/>
    <w:rsid w:val="00354462"/>
    <w:rsid w:val="00355CD4"/>
    <w:rsid w:val="0035755B"/>
    <w:rsid w:val="00357B06"/>
    <w:rsid w:val="00361632"/>
    <w:rsid w:val="00361C41"/>
    <w:rsid w:val="003657F0"/>
    <w:rsid w:val="00367723"/>
    <w:rsid w:val="00367CC7"/>
    <w:rsid w:val="00373394"/>
    <w:rsid w:val="0037553D"/>
    <w:rsid w:val="003759EA"/>
    <w:rsid w:val="00376478"/>
    <w:rsid w:val="0037796B"/>
    <w:rsid w:val="00381CEB"/>
    <w:rsid w:val="00382477"/>
    <w:rsid w:val="00382876"/>
    <w:rsid w:val="00382A53"/>
    <w:rsid w:val="00382E64"/>
    <w:rsid w:val="00383495"/>
    <w:rsid w:val="00384E7A"/>
    <w:rsid w:val="00386434"/>
    <w:rsid w:val="00387B2A"/>
    <w:rsid w:val="00392184"/>
    <w:rsid w:val="003935D8"/>
    <w:rsid w:val="003941B1"/>
    <w:rsid w:val="003A2611"/>
    <w:rsid w:val="003A5DA8"/>
    <w:rsid w:val="003A7EB3"/>
    <w:rsid w:val="003B0B6C"/>
    <w:rsid w:val="003B1DAB"/>
    <w:rsid w:val="003B37ED"/>
    <w:rsid w:val="003B49E9"/>
    <w:rsid w:val="003B52BA"/>
    <w:rsid w:val="003B5475"/>
    <w:rsid w:val="003B5DC1"/>
    <w:rsid w:val="003C05B9"/>
    <w:rsid w:val="003C137B"/>
    <w:rsid w:val="003C2776"/>
    <w:rsid w:val="003C420C"/>
    <w:rsid w:val="003C6E07"/>
    <w:rsid w:val="003D0051"/>
    <w:rsid w:val="003D21D2"/>
    <w:rsid w:val="003D2782"/>
    <w:rsid w:val="003D32FD"/>
    <w:rsid w:val="003E0C0A"/>
    <w:rsid w:val="003E259E"/>
    <w:rsid w:val="003E2A59"/>
    <w:rsid w:val="003E43D7"/>
    <w:rsid w:val="003E48AE"/>
    <w:rsid w:val="003E4FD4"/>
    <w:rsid w:val="003E568B"/>
    <w:rsid w:val="003F0262"/>
    <w:rsid w:val="003F189C"/>
    <w:rsid w:val="003F37FC"/>
    <w:rsid w:val="003F3FCC"/>
    <w:rsid w:val="003F68CD"/>
    <w:rsid w:val="00401FEA"/>
    <w:rsid w:val="004027AD"/>
    <w:rsid w:val="004029F0"/>
    <w:rsid w:val="00405694"/>
    <w:rsid w:val="00406497"/>
    <w:rsid w:val="004071B0"/>
    <w:rsid w:val="00407BC8"/>
    <w:rsid w:val="0041050F"/>
    <w:rsid w:val="00410548"/>
    <w:rsid w:val="00410B4B"/>
    <w:rsid w:val="004125C9"/>
    <w:rsid w:val="00412B2D"/>
    <w:rsid w:val="004130F2"/>
    <w:rsid w:val="00413762"/>
    <w:rsid w:val="00413B0A"/>
    <w:rsid w:val="00414A17"/>
    <w:rsid w:val="00420B82"/>
    <w:rsid w:val="00421E4F"/>
    <w:rsid w:val="0042527D"/>
    <w:rsid w:val="00427B97"/>
    <w:rsid w:val="0043083C"/>
    <w:rsid w:val="00431804"/>
    <w:rsid w:val="00434207"/>
    <w:rsid w:val="00435F0E"/>
    <w:rsid w:val="00436382"/>
    <w:rsid w:val="00436EA1"/>
    <w:rsid w:val="00437962"/>
    <w:rsid w:val="004407BC"/>
    <w:rsid w:val="00440BA1"/>
    <w:rsid w:val="0044218A"/>
    <w:rsid w:val="00442E68"/>
    <w:rsid w:val="004457C0"/>
    <w:rsid w:val="0044591E"/>
    <w:rsid w:val="00445D9E"/>
    <w:rsid w:val="004462B1"/>
    <w:rsid w:val="00446B21"/>
    <w:rsid w:val="00447176"/>
    <w:rsid w:val="00452129"/>
    <w:rsid w:val="00453B60"/>
    <w:rsid w:val="00454303"/>
    <w:rsid w:val="00457E2E"/>
    <w:rsid w:val="004637BA"/>
    <w:rsid w:val="00464857"/>
    <w:rsid w:val="0046635D"/>
    <w:rsid w:val="004666FC"/>
    <w:rsid w:val="00466EC7"/>
    <w:rsid w:val="00467082"/>
    <w:rsid w:val="00470F95"/>
    <w:rsid w:val="0047111D"/>
    <w:rsid w:val="00471564"/>
    <w:rsid w:val="00471EFC"/>
    <w:rsid w:val="0047204F"/>
    <w:rsid w:val="00474596"/>
    <w:rsid w:val="00475918"/>
    <w:rsid w:val="004764DC"/>
    <w:rsid w:val="00484A52"/>
    <w:rsid w:val="00484F37"/>
    <w:rsid w:val="00485086"/>
    <w:rsid w:val="00486695"/>
    <w:rsid w:val="00486880"/>
    <w:rsid w:val="00491852"/>
    <w:rsid w:val="00493321"/>
    <w:rsid w:val="0049413B"/>
    <w:rsid w:val="004950AD"/>
    <w:rsid w:val="00496154"/>
    <w:rsid w:val="004A0A1F"/>
    <w:rsid w:val="004A101A"/>
    <w:rsid w:val="004A1330"/>
    <w:rsid w:val="004A3C2C"/>
    <w:rsid w:val="004A4C5E"/>
    <w:rsid w:val="004A52DC"/>
    <w:rsid w:val="004A60A9"/>
    <w:rsid w:val="004B017D"/>
    <w:rsid w:val="004B0C4A"/>
    <w:rsid w:val="004B5EF0"/>
    <w:rsid w:val="004B7AD4"/>
    <w:rsid w:val="004C27DC"/>
    <w:rsid w:val="004C38F8"/>
    <w:rsid w:val="004C60AF"/>
    <w:rsid w:val="004C655D"/>
    <w:rsid w:val="004C70EC"/>
    <w:rsid w:val="004D0EC4"/>
    <w:rsid w:val="004D2811"/>
    <w:rsid w:val="004D46EB"/>
    <w:rsid w:val="004D4C8F"/>
    <w:rsid w:val="004D5ADF"/>
    <w:rsid w:val="004D5BF3"/>
    <w:rsid w:val="004D79C8"/>
    <w:rsid w:val="004D7E4B"/>
    <w:rsid w:val="004E0F9D"/>
    <w:rsid w:val="004E11B8"/>
    <w:rsid w:val="004E1F54"/>
    <w:rsid w:val="004E4347"/>
    <w:rsid w:val="004E4480"/>
    <w:rsid w:val="004F0130"/>
    <w:rsid w:val="004F080E"/>
    <w:rsid w:val="004F347F"/>
    <w:rsid w:val="004F7399"/>
    <w:rsid w:val="005037D8"/>
    <w:rsid w:val="005041F0"/>
    <w:rsid w:val="0050450D"/>
    <w:rsid w:val="0050635C"/>
    <w:rsid w:val="005074DA"/>
    <w:rsid w:val="00507F98"/>
    <w:rsid w:val="005107D4"/>
    <w:rsid w:val="00511516"/>
    <w:rsid w:val="005116DA"/>
    <w:rsid w:val="005122B3"/>
    <w:rsid w:val="00513D3E"/>
    <w:rsid w:val="00513E90"/>
    <w:rsid w:val="00513FFB"/>
    <w:rsid w:val="005146D0"/>
    <w:rsid w:val="0052002C"/>
    <w:rsid w:val="005215B6"/>
    <w:rsid w:val="00521A39"/>
    <w:rsid w:val="00522C49"/>
    <w:rsid w:val="00522E73"/>
    <w:rsid w:val="00523B54"/>
    <w:rsid w:val="00523DA2"/>
    <w:rsid w:val="00526250"/>
    <w:rsid w:val="005266D0"/>
    <w:rsid w:val="00526F6E"/>
    <w:rsid w:val="0052712A"/>
    <w:rsid w:val="00530C50"/>
    <w:rsid w:val="00534C64"/>
    <w:rsid w:val="0053511D"/>
    <w:rsid w:val="005354A7"/>
    <w:rsid w:val="00537E49"/>
    <w:rsid w:val="005436FB"/>
    <w:rsid w:val="0054426E"/>
    <w:rsid w:val="00544826"/>
    <w:rsid w:val="0054539F"/>
    <w:rsid w:val="0055357D"/>
    <w:rsid w:val="0055464C"/>
    <w:rsid w:val="00554A87"/>
    <w:rsid w:val="00556D31"/>
    <w:rsid w:val="00557075"/>
    <w:rsid w:val="005570D3"/>
    <w:rsid w:val="00560B73"/>
    <w:rsid w:val="00561FEA"/>
    <w:rsid w:val="00564C24"/>
    <w:rsid w:val="005651DA"/>
    <w:rsid w:val="00565985"/>
    <w:rsid w:val="00571292"/>
    <w:rsid w:val="00574B33"/>
    <w:rsid w:val="00575068"/>
    <w:rsid w:val="00576DFC"/>
    <w:rsid w:val="00577EA5"/>
    <w:rsid w:val="00577F5E"/>
    <w:rsid w:val="00584B06"/>
    <w:rsid w:val="00585FB0"/>
    <w:rsid w:val="005917B7"/>
    <w:rsid w:val="00593BF2"/>
    <w:rsid w:val="0059501C"/>
    <w:rsid w:val="00596568"/>
    <w:rsid w:val="00596600"/>
    <w:rsid w:val="00596602"/>
    <w:rsid w:val="00596868"/>
    <w:rsid w:val="00597820"/>
    <w:rsid w:val="00597BB0"/>
    <w:rsid w:val="00597FFC"/>
    <w:rsid w:val="005A01DA"/>
    <w:rsid w:val="005A10E4"/>
    <w:rsid w:val="005A28BE"/>
    <w:rsid w:val="005A4936"/>
    <w:rsid w:val="005A6265"/>
    <w:rsid w:val="005A663B"/>
    <w:rsid w:val="005B0D54"/>
    <w:rsid w:val="005B1D0A"/>
    <w:rsid w:val="005B28FE"/>
    <w:rsid w:val="005B4733"/>
    <w:rsid w:val="005B5876"/>
    <w:rsid w:val="005B7673"/>
    <w:rsid w:val="005C05B3"/>
    <w:rsid w:val="005C3051"/>
    <w:rsid w:val="005C3723"/>
    <w:rsid w:val="005C6397"/>
    <w:rsid w:val="005D0AB6"/>
    <w:rsid w:val="005D3B89"/>
    <w:rsid w:val="005D46F6"/>
    <w:rsid w:val="005D4DAC"/>
    <w:rsid w:val="005D618D"/>
    <w:rsid w:val="005D69A2"/>
    <w:rsid w:val="005D7BBC"/>
    <w:rsid w:val="005D7E89"/>
    <w:rsid w:val="005E06E7"/>
    <w:rsid w:val="005E2F47"/>
    <w:rsid w:val="005E493B"/>
    <w:rsid w:val="005E550D"/>
    <w:rsid w:val="005E5A4C"/>
    <w:rsid w:val="005F2A2E"/>
    <w:rsid w:val="005F3397"/>
    <w:rsid w:val="005F64B1"/>
    <w:rsid w:val="005F6852"/>
    <w:rsid w:val="005F6F6B"/>
    <w:rsid w:val="005F7696"/>
    <w:rsid w:val="0060150C"/>
    <w:rsid w:val="00602485"/>
    <w:rsid w:val="00603ABC"/>
    <w:rsid w:val="00603CBA"/>
    <w:rsid w:val="00605EB9"/>
    <w:rsid w:val="00607074"/>
    <w:rsid w:val="00607E96"/>
    <w:rsid w:val="00613B5F"/>
    <w:rsid w:val="00614EE2"/>
    <w:rsid w:val="00616777"/>
    <w:rsid w:val="00620A61"/>
    <w:rsid w:val="0062369E"/>
    <w:rsid w:val="00624A5A"/>
    <w:rsid w:val="00625A87"/>
    <w:rsid w:val="0062651A"/>
    <w:rsid w:val="006267DF"/>
    <w:rsid w:val="00626B59"/>
    <w:rsid w:val="00626F93"/>
    <w:rsid w:val="006301B4"/>
    <w:rsid w:val="00630533"/>
    <w:rsid w:val="00630920"/>
    <w:rsid w:val="00631083"/>
    <w:rsid w:val="0063126B"/>
    <w:rsid w:val="00632DAB"/>
    <w:rsid w:val="00636C29"/>
    <w:rsid w:val="00640A0A"/>
    <w:rsid w:val="0064215A"/>
    <w:rsid w:val="0064279B"/>
    <w:rsid w:val="00643428"/>
    <w:rsid w:val="00644BB2"/>
    <w:rsid w:val="00644DBD"/>
    <w:rsid w:val="00645EEC"/>
    <w:rsid w:val="006467C1"/>
    <w:rsid w:val="00647571"/>
    <w:rsid w:val="00647B70"/>
    <w:rsid w:val="00647FCD"/>
    <w:rsid w:val="006504FB"/>
    <w:rsid w:val="0065184F"/>
    <w:rsid w:val="00651D0A"/>
    <w:rsid w:val="00653712"/>
    <w:rsid w:val="00654312"/>
    <w:rsid w:val="00655B1F"/>
    <w:rsid w:val="00656DEB"/>
    <w:rsid w:val="00665280"/>
    <w:rsid w:val="006655D6"/>
    <w:rsid w:val="00666695"/>
    <w:rsid w:val="006674C2"/>
    <w:rsid w:val="00670BBA"/>
    <w:rsid w:val="0067190A"/>
    <w:rsid w:val="006727D6"/>
    <w:rsid w:val="00674185"/>
    <w:rsid w:val="006750E6"/>
    <w:rsid w:val="0067558B"/>
    <w:rsid w:val="00681EE3"/>
    <w:rsid w:val="00682F07"/>
    <w:rsid w:val="00683CCA"/>
    <w:rsid w:val="006843F3"/>
    <w:rsid w:val="00684DB0"/>
    <w:rsid w:val="00685786"/>
    <w:rsid w:val="0068711A"/>
    <w:rsid w:val="00690557"/>
    <w:rsid w:val="0069409B"/>
    <w:rsid w:val="00694644"/>
    <w:rsid w:val="006A04B0"/>
    <w:rsid w:val="006A1D93"/>
    <w:rsid w:val="006A52EE"/>
    <w:rsid w:val="006A5B9B"/>
    <w:rsid w:val="006A5EAA"/>
    <w:rsid w:val="006A7CE0"/>
    <w:rsid w:val="006A7F01"/>
    <w:rsid w:val="006B0511"/>
    <w:rsid w:val="006B1BCD"/>
    <w:rsid w:val="006B2E40"/>
    <w:rsid w:val="006B4F06"/>
    <w:rsid w:val="006B4F77"/>
    <w:rsid w:val="006B51B8"/>
    <w:rsid w:val="006B71C1"/>
    <w:rsid w:val="006C0305"/>
    <w:rsid w:val="006C11BD"/>
    <w:rsid w:val="006C1FFE"/>
    <w:rsid w:val="006C214D"/>
    <w:rsid w:val="006C495F"/>
    <w:rsid w:val="006C52E9"/>
    <w:rsid w:val="006C56A6"/>
    <w:rsid w:val="006C5FA0"/>
    <w:rsid w:val="006C70B5"/>
    <w:rsid w:val="006C7DBA"/>
    <w:rsid w:val="006D14C8"/>
    <w:rsid w:val="006D39E1"/>
    <w:rsid w:val="006D4B32"/>
    <w:rsid w:val="006D58F2"/>
    <w:rsid w:val="006D5D89"/>
    <w:rsid w:val="006D7102"/>
    <w:rsid w:val="006E0044"/>
    <w:rsid w:val="006E0B30"/>
    <w:rsid w:val="006E40D8"/>
    <w:rsid w:val="006E7681"/>
    <w:rsid w:val="006E7DD4"/>
    <w:rsid w:val="006E7F93"/>
    <w:rsid w:val="006F062B"/>
    <w:rsid w:val="006F0E13"/>
    <w:rsid w:val="006F57A6"/>
    <w:rsid w:val="006F58DA"/>
    <w:rsid w:val="006F5D46"/>
    <w:rsid w:val="006F633C"/>
    <w:rsid w:val="006F68AD"/>
    <w:rsid w:val="006F6CC9"/>
    <w:rsid w:val="006F70D3"/>
    <w:rsid w:val="006F7A19"/>
    <w:rsid w:val="007005EF"/>
    <w:rsid w:val="007017EE"/>
    <w:rsid w:val="00704F8B"/>
    <w:rsid w:val="007064D8"/>
    <w:rsid w:val="00706B60"/>
    <w:rsid w:val="007072AB"/>
    <w:rsid w:val="0071032D"/>
    <w:rsid w:val="00711708"/>
    <w:rsid w:val="0071282C"/>
    <w:rsid w:val="007136D2"/>
    <w:rsid w:val="007149E1"/>
    <w:rsid w:val="007150B0"/>
    <w:rsid w:val="00715EF6"/>
    <w:rsid w:val="00716E6D"/>
    <w:rsid w:val="00716F30"/>
    <w:rsid w:val="00717D68"/>
    <w:rsid w:val="0072181E"/>
    <w:rsid w:val="00722419"/>
    <w:rsid w:val="007228B6"/>
    <w:rsid w:val="00722D0D"/>
    <w:rsid w:val="00727CD3"/>
    <w:rsid w:val="00730412"/>
    <w:rsid w:val="00733616"/>
    <w:rsid w:val="00734566"/>
    <w:rsid w:val="00734CE9"/>
    <w:rsid w:val="00734D13"/>
    <w:rsid w:val="00735F17"/>
    <w:rsid w:val="00740DFE"/>
    <w:rsid w:val="007416E8"/>
    <w:rsid w:val="00743A15"/>
    <w:rsid w:val="007507A2"/>
    <w:rsid w:val="00751025"/>
    <w:rsid w:val="00753CF8"/>
    <w:rsid w:val="00754362"/>
    <w:rsid w:val="00756A75"/>
    <w:rsid w:val="00757CFB"/>
    <w:rsid w:val="00760208"/>
    <w:rsid w:val="007610EC"/>
    <w:rsid w:val="00763045"/>
    <w:rsid w:val="0076391A"/>
    <w:rsid w:val="007648A6"/>
    <w:rsid w:val="0076547C"/>
    <w:rsid w:val="0077026F"/>
    <w:rsid w:val="007707F5"/>
    <w:rsid w:val="0077146B"/>
    <w:rsid w:val="007729EB"/>
    <w:rsid w:val="00773AB6"/>
    <w:rsid w:val="00773B45"/>
    <w:rsid w:val="007745DC"/>
    <w:rsid w:val="00774BDD"/>
    <w:rsid w:val="007756AC"/>
    <w:rsid w:val="00775806"/>
    <w:rsid w:val="00777D98"/>
    <w:rsid w:val="00781BC2"/>
    <w:rsid w:val="0078213D"/>
    <w:rsid w:val="0078580F"/>
    <w:rsid w:val="0078594F"/>
    <w:rsid w:val="007868B9"/>
    <w:rsid w:val="00790A40"/>
    <w:rsid w:val="00792B6C"/>
    <w:rsid w:val="007944BF"/>
    <w:rsid w:val="007A128A"/>
    <w:rsid w:val="007A48C5"/>
    <w:rsid w:val="007B0B22"/>
    <w:rsid w:val="007B1910"/>
    <w:rsid w:val="007B1950"/>
    <w:rsid w:val="007B1E1A"/>
    <w:rsid w:val="007B21C4"/>
    <w:rsid w:val="007B617C"/>
    <w:rsid w:val="007C1765"/>
    <w:rsid w:val="007C1FFA"/>
    <w:rsid w:val="007C5EAC"/>
    <w:rsid w:val="007D18E9"/>
    <w:rsid w:val="007D2ACF"/>
    <w:rsid w:val="007D692E"/>
    <w:rsid w:val="007D6E65"/>
    <w:rsid w:val="007E0493"/>
    <w:rsid w:val="007E253F"/>
    <w:rsid w:val="007E3071"/>
    <w:rsid w:val="007E3AE6"/>
    <w:rsid w:val="007E562C"/>
    <w:rsid w:val="007E5FF8"/>
    <w:rsid w:val="007E6E1A"/>
    <w:rsid w:val="007F1CD5"/>
    <w:rsid w:val="007F202C"/>
    <w:rsid w:val="007F2304"/>
    <w:rsid w:val="007F7223"/>
    <w:rsid w:val="007F75FB"/>
    <w:rsid w:val="008016E1"/>
    <w:rsid w:val="00801FC9"/>
    <w:rsid w:val="00803736"/>
    <w:rsid w:val="00803B8B"/>
    <w:rsid w:val="00803F5C"/>
    <w:rsid w:val="00804317"/>
    <w:rsid w:val="0080518B"/>
    <w:rsid w:val="00806AB0"/>
    <w:rsid w:val="0080743D"/>
    <w:rsid w:val="00811375"/>
    <w:rsid w:val="00822724"/>
    <w:rsid w:val="00823F98"/>
    <w:rsid w:val="0082631F"/>
    <w:rsid w:val="00827F10"/>
    <w:rsid w:val="00833581"/>
    <w:rsid w:val="00837F4C"/>
    <w:rsid w:val="0084243A"/>
    <w:rsid w:val="008443BF"/>
    <w:rsid w:val="00845C45"/>
    <w:rsid w:val="00846527"/>
    <w:rsid w:val="0084686C"/>
    <w:rsid w:val="00847F0D"/>
    <w:rsid w:val="0085077D"/>
    <w:rsid w:val="008509C2"/>
    <w:rsid w:val="008511FF"/>
    <w:rsid w:val="0085327B"/>
    <w:rsid w:val="008535D6"/>
    <w:rsid w:val="0085370C"/>
    <w:rsid w:val="00853F47"/>
    <w:rsid w:val="00854611"/>
    <w:rsid w:val="0085591F"/>
    <w:rsid w:val="00855C6A"/>
    <w:rsid w:val="00857176"/>
    <w:rsid w:val="00857248"/>
    <w:rsid w:val="00857E65"/>
    <w:rsid w:val="00860676"/>
    <w:rsid w:val="00862BCC"/>
    <w:rsid w:val="00863BD7"/>
    <w:rsid w:val="00863CDC"/>
    <w:rsid w:val="008653F0"/>
    <w:rsid w:val="00867BB1"/>
    <w:rsid w:val="0087072D"/>
    <w:rsid w:val="0087127F"/>
    <w:rsid w:val="008723E4"/>
    <w:rsid w:val="008733AC"/>
    <w:rsid w:val="00874457"/>
    <w:rsid w:val="00874653"/>
    <w:rsid w:val="00875B57"/>
    <w:rsid w:val="00876548"/>
    <w:rsid w:val="0087655E"/>
    <w:rsid w:val="00876A8E"/>
    <w:rsid w:val="0087701A"/>
    <w:rsid w:val="00877539"/>
    <w:rsid w:val="00882BC1"/>
    <w:rsid w:val="008832B9"/>
    <w:rsid w:val="0088636A"/>
    <w:rsid w:val="008937CB"/>
    <w:rsid w:val="00894D4F"/>
    <w:rsid w:val="00895B1A"/>
    <w:rsid w:val="00896862"/>
    <w:rsid w:val="008A094D"/>
    <w:rsid w:val="008A2009"/>
    <w:rsid w:val="008A26C7"/>
    <w:rsid w:val="008A4C7C"/>
    <w:rsid w:val="008A50A3"/>
    <w:rsid w:val="008A6072"/>
    <w:rsid w:val="008A6EC7"/>
    <w:rsid w:val="008A7612"/>
    <w:rsid w:val="008A7F2B"/>
    <w:rsid w:val="008B094F"/>
    <w:rsid w:val="008B15B7"/>
    <w:rsid w:val="008B17A7"/>
    <w:rsid w:val="008B2988"/>
    <w:rsid w:val="008B3236"/>
    <w:rsid w:val="008B3EC7"/>
    <w:rsid w:val="008B3F1C"/>
    <w:rsid w:val="008B455B"/>
    <w:rsid w:val="008B4D34"/>
    <w:rsid w:val="008B5585"/>
    <w:rsid w:val="008B58BD"/>
    <w:rsid w:val="008B6AC6"/>
    <w:rsid w:val="008B6C37"/>
    <w:rsid w:val="008B7723"/>
    <w:rsid w:val="008B7EA9"/>
    <w:rsid w:val="008C0B24"/>
    <w:rsid w:val="008C0C13"/>
    <w:rsid w:val="008C1C0F"/>
    <w:rsid w:val="008C238A"/>
    <w:rsid w:val="008C7F22"/>
    <w:rsid w:val="008D208A"/>
    <w:rsid w:val="008D291B"/>
    <w:rsid w:val="008D40FD"/>
    <w:rsid w:val="008D5593"/>
    <w:rsid w:val="008D5994"/>
    <w:rsid w:val="008D6C8E"/>
    <w:rsid w:val="008D6EEF"/>
    <w:rsid w:val="008D72FD"/>
    <w:rsid w:val="008E0709"/>
    <w:rsid w:val="008E1E19"/>
    <w:rsid w:val="008E341D"/>
    <w:rsid w:val="008F0729"/>
    <w:rsid w:val="008F0CE0"/>
    <w:rsid w:val="008F2FAB"/>
    <w:rsid w:val="008F3CD6"/>
    <w:rsid w:val="008F51B1"/>
    <w:rsid w:val="008F602C"/>
    <w:rsid w:val="008F642E"/>
    <w:rsid w:val="008F6A4F"/>
    <w:rsid w:val="008F7FCB"/>
    <w:rsid w:val="00901088"/>
    <w:rsid w:val="0090126A"/>
    <w:rsid w:val="0090342F"/>
    <w:rsid w:val="00903CED"/>
    <w:rsid w:val="009049F9"/>
    <w:rsid w:val="00906891"/>
    <w:rsid w:val="00906EF2"/>
    <w:rsid w:val="00910031"/>
    <w:rsid w:val="0091095E"/>
    <w:rsid w:val="009114B4"/>
    <w:rsid w:val="00913623"/>
    <w:rsid w:val="00917335"/>
    <w:rsid w:val="0091765A"/>
    <w:rsid w:val="00920589"/>
    <w:rsid w:val="0092372F"/>
    <w:rsid w:val="00923734"/>
    <w:rsid w:val="00927502"/>
    <w:rsid w:val="009339CF"/>
    <w:rsid w:val="009409C4"/>
    <w:rsid w:val="00941352"/>
    <w:rsid w:val="00941FCB"/>
    <w:rsid w:val="009439ED"/>
    <w:rsid w:val="00943CC2"/>
    <w:rsid w:val="0094570A"/>
    <w:rsid w:val="009464F6"/>
    <w:rsid w:val="0095018A"/>
    <w:rsid w:val="009502D4"/>
    <w:rsid w:val="00952307"/>
    <w:rsid w:val="009525E0"/>
    <w:rsid w:val="00952B19"/>
    <w:rsid w:val="0095550F"/>
    <w:rsid w:val="00955BD2"/>
    <w:rsid w:val="00955E38"/>
    <w:rsid w:val="00956679"/>
    <w:rsid w:val="00962253"/>
    <w:rsid w:val="00962570"/>
    <w:rsid w:val="00963FD0"/>
    <w:rsid w:val="0096515A"/>
    <w:rsid w:val="009703C1"/>
    <w:rsid w:val="0097119C"/>
    <w:rsid w:val="00972D7A"/>
    <w:rsid w:val="00972F54"/>
    <w:rsid w:val="009731E3"/>
    <w:rsid w:val="00973E24"/>
    <w:rsid w:val="00975643"/>
    <w:rsid w:val="00975FF3"/>
    <w:rsid w:val="00977737"/>
    <w:rsid w:val="00977C74"/>
    <w:rsid w:val="00980EC4"/>
    <w:rsid w:val="00980ED5"/>
    <w:rsid w:val="00980F96"/>
    <w:rsid w:val="00981D81"/>
    <w:rsid w:val="0098313D"/>
    <w:rsid w:val="00983567"/>
    <w:rsid w:val="00983705"/>
    <w:rsid w:val="00987F9B"/>
    <w:rsid w:val="009932A4"/>
    <w:rsid w:val="009948ED"/>
    <w:rsid w:val="00996A79"/>
    <w:rsid w:val="009A0155"/>
    <w:rsid w:val="009A22B8"/>
    <w:rsid w:val="009A2B04"/>
    <w:rsid w:val="009A2E76"/>
    <w:rsid w:val="009A4B55"/>
    <w:rsid w:val="009B0787"/>
    <w:rsid w:val="009B22AA"/>
    <w:rsid w:val="009B2F3F"/>
    <w:rsid w:val="009B3809"/>
    <w:rsid w:val="009B3C2A"/>
    <w:rsid w:val="009B44B1"/>
    <w:rsid w:val="009B4ACE"/>
    <w:rsid w:val="009B5C2F"/>
    <w:rsid w:val="009B5D5A"/>
    <w:rsid w:val="009C0AF9"/>
    <w:rsid w:val="009C2501"/>
    <w:rsid w:val="009C2538"/>
    <w:rsid w:val="009C508B"/>
    <w:rsid w:val="009C7316"/>
    <w:rsid w:val="009C7E39"/>
    <w:rsid w:val="009D25C2"/>
    <w:rsid w:val="009D3284"/>
    <w:rsid w:val="009D475D"/>
    <w:rsid w:val="009D4D43"/>
    <w:rsid w:val="009D51B7"/>
    <w:rsid w:val="009D61C6"/>
    <w:rsid w:val="009D676E"/>
    <w:rsid w:val="009D73A9"/>
    <w:rsid w:val="009E039E"/>
    <w:rsid w:val="009E23EE"/>
    <w:rsid w:val="009E2E65"/>
    <w:rsid w:val="009E354C"/>
    <w:rsid w:val="009E394C"/>
    <w:rsid w:val="009E3A69"/>
    <w:rsid w:val="009E6C84"/>
    <w:rsid w:val="009E734C"/>
    <w:rsid w:val="009E7D7B"/>
    <w:rsid w:val="009F2214"/>
    <w:rsid w:val="009F370C"/>
    <w:rsid w:val="009F3CC6"/>
    <w:rsid w:val="009F556D"/>
    <w:rsid w:val="009F5B95"/>
    <w:rsid w:val="009F675D"/>
    <w:rsid w:val="00A004EB"/>
    <w:rsid w:val="00A075DF"/>
    <w:rsid w:val="00A16F89"/>
    <w:rsid w:val="00A1724F"/>
    <w:rsid w:val="00A17737"/>
    <w:rsid w:val="00A202FD"/>
    <w:rsid w:val="00A2571F"/>
    <w:rsid w:val="00A2643F"/>
    <w:rsid w:val="00A2680F"/>
    <w:rsid w:val="00A26A1F"/>
    <w:rsid w:val="00A311CF"/>
    <w:rsid w:val="00A31EF0"/>
    <w:rsid w:val="00A33500"/>
    <w:rsid w:val="00A33A33"/>
    <w:rsid w:val="00A33DB0"/>
    <w:rsid w:val="00A346FF"/>
    <w:rsid w:val="00A347F5"/>
    <w:rsid w:val="00A34AF6"/>
    <w:rsid w:val="00A34C31"/>
    <w:rsid w:val="00A35DEF"/>
    <w:rsid w:val="00A4095E"/>
    <w:rsid w:val="00A409EC"/>
    <w:rsid w:val="00A40D4F"/>
    <w:rsid w:val="00A4340A"/>
    <w:rsid w:val="00A43EF2"/>
    <w:rsid w:val="00A448D6"/>
    <w:rsid w:val="00A44AC6"/>
    <w:rsid w:val="00A479A7"/>
    <w:rsid w:val="00A47CA9"/>
    <w:rsid w:val="00A5016B"/>
    <w:rsid w:val="00A540F4"/>
    <w:rsid w:val="00A607E4"/>
    <w:rsid w:val="00A62522"/>
    <w:rsid w:val="00A62EA7"/>
    <w:rsid w:val="00A63677"/>
    <w:rsid w:val="00A6408B"/>
    <w:rsid w:val="00A64808"/>
    <w:rsid w:val="00A66E4E"/>
    <w:rsid w:val="00A72D8D"/>
    <w:rsid w:val="00A741D4"/>
    <w:rsid w:val="00A751CF"/>
    <w:rsid w:val="00A774AD"/>
    <w:rsid w:val="00A808F6"/>
    <w:rsid w:val="00A8132D"/>
    <w:rsid w:val="00A82FD8"/>
    <w:rsid w:val="00A8313E"/>
    <w:rsid w:val="00A8343B"/>
    <w:rsid w:val="00A84B33"/>
    <w:rsid w:val="00A852B0"/>
    <w:rsid w:val="00A86F1B"/>
    <w:rsid w:val="00A8761D"/>
    <w:rsid w:val="00A87C0E"/>
    <w:rsid w:val="00A92554"/>
    <w:rsid w:val="00A92EF2"/>
    <w:rsid w:val="00A9489D"/>
    <w:rsid w:val="00A9507F"/>
    <w:rsid w:val="00A950E5"/>
    <w:rsid w:val="00A95396"/>
    <w:rsid w:val="00A95B43"/>
    <w:rsid w:val="00A97A33"/>
    <w:rsid w:val="00A97C8A"/>
    <w:rsid w:val="00AA2403"/>
    <w:rsid w:val="00AA4C24"/>
    <w:rsid w:val="00AB1EA0"/>
    <w:rsid w:val="00AB3FFD"/>
    <w:rsid w:val="00AC1277"/>
    <w:rsid w:val="00AC2655"/>
    <w:rsid w:val="00AC2821"/>
    <w:rsid w:val="00AC3345"/>
    <w:rsid w:val="00AC4706"/>
    <w:rsid w:val="00AC5DDD"/>
    <w:rsid w:val="00AC787A"/>
    <w:rsid w:val="00AC78FE"/>
    <w:rsid w:val="00AD25F8"/>
    <w:rsid w:val="00AD263A"/>
    <w:rsid w:val="00AD26B0"/>
    <w:rsid w:val="00AD2B54"/>
    <w:rsid w:val="00AD31C9"/>
    <w:rsid w:val="00AD5300"/>
    <w:rsid w:val="00AD53D7"/>
    <w:rsid w:val="00AD7014"/>
    <w:rsid w:val="00AD7B90"/>
    <w:rsid w:val="00AE0781"/>
    <w:rsid w:val="00AE0D56"/>
    <w:rsid w:val="00AE3DB0"/>
    <w:rsid w:val="00AE4774"/>
    <w:rsid w:val="00AE7136"/>
    <w:rsid w:val="00AF277E"/>
    <w:rsid w:val="00AF2F36"/>
    <w:rsid w:val="00AF304E"/>
    <w:rsid w:val="00AF6A7C"/>
    <w:rsid w:val="00AF7A03"/>
    <w:rsid w:val="00B0027D"/>
    <w:rsid w:val="00B00447"/>
    <w:rsid w:val="00B034B2"/>
    <w:rsid w:val="00B05CCA"/>
    <w:rsid w:val="00B05D5E"/>
    <w:rsid w:val="00B127A9"/>
    <w:rsid w:val="00B131AC"/>
    <w:rsid w:val="00B13E1E"/>
    <w:rsid w:val="00B15360"/>
    <w:rsid w:val="00B176D8"/>
    <w:rsid w:val="00B17F2D"/>
    <w:rsid w:val="00B20663"/>
    <w:rsid w:val="00B215D9"/>
    <w:rsid w:val="00B26DEB"/>
    <w:rsid w:val="00B26F5C"/>
    <w:rsid w:val="00B2770F"/>
    <w:rsid w:val="00B30725"/>
    <w:rsid w:val="00B3684A"/>
    <w:rsid w:val="00B368D6"/>
    <w:rsid w:val="00B41999"/>
    <w:rsid w:val="00B42177"/>
    <w:rsid w:val="00B43BE6"/>
    <w:rsid w:val="00B45DA3"/>
    <w:rsid w:val="00B47814"/>
    <w:rsid w:val="00B50F8A"/>
    <w:rsid w:val="00B52BDB"/>
    <w:rsid w:val="00B5399F"/>
    <w:rsid w:val="00B54403"/>
    <w:rsid w:val="00B54551"/>
    <w:rsid w:val="00B552D2"/>
    <w:rsid w:val="00B55770"/>
    <w:rsid w:val="00B55AF0"/>
    <w:rsid w:val="00B55D5F"/>
    <w:rsid w:val="00B57467"/>
    <w:rsid w:val="00B607B8"/>
    <w:rsid w:val="00B63F22"/>
    <w:rsid w:val="00B65C3D"/>
    <w:rsid w:val="00B672B6"/>
    <w:rsid w:val="00B714A3"/>
    <w:rsid w:val="00B7283D"/>
    <w:rsid w:val="00B7394E"/>
    <w:rsid w:val="00B74C22"/>
    <w:rsid w:val="00B7578A"/>
    <w:rsid w:val="00B808A2"/>
    <w:rsid w:val="00B81966"/>
    <w:rsid w:val="00B82F97"/>
    <w:rsid w:val="00B86003"/>
    <w:rsid w:val="00B87956"/>
    <w:rsid w:val="00B87C41"/>
    <w:rsid w:val="00B87DE5"/>
    <w:rsid w:val="00B90574"/>
    <w:rsid w:val="00B936CC"/>
    <w:rsid w:val="00B937A9"/>
    <w:rsid w:val="00B94AB8"/>
    <w:rsid w:val="00B94C0D"/>
    <w:rsid w:val="00B96509"/>
    <w:rsid w:val="00B97A09"/>
    <w:rsid w:val="00B97C49"/>
    <w:rsid w:val="00B97C81"/>
    <w:rsid w:val="00BA0D9B"/>
    <w:rsid w:val="00BA1A07"/>
    <w:rsid w:val="00BA68A6"/>
    <w:rsid w:val="00BB0D29"/>
    <w:rsid w:val="00BB1205"/>
    <w:rsid w:val="00BB19C1"/>
    <w:rsid w:val="00BB4952"/>
    <w:rsid w:val="00BB545F"/>
    <w:rsid w:val="00BB7C10"/>
    <w:rsid w:val="00BC028D"/>
    <w:rsid w:val="00BC144C"/>
    <w:rsid w:val="00BC2149"/>
    <w:rsid w:val="00BC53B8"/>
    <w:rsid w:val="00BC6BE4"/>
    <w:rsid w:val="00BD2E70"/>
    <w:rsid w:val="00BD4FD1"/>
    <w:rsid w:val="00BD6434"/>
    <w:rsid w:val="00BD7781"/>
    <w:rsid w:val="00BE0071"/>
    <w:rsid w:val="00BE08FE"/>
    <w:rsid w:val="00BE0B7D"/>
    <w:rsid w:val="00BE2445"/>
    <w:rsid w:val="00BE2E9C"/>
    <w:rsid w:val="00BE4672"/>
    <w:rsid w:val="00BE48A7"/>
    <w:rsid w:val="00BF025E"/>
    <w:rsid w:val="00BF1656"/>
    <w:rsid w:val="00BF2BCB"/>
    <w:rsid w:val="00BF4513"/>
    <w:rsid w:val="00BF575B"/>
    <w:rsid w:val="00C00837"/>
    <w:rsid w:val="00C00998"/>
    <w:rsid w:val="00C07448"/>
    <w:rsid w:val="00C077F3"/>
    <w:rsid w:val="00C10B69"/>
    <w:rsid w:val="00C1152F"/>
    <w:rsid w:val="00C125B0"/>
    <w:rsid w:val="00C1480B"/>
    <w:rsid w:val="00C1568D"/>
    <w:rsid w:val="00C15FB9"/>
    <w:rsid w:val="00C24CE7"/>
    <w:rsid w:val="00C2582C"/>
    <w:rsid w:val="00C276B9"/>
    <w:rsid w:val="00C30274"/>
    <w:rsid w:val="00C3297E"/>
    <w:rsid w:val="00C337D3"/>
    <w:rsid w:val="00C34872"/>
    <w:rsid w:val="00C34DAB"/>
    <w:rsid w:val="00C379FF"/>
    <w:rsid w:val="00C41454"/>
    <w:rsid w:val="00C4146A"/>
    <w:rsid w:val="00C43B70"/>
    <w:rsid w:val="00C45935"/>
    <w:rsid w:val="00C51CC4"/>
    <w:rsid w:val="00C524B5"/>
    <w:rsid w:val="00C529BE"/>
    <w:rsid w:val="00C53BB5"/>
    <w:rsid w:val="00C560F2"/>
    <w:rsid w:val="00C576E3"/>
    <w:rsid w:val="00C60011"/>
    <w:rsid w:val="00C60BC9"/>
    <w:rsid w:val="00C61DF9"/>
    <w:rsid w:val="00C62617"/>
    <w:rsid w:val="00C67369"/>
    <w:rsid w:val="00C71268"/>
    <w:rsid w:val="00C732DE"/>
    <w:rsid w:val="00C73829"/>
    <w:rsid w:val="00C74467"/>
    <w:rsid w:val="00C744D9"/>
    <w:rsid w:val="00C7751F"/>
    <w:rsid w:val="00C77525"/>
    <w:rsid w:val="00C7775E"/>
    <w:rsid w:val="00C82696"/>
    <w:rsid w:val="00C83079"/>
    <w:rsid w:val="00C84E6B"/>
    <w:rsid w:val="00C85C30"/>
    <w:rsid w:val="00C86F53"/>
    <w:rsid w:val="00C94F5A"/>
    <w:rsid w:val="00C950AA"/>
    <w:rsid w:val="00C9579B"/>
    <w:rsid w:val="00CA3D5F"/>
    <w:rsid w:val="00CA591A"/>
    <w:rsid w:val="00CA66C5"/>
    <w:rsid w:val="00CA7091"/>
    <w:rsid w:val="00CB0A32"/>
    <w:rsid w:val="00CB4722"/>
    <w:rsid w:val="00CB7AD1"/>
    <w:rsid w:val="00CB7ADC"/>
    <w:rsid w:val="00CC0CC2"/>
    <w:rsid w:val="00CC14AD"/>
    <w:rsid w:val="00CC1DAD"/>
    <w:rsid w:val="00CC56B5"/>
    <w:rsid w:val="00CC6288"/>
    <w:rsid w:val="00CC6C1F"/>
    <w:rsid w:val="00CD14A6"/>
    <w:rsid w:val="00CD4069"/>
    <w:rsid w:val="00CD45AB"/>
    <w:rsid w:val="00CD6411"/>
    <w:rsid w:val="00CD6C4A"/>
    <w:rsid w:val="00CE2060"/>
    <w:rsid w:val="00CE56B6"/>
    <w:rsid w:val="00CE5F53"/>
    <w:rsid w:val="00CE6DFC"/>
    <w:rsid w:val="00CE78B2"/>
    <w:rsid w:val="00CE79E4"/>
    <w:rsid w:val="00CF108F"/>
    <w:rsid w:val="00CF1E7B"/>
    <w:rsid w:val="00CF333F"/>
    <w:rsid w:val="00CF3F41"/>
    <w:rsid w:val="00CF7992"/>
    <w:rsid w:val="00D001A1"/>
    <w:rsid w:val="00D00E35"/>
    <w:rsid w:val="00D02DA5"/>
    <w:rsid w:val="00D03D3B"/>
    <w:rsid w:val="00D048D1"/>
    <w:rsid w:val="00D04D4D"/>
    <w:rsid w:val="00D13AA4"/>
    <w:rsid w:val="00D13BB1"/>
    <w:rsid w:val="00D14B9B"/>
    <w:rsid w:val="00D20A43"/>
    <w:rsid w:val="00D2323B"/>
    <w:rsid w:val="00D2402F"/>
    <w:rsid w:val="00D25462"/>
    <w:rsid w:val="00D25D2C"/>
    <w:rsid w:val="00D264A2"/>
    <w:rsid w:val="00D26BF9"/>
    <w:rsid w:val="00D26FE5"/>
    <w:rsid w:val="00D307E1"/>
    <w:rsid w:val="00D31B60"/>
    <w:rsid w:val="00D36252"/>
    <w:rsid w:val="00D36A2B"/>
    <w:rsid w:val="00D36DA1"/>
    <w:rsid w:val="00D41292"/>
    <w:rsid w:val="00D43179"/>
    <w:rsid w:val="00D44723"/>
    <w:rsid w:val="00D447BF"/>
    <w:rsid w:val="00D44FD4"/>
    <w:rsid w:val="00D46359"/>
    <w:rsid w:val="00D53B7B"/>
    <w:rsid w:val="00D54190"/>
    <w:rsid w:val="00D553D6"/>
    <w:rsid w:val="00D5656D"/>
    <w:rsid w:val="00D57220"/>
    <w:rsid w:val="00D57841"/>
    <w:rsid w:val="00D57905"/>
    <w:rsid w:val="00D57DB6"/>
    <w:rsid w:val="00D601E3"/>
    <w:rsid w:val="00D617E1"/>
    <w:rsid w:val="00D62F99"/>
    <w:rsid w:val="00D64202"/>
    <w:rsid w:val="00D64310"/>
    <w:rsid w:val="00D64339"/>
    <w:rsid w:val="00D65AC6"/>
    <w:rsid w:val="00D65F0E"/>
    <w:rsid w:val="00D66FB3"/>
    <w:rsid w:val="00D672B2"/>
    <w:rsid w:val="00D72ABB"/>
    <w:rsid w:val="00D74ACD"/>
    <w:rsid w:val="00D768F2"/>
    <w:rsid w:val="00D83577"/>
    <w:rsid w:val="00D83AFE"/>
    <w:rsid w:val="00D846B6"/>
    <w:rsid w:val="00D85519"/>
    <w:rsid w:val="00D86471"/>
    <w:rsid w:val="00D915A2"/>
    <w:rsid w:val="00D91809"/>
    <w:rsid w:val="00D92109"/>
    <w:rsid w:val="00D9388E"/>
    <w:rsid w:val="00D9510B"/>
    <w:rsid w:val="00DA1589"/>
    <w:rsid w:val="00DA187C"/>
    <w:rsid w:val="00DA2484"/>
    <w:rsid w:val="00DA2E4D"/>
    <w:rsid w:val="00DA3680"/>
    <w:rsid w:val="00DB1622"/>
    <w:rsid w:val="00DB2342"/>
    <w:rsid w:val="00DB2BCF"/>
    <w:rsid w:val="00DB3B57"/>
    <w:rsid w:val="00DB4C21"/>
    <w:rsid w:val="00DB6B35"/>
    <w:rsid w:val="00DB7A5E"/>
    <w:rsid w:val="00DC00F5"/>
    <w:rsid w:val="00DC075D"/>
    <w:rsid w:val="00DC3316"/>
    <w:rsid w:val="00DC5D57"/>
    <w:rsid w:val="00DC79C8"/>
    <w:rsid w:val="00DD006C"/>
    <w:rsid w:val="00DD0350"/>
    <w:rsid w:val="00DD2307"/>
    <w:rsid w:val="00DD356B"/>
    <w:rsid w:val="00DD3947"/>
    <w:rsid w:val="00DD68B9"/>
    <w:rsid w:val="00DD7EF4"/>
    <w:rsid w:val="00DE002A"/>
    <w:rsid w:val="00DE0A37"/>
    <w:rsid w:val="00DE1182"/>
    <w:rsid w:val="00DE1371"/>
    <w:rsid w:val="00DE1AF6"/>
    <w:rsid w:val="00DE54C8"/>
    <w:rsid w:val="00DF0CFA"/>
    <w:rsid w:val="00DF1386"/>
    <w:rsid w:val="00DF1ACA"/>
    <w:rsid w:val="00DF1F21"/>
    <w:rsid w:val="00DF1FA7"/>
    <w:rsid w:val="00DF5C07"/>
    <w:rsid w:val="00DF5D71"/>
    <w:rsid w:val="00DF6619"/>
    <w:rsid w:val="00DF6EDF"/>
    <w:rsid w:val="00DF7D58"/>
    <w:rsid w:val="00E00012"/>
    <w:rsid w:val="00E048D1"/>
    <w:rsid w:val="00E04A6E"/>
    <w:rsid w:val="00E055A0"/>
    <w:rsid w:val="00E05D20"/>
    <w:rsid w:val="00E06D89"/>
    <w:rsid w:val="00E070FC"/>
    <w:rsid w:val="00E1067F"/>
    <w:rsid w:val="00E14259"/>
    <w:rsid w:val="00E2294A"/>
    <w:rsid w:val="00E22984"/>
    <w:rsid w:val="00E23C26"/>
    <w:rsid w:val="00E23CE9"/>
    <w:rsid w:val="00E2478A"/>
    <w:rsid w:val="00E27BC6"/>
    <w:rsid w:val="00E30907"/>
    <w:rsid w:val="00E32F6B"/>
    <w:rsid w:val="00E3363A"/>
    <w:rsid w:val="00E33C88"/>
    <w:rsid w:val="00E37A62"/>
    <w:rsid w:val="00E41C0B"/>
    <w:rsid w:val="00E41F03"/>
    <w:rsid w:val="00E4290D"/>
    <w:rsid w:val="00E42CEA"/>
    <w:rsid w:val="00E506C2"/>
    <w:rsid w:val="00E513A6"/>
    <w:rsid w:val="00E52A61"/>
    <w:rsid w:val="00E535AD"/>
    <w:rsid w:val="00E55E87"/>
    <w:rsid w:val="00E567F5"/>
    <w:rsid w:val="00E6235E"/>
    <w:rsid w:val="00E62440"/>
    <w:rsid w:val="00E65DBF"/>
    <w:rsid w:val="00E66FE6"/>
    <w:rsid w:val="00E676D2"/>
    <w:rsid w:val="00E736DE"/>
    <w:rsid w:val="00E76806"/>
    <w:rsid w:val="00E80159"/>
    <w:rsid w:val="00E8094C"/>
    <w:rsid w:val="00E82827"/>
    <w:rsid w:val="00E84E2D"/>
    <w:rsid w:val="00E84ECB"/>
    <w:rsid w:val="00E8776A"/>
    <w:rsid w:val="00E90E97"/>
    <w:rsid w:val="00E911AC"/>
    <w:rsid w:val="00EA186F"/>
    <w:rsid w:val="00EA3E08"/>
    <w:rsid w:val="00EA4953"/>
    <w:rsid w:val="00EA4B10"/>
    <w:rsid w:val="00EB06AC"/>
    <w:rsid w:val="00EB06E2"/>
    <w:rsid w:val="00EB208B"/>
    <w:rsid w:val="00EB22E6"/>
    <w:rsid w:val="00EB4E45"/>
    <w:rsid w:val="00EB6100"/>
    <w:rsid w:val="00EB62E7"/>
    <w:rsid w:val="00EC0095"/>
    <w:rsid w:val="00EC07F2"/>
    <w:rsid w:val="00EC1B6C"/>
    <w:rsid w:val="00EC20EE"/>
    <w:rsid w:val="00EC2215"/>
    <w:rsid w:val="00EC425F"/>
    <w:rsid w:val="00EC5FB2"/>
    <w:rsid w:val="00EC6DD4"/>
    <w:rsid w:val="00EC7314"/>
    <w:rsid w:val="00ED010B"/>
    <w:rsid w:val="00ED5EF4"/>
    <w:rsid w:val="00ED7A6B"/>
    <w:rsid w:val="00EE1240"/>
    <w:rsid w:val="00EE1967"/>
    <w:rsid w:val="00EE25C8"/>
    <w:rsid w:val="00EE7D40"/>
    <w:rsid w:val="00EF1780"/>
    <w:rsid w:val="00EF2278"/>
    <w:rsid w:val="00EF4C3E"/>
    <w:rsid w:val="00EF5464"/>
    <w:rsid w:val="00EF5F38"/>
    <w:rsid w:val="00EF60A9"/>
    <w:rsid w:val="00EF63FF"/>
    <w:rsid w:val="00EF6495"/>
    <w:rsid w:val="00EF65A6"/>
    <w:rsid w:val="00EF761F"/>
    <w:rsid w:val="00F037AA"/>
    <w:rsid w:val="00F0492A"/>
    <w:rsid w:val="00F10137"/>
    <w:rsid w:val="00F11D16"/>
    <w:rsid w:val="00F167C8"/>
    <w:rsid w:val="00F16AB7"/>
    <w:rsid w:val="00F17AF0"/>
    <w:rsid w:val="00F20D6F"/>
    <w:rsid w:val="00F214EC"/>
    <w:rsid w:val="00F2470E"/>
    <w:rsid w:val="00F24938"/>
    <w:rsid w:val="00F2643A"/>
    <w:rsid w:val="00F26B26"/>
    <w:rsid w:val="00F30271"/>
    <w:rsid w:val="00F32F63"/>
    <w:rsid w:val="00F356F5"/>
    <w:rsid w:val="00F35D63"/>
    <w:rsid w:val="00F363E9"/>
    <w:rsid w:val="00F3691B"/>
    <w:rsid w:val="00F36E91"/>
    <w:rsid w:val="00F371B6"/>
    <w:rsid w:val="00F4037D"/>
    <w:rsid w:val="00F41B95"/>
    <w:rsid w:val="00F4333F"/>
    <w:rsid w:val="00F43794"/>
    <w:rsid w:val="00F43A82"/>
    <w:rsid w:val="00F44E0F"/>
    <w:rsid w:val="00F463E9"/>
    <w:rsid w:val="00F47241"/>
    <w:rsid w:val="00F4731D"/>
    <w:rsid w:val="00F50D8B"/>
    <w:rsid w:val="00F5196C"/>
    <w:rsid w:val="00F520B1"/>
    <w:rsid w:val="00F553E1"/>
    <w:rsid w:val="00F56181"/>
    <w:rsid w:val="00F5672F"/>
    <w:rsid w:val="00F610CA"/>
    <w:rsid w:val="00F617F8"/>
    <w:rsid w:val="00F6241F"/>
    <w:rsid w:val="00F6257B"/>
    <w:rsid w:val="00F63C2E"/>
    <w:rsid w:val="00F652B4"/>
    <w:rsid w:val="00F65F1A"/>
    <w:rsid w:val="00F67089"/>
    <w:rsid w:val="00F675FA"/>
    <w:rsid w:val="00F7032E"/>
    <w:rsid w:val="00F707A4"/>
    <w:rsid w:val="00F709A1"/>
    <w:rsid w:val="00F70B4D"/>
    <w:rsid w:val="00F752EA"/>
    <w:rsid w:val="00F75454"/>
    <w:rsid w:val="00F75490"/>
    <w:rsid w:val="00F76D0E"/>
    <w:rsid w:val="00F775B1"/>
    <w:rsid w:val="00F82B59"/>
    <w:rsid w:val="00F8373A"/>
    <w:rsid w:val="00F83B27"/>
    <w:rsid w:val="00F8488B"/>
    <w:rsid w:val="00F84C38"/>
    <w:rsid w:val="00F905BE"/>
    <w:rsid w:val="00F9066F"/>
    <w:rsid w:val="00F90918"/>
    <w:rsid w:val="00F9163F"/>
    <w:rsid w:val="00F93423"/>
    <w:rsid w:val="00F946E2"/>
    <w:rsid w:val="00F96A31"/>
    <w:rsid w:val="00FA24B5"/>
    <w:rsid w:val="00FA5151"/>
    <w:rsid w:val="00FA5B30"/>
    <w:rsid w:val="00FA71B0"/>
    <w:rsid w:val="00FA71D0"/>
    <w:rsid w:val="00FA7DD0"/>
    <w:rsid w:val="00FB0212"/>
    <w:rsid w:val="00FB0D85"/>
    <w:rsid w:val="00FB1494"/>
    <w:rsid w:val="00FB19B4"/>
    <w:rsid w:val="00FB46B0"/>
    <w:rsid w:val="00FB57CC"/>
    <w:rsid w:val="00FB5CAC"/>
    <w:rsid w:val="00FB7AF7"/>
    <w:rsid w:val="00FB7B5B"/>
    <w:rsid w:val="00FC04A3"/>
    <w:rsid w:val="00FC1C18"/>
    <w:rsid w:val="00FC2115"/>
    <w:rsid w:val="00FC353F"/>
    <w:rsid w:val="00FC3617"/>
    <w:rsid w:val="00FC380B"/>
    <w:rsid w:val="00FC441C"/>
    <w:rsid w:val="00FC6BF5"/>
    <w:rsid w:val="00FC75F6"/>
    <w:rsid w:val="00FC7C43"/>
    <w:rsid w:val="00FD1B7E"/>
    <w:rsid w:val="00FD24E5"/>
    <w:rsid w:val="00FD39BF"/>
    <w:rsid w:val="00FD4D43"/>
    <w:rsid w:val="00FD5552"/>
    <w:rsid w:val="00FD6DCC"/>
    <w:rsid w:val="00FE7A19"/>
    <w:rsid w:val="00FF4F38"/>
    <w:rsid w:val="00FF66BC"/>
    <w:rsid w:val="00FF77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87"/>
    <w:rPr>
      <w:sz w:val="24"/>
      <w:szCs w:val="24"/>
      <w:lang w:val="lv-LV" w:eastAsia="lv-LV"/>
    </w:rPr>
  </w:style>
  <w:style w:type="paragraph" w:styleId="Heading3">
    <w:name w:val="heading 3"/>
    <w:basedOn w:val="Normal"/>
    <w:link w:val="Heading3Char"/>
    <w:uiPriority w:val="9"/>
    <w:qFormat/>
    <w:rsid w:val="00C008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C2821"/>
    <w:pPr>
      <w:spacing w:before="150" w:after="150"/>
      <w:jc w:val="center"/>
    </w:pPr>
    <w:rPr>
      <w:b/>
      <w:bCs/>
    </w:rPr>
  </w:style>
  <w:style w:type="paragraph" w:customStyle="1" w:styleId="naisf">
    <w:name w:val="naisf"/>
    <w:basedOn w:val="Normal"/>
    <w:rsid w:val="00AC2821"/>
    <w:pPr>
      <w:spacing w:before="75" w:after="75"/>
      <w:ind w:firstLine="375"/>
      <w:jc w:val="both"/>
    </w:pPr>
  </w:style>
  <w:style w:type="paragraph" w:customStyle="1" w:styleId="naislab">
    <w:name w:val="naislab"/>
    <w:basedOn w:val="Normal"/>
    <w:rsid w:val="00AC2821"/>
    <w:pPr>
      <w:spacing w:before="75" w:after="75"/>
      <w:jc w:val="right"/>
    </w:pPr>
  </w:style>
  <w:style w:type="paragraph" w:customStyle="1" w:styleId="naiskr">
    <w:name w:val="naiskr"/>
    <w:basedOn w:val="Normal"/>
    <w:rsid w:val="00AC2821"/>
    <w:pPr>
      <w:spacing w:before="75" w:after="75"/>
    </w:pPr>
  </w:style>
  <w:style w:type="paragraph" w:customStyle="1" w:styleId="naisc">
    <w:name w:val="naisc"/>
    <w:basedOn w:val="Normal"/>
    <w:rsid w:val="00AC2821"/>
    <w:pPr>
      <w:spacing w:before="75" w:after="75"/>
      <w:jc w:val="center"/>
    </w:pPr>
  </w:style>
  <w:style w:type="character" w:styleId="Hyperlink">
    <w:name w:val="Hyperlink"/>
    <w:rsid w:val="00AC2821"/>
    <w:rPr>
      <w:color w:val="0000FF"/>
      <w:u w:val="single"/>
    </w:rPr>
  </w:style>
  <w:style w:type="paragraph" w:styleId="Header">
    <w:name w:val="header"/>
    <w:basedOn w:val="Normal"/>
    <w:rsid w:val="00AC2821"/>
    <w:pPr>
      <w:tabs>
        <w:tab w:val="center" w:pos="4153"/>
        <w:tab w:val="right" w:pos="8306"/>
      </w:tabs>
    </w:pPr>
  </w:style>
  <w:style w:type="paragraph" w:styleId="Footer">
    <w:name w:val="footer"/>
    <w:basedOn w:val="Normal"/>
    <w:link w:val="FooterChar"/>
    <w:uiPriority w:val="99"/>
    <w:rsid w:val="00AC2821"/>
    <w:pPr>
      <w:tabs>
        <w:tab w:val="center" w:pos="4153"/>
        <w:tab w:val="right" w:pos="8306"/>
      </w:tabs>
    </w:pPr>
  </w:style>
  <w:style w:type="character" w:styleId="PageNumber">
    <w:name w:val="page number"/>
    <w:basedOn w:val="DefaultParagraphFont"/>
    <w:rsid w:val="00AC2821"/>
  </w:style>
  <w:style w:type="character" w:styleId="Strong">
    <w:name w:val="Strong"/>
    <w:qFormat/>
    <w:rsid w:val="0001202C"/>
    <w:rPr>
      <w:b/>
      <w:bCs/>
    </w:rPr>
  </w:style>
  <w:style w:type="paragraph" w:styleId="BalloonText">
    <w:name w:val="Balloon Text"/>
    <w:basedOn w:val="Normal"/>
    <w:semiHidden/>
    <w:rsid w:val="007D18E9"/>
    <w:rPr>
      <w:rFonts w:ascii="Tahoma" w:hAnsi="Tahoma" w:cs="Tahoma"/>
      <w:sz w:val="16"/>
      <w:szCs w:val="16"/>
    </w:rPr>
  </w:style>
  <w:style w:type="character" w:customStyle="1" w:styleId="Heading3Char">
    <w:name w:val="Heading 3 Char"/>
    <w:link w:val="Heading3"/>
    <w:uiPriority w:val="9"/>
    <w:rsid w:val="00C00837"/>
    <w:rPr>
      <w:b/>
      <w:bCs/>
      <w:sz w:val="27"/>
      <w:szCs w:val="27"/>
      <w:lang w:val="lv-LV" w:eastAsia="lv-LV"/>
    </w:rPr>
  </w:style>
  <w:style w:type="paragraph" w:styleId="BodyText">
    <w:name w:val="Body Text"/>
    <w:basedOn w:val="Normal"/>
    <w:link w:val="BodyTextChar"/>
    <w:uiPriority w:val="99"/>
    <w:rsid w:val="00952307"/>
    <w:pPr>
      <w:jc w:val="center"/>
    </w:pPr>
    <w:rPr>
      <w:rFonts w:eastAsia="Calibri"/>
      <w:b/>
      <w:sz w:val="32"/>
      <w:szCs w:val="32"/>
    </w:rPr>
  </w:style>
  <w:style w:type="character" w:customStyle="1" w:styleId="BodyTextChar">
    <w:name w:val="Body Text Char"/>
    <w:link w:val="BodyText"/>
    <w:uiPriority w:val="99"/>
    <w:rsid w:val="00952307"/>
    <w:rPr>
      <w:rFonts w:eastAsia="Calibri"/>
      <w:b/>
      <w:sz w:val="32"/>
      <w:szCs w:val="32"/>
      <w:lang w:val="lv-LV" w:eastAsia="lv-LV"/>
    </w:rPr>
  </w:style>
  <w:style w:type="character" w:styleId="CommentReference">
    <w:name w:val="annotation reference"/>
    <w:semiHidden/>
    <w:rsid w:val="009C2501"/>
    <w:rPr>
      <w:sz w:val="16"/>
      <w:szCs w:val="16"/>
    </w:rPr>
  </w:style>
  <w:style w:type="paragraph" w:styleId="CommentText">
    <w:name w:val="annotation text"/>
    <w:basedOn w:val="Normal"/>
    <w:semiHidden/>
    <w:rsid w:val="009C2501"/>
    <w:rPr>
      <w:sz w:val="20"/>
      <w:szCs w:val="20"/>
    </w:rPr>
  </w:style>
  <w:style w:type="paragraph" w:styleId="CommentSubject">
    <w:name w:val="annotation subject"/>
    <w:basedOn w:val="CommentText"/>
    <w:next w:val="CommentText"/>
    <w:semiHidden/>
    <w:rsid w:val="009C2501"/>
    <w:rPr>
      <w:b/>
      <w:bCs/>
    </w:rPr>
  </w:style>
  <w:style w:type="character" w:customStyle="1" w:styleId="spelle">
    <w:name w:val="spelle"/>
    <w:basedOn w:val="DefaultParagraphFont"/>
    <w:rsid w:val="008A6072"/>
  </w:style>
  <w:style w:type="character" w:customStyle="1" w:styleId="FooterChar">
    <w:name w:val="Footer Char"/>
    <w:link w:val="Footer"/>
    <w:uiPriority w:val="99"/>
    <w:rsid w:val="00AD25F8"/>
    <w:rPr>
      <w:sz w:val="24"/>
      <w:szCs w:val="24"/>
      <w:lang w:val="lv-LV" w:eastAsia="lv-LV"/>
    </w:rPr>
  </w:style>
  <w:style w:type="paragraph" w:styleId="DocumentMap">
    <w:name w:val="Document Map"/>
    <w:basedOn w:val="Normal"/>
    <w:link w:val="DocumentMapChar"/>
    <w:rsid w:val="00C60BC9"/>
    <w:rPr>
      <w:rFonts w:ascii="Tahoma" w:hAnsi="Tahoma" w:cs="Tahoma"/>
      <w:sz w:val="16"/>
      <w:szCs w:val="16"/>
    </w:rPr>
  </w:style>
  <w:style w:type="character" w:customStyle="1" w:styleId="DocumentMapChar">
    <w:name w:val="Document Map Char"/>
    <w:basedOn w:val="DefaultParagraphFont"/>
    <w:link w:val="DocumentMap"/>
    <w:rsid w:val="00C60BC9"/>
    <w:rPr>
      <w:rFonts w:ascii="Tahoma" w:hAnsi="Tahoma" w:cs="Tahoma"/>
      <w:sz w:val="16"/>
      <w:szCs w:val="16"/>
      <w:lang w:val="lv-LV" w:eastAsia="lv-LV"/>
    </w:rPr>
  </w:style>
  <w:style w:type="paragraph" w:customStyle="1" w:styleId="Default">
    <w:name w:val="Default"/>
    <w:rsid w:val="006674C2"/>
    <w:pPr>
      <w:autoSpaceDE w:val="0"/>
      <w:autoSpaceDN w:val="0"/>
      <w:adjustRightInd w:val="0"/>
    </w:pPr>
    <w:rPr>
      <w:color w:val="000000"/>
      <w:sz w:val="24"/>
      <w:szCs w:val="24"/>
    </w:rPr>
  </w:style>
  <w:style w:type="paragraph" w:customStyle="1" w:styleId="tvhtml">
    <w:name w:val="tv_html"/>
    <w:basedOn w:val="Normal"/>
    <w:rsid w:val="00BB7C10"/>
    <w:pPr>
      <w:spacing w:before="100" w:beforeAutospacing="1" w:after="100" w:afterAutospacing="1"/>
    </w:pPr>
    <w:rPr>
      <w:lang w:val="en-US" w:eastAsia="en-US"/>
    </w:rPr>
  </w:style>
  <w:style w:type="paragraph" w:styleId="Revision">
    <w:name w:val="Revision"/>
    <w:hidden/>
    <w:uiPriority w:val="99"/>
    <w:semiHidden/>
    <w:rsid w:val="00941352"/>
    <w:rPr>
      <w:sz w:val="24"/>
      <w:szCs w:val="24"/>
      <w:lang w:val="lv-LV" w:eastAsia="lv-LV"/>
    </w:rPr>
  </w:style>
  <w:style w:type="paragraph" w:customStyle="1" w:styleId="tv213">
    <w:name w:val="tv213"/>
    <w:basedOn w:val="Normal"/>
    <w:rsid w:val="005D46F6"/>
    <w:pPr>
      <w:spacing w:before="100" w:beforeAutospacing="1" w:after="100" w:afterAutospacing="1"/>
    </w:pPr>
  </w:style>
  <w:style w:type="paragraph" w:styleId="NormalWeb">
    <w:name w:val="Normal (Web)"/>
    <w:aliases w:val="sākums"/>
    <w:basedOn w:val="Normal"/>
    <w:uiPriority w:val="99"/>
    <w:qFormat/>
    <w:rsid w:val="003F68CD"/>
    <w:pPr>
      <w:spacing w:before="100" w:beforeAutospacing="1" w:after="100" w:afterAutospacing="1"/>
    </w:pPr>
  </w:style>
  <w:style w:type="paragraph" w:styleId="ListParagraph">
    <w:name w:val="List Paragraph"/>
    <w:basedOn w:val="Normal"/>
    <w:uiPriority w:val="34"/>
    <w:qFormat/>
    <w:rsid w:val="00FB57CC"/>
    <w:pPr>
      <w:ind w:left="720"/>
    </w:pPr>
    <w:rPr>
      <w:rFonts w:ascii="Calibri" w:eastAsiaTheme="minorHAnsi" w:hAnsi="Calibri"/>
      <w:sz w:val="22"/>
      <w:szCs w:val="22"/>
      <w:lang w:eastAsia="en-US"/>
    </w:rPr>
  </w:style>
  <w:style w:type="paragraph" w:customStyle="1" w:styleId="Heading">
    <w:name w:val="Heading"/>
    <w:basedOn w:val="Normal"/>
    <w:next w:val="BodyText"/>
    <w:rsid w:val="00412B2D"/>
    <w:pPr>
      <w:suppressAutoHyphens/>
      <w:spacing w:before="240" w:after="60"/>
      <w:ind w:firstLine="720"/>
      <w:jc w:val="center"/>
    </w:pPr>
    <w:rPr>
      <w:b/>
      <w:bCs/>
      <w:color w:val="000000"/>
      <w:sz w:val="32"/>
      <w:szCs w:val="32"/>
      <w:lang w:eastAsia="zh-CN"/>
    </w:rPr>
  </w:style>
  <w:style w:type="character" w:styleId="FollowedHyperlink">
    <w:name w:val="FollowedHyperlink"/>
    <w:basedOn w:val="DefaultParagraphFont"/>
    <w:semiHidden/>
    <w:unhideWhenUsed/>
    <w:rsid w:val="00123F7B"/>
    <w:rPr>
      <w:color w:val="800080" w:themeColor="followedHyperlink"/>
      <w:u w:val="single"/>
    </w:rPr>
  </w:style>
  <w:style w:type="paragraph" w:customStyle="1" w:styleId="input">
    <w:name w:val="input"/>
    <w:basedOn w:val="Normal"/>
    <w:uiPriority w:val="99"/>
    <w:rsid w:val="00C379FF"/>
    <w:pPr>
      <w:shd w:val="clear" w:color="auto" w:fill="F0F8F8"/>
      <w:spacing w:before="100" w:beforeAutospacing="1" w:after="100" w:afterAutospacing="1"/>
    </w:pPr>
    <w:rPr>
      <w:rFonts w:ascii="Arial" w:hAnsi="Arial" w:cs="Arial"/>
      <w:color w:val="333333"/>
    </w:rPr>
  </w:style>
</w:styles>
</file>

<file path=word/webSettings.xml><?xml version="1.0" encoding="utf-8"?>
<w:webSettings xmlns:r="http://schemas.openxmlformats.org/officeDocument/2006/relationships" xmlns:w="http://schemas.openxmlformats.org/wordprocessingml/2006/main">
  <w:divs>
    <w:div w:id="134493393">
      <w:bodyDiv w:val="1"/>
      <w:marLeft w:val="0"/>
      <w:marRight w:val="0"/>
      <w:marTop w:val="0"/>
      <w:marBottom w:val="0"/>
      <w:divBdr>
        <w:top w:val="none" w:sz="0" w:space="0" w:color="auto"/>
        <w:left w:val="none" w:sz="0" w:space="0" w:color="auto"/>
        <w:bottom w:val="none" w:sz="0" w:space="0" w:color="auto"/>
        <w:right w:val="none" w:sz="0" w:space="0" w:color="auto"/>
      </w:divBdr>
    </w:div>
    <w:div w:id="202256247">
      <w:bodyDiv w:val="1"/>
      <w:marLeft w:val="0"/>
      <w:marRight w:val="0"/>
      <w:marTop w:val="0"/>
      <w:marBottom w:val="0"/>
      <w:divBdr>
        <w:top w:val="none" w:sz="0" w:space="0" w:color="auto"/>
        <w:left w:val="none" w:sz="0" w:space="0" w:color="auto"/>
        <w:bottom w:val="none" w:sz="0" w:space="0" w:color="auto"/>
        <w:right w:val="none" w:sz="0" w:space="0" w:color="auto"/>
      </w:divBdr>
    </w:div>
    <w:div w:id="211120651">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407306818">
          <w:marLeft w:val="0"/>
          <w:marRight w:val="0"/>
          <w:marTop w:val="0"/>
          <w:marBottom w:val="0"/>
          <w:divBdr>
            <w:top w:val="none" w:sz="0" w:space="0" w:color="auto"/>
            <w:left w:val="none" w:sz="0" w:space="0" w:color="auto"/>
            <w:bottom w:val="none" w:sz="0" w:space="0" w:color="auto"/>
            <w:right w:val="none" w:sz="0" w:space="0" w:color="auto"/>
          </w:divBdr>
          <w:divsChild>
            <w:div w:id="1093357074">
              <w:marLeft w:val="0"/>
              <w:marRight w:val="0"/>
              <w:marTop w:val="0"/>
              <w:marBottom w:val="0"/>
              <w:divBdr>
                <w:top w:val="none" w:sz="0" w:space="0" w:color="auto"/>
                <w:left w:val="none" w:sz="0" w:space="0" w:color="auto"/>
                <w:bottom w:val="none" w:sz="0" w:space="0" w:color="auto"/>
                <w:right w:val="none" w:sz="0" w:space="0" w:color="auto"/>
              </w:divBdr>
              <w:divsChild>
                <w:div w:id="491024777">
                  <w:marLeft w:val="0"/>
                  <w:marRight w:val="0"/>
                  <w:marTop w:val="0"/>
                  <w:marBottom w:val="0"/>
                  <w:divBdr>
                    <w:top w:val="none" w:sz="0" w:space="0" w:color="auto"/>
                    <w:left w:val="none" w:sz="0" w:space="0" w:color="auto"/>
                    <w:bottom w:val="none" w:sz="0" w:space="0" w:color="auto"/>
                    <w:right w:val="none" w:sz="0" w:space="0" w:color="auto"/>
                  </w:divBdr>
                  <w:divsChild>
                    <w:div w:id="622925092">
                      <w:marLeft w:val="0"/>
                      <w:marRight w:val="0"/>
                      <w:marTop w:val="0"/>
                      <w:marBottom w:val="0"/>
                      <w:divBdr>
                        <w:top w:val="none" w:sz="0" w:space="0" w:color="auto"/>
                        <w:left w:val="none" w:sz="0" w:space="0" w:color="auto"/>
                        <w:bottom w:val="none" w:sz="0" w:space="0" w:color="auto"/>
                        <w:right w:val="none" w:sz="0" w:space="0" w:color="auto"/>
                      </w:divBdr>
                      <w:divsChild>
                        <w:div w:id="1426655722">
                          <w:marLeft w:val="0"/>
                          <w:marRight w:val="0"/>
                          <w:marTop w:val="300"/>
                          <w:marBottom w:val="0"/>
                          <w:divBdr>
                            <w:top w:val="none" w:sz="0" w:space="0" w:color="auto"/>
                            <w:left w:val="none" w:sz="0" w:space="0" w:color="auto"/>
                            <w:bottom w:val="none" w:sz="0" w:space="0" w:color="auto"/>
                            <w:right w:val="none" w:sz="0" w:space="0" w:color="auto"/>
                          </w:divBdr>
                          <w:divsChild>
                            <w:div w:id="1481192551">
                              <w:marLeft w:val="0"/>
                              <w:marRight w:val="0"/>
                              <w:marTop w:val="480"/>
                              <w:marBottom w:val="240"/>
                              <w:divBdr>
                                <w:top w:val="none" w:sz="0" w:space="0" w:color="auto"/>
                                <w:left w:val="none" w:sz="0" w:space="0" w:color="auto"/>
                                <w:bottom w:val="none" w:sz="0" w:space="0" w:color="auto"/>
                                <w:right w:val="none" w:sz="0" w:space="0" w:color="auto"/>
                              </w:divBdr>
                            </w:div>
                            <w:div w:id="197062122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7219">
      <w:bodyDiv w:val="1"/>
      <w:marLeft w:val="0"/>
      <w:marRight w:val="0"/>
      <w:marTop w:val="0"/>
      <w:marBottom w:val="0"/>
      <w:divBdr>
        <w:top w:val="none" w:sz="0" w:space="0" w:color="auto"/>
        <w:left w:val="none" w:sz="0" w:space="0" w:color="auto"/>
        <w:bottom w:val="none" w:sz="0" w:space="0" w:color="auto"/>
        <w:right w:val="none" w:sz="0" w:space="0" w:color="auto"/>
      </w:divBdr>
    </w:div>
    <w:div w:id="492766704">
      <w:bodyDiv w:val="1"/>
      <w:marLeft w:val="0"/>
      <w:marRight w:val="0"/>
      <w:marTop w:val="0"/>
      <w:marBottom w:val="0"/>
      <w:divBdr>
        <w:top w:val="none" w:sz="0" w:space="0" w:color="auto"/>
        <w:left w:val="none" w:sz="0" w:space="0" w:color="auto"/>
        <w:bottom w:val="none" w:sz="0" w:space="0" w:color="auto"/>
        <w:right w:val="none" w:sz="0" w:space="0" w:color="auto"/>
      </w:divBdr>
      <w:divsChild>
        <w:div w:id="575670372">
          <w:marLeft w:val="0"/>
          <w:marRight w:val="0"/>
          <w:marTop w:val="0"/>
          <w:marBottom w:val="0"/>
          <w:divBdr>
            <w:top w:val="none" w:sz="0" w:space="0" w:color="auto"/>
            <w:left w:val="none" w:sz="0" w:space="0" w:color="auto"/>
            <w:bottom w:val="none" w:sz="0" w:space="0" w:color="auto"/>
            <w:right w:val="none" w:sz="0" w:space="0" w:color="auto"/>
          </w:divBdr>
        </w:div>
        <w:div w:id="1896040335">
          <w:marLeft w:val="0"/>
          <w:marRight w:val="0"/>
          <w:marTop w:val="0"/>
          <w:marBottom w:val="0"/>
          <w:divBdr>
            <w:top w:val="none" w:sz="0" w:space="0" w:color="auto"/>
            <w:left w:val="none" w:sz="0" w:space="0" w:color="auto"/>
            <w:bottom w:val="none" w:sz="0" w:space="0" w:color="auto"/>
            <w:right w:val="none" w:sz="0" w:space="0" w:color="auto"/>
          </w:divBdr>
        </w:div>
        <w:div w:id="1216352688">
          <w:marLeft w:val="0"/>
          <w:marRight w:val="0"/>
          <w:marTop w:val="0"/>
          <w:marBottom w:val="0"/>
          <w:divBdr>
            <w:top w:val="none" w:sz="0" w:space="0" w:color="auto"/>
            <w:left w:val="none" w:sz="0" w:space="0" w:color="auto"/>
            <w:bottom w:val="none" w:sz="0" w:space="0" w:color="auto"/>
            <w:right w:val="none" w:sz="0" w:space="0" w:color="auto"/>
          </w:divBdr>
        </w:div>
        <w:div w:id="669066075">
          <w:marLeft w:val="0"/>
          <w:marRight w:val="0"/>
          <w:marTop w:val="0"/>
          <w:marBottom w:val="0"/>
          <w:divBdr>
            <w:top w:val="none" w:sz="0" w:space="0" w:color="auto"/>
            <w:left w:val="none" w:sz="0" w:space="0" w:color="auto"/>
            <w:bottom w:val="none" w:sz="0" w:space="0" w:color="auto"/>
            <w:right w:val="none" w:sz="0" w:space="0" w:color="auto"/>
          </w:divBdr>
        </w:div>
        <w:div w:id="1643346447">
          <w:marLeft w:val="0"/>
          <w:marRight w:val="0"/>
          <w:marTop w:val="0"/>
          <w:marBottom w:val="0"/>
          <w:divBdr>
            <w:top w:val="none" w:sz="0" w:space="0" w:color="auto"/>
            <w:left w:val="none" w:sz="0" w:space="0" w:color="auto"/>
            <w:bottom w:val="none" w:sz="0" w:space="0" w:color="auto"/>
            <w:right w:val="none" w:sz="0" w:space="0" w:color="auto"/>
          </w:divBdr>
        </w:div>
        <w:div w:id="818964294">
          <w:marLeft w:val="0"/>
          <w:marRight w:val="0"/>
          <w:marTop w:val="0"/>
          <w:marBottom w:val="0"/>
          <w:divBdr>
            <w:top w:val="none" w:sz="0" w:space="0" w:color="auto"/>
            <w:left w:val="none" w:sz="0" w:space="0" w:color="auto"/>
            <w:bottom w:val="none" w:sz="0" w:space="0" w:color="auto"/>
            <w:right w:val="none" w:sz="0" w:space="0" w:color="auto"/>
          </w:divBdr>
        </w:div>
      </w:divsChild>
    </w:div>
    <w:div w:id="628167849">
      <w:bodyDiv w:val="1"/>
      <w:marLeft w:val="0"/>
      <w:marRight w:val="0"/>
      <w:marTop w:val="0"/>
      <w:marBottom w:val="0"/>
      <w:divBdr>
        <w:top w:val="none" w:sz="0" w:space="0" w:color="auto"/>
        <w:left w:val="none" w:sz="0" w:space="0" w:color="auto"/>
        <w:bottom w:val="none" w:sz="0" w:space="0" w:color="auto"/>
        <w:right w:val="none" w:sz="0" w:space="0" w:color="auto"/>
      </w:divBdr>
    </w:div>
    <w:div w:id="708145661">
      <w:bodyDiv w:val="1"/>
      <w:marLeft w:val="0"/>
      <w:marRight w:val="0"/>
      <w:marTop w:val="0"/>
      <w:marBottom w:val="0"/>
      <w:divBdr>
        <w:top w:val="none" w:sz="0" w:space="0" w:color="auto"/>
        <w:left w:val="none" w:sz="0" w:space="0" w:color="auto"/>
        <w:bottom w:val="none" w:sz="0" w:space="0" w:color="auto"/>
        <w:right w:val="none" w:sz="0" w:space="0" w:color="auto"/>
      </w:divBdr>
      <w:divsChild>
        <w:div w:id="2074304990">
          <w:marLeft w:val="0"/>
          <w:marRight w:val="0"/>
          <w:marTop w:val="0"/>
          <w:marBottom w:val="0"/>
          <w:divBdr>
            <w:top w:val="none" w:sz="0" w:space="0" w:color="auto"/>
            <w:left w:val="none" w:sz="0" w:space="0" w:color="auto"/>
            <w:bottom w:val="none" w:sz="0" w:space="0" w:color="auto"/>
            <w:right w:val="none" w:sz="0" w:space="0" w:color="auto"/>
          </w:divBdr>
        </w:div>
        <w:div w:id="723023040">
          <w:marLeft w:val="0"/>
          <w:marRight w:val="0"/>
          <w:marTop w:val="0"/>
          <w:marBottom w:val="0"/>
          <w:divBdr>
            <w:top w:val="none" w:sz="0" w:space="0" w:color="auto"/>
            <w:left w:val="none" w:sz="0" w:space="0" w:color="auto"/>
            <w:bottom w:val="none" w:sz="0" w:space="0" w:color="auto"/>
            <w:right w:val="none" w:sz="0" w:space="0" w:color="auto"/>
          </w:divBdr>
        </w:div>
        <w:div w:id="268008773">
          <w:marLeft w:val="0"/>
          <w:marRight w:val="0"/>
          <w:marTop w:val="0"/>
          <w:marBottom w:val="0"/>
          <w:divBdr>
            <w:top w:val="none" w:sz="0" w:space="0" w:color="auto"/>
            <w:left w:val="none" w:sz="0" w:space="0" w:color="auto"/>
            <w:bottom w:val="none" w:sz="0" w:space="0" w:color="auto"/>
            <w:right w:val="none" w:sz="0" w:space="0" w:color="auto"/>
          </w:divBdr>
        </w:div>
        <w:div w:id="1613972201">
          <w:marLeft w:val="0"/>
          <w:marRight w:val="0"/>
          <w:marTop w:val="0"/>
          <w:marBottom w:val="0"/>
          <w:divBdr>
            <w:top w:val="none" w:sz="0" w:space="0" w:color="auto"/>
            <w:left w:val="none" w:sz="0" w:space="0" w:color="auto"/>
            <w:bottom w:val="none" w:sz="0" w:space="0" w:color="auto"/>
            <w:right w:val="none" w:sz="0" w:space="0" w:color="auto"/>
          </w:divBdr>
        </w:div>
        <w:div w:id="2064019779">
          <w:marLeft w:val="0"/>
          <w:marRight w:val="0"/>
          <w:marTop w:val="0"/>
          <w:marBottom w:val="0"/>
          <w:divBdr>
            <w:top w:val="none" w:sz="0" w:space="0" w:color="auto"/>
            <w:left w:val="none" w:sz="0" w:space="0" w:color="auto"/>
            <w:bottom w:val="none" w:sz="0" w:space="0" w:color="auto"/>
            <w:right w:val="none" w:sz="0" w:space="0" w:color="auto"/>
          </w:divBdr>
        </w:div>
        <w:div w:id="911281914">
          <w:marLeft w:val="0"/>
          <w:marRight w:val="0"/>
          <w:marTop w:val="0"/>
          <w:marBottom w:val="0"/>
          <w:divBdr>
            <w:top w:val="none" w:sz="0" w:space="0" w:color="auto"/>
            <w:left w:val="none" w:sz="0" w:space="0" w:color="auto"/>
            <w:bottom w:val="none" w:sz="0" w:space="0" w:color="auto"/>
            <w:right w:val="none" w:sz="0" w:space="0" w:color="auto"/>
          </w:divBdr>
        </w:div>
        <w:div w:id="325137958">
          <w:marLeft w:val="0"/>
          <w:marRight w:val="0"/>
          <w:marTop w:val="0"/>
          <w:marBottom w:val="0"/>
          <w:divBdr>
            <w:top w:val="none" w:sz="0" w:space="0" w:color="auto"/>
            <w:left w:val="none" w:sz="0" w:space="0" w:color="auto"/>
            <w:bottom w:val="none" w:sz="0" w:space="0" w:color="auto"/>
            <w:right w:val="none" w:sz="0" w:space="0" w:color="auto"/>
          </w:divBdr>
        </w:div>
        <w:div w:id="1876968238">
          <w:marLeft w:val="0"/>
          <w:marRight w:val="0"/>
          <w:marTop w:val="0"/>
          <w:marBottom w:val="0"/>
          <w:divBdr>
            <w:top w:val="none" w:sz="0" w:space="0" w:color="auto"/>
            <w:left w:val="none" w:sz="0" w:space="0" w:color="auto"/>
            <w:bottom w:val="none" w:sz="0" w:space="0" w:color="auto"/>
            <w:right w:val="none" w:sz="0" w:space="0" w:color="auto"/>
          </w:divBdr>
        </w:div>
        <w:div w:id="1639339777">
          <w:marLeft w:val="0"/>
          <w:marRight w:val="0"/>
          <w:marTop w:val="0"/>
          <w:marBottom w:val="0"/>
          <w:divBdr>
            <w:top w:val="none" w:sz="0" w:space="0" w:color="auto"/>
            <w:left w:val="none" w:sz="0" w:space="0" w:color="auto"/>
            <w:bottom w:val="none" w:sz="0" w:space="0" w:color="auto"/>
            <w:right w:val="none" w:sz="0" w:space="0" w:color="auto"/>
          </w:divBdr>
        </w:div>
        <w:div w:id="1769739540">
          <w:marLeft w:val="0"/>
          <w:marRight w:val="0"/>
          <w:marTop w:val="0"/>
          <w:marBottom w:val="0"/>
          <w:divBdr>
            <w:top w:val="none" w:sz="0" w:space="0" w:color="auto"/>
            <w:left w:val="none" w:sz="0" w:space="0" w:color="auto"/>
            <w:bottom w:val="none" w:sz="0" w:space="0" w:color="auto"/>
            <w:right w:val="none" w:sz="0" w:space="0" w:color="auto"/>
          </w:divBdr>
        </w:div>
      </w:divsChild>
    </w:div>
    <w:div w:id="954364480">
      <w:bodyDiv w:val="1"/>
      <w:marLeft w:val="0"/>
      <w:marRight w:val="0"/>
      <w:marTop w:val="0"/>
      <w:marBottom w:val="0"/>
      <w:divBdr>
        <w:top w:val="none" w:sz="0" w:space="0" w:color="auto"/>
        <w:left w:val="none" w:sz="0" w:space="0" w:color="auto"/>
        <w:bottom w:val="none" w:sz="0" w:space="0" w:color="auto"/>
        <w:right w:val="none" w:sz="0" w:space="0" w:color="auto"/>
      </w:divBdr>
    </w:div>
    <w:div w:id="1046833674">
      <w:bodyDiv w:val="1"/>
      <w:marLeft w:val="0"/>
      <w:marRight w:val="0"/>
      <w:marTop w:val="0"/>
      <w:marBottom w:val="0"/>
      <w:divBdr>
        <w:top w:val="none" w:sz="0" w:space="0" w:color="auto"/>
        <w:left w:val="none" w:sz="0" w:space="0" w:color="auto"/>
        <w:bottom w:val="none" w:sz="0" w:space="0" w:color="auto"/>
        <w:right w:val="none" w:sz="0" w:space="0" w:color="auto"/>
      </w:divBdr>
    </w:div>
    <w:div w:id="1127502120">
      <w:bodyDiv w:val="1"/>
      <w:marLeft w:val="0"/>
      <w:marRight w:val="0"/>
      <w:marTop w:val="0"/>
      <w:marBottom w:val="0"/>
      <w:divBdr>
        <w:top w:val="none" w:sz="0" w:space="0" w:color="auto"/>
        <w:left w:val="none" w:sz="0" w:space="0" w:color="auto"/>
        <w:bottom w:val="none" w:sz="0" w:space="0" w:color="auto"/>
        <w:right w:val="none" w:sz="0" w:space="0" w:color="auto"/>
      </w:divBdr>
      <w:divsChild>
        <w:div w:id="1069305569">
          <w:marLeft w:val="547"/>
          <w:marRight w:val="0"/>
          <w:marTop w:val="96"/>
          <w:marBottom w:val="0"/>
          <w:divBdr>
            <w:top w:val="none" w:sz="0" w:space="0" w:color="auto"/>
            <w:left w:val="none" w:sz="0" w:space="0" w:color="auto"/>
            <w:bottom w:val="none" w:sz="0" w:space="0" w:color="auto"/>
            <w:right w:val="none" w:sz="0" w:space="0" w:color="auto"/>
          </w:divBdr>
        </w:div>
        <w:div w:id="379592386">
          <w:marLeft w:val="1843"/>
          <w:marRight w:val="0"/>
          <w:marTop w:val="96"/>
          <w:marBottom w:val="0"/>
          <w:divBdr>
            <w:top w:val="none" w:sz="0" w:space="0" w:color="auto"/>
            <w:left w:val="none" w:sz="0" w:space="0" w:color="auto"/>
            <w:bottom w:val="none" w:sz="0" w:space="0" w:color="auto"/>
            <w:right w:val="none" w:sz="0" w:space="0" w:color="auto"/>
          </w:divBdr>
        </w:div>
        <w:div w:id="924144317">
          <w:marLeft w:val="1843"/>
          <w:marRight w:val="0"/>
          <w:marTop w:val="96"/>
          <w:marBottom w:val="0"/>
          <w:divBdr>
            <w:top w:val="none" w:sz="0" w:space="0" w:color="auto"/>
            <w:left w:val="none" w:sz="0" w:space="0" w:color="auto"/>
            <w:bottom w:val="none" w:sz="0" w:space="0" w:color="auto"/>
            <w:right w:val="none" w:sz="0" w:space="0" w:color="auto"/>
          </w:divBdr>
        </w:div>
        <w:div w:id="1994093758">
          <w:marLeft w:val="1843"/>
          <w:marRight w:val="0"/>
          <w:marTop w:val="96"/>
          <w:marBottom w:val="0"/>
          <w:divBdr>
            <w:top w:val="none" w:sz="0" w:space="0" w:color="auto"/>
            <w:left w:val="none" w:sz="0" w:space="0" w:color="auto"/>
            <w:bottom w:val="none" w:sz="0" w:space="0" w:color="auto"/>
            <w:right w:val="none" w:sz="0" w:space="0" w:color="auto"/>
          </w:divBdr>
        </w:div>
      </w:divsChild>
    </w:div>
    <w:div w:id="1196652935">
      <w:bodyDiv w:val="1"/>
      <w:marLeft w:val="0"/>
      <w:marRight w:val="0"/>
      <w:marTop w:val="0"/>
      <w:marBottom w:val="0"/>
      <w:divBdr>
        <w:top w:val="none" w:sz="0" w:space="0" w:color="auto"/>
        <w:left w:val="none" w:sz="0" w:space="0" w:color="auto"/>
        <w:bottom w:val="none" w:sz="0" w:space="0" w:color="auto"/>
        <w:right w:val="none" w:sz="0" w:space="0" w:color="auto"/>
      </w:divBdr>
      <w:divsChild>
        <w:div w:id="1328947948">
          <w:marLeft w:val="0"/>
          <w:marRight w:val="0"/>
          <w:marTop w:val="0"/>
          <w:marBottom w:val="0"/>
          <w:divBdr>
            <w:top w:val="none" w:sz="0" w:space="0" w:color="auto"/>
            <w:left w:val="none" w:sz="0" w:space="0" w:color="auto"/>
            <w:bottom w:val="none" w:sz="0" w:space="0" w:color="auto"/>
            <w:right w:val="none" w:sz="0" w:space="0" w:color="auto"/>
          </w:divBdr>
          <w:divsChild>
            <w:div w:id="702361041">
              <w:marLeft w:val="0"/>
              <w:marRight w:val="0"/>
              <w:marTop w:val="0"/>
              <w:marBottom w:val="0"/>
              <w:divBdr>
                <w:top w:val="none" w:sz="0" w:space="0" w:color="auto"/>
                <w:left w:val="none" w:sz="0" w:space="0" w:color="auto"/>
                <w:bottom w:val="none" w:sz="0" w:space="0" w:color="auto"/>
                <w:right w:val="none" w:sz="0" w:space="0" w:color="auto"/>
              </w:divBdr>
            </w:div>
            <w:div w:id="1334340462">
              <w:marLeft w:val="0"/>
              <w:marRight w:val="0"/>
              <w:marTop w:val="0"/>
              <w:marBottom w:val="0"/>
              <w:divBdr>
                <w:top w:val="none" w:sz="0" w:space="0" w:color="auto"/>
                <w:left w:val="none" w:sz="0" w:space="0" w:color="auto"/>
                <w:bottom w:val="none" w:sz="0" w:space="0" w:color="auto"/>
                <w:right w:val="none" w:sz="0" w:space="0" w:color="auto"/>
              </w:divBdr>
            </w:div>
            <w:div w:id="2144032887">
              <w:marLeft w:val="0"/>
              <w:marRight w:val="0"/>
              <w:marTop w:val="0"/>
              <w:marBottom w:val="0"/>
              <w:divBdr>
                <w:top w:val="none" w:sz="0" w:space="0" w:color="auto"/>
                <w:left w:val="none" w:sz="0" w:space="0" w:color="auto"/>
                <w:bottom w:val="none" w:sz="0" w:space="0" w:color="auto"/>
                <w:right w:val="none" w:sz="0" w:space="0" w:color="auto"/>
              </w:divBdr>
            </w:div>
            <w:div w:id="2068645263">
              <w:marLeft w:val="0"/>
              <w:marRight w:val="0"/>
              <w:marTop w:val="0"/>
              <w:marBottom w:val="0"/>
              <w:divBdr>
                <w:top w:val="none" w:sz="0" w:space="0" w:color="auto"/>
                <w:left w:val="none" w:sz="0" w:space="0" w:color="auto"/>
                <w:bottom w:val="none" w:sz="0" w:space="0" w:color="auto"/>
                <w:right w:val="none" w:sz="0" w:space="0" w:color="auto"/>
              </w:divBdr>
            </w:div>
            <w:div w:id="1518275000">
              <w:marLeft w:val="0"/>
              <w:marRight w:val="0"/>
              <w:marTop w:val="0"/>
              <w:marBottom w:val="0"/>
              <w:divBdr>
                <w:top w:val="none" w:sz="0" w:space="0" w:color="auto"/>
                <w:left w:val="none" w:sz="0" w:space="0" w:color="auto"/>
                <w:bottom w:val="none" w:sz="0" w:space="0" w:color="auto"/>
                <w:right w:val="none" w:sz="0" w:space="0" w:color="auto"/>
              </w:divBdr>
            </w:div>
            <w:div w:id="19584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4306">
      <w:bodyDiv w:val="1"/>
      <w:marLeft w:val="0"/>
      <w:marRight w:val="0"/>
      <w:marTop w:val="0"/>
      <w:marBottom w:val="0"/>
      <w:divBdr>
        <w:top w:val="none" w:sz="0" w:space="0" w:color="auto"/>
        <w:left w:val="none" w:sz="0" w:space="0" w:color="auto"/>
        <w:bottom w:val="none" w:sz="0" w:space="0" w:color="auto"/>
        <w:right w:val="none" w:sz="0" w:space="0" w:color="auto"/>
      </w:divBdr>
    </w:div>
    <w:div w:id="1316452765">
      <w:bodyDiv w:val="1"/>
      <w:marLeft w:val="0"/>
      <w:marRight w:val="0"/>
      <w:marTop w:val="0"/>
      <w:marBottom w:val="0"/>
      <w:divBdr>
        <w:top w:val="none" w:sz="0" w:space="0" w:color="auto"/>
        <w:left w:val="none" w:sz="0" w:space="0" w:color="auto"/>
        <w:bottom w:val="none" w:sz="0" w:space="0" w:color="auto"/>
        <w:right w:val="none" w:sz="0" w:space="0" w:color="auto"/>
      </w:divBdr>
    </w:div>
    <w:div w:id="1364986145">
      <w:bodyDiv w:val="1"/>
      <w:marLeft w:val="0"/>
      <w:marRight w:val="0"/>
      <w:marTop w:val="0"/>
      <w:marBottom w:val="0"/>
      <w:divBdr>
        <w:top w:val="none" w:sz="0" w:space="0" w:color="auto"/>
        <w:left w:val="none" w:sz="0" w:space="0" w:color="auto"/>
        <w:bottom w:val="none" w:sz="0" w:space="0" w:color="auto"/>
        <w:right w:val="none" w:sz="0" w:space="0" w:color="auto"/>
      </w:divBdr>
    </w:div>
    <w:div w:id="1461151471">
      <w:bodyDiv w:val="1"/>
      <w:marLeft w:val="0"/>
      <w:marRight w:val="0"/>
      <w:marTop w:val="0"/>
      <w:marBottom w:val="0"/>
      <w:divBdr>
        <w:top w:val="none" w:sz="0" w:space="0" w:color="auto"/>
        <w:left w:val="none" w:sz="0" w:space="0" w:color="auto"/>
        <w:bottom w:val="none" w:sz="0" w:space="0" w:color="auto"/>
        <w:right w:val="none" w:sz="0" w:space="0" w:color="auto"/>
      </w:divBdr>
    </w:div>
    <w:div w:id="1759911461">
      <w:bodyDiv w:val="1"/>
      <w:marLeft w:val="0"/>
      <w:marRight w:val="0"/>
      <w:marTop w:val="0"/>
      <w:marBottom w:val="0"/>
      <w:divBdr>
        <w:top w:val="none" w:sz="0" w:space="0" w:color="auto"/>
        <w:left w:val="none" w:sz="0" w:space="0" w:color="auto"/>
        <w:bottom w:val="none" w:sz="0" w:space="0" w:color="auto"/>
        <w:right w:val="none" w:sz="0" w:space="0" w:color="auto"/>
      </w:divBdr>
    </w:div>
    <w:div w:id="1826314951">
      <w:bodyDiv w:val="1"/>
      <w:marLeft w:val="0"/>
      <w:marRight w:val="0"/>
      <w:marTop w:val="0"/>
      <w:marBottom w:val="0"/>
      <w:divBdr>
        <w:top w:val="none" w:sz="0" w:space="0" w:color="auto"/>
        <w:left w:val="none" w:sz="0" w:space="0" w:color="auto"/>
        <w:bottom w:val="none" w:sz="0" w:space="0" w:color="auto"/>
        <w:right w:val="none" w:sz="0" w:space="0" w:color="auto"/>
      </w:divBdr>
    </w:div>
    <w:div w:id="1856920168">
      <w:bodyDiv w:val="1"/>
      <w:marLeft w:val="0"/>
      <w:marRight w:val="0"/>
      <w:marTop w:val="0"/>
      <w:marBottom w:val="0"/>
      <w:divBdr>
        <w:top w:val="none" w:sz="0" w:space="0" w:color="auto"/>
        <w:left w:val="none" w:sz="0" w:space="0" w:color="auto"/>
        <w:bottom w:val="none" w:sz="0" w:space="0" w:color="auto"/>
        <w:right w:val="none" w:sz="0" w:space="0" w:color="auto"/>
      </w:divBdr>
    </w:div>
    <w:div w:id="1968734198">
      <w:bodyDiv w:val="1"/>
      <w:marLeft w:val="0"/>
      <w:marRight w:val="0"/>
      <w:marTop w:val="0"/>
      <w:marBottom w:val="0"/>
      <w:divBdr>
        <w:top w:val="none" w:sz="0" w:space="0" w:color="auto"/>
        <w:left w:val="none" w:sz="0" w:space="0" w:color="auto"/>
        <w:bottom w:val="none" w:sz="0" w:space="0" w:color="auto"/>
        <w:right w:val="none" w:sz="0" w:space="0" w:color="auto"/>
      </w:divBdr>
      <w:divsChild>
        <w:div w:id="382876589">
          <w:marLeft w:val="0"/>
          <w:marRight w:val="0"/>
          <w:marTop w:val="0"/>
          <w:marBottom w:val="0"/>
          <w:divBdr>
            <w:top w:val="none" w:sz="0" w:space="0" w:color="auto"/>
            <w:left w:val="none" w:sz="0" w:space="0" w:color="auto"/>
            <w:bottom w:val="none" w:sz="0" w:space="0" w:color="auto"/>
            <w:right w:val="none" w:sz="0" w:space="0" w:color="auto"/>
          </w:divBdr>
          <w:divsChild>
            <w:div w:id="1846552392">
              <w:marLeft w:val="0"/>
              <w:marRight w:val="0"/>
              <w:marTop w:val="0"/>
              <w:marBottom w:val="0"/>
              <w:divBdr>
                <w:top w:val="none" w:sz="0" w:space="0" w:color="auto"/>
                <w:left w:val="none" w:sz="0" w:space="0" w:color="auto"/>
                <w:bottom w:val="none" w:sz="0" w:space="0" w:color="auto"/>
                <w:right w:val="none" w:sz="0" w:space="0" w:color="auto"/>
              </w:divBdr>
              <w:divsChild>
                <w:div w:id="1435783001">
                  <w:marLeft w:val="0"/>
                  <w:marRight w:val="0"/>
                  <w:marTop w:val="0"/>
                  <w:marBottom w:val="0"/>
                  <w:divBdr>
                    <w:top w:val="none" w:sz="0" w:space="0" w:color="auto"/>
                    <w:left w:val="none" w:sz="0" w:space="0" w:color="auto"/>
                    <w:bottom w:val="none" w:sz="0" w:space="0" w:color="auto"/>
                    <w:right w:val="none" w:sz="0" w:space="0" w:color="auto"/>
                  </w:divBdr>
                  <w:divsChild>
                    <w:div w:id="491339876">
                      <w:marLeft w:val="0"/>
                      <w:marRight w:val="0"/>
                      <w:marTop w:val="0"/>
                      <w:marBottom w:val="0"/>
                      <w:divBdr>
                        <w:top w:val="none" w:sz="0" w:space="0" w:color="auto"/>
                        <w:left w:val="none" w:sz="0" w:space="0" w:color="auto"/>
                        <w:bottom w:val="none" w:sz="0" w:space="0" w:color="auto"/>
                        <w:right w:val="none" w:sz="0" w:space="0" w:color="auto"/>
                      </w:divBdr>
                      <w:divsChild>
                        <w:div w:id="183175264">
                          <w:marLeft w:val="0"/>
                          <w:marRight w:val="0"/>
                          <w:marTop w:val="0"/>
                          <w:marBottom w:val="0"/>
                          <w:divBdr>
                            <w:top w:val="none" w:sz="0" w:space="0" w:color="auto"/>
                            <w:left w:val="none" w:sz="0" w:space="0" w:color="auto"/>
                            <w:bottom w:val="none" w:sz="0" w:space="0" w:color="auto"/>
                            <w:right w:val="none" w:sz="0" w:space="0" w:color="auto"/>
                          </w:divBdr>
                          <w:divsChild>
                            <w:div w:id="233207036">
                              <w:marLeft w:val="0"/>
                              <w:marRight w:val="0"/>
                              <w:marTop w:val="0"/>
                              <w:marBottom w:val="0"/>
                              <w:divBdr>
                                <w:top w:val="none" w:sz="0" w:space="0" w:color="auto"/>
                                <w:left w:val="none" w:sz="0" w:space="0" w:color="auto"/>
                                <w:bottom w:val="none" w:sz="0" w:space="0" w:color="auto"/>
                                <w:right w:val="none" w:sz="0" w:space="0" w:color="auto"/>
                              </w:divBdr>
                            </w:div>
                          </w:divsChild>
                        </w:div>
                        <w:div w:id="1958753597">
                          <w:marLeft w:val="0"/>
                          <w:marRight w:val="0"/>
                          <w:marTop w:val="0"/>
                          <w:marBottom w:val="0"/>
                          <w:divBdr>
                            <w:top w:val="none" w:sz="0" w:space="0" w:color="auto"/>
                            <w:left w:val="none" w:sz="0" w:space="0" w:color="auto"/>
                            <w:bottom w:val="none" w:sz="0" w:space="0" w:color="auto"/>
                            <w:right w:val="none" w:sz="0" w:space="0" w:color="auto"/>
                          </w:divBdr>
                          <w:divsChild>
                            <w:div w:id="2146585331">
                              <w:marLeft w:val="0"/>
                              <w:marRight w:val="0"/>
                              <w:marTop w:val="0"/>
                              <w:marBottom w:val="0"/>
                              <w:divBdr>
                                <w:top w:val="none" w:sz="0" w:space="0" w:color="auto"/>
                                <w:left w:val="none" w:sz="0" w:space="0" w:color="auto"/>
                                <w:bottom w:val="none" w:sz="0" w:space="0" w:color="auto"/>
                                <w:right w:val="none" w:sz="0" w:space="0" w:color="auto"/>
                              </w:divBdr>
                              <w:divsChild>
                                <w:div w:id="1529874938">
                                  <w:marLeft w:val="0"/>
                                  <w:marRight w:val="0"/>
                                  <w:marTop w:val="0"/>
                                  <w:marBottom w:val="0"/>
                                  <w:divBdr>
                                    <w:top w:val="none" w:sz="0" w:space="0" w:color="auto"/>
                                    <w:left w:val="none" w:sz="0" w:space="0" w:color="auto"/>
                                    <w:bottom w:val="none" w:sz="0" w:space="0" w:color="auto"/>
                                    <w:right w:val="none" w:sz="0" w:space="0" w:color="auto"/>
                                  </w:divBdr>
                                </w:div>
                                <w:div w:id="10761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134">
                          <w:marLeft w:val="0"/>
                          <w:marRight w:val="0"/>
                          <w:marTop w:val="0"/>
                          <w:marBottom w:val="0"/>
                          <w:divBdr>
                            <w:top w:val="none" w:sz="0" w:space="0" w:color="auto"/>
                            <w:left w:val="none" w:sz="0" w:space="0" w:color="auto"/>
                            <w:bottom w:val="none" w:sz="0" w:space="0" w:color="auto"/>
                            <w:right w:val="none" w:sz="0" w:space="0" w:color="auto"/>
                          </w:divBdr>
                          <w:divsChild>
                            <w:div w:id="108864918">
                              <w:marLeft w:val="0"/>
                              <w:marRight w:val="0"/>
                              <w:marTop w:val="0"/>
                              <w:marBottom w:val="0"/>
                              <w:divBdr>
                                <w:top w:val="none" w:sz="0" w:space="0" w:color="auto"/>
                                <w:left w:val="none" w:sz="0" w:space="0" w:color="auto"/>
                                <w:bottom w:val="none" w:sz="0" w:space="0" w:color="auto"/>
                                <w:right w:val="none" w:sz="0" w:space="0" w:color="auto"/>
                              </w:divBdr>
                            </w:div>
                          </w:divsChild>
                        </w:div>
                        <w:div w:id="1496873449">
                          <w:marLeft w:val="0"/>
                          <w:marRight w:val="0"/>
                          <w:marTop w:val="0"/>
                          <w:marBottom w:val="0"/>
                          <w:divBdr>
                            <w:top w:val="none" w:sz="0" w:space="0" w:color="auto"/>
                            <w:left w:val="none" w:sz="0" w:space="0" w:color="auto"/>
                            <w:bottom w:val="none" w:sz="0" w:space="0" w:color="auto"/>
                            <w:right w:val="none" w:sz="0" w:space="0" w:color="auto"/>
                          </w:divBdr>
                          <w:divsChild>
                            <w:div w:id="1507748164">
                              <w:marLeft w:val="0"/>
                              <w:marRight w:val="0"/>
                              <w:marTop w:val="0"/>
                              <w:marBottom w:val="0"/>
                              <w:divBdr>
                                <w:top w:val="none" w:sz="0" w:space="0" w:color="auto"/>
                                <w:left w:val="none" w:sz="0" w:space="0" w:color="auto"/>
                                <w:bottom w:val="none" w:sz="0" w:space="0" w:color="auto"/>
                                <w:right w:val="none" w:sz="0" w:space="0" w:color="auto"/>
                              </w:divBdr>
                            </w:div>
                            <w:div w:id="16743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2861">
                  <w:marLeft w:val="0"/>
                  <w:marRight w:val="0"/>
                  <w:marTop w:val="0"/>
                  <w:marBottom w:val="0"/>
                  <w:divBdr>
                    <w:top w:val="none" w:sz="0" w:space="0" w:color="auto"/>
                    <w:left w:val="none" w:sz="0" w:space="0" w:color="auto"/>
                    <w:bottom w:val="none" w:sz="0" w:space="0" w:color="auto"/>
                    <w:right w:val="none" w:sz="0" w:space="0" w:color="auto"/>
                  </w:divBdr>
                  <w:divsChild>
                    <w:div w:id="4386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1592">
          <w:marLeft w:val="0"/>
          <w:marRight w:val="0"/>
          <w:marTop w:val="0"/>
          <w:marBottom w:val="0"/>
          <w:divBdr>
            <w:top w:val="none" w:sz="0" w:space="0" w:color="auto"/>
            <w:left w:val="none" w:sz="0" w:space="0" w:color="auto"/>
            <w:bottom w:val="none" w:sz="0" w:space="0" w:color="auto"/>
            <w:right w:val="none" w:sz="0" w:space="0" w:color="auto"/>
          </w:divBdr>
        </w:div>
      </w:divsChild>
    </w:div>
    <w:div w:id="2006669390">
      <w:bodyDiv w:val="1"/>
      <w:marLeft w:val="0"/>
      <w:marRight w:val="0"/>
      <w:marTop w:val="0"/>
      <w:marBottom w:val="0"/>
      <w:divBdr>
        <w:top w:val="none" w:sz="0" w:space="0" w:color="auto"/>
        <w:left w:val="none" w:sz="0" w:space="0" w:color="auto"/>
        <w:bottom w:val="none" w:sz="0" w:space="0" w:color="auto"/>
        <w:right w:val="none" w:sz="0" w:space="0" w:color="auto"/>
      </w:divBdr>
    </w:div>
    <w:div w:id="2143957563">
      <w:bodyDiv w:val="1"/>
      <w:marLeft w:val="-255"/>
      <w:marRight w:val="0"/>
      <w:marTop w:val="0"/>
      <w:marBottom w:val="0"/>
      <w:divBdr>
        <w:top w:val="none" w:sz="0" w:space="0" w:color="auto"/>
        <w:left w:val="none" w:sz="0" w:space="0" w:color="auto"/>
        <w:bottom w:val="none" w:sz="0" w:space="0" w:color="auto"/>
        <w:right w:val="none" w:sz="0" w:space="0" w:color="auto"/>
      </w:divBdr>
      <w:divsChild>
        <w:div w:id="2058621012">
          <w:marLeft w:val="0"/>
          <w:marRight w:val="0"/>
          <w:marTop w:val="0"/>
          <w:marBottom w:val="0"/>
          <w:divBdr>
            <w:top w:val="none" w:sz="0" w:space="0" w:color="auto"/>
            <w:left w:val="none" w:sz="0" w:space="0" w:color="auto"/>
            <w:bottom w:val="none" w:sz="0" w:space="0" w:color="auto"/>
            <w:right w:val="none" w:sz="0" w:space="0" w:color="auto"/>
          </w:divBdr>
          <w:divsChild>
            <w:div w:id="1311130195">
              <w:marLeft w:val="0"/>
              <w:marRight w:val="0"/>
              <w:marTop w:val="0"/>
              <w:marBottom w:val="0"/>
              <w:divBdr>
                <w:top w:val="none" w:sz="0" w:space="0" w:color="auto"/>
                <w:left w:val="none" w:sz="0" w:space="0" w:color="auto"/>
                <w:bottom w:val="none" w:sz="0" w:space="0" w:color="auto"/>
                <w:right w:val="none" w:sz="0" w:space="0" w:color="auto"/>
              </w:divBdr>
              <w:divsChild>
                <w:div w:id="2085756028">
                  <w:marLeft w:val="0"/>
                  <w:marRight w:val="0"/>
                  <w:marTop w:val="0"/>
                  <w:marBottom w:val="0"/>
                  <w:divBdr>
                    <w:top w:val="none" w:sz="0" w:space="0" w:color="auto"/>
                    <w:left w:val="none" w:sz="0" w:space="0" w:color="auto"/>
                    <w:bottom w:val="none" w:sz="0" w:space="0" w:color="auto"/>
                    <w:right w:val="none" w:sz="0" w:space="0" w:color="auto"/>
                  </w:divBdr>
                  <w:divsChild>
                    <w:div w:id="1131559079">
                      <w:marLeft w:val="0"/>
                      <w:marRight w:val="0"/>
                      <w:marTop w:val="0"/>
                      <w:marBottom w:val="0"/>
                      <w:divBdr>
                        <w:top w:val="none" w:sz="0" w:space="0" w:color="auto"/>
                        <w:left w:val="none" w:sz="0" w:space="0" w:color="auto"/>
                        <w:bottom w:val="none" w:sz="0" w:space="0" w:color="auto"/>
                        <w:right w:val="none" w:sz="0" w:space="0" w:color="auto"/>
                      </w:divBdr>
                      <w:divsChild>
                        <w:div w:id="540674184">
                          <w:marLeft w:val="0"/>
                          <w:marRight w:val="0"/>
                          <w:marTop w:val="0"/>
                          <w:marBottom w:val="0"/>
                          <w:divBdr>
                            <w:top w:val="none" w:sz="0" w:space="0" w:color="auto"/>
                            <w:left w:val="none" w:sz="0" w:space="0" w:color="auto"/>
                            <w:bottom w:val="none" w:sz="0" w:space="0" w:color="auto"/>
                            <w:right w:val="none" w:sz="0" w:space="0" w:color="auto"/>
                          </w:divBdr>
                          <w:divsChild>
                            <w:div w:id="1184978771">
                              <w:marLeft w:val="0"/>
                              <w:marRight w:val="0"/>
                              <w:marTop w:val="0"/>
                              <w:marBottom w:val="0"/>
                              <w:divBdr>
                                <w:top w:val="none" w:sz="0" w:space="0" w:color="auto"/>
                                <w:left w:val="none" w:sz="0" w:space="0" w:color="auto"/>
                                <w:bottom w:val="none" w:sz="0" w:space="0" w:color="auto"/>
                                <w:right w:val="none" w:sz="0" w:space="0" w:color="auto"/>
                              </w:divBdr>
                              <w:divsChild>
                                <w:div w:id="1353343455">
                                  <w:marLeft w:val="0"/>
                                  <w:marRight w:val="0"/>
                                  <w:marTop w:val="0"/>
                                  <w:marBottom w:val="0"/>
                                  <w:divBdr>
                                    <w:top w:val="none" w:sz="0" w:space="0" w:color="auto"/>
                                    <w:left w:val="none" w:sz="0" w:space="0" w:color="auto"/>
                                    <w:bottom w:val="none" w:sz="0" w:space="0" w:color="auto"/>
                                    <w:right w:val="none" w:sz="0" w:space="0" w:color="auto"/>
                                  </w:divBdr>
                                  <w:divsChild>
                                    <w:div w:id="25064622">
                                      <w:marLeft w:val="0"/>
                                      <w:marRight w:val="270"/>
                                      <w:marTop w:val="0"/>
                                      <w:marBottom w:val="0"/>
                                      <w:divBdr>
                                        <w:top w:val="none" w:sz="0" w:space="0" w:color="auto"/>
                                        <w:left w:val="none" w:sz="0" w:space="0" w:color="auto"/>
                                        <w:bottom w:val="none" w:sz="0" w:space="0" w:color="auto"/>
                                        <w:right w:val="none" w:sz="0" w:space="0" w:color="auto"/>
                                      </w:divBdr>
                                      <w:divsChild>
                                        <w:div w:id="154416581">
                                          <w:marLeft w:val="0"/>
                                          <w:marRight w:val="0"/>
                                          <w:marTop w:val="0"/>
                                          <w:marBottom w:val="0"/>
                                          <w:divBdr>
                                            <w:top w:val="none" w:sz="0" w:space="0" w:color="auto"/>
                                            <w:left w:val="none" w:sz="0" w:space="0" w:color="auto"/>
                                            <w:bottom w:val="none" w:sz="0" w:space="0" w:color="auto"/>
                                            <w:right w:val="none" w:sz="0" w:space="0" w:color="auto"/>
                                          </w:divBdr>
                                          <w:divsChild>
                                            <w:div w:id="678654354">
                                              <w:marLeft w:val="0"/>
                                              <w:marRight w:val="0"/>
                                              <w:marTop w:val="0"/>
                                              <w:marBottom w:val="0"/>
                                              <w:divBdr>
                                                <w:top w:val="none" w:sz="0" w:space="0" w:color="auto"/>
                                                <w:left w:val="none" w:sz="0" w:space="0" w:color="auto"/>
                                                <w:bottom w:val="none" w:sz="0" w:space="0" w:color="auto"/>
                                                <w:right w:val="none" w:sz="0" w:space="0" w:color="auto"/>
                                              </w:divBdr>
                                              <w:divsChild>
                                                <w:div w:id="352608194">
                                                  <w:marLeft w:val="0"/>
                                                  <w:marRight w:val="0"/>
                                                  <w:marTop w:val="0"/>
                                                  <w:marBottom w:val="0"/>
                                                  <w:divBdr>
                                                    <w:top w:val="none" w:sz="0" w:space="0" w:color="auto"/>
                                                    <w:left w:val="none" w:sz="0" w:space="0" w:color="auto"/>
                                                    <w:bottom w:val="none" w:sz="0" w:space="0" w:color="auto"/>
                                                    <w:right w:val="none" w:sz="0" w:space="0" w:color="auto"/>
                                                  </w:divBdr>
                                                  <w:divsChild>
                                                    <w:div w:id="720055326">
                                                      <w:marLeft w:val="0"/>
                                                      <w:marRight w:val="0"/>
                                                      <w:marTop w:val="0"/>
                                                      <w:marBottom w:val="0"/>
                                                      <w:divBdr>
                                                        <w:top w:val="none" w:sz="0" w:space="0" w:color="auto"/>
                                                        <w:left w:val="none" w:sz="0" w:space="0" w:color="auto"/>
                                                        <w:bottom w:val="none" w:sz="0" w:space="0" w:color="auto"/>
                                                        <w:right w:val="none" w:sz="0" w:space="0" w:color="auto"/>
                                                      </w:divBdr>
                                                      <w:divsChild>
                                                        <w:div w:id="336033451">
                                                          <w:marLeft w:val="0"/>
                                                          <w:marRight w:val="0"/>
                                                          <w:marTop w:val="0"/>
                                                          <w:marBottom w:val="0"/>
                                                          <w:divBdr>
                                                            <w:top w:val="none" w:sz="0" w:space="0" w:color="auto"/>
                                                            <w:left w:val="none" w:sz="0" w:space="0" w:color="auto"/>
                                                            <w:bottom w:val="none" w:sz="0" w:space="0" w:color="auto"/>
                                                            <w:right w:val="none" w:sz="0" w:space="0" w:color="auto"/>
                                                          </w:divBdr>
                                                          <w:divsChild>
                                                            <w:div w:id="4527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8754">
                                                  <w:marLeft w:val="150"/>
                                                  <w:marRight w:val="0"/>
                                                  <w:marTop w:val="0"/>
                                                  <w:marBottom w:val="0"/>
                                                  <w:divBdr>
                                                    <w:top w:val="none" w:sz="0" w:space="0" w:color="auto"/>
                                                    <w:left w:val="none" w:sz="0" w:space="0" w:color="auto"/>
                                                    <w:bottom w:val="none" w:sz="0" w:space="0" w:color="auto"/>
                                                    <w:right w:val="none" w:sz="0" w:space="0" w:color="auto"/>
                                                  </w:divBdr>
                                                  <w:divsChild>
                                                    <w:div w:id="1611860047">
                                                      <w:marLeft w:val="0"/>
                                                      <w:marRight w:val="0"/>
                                                      <w:marTop w:val="0"/>
                                                      <w:marBottom w:val="0"/>
                                                      <w:divBdr>
                                                        <w:top w:val="none" w:sz="0" w:space="0" w:color="auto"/>
                                                        <w:left w:val="none" w:sz="0" w:space="0" w:color="auto"/>
                                                        <w:bottom w:val="none" w:sz="0" w:space="0" w:color="auto"/>
                                                        <w:right w:val="none" w:sz="0" w:space="0" w:color="auto"/>
                                                      </w:divBdr>
                                                      <w:divsChild>
                                                        <w:div w:id="1340233346">
                                                          <w:marLeft w:val="0"/>
                                                          <w:marRight w:val="0"/>
                                                          <w:marTop w:val="0"/>
                                                          <w:marBottom w:val="0"/>
                                                          <w:divBdr>
                                                            <w:top w:val="none" w:sz="0" w:space="0" w:color="auto"/>
                                                            <w:left w:val="none" w:sz="0" w:space="0" w:color="auto"/>
                                                            <w:bottom w:val="none" w:sz="0" w:space="0" w:color="auto"/>
                                                            <w:right w:val="none" w:sz="0" w:space="0" w:color="auto"/>
                                                          </w:divBdr>
                                                          <w:divsChild>
                                                            <w:div w:id="8660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4358">
                                          <w:marLeft w:val="0"/>
                                          <w:marRight w:val="0"/>
                                          <w:marTop w:val="0"/>
                                          <w:marBottom w:val="0"/>
                                          <w:divBdr>
                                            <w:top w:val="none" w:sz="0" w:space="0" w:color="auto"/>
                                            <w:left w:val="none" w:sz="0" w:space="0" w:color="auto"/>
                                            <w:bottom w:val="none" w:sz="0" w:space="0" w:color="auto"/>
                                            <w:right w:val="none" w:sz="0" w:space="0" w:color="auto"/>
                                          </w:divBdr>
                                          <w:divsChild>
                                            <w:div w:id="218513744">
                                              <w:marLeft w:val="0"/>
                                              <w:marRight w:val="0"/>
                                              <w:marTop w:val="0"/>
                                              <w:marBottom w:val="0"/>
                                              <w:divBdr>
                                                <w:top w:val="none" w:sz="0" w:space="0" w:color="auto"/>
                                                <w:left w:val="none" w:sz="0" w:space="0" w:color="auto"/>
                                                <w:bottom w:val="none" w:sz="0" w:space="0" w:color="auto"/>
                                                <w:right w:val="none" w:sz="0" w:space="0" w:color="auto"/>
                                              </w:divBdr>
                                              <w:divsChild>
                                                <w:div w:id="173959496">
                                                  <w:marLeft w:val="0"/>
                                                  <w:marRight w:val="0"/>
                                                  <w:marTop w:val="0"/>
                                                  <w:marBottom w:val="0"/>
                                                  <w:divBdr>
                                                    <w:top w:val="none" w:sz="0" w:space="0" w:color="auto"/>
                                                    <w:left w:val="none" w:sz="0" w:space="0" w:color="auto"/>
                                                    <w:bottom w:val="none" w:sz="0" w:space="0" w:color="auto"/>
                                                    <w:right w:val="none" w:sz="0" w:space="0" w:color="auto"/>
                                                  </w:divBdr>
                                                  <w:divsChild>
                                                    <w:div w:id="1080714444">
                                                      <w:marLeft w:val="0"/>
                                                      <w:marRight w:val="0"/>
                                                      <w:marTop w:val="0"/>
                                                      <w:marBottom w:val="0"/>
                                                      <w:divBdr>
                                                        <w:top w:val="none" w:sz="0" w:space="0" w:color="auto"/>
                                                        <w:left w:val="none" w:sz="0" w:space="0" w:color="auto"/>
                                                        <w:bottom w:val="none" w:sz="0" w:space="0" w:color="auto"/>
                                                        <w:right w:val="none" w:sz="0" w:space="0" w:color="auto"/>
                                                      </w:divBdr>
                                                      <w:divsChild>
                                                        <w:div w:id="1019355617">
                                                          <w:marLeft w:val="0"/>
                                                          <w:marRight w:val="0"/>
                                                          <w:marTop w:val="0"/>
                                                          <w:marBottom w:val="0"/>
                                                          <w:divBdr>
                                                            <w:top w:val="none" w:sz="0" w:space="0" w:color="auto"/>
                                                            <w:left w:val="none" w:sz="0" w:space="0" w:color="auto"/>
                                                            <w:bottom w:val="none" w:sz="0" w:space="0" w:color="auto"/>
                                                            <w:right w:val="none" w:sz="0" w:space="0" w:color="auto"/>
                                                          </w:divBdr>
                                                          <w:divsChild>
                                                            <w:div w:id="833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3633">
                                                  <w:marLeft w:val="150"/>
                                                  <w:marRight w:val="0"/>
                                                  <w:marTop w:val="0"/>
                                                  <w:marBottom w:val="0"/>
                                                  <w:divBdr>
                                                    <w:top w:val="none" w:sz="0" w:space="0" w:color="auto"/>
                                                    <w:left w:val="none" w:sz="0" w:space="0" w:color="auto"/>
                                                    <w:bottom w:val="none" w:sz="0" w:space="0" w:color="auto"/>
                                                    <w:right w:val="none" w:sz="0" w:space="0" w:color="auto"/>
                                                  </w:divBdr>
                                                  <w:divsChild>
                                                    <w:div w:id="1503624506">
                                                      <w:marLeft w:val="0"/>
                                                      <w:marRight w:val="0"/>
                                                      <w:marTop w:val="0"/>
                                                      <w:marBottom w:val="0"/>
                                                      <w:divBdr>
                                                        <w:top w:val="none" w:sz="0" w:space="0" w:color="auto"/>
                                                        <w:left w:val="none" w:sz="0" w:space="0" w:color="auto"/>
                                                        <w:bottom w:val="none" w:sz="0" w:space="0" w:color="auto"/>
                                                        <w:right w:val="none" w:sz="0" w:space="0" w:color="auto"/>
                                                      </w:divBdr>
                                                      <w:divsChild>
                                                        <w:div w:id="289242346">
                                                          <w:marLeft w:val="0"/>
                                                          <w:marRight w:val="0"/>
                                                          <w:marTop w:val="0"/>
                                                          <w:marBottom w:val="0"/>
                                                          <w:divBdr>
                                                            <w:top w:val="none" w:sz="0" w:space="0" w:color="auto"/>
                                                            <w:left w:val="none" w:sz="0" w:space="0" w:color="auto"/>
                                                            <w:bottom w:val="none" w:sz="0" w:space="0" w:color="auto"/>
                                                            <w:right w:val="none" w:sz="0" w:space="0" w:color="auto"/>
                                                          </w:divBdr>
                                                          <w:divsChild>
                                                            <w:div w:id="5020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92868">
                                          <w:marLeft w:val="0"/>
                                          <w:marRight w:val="0"/>
                                          <w:marTop w:val="0"/>
                                          <w:marBottom w:val="0"/>
                                          <w:divBdr>
                                            <w:top w:val="none" w:sz="0" w:space="0" w:color="auto"/>
                                            <w:left w:val="none" w:sz="0" w:space="0" w:color="auto"/>
                                            <w:bottom w:val="none" w:sz="0" w:space="0" w:color="auto"/>
                                            <w:right w:val="none" w:sz="0" w:space="0" w:color="auto"/>
                                          </w:divBdr>
                                        </w:div>
                                        <w:div w:id="19907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upload/00-vadlinijas/vadlinijas_2015/4.3._metodika.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munds.lauskis@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likumi.lv/ta/id/223614-asignejumu-pieskirsanas-un-izpildes-karti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907AB-7B2F-4CF3-B84A-A76E770D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2455</Words>
  <Characters>17401</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Lauskis</dc:creator>
  <cp:lastModifiedBy>larisat</cp:lastModifiedBy>
  <cp:revision>2</cp:revision>
  <cp:lastPrinted>2016-01-21T10:07:00Z</cp:lastPrinted>
  <dcterms:created xsi:type="dcterms:W3CDTF">2016-03-02T10:08:00Z</dcterms:created>
  <dcterms:modified xsi:type="dcterms:W3CDTF">2016-03-02T10:08:00Z</dcterms:modified>
  <cp:contentStatus/>
</cp:coreProperties>
</file>